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ABB2F" w14:textId="77777777" w:rsidR="00332383" w:rsidRPr="00551AC8" w:rsidRDefault="00332383" w:rsidP="000131C9">
      <w:pPr>
        <w:jc w:val="both"/>
        <w:rPr>
          <w:b/>
          <w:sz w:val="40"/>
        </w:rPr>
      </w:pPr>
      <w:bookmarkStart w:id="0" w:name="_GoBack"/>
      <w:r w:rsidRPr="00551AC8">
        <w:rPr>
          <w:b/>
          <w:bCs/>
          <w:sz w:val="32"/>
          <w:highlight w:val="yellow"/>
          <w:lang w:val="en-GB"/>
        </w:rPr>
        <w:t>Strategic Planning and Organizational Performance in the Iraqi Public Sector: The Mediating Role of Organizational Agility</w:t>
      </w:r>
      <w:r w:rsidRPr="00551AC8" w:rsidDel="000131C9">
        <w:rPr>
          <w:b/>
          <w:sz w:val="40"/>
        </w:rPr>
        <w:t xml:space="preserve"> </w:t>
      </w:r>
    </w:p>
    <w:p w14:paraId="18B4895E" w14:textId="77777777" w:rsidR="00BE796F" w:rsidRDefault="00BE796F" w:rsidP="000131C9">
      <w:pPr>
        <w:jc w:val="both"/>
        <w:rPr>
          <w:b/>
          <w:bCs/>
          <w:i/>
          <w:iCs/>
        </w:rPr>
      </w:pPr>
    </w:p>
    <w:p w14:paraId="54DC5350" w14:textId="77777777" w:rsidR="00BE796F" w:rsidRDefault="00BE796F" w:rsidP="000131C9">
      <w:pPr>
        <w:jc w:val="both"/>
        <w:rPr>
          <w:b/>
          <w:sz w:val="28"/>
        </w:rPr>
      </w:pPr>
    </w:p>
    <w:p w14:paraId="3C77A5CF" w14:textId="61069704" w:rsidR="0066076B" w:rsidRDefault="00ED153A" w:rsidP="000131C9">
      <w:pPr>
        <w:jc w:val="both"/>
      </w:pPr>
      <w:r>
        <w:rPr>
          <w:b/>
          <w:sz w:val="28"/>
        </w:rPr>
        <w:t>Abstract</w:t>
      </w:r>
    </w:p>
    <w:p w14:paraId="7EC86668" w14:textId="77777777" w:rsidR="00CD0E4E" w:rsidRDefault="00ED153A" w:rsidP="00CD0E4E">
      <w:pPr>
        <w:spacing w:after="120"/>
        <w:jc w:val="both"/>
      </w:pPr>
      <w:r>
        <w:t>Public organizations in Iraq face chronic pressures to improve service quality, resource utilization, and responsiveness in a turbulent governance environment. This study examines whether strategic planning (SP) enhances organizational performance (OP) directly and indirectly through organizational agility (OA). Drawing on the dynamic capabilities perspective, we argue that SP strengthens sensing-seizing-reconfiguring routines that constitute OA, which in turn improves OP. Using a cross-sectional, hand-delivered survey of employees across administrative units in Iraqi state ministries (N = 390; reported response rate about 80% over a six-month collection period) and partial least squares structural equation modeling (PLS-SEM), we find that SP has a positive effect on OP and a stronger effect on OA. OA positively predicts OP and partially mediates the SP-OP relationship. Measurement model results demonstrate adequate reliability and convergent validity, while discriminant validity is supported using the heterotrait-monotrait ratio (HTMT). Structural model evaluation indicates acceptable collinearity (VIF &lt; 3.3), meaningful effect sizes (f²), moderate explanatory power (R²), and predictive relevance (Q² &gt; 0). We also address common method bias (CMB) through procedural remedies and statistical diagnostics (Harman's single-factor test and full collinearity VIF). The findings contribute to public-sector strategy research by clarifying a capability-based mechanism through which planning translates into performance. Practically, the study provides a roadmap for Iraqi ministries and agencies to convert planning from a ceremonial document into an agility-building system.</w:t>
      </w:r>
      <w:r w:rsidR="00CD0E4E">
        <w:t xml:space="preserve"> </w:t>
      </w:r>
      <w:r w:rsidR="00CD0E4E" w:rsidRPr="00551AC8">
        <w:rPr>
          <w:highlight w:val="yellow"/>
        </w:rPr>
        <w:t>Organizational agility partially mediates the strategic planning–performance link, implying that leaders should treat planning as an institutional mechanism that builds adaptive capacity. The study therefore offers both a theoretical integration and a practical roadmap for public organizations seeking performance improvement under uncertainty.</w:t>
      </w:r>
    </w:p>
    <w:p w14:paraId="5520C805" w14:textId="2267AF9A" w:rsidR="0066076B" w:rsidRDefault="0066076B" w:rsidP="000131C9">
      <w:pPr>
        <w:spacing w:after="120"/>
        <w:jc w:val="both"/>
      </w:pPr>
    </w:p>
    <w:p w14:paraId="65A64F24" w14:textId="77777777" w:rsidR="0066076B" w:rsidRDefault="00ED153A" w:rsidP="000131C9">
      <w:pPr>
        <w:spacing w:after="120"/>
        <w:jc w:val="both"/>
      </w:pPr>
      <w:r>
        <w:rPr>
          <w:i/>
        </w:rPr>
        <w:t>Keywords: strategic planning; organizational agility; organizational performance; Iraqi public sector; dynamic capabilities; PLS-SEM</w:t>
      </w:r>
    </w:p>
    <w:p w14:paraId="3837046D" w14:textId="77777777" w:rsidR="0066076B" w:rsidRDefault="00ED153A" w:rsidP="000131C9">
      <w:pPr>
        <w:jc w:val="both"/>
      </w:pPr>
      <w:r>
        <w:rPr>
          <w:b/>
          <w:sz w:val="28"/>
        </w:rPr>
        <w:t>1. Introduction</w:t>
      </w:r>
    </w:p>
    <w:p w14:paraId="31B1961A" w14:textId="70859335" w:rsidR="0066076B" w:rsidRDefault="005850DD" w:rsidP="000131C9">
      <w:pPr>
        <w:spacing w:after="120"/>
        <w:jc w:val="both"/>
      </w:pPr>
      <w:r w:rsidRPr="00551AC8">
        <w:rPr>
          <w:rFonts w:ascii="Arial" w:hAnsi="Arial" w:cs="Arial"/>
          <w:color w:val="222222"/>
          <w:sz w:val="20"/>
          <w:szCs w:val="20"/>
          <w:highlight w:val="yellow"/>
          <w:shd w:val="clear" w:color="auto" w:fill="FFFFFF"/>
        </w:rPr>
        <w:t>Strategy, originating from the practice of commanding armies during war, has evolved into various meanings throughout history. It was initially used for success and victory, but later applied to political, economic, and business settings</w:t>
      </w:r>
      <w:r w:rsidR="00272230">
        <w:rPr>
          <w:rFonts w:ascii="Arial" w:hAnsi="Arial" w:cs="Arial"/>
          <w:color w:val="222222"/>
          <w:sz w:val="20"/>
          <w:szCs w:val="20"/>
          <w:highlight w:val="yellow"/>
          <w:shd w:val="clear" w:color="auto" w:fill="FFFFFF"/>
        </w:rPr>
        <w:t xml:space="preserve"> (</w:t>
      </w:r>
      <w:r w:rsidR="00272230" w:rsidRPr="001130DB">
        <w:rPr>
          <w:rFonts w:ascii="inherit" w:hAnsi="inherit" w:cs="Helvetica"/>
          <w:color w:val="222222"/>
          <w:sz w:val="22"/>
          <w:szCs w:val="18"/>
          <w:highlight w:val="yellow"/>
        </w:rPr>
        <w:t>Mousa</w:t>
      </w:r>
      <w:r w:rsidR="00272230">
        <w:rPr>
          <w:rFonts w:ascii="inherit" w:hAnsi="inherit" w:cs="Helvetica"/>
          <w:color w:val="222222"/>
          <w:sz w:val="22"/>
          <w:szCs w:val="18"/>
          <w:highlight w:val="yellow"/>
        </w:rPr>
        <w:t xml:space="preserve"> et al., 2024</w:t>
      </w:r>
      <w:r w:rsidR="00272230">
        <w:rPr>
          <w:rFonts w:ascii="Arial" w:hAnsi="Arial" w:cs="Arial"/>
          <w:color w:val="222222"/>
          <w:sz w:val="20"/>
          <w:szCs w:val="20"/>
          <w:highlight w:val="yellow"/>
          <w:shd w:val="clear" w:color="auto" w:fill="FFFFFF"/>
        </w:rPr>
        <w:t>)</w:t>
      </w:r>
      <w:r w:rsidRPr="00551AC8">
        <w:rPr>
          <w:rFonts w:ascii="Arial" w:hAnsi="Arial" w:cs="Arial"/>
          <w:color w:val="222222"/>
          <w:sz w:val="20"/>
          <w:szCs w:val="20"/>
          <w:highlight w:val="yellow"/>
          <w:shd w:val="clear" w:color="auto" w:fill="FFFFFF"/>
        </w:rPr>
        <w:t>.</w:t>
      </w:r>
      <w:r>
        <w:t xml:space="preserve"> </w:t>
      </w:r>
      <w:r w:rsidR="00ED153A">
        <w:t xml:space="preserve">Modern public organizations are expected to deliver reliable services, manage scarce resources, and respond to policy shifts—often under </w:t>
      </w:r>
      <w:r w:rsidR="00ED153A">
        <w:lastRenderedPageBreak/>
        <w:t>constraints that private firms rarely face. Formal rules, layered accountability, political oversight, and fragmented stakeholder environments can slow decision cycles and reduce the organization’s room for maneuver. Across the last four decades, waves of public management reform have attempted to strengthen performance through strategic management, performance measurement, and results-based accountability. Strategic planning is one of the most frequently recommended tools in this toolbox because it can clarify priorities, align budgets with objectives, and provide a shared narrative that coordinates units around long-term goals (Bryson, 2018; Boyne, 2010).</w:t>
      </w:r>
      <w:r w:rsidR="002B4736">
        <w:t xml:space="preserve"> </w:t>
      </w:r>
      <w:r w:rsidR="002B4736" w:rsidRPr="00551AC8">
        <w:rPr>
          <w:rFonts w:ascii="Arial" w:hAnsi="Arial" w:cs="Arial"/>
          <w:color w:val="333333"/>
          <w:szCs w:val="26"/>
          <w:highlight w:val="yellow"/>
        </w:rPr>
        <w:t>Strategic agility relates to an organization’s capability to proceed easily and rapidly, enabling it to respond effectively to unexpected situations. In addition, strategic agility presents the ability of an entity to reinvent itself, survive, and adapt. This reflects the entity’s capability to continuously modify and adapt its strategic direction among essential businesses to make value related to an enterprise</w:t>
      </w:r>
      <w:r w:rsidR="002B4736">
        <w:rPr>
          <w:rFonts w:ascii="Arial" w:hAnsi="Arial" w:cs="Arial"/>
          <w:color w:val="333333"/>
          <w:szCs w:val="26"/>
          <w:highlight w:val="yellow"/>
        </w:rPr>
        <w:t xml:space="preserve"> (</w:t>
      </w:r>
      <w:proofErr w:type="spellStart"/>
      <w:r w:rsidR="004722AF" w:rsidRPr="001130DB">
        <w:rPr>
          <w:rFonts w:ascii="inherit" w:hAnsi="inherit" w:cs="Helvetica"/>
          <w:color w:val="222222"/>
          <w:sz w:val="22"/>
          <w:szCs w:val="18"/>
          <w:highlight w:val="yellow"/>
        </w:rPr>
        <w:t>AlTaweel</w:t>
      </w:r>
      <w:proofErr w:type="spellEnd"/>
      <w:r w:rsidR="004722AF">
        <w:rPr>
          <w:rFonts w:ascii="inherit" w:hAnsi="inherit" w:cs="Helvetica"/>
          <w:color w:val="222222"/>
          <w:sz w:val="22"/>
          <w:szCs w:val="18"/>
          <w:highlight w:val="yellow"/>
        </w:rPr>
        <w:t xml:space="preserve"> </w:t>
      </w:r>
      <w:r w:rsidR="004722AF" w:rsidRPr="001130DB">
        <w:rPr>
          <w:rFonts w:ascii="inherit" w:hAnsi="inherit" w:cs="Helvetica"/>
          <w:color w:val="222222"/>
          <w:sz w:val="22"/>
          <w:szCs w:val="18"/>
          <w:highlight w:val="yellow"/>
        </w:rPr>
        <w:t>&amp; Al-</w:t>
      </w:r>
      <w:proofErr w:type="spellStart"/>
      <w:r w:rsidR="004722AF" w:rsidRPr="001130DB">
        <w:rPr>
          <w:rFonts w:ascii="inherit" w:hAnsi="inherit" w:cs="Helvetica"/>
          <w:color w:val="222222"/>
          <w:sz w:val="22"/>
          <w:szCs w:val="18"/>
          <w:highlight w:val="yellow"/>
        </w:rPr>
        <w:t>Hawary</w:t>
      </w:r>
      <w:proofErr w:type="spellEnd"/>
      <w:r w:rsidR="004722AF">
        <w:rPr>
          <w:rFonts w:ascii="Arial" w:hAnsi="Arial" w:cs="Arial"/>
          <w:color w:val="222222"/>
          <w:szCs w:val="20"/>
          <w:highlight w:val="yellow"/>
          <w:shd w:val="clear" w:color="auto" w:fill="FFFFFF"/>
        </w:rPr>
        <w:t xml:space="preserve">, 2021; </w:t>
      </w:r>
      <w:r w:rsidR="002B4736" w:rsidRPr="001130DB">
        <w:rPr>
          <w:rFonts w:ascii="Arial" w:hAnsi="Arial" w:cs="Arial"/>
          <w:color w:val="222222"/>
          <w:szCs w:val="20"/>
          <w:highlight w:val="yellow"/>
          <w:shd w:val="clear" w:color="auto" w:fill="FFFFFF"/>
        </w:rPr>
        <w:t>Shaban</w:t>
      </w:r>
      <w:r w:rsidR="002B4736">
        <w:rPr>
          <w:rFonts w:ascii="Arial" w:hAnsi="Arial" w:cs="Arial"/>
          <w:color w:val="222222"/>
          <w:szCs w:val="20"/>
          <w:highlight w:val="yellow"/>
          <w:shd w:val="clear" w:color="auto" w:fill="FFFFFF"/>
        </w:rPr>
        <w:t>, 2024</w:t>
      </w:r>
      <w:r w:rsidR="002B4736">
        <w:rPr>
          <w:rFonts w:ascii="Arial" w:hAnsi="Arial" w:cs="Arial"/>
          <w:color w:val="333333"/>
          <w:szCs w:val="26"/>
          <w:highlight w:val="yellow"/>
        </w:rPr>
        <w:t>)</w:t>
      </w:r>
    </w:p>
    <w:p w14:paraId="04D82862" w14:textId="77777777" w:rsidR="0066076B" w:rsidRDefault="00ED153A" w:rsidP="000131C9">
      <w:pPr>
        <w:spacing w:after="120"/>
        <w:jc w:val="both"/>
      </w:pPr>
      <w:r>
        <w:t>Yet the planning–performance relationship is not guaranteed. In many public organizations, planning risks becoming ceremonial—produced to satisfy external requirements, auditors, or donors—without shaping the routines that actually govern daily decisions. Research in public administration emphasizes that strategic planning becomes valuable when it is linked to implementation, monitoring, and learning systems, and when it is treated as an iterative process rather than a one-off product (Walker, 2013; Poister, 2010). In high-turbulence contexts, the relevant question is even sharper: does planning strengthen the organization’s ability to adapt, or does it create additional rigidity?</w:t>
      </w:r>
    </w:p>
    <w:p w14:paraId="7391EF45" w14:textId="77777777" w:rsidR="0066076B" w:rsidRDefault="00ED153A" w:rsidP="000131C9">
      <w:pPr>
        <w:spacing w:after="120"/>
        <w:jc w:val="both"/>
      </w:pPr>
      <w:r>
        <w:t>The Iraqi public sector provides a consequential setting for this question. As the largest employer and primary provider of essential services, the public sector must operate under fiscal volatility, administrative fragmentation, and evolving citizen expectations. Policy priorities can shift rapidly due to political cycles, security dynamics, and budget pressures. In such conditions, traditional bureaucratic routines may struggle to deliver timely, high-quality outcomes. This makes performance improvement both urgent and difficult—and it highlights the need for strategic management approaches that build implementation capacity, not merely produce documents.</w:t>
      </w:r>
    </w:p>
    <w:p w14:paraId="409528B2" w14:textId="77777777" w:rsidR="0066076B" w:rsidRDefault="00ED153A" w:rsidP="000131C9">
      <w:pPr>
        <w:spacing w:after="120"/>
        <w:jc w:val="both"/>
      </w:pPr>
      <w:r>
        <w:t>This study advances the argument that organizational agility is a key mechanism through which strategic planning translates into improved performance. Organizational agility refers to an organization’s capacity to sense changes in its environment, decide quickly, and reconfigure resources and processes to remain effective. From the dynamic capabilities perspective, agility reflects enacted routines of sensing, seizing, and reconfiguring (Teece et al., 1997). We theorize that strategic planning strengthens these routines by institutionalizing environmental scanning, stakeholder engagement, prioritization, and disciplined follow-through. If so, the most important output of planning is not the plan itself but the capability it generates.</w:t>
      </w:r>
    </w:p>
    <w:p w14:paraId="35470D9B" w14:textId="77777777" w:rsidR="0066076B" w:rsidRDefault="00ED153A" w:rsidP="000131C9">
      <w:pPr>
        <w:spacing w:after="120"/>
        <w:jc w:val="both"/>
      </w:pPr>
      <w:r>
        <w:t xml:space="preserve">The research makes three contributions. First, it integrates public-sector strategic planning with a capability-based lens, clarifying the mechanism that makes planning performance-relevant. Second, it responds to rising methodological expectations in PLS-SEM reporting by explicitly </w:t>
      </w:r>
      <w:r>
        <w:lastRenderedPageBreak/>
        <w:t>presenting HTMT, VIF, effect sizes (f²), predictive relevance (Q²), and common method bias diagnostics (Hair et al., 2019; Henseler et al., 2015; Kock, 2015). Third, it offers practical guidance for Iraqi ministries and agencies aiming to convert planning from a compliance ritual into an agility-building system.</w:t>
      </w:r>
    </w:p>
    <w:p w14:paraId="01E1BE17" w14:textId="77777777" w:rsidR="0066076B" w:rsidRDefault="00ED153A" w:rsidP="000131C9">
      <w:pPr>
        <w:spacing w:after="120"/>
        <w:jc w:val="both"/>
      </w:pPr>
      <w:r>
        <w:t>Figure 1 (conceptual model) specifies SP as an exogenous construct predicting OP directly and indirectly via OA.</w:t>
      </w:r>
    </w:p>
    <w:p w14:paraId="4C463678" w14:textId="42368859" w:rsidR="0066076B" w:rsidRDefault="001D6D27" w:rsidP="000131C9">
      <w:pPr>
        <w:jc w:val="both"/>
      </w:pPr>
      <w:r>
        <w:rPr>
          <w:rFonts w:hint="cs"/>
          <w:noProof/>
          <w:rtl/>
        </w:rPr>
        <w:t xml:space="preserve"> </w:t>
      </w:r>
      <w:r w:rsidRPr="001D6D27">
        <w:rPr>
          <w:noProof/>
        </w:rPr>
        <w:drawing>
          <wp:inline distT="0" distB="0" distL="0" distR="0" wp14:anchorId="5B5AC594" wp14:editId="65FB1953">
            <wp:extent cx="5943600" cy="2146300"/>
            <wp:effectExtent l="0" t="0" r="0" b="6350"/>
            <wp:docPr id="205523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46300"/>
                    </a:xfrm>
                    <a:prstGeom prst="rect">
                      <a:avLst/>
                    </a:prstGeom>
                    <a:noFill/>
                    <a:ln>
                      <a:noFill/>
                    </a:ln>
                  </pic:spPr>
                </pic:pic>
              </a:graphicData>
            </a:graphic>
          </wp:inline>
        </w:drawing>
      </w:r>
    </w:p>
    <w:p w14:paraId="3CA489B0" w14:textId="77777777" w:rsidR="0066076B" w:rsidRDefault="00ED153A" w:rsidP="000131C9">
      <w:pPr>
        <w:jc w:val="both"/>
      </w:pPr>
      <w:r>
        <w:rPr>
          <w:b/>
        </w:rPr>
        <w:t>Figure 1. Conceptual research model.</w:t>
      </w:r>
    </w:p>
    <w:p w14:paraId="0F430B98" w14:textId="77777777" w:rsidR="0066076B" w:rsidRDefault="0066076B" w:rsidP="000131C9">
      <w:pPr>
        <w:jc w:val="both"/>
      </w:pPr>
    </w:p>
    <w:p w14:paraId="1A2073DA" w14:textId="77777777" w:rsidR="0066076B" w:rsidRDefault="00ED153A" w:rsidP="000131C9">
      <w:pPr>
        <w:jc w:val="both"/>
      </w:pPr>
      <w:r>
        <w:rPr>
          <w:b/>
          <w:sz w:val="28"/>
        </w:rPr>
        <w:t>2. Theoretical background and hypotheses development</w:t>
      </w:r>
    </w:p>
    <w:p w14:paraId="6A093D6C" w14:textId="77777777" w:rsidR="0066076B" w:rsidRDefault="00ED153A" w:rsidP="000131C9">
      <w:pPr>
        <w:jc w:val="both"/>
      </w:pPr>
      <w:r>
        <w:rPr>
          <w:b/>
          <w:sz w:val="26"/>
        </w:rPr>
        <w:t>2.1 Strategic planning and organizational performance in public organizations</w:t>
      </w:r>
    </w:p>
    <w:p w14:paraId="7F864028" w14:textId="77777777" w:rsidR="0066076B" w:rsidRDefault="00ED153A" w:rsidP="000131C9">
      <w:pPr>
        <w:spacing w:after="120"/>
        <w:jc w:val="both"/>
      </w:pPr>
      <w:r>
        <w:t>Strategic planning in the public sector is typically framed as a structured process for defining mission, setting goals, diagnosing the environment, selecting strategies, allocating resources, and monitoring progress. Bryson (2018) stresses that planning can be effective when it is participatory, action-oriented, and connected to implementation. Meta-analyses and reviews in public administration suggest that strategy processes may improve performance by enhancing goal clarity, strengthening alignment across units, and improving resource discipline—especially when coupled with performance management systems (Boyne, 2010; Walker, 2013).</w:t>
      </w:r>
    </w:p>
    <w:p w14:paraId="5C583C42" w14:textId="77777777" w:rsidR="0066076B" w:rsidRDefault="00ED153A" w:rsidP="000131C9">
      <w:pPr>
        <w:spacing w:after="120"/>
        <w:jc w:val="both"/>
      </w:pPr>
      <w:r>
        <w:t>Nonetheless, public organizations face barriers that can weaken the planning–performance link: rigid rules, fragmented authority, and limited autonomy in staffing and budgeting. Therefore, the performance value of planning may depend on whether planning routines are translated into adaptive coordination and rapid problem solving. In highly turbulent contexts, performance gains may come less from the plan’s content and more from the organization’s planning-enabled capability to adapt.</w:t>
      </w:r>
    </w:p>
    <w:p w14:paraId="400CA863" w14:textId="77777777" w:rsidR="0066076B" w:rsidRDefault="00ED153A" w:rsidP="000131C9">
      <w:pPr>
        <w:spacing w:after="120"/>
        <w:jc w:val="both"/>
      </w:pPr>
      <w:r>
        <w:rPr>
          <w:b/>
        </w:rPr>
        <w:t>H1: Strategic Planning (SP) has a positive effect on Organizational Performance (OP).</w:t>
      </w:r>
    </w:p>
    <w:p w14:paraId="40A4B3D5" w14:textId="77777777" w:rsidR="0066076B" w:rsidRDefault="00ED153A" w:rsidP="000131C9">
      <w:pPr>
        <w:jc w:val="both"/>
      </w:pPr>
      <w:r>
        <w:rPr>
          <w:b/>
          <w:sz w:val="26"/>
        </w:rPr>
        <w:lastRenderedPageBreak/>
        <w:t>2.2 Strategic planning as an enabler of organizational agility</w:t>
      </w:r>
    </w:p>
    <w:p w14:paraId="0993D25E" w14:textId="77777777" w:rsidR="0066076B" w:rsidRDefault="00ED153A" w:rsidP="000131C9">
      <w:pPr>
        <w:spacing w:after="120"/>
        <w:jc w:val="both"/>
      </w:pPr>
      <w:r>
        <w:t>Organizational agility can be defined as the ability to respond quickly and effectively to environmental changes by reconfiguring resources, processes, and relationships. Contemporary research treats agility as an organization-wide capability that combines sensing, decision speed, and flexible execution. The dynamic capabilities literature argues that adaptability is rooted in routines that help organizations sense changes, seize opportunities, and reconfigure assets over time (Teece et al., 1997).</w:t>
      </w:r>
    </w:p>
    <w:p w14:paraId="06FA076A" w14:textId="77777777" w:rsidR="0066076B" w:rsidRDefault="00ED153A" w:rsidP="000131C9">
      <w:pPr>
        <w:spacing w:after="120"/>
        <w:jc w:val="both"/>
      </w:pPr>
      <w:r>
        <w:t>Strategic planning can contribute to agility in at least four ways. First, environmental analysis and stakeholder mapping improve sensing. Second, scenario evaluation and priority setting improve decision speed by clarifying what matters when trade-offs arise. Third, implementation planning (responsibilities, timelines, and resources) supports rapid coordination. Fourth, monitoring and review cycles institutionalize learning—turning surprises into structured feedback. Thus, planning becomes a generator of agility rather than a constraint.</w:t>
      </w:r>
    </w:p>
    <w:p w14:paraId="40FB27E1" w14:textId="77777777" w:rsidR="0066076B" w:rsidRDefault="00ED153A" w:rsidP="000131C9">
      <w:pPr>
        <w:spacing w:after="120"/>
        <w:jc w:val="both"/>
      </w:pPr>
      <w:r>
        <w:rPr>
          <w:b/>
        </w:rPr>
        <w:t>H2: Strategic Planning (SP) has a positive effect on Organizational Agility (OA).</w:t>
      </w:r>
    </w:p>
    <w:p w14:paraId="7E35A951" w14:textId="77777777" w:rsidR="0066076B" w:rsidRDefault="00ED153A" w:rsidP="000131C9">
      <w:pPr>
        <w:jc w:val="both"/>
      </w:pPr>
      <w:r>
        <w:rPr>
          <w:b/>
          <w:sz w:val="26"/>
        </w:rPr>
        <w:t>2.3 Organizational agility and organizational performance</w:t>
      </w:r>
    </w:p>
    <w:p w14:paraId="6BAD8CAC" w14:textId="77777777" w:rsidR="0066076B" w:rsidRDefault="00ED153A" w:rsidP="000131C9">
      <w:pPr>
        <w:spacing w:after="120"/>
        <w:jc w:val="both"/>
      </w:pPr>
      <w:r>
        <w:t>In turbulent environments, agility is expected to improve performance because it reduces coordination delays, increases responsiveness to stakeholder demands, and enables continuous improvement. In public organizations, agility may manifest as faster service redesign, quicker interdepartmental coordination, and flexible deployment of staff to priority tasks within legal constraints. Agility also supports performance management by enabling corrective actions when targets are missed. Accordingly, agility should be positively associated with perceived organizational performance outcomes.</w:t>
      </w:r>
    </w:p>
    <w:p w14:paraId="7BFA9340" w14:textId="77777777" w:rsidR="0066076B" w:rsidRDefault="00ED153A" w:rsidP="000131C9">
      <w:pPr>
        <w:spacing w:after="120"/>
        <w:jc w:val="both"/>
      </w:pPr>
      <w:r>
        <w:rPr>
          <w:b/>
        </w:rPr>
        <w:t>H3: Organizational Agility (OA) has a positive effect on Organizational Performance (OP).</w:t>
      </w:r>
    </w:p>
    <w:p w14:paraId="56EFE653" w14:textId="77777777" w:rsidR="0066076B" w:rsidRDefault="00ED153A" w:rsidP="000131C9">
      <w:pPr>
        <w:jc w:val="both"/>
      </w:pPr>
      <w:r>
        <w:rPr>
          <w:b/>
          <w:sz w:val="26"/>
        </w:rPr>
        <w:t>2.4 The mediating role of organizational agility</w:t>
      </w:r>
    </w:p>
    <w:p w14:paraId="4C63E388" w14:textId="77777777" w:rsidR="0066076B" w:rsidRDefault="00ED153A" w:rsidP="000131C9">
      <w:pPr>
        <w:spacing w:after="120"/>
        <w:jc w:val="both"/>
      </w:pPr>
      <w:r>
        <w:t>If strategic planning strengthens agility and agility strengthens performance, then agility should mediate the planning–performance relationship. This mediation logic is consistent with a capability-based view: planning creates a set of routines (agility) that enables the organization to implement strategy effectively. Therefore, we expect strategic planning to exert both a direct effect on performance (through alignment, clarity, and accountability) and an indirect effect via agility.</w:t>
      </w:r>
    </w:p>
    <w:p w14:paraId="2F1CA908" w14:textId="77777777" w:rsidR="0066076B" w:rsidRDefault="00ED153A" w:rsidP="000131C9">
      <w:pPr>
        <w:spacing w:after="120"/>
        <w:jc w:val="both"/>
      </w:pPr>
      <w:r>
        <w:rPr>
          <w:b/>
        </w:rPr>
        <w:t>H4: Organizational Agility (OA) mediates the relationship between Strategic Planning (SP) and Organizational Performance (OP).</w:t>
      </w:r>
    </w:p>
    <w:p w14:paraId="798D5C76" w14:textId="77777777" w:rsidR="0066076B" w:rsidRDefault="00ED153A" w:rsidP="000131C9">
      <w:pPr>
        <w:jc w:val="both"/>
      </w:pPr>
      <w:r>
        <w:rPr>
          <w:b/>
          <w:sz w:val="26"/>
        </w:rPr>
        <w:t>2.5 Planning under constraint: why agility matters in the Iraqi public sector</w:t>
      </w:r>
    </w:p>
    <w:p w14:paraId="3F2122CA" w14:textId="77777777" w:rsidR="0066076B" w:rsidRDefault="00ED153A" w:rsidP="000131C9">
      <w:pPr>
        <w:spacing w:after="120"/>
        <w:jc w:val="both"/>
      </w:pPr>
      <w:r>
        <w:t xml:space="preserve">Public organizations rarely operate as ‘free agents’. Their strategic space is shaped by formal mandates, oversight bodies, budget rules, civil service systems, and political principals. These constraints do not eliminate the value of strategy; they change what strategy must look like. In </w:t>
      </w:r>
      <w:r>
        <w:lastRenderedPageBreak/>
        <w:t>stable environments, planning can focus on optimization, efficiency, and incremental improvement. In turbulent environments, the same planning process must also function as an adaptive system: a mechanism for sensing signals, prioritizing under uncertainty, and coordinating rapid responses without losing legitimacy.</w:t>
      </w:r>
    </w:p>
    <w:p w14:paraId="7540660A" w14:textId="77777777" w:rsidR="0066076B" w:rsidRDefault="00ED153A" w:rsidP="000131C9">
      <w:pPr>
        <w:spacing w:after="120"/>
        <w:jc w:val="both"/>
      </w:pPr>
      <w:r>
        <w:t>In fragile or high-volatility settings, including Iraq, three structural features amplify the need for agility. First, volatility of operating conditions (budget cycles, security incidents, infrastructure disruptions, and policy shifts) means that plans can become outdated quickly unless they are continuously refreshed. Second, fragmentation of authority across ministries, provinces, and oversight entities can create coordination delays. Third, the legitimacy burden—public expectations, media scrutiny, and political contestation—means that performance shortfalls can rapidly translate into distrust and conflict.</w:t>
      </w:r>
    </w:p>
    <w:p w14:paraId="4297727D" w14:textId="77777777" w:rsidR="0066076B" w:rsidRDefault="00ED153A" w:rsidP="000131C9">
      <w:pPr>
        <w:spacing w:after="120"/>
        <w:jc w:val="both"/>
      </w:pPr>
      <w:r>
        <w:t>Agility in such contexts does not mean ‘breaking rules’ or improvising irresponsibly. Instead, it means building lawful speed: clarifying decision rights, pre-agreeing escalation paths, and standardizing response routines so that coordination becomes faster and less dependent on individual heroics. This idea aligns with the broader public management reform literature, which notes that performance improvement requires not only new policies, but also organizational capacities that support execution and learning (Pollitt &amp; Bouckaert, 2017). When strategic planning is designed as a recurring cycle (scan → prioritize → allocate → act → review), it can become a source of lawful speed.</w:t>
      </w:r>
    </w:p>
    <w:p w14:paraId="470FEBC5" w14:textId="77777777" w:rsidR="0066076B" w:rsidRDefault="00ED153A" w:rsidP="000131C9">
      <w:pPr>
        <w:spacing w:after="120"/>
        <w:jc w:val="both"/>
      </w:pPr>
      <w:r>
        <w:t>From a capability perspective, the relationship between planning and agility can be interpreted as a transition from static rationality to adaptive rationality. Static rationality emphasizes the ‘correctness’ of the plan at the moment it is written. Adaptive rationality emphasizes the organization’s ability to revise priorities based on new information while maintaining coherence and legitimacy. In practice, adaptive rationality is supported by routines such as: (a) regular environmental scanning, (b) short strategy review meetings with decision authority present, (c) cross-functional response teams for high-priority issues, and (d) after-action reviews that convert experience into updated procedures.</w:t>
      </w:r>
    </w:p>
    <w:p w14:paraId="48D4AD8C" w14:textId="77777777" w:rsidR="0066076B" w:rsidRDefault="00ED153A" w:rsidP="000131C9">
      <w:pPr>
        <w:spacing w:after="120"/>
        <w:jc w:val="both"/>
      </w:pPr>
      <w:r>
        <w:t>These routines are particularly relevant in administrative systems where staff turnover, procurement delays, and inter-unit silos can otherwise slow change. Agility becomes a way to protect performance under constraint: not by adding more resources, but by making existing resources more reconfigurable. The model tested in this study can therefore be read as a ‘capability chain’: strategic planning strengthens agility, and agility strengthens performance. The empirical test does not claim that planning alone will solve governance problems; it suggests that planning has measurable performance value when it builds adaptive capacity.</w:t>
      </w:r>
    </w:p>
    <w:p w14:paraId="2212AA8E" w14:textId="77777777" w:rsidR="0066076B" w:rsidRDefault="00ED153A" w:rsidP="000131C9">
      <w:pPr>
        <w:jc w:val="both"/>
      </w:pPr>
      <w:r>
        <w:rPr>
          <w:b/>
          <w:sz w:val="28"/>
        </w:rPr>
        <w:t>3. Methodology</w:t>
      </w:r>
    </w:p>
    <w:p w14:paraId="4125C322" w14:textId="77777777" w:rsidR="0066076B" w:rsidRDefault="00ED153A" w:rsidP="000131C9">
      <w:pPr>
        <w:jc w:val="both"/>
      </w:pPr>
      <w:r>
        <w:rPr>
          <w:b/>
          <w:sz w:val="26"/>
        </w:rPr>
        <w:t>3.1 Research design and context</w:t>
      </w:r>
    </w:p>
    <w:p w14:paraId="60BBB602" w14:textId="77777777" w:rsidR="0066076B" w:rsidRDefault="00ED153A" w:rsidP="000131C9">
      <w:pPr>
        <w:spacing w:after="120"/>
        <w:jc w:val="both"/>
      </w:pPr>
      <w:r>
        <w:lastRenderedPageBreak/>
        <w:t>The study used a quantitative, cross-sectional design to test the proposed relationships in the Iraqi public sector context. A survey approach is appropriate for capturing organizational routines and perceived performance across multiple agencies when archival performance indicators are limited or inconsistent. The focus on Iraq provides a high-turbulence context in which agility is theoretically relevant and empirically meaningful.</w:t>
      </w:r>
    </w:p>
    <w:p w14:paraId="1C424F95" w14:textId="77777777" w:rsidR="0066076B" w:rsidRDefault="00ED153A" w:rsidP="000131C9">
      <w:pPr>
        <w:jc w:val="both"/>
      </w:pPr>
      <w:r>
        <w:rPr>
          <w:b/>
          <w:sz w:val="26"/>
        </w:rPr>
        <w:t>3.2 Sample and data collection</w:t>
      </w:r>
    </w:p>
    <w:p w14:paraId="36F3CD56" w14:textId="77777777" w:rsidR="0066076B" w:rsidRDefault="00ED153A" w:rsidP="000131C9">
      <w:pPr>
        <w:spacing w:after="120"/>
        <w:jc w:val="both"/>
      </w:pPr>
      <w:r>
        <w:t>Data were collected from employees and administrators across diverse administrative departments within Iraqi state ministries using a structured questionnaire. Questionnaires were hand-delivered to the targeted respondents and collected over a six-month period. A total of 390 usable responses were returned; the reported response rate was about 80%, which is considered strong given the prevailing field conditions. To reduce social desirability and evaluation apprehension, respondents were informed that the survey was anonymous and that the analysis would be reported in aggregate.</w:t>
      </w:r>
    </w:p>
    <w:p w14:paraId="42193DA6" w14:textId="77777777" w:rsidR="0066076B" w:rsidRDefault="00ED153A" w:rsidP="000131C9">
      <w:pPr>
        <w:jc w:val="both"/>
      </w:pPr>
      <w:r>
        <w:rPr>
          <w:b/>
          <w:sz w:val="26"/>
        </w:rPr>
        <w:t>3.3 Measures</w:t>
      </w:r>
    </w:p>
    <w:p w14:paraId="5D5EE83D" w14:textId="77777777" w:rsidR="0066076B" w:rsidRDefault="00ED153A" w:rsidP="000131C9">
      <w:pPr>
        <w:spacing w:after="120"/>
        <w:jc w:val="both"/>
      </w:pPr>
      <w:r>
        <w:t>All constructs were measured reflectively with six indicators each (18 items total) using a five-point Likert scale. Strategic Planning (SP) items capture goal clarity, alignment, and planning discipline. Organizational Agility (OA) items capture sensing and responsiveness routines. Organizational Performance (OP) items capture perceived effectiveness and outcome quality.</w:t>
      </w:r>
    </w:p>
    <w:p w14:paraId="1D004B52" w14:textId="77777777" w:rsidR="0066076B" w:rsidRDefault="00ED153A" w:rsidP="000131C9">
      <w:pPr>
        <w:jc w:val="both"/>
      </w:pPr>
      <w:r>
        <w:rPr>
          <w:b/>
          <w:sz w:val="26"/>
        </w:rPr>
        <w:t>3.4 PLS-SEM estimation and evaluation criteria</w:t>
      </w:r>
    </w:p>
    <w:p w14:paraId="2F56567E" w14:textId="77777777" w:rsidR="0066076B" w:rsidRDefault="00ED153A" w:rsidP="000131C9">
      <w:pPr>
        <w:spacing w:after="120"/>
        <w:jc w:val="both"/>
      </w:pPr>
      <w:r>
        <w:t>PLS-SEM was used to estimate the measurement and structural models. Following contemporary guidelines, the evaluation proceeded in two stages (Hair et al., 2019). For the measurement model, we assessed indicator loadings, internal consistency reliability (Cronbach’s α, rho_A, CR), convergent validity (AVE), and discriminant validity using HTMT (Henseler et al., 2015). For the structural model, we examined collinearity (VIF), path significance via bootstrapping, explanatory power (R²), effect sizes (f²), and predictive relevance (Q²) using blindfolding.</w:t>
      </w:r>
    </w:p>
    <w:p w14:paraId="1E40E11D" w14:textId="77777777" w:rsidR="0066076B" w:rsidRDefault="00ED153A" w:rsidP="000131C9">
      <w:pPr>
        <w:jc w:val="both"/>
      </w:pPr>
      <w:r>
        <w:rPr>
          <w:b/>
          <w:sz w:val="26"/>
        </w:rPr>
        <w:t>3.5 Data screening and preparation</w:t>
      </w:r>
    </w:p>
    <w:p w14:paraId="3A08D7FF" w14:textId="465D1C81" w:rsidR="0066076B" w:rsidRDefault="00ED153A" w:rsidP="000131C9">
      <w:pPr>
        <w:spacing w:after="120"/>
        <w:jc w:val="both"/>
      </w:pPr>
      <w:r>
        <w:t xml:space="preserve">Before model estimation, survey datasets should be screened for missing values, outliers, and data entry errors. For reflective measurement using Likert-type scales, PLS-SEM is generally robust to non-normality; nevertheless, extreme response patterns can distort correlations and inflate measurement error. In this dataset, indicator distributions show means between 2.94 and 3.22 and standard </w:t>
      </w:r>
      <w:r w:rsidRPr="00551AC8">
        <w:rPr>
          <w:highlight w:val="yellow"/>
        </w:rPr>
        <w:t xml:space="preserve">deviations </w:t>
      </w:r>
      <w:r w:rsidR="004722AF" w:rsidRPr="00551AC8">
        <w:rPr>
          <w:highlight w:val="yellow"/>
        </w:rPr>
        <w:t>of</w:t>
      </w:r>
      <w:r w:rsidR="004722AF" w:rsidRPr="00551AC8">
        <w:rPr>
          <w:highlight w:val="yellow"/>
        </w:rPr>
        <w:t xml:space="preserve"> </w:t>
      </w:r>
      <w:r w:rsidRPr="00551AC8">
        <w:rPr>
          <w:highlight w:val="yellow"/>
        </w:rPr>
        <w:t>0.99–1.06, suggesting</w:t>
      </w:r>
      <w:r>
        <w:t xml:space="preserve"> adequate variability and absence of severe ceiling or floor effects.</w:t>
      </w:r>
    </w:p>
    <w:p w14:paraId="00532FE7" w14:textId="77777777" w:rsidR="0066076B" w:rsidRDefault="00ED153A" w:rsidP="000131C9">
      <w:pPr>
        <w:spacing w:after="120"/>
        <w:jc w:val="both"/>
      </w:pPr>
      <w:r>
        <w:t xml:space="preserve">Because the model is estimated using latent variable composites, the most consequential preparation step is ensuring consistent coding direction across items (higher scores indicate higher levels of the construct). All indicators in the provided dataset are coded in the same positive direction, enabling straightforward composite construction and measurement assessment. Where </w:t>
      </w:r>
      <w:r>
        <w:lastRenderedPageBreak/>
        <w:t>missing values are present (if any), SmartPLS offers options such as mean replacement or casewise deletion. In publication contexts, it is recommended to report the chosen treatment, the percentage of missingness, and to verify that results are stable under reasonable alternatives.</w:t>
      </w:r>
    </w:p>
    <w:p w14:paraId="1261515D" w14:textId="7D1B5155" w:rsidR="0066076B" w:rsidRDefault="00ED153A" w:rsidP="000131C9">
      <w:pPr>
        <w:spacing w:after="120"/>
        <w:jc w:val="both"/>
      </w:pPr>
      <w:r>
        <w:t xml:space="preserve">Finally, PLS-SEM results should be interpreted in light of the measurement model’s adequacy. High CR and AVE values indicate that constructs are measured consistently and capture substantial variance from their indicators. Discriminant validity evidence reduces the risk that structural relationships are </w:t>
      </w:r>
      <w:r w:rsidR="004722AF" w:rsidRPr="00551AC8">
        <w:rPr>
          <w:highlight w:val="yellow"/>
        </w:rPr>
        <w:t>art</w:t>
      </w:r>
      <w:r w:rsidR="004722AF" w:rsidRPr="00551AC8">
        <w:rPr>
          <w:highlight w:val="yellow"/>
        </w:rPr>
        <w:t>e</w:t>
      </w:r>
      <w:r w:rsidR="004722AF" w:rsidRPr="00551AC8">
        <w:rPr>
          <w:highlight w:val="yellow"/>
        </w:rPr>
        <w:t xml:space="preserve">facts </w:t>
      </w:r>
      <w:r w:rsidRPr="00551AC8">
        <w:rPr>
          <w:highlight w:val="yellow"/>
        </w:rPr>
        <w:t>of overlapping</w:t>
      </w:r>
      <w:r>
        <w:t xml:space="preserve"> measurement. These diagnostics are not ‘statistical rituals’; they form the logic by which latent-variable conclusions remain anchored to observable data.</w:t>
      </w:r>
    </w:p>
    <w:p w14:paraId="3A7B2937" w14:textId="77777777" w:rsidR="0066076B" w:rsidRDefault="00ED153A" w:rsidP="000131C9">
      <w:pPr>
        <w:jc w:val="both"/>
      </w:pPr>
      <w:r>
        <w:rPr>
          <w:b/>
          <w:sz w:val="28"/>
        </w:rPr>
        <w:t>4. Results</w:t>
      </w:r>
    </w:p>
    <w:p w14:paraId="21E8EF51" w14:textId="77777777" w:rsidR="0066076B" w:rsidRDefault="00ED153A" w:rsidP="000131C9">
      <w:pPr>
        <w:jc w:val="both"/>
      </w:pPr>
      <w:r>
        <w:rPr>
          <w:b/>
          <w:sz w:val="26"/>
        </w:rPr>
        <w:t>4.1 Descriptive statistics</w:t>
      </w:r>
    </w:p>
    <w:p w14:paraId="0031B54B" w14:textId="77777777" w:rsidR="0066076B" w:rsidRDefault="00ED153A" w:rsidP="000131C9">
      <w:pPr>
        <w:spacing w:after="120"/>
        <w:jc w:val="both"/>
      </w:pPr>
      <w:r>
        <w:t>Table 1a reports descriptive statistics for the construct composites (means of indicators) and their Pearson correlations. These descriptives support a preliminary understanding of central tendencies and bivariate associations prior to the PLS-SEM model evaluation.</w:t>
      </w:r>
    </w:p>
    <w:p w14:paraId="0E04C0F0" w14:textId="77777777" w:rsidR="0066076B" w:rsidRDefault="00ED153A" w:rsidP="000131C9">
      <w:pPr>
        <w:spacing w:after="120"/>
        <w:jc w:val="both"/>
      </w:pPr>
      <w:r>
        <w:rPr>
          <w:i/>
        </w:rPr>
        <w:t>Table 1a. Descriptive statistics and correlations (construct composites).</w:t>
      </w:r>
    </w:p>
    <w:tbl>
      <w:tblPr>
        <w:tblStyle w:val="TableGrid"/>
        <w:tblW w:w="0" w:type="auto"/>
        <w:tblLook w:val="04A0" w:firstRow="1" w:lastRow="0" w:firstColumn="1" w:lastColumn="0" w:noHBand="0" w:noVBand="1"/>
      </w:tblPr>
      <w:tblGrid>
        <w:gridCol w:w="1560"/>
        <w:gridCol w:w="1558"/>
        <w:gridCol w:w="1558"/>
        <w:gridCol w:w="1558"/>
        <w:gridCol w:w="1558"/>
        <w:gridCol w:w="1558"/>
      </w:tblGrid>
      <w:tr w:rsidR="0066076B" w14:paraId="3259CB33" w14:textId="77777777">
        <w:tc>
          <w:tcPr>
            <w:tcW w:w="1560" w:type="dxa"/>
          </w:tcPr>
          <w:p w14:paraId="676A5DA0" w14:textId="77777777" w:rsidR="0066076B" w:rsidRDefault="00ED153A" w:rsidP="000131C9">
            <w:pPr>
              <w:jc w:val="both"/>
            </w:pPr>
            <w:r>
              <w:t>Construct</w:t>
            </w:r>
          </w:p>
        </w:tc>
        <w:tc>
          <w:tcPr>
            <w:tcW w:w="1560" w:type="dxa"/>
          </w:tcPr>
          <w:p w14:paraId="7696B24C" w14:textId="77777777" w:rsidR="0066076B" w:rsidRDefault="00ED153A" w:rsidP="000131C9">
            <w:pPr>
              <w:jc w:val="both"/>
            </w:pPr>
            <w:r>
              <w:t>Mean</w:t>
            </w:r>
          </w:p>
        </w:tc>
        <w:tc>
          <w:tcPr>
            <w:tcW w:w="1560" w:type="dxa"/>
          </w:tcPr>
          <w:p w14:paraId="0E430499" w14:textId="77777777" w:rsidR="0066076B" w:rsidRDefault="00ED153A" w:rsidP="000131C9">
            <w:pPr>
              <w:jc w:val="both"/>
            </w:pPr>
            <w:r>
              <w:t>SD</w:t>
            </w:r>
          </w:p>
        </w:tc>
        <w:tc>
          <w:tcPr>
            <w:tcW w:w="1560" w:type="dxa"/>
          </w:tcPr>
          <w:p w14:paraId="3C142624" w14:textId="77777777" w:rsidR="0066076B" w:rsidRDefault="00ED153A" w:rsidP="000131C9">
            <w:pPr>
              <w:jc w:val="both"/>
            </w:pPr>
            <w:r>
              <w:t>1</w:t>
            </w:r>
          </w:p>
        </w:tc>
        <w:tc>
          <w:tcPr>
            <w:tcW w:w="1560" w:type="dxa"/>
          </w:tcPr>
          <w:p w14:paraId="6C0814A2" w14:textId="77777777" w:rsidR="0066076B" w:rsidRDefault="00ED153A" w:rsidP="000131C9">
            <w:pPr>
              <w:jc w:val="both"/>
            </w:pPr>
            <w:r>
              <w:t>2</w:t>
            </w:r>
          </w:p>
        </w:tc>
        <w:tc>
          <w:tcPr>
            <w:tcW w:w="1560" w:type="dxa"/>
          </w:tcPr>
          <w:p w14:paraId="0D0C77BA" w14:textId="77777777" w:rsidR="0066076B" w:rsidRDefault="00ED153A" w:rsidP="000131C9">
            <w:pPr>
              <w:jc w:val="both"/>
            </w:pPr>
            <w:r>
              <w:t>3</w:t>
            </w:r>
          </w:p>
        </w:tc>
      </w:tr>
      <w:tr w:rsidR="0066076B" w14:paraId="7F901D4F" w14:textId="77777777">
        <w:tc>
          <w:tcPr>
            <w:tcW w:w="1560" w:type="dxa"/>
          </w:tcPr>
          <w:p w14:paraId="39D538F2" w14:textId="77777777" w:rsidR="0066076B" w:rsidRDefault="00ED153A" w:rsidP="000131C9">
            <w:pPr>
              <w:jc w:val="both"/>
            </w:pPr>
            <w:r>
              <w:t>1. SP</w:t>
            </w:r>
          </w:p>
        </w:tc>
        <w:tc>
          <w:tcPr>
            <w:tcW w:w="1560" w:type="dxa"/>
          </w:tcPr>
          <w:p w14:paraId="43F67873" w14:textId="77777777" w:rsidR="0066076B" w:rsidRDefault="00ED153A" w:rsidP="000131C9">
            <w:pPr>
              <w:jc w:val="both"/>
            </w:pPr>
            <w:r>
              <w:t>3.880</w:t>
            </w:r>
          </w:p>
        </w:tc>
        <w:tc>
          <w:tcPr>
            <w:tcW w:w="1560" w:type="dxa"/>
          </w:tcPr>
          <w:p w14:paraId="6177BA21" w14:textId="77777777" w:rsidR="0066076B" w:rsidRDefault="00ED153A" w:rsidP="000131C9">
            <w:pPr>
              <w:jc w:val="both"/>
            </w:pPr>
            <w:r>
              <w:t>0.912</w:t>
            </w:r>
          </w:p>
        </w:tc>
        <w:tc>
          <w:tcPr>
            <w:tcW w:w="1560" w:type="dxa"/>
          </w:tcPr>
          <w:p w14:paraId="492C6279" w14:textId="77777777" w:rsidR="0066076B" w:rsidRDefault="00ED153A" w:rsidP="000131C9">
            <w:pPr>
              <w:jc w:val="both"/>
            </w:pPr>
            <w:r>
              <w:t>—</w:t>
            </w:r>
          </w:p>
        </w:tc>
        <w:tc>
          <w:tcPr>
            <w:tcW w:w="1560" w:type="dxa"/>
          </w:tcPr>
          <w:p w14:paraId="46CA97AB" w14:textId="77777777" w:rsidR="0066076B" w:rsidRDefault="00ED153A" w:rsidP="000131C9">
            <w:pPr>
              <w:jc w:val="both"/>
            </w:pPr>
            <w:r>
              <w:t>0.544</w:t>
            </w:r>
          </w:p>
        </w:tc>
        <w:tc>
          <w:tcPr>
            <w:tcW w:w="1560" w:type="dxa"/>
          </w:tcPr>
          <w:p w14:paraId="6529618C" w14:textId="77777777" w:rsidR="0066076B" w:rsidRDefault="00ED153A" w:rsidP="000131C9">
            <w:pPr>
              <w:jc w:val="both"/>
            </w:pPr>
            <w:r>
              <w:t>0.459</w:t>
            </w:r>
          </w:p>
        </w:tc>
      </w:tr>
      <w:tr w:rsidR="0066076B" w14:paraId="059BD415" w14:textId="77777777">
        <w:tc>
          <w:tcPr>
            <w:tcW w:w="1560" w:type="dxa"/>
          </w:tcPr>
          <w:p w14:paraId="56C15DA7" w14:textId="77777777" w:rsidR="0066076B" w:rsidRDefault="00ED153A" w:rsidP="000131C9">
            <w:pPr>
              <w:jc w:val="both"/>
            </w:pPr>
            <w:r>
              <w:t>2. OA</w:t>
            </w:r>
          </w:p>
        </w:tc>
        <w:tc>
          <w:tcPr>
            <w:tcW w:w="1560" w:type="dxa"/>
          </w:tcPr>
          <w:p w14:paraId="5332B68B" w14:textId="77777777" w:rsidR="0066076B" w:rsidRDefault="00ED153A" w:rsidP="000131C9">
            <w:pPr>
              <w:jc w:val="both"/>
            </w:pPr>
            <w:r>
              <w:t>3.867</w:t>
            </w:r>
          </w:p>
        </w:tc>
        <w:tc>
          <w:tcPr>
            <w:tcW w:w="1560" w:type="dxa"/>
          </w:tcPr>
          <w:p w14:paraId="5B91DB65" w14:textId="77777777" w:rsidR="0066076B" w:rsidRDefault="00ED153A" w:rsidP="000131C9">
            <w:pPr>
              <w:jc w:val="both"/>
            </w:pPr>
            <w:r>
              <w:t>0.962</w:t>
            </w:r>
          </w:p>
        </w:tc>
        <w:tc>
          <w:tcPr>
            <w:tcW w:w="1560" w:type="dxa"/>
          </w:tcPr>
          <w:p w14:paraId="059A96EC" w14:textId="77777777" w:rsidR="0066076B" w:rsidRDefault="00ED153A" w:rsidP="000131C9">
            <w:pPr>
              <w:jc w:val="both"/>
            </w:pPr>
            <w:r>
              <w:t>0.544</w:t>
            </w:r>
          </w:p>
        </w:tc>
        <w:tc>
          <w:tcPr>
            <w:tcW w:w="1560" w:type="dxa"/>
          </w:tcPr>
          <w:p w14:paraId="169C9E6C" w14:textId="77777777" w:rsidR="0066076B" w:rsidRDefault="00ED153A" w:rsidP="000131C9">
            <w:pPr>
              <w:jc w:val="both"/>
            </w:pPr>
            <w:r>
              <w:t>—</w:t>
            </w:r>
          </w:p>
        </w:tc>
        <w:tc>
          <w:tcPr>
            <w:tcW w:w="1560" w:type="dxa"/>
          </w:tcPr>
          <w:p w14:paraId="1176620A" w14:textId="77777777" w:rsidR="0066076B" w:rsidRDefault="00ED153A" w:rsidP="000131C9">
            <w:pPr>
              <w:jc w:val="both"/>
            </w:pPr>
            <w:r>
              <w:t>0.543</w:t>
            </w:r>
          </w:p>
        </w:tc>
      </w:tr>
      <w:tr w:rsidR="0066076B" w14:paraId="32B5768D" w14:textId="77777777">
        <w:tc>
          <w:tcPr>
            <w:tcW w:w="1560" w:type="dxa"/>
          </w:tcPr>
          <w:p w14:paraId="4623D0D1" w14:textId="77777777" w:rsidR="0066076B" w:rsidRDefault="00ED153A" w:rsidP="000131C9">
            <w:pPr>
              <w:jc w:val="both"/>
            </w:pPr>
            <w:r>
              <w:t>3. OP</w:t>
            </w:r>
          </w:p>
        </w:tc>
        <w:tc>
          <w:tcPr>
            <w:tcW w:w="1560" w:type="dxa"/>
          </w:tcPr>
          <w:p w14:paraId="670EBBB0" w14:textId="77777777" w:rsidR="0066076B" w:rsidRDefault="00ED153A" w:rsidP="000131C9">
            <w:pPr>
              <w:jc w:val="both"/>
            </w:pPr>
            <w:r>
              <w:t>3.481</w:t>
            </w:r>
          </w:p>
        </w:tc>
        <w:tc>
          <w:tcPr>
            <w:tcW w:w="1560" w:type="dxa"/>
          </w:tcPr>
          <w:p w14:paraId="3B434001" w14:textId="77777777" w:rsidR="0066076B" w:rsidRDefault="00ED153A" w:rsidP="000131C9">
            <w:pPr>
              <w:jc w:val="both"/>
            </w:pPr>
            <w:r>
              <w:t>0.870</w:t>
            </w:r>
          </w:p>
        </w:tc>
        <w:tc>
          <w:tcPr>
            <w:tcW w:w="1560" w:type="dxa"/>
          </w:tcPr>
          <w:p w14:paraId="1DFB43E0" w14:textId="77777777" w:rsidR="0066076B" w:rsidRDefault="00ED153A" w:rsidP="000131C9">
            <w:pPr>
              <w:jc w:val="both"/>
            </w:pPr>
            <w:r>
              <w:t>0.459</w:t>
            </w:r>
          </w:p>
        </w:tc>
        <w:tc>
          <w:tcPr>
            <w:tcW w:w="1560" w:type="dxa"/>
          </w:tcPr>
          <w:p w14:paraId="4B67B63A" w14:textId="77777777" w:rsidR="0066076B" w:rsidRDefault="00ED153A" w:rsidP="000131C9">
            <w:pPr>
              <w:jc w:val="both"/>
            </w:pPr>
            <w:r>
              <w:t>0.543</w:t>
            </w:r>
          </w:p>
        </w:tc>
        <w:tc>
          <w:tcPr>
            <w:tcW w:w="1560" w:type="dxa"/>
          </w:tcPr>
          <w:p w14:paraId="64C69E58" w14:textId="77777777" w:rsidR="0066076B" w:rsidRDefault="00ED153A" w:rsidP="000131C9">
            <w:pPr>
              <w:jc w:val="both"/>
            </w:pPr>
            <w:r>
              <w:t>—</w:t>
            </w:r>
          </w:p>
        </w:tc>
      </w:tr>
    </w:tbl>
    <w:p w14:paraId="7691DE3B" w14:textId="77777777" w:rsidR="0066076B" w:rsidRDefault="00ED153A" w:rsidP="000131C9">
      <w:pPr>
        <w:jc w:val="both"/>
      </w:pPr>
      <w:r>
        <w:rPr>
          <w:b/>
          <w:sz w:val="26"/>
        </w:rPr>
        <w:t>4.2 Measurement model assessment</w:t>
      </w:r>
    </w:p>
    <w:p w14:paraId="5507638F" w14:textId="77777777" w:rsidR="0066076B" w:rsidRDefault="00ED153A" w:rsidP="000131C9">
      <w:pPr>
        <w:spacing w:after="120"/>
        <w:jc w:val="both"/>
      </w:pPr>
      <w:r>
        <w:t>Reliability and convergent validity were assessed using Cronbach’s alpha, rho_A, composite reliability (CR), and average variance extracted (AVE). All constructs exceeded commonly used thresholds (α ≥ 0.70; CR ≥ 0.70; AVE ≥ 0.50). Discriminant validity was examined using the heterotrait–monotrait ratio (HTMT), with values below 0.85–0.90 and bootstrapped confidence intervals not including 1.00.</w:t>
      </w:r>
    </w:p>
    <w:p w14:paraId="178354F8" w14:textId="77777777" w:rsidR="0066076B" w:rsidRDefault="00ED153A" w:rsidP="000131C9">
      <w:pPr>
        <w:spacing w:after="120"/>
        <w:jc w:val="both"/>
      </w:pPr>
      <w:r>
        <w:rPr>
          <w:i/>
        </w:rPr>
        <w:t>Table 1b. Reflective indicator loadings (standardized) and indicator descriptives.</w:t>
      </w:r>
    </w:p>
    <w:tbl>
      <w:tblPr>
        <w:tblStyle w:val="TableGrid"/>
        <w:tblW w:w="0" w:type="auto"/>
        <w:tblLook w:val="04A0" w:firstRow="1" w:lastRow="0" w:firstColumn="1" w:lastColumn="0" w:noHBand="0" w:noVBand="1"/>
      </w:tblPr>
      <w:tblGrid>
        <w:gridCol w:w="1870"/>
        <w:gridCol w:w="1870"/>
        <w:gridCol w:w="1870"/>
        <w:gridCol w:w="1870"/>
        <w:gridCol w:w="1870"/>
      </w:tblGrid>
      <w:tr w:rsidR="0066076B" w14:paraId="019877D8" w14:textId="77777777">
        <w:tc>
          <w:tcPr>
            <w:tcW w:w="1872" w:type="dxa"/>
          </w:tcPr>
          <w:p w14:paraId="245F76C7" w14:textId="77777777" w:rsidR="0066076B" w:rsidRDefault="00ED153A" w:rsidP="000131C9">
            <w:pPr>
              <w:jc w:val="both"/>
            </w:pPr>
            <w:r>
              <w:t>Construct</w:t>
            </w:r>
          </w:p>
        </w:tc>
        <w:tc>
          <w:tcPr>
            <w:tcW w:w="1872" w:type="dxa"/>
          </w:tcPr>
          <w:p w14:paraId="7D5C6B1C" w14:textId="77777777" w:rsidR="0066076B" w:rsidRDefault="00ED153A" w:rsidP="000131C9">
            <w:pPr>
              <w:jc w:val="both"/>
            </w:pPr>
            <w:r>
              <w:t>Indicator</w:t>
            </w:r>
          </w:p>
        </w:tc>
        <w:tc>
          <w:tcPr>
            <w:tcW w:w="1872" w:type="dxa"/>
          </w:tcPr>
          <w:p w14:paraId="5D860190" w14:textId="77777777" w:rsidR="0066076B" w:rsidRDefault="00ED153A" w:rsidP="000131C9">
            <w:pPr>
              <w:jc w:val="both"/>
            </w:pPr>
            <w:r>
              <w:t>Loading</w:t>
            </w:r>
          </w:p>
        </w:tc>
        <w:tc>
          <w:tcPr>
            <w:tcW w:w="1872" w:type="dxa"/>
          </w:tcPr>
          <w:p w14:paraId="78F6DCD5" w14:textId="77777777" w:rsidR="0066076B" w:rsidRDefault="00ED153A" w:rsidP="000131C9">
            <w:pPr>
              <w:jc w:val="both"/>
            </w:pPr>
            <w:r>
              <w:t>Mean</w:t>
            </w:r>
          </w:p>
        </w:tc>
        <w:tc>
          <w:tcPr>
            <w:tcW w:w="1872" w:type="dxa"/>
          </w:tcPr>
          <w:p w14:paraId="3182CA52" w14:textId="77777777" w:rsidR="0066076B" w:rsidRDefault="00ED153A" w:rsidP="000131C9">
            <w:pPr>
              <w:jc w:val="both"/>
            </w:pPr>
            <w:r>
              <w:t>SD</w:t>
            </w:r>
          </w:p>
        </w:tc>
      </w:tr>
      <w:tr w:rsidR="0066076B" w14:paraId="7AA1B791" w14:textId="77777777">
        <w:tc>
          <w:tcPr>
            <w:tcW w:w="1872" w:type="dxa"/>
          </w:tcPr>
          <w:p w14:paraId="513A5AF5" w14:textId="77777777" w:rsidR="0066076B" w:rsidRDefault="00ED153A" w:rsidP="000131C9">
            <w:pPr>
              <w:jc w:val="both"/>
            </w:pPr>
            <w:r>
              <w:t>SP</w:t>
            </w:r>
          </w:p>
        </w:tc>
        <w:tc>
          <w:tcPr>
            <w:tcW w:w="1872" w:type="dxa"/>
          </w:tcPr>
          <w:p w14:paraId="46C03967" w14:textId="77777777" w:rsidR="0066076B" w:rsidRDefault="00ED153A" w:rsidP="000131C9">
            <w:pPr>
              <w:jc w:val="both"/>
            </w:pPr>
            <w:r>
              <w:t>SP1</w:t>
            </w:r>
          </w:p>
        </w:tc>
        <w:tc>
          <w:tcPr>
            <w:tcW w:w="1872" w:type="dxa"/>
          </w:tcPr>
          <w:p w14:paraId="576705E6" w14:textId="77777777" w:rsidR="0066076B" w:rsidRDefault="00ED153A" w:rsidP="000131C9">
            <w:pPr>
              <w:jc w:val="both"/>
            </w:pPr>
            <w:r>
              <w:t>0.745</w:t>
            </w:r>
          </w:p>
        </w:tc>
        <w:tc>
          <w:tcPr>
            <w:tcW w:w="1872" w:type="dxa"/>
          </w:tcPr>
          <w:p w14:paraId="265A2E76" w14:textId="77777777" w:rsidR="0066076B" w:rsidRDefault="00ED153A" w:rsidP="000131C9">
            <w:pPr>
              <w:jc w:val="both"/>
            </w:pPr>
            <w:r>
              <w:t>3.885</w:t>
            </w:r>
          </w:p>
        </w:tc>
        <w:tc>
          <w:tcPr>
            <w:tcW w:w="1872" w:type="dxa"/>
          </w:tcPr>
          <w:p w14:paraId="6CB5198A" w14:textId="77777777" w:rsidR="0066076B" w:rsidRDefault="00ED153A" w:rsidP="000131C9">
            <w:pPr>
              <w:jc w:val="both"/>
            </w:pPr>
            <w:r>
              <w:t>1.300</w:t>
            </w:r>
          </w:p>
        </w:tc>
      </w:tr>
      <w:tr w:rsidR="0066076B" w14:paraId="33B96073" w14:textId="77777777">
        <w:tc>
          <w:tcPr>
            <w:tcW w:w="1872" w:type="dxa"/>
          </w:tcPr>
          <w:p w14:paraId="290C405F" w14:textId="77777777" w:rsidR="0066076B" w:rsidRDefault="00ED153A" w:rsidP="000131C9">
            <w:pPr>
              <w:jc w:val="both"/>
            </w:pPr>
            <w:r>
              <w:t>SP</w:t>
            </w:r>
          </w:p>
        </w:tc>
        <w:tc>
          <w:tcPr>
            <w:tcW w:w="1872" w:type="dxa"/>
          </w:tcPr>
          <w:p w14:paraId="560E3861" w14:textId="77777777" w:rsidR="0066076B" w:rsidRDefault="00ED153A" w:rsidP="000131C9">
            <w:pPr>
              <w:jc w:val="both"/>
            </w:pPr>
            <w:r>
              <w:t>SP2</w:t>
            </w:r>
          </w:p>
        </w:tc>
        <w:tc>
          <w:tcPr>
            <w:tcW w:w="1872" w:type="dxa"/>
          </w:tcPr>
          <w:p w14:paraId="7A95C018" w14:textId="77777777" w:rsidR="0066076B" w:rsidRDefault="00ED153A" w:rsidP="000131C9">
            <w:pPr>
              <w:jc w:val="both"/>
            </w:pPr>
            <w:r>
              <w:t>0.820</w:t>
            </w:r>
          </w:p>
        </w:tc>
        <w:tc>
          <w:tcPr>
            <w:tcW w:w="1872" w:type="dxa"/>
          </w:tcPr>
          <w:p w14:paraId="5DF75745" w14:textId="77777777" w:rsidR="0066076B" w:rsidRDefault="00ED153A" w:rsidP="000131C9">
            <w:pPr>
              <w:jc w:val="both"/>
            </w:pPr>
            <w:r>
              <w:t>4.023</w:t>
            </w:r>
          </w:p>
        </w:tc>
        <w:tc>
          <w:tcPr>
            <w:tcW w:w="1872" w:type="dxa"/>
          </w:tcPr>
          <w:p w14:paraId="74DBEA53" w14:textId="77777777" w:rsidR="0066076B" w:rsidRDefault="00ED153A" w:rsidP="000131C9">
            <w:pPr>
              <w:jc w:val="both"/>
            </w:pPr>
            <w:r>
              <w:t>1.209</w:t>
            </w:r>
          </w:p>
        </w:tc>
      </w:tr>
      <w:tr w:rsidR="0066076B" w14:paraId="6C79FA67" w14:textId="77777777">
        <w:tc>
          <w:tcPr>
            <w:tcW w:w="1872" w:type="dxa"/>
          </w:tcPr>
          <w:p w14:paraId="69B5DDA3" w14:textId="77777777" w:rsidR="0066076B" w:rsidRDefault="00ED153A" w:rsidP="000131C9">
            <w:pPr>
              <w:jc w:val="both"/>
            </w:pPr>
            <w:r>
              <w:t>SP</w:t>
            </w:r>
          </w:p>
        </w:tc>
        <w:tc>
          <w:tcPr>
            <w:tcW w:w="1872" w:type="dxa"/>
          </w:tcPr>
          <w:p w14:paraId="0104A975" w14:textId="77777777" w:rsidR="0066076B" w:rsidRDefault="00ED153A" w:rsidP="000131C9">
            <w:pPr>
              <w:jc w:val="both"/>
            </w:pPr>
            <w:r>
              <w:t>SP3</w:t>
            </w:r>
          </w:p>
        </w:tc>
        <w:tc>
          <w:tcPr>
            <w:tcW w:w="1872" w:type="dxa"/>
          </w:tcPr>
          <w:p w14:paraId="2AE5AEEB" w14:textId="77777777" w:rsidR="0066076B" w:rsidRDefault="00ED153A" w:rsidP="000131C9">
            <w:pPr>
              <w:jc w:val="both"/>
            </w:pPr>
            <w:r>
              <w:t>0.786</w:t>
            </w:r>
          </w:p>
        </w:tc>
        <w:tc>
          <w:tcPr>
            <w:tcW w:w="1872" w:type="dxa"/>
          </w:tcPr>
          <w:p w14:paraId="487436CD" w14:textId="77777777" w:rsidR="0066076B" w:rsidRDefault="00ED153A" w:rsidP="000131C9">
            <w:pPr>
              <w:jc w:val="both"/>
            </w:pPr>
            <w:r>
              <w:t>4.062</w:t>
            </w:r>
          </w:p>
        </w:tc>
        <w:tc>
          <w:tcPr>
            <w:tcW w:w="1872" w:type="dxa"/>
          </w:tcPr>
          <w:p w14:paraId="2D673C1D" w14:textId="77777777" w:rsidR="0066076B" w:rsidRDefault="00ED153A" w:rsidP="000131C9">
            <w:pPr>
              <w:jc w:val="both"/>
            </w:pPr>
            <w:r>
              <w:t>1.141</w:t>
            </w:r>
          </w:p>
        </w:tc>
      </w:tr>
      <w:tr w:rsidR="0066076B" w14:paraId="159FEECE" w14:textId="77777777">
        <w:tc>
          <w:tcPr>
            <w:tcW w:w="1872" w:type="dxa"/>
          </w:tcPr>
          <w:p w14:paraId="1E882167" w14:textId="77777777" w:rsidR="0066076B" w:rsidRDefault="00ED153A" w:rsidP="000131C9">
            <w:pPr>
              <w:jc w:val="both"/>
            </w:pPr>
            <w:r>
              <w:t>SP</w:t>
            </w:r>
          </w:p>
        </w:tc>
        <w:tc>
          <w:tcPr>
            <w:tcW w:w="1872" w:type="dxa"/>
          </w:tcPr>
          <w:p w14:paraId="67763A1E" w14:textId="77777777" w:rsidR="0066076B" w:rsidRDefault="00ED153A" w:rsidP="000131C9">
            <w:pPr>
              <w:jc w:val="both"/>
            </w:pPr>
            <w:r>
              <w:t>SP4</w:t>
            </w:r>
          </w:p>
        </w:tc>
        <w:tc>
          <w:tcPr>
            <w:tcW w:w="1872" w:type="dxa"/>
          </w:tcPr>
          <w:p w14:paraId="3DA0789A" w14:textId="77777777" w:rsidR="0066076B" w:rsidRDefault="00ED153A" w:rsidP="000131C9">
            <w:pPr>
              <w:jc w:val="both"/>
            </w:pPr>
            <w:r>
              <w:t>0.783</w:t>
            </w:r>
          </w:p>
        </w:tc>
        <w:tc>
          <w:tcPr>
            <w:tcW w:w="1872" w:type="dxa"/>
          </w:tcPr>
          <w:p w14:paraId="503F6E68" w14:textId="77777777" w:rsidR="0066076B" w:rsidRDefault="00ED153A" w:rsidP="000131C9">
            <w:pPr>
              <w:jc w:val="both"/>
            </w:pPr>
            <w:r>
              <w:t>3.631</w:t>
            </w:r>
          </w:p>
        </w:tc>
        <w:tc>
          <w:tcPr>
            <w:tcW w:w="1872" w:type="dxa"/>
          </w:tcPr>
          <w:p w14:paraId="2C7B6A0B" w14:textId="77777777" w:rsidR="0066076B" w:rsidRDefault="00ED153A" w:rsidP="000131C9">
            <w:pPr>
              <w:jc w:val="both"/>
            </w:pPr>
            <w:r>
              <w:t>1.033</w:t>
            </w:r>
          </w:p>
        </w:tc>
      </w:tr>
      <w:tr w:rsidR="0066076B" w14:paraId="27886EEA" w14:textId="77777777">
        <w:tc>
          <w:tcPr>
            <w:tcW w:w="1872" w:type="dxa"/>
          </w:tcPr>
          <w:p w14:paraId="33992144" w14:textId="77777777" w:rsidR="0066076B" w:rsidRDefault="00ED153A" w:rsidP="000131C9">
            <w:pPr>
              <w:jc w:val="both"/>
            </w:pPr>
            <w:r>
              <w:t>SP</w:t>
            </w:r>
          </w:p>
        </w:tc>
        <w:tc>
          <w:tcPr>
            <w:tcW w:w="1872" w:type="dxa"/>
          </w:tcPr>
          <w:p w14:paraId="149DEBAC" w14:textId="77777777" w:rsidR="0066076B" w:rsidRDefault="00ED153A" w:rsidP="000131C9">
            <w:pPr>
              <w:jc w:val="both"/>
            </w:pPr>
            <w:r>
              <w:t>SP5</w:t>
            </w:r>
          </w:p>
        </w:tc>
        <w:tc>
          <w:tcPr>
            <w:tcW w:w="1872" w:type="dxa"/>
          </w:tcPr>
          <w:p w14:paraId="0966E148" w14:textId="77777777" w:rsidR="0066076B" w:rsidRDefault="00ED153A" w:rsidP="000131C9">
            <w:pPr>
              <w:jc w:val="both"/>
            </w:pPr>
            <w:r>
              <w:t>0.808</w:t>
            </w:r>
          </w:p>
        </w:tc>
        <w:tc>
          <w:tcPr>
            <w:tcW w:w="1872" w:type="dxa"/>
          </w:tcPr>
          <w:p w14:paraId="4ADD38AF" w14:textId="77777777" w:rsidR="0066076B" w:rsidRDefault="00ED153A" w:rsidP="000131C9">
            <w:pPr>
              <w:jc w:val="both"/>
            </w:pPr>
            <w:r>
              <w:t>3.803</w:t>
            </w:r>
          </w:p>
        </w:tc>
        <w:tc>
          <w:tcPr>
            <w:tcW w:w="1872" w:type="dxa"/>
          </w:tcPr>
          <w:p w14:paraId="23D46DE3" w14:textId="77777777" w:rsidR="0066076B" w:rsidRDefault="00ED153A" w:rsidP="000131C9">
            <w:pPr>
              <w:jc w:val="both"/>
            </w:pPr>
            <w:r>
              <w:t>1.118</w:t>
            </w:r>
          </w:p>
        </w:tc>
      </w:tr>
      <w:tr w:rsidR="0066076B" w14:paraId="3387FD91" w14:textId="77777777">
        <w:tc>
          <w:tcPr>
            <w:tcW w:w="1872" w:type="dxa"/>
          </w:tcPr>
          <w:p w14:paraId="3813CB7E" w14:textId="77777777" w:rsidR="0066076B" w:rsidRDefault="00ED153A" w:rsidP="000131C9">
            <w:pPr>
              <w:jc w:val="both"/>
            </w:pPr>
            <w:r>
              <w:t>SP</w:t>
            </w:r>
          </w:p>
        </w:tc>
        <w:tc>
          <w:tcPr>
            <w:tcW w:w="1872" w:type="dxa"/>
          </w:tcPr>
          <w:p w14:paraId="6A727B5C" w14:textId="77777777" w:rsidR="0066076B" w:rsidRDefault="00ED153A" w:rsidP="000131C9">
            <w:pPr>
              <w:jc w:val="both"/>
            </w:pPr>
            <w:r>
              <w:t>SP6</w:t>
            </w:r>
          </w:p>
        </w:tc>
        <w:tc>
          <w:tcPr>
            <w:tcW w:w="1872" w:type="dxa"/>
          </w:tcPr>
          <w:p w14:paraId="44F3696A" w14:textId="77777777" w:rsidR="0066076B" w:rsidRDefault="00ED153A" w:rsidP="000131C9">
            <w:pPr>
              <w:jc w:val="both"/>
            </w:pPr>
            <w:r>
              <w:t>0.760</w:t>
            </w:r>
          </w:p>
        </w:tc>
        <w:tc>
          <w:tcPr>
            <w:tcW w:w="1872" w:type="dxa"/>
          </w:tcPr>
          <w:p w14:paraId="491FDE0D" w14:textId="77777777" w:rsidR="0066076B" w:rsidRDefault="00ED153A" w:rsidP="000131C9">
            <w:pPr>
              <w:jc w:val="both"/>
            </w:pPr>
            <w:r>
              <w:t>3.877</w:t>
            </w:r>
          </w:p>
        </w:tc>
        <w:tc>
          <w:tcPr>
            <w:tcW w:w="1872" w:type="dxa"/>
          </w:tcPr>
          <w:p w14:paraId="66966AB1" w14:textId="77777777" w:rsidR="0066076B" w:rsidRDefault="00ED153A" w:rsidP="000131C9">
            <w:pPr>
              <w:jc w:val="both"/>
            </w:pPr>
            <w:r>
              <w:t>1.191</w:t>
            </w:r>
          </w:p>
        </w:tc>
      </w:tr>
      <w:tr w:rsidR="0066076B" w14:paraId="7EA512B9" w14:textId="77777777">
        <w:tc>
          <w:tcPr>
            <w:tcW w:w="1872" w:type="dxa"/>
          </w:tcPr>
          <w:p w14:paraId="0317616C" w14:textId="77777777" w:rsidR="0066076B" w:rsidRDefault="00ED153A" w:rsidP="000131C9">
            <w:pPr>
              <w:jc w:val="both"/>
            </w:pPr>
            <w:r>
              <w:t>OA</w:t>
            </w:r>
          </w:p>
        </w:tc>
        <w:tc>
          <w:tcPr>
            <w:tcW w:w="1872" w:type="dxa"/>
          </w:tcPr>
          <w:p w14:paraId="33011320" w14:textId="77777777" w:rsidR="0066076B" w:rsidRDefault="00ED153A" w:rsidP="000131C9">
            <w:pPr>
              <w:jc w:val="both"/>
            </w:pPr>
            <w:r>
              <w:t>OA1</w:t>
            </w:r>
          </w:p>
        </w:tc>
        <w:tc>
          <w:tcPr>
            <w:tcW w:w="1872" w:type="dxa"/>
          </w:tcPr>
          <w:p w14:paraId="4B477085" w14:textId="77777777" w:rsidR="0066076B" w:rsidRDefault="00ED153A" w:rsidP="000131C9">
            <w:pPr>
              <w:jc w:val="both"/>
            </w:pPr>
            <w:r>
              <w:t>0.882</w:t>
            </w:r>
          </w:p>
        </w:tc>
        <w:tc>
          <w:tcPr>
            <w:tcW w:w="1872" w:type="dxa"/>
          </w:tcPr>
          <w:p w14:paraId="0EB46A26" w14:textId="77777777" w:rsidR="0066076B" w:rsidRDefault="00ED153A" w:rsidP="000131C9">
            <w:pPr>
              <w:jc w:val="both"/>
            </w:pPr>
            <w:r>
              <w:t>4.028</w:t>
            </w:r>
          </w:p>
        </w:tc>
        <w:tc>
          <w:tcPr>
            <w:tcW w:w="1872" w:type="dxa"/>
          </w:tcPr>
          <w:p w14:paraId="3A58E063" w14:textId="77777777" w:rsidR="0066076B" w:rsidRDefault="00ED153A" w:rsidP="000131C9">
            <w:pPr>
              <w:jc w:val="both"/>
            </w:pPr>
            <w:r>
              <w:t>1.241</w:t>
            </w:r>
          </w:p>
        </w:tc>
      </w:tr>
      <w:tr w:rsidR="0066076B" w14:paraId="4B9BF0A0" w14:textId="77777777">
        <w:tc>
          <w:tcPr>
            <w:tcW w:w="1872" w:type="dxa"/>
          </w:tcPr>
          <w:p w14:paraId="1DCC3E77" w14:textId="77777777" w:rsidR="0066076B" w:rsidRDefault="00ED153A" w:rsidP="000131C9">
            <w:pPr>
              <w:jc w:val="both"/>
            </w:pPr>
            <w:r>
              <w:t>OA</w:t>
            </w:r>
          </w:p>
        </w:tc>
        <w:tc>
          <w:tcPr>
            <w:tcW w:w="1872" w:type="dxa"/>
          </w:tcPr>
          <w:p w14:paraId="3F852D6D" w14:textId="77777777" w:rsidR="0066076B" w:rsidRDefault="00ED153A" w:rsidP="000131C9">
            <w:pPr>
              <w:jc w:val="both"/>
            </w:pPr>
            <w:r>
              <w:t>OA2</w:t>
            </w:r>
          </w:p>
        </w:tc>
        <w:tc>
          <w:tcPr>
            <w:tcW w:w="1872" w:type="dxa"/>
          </w:tcPr>
          <w:p w14:paraId="732C9266" w14:textId="77777777" w:rsidR="0066076B" w:rsidRDefault="00ED153A" w:rsidP="000131C9">
            <w:pPr>
              <w:jc w:val="both"/>
            </w:pPr>
            <w:r>
              <w:t>0.862</w:t>
            </w:r>
          </w:p>
        </w:tc>
        <w:tc>
          <w:tcPr>
            <w:tcW w:w="1872" w:type="dxa"/>
          </w:tcPr>
          <w:p w14:paraId="0FF9512A" w14:textId="77777777" w:rsidR="0066076B" w:rsidRDefault="00ED153A" w:rsidP="000131C9">
            <w:pPr>
              <w:jc w:val="both"/>
            </w:pPr>
            <w:r>
              <w:t>3.974</w:t>
            </w:r>
          </w:p>
        </w:tc>
        <w:tc>
          <w:tcPr>
            <w:tcW w:w="1872" w:type="dxa"/>
          </w:tcPr>
          <w:p w14:paraId="6AAB6058" w14:textId="77777777" w:rsidR="0066076B" w:rsidRDefault="00ED153A" w:rsidP="000131C9">
            <w:pPr>
              <w:jc w:val="both"/>
            </w:pPr>
            <w:r>
              <w:t>1.104</w:t>
            </w:r>
          </w:p>
        </w:tc>
      </w:tr>
      <w:tr w:rsidR="0066076B" w14:paraId="5736C58E" w14:textId="77777777">
        <w:tc>
          <w:tcPr>
            <w:tcW w:w="1872" w:type="dxa"/>
          </w:tcPr>
          <w:p w14:paraId="386B101A" w14:textId="77777777" w:rsidR="0066076B" w:rsidRDefault="00ED153A" w:rsidP="000131C9">
            <w:pPr>
              <w:jc w:val="both"/>
            </w:pPr>
            <w:r>
              <w:t>OA</w:t>
            </w:r>
          </w:p>
        </w:tc>
        <w:tc>
          <w:tcPr>
            <w:tcW w:w="1872" w:type="dxa"/>
          </w:tcPr>
          <w:p w14:paraId="7E559773" w14:textId="77777777" w:rsidR="0066076B" w:rsidRDefault="00ED153A" w:rsidP="000131C9">
            <w:pPr>
              <w:jc w:val="both"/>
            </w:pPr>
            <w:r>
              <w:t>OA3</w:t>
            </w:r>
          </w:p>
        </w:tc>
        <w:tc>
          <w:tcPr>
            <w:tcW w:w="1872" w:type="dxa"/>
          </w:tcPr>
          <w:p w14:paraId="34A00719" w14:textId="77777777" w:rsidR="0066076B" w:rsidRDefault="00ED153A" w:rsidP="000131C9">
            <w:pPr>
              <w:jc w:val="both"/>
            </w:pPr>
            <w:r>
              <w:t>0.843</w:t>
            </w:r>
          </w:p>
        </w:tc>
        <w:tc>
          <w:tcPr>
            <w:tcW w:w="1872" w:type="dxa"/>
          </w:tcPr>
          <w:p w14:paraId="7A3D0858" w14:textId="77777777" w:rsidR="0066076B" w:rsidRDefault="00ED153A" w:rsidP="000131C9">
            <w:pPr>
              <w:jc w:val="both"/>
            </w:pPr>
            <w:r>
              <w:t>3.731</w:t>
            </w:r>
          </w:p>
        </w:tc>
        <w:tc>
          <w:tcPr>
            <w:tcW w:w="1872" w:type="dxa"/>
          </w:tcPr>
          <w:p w14:paraId="12761600" w14:textId="77777777" w:rsidR="0066076B" w:rsidRDefault="00ED153A" w:rsidP="000131C9">
            <w:pPr>
              <w:jc w:val="both"/>
            </w:pPr>
            <w:r>
              <w:t>1.168</w:t>
            </w:r>
          </w:p>
        </w:tc>
      </w:tr>
      <w:tr w:rsidR="0066076B" w14:paraId="580B60A5" w14:textId="77777777">
        <w:tc>
          <w:tcPr>
            <w:tcW w:w="1872" w:type="dxa"/>
          </w:tcPr>
          <w:p w14:paraId="6B45C455" w14:textId="77777777" w:rsidR="0066076B" w:rsidRDefault="00ED153A" w:rsidP="000131C9">
            <w:pPr>
              <w:jc w:val="both"/>
            </w:pPr>
            <w:r>
              <w:t>OA</w:t>
            </w:r>
          </w:p>
        </w:tc>
        <w:tc>
          <w:tcPr>
            <w:tcW w:w="1872" w:type="dxa"/>
          </w:tcPr>
          <w:p w14:paraId="6E89D25C" w14:textId="77777777" w:rsidR="0066076B" w:rsidRDefault="00ED153A" w:rsidP="000131C9">
            <w:pPr>
              <w:jc w:val="both"/>
            </w:pPr>
            <w:r>
              <w:t>OA4</w:t>
            </w:r>
          </w:p>
        </w:tc>
        <w:tc>
          <w:tcPr>
            <w:tcW w:w="1872" w:type="dxa"/>
          </w:tcPr>
          <w:p w14:paraId="3857F966" w14:textId="77777777" w:rsidR="0066076B" w:rsidRDefault="00ED153A" w:rsidP="000131C9">
            <w:pPr>
              <w:jc w:val="both"/>
            </w:pPr>
            <w:r>
              <w:t>0.809</w:t>
            </w:r>
          </w:p>
        </w:tc>
        <w:tc>
          <w:tcPr>
            <w:tcW w:w="1872" w:type="dxa"/>
          </w:tcPr>
          <w:p w14:paraId="2207A023" w14:textId="77777777" w:rsidR="0066076B" w:rsidRDefault="00ED153A" w:rsidP="000131C9">
            <w:pPr>
              <w:jc w:val="both"/>
            </w:pPr>
            <w:r>
              <w:t>3.915</w:t>
            </w:r>
          </w:p>
        </w:tc>
        <w:tc>
          <w:tcPr>
            <w:tcW w:w="1872" w:type="dxa"/>
          </w:tcPr>
          <w:p w14:paraId="19972FA4" w14:textId="77777777" w:rsidR="0066076B" w:rsidRDefault="00ED153A" w:rsidP="000131C9">
            <w:pPr>
              <w:jc w:val="both"/>
            </w:pPr>
            <w:r>
              <w:t>1.269</w:t>
            </w:r>
          </w:p>
        </w:tc>
      </w:tr>
      <w:tr w:rsidR="0066076B" w14:paraId="3E852127" w14:textId="77777777">
        <w:tc>
          <w:tcPr>
            <w:tcW w:w="1872" w:type="dxa"/>
          </w:tcPr>
          <w:p w14:paraId="47879161" w14:textId="77777777" w:rsidR="0066076B" w:rsidRDefault="00ED153A" w:rsidP="000131C9">
            <w:pPr>
              <w:jc w:val="both"/>
            </w:pPr>
            <w:r>
              <w:lastRenderedPageBreak/>
              <w:t>OA</w:t>
            </w:r>
          </w:p>
        </w:tc>
        <w:tc>
          <w:tcPr>
            <w:tcW w:w="1872" w:type="dxa"/>
          </w:tcPr>
          <w:p w14:paraId="36E0FE3F" w14:textId="77777777" w:rsidR="0066076B" w:rsidRDefault="00ED153A" w:rsidP="000131C9">
            <w:pPr>
              <w:jc w:val="both"/>
            </w:pPr>
            <w:r>
              <w:t>OA5</w:t>
            </w:r>
          </w:p>
        </w:tc>
        <w:tc>
          <w:tcPr>
            <w:tcW w:w="1872" w:type="dxa"/>
          </w:tcPr>
          <w:p w14:paraId="70867FB7" w14:textId="77777777" w:rsidR="0066076B" w:rsidRDefault="00ED153A" w:rsidP="000131C9">
            <w:pPr>
              <w:jc w:val="both"/>
            </w:pPr>
            <w:r>
              <w:t>0.760</w:t>
            </w:r>
          </w:p>
        </w:tc>
        <w:tc>
          <w:tcPr>
            <w:tcW w:w="1872" w:type="dxa"/>
          </w:tcPr>
          <w:p w14:paraId="72DE7E99" w14:textId="77777777" w:rsidR="0066076B" w:rsidRDefault="00ED153A" w:rsidP="000131C9">
            <w:pPr>
              <w:jc w:val="both"/>
            </w:pPr>
            <w:r>
              <w:t>4.128</w:t>
            </w:r>
          </w:p>
        </w:tc>
        <w:tc>
          <w:tcPr>
            <w:tcW w:w="1872" w:type="dxa"/>
          </w:tcPr>
          <w:p w14:paraId="5CAB9BCE" w14:textId="77777777" w:rsidR="0066076B" w:rsidRDefault="00ED153A" w:rsidP="000131C9">
            <w:pPr>
              <w:jc w:val="both"/>
            </w:pPr>
            <w:r>
              <w:t>1.206</w:t>
            </w:r>
          </w:p>
        </w:tc>
      </w:tr>
      <w:tr w:rsidR="0066076B" w14:paraId="2D7D8CA9" w14:textId="77777777">
        <w:tc>
          <w:tcPr>
            <w:tcW w:w="1872" w:type="dxa"/>
          </w:tcPr>
          <w:p w14:paraId="14559D8D" w14:textId="77777777" w:rsidR="0066076B" w:rsidRDefault="00ED153A" w:rsidP="000131C9">
            <w:pPr>
              <w:jc w:val="both"/>
            </w:pPr>
            <w:r>
              <w:t>OA</w:t>
            </w:r>
          </w:p>
        </w:tc>
        <w:tc>
          <w:tcPr>
            <w:tcW w:w="1872" w:type="dxa"/>
          </w:tcPr>
          <w:p w14:paraId="3389EF88" w14:textId="77777777" w:rsidR="0066076B" w:rsidRDefault="00ED153A" w:rsidP="000131C9">
            <w:pPr>
              <w:jc w:val="both"/>
            </w:pPr>
            <w:r>
              <w:t>OA6</w:t>
            </w:r>
          </w:p>
        </w:tc>
        <w:tc>
          <w:tcPr>
            <w:tcW w:w="1872" w:type="dxa"/>
          </w:tcPr>
          <w:p w14:paraId="4DB70EEB" w14:textId="77777777" w:rsidR="0066076B" w:rsidRDefault="00ED153A" w:rsidP="000131C9">
            <w:pPr>
              <w:jc w:val="both"/>
            </w:pPr>
            <w:r>
              <w:t>0.673</w:t>
            </w:r>
          </w:p>
        </w:tc>
        <w:tc>
          <w:tcPr>
            <w:tcW w:w="1872" w:type="dxa"/>
          </w:tcPr>
          <w:p w14:paraId="02C43766" w14:textId="77777777" w:rsidR="0066076B" w:rsidRDefault="00ED153A" w:rsidP="000131C9">
            <w:pPr>
              <w:jc w:val="both"/>
            </w:pPr>
            <w:r>
              <w:t>3.423</w:t>
            </w:r>
          </w:p>
        </w:tc>
        <w:tc>
          <w:tcPr>
            <w:tcW w:w="1872" w:type="dxa"/>
          </w:tcPr>
          <w:p w14:paraId="3C8DF85B" w14:textId="77777777" w:rsidR="0066076B" w:rsidRDefault="00ED153A" w:rsidP="000131C9">
            <w:pPr>
              <w:jc w:val="both"/>
            </w:pPr>
            <w:r>
              <w:t>1.186</w:t>
            </w:r>
          </w:p>
        </w:tc>
      </w:tr>
      <w:tr w:rsidR="0066076B" w14:paraId="278D87E3" w14:textId="77777777">
        <w:tc>
          <w:tcPr>
            <w:tcW w:w="1872" w:type="dxa"/>
          </w:tcPr>
          <w:p w14:paraId="4489F275" w14:textId="77777777" w:rsidR="0066076B" w:rsidRDefault="00ED153A" w:rsidP="000131C9">
            <w:pPr>
              <w:jc w:val="both"/>
            </w:pPr>
            <w:r>
              <w:t>OP</w:t>
            </w:r>
          </w:p>
        </w:tc>
        <w:tc>
          <w:tcPr>
            <w:tcW w:w="1872" w:type="dxa"/>
          </w:tcPr>
          <w:p w14:paraId="7B273BC8" w14:textId="77777777" w:rsidR="0066076B" w:rsidRDefault="00ED153A" w:rsidP="000131C9">
            <w:pPr>
              <w:jc w:val="both"/>
            </w:pPr>
            <w:r>
              <w:t>OP1</w:t>
            </w:r>
          </w:p>
        </w:tc>
        <w:tc>
          <w:tcPr>
            <w:tcW w:w="1872" w:type="dxa"/>
          </w:tcPr>
          <w:p w14:paraId="2B2D5A39" w14:textId="77777777" w:rsidR="0066076B" w:rsidRDefault="00ED153A" w:rsidP="000131C9">
            <w:pPr>
              <w:jc w:val="both"/>
            </w:pPr>
            <w:r>
              <w:t>0.787</w:t>
            </w:r>
          </w:p>
        </w:tc>
        <w:tc>
          <w:tcPr>
            <w:tcW w:w="1872" w:type="dxa"/>
          </w:tcPr>
          <w:p w14:paraId="05EB0C36" w14:textId="77777777" w:rsidR="0066076B" w:rsidRDefault="00ED153A" w:rsidP="000131C9">
            <w:pPr>
              <w:jc w:val="both"/>
            </w:pPr>
            <w:r>
              <w:t>3.487</w:t>
            </w:r>
          </w:p>
        </w:tc>
        <w:tc>
          <w:tcPr>
            <w:tcW w:w="1872" w:type="dxa"/>
          </w:tcPr>
          <w:p w14:paraId="25401C61" w14:textId="77777777" w:rsidR="0066076B" w:rsidRDefault="00ED153A" w:rsidP="000131C9">
            <w:pPr>
              <w:jc w:val="both"/>
            </w:pPr>
            <w:r>
              <w:t>1.131</w:t>
            </w:r>
          </w:p>
        </w:tc>
      </w:tr>
      <w:tr w:rsidR="0066076B" w14:paraId="2DCE8293" w14:textId="77777777">
        <w:tc>
          <w:tcPr>
            <w:tcW w:w="1872" w:type="dxa"/>
          </w:tcPr>
          <w:p w14:paraId="7BA2D059" w14:textId="77777777" w:rsidR="0066076B" w:rsidRDefault="00ED153A" w:rsidP="000131C9">
            <w:pPr>
              <w:jc w:val="both"/>
            </w:pPr>
            <w:r>
              <w:t>OP</w:t>
            </w:r>
          </w:p>
        </w:tc>
        <w:tc>
          <w:tcPr>
            <w:tcW w:w="1872" w:type="dxa"/>
          </w:tcPr>
          <w:p w14:paraId="301FF213" w14:textId="77777777" w:rsidR="0066076B" w:rsidRDefault="00ED153A" w:rsidP="000131C9">
            <w:pPr>
              <w:jc w:val="both"/>
            </w:pPr>
            <w:r>
              <w:t>OP2</w:t>
            </w:r>
          </w:p>
        </w:tc>
        <w:tc>
          <w:tcPr>
            <w:tcW w:w="1872" w:type="dxa"/>
          </w:tcPr>
          <w:p w14:paraId="54969399" w14:textId="77777777" w:rsidR="0066076B" w:rsidRDefault="00ED153A" w:rsidP="000131C9">
            <w:pPr>
              <w:jc w:val="both"/>
            </w:pPr>
            <w:r>
              <w:t>0.616</w:t>
            </w:r>
          </w:p>
        </w:tc>
        <w:tc>
          <w:tcPr>
            <w:tcW w:w="1872" w:type="dxa"/>
          </w:tcPr>
          <w:p w14:paraId="2FA94679" w14:textId="77777777" w:rsidR="0066076B" w:rsidRDefault="00ED153A" w:rsidP="000131C9">
            <w:pPr>
              <w:jc w:val="both"/>
            </w:pPr>
            <w:r>
              <w:t>3.200</w:t>
            </w:r>
          </w:p>
        </w:tc>
        <w:tc>
          <w:tcPr>
            <w:tcW w:w="1872" w:type="dxa"/>
          </w:tcPr>
          <w:p w14:paraId="0C016D65" w14:textId="77777777" w:rsidR="0066076B" w:rsidRDefault="00ED153A" w:rsidP="000131C9">
            <w:pPr>
              <w:jc w:val="both"/>
            </w:pPr>
            <w:r>
              <w:t>1.179</w:t>
            </w:r>
          </w:p>
        </w:tc>
      </w:tr>
      <w:tr w:rsidR="0066076B" w14:paraId="6AA9FB30" w14:textId="77777777">
        <w:tc>
          <w:tcPr>
            <w:tcW w:w="1872" w:type="dxa"/>
          </w:tcPr>
          <w:p w14:paraId="667414CC" w14:textId="77777777" w:rsidR="0066076B" w:rsidRDefault="00ED153A" w:rsidP="000131C9">
            <w:pPr>
              <w:jc w:val="both"/>
            </w:pPr>
            <w:r>
              <w:t>OP</w:t>
            </w:r>
          </w:p>
        </w:tc>
        <w:tc>
          <w:tcPr>
            <w:tcW w:w="1872" w:type="dxa"/>
          </w:tcPr>
          <w:p w14:paraId="0E4EB652" w14:textId="77777777" w:rsidR="0066076B" w:rsidRDefault="00ED153A" w:rsidP="000131C9">
            <w:pPr>
              <w:jc w:val="both"/>
            </w:pPr>
            <w:r>
              <w:t>OP3</w:t>
            </w:r>
          </w:p>
        </w:tc>
        <w:tc>
          <w:tcPr>
            <w:tcW w:w="1872" w:type="dxa"/>
          </w:tcPr>
          <w:p w14:paraId="7CB523F4" w14:textId="77777777" w:rsidR="0066076B" w:rsidRDefault="00ED153A" w:rsidP="000131C9">
            <w:pPr>
              <w:jc w:val="both"/>
            </w:pPr>
            <w:r>
              <w:t>0.876</w:t>
            </w:r>
          </w:p>
        </w:tc>
        <w:tc>
          <w:tcPr>
            <w:tcW w:w="1872" w:type="dxa"/>
          </w:tcPr>
          <w:p w14:paraId="4C31425F" w14:textId="77777777" w:rsidR="0066076B" w:rsidRDefault="00ED153A" w:rsidP="000131C9">
            <w:pPr>
              <w:jc w:val="both"/>
            </w:pPr>
            <w:r>
              <w:t>3.569</w:t>
            </w:r>
          </w:p>
        </w:tc>
        <w:tc>
          <w:tcPr>
            <w:tcW w:w="1872" w:type="dxa"/>
          </w:tcPr>
          <w:p w14:paraId="18CC24BC" w14:textId="77777777" w:rsidR="0066076B" w:rsidRDefault="00ED153A" w:rsidP="000131C9">
            <w:pPr>
              <w:jc w:val="both"/>
            </w:pPr>
            <w:r>
              <w:t>1.080</w:t>
            </w:r>
          </w:p>
        </w:tc>
      </w:tr>
      <w:tr w:rsidR="0066076B" w14:paraId="21A76FC4" w14:textId="77777777">
        <w:tc>
          <w:tcPr>
            <w:tcW w:w="1872" w:type="dxa"/>
          </w:tcPr>
          <w:p w14:paraId="161657CD" w14:textId="77777777" w:rsidR="0066076B" w:rsidRDefault="00ED153A" w:rsidP="000131C9">
            <w:pPr>
              <w:jc w:val="both"/>
            </w:pPr>
            <w:r>
              <w:t>OP</w:t>
            </w:r>
          </w:p>
        </w:tc>
        <w:tc>
          <w:tcPr>
            <w:tcW w:w="1872" w:type="dxa"/>
          </w:tcPr>
          <w:p w14:paraId="72331482" w14:textId="77777777" w:rsidR="0066076B" w:rsidRDefault="00ED153A" w:rsidP="000131C9">
            <w:pPr>
              <w:jc w:val="both"/>
            </w:pPr>
            <w:r>
              <w:t>OP4</w:t>
            </w:r>
          </w:p>
        </w:tc>
        <w:tc>
          <w:tcPr>
            <w:tcW w:w="1872" w:type="dxa"/>
          </w:tcPr>
          <w:p w14:paraId="2CA6B28B" w14:textId="77777777" w:rsidR="0066076B" w:rsidRDefault="00ED153A" w:rsidP="000131C9">
            <w:pPr>
              <w:jc w:val="both"/>
            </w:pPr>
            <w:r>
              <w:t>0.857</w:t>
            </w:r>
          </w:p>
        </w:tc>
        <w:tc>
          <w:tcPr>
            <w:tcW w:w="1872" w:type="dxa"/>
          </w:tcPr>
          <w:p w14:paraId="121C46F4" w14:textId="77777777" w:rsidR="0066076B" w:rsidRDefault="00ED153A" w:rsidP="000131C9">
            <w:pPr>
              <w:jc w:val="both"/>
            </w:pPr>
            <w:r>
              <w:t>3.479</w:t>
            </w:r>
          </w:p>
        </w:tc>
        <w:tc>
          <w:tcPr>
            <w:tcW w:w="1872" w:type="dxa"/>
          </w:tcPr>
          <w:p w14:paraId="61DACAEA" w14:textId="77777777" w:rsidR="0066076B" w:rsidRDefault="00ED153A" w:rsidP="000131C9">
            <w:pPr>
              <w:jc w:val="both"/>
            </w:pPr>
            <w:r>
              <w:t>1.038</w:t>
            </w:r>
          </w:p>
        </w:tc>
      </w:tr>
      <w:tr w:rsidR="0066076B" w14:paraId="481CA16A" w14:textId="77777777">
        <w:tc>
          <w:tcPr>
            <w:tcW w:w="1872" w:type="dxa"/>
          </w:tcPr>
          <w:p w14:paraId="2F77763D" w14:textId="77777777" w:rsidR="0066076B" w:rsidRDefault="00ED153A" w:rsidP="000131C9">
            <w:pPr>
              <w:jc w:val="both"/>
            </w:pPr>
            <w:r>
              <w:t>OP</w:t>
            </w:r>
          </w:p>
        </w:tc>
        <w:tc>
          <w:tcPr>
            <w:tcW w:w="1872" w:type="dxa"/>
          </w:tcPr>
          <w:p w14:paraId="14FFD94E" w14:textId="77777777" w:rsidR="0066076B" w:rsidRDefault="00ED153A" w:rsidP="000131C9">
            <w:pPr>
              <w:jc w:val="both"/>
            </w:pPr>
            <w:r>
              <w:t>OP5</w:t>
            </w:r>
          </w:p>
        </w:tc>
        <w:tc>
          <w:tcPr>
            <w:tcW w:w="1872" w:type="dxa"/>
          </w:tcPr>
          <w:p w14:paraId="36404254" w14:textId="77777777" w:rsidR="0066076B" w:rsidRDefault="00ED153A" w:rsidP="000131C9">
            <w:pPr>
              <w:jc w:val="both"/>
            </w:pPr>
            <w:r>
              <w:t>0.837</w:t>
            </w:r>
          </w:p>
        </w:tc>
        <w:tc>
          <w:tcPr>
            <w:tcW w:w="1872" w:type="dxa"/>
          </w:tcPr>
          <w:p w14:paraId="5A3D64CF" w14:textId="77777777" w:rsidR="0066076B" w:rsidRDefault="00ED153A" w:rsidP="000131C9">
            <w:pPr>
              <w:jc w:val="both"/>
            </w:pPr>
            <w:r>
              <w:t>3.608</w:t>
            </w:r>
          </w:p>
        </w:tc>
        <w:tc>
          <w:tcPr>
            <w:tcW w:w="1872" w:type="dxa"/>
          </w:tcPr>
          <w:p w14:paraId="0051404E" w14:textId="77777777" w:rsidR="0066076B" w:rsidRDefault="00ED153A" w:rsidP="000131C9">
            <w:pPr>
              <w:jc w:val="both"/>
            </w:pPr>
            <w:r>
              <w:t>1.050</w:t>
            </w:r>
          </w:p>
        </w:tc>
      </w:tr>
      <w:tr w:rsidR="0066076B" w14:paraId="6CD46955" w14:textId="77777777">
        <w:tc>
          <w:tcPr>
            <w:tcW w:w="1872" w:type="dxa"/>
          </w:tcPr>
          <w:p w14:paraId="0D693861" w14:textId="77777777" w:rsidR="0066076B" w:rsidRDefault="00ED153A" w:rsidP="000131C9">
            <w:pPr>
              <w:jc w:val="both"/>
            </w:pPr>
            <w:r>
              <w:t>OP</w:t>
            </w:r>
          </w:p>
        </w:tc>
        <w:tc>
          <w:tcPr>
            <w:tcW w:w="1872" w:type="dxa"/>
          </w:tcPr>
          <w:p w14:paraId="18A48D13" w14:textId="77777777" w:rsidR="0066076B" w:rsidRDefault="00ED153A" w:rsidP="000131C9">
            <w:pPr>
              <w:jc w:val="both"/>
            </w:pPr>
            <w:r>
              <w:t>OP6</w:t>
            </w:r>
          </w:p>
        </w:tc>
        <w:tc>
          <w:tcPr>
            <w:tcW w:w="1872" w:type="dxa"/>
          </w:tcPr>
          <w:p w14:paraId="7BC4CF57" w14:textId="77777777" w:rsidR="0066076B" w:rsidRDefault="00ED153A" w:rsidP="000131C9">
            <w:pPr>
              <w:jc w:val="both"/>
            </w:pPr>
            <w:r>
              <w:t>0.843</w:t>
            </w:r>
          </w:p>
        </w:tc>
        <w:tc>
          <w:tcPr>
            <w:tcW w:w="1872" w:type="dxa"/>
          </w:tcPr>
          <w:p w14:paraId="48533AB6" w14:textId="77777777" w:rsidR="0066076B" w:rsidRDefault="00ED153A" w:rsidP="000131C9">
            <w:pPr>
              <w:jc w:val="both"/>
            </w:pPr>
            <w:r>
              <w:t>3.544</w:t>
            </w:r>
          </w:p>
        </w:tc>
        <w:tc>
          <w:tcPr>
            <w:tcW w:w="1872" w:type="dxa"/>
          </w:tcPr>
          <w:p w14:paraId="3C002691" w14:textId="77777777" w:rsidR="0066076B" w:rsidRDefault="00ED153A" w:rsidP="000131C9">
            <w:pPr>
              <w:jc w:val="both"/>
            </w:pPr>
            <w:r>
              <w:t>1.055</w:t>
            </w:r>
          </w:p>
        </w:tc>
      </w:tr>
    </w:tbl>
    <w:p w14:paraId="2BD9C7DC" w14:textId="66C9B8FC" w:rsidR="0066076B" w:rsidRDefault="00ED153A" w:rsidP="000131C9">
      <w:pPr>
        <w:spacing w:after="120"/>
        <w:jc w:val="both"/>
      </w:pPr>
      <w:r>
        <w:rPr>
          <w:i/>
        </w:rPr>
        <w:t xml:space="preserve">Table </w:t>
      </w:r>
      <w:r w:rsidR="00076345">
        <w:rPr>
          <w:i/>
        </w:rPr>
        <w:t>2</w:t>
      </w:r>
      <w:r>
        <w:rPr>
          <w:i/>
        </w:rPr>
        <w:t>. Reliability and convergent validity.</w:t>
      </w:r>
    </w:p>
    <w:tbl>
      <w:tblPr>
        <w:tblStyle w:val="TableGrid"/>
        <w:tblW w:w="0" w:type="auto"/>
        <w:tblLook w:val="04A0" w:firstRow="1" w:lastRow="0" w:firstColumn="1" w:lastColumn="0" w:noHBand="0" w:noVBand="1"/>
      </w:tblPr>
      <w:tblGrid>
        <w:gridCol w:w="1869"/>
        <w:gridCol w:w="1871"/>
        <w:gridCol w:w="1870"/>
        <w:gridCol w:w="1870"/>
        <w:gridCol w:w="1870"/>
      </w:tblGrid>
      <w:tr w:rsidR="0066076B" w14:paraId="1D022309" w14:textId="77777777">
        <w:tc>
          <w:tcPr>
            <w:tcW w:w="1872" w:type="dxa"/>
          </w:tcPr>
          <w:p w14:paraId="5CD4FEA3" w14:textId="77777777" w:rsidR="0066076B" w:rsidRDefault="00ED153A" w:rsidP="000131C9">
            <w:pPr>
              <w:jc w:val="both"/>
            </w:pPr>
            <w:r>
              <w:t>Construct</w:t>
            </w:r>
          </w:p>
        </w:tc>
        <w:tc>
          <w:tcPr>
            <w:tcW w:w="1872" w:type="dxa"/>
          </w:tcPr>
          <w:p w14:paraId="7239AA7F" w14:textId="77777777" w:rsidR="0066076B" w:rsidRDefault="00ED153A" w:rsidP="000131C9">
            <w:pPr>
              <w:jc w:val="both"/>
            </w:pPr>
            <w:r>
              <w:t>Cronbach’s α</w:t>
            </w:r>
          </w:p>
        </w:tc>
        <w:tc>
          <w:tcPr>
            <w:tcW w:w="1872" w:type="dxa"/>
          </w:tcPr>
          <w:p w14:paraId="294ED0EF" w14:textId="77777777" w:rsidR="0066076B" w:rsidRDefault="00ED153A" w:rsidP="000131C9">
            <w:pPr>
              <w:jc w:val="both"/>
            </w:pPr>
            <w:r>
              <w:t>rho_A</w:t>
            </w:r>
          </w:p>
        </w:tc>
        <w:tc>
          <w:tcPr>
            <w:tcW w:w="1872" w:type="dxa"/>
          </w:tcPr>
          <w:p w14:paraId="4FB231F9" w14:textId="77777777" w:rsidR="0066076B" w:rsidRDefault="00ED153A" w:rsidP="000131C9">
            <w:pPr>
              <w:jc w:val="both"/>
            </w:pPr>
            <w:r>
              <w:t>CR</w:t>
            </w:r>
          </w:p>
        </w:tc>
        <w:tc>
          <w:tcPr>
            <w:tcW w:w="1872" w:type="dxa"/>
          </w:tcPr>
          <w:p w14:paraId="0233EC70" w14:textId="77777777" w:rsidR="0066076B" w:rsidRDefault="00ED153A" w:rsidP="000131C9">
            <w:pPr>
              <w:jc w:val="both"/>
            </w:pPr>
            <w:r>
              <w:t>AVE</w:t>
            </w:r>
          </w:p>
        </w:tc>
      </w:tr>
      <w:tr w:rsidR="0066076B" w14:paraId="4764495E" w14:textId="77777777">
        <w:tc>
          <w:tcPr>
            <w:tcW w:w="1872" w:type="dxa"/>
          </w:tcPr>
          <w:p w14:paraId="7606D966" w14:textId="77777777" w:rsidR="0066076B" w:rsidRDefault="00ED153A" w:rsidP="000131C9">
            <w:pPr>
              <w:jc w:val="both"/>
            </w:pPr>
            <w:r>
              <w:t>OA</w:t>
            </w:r>
          </w:p>
        </w:tc>
        <w:tc>
          <w:tcPr>
            <w:tcW w:w="1872" w:type="dxa"/>
          </w:tcPr>
          <w:p w14:paraId="7FCF19AF" w14:textId="77777777" w:rsidR="0066076B" w:rsidRDefault="00ED153A" w:rsidP="000131C9">
            <w:pPr>
              <w:jc w:val="both"/>
            </w:pPr>
            <w:r>
              <w:t>0.891</w:t>
            </w:r>
          </w:p>
        </w:tc>
        <w:tc>
          <w:tcPr>
            <w:tcW w:w="1872" w:type="dxa"/>
          </w:tcPr>
          <w:p w14:paraId="471943B0" w14:textId="77777777" w:rsidR="0066076B" w:rsidRDefault="00ED153A" w:rsidP="000131C9">
            <w:pPr>
              <w:jc w:val="both"/>
            </w:pPr>
            <w:r>
              <w:t>0.897</w:t>
            </w:r>
          </w:p>
        </w:tc>
        <w:tc>
          <w:tcPr>
            <w:tcW w:w="1872" w:type="dxa"/>
          </w:tcPr>
          <w:p w14:paraId="2F468D2E" w14:textId="77777777" w:rsidR="0066076B" w:rsidRDefault="00ED153A" w:rsidP="000131C9">
            <w:pPr>
              <w:jc w:val="both"/>
            </w:pPr>
            <w:r>
              <w:t>0.918</w:t>
            </w:r>
          </w:p>
        </w:tc>
        <w:tc>
          <w:tcPr>
            <w:tcW w:w="1872" w:type="dxa"/>
          </w:tcPr>
          <w:p w14:paraId="40A2FA2C" w14:textId="77777777" w:rsidR="0066076B" w:rsidRDefault="00ED153A" w:rsidP="000131C9">
            <w:pPr>
              <w:jc w:val="both"/>
            </w:pPr>
            <w:r>
              <w:t>0.653</w:t>
            </w:r>
          </w:p>
        </w:tc>
      </w:tr>
      <w:tr w:rsidR="0066076B" w14:paraId="13A3F37D" w14:textId="77777777">
        <w:tc>
          <w:tcPr>
            <w:tcW w:w="1872" w:type="dxa"/>
          </w:tcPr>
          <w:p w14:paraId="6D5F7DC0" w14:textId="77777777" w:rsidR="0066076B" w:rsidRDefault="00ED153A" w:rsidP="000131C9">
            <w:pPr>
              <w:jc w:val="both"/>
            </w:pPr>
            <w:r>
              <w:t>OP</w:t>
            </w:r>
          </w:p>
        </w:tc>
        <w:tc>
          <w:tcPr>
            <w:tcW w:w="1872" w:type="dxa"/>
          </w:tcPr>
          <w:p w14:paraId="03683074" w14:textId="77777777" w:rsidR="0066076B" w:rsidRDefault="00ED153A" w:rsidP="000131C9">
            <w:pPr>
              <w:jc w:val="both"/>
            </w:pPr>
            <w:r>
              <w:t>0.886</w:t>
            </w:r>
          </w:p>
        </w:tc>
        <w:tc>
          <w:tcPr>
            <w:tcW w:w="1872" w:type="dxa"/>
          </w:tcPr>
          <w:p w14:paraId="4F1795CD" w14:textId="77777777" w:rsidR="0066076B" w:rsidRDefault="00ED153A" w:rsidP="000131C9">
            <w:pPr>
              <w:jc w:val="both"/>
            </w:pPr>
            <w:r>
              <w:t>0.892</w:t>
            </w:r>
          </w:p>
        </w:tc>
        <w:tc>
          <w:tcPr>
            <w:tcW w:w="1872" w:type="dxa"/>
          </w:tcPr>
          <w:p w14:paraId="56DAB423" w14:textId="77777777" w:rsidR="0066076B" w:rsidRDefault="00ED153A" w:rsidP="000131C9">
            <w:pPr>
              <w:jc w:val="both"/>
            </w:pPr>
            <w:r>
              <w:t>0.913</w:t>
            </w:r>
          </w:p>
        </w:tc>
        <w:tc>
          <w:tcPr>
            <w:tcW w:w="1872" w:type="dxa"/>
          </w:tcPr>
          <w:p w14:paraId="1F3D7450" w14:textId="77777777" w:rsidR="0066076B" w:rsidRDefault="00ED153A" w:rsidP="000131C9">
            <w:pPr>
              <w:jc w:val="both"/>
            </w:pPr>
            <w:r>
              <w:t>0.638</w:t>
            </w:r>
          </w:p>
        </w:tc>
      </w:tr>
      <w:tr w:rsidR="0066076B" w14:paraId="27AEE984" w14:textId="77777777">
        <w:tc>
          <w:tcPr>
            <w:tcW w:w="1872" w:type="dxa"/>
          </w:tcPr>
          <w:p w14:paraId="13C0AE65" w14:textId="77777777" w:rsidR="0066076B" w:rsidRDefault="00ED153A" w:rsidP="000131C9">
            <w:pPr>
              <w:jc w:val="both"/>
            </w:pPr>
            <w:r>
              <w:t>SP</w:t>
            </w:r>
          </w:p>
        </w:tc>
        <w:tc>
          <w:tcPr>
            <w:tcW w:w="1872" w:type="dxa"/>
          </w:tcPr>
          <w:p w14:paraId="61EF2411" w14:textId="77777777" w:rsidR="0066076B" w:rsidRDefault="00ED153A" w:rsidP="000131C9">
            <w:pPr>
              <w:jc w:val="both"/>
            </w:pPr>
            <w:r>
              <w:t>0.872</w:t>
            </w:r>
          </w:p>
        </w:tc>
        <w:tc>
          <w:tcPr>
            <w:tcW w:w="1872" w:type="dxa"/>
          </w:tcPr>
          <w:p w14:paraId="2E47960A" w14:textId="77777777" w:rsidR="0066076B" w:rsidRDefault="00ED153A" w:rsidP="000131C9">
            <w:pPr>
              <w:jc w:val="both"/>
            </w:pPr>
            <w:r>
              <w:t>0.875</w:t>
            </w:r>
          </w:p>
        </w:tc>
        <w:tc>
          <w:tcPr>
            <w:tcW w:w="1872" w:type="dxa"/>
          </w:tcPr>
          <w:p w14:paraId="0B53CCC3" w14:textId="77777777" w:rsidR="0066076B" w:rsidRDefault="00ED153A" w:rsidP="000131C9">
            <w:pPr>
              <w:jc w:val="both"/>
            </w:pPr>
            <w:r>
              <w:t>0.904</w:t>
            </w:r>
          </w:p>
        </w:tc>
        <w:tc>
          <w:tcPr>
            <w:tcW w:w="1872" w:type="dxa"/>
          </w:tcPr>
          <w:p w14:paraId="28E30120" w14:textId="77777777" w:rsidR="0066076B" w:rsidRDefault="00ED153A" w:rsidP="000131C9">
            <w:pPr>
              <w:jc w:val="both"/>
            </w:pPr>
            <w:r>
              <w:t>0.611</w:t>
            </w:r>
          </w:p>
        </w:tc>
      </w:tr>
    </w:tbl>
    <w:p w14:paraId="7C412BF7" w14:textId="6C3F2385" w:rsidR="0066076B" w:rsidRDefault="00ED153A" w:rsidP="000131C9">
      <w:pPr>
        <w:spacing w:after="120"/>
        <w:jc w:val="both"/>
      </w:pPr>
      <w:r>
        <w:rPr>
          <w:i/>
        </w:rPr>
        <w:t xml:space="preserve">Table </w:t>
      </w:r>
      <w:r w:rsidR="00076345">
        <w:rPr>
          <w:i/>
        </w:rPr>
        <w:t>3</w:t>
      </w:r>
      <w:r>
        <w:rPr>
          <w:i/>
        </w:rPr>
        <w:t>. Discriminant validity (HTMT) with 95% bootstrap CI.</w:t>
      </w:r>
    </w:p>
    <w:tbl>
      <w:tblPr>
        <w:tblStyle w:val="TableGrid"/>
        <w:tblW w:w="0" w:type="auto"/>
        <w:tblLook w:val="04A0" w:firstRow="1" w:lastRow="0" w:firstColumn="1" w:lastColumn="0" w:noHBand="0" w:noVBand="1"/>
      </w:tblPr>
      <w:tblGrid>
        <w:gridCol w:w="2339"/>
        <w:gridCol w:w="2337"/>
        <w:gridCol w:w="2337"/>
        <w:gridCol w:w="2337"/>
      </w:tblGrid>
      <w:tr w:rsidR="0066076B" w14:paraId="2E066C53" w14:textId="77777777">
        <w:tc>
          <w:tcPr>
            <w:tcW w:w="2340" w:type="dxa"/>
          </w:tcPr>
          <w:p w14:paraId="6B4099B7" w14:textId="77777777" w:rsidR="0066076B" w:rsidRDefault="00ED153A" w:rsidP="000131C9">
            <w:pPr>
              <w:jc w:val="both"/>
            </w:pPr>
            <w:r>
              <w:t>Construct pair</w:t>
            </w:r>
          </w:p>
        </w:tc>
        <w:tc>
          <w:tcPr>
            <w:tcW w:w="2340" w:type="dxa"/>
          </w:tcPr>
          <w:p w14:paraId="2855EC68" w14:textId="77777777" w:rsidR="0066076B" w:rsidRDefault="00ED153A" w:rsidP="000131C9">
            <w:pPr>
              <w:jc w:val="both"/>
            </w:pPr>
            <w:r>
              <w:t>HTMT</w:t>
            </w:r>
          </w:p>
        </w:tc>
        <w:tc>
          <w:tcPr>
            <w:tcW w:w="2340" w:type="dxa"/>
          </w:tcPr>
          <w:p w14:paraId="035B0D0E" w14:textId="77777777" w:rsidR="0066076B" w:rsidRDefault="00ED153A" w:rsidP="000131C9">
            <w:pPr>
              <w:jc w:val="both"/>
            </w:pPr>
            <w:r>
              <w:t>95% CI (lower)</w:t>
            </w:r>
          </w:p>
        </w:tc>
        <w:tc>
          <w:tcPr>
            <w:tcW w:w="2340" w:type="dxa"/>
          </w:tcPr>
          <w:p w14:paraId="57107933" w14:textId="77777777" w:rsidR="0066076B" w:rsidRDefault="00ED153A" w:rsidP="000131C9">
            <w:pPr>
              <w:jc w:val="both"/>
            </w:pPr>
            <w:r>
              <w:t>95% CI (upper)</w:t>
            </w:r>
          </w:p>
        </w:tc>
      </w:tr>
      <w:tr w:rsidR="0066076B" w14:paraId="686539D2" w14:textId="77777777">
        <w:tc>
          <w:tcPr>
            <w:tcW w:w="2340" w:type="dxa"/>
          </w:tcPr>
          <w:p w14:paraId="47767AFA" w14:textId="77777777" w:rsidR="0066076B" w:rsidRDefault="00ED153A" w:rsidP="000131C9">
            <w:pPr>
              <w:jc w:val="both"/>
            </w:pPr>
            <w:r>
              <w:t>SP–OA</w:t>
            </w:r>
          </w:p>
        </w:tc>
        <w:tc>
          <w:tcPr>
            <w:tcW w:w="2340" w:type="dxa"/>
          </w:tcPr>
          <w:p w14:paraId="2758A5F5" w14:textId="77777777" w:rsidR="0066076B" w:rsidRDefault="00ED153A" w:rsidP="000131C9">
            <w:pPr>
              <w:jc w:val="both"/>
            </w:pPr>
            <w:r>
              <w:t>0.614</w:t>
            </w:r>
          </w:p>
        </w:tc>
        <w:tc>
          <w:tcPr>
            <w:tcW w:w="2340" w:type="dxa"/>
          </w:tcPr>
          <w:p w14:paraId="0EE37961" w14:textId="77777777" w:rsidR="0066076B" w:rsidRDefault="00ED153A" w:rsidP="000131C9">
            <w:pPr>
              <w:jc w:val="both"/>
            </w:pPr>
            <w:r>
              <w:t>0.479</w:t>
            </w:r>
          </w:p>
        </w:tc>
        <w:tc>
          <w:tcPr>
            <w:tcW w:w="2340" w:type="dxa"/>
          </w:tcPr>
          <w:p w14:paraId="47B43BC1" w14:textId="77777777" w:rsidR="0066076B" w:rsidRDefault="00ED153A" w:rsidP="000131C9">
            <w:pPr>
              <w:jc w:val="both"/>
            </w:pPr>
            <w:r>
              <w:t>0.722</w:t>
            </w:r>
          </w:p>
        </w:tc>
      </w:tr>
      <w:tr w:rsidR="0066076B" w14:paraId="29C027D1" w14:textId="77777777">
        <w:tc>
          <w:tcPr>
            <w:tcW w:w="2340" w:type="dxa"/>
          </w:tcPr>
          <w:p w14:paraId="0E681DE9" w14:textId="77777777" w:rsidR="0066076B" w:rsidRDefault="00ED153A" w:rsidP="000131C9">
            <w:pPr>
              <w:jc w:val="both"/>
            </w:pPr>
            <w:r>
              <w:t>SP–OP</w:t>
            </w:r>
          </w:p>
        </w:tc>
        <w:tc>
          <w:tcPr>
            <w:tcW w:w="2340" w:type="dxa"/>
          </w:tcPr>
          <w:p w14:paraId="4B502758" w14:textId="77777777" w:rsidR="0066076B" w:rsidRDefault="00ED153A" w:rsidP="000131C9">
            <w:pPr>
              <w:jc w:val="both"/>
            </w:pPr>
            <w:r>
              <w:t>0.521</w:t>
            </w:r>
          </w:p>
        </w:tc>
        <w:tc>
          <w:tcPr>
            <w:tcW w:w="2340" w:type="dxa"/>
          </w:tcPr>
          <w:p w14:paraId="5D02418B" w14:textId="77777777" w:rsidR="0066076B" w:rsidRDefault="00ED153A" w:rsidP="000131C9">
            <w:pPr>
              <w:jc w:val="both"/>
            </w:pPr>
            <w:r>
              <w:t>0.387</w:t>
            </w:r>
          </w:p>
        </w:tc>
        <w:tc>
          <w:tcPr>
            <w:tcW w:w="2340" w:type="dxa"/>
          </w:tcPr>
          <w:p w14:paraId="3A9964E3" w14:textId="77777777" w:rsidR="0066076B" w:rsidRDefault="00ED153A" w:rsidP="000131C9">
            <w:pPr>
              <w:jc w:val="both"/>
            </w:pPr>
            <w:r>
              <w:t>0.632</w:t>
            </w:r>
          </w:p>
        </w:tc>
      </w:tr>
      <w:tr w:rsidR="0066076B" w14:paraId="10533851" w14:textId="77777777">
        <w:tc>
          <w:tcPr>
            <w:tcW w:w="2340" w:type="dxa"/>
          </w:tcPr>
          <w:p w14:paraId="4BC43E1D" w14:textId="77777777" w:rsidR="0066076B" w:rsidRDefault="00ED153A" w:rsidP="000131C9">
            <w:pPr>
              <w:jc w:val="both"/>
            </w:pPr>
            <w:r>
              <w:t>OA–OP</w:t>
            </w:r>
          </w:p>
        </w:tc>
        <w:tc>
          <w:tcPr>
            <w:tcW w:w="2340" w:type="dxa"/>
          </w:tcPr>
          <w:p w14:paraId="428FB96C" w14:textId="77777777" w:rsidR="0066076B" w:rsidRDefault="00ED153A" w:rsidP="000131C9">
            <w:pPr>
              <w:jc w:val="both"/>
            </w:pPr>
            <w:r>
              <w:t>0.612</w:t>
            </w:r>
          </w:p>
        </w:tc>
        <w:tc>
          <w:tcPr>
            <w:tcW w:w="2340" w:type="dxa"/>
          </w:tcPr>
          <w:p w14:paraId="1EC94ABD" w14:textId="77777777" w:rsidR="0066076B" w:rsidRDefault="00ED153A" w:rsidP="000131C9">
            <w:pPr>
              <w:jc w:val="both"/>
            </w:pPr>
            <w:r>
              <w:t>0.495</w:t>
            </w:r>
          </w:p>
        </w:tc>
        <w:tc>
          <w:tcPr>
            <w:tcW w:w="2340" w:type="dxa"/>
          </w:tcPr>
          <w:p w14:paraId="2B44FAB8" w14:textId="77777777" w:rsidR="0066076B" w:rsidRDefault="00ED153A" w:rsidP="000131C9">
            <w:pPr>
              <w:jc w:val="both"/>
            </w:pPr>
            <w:r>
              <w:t>0.720</w:t>
            </w:r>
          </w:p>
        </w:tc>
      </w:tr>
    </w:tbl>
    <w:p w14:paraId="63A43C3D" w14:textId="77777777" w:rsidR="0066076B" w:rsidRDefault="00ED153A" w:rsidP="000131C9">
      <w:pPr>
        <w:jc w:val="both"/>
      </w:pPr>
      <w:r>
        <w:rPr>
          <w:b/>
          <w:sz w:val="26"/>
        </w:rPr>
        <w:t>4.3 Structural model assessment</w:t>
      </w:r>
    </w:p>
    <w:p w14:paraId="2EA7CE92" w14:textId="77777777" w:rsidR="0066076B" w:rsidRDefault="00ED153A" w:rsidP="000131C9">
      <w:pPr>
        <w:spacing w:after="120"/>
        <w:jc w:val="both"/>
      </w:pPr>
      <w:r>
        <w:t>The structural model was evaluated by examining collinearity among predictors (VIF), the significance and magnitude of path coefficients (bootstrapping), explanatory power (R²), effect sizes (f²), and predictive relevance (Q²). Following common guidance, VIF values below 3.3 indicate that collinearity is unlikely to bias estimates.</w:t>
      </w:r>
    </w:p>
    <w:p w14:paraId="76AC8BC8" w14:textId="0BFDC8BB" w:rsidR="0066076B" w:rsidRDefault="00ED153A" w:rsidP="000131C9">
      <w:pPr>
        <w:spacing w:after="120"/>
        <w:jc w:val="both"/>
      </w:pPr>
      <w:r>
        <w:rPr>
          <w:i/>
        </w:rPr>
        <w:t xml:space="preserve">Table </w:t>
      </w:r>
      <w:r w:rsidR="00076345">
        <w:rPr>
          <w:i/>
        </w:rPr>
        <w:t>4</w:t>
      </w:r>
      <w:r>
        <w:rPr>
          <w:i/>
        </w:rPr>
        <w:t>. Structural model results (direct, indirect, and total effects).</w:t>
      </w:r>
    </w:p>
    <w:tbl>
      <w:tblPr>
        <w:tblStyle w:val="TableGrid"/>
        <w:tblW w:w="0" w:type="auto"/>
        <w:tblLook w:val="04A0" w:firstRow="1" w:lastRow="0" w:firstColumn="1" w:lastColumn="0" w:noHBand="0" w:noVBand="1"/>
      </w:tblPr>
      <w:tblGrid>
        <w:gridCol w:w="1790"/>
        <w:gridCol w:w="1508"/>
        <w:gridCol w:w="1515"/>
        <w:gridCol w:w="1516"/>
        <w:gridCol w:w="1508"/>
        <w:gridCol w:w="1513"/>
      </w:tblGrid>
      <w:tr w:rsidR="0066076B" w14:paraId="70F015E7" w14:textId="77777777">
        <w:tc>
          <w:tcPr>
            <w:tcW w:w="1560" w:type="dxa"/>
          </w:tcPr>
          <w:p w14:paraId="547B6234" w14:textId="77777777" w:rsidR="0066076B" w:rsidRDefault="00ED153A" w:rsidP="000131C9">
            <w:pPr>
              <w:jc w:val="both"/>
            </w:pPr>
            <w:r>
              <w:t>Hypothesis/Path</w:t>
            </w:r>
          </w:p>
        </w:tc>
        <w:tc>
          <w:tcPr>
            <w:tcW w:w="1560" w:type="dxa"/>
          </w:tcPr>
          <w:p w14:paraId="1C734A1F" w14:textId="77777777" w:rsidR="0066076B" w:rsidRDefault="00ED153A" w:rsidP="000131C9">
            <w:pPr>
              <w:jc w:val="both"/>
            </w:pPr>
            <w:r>
              <w:t>β</w:t>
            </w:r>
          </w:p>
        </w:tc>
        <w:tc>
          <w:tcPr>
            <w:tcW w:w="1560" w:type="dxa"/>
          </w:tcPr>
          <w:p w14:paraId="0DEF49F4" w14:textId="77777777" w:rsidR="0066076B" w:rsidRDefault="00ED153A" w:rsidP="000131C9">
            <w:pPr>
              <w:jc w:val="both"/>
            </w:pPr>
            <w:r>
              <w:t>t</w:t>
            </w:r>
          </w:p>
        </w:tc>
        <w:tc>
          <w:tcPr>
            <w:tcW w:w="1560" w:type="dxa"/>
          </w:tcPr>
          <w:p w14:paraId="2FF4BC15" w14:textId="77777777" w:rsidR="0066076B" w:rsidRDefault="00ED153A" w:rsidP="000131C9">
            <w:pPr>
              <w:jc w:val="both"/>
            </w:pPr>
            <w:r>
              <w:t>p</w:t>
            </w:r>
          </w:p>
        </w:tc>
        <w:tc>
          <w:tcPr>
            <w:tcW w:w="1560" w:type="dxa"/>
          </w:tcPr>
          <w:p w14:paraId="5AE02C12" w14:textId="77777777" w:rsidR="0066076B" w:rsidRDefault="00ED153A" w:rsidP="000131C9">
            <w:pPr>
              <w:jc w:val="both"/>
            </w:pPr>
            <w:r>
              <w:t>VIF</w:t>
            </w:r>
          </w:p>
        </w:tc>
        <w:tc>
          <w:tcPr>
            <w:tcW w:w="1560" w:type="dxa"/>
          </w:tcPr>
          <w:p w14:paraId="6507A274" w14:textId="77777777" w:rsidR="0066076B" w:rsidRDefault="00ED153A" w:rsidP="000131C9">
            <w:pPr>
              <w:jc w:val="both"/>
            </w:pPr>
            <w:r>
              <w:t>f² (effect size)</w:t>
            </w:r>
          </w:p>
        </w:tc>
      </w:tr>
      <w:tr w:rsidR="0066076B" w14:paraId="50876FDE" w14:textId="77777777">
        <w:tc>
          <w:tcPr>
            <w:tcW w:w="1560" w:type="dxa"/>
          </w:tcPr>
          <w:p w14:paraId="45852FFC" w14:textId="77777777" w:rsidR="0066076B" w:rsidRDefault="00ED153A" w:rsidP="000131C9">
            <w:pPr>
              <w:jc w:val="both"/>
            </w:pPr>
            <w:r>
              <w:t>H2: SP → OA</w:t>
            </w:r>
          </w:p>
        </w:tc>
        <w:tc>
          <w:tcPr>
            <w:tcW w:w="1560" w:type="dxa"/>
          </w:tcPr>
          <w:p w14:paraId="218EB422" w14:textId="77777777" w:rsidR="0066076B" w:rsidRDefault="00ED153A" w:rsidP="000131C9">
            <w:pPr>
              <w:jc w:val="both"/>
            </w:pPr>
            <w:r>
              <w:t>0.549</w:t>
            </w:r>
          </w:p>
        </w:tc>
        <w:tc>
          <w:tcPr>
            <w:tcW w:w="1560" w:type="dxa"/>
          </w:tcPr>
          <w:p w14:paraId="7AA1512B" w14:textId="77777777" w:rsidR="0066076B" w:rsidRDefault="00ED153A" w:rsidP="000131C9">
            <w:pPr>
              <w:jc w:val="both"/>
            </w:pPr>
            <w:r>
              <w:t>10.834</w:t>
            </w:r>
          </w:p>
        </w:tc>
        <w:tc>
          <w:tcPr>
            <w:tcW w:w="1560" w:type="dxa"/>
          </w:tcPr>
          <w:p w14:paraId="19B3D024" w14:textId="77777777" w:rsidR="0066076B" w:rsidRDefault="00ED153A" w:rsidP="000131C9">
            <w:pPr>
              <w:jc w:val="both"/>
            </w:pPr>
            <w:r>
              <w:t>&lt;0.001</w:t>
            </w:r>
          </w:p>
        </w:tc>
        <w:tc>
          <w:tcPr>
            <w:tcW w:w="1560" w:type="dxa"/>
          </w:tcPr>
          <w:p w14:paraId="2244AFC0" w14:textId="77777777" w:rsidR="0066076B" w:rsidRDefault="00ED153A" w:rsidP="000131C9">
            <w:pPr>
              <w:jc w:val="both"/>
            </w:pPr>
            <w:r>
              <w:t>1.000</w:t>
            </w:r>
          </w:p>
        </w:tc>
        <w:tc>
          <w:tcPr>
            <w:tcW w:w="1560" w:type="dxa"/>
          </w:tcPr>
          <w:p w14:paraId="401714D8" w14:textId="77777777" w:rsidR="0066076B" w:rsidRDefault="00ED153A" w:rsidP="000131C9">
            <w:pPr>
              <w:jc w:val="both"/>
            </w:pPr>
            <w:r>
              <w:t>0.421</w:t>
            </w:r>
          </w:p>
        </w:tc>
      </w:tr>
      <w:tr w:rsidR="0066076B" w14:paraId="6D607705" w14:textId="77777777">
        <w:tc>
          <w:tcPr>
            <w:tcW w:w="1560" w:type="dxa"/>
          </w:tcPr>
          <w:p w14:paraId="76DB89D6" w14:textId="77777777" w:rsidR="0066076B" w:rsidRDefault="00ED153A" w:rsidP="000131C9">
            <w:pPr>
              <w:jc w:val="both"/>
            </w:pPr>
            <w:r>
              <w:t>H1: SP → OP</w:t>
            </w:r>
          </w:p>
        </w:tc>
        <w:tc>
          <w:tcPr>
            <w:tcW w:w="1560" w:type="dxa"/>
          </w:tcPr>
          <w:p w14:paraId="5F43D00D" w14:textId="77777777" w:rsidR="0066076B" w:rsidRDefault="00ED153A" w:rsidP="000131C9">
            <w:pPr>
              <w:jc w:val="both"/>
            </w:pPr>
            <w:r>
              <w:t>0.236</w:t>
            </w:r>
          </w:p>
        </w:tc>
        <w:tc>
          <w:tcPr>
            <w:tcW w:w="1560" w:type="dxa"/>
          </w:tcPr>
          <w:p w14:paraId="47915F8F" w14:textId="77777777" w:rsidR="0066076B" w:rsidRDefault="00ED153A" w:rsidP="000131C9">
            <w:pPr>
              <w:jc w:val="both"/>
            </w:pPr>
            <w:r>
              <w:t>3.048</w:t>
            </w:r>
          </w:p>
        </w:tc>
        <w:tc>
          <w:tcPr>
            <w:tcW w:w="1560" w:type="dxa"/>
          </w:tcPr>
          <w:p w14:paraId="2F0BCCD0" w14:textId="77777777" w:rsidR="0066076B" w:rsidRDefault="00ED153A" w:rsidP="000131C9">
            <w:pPr>
              <w:jc w:val="both"/>
            </w:pPr>
            <w:r>
              <w:t>0.002</w:t>
            </w:r>
          </w:p>
        </w:tc>
        <w:tc>
          <w:tcPr>
            <w:tcW w:w="1560" w:type="dxa"/>
          </w:tcPr>
          <w:p w14:paraId="72BD158F" w14:textId="77777777" w:rsidR="0066076B" w:rsidRDefault="00ED153A" w:rsidP="000131C9">
            <w:pPr>
              <w:jc w:val="both"/>
            </w:pPr>
            <w:r>
              <w:t>1.431</w:t>
            </w:r>
          </w:p>
        </w:tc>
        <w:tc>
          <w:tcPr>
            <w:tcW w:w="1560" w:type="dxa"/>
          </w:tcPr>
          <w:p w14:paraId="5AF11286" w14:textId="77777777" w:rsidR="0066076B" w:rsidRDefault="00ED153A" w:rsidP="000131C9">
            <w:pPr>
              <w:jc w:val="both"/>
            </w:pPr>
            <w:r>
              <w:t>0.057</w:t>
            </w:r>
          </w:p>
        </w:tc>
      </w:tr>
      <w:tr w:rsidR="0066076B" w14:paraId="5B1E1EAA" w14:textId="77777777">
        <w:tc>
          <w:tcPr>
            <w:tcW w:w="1560" w:type="dxa"/>
          </w:tcPr>
          <w:p w14:paraId="28C2DA94" w14:textId="77777777" w:rsidR="0066076B" w:rsidRDefault="00ED153A" w:rsidP="000131C9">
            <w:pPr>
              <w:jc w:val="both"/>
            </w:pPr>
            <w:r>
              <w:t>H3: OA → OP</w:t>
            </w:r>
          </w:p>
        </w:tc>
        <w:tc>
          <w:tcPr>
            <w:tcW w:w="1560" w:type="dxa"/>
          </w:tcPr>
          <w:p w14:paraId="564818A3" w14:textId="77777777" w:rsidR="0066076B" w:rsidRDefault="00ED153A" w:rsidP="000131C9">
            <w:pPr>
              <w:jc w:val="both"/>
            </w:pPr>
            <w:r>
              <w:t>0.424</w:t>
            </w:r>
          </w:p>
        </w:tc>
        <w:tc>
          <w:tcPr>
            <w:tcW w:w="1560" w:type="dxa"/>
          </w:tcPr>
          <w:p w14:paraId="26E5F9E3" w14:textId="77777777" w:rsidR="0066076B" w:rsidRDefault="00ED153A" w:rsidP="000131C9">
            <w:pPr>
              <w:jc w:val="both"/>
            </w:pPr>
            <w:r>
              <w:t>5.789</w:t>
            </w:r>
          </w:p>
        </w:tc>
        <w:tc>
          <w:tcPr>
            <w:tcW w:w="1560" w:type="dxa"/>
          </w:tcPr>
          <w:p w14:paraId="5FB036AE" w14:textId="77777777" w:rsidR="0066076B" w:rsidRDefault="00ED153A" w:rsidP="000131C9">
            <w:pPr>
              <w:jc w:val="both"/>
            </w:pPr>
            <w:r>
              <w:t>&lt;0.001</w:t>
            </w:r>
          </w:p>
        </w:tc>
        <w:tc>
          <w:tcPr>
            <w:tcW w:w="1560" w:type="dxa"/>
          </w:tcPr>
          <w:p w14:paraId="062E9A6A" w14:textId="77777777" w:rsidR="0066076B" w:rsidRDefault="00ED153A" w:rsidP="000131C9">
            <w:pPr>
              <w:jc w:val="both"/>
            </w:pPr>
            <w:r>
              <w:t>1.431</w:t>
            </w:r>
          </w:p>
        </w:tc>
        <w:tc>
          <w:tcPr>
            <w:tcW w:w="1560" w:type="dxa"/>
          </w:tcPr>
          <w:p w14:paraId="44E688E2" w14:textId="77777777" w:rsidR="0066076B" w:rsidRDefault="00ED153A" w:rsidP="000131C9">
            <w:pPr>
              <w:jc w:val="both"/>
            </w:pPr>
            <w:r>
              <w:t>0.183</w:t>
            </w:r>
          </w:p>
        </w:tc>
      </w:tr>
      <w:tr w:rsidR="0066076B" w14:paraId="34B9AF7C" w14:textId="77777777">
        <w:tc>
          <w:tcPr>
            <w:tcW w:w="1560" w:type="dxa"/>
          </w:tcPr>
          <w:p w14:paraId="2D8B546C" w14:textId="77777777" w:rsidR="0066076B" w:rsidRDefault="00ED153A" w:rsidP="000131C9">
            <w:pPr>
              <w:jc w:val="both"/>
            </w:pPr>
            <w:r>
              <w:t>H4: SP → OA → OP (indirect)</w:t>
            </w:r>
          </w:p>
        </w:tc>
        <w:tc>
          <w:tcPr>
            <w:tcW w:w="1560" w:type="dxa"/>
          </w:tcPr>
          <w:p w14:paraId="553285F4" w14:textId="77777777" w:rsidR="0066076B" w:rsidRDefault="00ED153A" w:rsidP="000131C9">
            <w:pPr>
              <w:jc w:val="both"/>
            </w:pPr>
            <w:r>
              <w:t>0.233</w:t>
            </w:r>
          </w:p>
        </w:tc>
        <w:tc>
          <w:tcPr>
            <w:tcW w:w="1560" w:type="dxa"/>
          </w:tcPr>
          <w:p w14:paraId="0E49CFDD" w14:textId="77777777" w:rsidR="0066076B" w:rsidRDefault="00ED153A" w:rsidP="000131C9">
            <w:pPr>
              <w:jc w:val="both"/>
            </w:pPr>
            <w:r>
              <w:t>5.323</w:t>
            </w:r>
          </w:p>
        </w:tc>
        <w:tc>
          <w:tcPr>
            <w:tcW w:w="1560" w:type="dxa"/>
          </w:tcPr>
          <w:p w14:paraId="40B80C2E" w14:textId="77777777" w:rsidR="0066076B" w:rsidRDefault="00ED153A" w:rsidP="000131C9">
            <w:pPr>
              <w:jc w:val="both"/>
            </w:pPr>
            <w:r>
              <w:t>&lt;0.001</w:t>
            </w:r>
          </w:p>
        </w:tc>
        <w:tc>
          <w:tcPr>
            <w:tcW w:w="1560" w:type="dxa"/>
          </w:tcPr>
          <w:p w14:paraId="6FB811B5" w14:textId="77777777" w:rsidR="0066076B" w:rsidRDefault="00ED153A" w:rsidP="000131C9">
            <w:pPr>
              <w:jc w:val="both"/>
            </w:pPr>
            <w:r>
              <w:t>—</w:t>
            </w:r>
          </w:p>
        </w:tc>
        <w:tc>
          <w:tcPr>
            <w:tcW w:w="1560" w:type="dxa"/>
          </w:tcPr>
          <w:p w14:paraId="038C3429" w14:textId="77777777" w:rsidR="0066076B" w:rsidRDefault="00ED153A" w:rsidP="000131C9">
            <w:pPr>
              <w:jc w:val="both"/>
            </w:pPr>
            <w:r>
              <w:t>—</w:t>
            </w:r>
          </w:p>
        </w:tc>
      </w:tr>
      <w:tr w:rsidR="0066076B" w14:paraId="648C2D50" w14:textId="77777777">
        <w:tc>
          <w:tcPr>
            <w:tcW w:w="1560" w:type="dxa"/>
          </w:tcPr>
          <w:p w14:paraId="528DF06D" w14:textId="77777777" w:rsidR="0066076B" w:rsidRDefault="00ED153A" w:rsidP="000131C9">
            <w:pPr>
              <w:jc w:val="both"/>
            </w:pPr>
            <w:r>
              <w:t>Total effect: SP → OP</w:t>
            </w:r>
          </w:p>
        </w:tc>
        <w:tc>
          <w:tcPr>
            <w:tcW w:w="1560" w:type="dxa"/>
          </w:tcPr>
          <w:p w14:paraId="2A4D7145" w14:textId="77777777" w:rsidR="0066076B" w:rsidRDefault="00ED153A" w:rsidP="000131C9">
            <w:pPr>
              <w:jc w:val="both"/>
            </w:pPr>
            <w:r>
              <w:t>0.469</w:t>
            </w:r>
          </w:p>
        </w:tc>
        <w:tc>
          <w:tcPr>
            <w:tcW w:w="1560" w:type="dxa"/>
          </w:tcPr>
          <w:p w14:paraId="77FF3E94" w14:textId="77777777" w:rsidR="0066076B" w:rsidRDefault="00ED153A" w:rsidP="000131C9">
            <w:pPr>
              <w:jc w:val="both"/>
            </w:pPr>
            <w:r>
              <w:t>6.585</w:t>
            </w:r>
          </w:p>
        </w:tc>
        <w:tc>
          <w:tcPr>
            <w:tcW w:w="1560" w:type="dxa"/>
          </w:tcPr>
          <w:p w14:paraId="16109DCB" w14:textId="77777777" w:rsidR="0066076B" w:rsidRDefault="00ED153A" w:rsidP="000131C9">
            <w:pPr>
              <w:jc w:val="both"/>
            </w:pPr>
            <w:r>
              <w:t>&lt;0.001</w:t>
            </w:r>
          </w:p>
        </w:tc>
        <w:tc>
          <w:tcPr>
            <w:tcW w:w="1560" w:type="dxa"/>
          </w:tcPr>
          <w:p w14:paraId="16822920" w14:textId="77777777" w:rsidR="0066076B" w:rsidRDefault="00ED153A" w:rsidP="000131C9">
            <w:pPr>
              <w:jc w:val="both"/>
            </w:pPr>
            <w:r>
              <w:t>—</w:t>
            </w:r>
          </w:p>
        </w:tc>
        <w:tc>
          <w:tcPr>
            <w:tcW w:w="1560" w:type="dxa"/>
          </w:tcPr>
          <w:p w14:paraId="1A7062D4" w14:textId="77777777" w:rsidR="0066076B" w:rsidRDefault="00ED153A" w:rsidP="000131C9">
            <w:pPr>
              <w:jc w:val="both"/>
            </w:pPr>
            <w:r>
              <w:t>—</w:t>
            </w:r>
          </w:p>
        </w:tc>
      </w:tr>
    </w:tbl>
    <w:p w14:paraId="70B34F25" w14:textId="04EE57CF" w:rsidR="0066076B" w:rsidRDefault="00ED153A" w:rsidP="000131C9">
      <w:pPr>
        <w:spacing w:after="120"/>
        <w:jc w:val="both"/>
      </w:pPr>
      <w:r>
        <w:rPr>
          <w:i/>
        </w:rPr>
        <w:t xml:space="preserve">Table </w:t>
      </w:r>
      <w:r w:rsidR="00076345">
        <w:rPr>
          <w:i/>
        </w:rPr>
        <w:t>5</w:t>
      </w:r>
      <w:r>
        <w:rPr>
          <w:i/>
        </w:rPr>
        <w:t>. Coefficient of determination (R²).</w:t>
      </w:r>
    </w:p>
    <w:tbl>
      <w:tblPr>
        <w:tblStyle w:val="TableGrid"/>
        <w:tblW w:w="0" w:type="auto"/>
        <w:tblLook w:val="04A0" w:firstRow="1" w:lastRow="0" w:firstColumn="1" w:lastColumn="0" w:noHBand="0" w:noVBand="1"/>
      </w:tblPr>
      <w:tblGrid>
        <w:gridCol w:w="4675"/>
        <w:gridCol w:w="4675"/>
      </w:tblGrid>
      <w:tr w:rsidR="0066076B" w14:paraId="35D02789" w14:textId="77777777">
        <w:tc>
          <w:tcPr>
            <w:tcW w:w="4680" w:type="dxa"/>
          </w:tcPr>
          <w:p w14:paraId="29F02CAA" w14:textId="77777777" w:rsidR="0066076B" w:rsidRDefault="00ED153A" w:rsidP="000131C9">
            <w:pPr>
              <w:jc w:val="both"/>
            </w:pPr>
            <w:r>
              <w:t>Endogenous construct</w:t>
            </w:r>
          </w:p>
        </w:tc>
        <w:tc>
          <w:tcPr>
            <w:tcW w:w="4680" w:type="dxa"/>
          </w:tcPr>
          <w:p w14:paraId="7DEE30B9" w14:textId="77777777" w:rsidR="0066076B" w:rsidRDefault="00ED153A" w:rsidP="000131C9">
            <w:pPr>
              <w:jc w:val="both"/>
            </w:pPr>
            <w:r>
              <w:t>R²</w:t>
            </w:r>
          </w:p>
        </w:tc>
      </w:tr>
      <w:tr w:rsidR="0066076B" w14:paraId="1B3C115E" w14:textId="77777777">
        <w:tc>
          <w:tcPr>
            <w:tcW w:w="4680" w:type="dxa"/>
          </w:tcPr>
          <w:p w14:paraId="0D899634" w14:textId="77777777" w:rsidR="0066076B" w:rsidRDefault="00ED153A" w:rsidP="000131C9">
            <w:pPr>
              <w:jc w:val="both"/>
            </w:pPr>
            <w:r>
              <w:t>OA</w:t>
            </w:r>
          </w:p>
        </w:tc>
        <w:tc>
          <w:tcPr>
            <w:tcW w:w="4680" w:type="dxa"/>
          </w:tcPr>
          <w:p w14:paraId="7253FDCA" w14:textId="77777777" w:rsidR="0066076B" w:rsidRDefault="00ED153A" w:rsidP="000131C9">
            <w:pPr>
              <w:jc w:val="both"/>
            </w:pPr>
            <w:r>
              <w:t>0.301</w:t>
            </w:r>
          </w:p>
        </w:tc>
      </w:tr>
      <w:tr w:rsidR="0066076B" w14:paraId="38658F58" w14:textId="77777777">
        <w:tc>
          <w:tcPr>
            <w:tcW w:w="4680" w:type="dxa"/>
          </w:tcPr>
          <w:p w14:paraId="6A72F4AC" w14:textId="77777777" w:rsidR="0066076B" w:rsidRDefault="00ED153A" w:rsidP="000131C9">
            <w:pPr>
              <w:jc w:val="both"/>
            </w:pPr>
            <w:r>
              <w:t>OP</w:t>
            </w:r>
          </w:p>
        </w:tc>
        <w:tc>
          <w:tcPr>
            <w:tcW w:w="4680" w:type="dxa"/>
          </w:tcPr>
          <w:p w14:paraId="57216D29" w14:textId="77777777" w:rsidR="0066076B" w:rsidRDefault="00ED153A" w:rsidP="000131C9">
            <w:pPr>
              <w:jc w:val="both"/>
            </w:pPr>
            <w:r>
              <w:t>0.345</w:t>
            </w:r>
          </w:p>
        </w:tc>
      </w:tr>
    </w:tbl>
    <w:p w14:paraId="2B38E774" w14:textId="36D83875" w:rsidR="0066076B" w:rsidRDefault="00ED153A" w:rsidP="000131C9">
      <w:pPr>
        <w:spacing w:after="120"/>
        <w:jc w:val="both"/>
      </w:pPr>
      <w:r>
        <w:rPr>
          <w:i/>
        </w:rPr>
        <w:t xml:space="preserve">Table </w:t>
      </w:r>
      <w:r w:rsidR="00076345">
        <w:rPr>
          <w:i/>
        </w:rPr>
        <w:t>6</w:t>
      </w:r>
      <w:r>
        <w:rPr>
          <w:i/>
        </w:rPr>
        <w:t>. Predictive relevance (Q²).</w:t>
      </w:r>
    </w:p>
    <w:tbl>
      <w:tblPr>
        <w:tblStyle w:val="TableGrid"/>
        <w:tblW w:w="0" w:type="auto"/>
        <w:tblLook w:val="04A0" w:firstRow="1" w:lastRow="0" w:firstColumn="1" w:lastColumn="0" w:noHBand="0" w:noVBand="1"/>
      </w:tblPr>
      <w:tblGrid>
        <w:gridCol w:w="4675"/>
        <w:gridCol w:w="4675"/>
      </w:tblGrid>
      <w:tr w:rsidR="0066076B" w14:paraId="1A7399DB" w14:textId="77777777">
        <w:tc>
          <w:tcPr>
            <w:tcW w:w="4680" w:type="dxa"/>
          </w:tcPr>
          <w:p w14:paraId="411427BB" w14:textId="77777777" w:rsidR="0066076B" w:rsidRDefault="00ED153A" w:rsidP="000131C9">
            <w:pPr>
              <w:jc w:val="both"/>
            </w:pPr>
            <w:r>
              <w:t>Endogenous construct</w:t>
            </w:r>
          </w:p>
        </w:tc>
        <w:tc>
          <w:tcPr>
            <w:tcW w:w="4680" w:type="dxa"/>
          </w:tcPr>
          <w:p w14:paraId="3D44FB90" w14:textId="77777777" w:rsidR="0066076B" w:rsidRDefault="00ED153A" w:rsidP="000131C9">
            <w:pPr>
              <w:jc w:val="both"/>
            </w:pPr>
            <w:r>
              <w:t>Q²</w:t>
            </w:r>
          </w:p>
        </w:tc>
      </w:tr>
      <w:tr w:rsidR="0066076B" w14:paraId="773CFC70" w14:textId="77777777">
        <w:tc>
          <w:tcPr>
            <w:tcW w:w="4680" w:type="dxa"/>
          </w:tcPr>
          <w:p w14:paraId="5FE23887" w14:textId="77777777" w:rsidR="0066076B" w:rsidRDefault="00ED153A" w:rsidP="000131C9">
            <w:pPr>
              <w:jc w:val="both"/>
            </w:pPr>
            <w:r>
              <w:t>OA</w:t>
            </w:r>
          </w:p>
        </w:tc>
        <w:tc>
          <w:tcPr>
            <w:tcW w:w="4680" w:type="dxa"/>
          </w:tcPr>
          <w:p w14:paraId="049F884F" w14:textId="77777777" w:rsidR="0066076B" w:rsidRDefault="00ED153A" w:rsidP="000131C9">
            <w:pPr>
              <w:jc w:val="both"/>
            </w:pPr>
            <w:r>
              <w:t>0.191</w:t>
            </w:r>
          </w:p>
        </w:tc>
      </w:tr>
      <w:tr w:rsidR="0066076B" w14:paraId="4281EA34" w14:textId="77777777">
        <w:tc>
          <w:tcPr>
            <w:tcW w:w="4680" w:type="dxa"/>
          </w:tcPr>
          <w:p w14:paraId="79AD484C" w14:textId="77777777" w:rsidR="0066076B" w:rsidRDefault="00ED153A" w:rsidP="000131C9">
            <w:pPr>
              <w:jc w:val="both"/>
            </w:pPr>
            <w:r>
              <w:lastRenderedPageBreak/>
              <w:t>OP</w:t>
            </w:r>
          </w:p>
        </w:tc>
        <w:tc>
          <w:tcPr>
            <w:tcW w:w="4680" w:type="dxa"/>
          </w:tcPr>
          <w:p w14:paraId="07BB964E" w14:textId="77777777" w:rsidR="0066076B" w:rsidRDefault="00ED153A" w:rsidP="000131C9">
            <w:pPr>
              <w:jc w:val="both"/>
            </w:pPr>
            <w:r>
              <w:t>0.222</w:t>
            </w:r>
          </w:p>
        </w:tc>
      </w:tr>
    </w:tbl>
    <w:p w14:paraId="0D02ABC1" w14:textId="77777777" w:rsidR="0066076B" w:rsidRDefault="00ED153A" w:rsidP="000131C9">
      <w:pPr>
        <w:jc w:val="both"/>
      </w:pPr>
      <w:r>
        <w:t>Figure 2 presents the estimated structural model with standardized path coefficients and R² values.</w:t>
      </w:r>
    </w:p>
    <w:p w14:paraId="3A83BCF1" w14:textId="18F48364" w:rsidR="0066076B" w:rsidRDefault="00890648" w:rsidP="000131C9">
      <w:pPr>
        <w:jc w:val="both"/>
      </w:pPr>
      <w:r w:rsidRPr="00890648">
        <w:rPr>
          <w:noProof/>
        </w:rPr>
        <w:drawing>
          <wp:inline distT="0" distB="0" distL="0" distR="0" wp14:anchorId="15DA80D7" wp14:editId="03262246">
            <wp:extent cx="5943600" cy="2146300"/>
            <wp:effectExtent l="0" t="0" r="0" b="6350"/>
            <wp:docPr id="534297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46300"/>
                    </a:xfrm>
                    <a:prstGeom prst="rect">
                      <a:avLst/>
                    </a:prstGeom>
                    <a:noFill/>
                    <a:ln>
                      <a:noFill/>
                    </a:ln>
                  </pic:spPr>
                </pic:pic>
              </a:graphicData>
            </a:graphic>
          </wp:inline>
        </w:drawing>
      </w:r>
    </w:p>
    <w:p w14:paraId="6AF43B5F" w14:textId="77777777" w:rsidR="0066076B" w:rsidRDefault="00ED153A" w:rsidP="000131C9">
      <w:pPr>
        <w:jc w:val="both"/>
      </w:pPr>
      <w:r>
        <w:rPr>
          <w:b/>
        </w:rPr>
        <w:t>Figure 2. Structural model results (PLS-SEM).</w:t>
      </w:r>
    </w:p>
    <w:p w14:paraId="369692D7" w14:textId="0C5361DB" w:rsidR="0066076B" w:rsidRDefault="00ED153A" w:rsidP="000131C9">
      <w:pPr>
        <w:spacing w:after="120"/>
        <w:jc w:val="both"/>
      </w:pPr>
      <w:r>
        <w:t xml:space="preserve">The results support all hypothesized direct relationships (H1–H3) and confirm a statistically significant indirect effect (H4). Specifically, strategic planning exhibits a strong positive </w:t>
      </w:r>
      <w:r w:rsidRPr="00551AC8">
        <w:rPr>
          <w:highlight w:val="yellow"/>
        </w:rPr>
        <w:t>association with organizational agility, and agility is positively associated with organizational performance. The significant direct effect of strategic planning on performance</w:t>
      </w:r>
      <w:r w:rsidR="004722AF" w:rsidRPr="00551AC8">
        <w:rPr>
          <w:highlight w:val="yellow"/>
        </w:rPr>
        <w:t>,</w:t>
      </w:r>
      <w:r w:rsidRPr="00551AC8">
        <w:rPr>
          <w:highlight w:val="yellow"/>
        </w:rPr>
        <w:t xml:space="preserve"> alongside the indirect pathway</w:t>
      </w:r>
      <w:r w:rsidR="004722AF" w:rsidRPr="00551AC8">
        <w:rPr>
          <w:highlight w:val="yellow"/>
        </w:rPr>
        <w:t>,</w:t>
      </w:r>
      <w:r w:rsidRPr="00551AC8">
        <w:rPr>
          <w:highlight w:val="yellow"/>
        </w:rPr>
        <w:t xml:space="preserve"> suggests</w:t>
      </w:r>
      <w:r>
        <w:t xml:space="preserve"> partial mediation. Effect sizes indicate that SP has a large contribution to explaining OA (f² ≈ 0.42), whereas OA’s contribution to OP is medium (f² ≈ 0.18) and SP’s direct contribution to OP is small (f² ≈ 0.06). Both endogenous constructs show moderate explanatory power (R²) and meaningful predictive relevance (Q² &gt; 0).</w:t>
      </w:r>
    </w:p>
    <w:p w14:paraId="498C082A" w14:textId="77777777" w:rsidR="0066076B" w:rsidRDefault="00ED153A" w:rsidP="000131C9">
      <w:pPr>
        <w:jc w:val="both"/>
      </w:pPr>
      <w:r>
        <w:rPr>
          <w:b/>
          <w:sz w:val="26"/>
        </w:rPr>
        <w:t>4.4 Common method bias diagnostics</w:t>
      </w:r>
    </w:p>
    <w:p w14:paraId="1C2206BB" w14:textId="77777777" w:rsidR="0066076B" w:rsidRDefault="00ED153A" w:rsidP="000131C9">
      <w:pPr>
        <w:spacing w:after="120"/>
        <w:jc w:val="both"/>
      </w:pPr>
      <w:r>
        <w:t>Because data were collected using a single questionnaire at one point in time, common method bias (CMB) is a potential concern. Procedurally, the survey emphasized anonymity, reduced evaluation apprehension, and used clear item wording to limit method effects. Statistically, we conducted two complementary diagnostics. First, Harman’s single-factor test (unrotated PCA of all 18 indicators) showed that the first factor accounts for 43.6% of the total variance—below the conventional 50% threshold—suggesting that a single method factor is not dominant. Second, we applied the full collinearity approach by examining VIFs from regressions among construct composites; all VIFs ranged from 1.267 to 1.421, well below the 3.3 guideline, indicating that CMB is unlikely to materially bias the estimates.</w:t>
      </w:r>
    </w:p>
    <w:p w14:paraId="6068F4BF" w14:textId="7197AA75" w:rsidR="0066076B" w:rsidRDefault="00ED153A" w:rsidP="000131C9">
      <w:pPr>
        <w:spacing w:after="120"/>
        <w:jc w:val="both"/>
      </w:pPr>
      <w:r>
        <w:rPr>
          <w:i/>
        </w:rPr>
        <w:t xml:space="preserve">Table </w:t>
      </w:r>
      <w:r w:rsidR="00076345">
        <w:rPr>
          <w:i/>
        </w:rPr>
        <w:t>7</w:t>
      </w:r>
      <w:r>
        <w:rPr>
          <w:i/>
        </w:rPr>
        <w:t>. Common method bias (CMB) diagnostics.</w:t>
      </w:r>
    </w:p>
    <w:tbl>
      <w:tblPr>
        <w:tblStyle w:val="TableGrid"/>
        <w:tblW w:w="0" w:type="auto"/>
        <w:tblLook w:val="04A0" w:firstRow="1" w:lastRow="0" w:firstColumn="1" w:lastColumn="0" w:noHBand="0" w:noVBand="1"/>
      </w:tblPr>
      <w:tblGrid>
        <w:gridCol w:w="2338"/>
        <w:gridCol w:w="2337"/>
        <w:gridCol w:w="2337"/>
        <w:gridCol w:w="2338"/>
      </w:tblGrid>
      <w:tr w:rsidR="0066076B" w14:paraId="71E3D28E" w14:textId="77777777">
        <w:tc>
          <w:tcPr>
            <w:tcW w:w="2340" w:type="dxa"/>
          </w:tcPr>
          <w:p w14:paraId="358221CC" w14:textId="77777777" w:rsidR="0066076B" w:rsidRDefault="00ED153A" w:rsidP="000131C9">
            <w:pPr>
              <w:jc w:val="both"/>
            </w:pPr>
            <w:r>
              <w:t>Diagnostic</w:t>
            </w:r>
          </w:p>
        </w:tc>
        <w:tc>
          <w:tcPr>
            <w:tcW w:w="2340" w:type="dxa"/>
          </w:tcPr>
          <w:p w14:paraId="5C5763DA" w14:textId="77777777" w:rsidR="0066076B" w:rsidRDefault="00ED153A" w:rsidP="000131C9">
            <w:pPr>
              <w:jc w:val="both"/>
            </w:pPr>
            <w:r>
              <w:t>Result</w:t>
            </w:r>
          </w:p>
        </w:tc>
        <w:tc>
          <w:tcPr>
            <w:tcW w:w="2340" w:type="dxa"/>
          </w:tcPr>
          <w:p w14:paraId="1F9E8CBF" w14:textId="77777777" w:rsidR="0066076B" w:rsidRDefault="00ED153A" w:rsidP="000131C9">
            <w:pPr>
              <w:jc w:val="both"/>
            </w:pPr>
            <w:r>
              <w:t>Rule of thumb</w:t>
            </w:r>
          </w:p>
        </w:tc>
        <w:tc>
          <w:tcPr>
            <w:tcW w:w="2340" w:type="dxa"/>
          </w:tcPr>
          <w:p w14:paraId="208A3A1B" w14:textId="77777777" w:rsidR="0066076B" w:rsidRDefault="00ED153A" w:rsidP="000131C9">
            <w:pPr>
              <w:jc w:val="both"/>
            </w:pPr>
            <w:r>
              <w:t>Interpretation</w:t>
            </w:r>
          </w:p>
        </w:tc>
      </w:tr>
      <w:tr w:rsidR="0066076B" w14:paraId="35AB1333" w14:textId="77777777">
        <w:tc>
          <w:tcPr>
            <w:tcW w:w="2340" w:type="dxa"/>
          </w:tcPr>
          <w:p w14:paraId="4C118CFE" w14:textId="77777777" w:rsidR="0066076B" w:rsidRDefault="00ED153A" w:rsidP="000131C9">
            <w:pPr>
              <w:jc w:val="both"/>
            </w:pPr>
            <w:r>
              <w:t>Harman’s single-factor test</w:t>
            </w:r>
          </w:p>
        </w:tc>
        <w:tc>
          <w:tcPr>
            <w:tcW w:w="2340" w:type="dxa"/>
          </w:tcPr>
          <w:p w14:paraId="585ACC68" w14:textId="77777777" w:rsidR="0066076B" w:rsidRDefault="00ED153A" w:rsidP="000131C9">
            <w:pPr>
              <w:jc w:val="both"/>
            </w:pPr>
            <w:r>
              <w:t>First factor = 43.6% variance</w:t>
            </w:r>
          </w:p>
        </w:tc>
        <w:tc>
          <w:tcPr>
            <w:tcW w:w="2340" w:type="dxa"/>
          </w:tcPr>
          <w:p w14:paraId="2E608D58" w14:textId="77777777" w:rsidR="0066076B" w:rsidRDefault="00ED153A" w:rsidP="000131C9">
            <w:pPr>
              <w:jc w:val="both"/>
            </w:pPr>
            <w:r>
              <w:t>&lt; 50%</w:t>
            </w:r>
          </w:p>
        </w:tc>
        <w:tc>
          <w:tcPr>
            <w:tcW w:w="2340" w:type="dxa"/>
          </w:tcPr>
          <w:p w14:paraId="491B4175" w14:textId="77777777" w:rsidR="0066076B" w:rsidRDefault="00ED153A" w:rsidP="000131C9">
            <w:pPr>
              <w:jc w:val="both"/>
            </w:pPr>
            <w:r>
              <w:t>No dominant single factor</w:t>
            </w:r>
          </w:p>
        </w:tc>
      </w:tr>
      <w:tr w:rsidR="0066076B" w14:paraId="54670F9C" w14:textId="77777777">
        <w:tc>
          <w:tcPr>
            <w:tcW w:w="2340" w:type="dxa"/>
          </w:tcPr>
          <w:p w14:paraId="7F0C625E" w14:textId="77777777" w:rsidR="0066076B" w:rsidRDefault="00ED153A" w:rsidP="000131C9">
            <w:pPr>
              <w:jc w:val="both"/>
            </w:pPr>
            <w:r>
              <w:lastRenderedPageBreak/>
              <w:t>Full collinearity VIF (range)</w:t>
            </w:r>
          </w:p>
        </w:tc>
        <w:tc>
          <w:tcPr>
            <w:tcW w:w="2340" w:type="dxa"/>
          </w:tcPr>
          <w:p w14:paraId="19269DFF" w14:textId="77777777" w:rsidR="0066076B" w:rsidRDefault="00ED153A" w:rsidP="000131C9">
            <w:pPr>
              <w:jc w:val="both"/>
            </w:pPr>
            <w:r>
              <w:t>1.267–1.421</w:t>
            </w:r>
          </w:p>
        </w:tc>
        <w:tc>
          <w:tcPr>
            <w:tcW w:w="2340" w:type="dxa"/>
          </w:tcPr>
          <w:p w14:paraId="7987FE33" w14:textId="77777777" w:rsidR="0066076B" w:rsidRDefault="00ED153A" w:rsidP="000131C9">
            <w:pPr>
              <w:jc w:val="both"/>
            </w:pPr>
            <w:r>
              <w:t>&lt; 3.3</w:t>
            </w:r>
          </w:p>
        </w:tc>
        <w:tc>
          <w:tcPr>
            <w:tcW w:w="2340" w:type="dxa"/>
          </w:tcPr>
          <w:p w14:paraId="712FDE10" w14:textId="77777777" w:rsidR="0066076B" w:rsidRDefault="00ED153A" w:rsidP="000131C9">
            <w:pPr>
              <w:jc w:val="both"/>
            </w:pPr>
            <w:r>
              <w:t>CMB unlikely to be severe</w:t>
            </w:r>
          </w:p>
        </w:tc>
      </w:tr>
    </w:tbl>
    <w:p w14:paraId="57CC2611" w14:textId="77777777" w:rsidR="00751A00" w:rsidRDefault="00751A00" w:rsidP="000131C9">
      <w:pPr>
        <w:jc w:val="both"/>
        <w:rPr>
          <w:b/>
          <w:sz w:val="26"/>
        </w:rPr>
      </w:pPr>
    </w:p>
    <w:p w14:paraId="10CEC0FF" w14:textId="3509E613" w:rsidR="0066076B" w:rsidRDefault="00ED153A" w:rsidP="000131C9">
      <w:pPr>
        <w:jc w:val="both"/>
      </w:pPr>
      <w:r>
        <w:rPr>
          <w:b/>
          <w:sz w:val="26"/>
        </w:rPr>
        <w:t>4.5 Practical and predictive significance</w:t>
      </w:r>
    </w:p>
    <w:p w14:paraId="66CEAAA3" w14:textId="77777777" w:rsidR="0066076B" w:rsidRDefault="00ED153A" w:rsidP="000131C9">
      <w:pPr>
        <w:spacing w:after="120"/>
        <w:jc w:val="both"/>
      </w:pPr>
      <w:r>
        <w:t>Statistical significance is not the same as practical significance. For applied public-sector research, the magnitude of effects and the amount of explained variance are often more relevant to managers than p-values alone. In this study, the SP → OA path (β = 0.549) is substantively large, suggesting that improvements in planning quality are strongly associated with improvements in agility routines. This is consistent with the idea that planning can ‘rewire’ coordination and sensing habits.</w:t>
      </w:r>
    </w:p>
    <w:p w14:paraId="21750B4E" w14:textId="77777777" w:rsidR="0066076B" w:rsidRDefault="00ED153A" w:rsidP="000131C9">
      <w:pPr>
        <w:spacing w:after="120"/>
        <w:jc w:val="both"/>
      </w:pPr>
      <w:r>
        <w:t>The model explains 30.1% of the variance in agility and 34.5% of the variance in performance. These values should be interpreted in context: performance in public organizations is shaped by many exogenous drivers (political directives, budgets, staffing rules, and environmental shocks). Under such conditions, explaining one-third of performance variance through two managerial constructs is typically meaningful. Predictive relevance (Q²) values are also positive for both endogenous constructs, indicating that the model has out-of-sample predictive capacity beyond a naïve benchmark.</w:t>
      </w:r>
    </w:p>
    <w:p w14:paraId="223F6BE1" w14:textId="77777777" w:rsidR="0066076B" w:rsidRDefault="00ED153A" w:rsidP="000131C9">
      <w:pPr>
        <w:spacing w:after="120"/>
        <w:jc w:val="both"/>
      </w:pPr>
      <w:r>
        <w:t>For mediation, it is useful to report not only the significance of the indirect effect, but also its relative size. Using the standardized coefficients, the indirect effect is β_indirect = 0.245 and the total effect is β_total = 0.470. The variance accounted for (VAF = β_indirect/β_total) is approximately 0.522, suggesting that about 52% of the total effect of strategic planning on performance operates through agility. This aligns with a ‘capability mechanism’ interpretation and supports the conclusion of partial mediation.</w:t>
      </w:r>
    </w:p>
    <w:p w14:paraId="761A6795" w14:textId="77777777" w:rsidR="0066076B" w:rsidRDefault="00ED153A" w:rsidP="000131C9">
      <w:pPr>
        <w:jc w:val="both"/>
      </w:pPr>
      <w:r>
        <w:rPr>
          <w:b/>
          <w:sz w:val="28"/>
        </w:rPr>
        <w:t>5. Discussion</w:t>
      </w:r>
    </w:p>
    <w:p w14:paraId="6E04BEF4" w14:textId="77777777" w:rsidR="0066076B" w:rsidRDefault="00ED153A" w:rsidP="000131C9">
      <w:pPr>
        <w:spacing w:after="120"/>
        <w:jc w:val="both"/>
      </w:pPr>
      <w:r>
        <w:t>This study set out to clarify whether strategic planning improves organizational performance in Iraqi public sector organizations and whether organizational agility constitutes a mechanism that translates planning into performance. The empirical results support a capability-based interpretation: planning is associated with higher performance partly because it is associated with higher agility.</w:t>
      </w:r>
    </w:p>
    <w:p w14:paraId="471E9259" w14:textId="77777777" w:rsidR="0066076B" w:rsidRDefault="00ED153A" w:rsidP="000131C9">
      <w:pPr>
        <w:spacing w:after="120"/>
        <w:jc w:val="both"/>
      </w:pPr>
      <w:r>
        <w:t>The strong SP → OA relationship suggests that, in this context, effective planning is not merely a formal exercise. When planning routines include environmental scanning, cross-unit coordination, resource prioritization, and systematic follow-up, they can cultivate agility—namely, the ability to sense changes, respond quickly, and reconfigure processes under constraints. This finding aligns with the dynamic capabilities argument that competitive or performance advantages arise from organizational routines that continuously renew capabilities rather than from static plans.</w:t>
      </w:r>
    </w:p>
    <w:p w14:paraId="7AE135F9" w14:textId="77777777" w:rsidR="0066076B" w:rsidRDefault="00ED153A" w:rsidP="000131C9">
      <w:pPr>
        <w:spacing w:after="120"/>
        <w:jc w:val="both"/>
      </w:pPr>
      <w:r>
        <w:t xml:space="preserve">The OA → OP relationship indicates that agility matters in public organizations as much as in private ones, though the pathway may differ. In public agencies, agility may improve performance by reducing delays, improving interdepartmental coordination, and enabling faster adaptation to </w:t>
      </w:r>
      <w:r>
        <w:lastRenderedPageBreak/>
        <w:t>citizen needs and policy directives. The partial mediation observed here implies that planning also affects performance through other channels, such as clearer goal alignment, resource discipline, and accountability mechanisms—suggesting fruitful avenues for future research.</w:t>
      </w:r>
    </w:p>
    <w:p w14:paraId="2CE082E6" w14:textId="77777777" w:rsidR="0066076B" w:rsidRDefault="00ED153A" w:rsidP="000131C9">
      <w:pPr>
        <w:jc w:val="both"/>
      </w:pPr>
      <w:r>
        <w:rPr>
          <w:b/>
          <w:sz w:val="26"/>
        </w:rPr>
        <w:t>5.1 Positioning the findings in the broader literature</w:t>
      </w:r>
    </w:p>
    <w:p w14:paraId="3C0A8BB2" w14:textId="77777777" w:rsidR="0066076B" w:rsidRDefault="00ED153A" w:rsidP="000131C9">
      <w:pPr>
        <w:spacing w:after="120"/>
        <w:jc w:val="both"/>
      </w:pPr>
      <w:r>
        <w:t>The planning–performance relationship has been a recurring question in both strategy and public administration. In the private-sector strategy tradition, performance is often explained by resource configurations and capabilities that create competitive advantage (Barney, 1991). In public administration, performance is frequently interpreted through managerial processes, governance structures, and service outcomes. Strategic planning is one of the bridges between these traditions, but the bridge has not always been stable: studies report positive, weak, or context-dependent effects.</w:t>
      </w:r>
    </w:p>
    <w:p w14:paraId="7B9DF2D8" w14:textId="77777777" w:rsidR="0066076B" w:rsidRDefault="00ED153A" w:rsidP="000131C9">
      <w:pPr>
        <w:spacing w:after="120"/>
        <w:jc w:val="both"/>
      </w:pPr>
      <w:r>
        <w:t>Our results align with the view that strategic planning can improve performance when it is embedded in strategic management rather than isolated as a formal exercise. Boyne (2010) argues that public organizations can benefit from strategic management but emphasizes that mechanisms—leadership, implementation, and management capacity—matter. Walker (2013) similarly notes that strategic management and performance relationships in public organizations are supported when strategy is linked to operational processes and learning. Poister (2010) explicitly frames the future of public-sector strategic planning as a linkage between planning, strategic management, and performance measurement.</w:t>
      </w:r>
    </w:p>
    <w:p w14:paraId="757A37BC" w14:textId="77777777" w:rsidR="0066076B" w:rsidRDefault="00ED153A" w:rsidP="000131C9">
      <w:pPr>
        <w:spacing w:after="120"/>
        <w:jc w:val="both"/>
      </w:pPr>
      <w:r>
        <w:t>The mediation result adds precision to these arguments: it suggests that one core mechanism is agility. Rather than treating planning as inherently rigid, the results indicate that planning can be a generator of responsiveness—if it is designed as a cycle, not a document. This interpretation resonates with the strategic agility literature, which emphasizes leadership systems and organizational routines that enable rapid strategic adaptation (Doz &amp; Kosonen, 2010). Although Doz and Kosonen discuss strategic agility largely in corporate contexts, the underlying logic—sensing, fast decision making, and resource fluidity—maps well onto the needs of public organizations under turbulence.</w:t>
      </w:r>
    </w:p>
    <w:p w14:paraId="6CB91D75" w14:textId="77777777" w:rsidR="0066076B" w:rsidRDefault="00ED153A" w:rsidP="000131C9">
      <w:pPr>
        <w:spacing w:after="120"/>
        <w:jc w:val="both"/>
      </w:pPr>
      <w:r>
        <w:t>A key nuance is that agility in the public sector has a legitimacy dimension. Public organizations cannot always ‘pivot’ as freely as private firms because they must maintain equity, transparency, and compliance. Therefore, public-sector agility should be conceived as lawful speed and adaptive coordination. From this perspective, strategic planning improves performance not by predicting the future accurately, but by building governance-compatible routines that allow the organization to respond coherently when the future refuses to behave.</w:t>
      </w:r>
    </w:p>
    <w:p w14:paraId="14ABFC94" w14:textId="77777777" w:rsidR="0066076B" w:rsidRDefault="00ED153A" w:rsidP="000131C9">
      <w:pPr>
        <w:spacing w:after="120"/>
        <w:jc w:val="both"/>
      </w:pPr>
      <w:r>
        <w:t xml:space="preserve">Finally, the magnitude of the indirect effect suggests that managers seeking performance improvement should focus on the agility-building components of planning. Planning practices that are most likely to build agility include: continuous environmental scanning, explicit prioritization criteria, short review cycles, and cross-unit coordination mechanisms. These practices are </w:t>
      </w:r>
      <w:r>
        <w:lastRenderedPageBreak/>
        <w:t>consistent with the broader reform literature emphasizing capacity building and learning-oriented management systems (Pollitt &amp; Bouckaert, 2017).</w:t>
      </w:r>
    </w:p>
    <w:p w14:paraId="250582F9" w14:textId="77777777" w:rsidR="0066076B" w:rsidRDefault="00ED153A" w:rsidP="000131C9">
      <w:pPr>
        <w:jc w:val="both"/>
      </w:pPr>
      <w:r>
        <w:rPr>
          <w:b/>
          <w:sz w:val="28"/>
        </w:rPr>
        <w:t>6. Implications</w:t>
      </w:r>
    </w:p>
    <w:p w14:paraId="5F7E4FB0" w14:textId="77777777" w:rsidR="0066076B" w:rsidRDefault="00ED153A" w:rsidP="000131C9">
      <w:pPr>
        <w:jc w:val="both"/>
      </w:pPr>
      <w:r>
        <w:rPr>
          <w:b/>
          <w:sz w:val="26"/>
        </w:rPr>
        <w:t>6.1 Theoretical implications</w:t>
      </w:r>
    </w:p>
    <w:p w14:paraId="0BC40CD9" w14:textId="77777777" w:rsidR="0066076B" w:rsidRDefault="00ED153A" w:rsidP="000131C9">
      <w:pPr>
        <w:spacing w:after="120"/>
        <w:jc w:val="both"/>
      </w:pPr>
      <w:r>
        <w:t>By positioning agility as a mediator, the study reframes strategic planning as a dynamic capability-building routine. This complements traditional public administration views that emphasize formal rationality and planning as control. Instead, planning is shown to be compatible with flexibility and responsiveness when implemented as an iterative learning process. The work also demonstrates how PLS-SEM reporting standards can be applied in public sector research to strengthen credibility and replicability.</w:t>
      </w:r>
    </w:p>
    <w:p w14:paraId="7B2DA89C" w14:textId="77777777" w:rsidR="0066076B" w:rsidRDefault="00ED153A" w:rsidP="000131C9">
      <w:pPr>
        <w:jc w:val="both"/>
      </w:pPr>
      <w:r>
        <w:rPr>
          <w:b/>
          <w:sz w:val="26"/>
        </w:rPr>
        <w:t>6.2 Practical implications for Iraqi public organizations</w:t>
      </w:r>
    </w:p>
    <w:p w14:paraId="21AA6953" w14:textId="77777777" w:rsidR="0066076B" w:rsidRDefault="00ED153A" w:rsidP="000131C9">
      <w:pPr>
        <w:spacing w:after="120"/>
        <w:jc w:val="both"/>
      </w:pPr>
      <w:r>
        <w:t>Implementation in Iraqi public organizations can be strengthened by embedding agility-oriented routines into the planning cycle. A practical roadmap includes: sensing routines (monthly issue logs, citizen-complaint analytics, stakeholder forums); decision acceleration (clear escalation paths, pre-approved decision thresholds); reconfiguration capability (temporary cross-unit task forces, rapid redeployment protocols, crisis response SOPs); and institutional learning (after-action reviews, quarterly strategy reviews, and dashboards that connect activities to outcomes).</w:t>
      </w:r>
    </w:p>
    <w:p w14:paraId="21976A59" w14:textId="77777777" w:rsidR="0066076B" w:rsidRDefault="00ED153A" w:rsidP="000131C9">
      <w:pPr>
        <w:jc w:val="both"/>
      </w:pPr>
      <w:r>
        <w:rPr>
          <w:b/>
          <w:sz w:val="26"/>
        </w:rPr>
        <w:t>6.3 Policy implications and implementation priorities</w:t>
      </w:r>
    </w:p>
    <w:p w14:paraId="48D79FF7" w14:textId="77777777" w:rsidR="0066076B" w:rsidRDefault="00ED153A" w:rsidP="000131C9">
      <w:pPr>
        <w:spacing w:after="120"/>
        <w:jc w:val="both"/>
      </w:pPr>
      <w:r>
        <w:t>Public sector performance improvement is often framed as a policy problem—new laws, new programs, new budgets. The evidence in this study highlights an organizational reality: without implementation capacity, policy intent does not become service outcomes. Strategic planning can contribute to performance when it is treated as a capability-building system, not a reporting requirement.</w:t>
      </w:r>
    </w:p>
    <w:p w14:paraId="13209316" w14:textId="77777777" w:rsidR="0066076B" w:rsidRDefault="00ED153A" w:rsidP="000131C9">
      <w:pPr>
        <w:spacing w:after="120"/>
        <w:jc w:val="both"/>
      </w:pPr>
      <w:r>
        <w:t>Three implementation priorities follow. First, planning should be institutionally linked to performance management. Targets and indicators must not be ‘paper metrics’; they must be reviewed regularly by leaders with authority to allocate attention and resources. Second, ministries and agencies should invest in cross-unit coordination routines. Many public-sector failures are coordination failures. Task forces, rapid response cells, and standardized escalation paths create lawful speed.</w:t>
      </w:r>
    </w:p>
    <w:p w14:paraId="63B769FD" w14:textId="77777777" w:rsidR="0066076B" w:rsidRDefault="00ED153A" w:rsidP="000131C9">
      <w:pPr>
        <w:spacing w:after="120"/>
        <w:jc w:val="both"/>
      </w:pPr>
      <w:r>
        <w:t>Third, the system should reward learning. After-action reviews and quarterly strategy reviews can shift the culture from blame to improvement. This does not require large budgets; it requires leadership commitment and routine design. In Iraq’s context, where external partners often support reform initiatives, donors and oversight bodies can strengthen outcomes by encouraging capability-based planning benchmarks (e.g., existence of review cycles, decision-right clarity, and documented learning loops), not only the existence of formal plans.</w:t>
      </w:r>
    </w:p>
    <w:p w14:paraId="0E69F531" w14:textId="77777777" w:rsidR="0066076B" w:rsidRDefault="00ED153A" w:rsidP="000131C9">
      <w:pPr>
        <w:jc w:val="both"/>
      </w:pPr>
      <w:r>
        <w:rPr>
          <w:b/>
          <w:sz w:val="28"/>
        </w:rPr>
        <w:lastRenderedPageBreak/>
        <w:t>7. Limitations and future research</w:t>
      </w:r>
    </w:p>
    <w:p w14:paraId="11F009F5" w14:textId="77777777" w:rsidR="0066076B" w:rsidRDefault="00ED153A" w:rsidP="000131C9">
      <w:pPr>
        <w:spacing w:after="120"/>
        <w:jc w:val="both"/>
      </w:pPr>
      <w:r>
        <w:t>Several limitations should be considered. The cross-sectional design limits causal inference; longitudinal designs could better capture how planning routines mature into agility and how performance evolves. The study relies on self-reported performance measures; future work could incorporate objective service indicators and multi-source data to reduce common method concerns further. Finally, the model focuses on a single mediator; future research could test moderators (e.g., environmental turbulence, digital maturity, leadership style) and additional mediators (e.g., organizational learning, knowledge management).</w:t>
      </w:r>
    </w:p>
    <w:p w14:paraId="40BAB579" w14:textId="77777777" w:rsidR="0066076B" w:rsidRDefault="00ED153A" w:rsidP="000131C9">
      <w:pPr>
        <w:spacing w:after="120"/>
        <w:jc w:val="both"/>
      </w:pPr>
      <w:r>
        <w:t>Future studies could test alternative causal structures (e.g., performance enabling better planning capacity) and employ longitudinal or panel data to capture temporal dynamics. Moreover, multi-group analysis could explore whether relationships differ across ministries, service domains, or levels of environmental turbulence.</w:t>
      </w:r>
    </w:p>
    <w:p w14:paraId="55D0C902" w14:textId="77777777" w:rsidR="0066076B" w:rsidRDefault="00ED153A" w:rsidP="000131C9">
      <w:pPr>
        <w:jc w:val="both"/>
      </w:pPr>
      <w:r>
        <w:rPr>
          <w:b/>
          <w:sz w:val="28"/>
        </w:rPr>
        <w:t>8. Conclusion</w:t>
      </w:r>
    </w:p>
    <w:p w14:paraId="45BC3AB3" w14:textId="75DDC0D5" w:rsidR="0066076B" w:rsidRDefault="00ED153A" w:rsidP="000131C9">
      <w:pPr>
        <w:spacing w:after="120"/>
        <w:jc w:val="both"/>
      </w:pPr>
      <w:r>
        <w:t xml:space="preserve">In turbulent public-sector environments, planning alone is rarely sufficient. The evidence from Iraqi public organizations suggests that planning improves performance most reliably when it is coupled with agility-building routines. Organizational agility partially mediates the strategic planning–performance link, implying that leaders should treat planning as an institutional mechanism that builds adaptive capacity. </w:t>
      </w:r>
      <w:r w:rsidRPr="00551AC8">
        <w:rPr>
          <w:highlight w:val="yellow"/>
        </w:rPr>
        <w:t>The study therefore</w:t>
      </w:r>
      <w:r w:rsidR="004722AF" w:rsidRPr="00551AC8">
        <w:rPr>
          <w:highlight w:val="yellow"/>
        </w:rPr>
        <w:t>,</w:t>
      </w:r>
      <w:r w:rsidRPr="00551AC8">
        <w:rPr>
          <w:highlight w:val="yellow"/>
        </w:rPr>
        <w:t xml:space="preserve"> offers</w:t>
      </w:r>
      <w:r>
        <w:t xml:space="preserve"> both a theoretical integration and a practical roadmap for public organizations seeking performance improvement under uncertainty.</w:t>
      </w:r>
    </w:p>
    <w:p w14:paraId="785E7F6E" w14:textId="77777777" w:rsidR="00E44BFA" w:rsidRPr="00E44BFA" w:rsidRDefault="00E44BFA" w:rsidP="000131C9">
      <w:pPr>
        <w:spacing w:after="0" w:line="240" w:lineRule="auto"/>
        <w:jc w:val="both"/>
        <w:rPr>
          <w:rFonts w:ascii="Arial" w:eastAsia="Calibri" w:hAnsi="Arial" w:cs="Arial"/>
          <w:kern w:val="2"/>
          <w:sz w:val="22"/>
          <w:highlight w:val="yellow"/>
          <w14:ligatures w14:val="standardContextual"/>
        </w:rPr>
      </w:pPr>
      <w:bookmarkStart w:id="1" w:name="_Hlk198031404"/>
      <w:r w:rsidRPr="00E44BFA">
        <w:rPr>
          <w:rFonts w:ascii="Arial" w:eastAsia="Calibri" w:hAnsi="Arial" w:cs="Arial"/>
          <w:kern w:val="2"/>
          <w:sz w:val="22"/>
          <w:highlight w:val="yellow"/>
          <w14:ligatures w14:val="standardContextual"/>
        </w:rPr>
        <w:t>Disclaimer (Artificial intelligence)</w:t>
      </w:r>
    </w:p>
    <w:p w14:paraId="5C4B9785" w14:textId="77777777" w:rsidR="00E44BFA" w:rsidRPr="00E44BFA" w:rsidRDefault="00E44BFA" w:rsidP="000131C9">
      <w:pPr>
        <w:spacing w:after="0" w:line="240" w:lineRule="auto"/>
        <w:jc w:val="both"/>
        <w:rPr>
          <w:rFonts w:ascii="Arial" w:eastAsia="Calibri" w:hAnsi="Arial" w:cs="Arial"/>
          <w:kern w:val="2"/>
          <w:sz w:val="22"/>
          <w:highlight w:val="yellow"/>
          <w14:ligatures w14:val="standardContextual"/>
        </w:rPr>
      </w:pPr>
    </w:p>
    <w:p w14:paraId="5B00AD32" w14:textId="77777777" w:rsidR="00E44BFA" w:rsidRPr="00E44BFA" w:rsidRDefault="00E44BFA" w:rsidP="000131C9">
      <w:pPr>
        <w:spacing w:after="0" w:line="240" w:lineRule="auto"/>
        <w:jc w:val="both"/>
        <w:rPr>
          <w:rFonts w:ascii="Arial" w:eastAsia="Calibri" w:hAnsi="Arial" w:cs="Arial"/>
          <w:kern w:val="2"/>
          <w:sz w:val="22"/>
          <w:highlight w:val="yellow"/>
          <w14:ligatures w14:val="standardContextual"/>
        </w:rPr>
      </w:pPr>
      <w:r w:rsidRPr="00E44BFA">
        <w:rPr>
          <w:rFonts w:ascii="Arial" w:eastAsia="Calibri" w:hAnsi="Arial" w:cs="Arial"/>
          <w:kern w:val="2"/>
          <w:sz w:val="22"/>
          <w:highlight w:val="yellow"/>
          <w14:ligatures w14:val="standardContextual"/>
        </w:rPr>
        <w:t>Author(s) hereby declare that NO generative AI technologies such as Large Language Models (</w:t>
      </w:r>
      <w:proofErr w:type="spellStart"/>
      <w:r w:rsidRPr="00E44BFA">
        <w:rPr>
          <w:rFonts w:ascii="Arial" w:eastAsia="Calibri" w:hAnsi="Arial" w:cs="Arial"/>
          <w:kern w:val="2"/>
          <w:sz w:val="22"/>
          <w:highlight w:val="yellow"/>
          <w14:ligatures w14:val="standardContextual"/>
        </w:rPr>
        <w:t>ChatGPT</w:t>
      </w:r>
      <w:proofErr w:type="spellEnd"/>
      <w:r w:rsidRPr="00E44BFA">
        <w:rPr>
          <w:rFonts w:ascii="Arial" w:eastAsia="Calibri" w:hAnsi="Arial" w:cs="Arial"/>
          <w:kern w:val="2"/>
          <w:sz w:val="22"/>
          <w:highlight w:val="yellow"/>
          <w14:ligatures w14:val="standardContextual"/>
        </w:rPr>
        <w:t xml:space="preserve">, COPILOT, etc.) and text-to-image generators have been used during the writing or editing of this manuscript. </w:t>
      </w:r>
    </w:p>
    <w:bookmarkEnd w:id="1"/>
    <w:p w14:paraId="440135E0" w14:textId="77777777" w:rsidR="00E44BFA" w:rsidRPr="00E44BFA" w:rsidRDefault="00E44BFA" w:rsidP="000131C9">
      <w:pPr>
        <w:spacing w:after="0" w:line="240" w:lineRule="auto"/>
        <w:jc w:val="both"/>
        <w:rPr>
          <w:rFonts w:ascii="Arial" w:eastAsia="Calibri" w:hAnsi="Arial" w:cs="Arial"/>
          <w:kern w:val="2"/>
          <w:sz w:val="22"/>
          <w14:ligatures w14:val="standardContextual"/>
        </w:rPr>
      </w:pPr>
    </w:p>
    <w:p w14:paraId="7D7C9CA0" w14:textId="77777777" w:rsidR="00E44BFA" w:rsidRPr="00E44BFA" w:rsidRDefault="00E44BFA" w:rsidP="000131C9">
      <w:pPr>
        <w:spacing w:after="0" w:line="240" w:lineRule="auto"/>
        <w:jc w:val="both"/>
        <w:rPr>
          <w:rFonts w:ascii="Arial" w:eastAsia="Calibri" w:hAnsi="Arial" w:cs="Arial"/>
          <w:kern w:val="2"/>
          <w:sz w:val="22"/>
          <w14:ligatures w14:val="standardContextual"/>
        </w:rPr>
      </w:pPr>
    </w:p>
    <w:p w14:paraId="3091A68E" w14:textId="77777777" w:rsidR="00E44BFA" w:rsidRPr="00E44BFA" w:rsidRDefault="00E44BFA" w:rsidP="000131C9">
      <w:pPr>
        <w:spacing w:after="0" w:line="240" w:lineRule="auto"/>
        <w:jc w:val="both"/>
        <w:rPr>
          <w:rFonts w:ascii="Arial" w:eastAsia="Calibri" w:hAnsi="Arial" w:cs="Arial"/>
          <w:kern w:val="2"/>
          <w:sz w:val="22"/>
          <w14:ligatures w14:val="standardContextual"/>
        </w:rPr>
      </w:pPr>
    </w:p>
    <w:p w14:paraId="05638274" w14:textId="77777777" w:rsidR="00E44BFA" w:rsidRDefault="00E44BFA" w:rsidP="000131C9">
      <w:pPr>
        <w:spacing w:after="120"/>
        <w:jc w:val="both"/>
      </w:pPr>
    </w:p>
    <w:p w14:paraId="6124D139" w14:textId="77777777" w:rsidR="0066076B" w:rsidRDefault="00ED153A" w:rsidP="000131C9">
      <w:pPr>
        <w:jc w:val="both"/>
      </w:pPr>
      <w:r>
        <w:rPr>
          <w:b/>
          <w:sz w:val="28"/>
        </w:rPr>
        <w:t>References</w:t>
      </w:r>
    </w:p>
    <w:p w14:paraId="5C7B5CA2" w14:textId="77777777" w:rsidR="0066076B" w:rsidRDefault="00ED153A" w:rsidP="000131C9">
      <w:pPr>
        <w:spacing w:after="120"/>
        <w:jc w:val="both"/>
      </w:pPr>
      <w:r>
        <w:t>Barney, J. (1991). Firm resources and sustained competitive advantage. Journal of Management, 17(1), 99–120. https://doi.org/10.1177/014920639101700108</w:t>
      </w:r>
    </w:p>
    <w:p w14:paraId="039DA665" w14:textId="77777777" w:rsidR="0066076B" w:rsidRDefault="00ED153A" w:rsidP="000131C9">
      <w:pPr>
        <w:spacing w:after="120"/>
        <w:jc w:val="both"/>
      </w:pPr>
      <w:r>
        <w:t>Boyne, G. A. (2010). Strategic management and public service performance: The way ahead. Public Administration Review, 70(s1), s185–s192. https://doi.org/10.1111/j.1540-6210.2010.02271.x</w:t>
      </w:r>
    </w:p>
    <w:p w14:paraId="5205279D" w14:textId="77777777" w:rsidR="0066076B" w:rsidRDefault="00ED153A" w:rsidP="000131C9">
      <w:pPr>
        <w:spacing w:after="120"/>
        <w:jc w:val="both"/>
      </w:pPr>
      <w:r>
        <w:t>Bryson, J. M. (2018). Strategic planning for public and nonprofit organizations: A guide to strengthening and sustaining organizational achievement (5th ed.). Wiley.</w:t>
      </w:r>
    </w:p>
    <w:p w14:paraId="2ACD9158" w14:textId="77777777" w:rsidR="0066076B" w:rsidRDefault="00ED153A" w:rsidP="000131C9">
      <w:pPr>
        <w:spacing w:after="120"/>
        <w:jc w:val="both"/>
      </w:pPr>
      <w:r>
        <w:lastRenderedPageBreak/>
        <w:t>Hair, J. F., Hult, G. T. M., Ringle, C. M., &amp; Sarstedt, M. (2019). When to use and how to report the results of PLS-SEM. European Business Review, 31(1), 2–24. https://doi.org/10.1108/EBR-11-2018-0203</w:t>
      </w:r>
    </w:p>
    <w:p w14:paraId="2B4DB89C" w14:textId="77777777" w:rsidR="0066076B" w:rsidRDefault="00ED153A" w:rsidP="000131C9">
      <w:pPr>
        <w:spacing w:after="120"/>
        <w:jc w:val="both"/>
      </w:pPr>
      <w:r>
        <w:t>Henseler, J., Ringle, C. M., &amp; Sarstedt, M. (2015). A new criterion for assessing discriminant validity in variance-based structural equation modeling. Journal of the Academy of Marketing Science, 43, 115–135. https://doi.org/10.1007/s11747-014-0403-8</w:t>
      </w:r>
    </w:p>
    <w:p w14:paraId="5FAFF1C4" w14:textId="77777777" w:rsidR="0066076B" w:rsidRDefault="00ED153A" w:rsidP="000131C9">
      <w:pPr>
        <w:spacing w:after="120"/>
        <w:jc w:val="both"/>
      </w:pPr>
      <w:r>
        <w:t>Kock, N. (2015). Common method bias in PLS-SEM: A full collinearity assessment approach. International Journal of e-Collaboration, 11(4), 1–10. https://cits.tamiu.edu/kock/pubs/journals/2015JournalIJeC_CommMethBias/Kock_2015_IJeC_CommonMethodBiasPLS.pdf</w:t>
      </w:r>
    </w:p>
    <w:p w14:paraId="7BDAD5C6" w14:textId="77777777" w:rsidR="0066076B" w:rsidRDefault="00ED153A" w:rsidP="000131C9">
      <w:pPr>
        <w:spacing w:after="120"/>
        <w:jc w:val="both"/>
      </w:pPr>
      <w:r>
        <w:t>Podsakoff, P. M., MacKenzie, S. B., Lee, J.-Y., &amp; Podsakoff, N. P. (2003). Common method biases in behavioral research: A critical review of the literature and recommended remedies. Journal of Applied Psychology, 88(5), 879–903. https://doi.org/10.1037/0021-9010.88.5.879</w:t>
      </w:r>
    </w:p>
    <w:p w14:paraId="15480A83" w14:textId="77777777" w:rsidR="0066076B" w:rsidRDefault="00ED153A" w:rsidP="000131C9">
      <w:pPr>
        <w:spacing w:after="120"/>
        <w:jc w:val="both"/>
      </w:pPr>
      <w:r>
        <w:t>Selya, A. S., Rose, J. S., Dierker, L. C., Hedeker, D., &amp; Mermelstein, R. J. (2012). A practical guide to calculating Cohen’s f². Frontiers in Psychology, 3, 1–7. https://doi.org/10.3389/fpsyg.2012.00111</w:t>
      </w:r>
    </w:p>
    <w:p w14:paraId="07C8078E" w14:textId="77777777" w:rsidR="0066076B" w:rsidRDefault="00ED153A" w:rsidP="000131C9">
      <w:pPr>
        <w:spacing w:after="120"/>
        <w:jc w:val="both"/>
      </w:pPr>
      <w:r>
        <w:t>Teece, D. J., Pisano, G., &amp; Shuen, A. (1997). Dynamic capabilities and strategic management. Strategic Management Journal, 18(7), 509–533. https://doi.org/10.1002/(SICI)1097-0266(199708)18:7%3C509::AID-SMJ882%3E3.0.CO;2-Z</w:t>
      </w:r>
    </w:p>
    <w:p w14:paraId="1FD67C66" w14:textId="77777777" w:rsidR="0066076B" w:rsidRDefault="00ED153A" w:rsidP="000131C9">
      <w:pPr>
        <w:spacing w:after="120"/>
        <w:jc w:val="both"/>
      </w:pPr>
      <w:r>
        <w:t>World Bank. (2021). Iraq—Country partnership framework for the period FY22–FY26. (Report). https://documents.worldbank.org/</w:t>
      </w:r>
    </w:p>
    <w:p w14:paraId="026F162C" w14:textId="77777777" w:rsidR="0066076B" w:rsidRDefault="00ED153A" w:rsidP="000131C9">
      <w:pPr>
        <w:spacing w:after="120"/>
        <w:jc w:val="both"/>
      </w:pPr>
      <w:r>
        <w:t>Doz, Y. L., &amp; Kosonen, M. (2010). Embedding strategic agility: A leadership agenda for accelerating business model renewal. Long Range Planning, 43(2–3), 370–382. https://doi.org/10.1016/j.lrp.2009.07.006</w:t>
      </w:r>
    </w:p>
    <w:p w14:paraId="7AB2438A" w14:textId="77777777" w:rsidR="0066076B" w:rsidRDefault="00ED153A" w:rsidP="000131C9">
      <w:pPr>
        <w:spacing w:after="120"/>
        <w:jc w:val="both"/>
      </w:pPr>
      <w:r>
        <w:t>Pollitt, C., &amp; Bouckaert, G. (2017). Public management reform: A comparative analysis (4th ed.). Oxford University Press. (Publisher listing: https://mitpressbookstore.mit.edu/book/9780198795179)</w:t>
      </w:r>
    </w:p>
    <w:p w14:paraId="23D5EFC3" w14:textId="77777777" w:rsidR="0066076B" w:rsidRDefault="00ED153A" w:rsidP="000131C9">
      <w:pPr>
        <w:spacing w:after="120"/>
        <w:jc w:val="both"/>
      </w:pPr>
      <w:r>
        <w:t>Ringle, C. M., Wende, S., &amp; Becker, J.-M. (2022). SmartPLS 4. SmartPLS GmbH. https://www.smartpls.com/documentation</w:t>
      </w:r>
    </w:p>
    <w:p w14:paraId="615BC229" w14:textId="42D61A37" w:rsidR="0066076B" w:rsidRDefault="00ED153A" w:rsidP="000131C9">
      <w:pPr>
        <w:spacing w:after="120"/>
        <w:jc w:val="both"/>
      </w:pPr>
      <w:r>
        <w:t xml:space="preserve">Walker, R. M. (2013). Strategic management and performance in public organizations: Findings from the research literature. Public Administration Review, 73(2), 195–205. </w:t>
      </w:r>
      <w:hyperlink r:id="rId10" w:history="1">
        <w:r w:rsidR="00272230" w:rsidRPr="005B7AD5">
          <w:rPr>
            <w:rStyle w:val="Hyperlink"/>
          </w:rPr>
          <w:t>https://doi.org/10.1111/j.1540-6210.2012.02673.x</w:t>
        </w:r>
      </w:hyperlink>
    </w:p>
    <w:p w14:paraId="2FE5AF40" w14:textId="0D9E946F" w:rsidR="00272230" w:rsidRDefault="00272230" w:rsidP="00272230">
      <w:pPr>
        <w:pStyle w:val="NormalWeb"/>
        <w:shd w:val="clear" w:color="auto" w:fill="FFFFFF"/>
        <w:spacing w:before="0" w:beforeAutospacing="0" w:after="150" w:afterAutospacing="0"/>
        <w:rPr>
          <w:rFonts w:ascii="inherit" w:hAnsi="inherit" w:cs="Helvetica"/>
          <w:color w:val="222222"/>
          <w:sz w:val="22"/>
          <w:szCs w:val="18"/>
          <w:highlight w:val="yellow"/>
        </w:rPr>
      </w:pPr>
      <w:r w:rsidRPr="00551AC8">
        <w:rPr>
          <w:rFonts w:ascii="inherit" w:hAnsi="inherit" w:cs="Helvetica"/>
          <w:color w:val="222222"/>
          <w:sz w:val="22"/>
          <w:szCs w:val="18"/>
          <w:highlight w:val="yellow"/>
        </w:rPr>
        <w:t xml:space="preserve">Mousa, K. M., Ali, K. A. A., &amp; </w:t>
      </w:r>
      <w:proofErr w:type="spellStart"/>
      <w:r w:rsidRPr="00551AC8">
        <w:rPr>
          <w:rFonts w:ascii="inherit" w:hAnsi="inherit" w:cs="Helvetica"/>
          <w:color w:val="222222"/>
          <w:sz w:val="22"/>
          <w:szCs w:val="18"/>
          <w:highlight w:val="yellow"/>
        </w:rPr>
        <w:t>Gurler</w:t>
      </w:r>
      <w:proofErr w:type="spellEnd"/>
      <w:r w:rsidRPr="00551AC8">
        <w:rPr>
          <w:rFonts w:ascii="inherit" w:hAnsi="inherit" w:cs="Helvetica"/>
          <w:color w:val="222222"/>
          <w:sz w:val="22"/>
          <w:szCs w:val="18"/>
          <w:highlight w:val="yellow"/>
        </w:rPr>
        <w:t>, S. (2024). Strategic Planning and Organizational Performance: An Empirical Study on the Manufacturing Sector. </w:t>
      </w:r>
      <w:r w:rsidRPr="00551AC8">
        <w:rPr>
          <w:rStyle w:val="Emphasis"/>
          <w:rFonts w:ascii="inherit" w:hAnsi="inherit" w:cs="Helvetica"/>
          <w:color w:val="222222"/>
          <w:sz w:val="22"/>
          <w:szCs w:val="18"/>
          <w:highlight w:val="yellow"/>
        </w:rPr>
        <w:t>Sustainability</w:t>
      </w:r>
      <w:r w:rsidRPr="00551AC8">
        <w:rPr>
          <w:rFonts w:ascii="inherit" w:hAnsi="inherit" w:cs="Helvetica"/>
          <w:color w:val="222222"/>
          <w:sz w:val="22"/>
          <w:szCs w:val="18"/>
          <w:highlight w:val="yellow"/>
        </w:rPr>
        <w:t>, </w:t>
      </w:r>
      <w:r w:rsidRPr="00551AC8">
        <w:rPr>
          <w:rStyle w:val="Emphasis"/>
          <w:rFonts w:ascii="inherit" w:hAnsi="inherit" w:cs="Helvetica"/>
          <w:color w:val="222222"/>
          <w:sz w:val="22"/>
          <w:szCs w:val="18"/>
          <w:highlight w:val="yellow"/>
        </w:rPr>
        <w:t>16</w:t>
      </w:r>
      <w:r w:rsidRPr="00551AC8">
        <w:rPr>
          <w:rFonts w:ascii="inherit" w:hAnsi="inherit" w:cs="Helvetica"/>
          <w:color w:val="222222"/>
          <w:sz w:val="22"/>
          <w:szCs w:val="18"/>
          <w:highlight w:val="yellow"/>
        </w:rPr>
        <w:t xml:space="preserve">(15), 6690. </w:t>
      </w:r>
      <w:hyperlink r:id="rId11" w:history="1">
        <w:r w:rsidR="002B4736" w:rsidRPr="00551AC8">
          <w:rPr>
            <w:rStyle w:val="Hyperlink"/>
            <w:rFonts w:ascii="inherit" w:hAnsi="inherit" w:cs="Helvetica"/>
            <w:sz w:val="22"/>
            <w:szCs w:val="18"/>
            <w:highlight w:val="yellow"/>
          </w:rPr>
          <w:t>https://doi.org/10.3390/su16156690</w:t>
        </w:r>
      </w:hyperlink>
    </w:p>
    <w:p w14:paraId="01CA0D0B" w14:textId="704EB49B" w:rsidR="002B4736" w:rsidRPr="00551AC8" w:rsidRDefault="002B4736" w:rsidP="00272230">
      <w:pPr>
        <w:pStyle w:val="NormalWeb"/>
        <w:shd w:val="clear" w:color="auto" w:fill="FFFFFF"/>
        <w:spacing w:before="0" w:beforeAutospacing="0" w:after="150" w:afterAutospacing="0"/>
        <w:rPr>
          <w:rFonts w:ascii="inherit" w:hAnsi="inherit" w:cs="Helvetica"/>
          <w:color w:val="222222"/>
          <w:sz w:val="26"/>
          <w:szCs w:val="18"/>
        </w:rPr>
      </w:pPr>
      <w:r w:rsidRPr="00551AC8">
        <w:rPr>
          <w:rFonts w:ascii="Arial" w:hAnsi="Arial" w:cs="Arial"/>
          <w:color w:val="222222"/>
          <w:szCs w:val="20"/>
          <w:highlight w:val="yellow"/>
          <w:shd w:val="clear" w:color="auto" w:fill="FFFFFF"/>
        </w:rPr>
        <w:t>Shaban, E. A. (2024). The role of strategic agility in achieving organizational excellence in Jordanian universities. </w:t>
      </w:r>
      <w:r w:rsidRPr="00551AC8">
        <w:rPr>
          <w:rFonts w:ascii="Arial" w:hAnsi="Arial" w:cs="Arial"/>
          <w:i/>
          <w:iCs/>
          <w:color w:val="222222"/>
          <w:szCs w:val="20"/>
          <w:highlight w:val="yellow"/>
          <w:shd w:val="clear" w:color="auto" w:fill="FFFFFF"/>
        </w:rPr>
        <w:t>Cogent Business &amp; Management</w:t>
      </w:r>
      <w:r w:rsidRPr="00551AC8">
        <w:rPr>
          <w:rFonts w:ascii="Arial" w:hAnsi="Arial" w:cs="Arial"/>
          <w:color w:val="222222"/>
          <w:szCs w:val="20"/>
          <w:highlight w:val="yellow"/>
          <w:shd w:val="clear" w:color="auto" w:fill="FFFFFF"/>
        </w:rPr>
        <w:t>, </w:t>
      </w:r>
      <w:r w:rsidRPr="00551AC8">
        <w:rPr>
          <w:rFonts w:ascii="Arial" w:hAnsi="Arial" w:cs="Arial"/>
          <w:i/>
          <w:iCs/>
          <w:color w:val="222222"/>
          <w:szCs w:val="20"/>
          <w:highlight w:val="yellow"/>
          <w:shd w:val="clear" w:color="auto" w:fill="FFFFFF"/>
        </w:rPr>
        <w:t>11</w:t>
      </w:r>
      <w:r w:rsidRPr="00551AC8">
        <w:rPr>
          <w:rFonts w:ascii="Arial" w:hAnsi="Arial" w:cs="Arial"/>
          <w:color w:val="222222"/>
          <w:szCs w:val="20"/>
          <w:highlight w:val="yellow"/>
          <w:shd w:val="clear" w:color="auto" w:fill="FFFFFF"/>
        </w:rPr>
        <w:t>(1), 2384614.</w:t>
      </w:r>
    </w:p>
    <w:p w14:paraId="6B49AE53" w14:textId="77777777" w:rsidR="004722AF" w:rsidRPr="00551AC8" w:rsidRDefault="004722AF" w:rsidP="004722AF">
      <w:pPr>
        <w:pStyle w:val="NormalWeb"/>
        <w:shd w:val="clear" w:color="auto" w:fill="FFFFFF"/>
        <w:spacing w:before="0" w:beforeAutospacing="0" w:after="150" w:afterAutospacing="0"/>
        <w:rPr>
          <w:rFonts w:ascii="inherit" w:hAnsi="inherit" w:cs="Helvetica"/>
          <w:color w:val="222222"/>
          <w:sz w:val="22"/>
          <w:szCs w:val="18"/>
        </w:rPr>
      </w:pPr>
      <w:proofErr w:type="spellStart"/>
      <w:r w:rsidRPr="00551AC8">
        <w:rPr>
          <w:rFonts w:ascii="inherit" w:hAnsi="inherit" w:cs="Helvetica"/>
          <w:color w:val="222222"/>
          <w:sz w:val="22"/>
          <w:szCs w:val="18"/>
          <w:highlight w:val="yellow"/>
        </w:rPr>
        <w:lastRenderedPageBreak/>
        <w:t>AlTaweel</w:t>
      </w:r>
      <w:proofErr w:type="spellEnd"/>
      <w:r w:rsidRPr="00551AC8">
        <w:rPr>
          <w:rFonts w:ascii="inherit" w:hAnsi="inherit" w:cs="Helvetica"/>
          <w:color w:val="222222"/>
          <w:sz w:val="22"/>
          <w:szCs w:val="18"/>
          <w:highlight w:val="yellow"/>
        </w:rPr>
        <w:t>, I. R., &amp; Al-</w:t>
      </w:r>
      <w:proofErr w:type="spellStart"/>
      <w:r w:rsidRPr="00551AC8">
        <w:rPr>
          <w:rFonts w:ascii="inherit" w:hAnsi="inherit" w:cs="Helvetica"/>
          <w:color w:val="222222"/>
          <w:sz w:val="22"/>
          <w:szCs w:val="18"/>
          <w:highlight w:val="yellow"/>
        </w:rPr>
        <w:t>Hawary</w:t>
      </w:r>
      <w:proofErr w:type="spellEnd"/>
      <w:r w:rsidRPr="00551AC8">
        <w:rPr>
          <w:rFonts w:ascii="inherit" w:hAnsi="inherit" w:cs="Helvetica"/>
          <w:color w:val="222222"/>
          <w:sz w:val="22"/>
          <w:szCs w:val="18"/>
          <w:highlight w:val="yellow"/>
        </w:rPr>
        <w:t>, S. I. (2021). The Mediating Role of Innovation Capability on the Relationship between Strategic Agility and Organizational Performance. </w:t>
      </w:r>
      <w:r w:rsidRPr="00551AC8">
        <w:rPr>
          <w:rStyle w:val="Emphasis"/>
          <w:rFonts w:ascii="inherit" w:hAnsi="inherit" w:cs="Helvetica"/>
          <w:color w:val="222222"/>
          <w:sz w:val="22"/>
          <w:szCs w:val="18"/>
          <w:highlight w:val="yellow"/>
        </w:rPr>
        <w:t>Sustainability</w:t>
      </w:r>
      <w:r w:rsidRPr="00551AC8">
        <w:rPr>
          <w:rFonts w:ascii="inherit" w:hAnsi="inherit" w:cs="Helvetica"/>
          <w:color w:val="222222"/>
          <w:sz w:val="22"/>
          <w:szCs w:val="18"/>
          <w:highlight w:val="yellow"/>
        </w:rPr>
        <w:t>, </w:t>
      </w:r>
      <w:r w:rsidRPr="00551AC8">
        <w:rPr>
          <w:rStyle w:val="Emphasis"/>
          <w:rFonts w:ascii="inherit" w:hAnsi="inherit" w:cs="Helvetica"/>
          <w:color w:val="222222"/>
          <w:sz w:val="22"/>
          <w:szCs w:val="18"/>
          <w:highlight w:val="yellow"/>
        </w:rPr>
        <w:t>13</w:t>
      </w:r>
      <w:r w:rsidRPr="00551AC8">
        <w:rPr>
          <w:rFonts w:ascii="inherit" w:hAnsi="inherit" w:cs="Helvetica"/>
          <w:color w:val="222222"/>
          <w:sz w:val="22"/>
          <w:szCs w:val="18"/>
          <w:highlight w:val="yellow"/>
        </w:rPr>
        <w:t>(14), 7564. https://doi.org/10.3390/su13147564</w:t>
      </w:r>
    </w:p>
    <w:p w14:paraId="06B6E3A4" w14:textId="77777777" w:rsidR="00272230" w:rsidRDefault="00272230" w:rsidP="000131C9">
      <w:pPr>
        <w:spacing w:after="120"/>
        <w:jc w:val="both"/>
      </w:pPr>
    </w:p>
    <w:p w14:paraId="18349330" w14:textId="77777777" w:rsidR="0066076B" w:rsidRDefault="00ED153A" w:rsidP="000131C9">
      <w:pPr>
        <w:jc w:val="both"/>
      </w:pPr>
      <w:r>
        <w:rPr>
          <w:b/>
          <w:sz w:val="28"/>
        </w:rPr>
        <w:t>Appendix A. Indicator descriptive statistics</w:t>
      </w:r>
    </w:p>
    <w:p w14:paraId="33FF4851" w14:textId="77777777" w:rsidR="0066076B" w:rsidRDefault="00ED153A" w:rsidP="000131C9">
      <w:pPr>
        <w:spacing w:after="120"/>
        <w:jc w:val="both"/>
      </w:pPr>
      <w:r>
        <w:t>Table A1 reports means and standard deviations for the 18 measurement indicators (coded SP1–SP6, OA1–OA6, OP1–OP6).</w:t>
      </w:r>
    </w:p>
    <w:tbl>
      <w:tblPr>
        <w:tblStyle w:val="TableGrid"/>
        <w:tblW w:w="0" w:type="auto"/>
        <w:tblLook w:val="04A0" w:firstRow="1" w:lastRow="0" w:firstColumn="1" w:lastColumn="0" w:noHBand="0" w:noVBand="1"/>
      </w:tblPr>
      <w:tblGrid>
        <w:gridCol w:w="1870"/>
        <w:gridCol w:w="1870"/>
        <w:gridCol w:w="1870"/>
        <w:gridCol w:w="1870"/>
        <w:gridCol w:w="1870"/>
      </w:tblGrid>
      <w:tr w:rsidR="0066076B" w14:paraId="021D8AD6" w14:textId="77777777">
        <w:tc>
          <w:tcPr>
            <w:tcW w:w="1872" w:type="dxa"/>
          </w:tcPr>
          <w:p w14:paraId="638627E3" w14:textId="77777777" w:rsidR="0066076B" w:rsidRDefault="00ED153A" w:rsidP="000131C9">
            <w:pPr>
              <w:jc w:val="both"/>
            </w:pPr>
            <w:r>
              <w:t>Indicator</w:t>
            </w:r>
          </w:p>
        </w:tc>
        <w:tc>
          <w:tcPr>
            <w:tcW w:w="1872" w:type="dxa"/>
          </w:tcPr>
          <w:p w14:paraId="2CB50EDA" w14:textId="77777777" w:rsidR="0066076B" w:rsidRDefault="00ED153A" w:rsidP="000131C9">
            <w:pPr>
              <w:jc w:val="both"/>
            </w:pPr>
            <w:r>
              <w:t>Mean</w:t>
            </w:r>
          </w:p>
        </w:tc>
        <w:tc>
          <w:tcPr>
            <w:tcW w:w="1872" w:type="dxa"/>
          </w:tcPr>
          <w:p w14:paraId="39077D70" w14:textId="77777777" w:rsidR="0066076B" w:rsidRDefault="00ED153A" w:rsidP="000131C9">
            <w:pPr>
              <w:jc w:val="both"/>
            </w:pPr>
            <w:r>
              <w:t>SD</w:t>
            </w:r>
          </w:p>
        </w:tc>
        <w:tc>
          <w:tcPr>
            <w:tcW w:w="1872" w:type="dxa"/>
          </w:tcPr>
          <w:p w14:paraId="6F640D06" w14:textId="77777777" w:rsidR="0066076B" w:rsidRDefault="00ED153A" w:rsidP="000131C9">
            <w:pPr>
              <w:jc w:val="both"/>
            </w:pPr>
            <w:r>
              <w:t>Min</w:t>
            </w:r>
          </w:p>
        </w:tc>
        <w:tc>
          <w:tcPr>
            <w:tcW w:w="1872" w:type="dxa"/>
          </w:tcPr>
          <w:p w14:paraId="6C548920" w14:textId="77777777" w:rsidR="0066076B" w:rsidRDefault="00ED153A" w:rsidP="000131C9">
            <w:pPr>
              <w:jc w:val="both"/>
            </w:pPr>
            <w:r>
              <w:t>Max</w:t>
            </w:r>
          </w:p>
        </w:tc>
      </w:tr>
      <w:tr w:rsidR="0066076B" w14:paraId="5AF4D1BF" w14:textId="77777777">
        <w:tc>
          <w:tcPr>
            <w:tcW w:w="1872" w:type="dxa"/>
          </w:tcPr>
          <w:p w14:paraId="4263F11C" w14:textId="77777777" w:rsidR="0066076B" w:rsidRDefault="00ED153A" w:rsidP="000131C9">
            <w:pPr>
              <w:jc w:val="both"/>
            </w:pPr>
            <w:r>
              <w:t>SP1</w:t>
            </w:r>
          </w:p>
        </w:tc>
        <w:tc>
          <w:tcPr>
            <w:tcW w:w="1872" w:type="dxa"/>
          </w:tcPr>
          <w:p w14:paraId="0F258FF3" w14:textId="77777777" w:rsidR="0066076B" w:rsidRDefault="00ED153A" w:rsidP="000131C9">
            <w:pPr>
              <w:jc w:val="both"/>
            </w:pPr>
            <w:r>
              <w:t>3.885</w:t>
            </w:r>
          </w:p>
        </w:tc>
        <w:tc>
          <w:tcPr>
            <w:tcW w:w="1872" w:type="dxa"/>
          </w:tcPr>
          <w:p w14:paraId="2F10206A" w14:textId="77777777" w:rsidR="0066076B" w:rsidRDefault="00ED153A" w:rsidP="000131C9">
            <w:pPr>
              <w:jc w:val="both"/>
            </w:pPr>
            <w:r>
              <w:t>1.300</w:t>
            </w:r>
          </w:p>
        </w:tc>
        <w:tc>
          <w:tcPr>
            <w:tcW w:w="1872" w:type="dxa"/>
          </w:tcPr>
          <w:p w14:paraId="18B852C2" w14:textId="77777777" w:rsidR="0066076B" w:rsidRDefault="00ED153A" w:rsidP="000131C9">
            <w:pPr>
              <w:jc w:val="both"/>
            </w:pPr>
            <w:r>
              <w:t>1</w:t>
            </w:r>
          </w:p>
        </w:tc>
        <w:tc>
          <w:tcPr>
            <w:tcW w:w="1872" w:type="dxa"/>
          </w:tcPr>
          <w:p w14:paraId="724BA48E" w14:textId="77777777" w:rsidR="0066076B" w:rsidRDefault="00ED153A" w:rsidP="000131C9">
            <w:pPr>
              <w:jc w:val="both"/>
            </w:pPr>
            <w:r>
              <w:t>5</w:t>
            </w:r>
          </w:p>
        </w:tc>
      </w:tr>
      <w:tr w:rsidR="0066076B" w14:paraId="03CC4D2F" w14:textId="77777777">
        <w:tc>
          <w:tcPr>
            <w:tcW w:w="1872" w:type="dxa"/>
          </w:tcPr>
          <w:p w14:paraId="7D1F7775" w14:textId="77777777" w:rsidR="0066076B" w:rsidRDefault="00ED153A" w:rsidP="000131C9">
            <w:pPr>
              <w:jc w:val="both"/>
            </w:pPr>
            <w:r>
              <w:t>SP2</w:t>
            </w:r>
          </w:p>
        </w:tc>
        <w:tc>
          <w:tcPr>
            <w:tcW w:w="1872" w:type="dxa"/>
          </w:tcPr>
          <w:p w14:paraId="3B36B2FF" w14:textId="77777777" w:rsidR="0066076B" w:rsidRDefault="00ED153A" w:rsidP="000131C9">
            <w:pPr>
              <w:jc w:val="both"/>
            </w:pPr>
            <w:r>
              <w:t>4.023</w:t>
            </w:r>
          </w:p>
        </w:tc>
        <w:tc>
          <w:tcPr>
            <w:tcW w:w="1872" w:type="dxa"/>
          </w:tcPr>
          <w:p w14:paraId="3C7DC544" w14:textId="77777777" w:rsidR="0066076B" w:rsidRDefault="00ED153A" w:rsidP="000131C9">
            <w:pPr>
              <w:jc w:val="both"/>
            </w:pPr>
            <w:r>
              <w:t>1.209</w:t>
            </w:r>
          </w:p>
        </w:tc>
        <w:tc>
          <w:tcPr>
            <w:tcW w:w="1872" w:type="dxa"/>
          </w:tcPr>
          <w:p w14:paraId="4005995F" w14:textId="77777777" w:rsidR="0066076B" w:rsidRDefault="00ED153A" w:rsidP="000131C9">
            <w:pPr>
              <w:jc w:val="both"/>
            </w:pPr>
            <w:r>
              <w:t>1</w:t>
            </w:r>
          </w:p>
        </w:tc>
        <w:tc>
          <w:tcPr>
            <w:tcW w:w="1872" w:type="dxa"/>
          </w:tcPr>
          <w:p w14:paraId="31D998EB" w14:textId="77777777" w:rsidR="0066076B" w:rsidRDefault="00ED153A" w:rsidP="000131C9">
            <w:pPr>
              <w:jc w:val="both"/>
            </w:pPr>
            <w:r>
              <w:t>5</w:t>
            </w:r>
          </w:p>
        </w:tc>
      </w:tr>
      <w:tr w:rsidR="0066076B" w14:paraId="129BD6B5" w14:textId="77777777">
        <w:tc>
          <w:tcPr>
            <w:tcW w:w="1872" w:type="dxa"/>
          </w:tcPr>
          <w:p w14:paraId="4FB9C76F" w14:textId="77777777" w:rsidR="0066076B" w:rsidRDefault="00ED153A" w:rsidP="000131C9">
            <w:pPr>
              <w:jc w:val="both"/>
            </w:pPr>
            <w:r>
              <w:t>SP3</w:t>
            </w:r>
          </w:p>
        </w:tc>
        <w:tc>
          <w:tcPr>
            <w:tcW w:w="1872" w:type="dxa"/>
          </w:tcPr>
          <w:p w14:paraId="2524D27B" w14:textId="77777777" w:rsidR="0066076B" w:rsidRDefault="00ED153A" w:rsidP="000131C9">
            <w:pPr>
              <w:jc w:val="both"/>
            </w:pPr>
            <w:r>
              <w:t>4.062</w:t>
            </w:r>
          </w:p>
        </w:tc>
        <w:tc>
          <w:tcPr>
            <w:tcW w:w="1872" w:type="dxa"/>
          </w:tcPr>
          <w:p w14:paraId="10AB7468" w14:textId="77777777" w:rsidR="0066076B" w:rsidRDefault="00ED153A" w:rsidP="000131C9">
            <w:pPr>
              <w:jc w:val="both"/>
            </w:pPr>
            <w:r>
              <w:t>1.141</w:t>
            </w:r>
          </w:p>
        </w:tc>
        <w:tc>
          <w:tcPr>
            <w:tcW w:w="1872" w:type="dxa"/>
          </w:tcPr>
          <w:p w14:paraId="1C9D6458" w14:textId="77777777" w:rsidR="0066076B" w:rsidRDefault="00ED153A" w:rsidP="000131C9">
            <w:pPr>
              <w:jc w:val="both"/>
            </w:pPr>
            <w:r>
              <w:t>1</w:t>
            </w:r>
          </w:p>
        </w:tc>
        <w:tc>
          <w:tcPr>
            <w:tcW w:w="1872" w:type="dxa"/>
          </w:tcPr>
          <w:p w14:paraId="5D1F3E09" w14:textId="77777777" w:rsidR="0066076B" w:rsidRDefault="00ED153A" w:rsidP="000131C9">
            <w:pPr>
              <w:jc w:val="both"/>
            </w:pPr>
            <w:r>
              <w:t>5</w:t>
            </w:r>
          </w:p>
        </w:tc>
      </w:tr>
      <w:tr w:rsidR="0066076B" w14:paraId="67FF58FD" w14:textId="77777777">
        <w:tc>
          <w:tcPr>
            <w:tcW w:w="1872" w:type="dxa"/>
          </w:tcPr>
          <w:p w14:paraId="7F88A5C2" w14:textId="77777777" w:rsidR="0066076B" w:rsidRDefault="00ED153A" w:rsidP="000131C9">
            <w:pPr>
              <w:jc w:val="both"/>
            </w:pPr>
            <w:r>
              <w:t>SP4</w:t>
            </w:r>
          </w:p>
        </w:tc>
        <w:tc>
          <w:tcPr>
            <w:tcW w:w="1872" w:type="dxa"/>
          </w:tcPr>
          <w:p w14:paraId="384BF2AC" w14:textId="77777777" w:rsidR="0066076B" w:rsidRDefault="00ED153A" w:rsidP="000131C9">
            <w:pPr>
              <w:jc w:val="both"/>
            </w:pPr>
            <w:r>
              <w:t>3.631</w:t>
            </w:r>
          </w:p>
        </w:tc>
        <w:tc>
          <w:tcPr>
            <w:tcW w:w="1872" w:type="dxa"/>
          </w:tcPr>
          <w:p w14:paraId="54A9793D" w14:textId="77777777" w:rsidR="0066076B" w:rsidRDefault="00ED153A" w:rsidP="000131C9">
            <w:pPr>
              <w:jc w:val="both"/>
            </w:pPr>
            <w:r>
              <w:t>1.033</w:t>
            </w:r>
          </w:p>
        </w:tc>
        <w:tc>
          <w:tcPr>
            <w:tcW w:w="1872" w:type="dxa"/>
          </w:tcPr>
          <w:p w14:paraId="049D0150" w14:textId="77777777" w:rsidR="0066076B" w:rsidRDefault="00ED153A" w:rsidP="000131C9">
            <w:pPr>
              <w:jc w:val="both"/>
            </w:pPr>
            <w:r>
              <w:t>1</w:t>
            </w:r>
          </w:p>
        </w:tc>
        <w:tc>
          <w:tcPr>
            <w:tcW w:w="1872" w:type="dxa"/>
          </w:tcPr>
          <w:p w14:paraId="16481FF9" w14:textId="77777777" w:rsidR="0066076B" w:rsidRDefault="00ED153A" w:rsidP="000131C9">
            <w:pPr>
              <w:jc w:val="both"/>
            </w:pPr>
            <w:r>
              <w:t>5</w:t>
            </w:r>
          </w:p>
        </w:tc>
      </w:tr>
      <w:tr w:rsidR="0066076B" w14:paraId="6A170ACF" w14:textId="77777777">
        <w:tc>
          <w:tcPr>
            <w:tcW w:w="1872" w:type="dxa"/>
          </w:tcPr>
          <w:p w14:paraId="4A05D154" w14:textId="77777777" w:rsidR="0066076B" w:rsidRDefault="00ED153A" w:rsidP="000131C9">
            <w:pPr>
              <w:jc w:val="both"/>
            </w:pPr>
            <w:r>
              <w:t>SP5</w:t>
            </w:r>
          </w:p>
        </w:tc>
        <w:tc>
          <w:tcPr>
            <w:tcW w:w="1872" w:type="dxa"/>
          </w:tcPr>
          <w:p w14:paraId="5C3C612D" w14:textId="77777777" w:rsidR="0066076B" w:rsidRDefault="00ED153A" w:rsidP="000131C9">
            <w:pPr>
              <w:jc w:val="both"/>
            </w:pPr>
            <w:r>
              <w:t>3.803</w:t>
            </w:r>
          </w:p>
        </w:tc>
        <w:tc>
          <w:tcPr>
            <w:tcW w:w="1872" w:type="dxa"/>
          </w:tcPr>
          <w:p w14:paraId="1368D723" w14:textId="77777777" w:rsidR="0066076B" w:rsidRDefault="00ED153A" w:rsidP="000131C9">
            <w:pPr>
              <w:jc w:val="both"/>
            </w:pPr>
            <w:r>
              <w:t>1.118</w:t>
            </w:r>
          </w:p>
        </w:tc>
        <w:tc>
          <w:tcPr>
            <w:tcW w:w="1872" w:type="dxa"/>
          </w:tcPr>
          <w:p w14:paraId="381220BF" w14:textId="77777777" w:rsidR="0066076B" w:rsidRDefault="00ED153A" w:rsidP="000131C9">
            <w:pPr>
              <w:jc w:val="both"/>
            </w:pPr>
            <w:r>
              <w:t>1</w:t>
            </w:r>
          </w:p>
        </w:tc>
        <w:tc>
          <w:tcPr>
            <w:tcW w:w="1872" w:type="dxa"/>
          </w:tcPr>
          <w:p w14:paraId="2A7F20B8" w14:textId="77777777" w:rsidR="0066076B" w:rsidRDefault="00ED153A" w:rsidP="000131C9">
            <w:pPr>
              <w:jc w:val="both"/>
            </w:pPr>
            <w:r>
              <w:t>5</w:t>
            </w:r>
          </w:p>
        </w:tc>
      </w:tr>
      <w:tr w:rsidR="0066076B" w14:paraId="4845B179" w14:textId="77777777">
        <w:tc>
          <w:tcPr>
            <w:tcW w:w="1872" w:type="dxa"/>
          </w:tcPr>
          <w:p w14:paraId="11068A7B" w14:textId="77777777" w:rsidR="0066076B" w:rsidRDefault="00ED153A" w:rsidP="000131C9">
            <w:pPr>
              <w:jc w:val="both"/>
            </w:pPr>
            <w:r>
              <w:t>SP6</w:t>
            </w:r>
          </w:p>
        </w:tc>
        <w:tc>
          <w:tcPr>
            <w:tcW w:w="1872" w:type="dxa"/>
          </w:tcPr>
          <w:p w14:paraId="42FB5E02" w14:textId="77777777" w:rsidR="0066076B" w:rsidRDefault="00ED153A" w:rsidP="000131C9">
            <w:pPr>
              <w:jc w:val="both"/>
            </w:pPr>
            <w:r>
              <w:t>3.877</w:t>
            </w:r>
          </w:p>
        </w:tc>
        <w:tc>
          <w:tcPr>
            <w:tcW w:w="1872" w:type="dxa"/>
          </w:tcPr>
          <w:p w14:paraId="40525DF3" w14:textId="77777777" w:rsidR="0066076B" w:rsidRDefault="00ED153A" w:rsidP="000131C9">
            <w:pPr>
              <w:jc w:val="both"/>
            </w:pPr>
            <w:r>
              <w:t>1.191</w:t>
            </w:r>
          </w:p>
        </w:tc>
        <w:tc>
          <w:tcPr>
            <w:tcW w:w="1872" w:type="dxa"/>
          </w:tcPr>
          <w:p w14:paraId="32EB0A58" w14:textId="77777777" w:rsidR="0066076B" w:rsidRDefault="00ED153A" w:rsidP="000131C9">
            <w:pPr>
              <w:jc w:val="both"/>
            </w:pPr>
            <w:r>
              <w:t>1</w:t>
            </w:r>
          </w:p>
        </w:tc>
        <w:tc>
          <w:tcPr>
            <w:tcW w:w="1872" w:type="dxa"/>
          </w:tcPr>
          <w:p w14:paraId="7DF8AE5A" w14:textId="77777777" w:rsidR="0066076B" w:rsidRDefault="00ED153A" w:rsidP="000131C9">
            <w:pPr>
              <w:jc w:val="both"/>
            </w:pPr>
            <w:r>
              <w:t>5</w:t>
            </w:r>
          </w:p>
        </w:tc>
      </w:tr>
      <w:tr w:rsidR="0066076B" w14:paraId="72F01DC5" w14:textId="77777777">
        <w:tc>
          <w:tcPr>
            <w:tcW w:w="1872" w:type="dxa"/>
          </w:tcPr>
          <w:p w14:paraId="34B655AF" w14:textId="77777777" w:rsidR="0066076B" w:rsidRDefault="00ED153A" w:rsidP="000131C9">
            <w:pPr>
              <w:jc w:val="both"/>
            </w:pPr>
            <w:r>
              <w:t>OA1</w:t>
            </w:r>
          </w:p>
        </w:tc>
        <w:tc>
          <w:tcPr>
            <w:tcW w:w="1872" w:type="dxa"/>
          </w:tcPr>
          <w:p w14:paraId="5201F589" w14:textId="77777777" w:rsidR="0066076B" w:rsidRDefault="00ED153A" w:rsidP="000131C9">
            <w:pPr>
              <w:jc w:val="both"/>
            </w:pPr>
            <w:r>
              <w:t>4.028</w:t>
            </w:r>
          </w:p>
        </w:tc>
        <w:tc>
          <w:tcPr>
            <w:tcW w:w="1872" w:type="dxa"/>
          </w:tcPr>
          <w:p w14:paraId="3035763E" w14:textId="77777777" w:rsidR="0066076B" w:rsidRDefault="00ED153A" w:rsidP="000131C9">
            <w:pPr>
              <w:jc w:val="both"/>
            </w:pPr>
            <w:r>
              <w:t>1.241</w:t>
            </w:r>
          </w:p>
        </w:tc>
        <w:tc>
          <w:tcPr>
            <w:tcW w:w="1872" w:type="dxa"/>
          </w:tcPr>
          <w:p w14:paraId="0E05EA77" w14:textId="77777777" w:rsidR="0066076B" w:rsidRDefault="00ED153A" w:rsidP="000131C9">
            <w:pPr>
              <w:jc w:val="both"/>
            </w:pPr>
            <w:r>
              <w:t>1</w:t>
            </w:r>
          </w:p>
        </w:tc>
        <w:tc>
          <w:tcPr>
            <w:tcW w:w="1872" w:type="dxa"/>
          </w:tcPr>
          <w:p w14:paraId="140084B7" w14:textId="77777777" w:rsidR="0066076B" w:rsidRDefault="00ED153A" w:rsidP="000131C9">
            <w:pPr>
              <w:jc w:val="both"/>
            </w:pPr>
            <w:r>
              <w:t>5</w:t>
            </w:r>
          </w:p>
        </w:tc>
      </w:tr>
      <w:tr w:rsidR="0066076B" w14:paraId="685FE9EF" w14:textId="77777777">
        <w:tc>
          <w:tcPr>
            <w:tcW w:w="1872" w:type="dxa"/>
          </w:tcPr>
          <w:p w14:paraId="00B2FEBD" w14:textId="77777777" w:rsidR="0066076B" w:rsidRDefault="00ED153A" w:rsidP="000131C9">
            <w:pPr>
              <w:jc w:val="both"/>
            </w:pPr>
            <w:r>
              <w:t>OA2</w:t>
            </w:r>
          </w:p>
        </w:tc>
        <w:tc>
          <w:tcPr>
            <w:tcW w:w="1872" w:type="dxa"/>
          </w:tcPr>
          <w:p w14:paraId="6DE348FD" w14:textId="77777777" w:rsidR="0066076B" w:rsidRDefault="00ED153A" w:rsidP="000131C9">
            <w:pPr>
              <w:jc w:val="both"/>
            </w:pPr>
            <w:r>
              <w:t>3.974</w:t>
            </w:r>
          </w:p>
        </w:tc>
        <w:tc>
          <w:tcPr>
            <w:tcW w:w="1872" w:type="dxa"/>
          </w:tcPr>
          <w:p w14:paraId="4373F1D2" w14:textId="77777777" w:rsidR="0066076B" w:rsidRDefault="00ED153A" w:rsidP="000131C9">
            <w:pPr>
              <w:jc w:val="both"/>
            </w:pPr>
            <w:r>
              <w:t>1.104</w:t>
            </w:r>
          </w:p>
        </w:tc>
        <w:tc>
          <w:tcPr>
            <w:tcW w:w="1872" w:type="dxa"/>
          </w:tcPr>
          <w:p w14:paraId="5210D77C" w14:textId="77777777" w:rsidR="0066076B" w:rsidRDefault="00ED153A" w:rsidP="000131C9">
            <w:pPr>
              <w:jc w:val="both"/>
            </w:pPr>
            <w:r>
              <w:t>1</w:t>
            </w:r>
          </w:p>
        </w:tc>
        <w:tc>
          <w:tcPr>
            <w:tcW w:w="1872" w:type="dxa"/>
          </w:tcPr>
          <w:p w14:paraId="6B2793D9" w14:textId="77777777" w:rsidR="0066076B" w:rsidRDefault="00ED153A" w:rsidP="000131C9">
            <w:pPr>
              <w:jc w:val="both"/>
            </w:pPr>
            <w:r>
              <w:t>5</w:t>
            </w:r>
          </w:p>
        </w:tc>
      </w:tr>
      <w:tr w:rsidR="0066076B" w14:paraId="6BC6A3B4" w14:textId="77777777">
        <w:tc>
          <w:tcPr>
            <w:tcW w:w="1872" w:type="dxa"/>
          </w:tcPr>
          <w:p w14:paraId="429E6AA3" w14:textId="77777777" w:rsidR="0066076B" w:rsidRDefault="00ED153A" w:rsidP="000131C9">
            <w:pPr>
              <w:jc w:val="both"/>
            </w:pPr>
            <w:r>
              <w:t>OA3</w:t>
            </w:r>
          </w:p>
        </w:tc>
        <w:tc>
          <w:tcPr>
            <w:tcW w:w="1872" w:type="dxa"/>
          </w:tcPr>
          <w:p w14:paraId="526DCFDF" w14:textId="77777777" w:rsidR="0066076B" w:rsidRDefault="00ED153A" w:rsidP="000131C9">
            <w:pPr>
              <w:jc w:val="both"/>
            </w:pPr>
            <w:r>
              <w:t>3.731</w:t>
            </w:r>
          </w:p>
        </w:tc>
        <w:tc>
          <w:tcPr>
            <w:tcW w:w="1872" w:type="dxa"/>
          </w:tcPr>
          <w:p w14:paraId="59CC83FD" w14:textId="77777777" w:rsidR="0066076B" w:rsidRDefault="00ED153A" w:rsidP="000131C9">
            <w:pPr>
              <w:jc w:val="both"/>
            </w:pPr>
            <w:r>
              <w:t>1.168</w:t>
            </w:r>
          </w:p>
        </w:tc>
        <w:tc>
          <w:tcPr>
            <w:tcW w:w="1872" w:type="dxa"/>
          </w:tcPr>
          <w:p w14:paraId="15F062EB" w14:textId="77777777" w:rsidR="0066076B" w:rsidRDefault="00ED153A" w:rsidP="000131C9">
            <w:pPr>
              <w:jc w:val="both"/>
            </w:pPr>
            <w:r>
              <w:t>1</w:t>
            </w:r>
          </w:p>
        </w:tc>
        <w:tc>
          <w:tcPr>
            <w:tcW w:w="1872" w:type="dxa"/>
          </w:tcPr>
          <w:p w14:paraId="420F9B53" w14:textId="77777777" w:rsidR="0066076B" w:rsidRDefault="00ED153A" w:rsidP="000131C9">
            <w:pPr>
              <w:jc w:val="both"/>
            </w:pPr>
            <w:r>
              <w:t>5</w:t>
            </w:r>
          </w:p>
        </w:tc>
      </w:tr>
      <w:tr w:rsidR="0066076B" w14:paraId="39B76661" w14:textId="77777777">
        <w:tc>
          <w:tcPr>
            <w:tcW w:w="1872" w:type="dxa"/>
          </w:tcPr>
          <w:p w14:paraId="3E832774" w14:textId="77777777" w:rsidR="0066076B" w:rsidRDefault="00ED153A" w:rsidP="000131C9">
            <w:pPr>
              <w:jc w:val="both"/>
            </w:pPr>
            <w:r>
              <w:t>OA4</w:t>
            </w:r>
          </w:p>
        </w:tc>
        <w:tc>
          <w:tcPr>
            <w:tcW w:w="1872" w:type="dxa"/>
          </w:tcPr>
          <w:p w14:paraId="488D58BE" w14:textId="77777777" w:rsidR="0066076B" w:rsidRDefault="00ED153A" w:rsidP="000131C9">
            <w:pPr>
              <w:jc w:val="both"/>
            </w:pPr>
            <w:r>
              <w:t>3.915</w:t>
            </w:r>
          </w:p>
        </w:tc>
        <w:tc>
          <w:tcPr>
            <w:tcW w:w="1872" w:type="dxa"/>
          </w:tcPr>
          <w:p w14:paraId="7192556D" w14:textId="77777777" w:rsidR="0066076B" w:rsidRDefault="00ED153A" w:rsidP="000131C9">
            <w:pPr>
              <w:jc w:val="both"/>
            </w:pPr>
            <w:r>
              <w:t>1.269</w:t>
            </w:r>
          </w:p>
        </w:tc>
        <w:tc>
          <w:tcPr>
            <w:tcW w:w="1872" w:type="dxa"/>
          </w:tcPr>
          <w:p w14:paraId="15E41FBA" w14:textId="77777777" w:rsidR="0066076B" w:rsidRDefault="00ED153A" w:rsidP="000131C9">
            <w:pPr>
              <w:jc w:val="both"/>
            </w:pPr>
            <w:r>
              <w:t>1</w:t>
            </w:r>
          </w:p>
        </w:tc>
        <w:tc>
          <w:tcPr>
            <w:tcW w:w="1872" w:type="dxa"/>
          </w:tcPr>
          <w:p w14:paraId="6BA1D00D" w14:textId="77777777" w:rsidR="0066076B" w:rsidRDefault="00ED153A" w:rsidP="000131C9">
            <w:pPr>
              <w:jc w:val="both"/>
            </w:pPr>
            <w:r>
              <w:t>5</w:t>
            </w:r>
          </w:p>
        </w:tc>
      </w:tr>
      <w:tr w:rsidR="0066076B" w14:paraId="2D2AEC5B" w14:textId="77777777">
        <w:tc>
          <w:tcPr>
            <w:tcW w:w="1872" w:type="dxa"/>
          </w:tcPr>
          <w:p w14:paraId="4BDF6131" w14:textId="77777777" w:rsidR="0066076B" w:rsidRDefault="00ED153A" w:rsidP="000131C9">
            <w:pPr>
              <w:jc w:val="both"/>
            </w:pPr>
            <w:r>
              <w:t>OA5</w:t>
            </w:r>
          </w:p>
        </w:tc>
        <w:tc>
          <w:tcPr>
            <w:tcW w:w="1872" w:type="dxa"/>
          </w:tcPr>
          <w:p w14:paraId="53A0795B" w14:textId="77777777" w:rsidR="0066076B" w:rsidRDefault="00ED153A" w:rsidP="000131C9">
            <w:pPr>
              <w:jc w:val="both"/>
            </w:pPr>
            <w:r>
              <w:t>4.128</w:t>
            </w:r>
          </w:p>
        </w:tc>
        <w:tc>
          <w:tcPr>
            <w:tcW w:w="1872" w:type="dxa"/>
          </w:tcPr>
          <w:p w14:paraId="4E5C68C1" w14:textId="77777777" w:rsidR="0066076B" w:rsidRDefault="00ED153A" w:rsidP="000131C9">
            <w:pPr>
              <w:jc w:val="both"/>
            </w:pPr>
            <w:r>
              <w:t>1.206</w:t>
            </w:r>
          </w:p>
        </w:tc>
        <w:tc>
          <w:tcPr>
            <w:tcW w:w="1872" w:type="dxa"/>
          </w:tcPr>
          <w:p w14:paraId="4A2BA601" w14:textId="77777777" w:rsidR="0066076B" w:rsidRDefault="00ED153A" w:rsidP="000131C9">
            <w:pPr>
              <w:jc w:val="both"/>
            </w:pPr>
            <w:r>
              <w:t>1</w:t>
            </w:r>
          </w:p>
        </w:tc>
        <w:tc>
          <w:tcPr>
            <w:tcW w:w="1872" w:type="dxa"/>
          </w:tcPr>
          <w:p w14:paraId="078C51CD" w14:textId="77777777" w:rsidR="0066076B" w:rsidRDefault="00ED153A" w:rsidP="000131C9">
            <w:pPr>
              <w:jc w:val="both"/>
            </w:pPr>
            <w:r>
              <w:t>5</w:t>
            </w:r>
          </w:p>
        </w:tc>
      </w:tr>
      <w:tr w:rsidR="0066076B" w14:paraId="45850FFB" w14:textId="77777777">
        <w:tc>
          <w:tcPr>
            <w:tcW w:w="1872" w:type="dxa"/>
          </w:tcPr>
          <w:p w14:paraId="62BA3274" w14:textId="77777777" w:rsidR="0066076B" w:rsidRDefault="00ED153A" w:rsidP="000131C9">
            <w:pPr>
              <w:jc w:val="both"/>
            </w:pPr>
            <w:r>
              <w:t>OA6</w:t>
            </w:r>
          </w:p>
        </w:tc>
        <w:tc>
          <w:tcPr>
            <w:tcW w:w="1872" w:type="dxa"/>
          </w:tcPr>
          <w:p w14:paraId="1C2E6C5A" w14:textId="77777777" w:rsidR="0066076B" w:rsidRDefault="00ED153A" w:rsidP="000131C9">
            <w:pPr>
              <w:jc w:val="both"/>
            </w:pPr>
            <w:r>
              <w:t>3.423</w:t>
            </w:r>
          </w:p>
        </w:tc>
        <w:tc>
          <w:tcPr>
            <w:tcW w:w="1872" w:type="dxa"/>
          </w:tcPr>
          <w:p w14:paraId="3BFF74DD" w14:textId="77777777" w:rsidR="0066076B" w:rsidRDefault="00ED153A" w:rsidP="000131C9">
            <w:pPr>
              <w:jc w:val="both"/>
            </w:pPr>
            <w:r>
              <w:t>1.186</w:t>
            </w:r>
          </w:p>
        </w:tc>
        <w:tc>
          <w:tcPr>
            <w:tcW w:w="1872" w:type="dxa"/>
          </w:tcPr>
          <w:p w14:paraId="523316A7" w14:textId="77777777" w:rsidR="0066076B" w:rsidRDefault="00ED153A" w:rsidP="000131C9">
            <w:pPr>
              <w:jc w:val="both"/>
            </w:pPr>
            <w:r>
              <w:t>1</w:t>
            </w:r>
          </w:p>
        </w:tc>
        <w:tc>
          <w:tcPr>
            <w:tcW w:w="1872" w:type="dxa"/>
          </w:tcPr>
          <w:p w14:paraId="0CF8F2BE" w14:textId="77777777" w:rsidR="0066076B" w:rsidRDefault="00ED153A" w:rsidP="000131C9">
            <w:pPr>
              <w:jc w:val="both"/>
            </w:pPr>
            <w:r>
              <w:t>5</w:t>
            </w:r>
          </w:p>
        </w:tc>
      </w:tr>
      <w:tr w:rsidR="0066076B" w14:paraId="62D35732" w14:textId="77777777">
        <w:tc>
          <w:tcPr>
            <w:tcW w:w="1872" w:type="dxa"/>
          </w:tcPr>
          <w:p w14:paraId="1CC2E96D" w14:textId="77777777" w:rsidR="0066076B" w:rsidRDefault="00ED153A" w:rsidP="000131C9">
            <w:pPr>
              <w:jc w:val="both"/>
            </w:pPr>
            <w:r>
              <w:t>OP1</w:t>
            </w:r>
          </w:p>
        </w:tc>
        <w:tc>
          <w:tcPr>
            <w:tcW w:w="1872" w:type="dxa"/>
          </w:tcPr>
          <w:p w14:paraId="7C81BAE2" w14:textId="77777777" w:rsidR="0066076B" w:rsidRDefault="00ED153A" w:rsidP="000131C9">
            <w:pPr>
              <w:jc w:val="both"/>
            </w:pPr>
            <w:r>
              <w:t>3.487</w:t>
            </w:r>
          </w:p>
        </w:tc>
        <w:tc>
          <w:tcPr>
            <w:tcW w:w="1872" w:type="dxa"/>
          </w:tcPr>
          <w:p w14:paraId="17EB6A76" w14:textId="77777777" w:rsidR="0066076B" w:rsidRDefault="00ED153A" w:rsidP="000131C9">
            <w:pPr>
              <w:jc w:val="both"/>
            </w:pPr>
            <w:r>
              <w:t>1.131</w:t>
            </w:r>
          </w:p>
        </w:tc>
        <w:tc>
          <w:tcPr>
            <w:tcW w:w="1872" w:type="dxa"/>
          </w:tcPr>
          <w:p w14:paraId="3D5FFC2C" w14:textId="77777777" w:rsidR="0066076B" w:rsidRDefault="00ED153A" w:rsidP="000131C9">
            <w:pPr>
              <w:jc w:val="both"/>
            </w:pPr>
            <w:r>
              <w:t>1</w:t>
            </w:r>
          </w:p>
        </w:tc>
        <w:tc>
          <w:tcPr>
            <w:tcW w:w="1872" w:type="dxa"/>
          </w:tcPr>
          <w:p w14:paraId="2659EC84" w14:textId="77777777" w:rsidR="0066076B" w:rsidRDefault="00ED153A" w:rsidP="000131C9">
            <w:pPr>
              <w:jc w:val="both"/>
            </w:pPr>
            <w:r>
              <w:t>5</w:t>
            </w:r>
          </w:p>
        </w:tc>
      </w:tr>
      <w:tr w:rsidR="0066076B" w14:paraId="41738BC6" w14:textId="77777777">
        <w:tc>
          <w:tcPr>
            <w:tcW w:w="1872" w:type="dxa"/>
          </w:tcPr>
          <w:p w14:paraId="60C511CC" w14:textId="77777777" w:rsidR="0066076B" w:rsidRDefault="00ED153A" w:rsidP="000131C9">
            <w:pPr>
              <w:jc w:val="both"/>
            </w:pPr>
            <w:r>
              <w:t>OP2</w:t>
            </w:r>
          </w:p>
        </w:tc>
        <w:tc>
          <w:tcPr>
            <w:tcW w:w="1872" w:type="dxa"/>
          </w:tcPr>
          <w:p w14:paraId="0348A9E3" w14:textId="77777777" w:rsidR="0066076B" w:rsidRDefault="00ED153A" w:rsidP="000131C9">
            <w:pPr>
              <w:jc w:val="both"/>
            </w:pPr>
            <w:r>
              <w:t>3.200</w:t>
            </w:r>
          </w:p>
        </w:tc>
        <w:tc>
          <w:tcPr>
            <w:tcW w:w="1872" w:type="dxa"/>
          </w:tcPr>
          <w:p w14:paraId="15AA16B9" w14:textId="77777777" w:rsidR="0066076B" w:rsidRDefault="00ED153A" w:rsidP="000131C9">
            <w:pPr>
              <w:jc w:val="both"/>
            </w:pPr>
            <w:r>
              <w:t>1.179</w:t>
            </w:r>
          </w:p>
        </w:tc>
        <w:tc>
          <w:tcPr>
            <w:tcW w:w="1872" w:type="dxa"/>
          </w:tcPr>
          <w:p w14:paraId="393685F6" w14:textId="77777777" w:rsidR="0066076B" w:rsidRDefault="00ED153A" w:rsidP="000131C9">
            <w:pPr>
              <w:jc w:val="both"/>
            </w:pPr>
            <w:r>
              <w:t>1</w:t>
            </w:r>
          </w:p>
        </w:tc>
        <w:tc>
          <w:tcPr>
            <w:tcW w:w="1872" w:type="dxa"/>
          </w:tcPr>
          <w:p w14:paraId="7BBDF52C" w14:textId="77777777" w:rsidR="0066076B" w:rsidRDefault="00ED153A" w:rsidP="000131C9">
            <w:pPr>
              <w:jc w:val="both"/>
            </w:pPr>
            <w:r>
              <w:t>5</w:t>
            </w:r>
          </w:p>
        </w:tc>
      </w:tr>
      <w:tr w:rsidR="0066076B" w14:paraId="4301A249" w14:textId="77777777">
        <w:tc>
          <w:tcPr>
            <w:tcW w:w="1872" w:type="dxa"/>
          </w:tcPr>
          <w:p w14:paraId="08C60F43" w14:textId="77777777" w:rsidR="0066076B" w:rsidRDefault="00ED153A" w:rsidP="000131C9">
            <w:pPr>
              <w:jc w:val="both"/>
            </w:pPr>
            <w:r>
              <w:t>OP3</w:t>
            </w:r>
          </w:p>
        </w:tc>
        <w:tc>
          <w:tcPr>
            <w:tcW w:w="1872" w:type="dxa"/>
          </w:tcPr>
          <w:p w14:paraId="31443922" w14:textId="77777777" w:rsidR="0066076B" w:rsidRDefault="00ED153A" w:rsidP="000131C9">
            <w:pPr>
              <w:jc w:val="both"/>
            </w:pPr>
            <w:r>
              <w:t>3.569</w:t>
            </w:r>
          </w:p>
        </w:tc>
        <w:tc>
          <w:tcPr>
            <w:tcW w:w="1872" w:type="dxa"/>
          </w:tcPr>
          <w:p w14:paraId="2150A53F" w14:textId="77777777" w:rsidR="0066076B" w:rsidRDefault="00ED153A" w:rsidP="000131C9">
            <w:pPr>
              <w:jc w:val="both"/>
            </w:pPr>
            <w:r>
              <w:t>1.080</w:t>
            </w:r>
          </w:p>
        </w:tc>
        <w:tc>
          <w:tcPr>
            <w:tcW w:w="1872" w:type="dxa"/>
          </w:tcPr>
          <w:p w14:paraId="2DE017D6" w14:textId="77777777" w:rsidR="0066076B" w:rsidRDefault="00ED153A" w:rsidP="000131C9">
            <w:pPr>
              <w:jc w:val="both"/>
            </w:pPr>
            <w:r>
              <w:t>1</w:t>
            </w:r>
          </w:p>
        </w:tc>
        <w:tc>
          <w:tcPr>
            <w:tcW w:w="1872" w:type="dxa"/>
          </w:tcPr>
          <w:p w14:paraId="08FF3E31" w14:textId="77777777" w:rsidR="0066076B" w:rsidRDefault="00ED153A" w:rsidP="000131C9">
            <w:pPr>
              <w:jc w:val="both"/>
            </w:pPr>
            <w:r>
              <w:t>5</w:t>
            </w:r>
          </w:p>
        </w:tc>
      </w:tr>
      <w:tr w:rsidR="0066076B" w14:paraId="2E4D4B3E" w14:textId="77777777">
        <w:tc>
          <w:tcPr>
            <w:tcW w:w="1872" w:type="dxa"/>
          </w:tcPr>
          <w:p w14:paraId="30BBA51C" w14:textId="77777777" w:rsidR="0066076B" w:rsidRDefault="00ED153A" w:rsidP="000131C9">
            <w:pPr>
              <w:jc w:val="both"/>
            </w:pPr>
            <w:r>
              <w:t>OP4</w:t>
            </w:r>
          </w:p>
        </w:tc>
        <w:tc>
          <w:tcPr>
            <w:tcW w:w="1872" w:type="dxa"/>
          </w:tcPr>
          <w:p w14:paraId="29B9EDCD" w14:textId="77777777" w:rsidR="0066076B" w:rsidRDefault="00ED153A" w:rsidP="000131C9">
            <w:pPr>
              <w:jc w:val="both"/>
            </w:pPr>
            <w:r>
              <w:t>3.479</w:t>
            </w:r>
          </w:p>
        </w:tc>
        <w:tc>
          <w:tcPr>
            <w:tcW w:w="1872" w:type="dxa"/>
          </w:tcPr>
          <w:p w14:paraId="5CE4A803" w14:textId="77777777" w:rsidR="0066076B" w:rsidRDefault="00ED153A" w:rsidP="000131C9">
            <w:pPr>
              <w:jc w:val="both"/>
            </w:pPr>
            <w:r>
              <w:t>1.038</w:t>
            </w:r>
          </w:p>
        </w:tc>
        <w:tc>
          <w:tcPr>
            <w:tcW w:w="1872" w:type="dxa"/>
          </w:tcPr>
          <w:p w14:paraId="4B0E736D" w14:textId="77777777" w:rsidR="0066076B" w:rsidRDefault="00ED153A" w:rsidP="000131C9">
            <w:pPr>
              <w:jc w:val="both"/>
            </w:pPr>
            <w:r>
              <w:t>1</w:t>
            </w:r>
          </w:p>
        </w:tc>
        <w:tc>
          <w:tcPr>
            <w:tcW w:w="1872" w:type="dxa"/>
          </w:tcPr>
          <w:p w14:paraId="046EEB80" w14:textId="77777777" w:rsidR="0066076B" w:rsidRDefault="00ED153A" w:rsidP="000131C9">
            <w:pPr>
              <w:jc w:val="both"/>
            </w:pPr>
            <w:r>
              <w:t>5</w:t>
            </w:r>
          </w:p>
        </w:tc>
      </w:tr>
      <w:tr w:rsidR="0066076B" w14:paraId="4E2655D2" w14:textId="77777777">
        <w:tc>
          <w:tcPr>
            <w:tcW w:w="1872" w:type="dxa"/>
          </w:tcPr>
          <w:p w14:paraId="664C56C6" w14:textId="77777777" w:rsidR="0066076B" w:rsidRDefault="00ED153A" w:rsidP="000131C9">
            <w:pPr>
              <w:jc w:val="both"/>
            </w:pPr>
            <w:r>
              <w:t>OP5</w:t>
            </w:r>
          </w:p>
        </w:tc>
        <w:tc>
          <w:tcPr>
            <w:tcW w:w="1872" w:type="dxa"/>
          </w:tcPr>
          <w:p w14:paraId="19A9CE30" w14:textId="77777777" w:rsidR="0066076B" w:rsidRDefault="00ED153A" w:rsidP="000131C9">
            <w:pPr>
              <w:jc w:val="both"/>
            </w:pPr>
            <w:r>
              <w:t>3.608</w:t>
            </w:r>
          </w:p>
        </w:tc>
        <w:tc>
          <w:tcPr>
            <w:tcW w:w="1872" w:type="dxa"/>
          </w:tcPr>
          <w:p w14:paraId="2257BC44" w14:textId="77777777" w:rsidR="0066076B" w:rsidRDefault="00ED153A" w:rsidP="000131C9">
            <w:pPr>
              <w:jc w:val="both"/>
            </w:pPr>
            <w:r>
              <w:t>1.050</w:t>
            </w:r>
          </w:p>
        </w:tc>
        <w:tc>
          <w:tcPr>
            <w:tcW w:w="1872" w:type="dxa"/>
          </w:tcPr>
          <w:p w14:paraId="1ADE325B" w14:textId="77777777" w:rsidR="0066076B" w:rsidRDefault="00ED153A" w:rsidP="000131C9">
            <w:pPr>
              <w:jc w:val="both"/>
            </w:pPr>
            <w:r>
              <w:t>1</w:t>
            </w:r>
          </w:p>
        </w:tc>
        <w:tc>
          <w:tcPr>
            <w:tcW w:w="1872" w:type="dxa"/>
          </w:tcPr>
          <w:p w14:paraId="593E82A2" w14:textId="77777777" w:rsidR="0066076B" w:rsidRDefault="00ED153A" w:rsidP="000131C9">
            <w:pPr>
              <w:jc w:val="both"/>
            </w:pPr>
            <w:r>
              <w:t>5</w:t>
            </w:r>
          </w:p>
        </w:tc>
      </w:tr>
      <w:tr w:rsidR="0066076B" w14:paraId="60F1E990" w14:textId="77777777">
        <w:tc>
          <w:tcPr>
            <w:tcW w:w="1872" w:type="dxa"/>
          </w:tcPr>
          <w:p w14:paraId="2FB73261" w14:textId="77777777" w:rsidR="0066076B" w:rsidRDefault="00ED153A" w:rsidP="000131C9">
            <w:pPr>
              <w:jc w:val="both"/>
            </w:pPr>
            <w:r>
              <w:t>OP6</w:t>
            </w:r>
          </w:p>
        </w:tc>
        <w:tc>
          <w:tcPr>
            <w:tcW w:w="1872" w:type="dxa"/>
          </w:tcPr>
          <w:p w14:paraId="22148BF5" w14:textId="77777777" w:rsidR="0066076B" w:rsidRDefault="00ED153A" w:rsidP="000131C9">
            <w:pPr>
              <w:jc w:val="both"/>
            </w:pPr>
            <w:r>
              <w:t>3.544</w:t>
            </w:r>
          </w:p>
        </w:tc>
        <w:tc>
          <w:tcPr>
            <w:tcW w:w="1872" w:type="dxa"/>
          </w:tcPr>
          <w:p w14:paraId="0949EBE2" w14:textId="77777777" w:rsidR="0066076B" w:rsidRDefault="00ED153A" w:rsidP="000131C9">
            <w:pPr>
              <w:jc w:val="both"/>
            </w:pPr>
            <w:r>
              <w:t>1.055</w:t>
            </w:r>
          </w:p>
        </w:tc>
        <w:tc>
          <w:tcPr>
            <w:tcW w:w="1872" w:type="dxa"/>
          </w:tcPr>
          <w:p w14:paraId="73EAE137" w14:textId="77777777" w:rsidR="0066076B" w:rsidRDefault="00ED153A" w:rsidP="000131C9">
            <w:pPr>
              <w:jc w:val="both"/>
            </w:pPr>
            <w:r>
              <w:t>1</w:t>
            </w:r>
          </w:p>
        </w:tc>
        <w:tc>
          <w:tcPr>
            <w:tcW w:w="1872" w:type="dxa"/>
          </w:tcPr>
          <w:p w14:paraId="14CEE9F4" w14:textId="77777777" w:rsidR="0066076B" w:rsidRDefault="00ED153A" w:rsidP="000131C9">
            <w:pPr>
              <w:jc w:val="both"/>
            </w:pPr>
            <w:r>
              <w:t>5</w:t>
            </w:r>
          </w:p>
        </w:tc>
      </w:tr>
    </w:tbl>
    <w:p w14:paraId="3B9A34CB" w14:textId="77777777" w:rsidR="0066076B" w:rsidRDefault="00ED153A" w:rsidP="000131C9">
      <w:pPr>
        <w:jc w:val="both"/>
      </w:pPr>
      <w:r>
        <w:rPr>
          <w:b/>
          <w:sz w:val="28"/>
        </w:rPr>
        <w:t>Appendix B. Full HTMT matrix</w:t>
      </w:r>
    </w:p>
    <w:p w14:paraId="25E836C6" w14:textId="77777777" w:rsidR="0066076B" w:rsidRDefault="00ED153A" w:rsidP="000131C9">
      <w:pPr>
        <w:spacing w:after="120"/>
        <w:jc w:val="both"/>
      </w:pPr>
      <w:r>
        <w:t>Table B1 provides the full HTMT matrix among the three constructs.</w:t>
      </w:r>
    </w:p>
    <w:tbl>
      <w:tblPr>
        <w:tblStyle w:val="TableGrid"/>
        <w:tblW w:w="0" w:type="auto"/>
        <w:tblLook w:val="04A0" w:firstRow="1" w:lastRow="0" w:firstColumn="1" w:lastColumn="0" w:noHBand="0" w:noVBand="1"/>
      </w:tblPr>
      <w:tblGrid>
        <w:gridCol w:w="2336"/>
        <w:gridCol w:w="2338"/>
        <w:gridCol w:w="2338"/>
        <w:gridCol w:w="2338"/>
      </w:tblGrid>
      <w:tr w:rsidR="0066076B" w14:paraId="14169C69" w14:textId="77777777">
        <w:tc>
          <w:tcPr>
            <w:tcW w:w="2340" w:type="dxa"/>
          </w:tcPr>
          <w:p w14:paraId="588A1A67" w14:textId="77777777" w:rsidR="0066076B" w:rsidRDefault="0066076B" w:rsidP="000131C9">
            <w:pPr>
              <w:jc w:val="both"/>
            </w:pPr>
          </w:p>
        </w:tc>
        <w:tc>
          <w:tcPr>
            <w:tcW w:w="2340" w:type="dxa"/>
          </w:tcPr>
          <w:p w14:paraId="4523BE67" w14:textId="77777777" w:rsidR="0066076B" w:rsidRDefault="00ED153A" w:rsidP="000131C9">
            <w:pPr>
              <w:jc w:val="both"/>
            </w:pPr>
            <w:r>
              <w:t>SP</w:t>
            </w:r>
          </w:p>
        </w:tc>
        <w:tc>
          <w:tcPr>
            <w:tcW w:w="2340" w:type="dxa"/>
          </w:tcPr>
          <w:p w14:paraId="074C5F38" w14:textId="77777777" w:rsidR="0066076B" w:rsidRDefault="00ED153A" w:rsidP="000131C9">
            <w:pPr>
              <w:jc w:val="both"/>
            </w:pPr>
            <w:r>
              <w:t>OA</w:t>
            </w:r>
          </w:p>
        </w:tc>
        <w:tc>
          <w:tcPr>
            <w:tcW w:w="2340" w:type="dxa"/>
          </w:tcPr>
          <w:p w14:paraId="17EDAD1B" w14:textId="77777777" w:rsidR="0066076B" w:rsidRDefault="00ED153A" w:rsidP="000131C9">
            <w:pPr>
              <w:jc w:val="both"/>
            </w:pPr>
            <w:r>
              <w:t>OP</w:t>
            </w:r>
          </w:p>
        </w:tc>
      </w:tr>
      <w:tr w:rsidR="0066076B" w14:paraId="26B2EC71" w14:textId="77777777">
        <w:tc>
          <w:tcPr>
            <w:tcW w:w="2340" w:type="dxa"/>
          </w:tcPr>
          <w:p w14:paraId="427B1314" w14:textId="77777777" w:rsidR="0066076B" w:rsidRDefault="00ED153A" w:rsidP="000131C9">
            <w:pPr>
              <w:jc w:val="both"/>
            </w:pPr>
            <w:r>
              <w:t>SP</w:t>
            </w:r>
          </w:p>
        </w:tc>
        <w:tc>
          <w:tcPr>
            <w:tcW w:w="2340" w:type="dxa"/>
          </w:tcPr>
          <w:p w14:paraId="0697C32E" w14:textId="77777777" w:rsidR="0066076B" w:rsidRDefault="00ED153A" w:rsidP="000131C9">
            <w:pPr>
              <w:jc w:val="both"/>
            </w:pPr>
            <w:r>
              <w:t>—</w:t>
            </w:r>
          </w:p>
        </w:tc>
        <w:tc>
          <w:tcPr>
            <w:tcW w:w="2340" w:type="dxa"/>
          </w:tcPr>
          <w:p w14:paraId="0727782F" w14:textId="77777777" w:rsidR="0066076B" w:rsidRDefault="00ED153A" w:rsidP="000131C9">
            <w:pPr>
              <w:jc w:val="both"/>
            </w:pPr>
            <w:r>
              <w:t>0.614</w:t>
            </w:r>
          </w:p>
        </w:tc>
        <w:tc>
          <w:tcPr>
            <w:tcW w:w="2340" w:type="dxa"/>
          </w:tcPr>
          <w:p w14:paraId="103A4698" w14:textId="77777777" w:rsidR="0066076B" w:rsidRDefault="00ED153A" w:rsidP="000131C9">
            <w:pPr>
              <w:jc w:val="both"/>
            </w:pPr>
            <w:r>
              <w:t>0.521</w:t>
            </w:r>
          </w:p>
        </w:tc>
      </w:tr>
      <w:tr w:rsidR="0066076B" w14:paraId="12DAEADC" w14:textId="77777777">
        <w:tc>
          <w:tcPr>
            <w:tcW w:w="2340" w:type="dxa"/>
          </w:tcPr>
          <w:p w14:paraId="39257FDF" w14:textId="77777777" w:rsidR="0066076B" w:rsidRDefault="00ED153A" w:rsidP="000131C9">
            <w:pPr>
              <w:jc w:val="both"/>
            </w:pPr>
            <w:r>
              <w:t>OA</w:t>
            </w:r>
          </w:p>
        </w:tc>
        <w:tc>
          <w:tcPr>
            <w:tcW w:w="2340" w:type="dxa"/>
          </w:tcPr>
          <w:p w14:paraId="6EA7592A" w14:textId="77777777" w:rsidR="0066076B" w:rsidRDefault="00ED153A" w:rsidP="000131C9">
            <w:pPr>
              <w:jc w:val="both"/>
            </w:pPr>
            <w:r>
              <w:t>0.614</w:t>
            </w:r>
          </w:p>
        </w:tc>
        <w:tc>
          <w:tcPr>
            <w:tcW w:w="2340" w:type="dxa"/>
          </w:tcPr>
          <w:p w14:paraId="25148138" w14:textId="77777777" w:rsidR="0066076B" w:rsidRDefault="00ED153A" w:rsidP="000131C9">
            <w:pPr>
              <w:jc w:val="both"/>
            </w:pPr>
            <w:r>
              <w:t>—</w:t>
            </w:r>
          </w:p>
        </w:tc>
        <w:tc>
          <w:tcPr>
            <w:tcW w:w="2340" w:type="dxa"/>
          </w:tcPr>
          <w:p w14:paraId="1EADF69F" w14:textId="77777777" w:rsidR="0066076B" w:rsidRDefault="00ED153A" w:rsidP="000131C9">
            <w:pPr>
              <w:jc w:val="both"/>
            </w:pPr>
            <w:r>
              <w:t>0.612</w:t>
            </w:r>
          </w:p>
        </w:tc>
      </w:tr>
      <w:tr w:rsidR="0066076B" w14:paraId="14C6949D" w14:textId="77777777">
        <w:tc>
          <w:tcPr>
            <w:tcW w:w="2340" w:type="dxa"/>
          </w:tcPr>
          <w:p w14:paraId="7370BD21" w14:textId="77777777" w:rsidR="0066076B" w:rsidRDefault="00ED153A" w:rsidP="000131C9">
            <w:pPr>
              <w:jc w:val="both"/>
            </w:pPr>
            <w:r>
              <w:t>OP</w:t>
            </w:r>
          </w:p>
        </w:tc>
        <w:tc>
          <w:tcPr>
            <w:tcW w:w="2340" w:type="dxa"/>
          </w:tcPr>
          <w:p w14:paraId="47149891" w14:textId="77777777" w:rsidR="0066076B" w:rsidRDefault="00ED153A" w:rsidP="000131C9">
            <w:pPr>
              <w:jc w:val="both"/>
            </w:pPr>
            <w:r>
              <w:t>0.521</w:t>
            </w:r>
          </w:p>
        </w:tc>
        <w:tc>
          <w:tcPr>
            <w:tcW w:w="2340" w:type="dxa"/>
          </w:tcPr>
          <w:p w14:paraId="7C2DDCFF" w14:textId="77777777" w:rsidR="0066076B" w:rsidRDefault="00ED153A" w:rsidP="000131C9">
            <w:pPr>
              <w:jc w:val="both"/>
            </w:pPr>
            <w:r>
              <w:t>0.612</w:t>
            </w:r>
          </w:p>
        </w:tc>
        <w:tc>
          <w:tcPr>
            <w:tcW w:w="2340" w:type="dxa"/>
          </w:tcPr>
          <w:p w14:paraId="0684192D" w14:textId="77777777" w:rsidR="0066076B" w:rsidRDefault="00ED153A" w:rsidP="000131C9">
            <w:pPr>
              <w:jc w:val="both"/>
            </w:pPr>
            <w:r>
              <w:t>—</w:t>
            </w:r>
          </w:p>
        </w:tc>
      </w:tr>
    </w:tbl>
    <w:p w14:paraId="21400688" w14:textId="77777777" w:rsidR="0066076B" w:rsidRDefault="00ED153A" w:rsidP="000131C9">
      <w:pPr>
        <w:jc w:val="both"/>
      </w:pPr>
      <w:r>
        <w:rPr>
          <w:b/>
          <w:sz w:val="28"/>
        </w:rPr>
        <w:t>Appendix C. Full collinearity VIFs</w:t>
      </w:r>
    </w:p>
    <w:p w14:paraId="30474B6D" w14:textId="77777777" w:rsidR="0066076B" w:rsidRDefault="00ED153A" w:rsidP="000131C9">
      <w:pPr>
        <w:spacing w:after="120"/>
        <w:jc w:val="both"/>
      </w:pPr>
      <w:r>
        <w:t>Table C1 reports full collinearity VIFs used as a CMB diagnostic (Kock, 2015).</w:t>
      </w:r>
    </w:p>
    <w:tbl>
      <w:tblPr>
        <w:tblStyle w:val="TableGrid"/>
        <w:tblW w:w="0" w:type="auto"/>
        <w:tblLook w:val="04A0" w:firstRow="1" w:lastRow="0" w:firstColumn="1" w:lastColumn="0" w:noHBand="0" w:noVBand="1"/>
      </w:tblPr>
      <w:tblGrid>
        <w:gridCol w:w="3117"/>
        <w:gridCol w:w="3117"/>
        <w:gridCol w:w="3116"/>
      </w:tblGrid>
      <w:tr w:rsidR="0066076B" w14:paraId="274ABF46" w14:textId="77777777">
        <w:tc>
          <w:tcPr>
            <w:tcW w:w="3120" w:type="dxa"/>
          </w:tcPr>
          <w:p w14:paraId="3A255B08" w14:textId="77777777" w:rsidR="0066076B" w:rsidRDefault="00ED153A" w:rsidP="000131C9">
            <w:pPr>
              <w:jc w:val="both"/>
            </w:pPr>
            <w:r>
              <w:t>Dependent construct</w:t>
            </w:r>
          </w:p>
        </w:tc>
        <w:tc>
          <w:tcPr>
            <w:tcW w:w="3120" w:type="dxa"/>
          </w:tcPr>
          <w:p w14:paraId="462211DB" w14:textId="77777777" w:rsidR="0066076B" w:rsidRDefault="00ED153A" w:rsidP="000131C9">
            <w:pPr>
              <w:jc w:val="both"/>
            </w:pPr>
            <w:r>
              <w:t>Predictor</w:t>
            </w:r>
          </w:p>
        </w:tc>
        <w:tc>
          <w:tcPr>
            <w:tcW w:w="3120" w:type="dxa"/>
          </w:tcPr>
          <w:p w14:paraId="2413D122" w14:textId="77777777" w:rsidR="0066076B" w:rsidRDefault="00ED153A" w:rsidP="000131C9">
            <w:pPr>
              <w:jc w:val="both"/>
            </w:pPr>
            <w:r>
              <w:t>VIF</w:t>
            </w:r>
          </w:p>
        </w:tc>
      </w:tr>
      <w:tr w:rsidR="0066076B" w14:paraId="633DB974" w14:textId="77777777">
        <w:tc>
          <w:tcPr>
            <w:tcW w:w="3120" w:type="dxa"/>
          </w:tcPr>
          <w:p w14:paraId="7998A390" w14:textId="77777777" w:rsidR="0066076B" w:rsidRDefault="00ED153A" w:rsidP="000131C9">
            <w:pPr>
              <w:jc w:val="both"/>
            </w:pPr>
            <w:r>
              <w:t>SP</w:t>
            </w:r>
          </w:p>
        </w:tc>
        <w:tc>
          <w:tcPr>
            <w:tcW w:w="3120" w:type="dxa"/>
          </w:tcPr>
          <w:p w14:paraId="6FC7C1EC" w14:textId="77777777" w:rsidR="0066076B" w:rsidRDefault="00ED153A" w:rsidP="000131C9">
            <w:pPr>
              <w:jc w:val="both"/>
            </w:pPr>
            <w:r>
              <w:t>OA</w:t>
            </w:r>
          </w:p>
        </w:tc>
        <w:tc>
          <w:tcPr>
            <w:tcW w:w="3120" w:type="dxa"/>
          </w:tcPr>
          <w:p w14:paraId="5D676941" w14:textId="77777777" w:rsidR="0066076B" w:rsidRDefault="00ED153A" w:rsidP="000131C9">
            <w:pPr>
              <w:jc w:val="both"/>
            </w:pPr>
            <w:r>
              <w:t>1.418</w:t>
            </w:r>
          </w:p>
        </w:tc>
      </w:tr>
      <w:tr w:rsidR="0066076B" w14:paraId="1BEC2EA5" w14:textId="77777777">
        <w:tc>
          <w:tcPr>
            <w:tcW w:w="3120" w:type="dxa"/>
          </w:tcPr>
          <w:p w14:paraId="520084FC" w14:textId="77777777" w:rsidR="0066076B" w:rsidRDefault="00ED153A" w:rsidP="000131C9">
            <w:pPr>
              <w:jc w:val="both"/>
            </w:pPr>
            <w:r>
              <w:t>SP</w:t>
            </w:r>
          </w:p>
        </w:tc>
        <w:tc>
          <w:tcPr>
            <w:tcW w:w="3120" w:type="dxa"/>
          </w:tcPr>
          <w:p w14:paraId="78FA9C53" w14:textId="77777777" w:rsidR="0066076B" w:rsidRDefault="00ED153A" w:rsidP="000131C9">
            <w:pPr>
              <w:jc w:val="both"/>
            </w:pPr>
            <w:r>
              <w:t>OP</w:t>
            </w:r>
          </w:p>
        </w:tc>
        <w:tc>
          <w:tcPr>
            <w:tcW w:w="3120" w:type="dxa"/>
          </w:tcPr>
          <w:p w14:paraId="414C01C1" w14:textId="77777777" w:rsidR="0066076B" w:rsidRDefault="00ED153A" w:rsidP="000131C9">
            <w:pPr>
              <w:jc w:val="both"/>
            </w:pPr>
            <w:r>
              <w:t>1.418</w:t>
            </w:r>
          </w:p>
        </w:tc>
      </w:tr>
      <w:tr w:rsidR="0066076B" w14:paraId="30B04177" w14:textId="77777777">
        <w:tc>
          <w:tcPr>
            <w:tcW w:w="3120" w:type="dxa"/>
          </w:tcPr>
          <w:p w14:paraId="4EC62823" w14:textId="77777777" w:rsidR="0066076B" w:rsidRDefault="00ED153A" w:rsidP="000131C9">
            <w:pPr>
              <w:jc w:val="both"/>
            </w:pPr>
            <w:r>
              <w:t>OA</w:t>
            </w:r>
          </w:p>
        </w:tc>
        <w:tc>
          <w:tcPr>
            <w:tcW w:w="3120" w:type="dxa"/>
          </w:tcPr>
          <w:p w14:paraId="22FEA966" w14:textId="77777777" w:rsidR="0066076B" w:rsidRDefault="00ED153A" w:rsidP="000131C9">
            <w:pPr>
              <w:jc w:val="both"/>
            </w:pPr>
            <w:r>
              <w:t>SP</w:t>
            </w:r>
          </w:p>
        </w:tc>
        <w:tc>
          <w:tcPr>
            <w:tcW w:w="3120" w:type="dxa"/>
          </w:tcPr>
          <w:p w14:paraId="1EB56A00" w14:textId="77777777" w:rsidR="0066076B" w:rsidRDefault="00ED153A" w:rsidP="000131C9">
            <w:pPr>
              <w:jc w:val="both"/>
            </w:pPr>
            <w:r>
              <w:t>1.267</w:t>
            </w:r>
          </w:p>
        </w:tc>
      </w:tr>
      <w:tr w:rsidR="0066076B" w14:paraId="467D8836" w14:textId="77777777">
        <w:tc>
          <w:tcPr>
            <w:tcW w:w="3120" w:type="dxa"/>
          </w:tcPr>
          <w:p w14:paraId="74CC464C" w14:textId="77777777" w:rsidR="0066076B" w:rsidRDefault="00ED153A" w:rsidP="000131C9">
            <w:pPr>
              <w:jc w:val="both"/>
            </w:pPr>
            <w:r>
              <w:t>OA</w:t>
            </w:r>
          </w:p>
        </w:tc>
        <w:tc>
          <w:tcPr>
            <w:tcW w:w="3120" w:type="dxa"/>
          </w:tcPr>
          <w:p w14:paraId="5BB1CA2B" w14:textId="77777777" w:rsidR="0066076B" w:rsidRDefault="00ED153A" w:rsidP="000131C9">
            <w:pPr>
              <w:jc w:val="both"/>
            </w:pPr>
            <w:r>
              <w:t>OP</w:t>
            </w:r>
          </w:p>
        </w:tc>
        <w:tc>
          <w:tcPr>
            <w:tcW w:w="3120" w:type="dxa"/>
          </w:tcPr>
          <w:p w14:paraId="4EA5B780" w14:textId="77777777" w:rsidR="0066076B" w:rsidRDefault="00ED153A" w:rsidP="000131C9">
            <w:pPr>
              <w:jc w:val="both"/>
            </w:pPr>
            <w:r>
              <w:t>1.267</w:t>
            </w:r>
          </w:p>
        </w:tc>
      </w:tr>
      <w:tr w:rsidR="0066076B" w14:paraId="19DB38B6" w14:textId="77777777">
        <w:tc>
          <w:tcPr>
            <w:tcW w:w="3120" w:type="dxa"/>
          </w:tcPr>
          <w:p w14:paraId="58DF49DF" w14:textId="77777777" w:rsidR="0066076B" w:rsidRDefault="00ED153A" w:rsidP="000131C9">
            <w:pPr>
              <w:jc w:val="both"/>
            </w:pPr>
            <w:r>
              <w:lastRenderedPageBreak/>
              <w:t>OP</w:t>
            </w:r>
          </w:p>
        </w:tc>
        <w:tc>
          <w:tcPr>
            <w:tcW w:w="3120" w:type="dxa"/>
          </w:tcPr>
          <w:p w14:paraId="0921CA14" w14:textId="77777777" w:rsidR="0066076B" w:rsidRDefault="00ED153A" w:rsidP="000131C9">
            <w:pPr>
              <w:jc w:val="both"/>
            </w:pPr>
            <w:r>
              <w:t>SP</w:t>
            </w:r>
          </w:p>
        </w:tc>
        <w:tc>
          <w:tcPr>
            <w:tcW w:w="3120" w:type="dxa"/>
          </w:tcPr>
          <w:p w14:paraId="7052217A" w14:textId="77777777" w:rsidR="0066076B" w:rsidRDefault="00ED153A" w:rsidP="000131C9">
            <w:pPr>
              <w:jc w:val="both"/>
            </w:pPr>
            <w:r>
              <w:t>1.421</w:t>
            </w:r>
          </w:p>
        </w:tc>
      </w:tr>
      <w:tr w:rsidR="0066076B" w14:paraId="0BA11F00" w14:textId="77777777">
        <w:tc>
          <w:tcPr>
            <w:tcW w:w="3120" w:type="dxa"/>
          </w:tcPr>
          <w:p w14:paraId="0A1B6D78" w14:textId="77777777" w:rsidR="0066076B" w:rsidRDefault="00ED153A" w:rsidP="000131C9">
            <w:pPr>
              <w:jc w:val="both"/>
            </w:pPr>
            <w:r>
              <w:t>OP</w:t>
            </w:r>
          </w:p>
        </w:tc>
        <w:tc>
          <w:tcPr>
            <w:tcW w:w="3120" w:type="dxa"/>
          </w:tcPr>
          <w:p w14:paraId="594355C8" w14:textId="77777777" w:rsidR="0066076B" w:rsidRDefault="00ED153A" w:rsidP="000131C9">
            <w:pPr>
              <w:jc w:val="both"/>
            </w:pPr>
            <w:r>
              <w:t>OA</w:t>
            </w:r>
          </w:p>
        </w:tc>
        <w:tc>
          <w:tcPr>
            <w:tcW w:w="3120" w:type="dxa"/>
          </w:tcPr>
          <w:p w14:paraId="073EB48C" w14:textId="77777777" w:rsidR="0066076B" w:rsidRDefault="00ED153A" w:rsidP="000131C9">
            <w:pPr>
              <w:jc w:val="both"/>
            </w:pPr>
            <w:r>
              <w:t>1.421</w:t>
            </w:r>
          </w:p>
        </w:tc>
      </w:tr>
    </w:tbl>
    <w:p w14:paraId="3F2F090F" w14:textId="77777777" w:rsidR="0066076B" w:rsidRDefault="00ED153A" w:rsidP="000131C9">
      <w:pPr>
        <w:jc w:val="both"/>
      </w:pPr>
      <w:r>
        <w:rPr>
          <w:b/>
          <w:sz w:val="28"/>
        </w:rPr>
        <w:t>Appendix D. Mediation effect decomposition</w:t>
      </w:r>
    </w:p>
    <w:tbl>
      <w:tblPr>
        <w:tblStyle w:val="TableGrid"/>
        <w:tblW w:w="0" w:type="auto"/>
        <w:tblLook w:val="04A0" w:firstRow="1" w:lastRow="0" w:firstColumn="1" w:lastColumn="0" w:noHBand="0" w:noVBand="1"/>
      </w:tblPr>
      <w:tblGrid>
        <w:gridCol w:w="4676"/>
        <w:gridCol w:w="4674"/>
      </w:tblGrid>
      <w:tr w:rsidR="0066076B" w14:paraId="53230E45" w14:textId="77777777">
        <w:tc>
          <w:tcPr>
            <w:tcW w:w="4680" w:type="dxa"/>
          </w:tcPr>
          <w:p w14:paraId="0A7B57EC" w14:textId="77777777" w:rsidR="0066076B" w:rsidRDefault="00ED153A" w:rsidP="000131C9">
            <w:pPr>
              <w:jc w:val="both"/>
            </w:pPr>
            <w:r>
              <w:t>Component</w:t>
            </w:r>
          </w:p>
        </w:tc>
        <w:tc>
          <w:tcPr>
            <w:tcW w:w="4680" w:type="dxa"/>
          </w:tcPr>
          <w:p w14:paraId="38E8B98C" w14:textId="77777777" w:rsidR="0066076B" w:rsidRDefault="00ED153A" w:rsidP="000131C9">
            <w:pPr>
              <w:jc w:val="both"/>
            </w:pPr>
            <w:r>
              <w:t>Value</w:t>
            </w:r>
          </w:p>
        </w:tc>
      </w:tr>
      <w:tr w:rsidR="0066076B" w14:paraId="01286079" w14:textId="77777777">
        <w:tc>
          <w:tcPr>
            <w:tcW w:w="4680" w:type="dxa"/>
          </w:tcPr>
          <w:p w14:paraId="02E741D0" w14:textId="77777777" w:rsidR="0066076B" w:rsidRDefault="00ED153A" w:rsidP="000131C9">
            <w:pPr>
              <w:jc w:val="both"/>
            </w:pPr>
            <w:r>
              <w:t>Direct effect (SP → OP)</w:t>
            </w:r>
          </w:p>
        </w:tc>
        <w:tc>
          <w:tcPr>
            <w:tcW w:w="4680" w:type="dxa"/>
          </w:tcPr>
          <w:p w14:paraId="7CD48CBE" w14:textId="77777777" w:rsidR="0066076B" w:rsidRDefault="00ED153A" w:rsidP="000131C9">
            <w:pPr>
              <w:jc w:val="both"/>
            </w:pPr>
            <w:r>
              <w:t>0.225</w:t>
            </w:r>
          </w:p>
        </w:tc>
      </w:tr>
      <w:tr w:rsidR="0066076B" w14:paraId="02823C15" w14:textId="77777777">
        <w:tc>
          <w:tcPr>
            <w:tcW w:w="4680" w:type="dxa"/>
          </w:tcPr>
          <w:p w14:paraId="0509A75A" w14:textId="77777777" w:rsidR="0066076B" w:rsidRDefault="00ED153A" w:rsidP="000131C9">
            <w:pPr>
              <w:jc w:val="both"/>
            </w:pPr>
            <w:r>
              <w:t>Indirect effect (SP → OA → OP)</w:t>
            </w:r>
          </w:p>
        </w:tc>
        <w:tc>
          <w:tcPr>
            <w:tcW w:w="4680" w:type="dxa"/>
          </w:tcPr>
          <w:p w14:paraId="5E65CD4F" w14:textId="77777777" w:rsidR="0066076B" w:rsidRDefault="00ED153A" w:rsidP="000131C9">
            <w:pPr>
              <w:jc w:val="both"/>
            </w:pPr>
            <w:r>
              <w:t>0.245</w:t>
            </w:r>
          </w:p>
        </w:tc>
      </w:tr>
      <w:tr w:rsidR="0066076B" w14:paraId="7272B88F" w14:textId="77777777">
        <w:tc>
          <w:tcPr>
            <w:tcW w:w="4680" w:type="dxa"/>
          </w:tcPr>
          <w:p w14:paraId="5947A6D4" w14:textId="77777777" w:rsidR="0066076B" w:rsidRDefault="00ED153A" w:rsidP="000131C9">
            <w:pPr>
              <w:jc w:val="both"/>
            </w:pPr>
            <w:r>
              <w:t>Total effect</w:t>
            </w:r>
          </w:p>
        </w:tc>
        <w:tc>
          <w:tcPr>
            <w:tcW w:w="4680" w:type="dxa"/>
          </w:tcPr>
          <w:p w14:paraId="2CD7EB83" w14:textId="77777777" w:rsidR="0066076B" w:rsidRDefault="00ED153A" w:rsidP="000131C9">
            <w:pPr>
              <w:jc w:val="both"/>
            </w:pPr>
            <w:r>
              <w:t>0.470</w:t>
            </w:r>
          </w:p>
        </w:tc>
      </w:tr>
      <w:tr w:rsidR="0066076B" w14:paraId="2B0393D7" w14:textId="77777777">
        <w:tc>
          <w:tcPr>
            <w:tcW w:w="4680" w:type="dxa"/>
          </w:tcPr>
          <w:p w14:paraId="361F3A17" w14:textId="77777777" w:rsidR="0066076B" w:rsidRDefault="00ED153A" w:rsidP="000131C9">
            <w:pPr>
              <w:jc w:val="both"/>
            </w:pPr>
            <w:r>
              <w:t>VAF (indirect/total)</w:t>
            </w:r>
          </w:p>
        </w:tc>
        <w:tc>
          <w:tcPr>
            <w:tcW w:w="4680" w:type="dxa"/>
          </w:tcPr>
          <w:p w14:paraId="67044CCF" w14:textId="77777777" w:rsidR="0066076B" w:rsidRDefault="00ED153A" w:rsidP="000131C9">
            <w:pPr>
              <w:jc w:val="both"/>
            </w:pPr>
            <w:r>
              <w:t>0.522</w:t>
            </w:r>
          </w:p>
        </w:tc>
      </w:tr>
      <w:bookmarkEnd w:id="0"/>
    </w:tbl>
    <w:p w14:paraId="434B757F" w14:textId="77777777" w:rsidR="00242C98" w:rsidRDefault="00242C98" w:rsidP="000131C9">
      <w:pPr>
        <w:jc w:val="both"/>
      </w:pPr>
    </w:p>
    <w:sectPr w:rsidR="00242C98" w:rsidSect="0003461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AB5B5" w14:textId="77777777" w:rsidR="00CC1F1E" w:rsidRDefault="00CC1F1E">
      <w:pPr>
        <w:spacing w:after="0" w:line="240" w:lineRule="auto"/>
      </w:pPr>
      <w:r>
        <w:separator/>
      </w:r>
    </w:p>
  </w:endnote>
  <w:endnote w:type="continuationSeparator" w:id="0">
    <w:p w14:paraId="0EB91940" w14:textId="77777777" w:rsidR="00CC1F1E" w:rsidRDefault="00CC1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1A3E9" w14:textId="77777777" w:rsidR="00D057D0" w:rsidRDefault="00D05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492859"/>
      <w:docPartObj>
        <w:docPartGallery w:val="Page Numbers (Bottom of Page)"/>
        <w:docPartUnique/>
      </w:docPartObj>
    </w:sdtPr>
    <w:sdtEndPr/>
    <w:sdtContent>
      <w:sdt>
        <w:sdtPr>
          <w:id w:val="1728636285"/>
          <w:docPartObj>
            <w:docPartGallery w:val="Page Numbers (Top of Page)"/>
            <w:docPartUnique/>
          </w:docPartObj>
        </w:sdtPr>
        <w:sdtEndPr/>
        <w:sdtContent>
          <w:p w14:paraId="2642F996" w14:textId="512DAEDE" w:rsidR="001D6D27" w:rsidRDefault="001D6D27">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36109976" w14:textId="77777777" w:rsidR="001D6D27" w:rsidRDefault="001D6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A4627" w14:textId="77777777" w:rsidR="00D057D0" w:rsidRDefault="00D05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2E32E" w14:textId="77777777" w:rsidR="00CC1F1E" w:rsidRDefault="00CC1F1E">
      <w:pPr>
        <w:spacing w:after="0" w:line="240" w:lineRule="auto"/>
      </w:pPr>
      <w:r>
        <w:separator/>
      </w:r>
    </w:p>
  </w:footnote>
  <w:footnote w:type="continuationSeparator" w:id="0">
    <w:p w14:paraId="474BF8FF" w14:textId="77777777" w:rsidR="00CC1F1E" w:rsidRDefault="00CC1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D4574" w14:textId="0299482A" w:rsidR="00D057D0" w:rsidRDefault="00CC1F1E">
    <w:pPr>
      <w:pStyle w:val="Header"/>
    </w:pPr>
    <w:r>
      <w:rPr>
        <w:noProof/>
      </w:rPr>
      <w:pict w14:anchorId="6BA3B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68536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68107" w14:textId="142CEEE5" w:rsidR="00D057D0" w:rsidRDefault="00CC1F1E">
    <w:pPr>
      <w:pStyle w:val="Header"/>
    </w:pPr>
    <w:r>
      <w:rPr>
        <w:noProof/>
      </w:rPr>
      <w:pict w14:anchorId="5EE1B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68536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775E0" w14:textId="48EB59FF" w:rsidR="00D057D0" w:rsidRDefault="00CC1F1E">
    <w:pPr>
      <w:pStyle w:val="Header"/>
    </w:pPr>
    <w:r>
      <w:rPr>
        <w:noProof/>
      </w:rPr>
      <w:pict w14:anchorId="76A23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68535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AwMjK0NLI0NTI2NzNX0lEKTi0uzszPAykwqgUAabJHpywAAAA="/>
  </w:docVars>
  <w:rsids>
    <w:rsidRoot w:val="00B47730"/>
    <w:rsid w:val="000131C9"/>
    <w:rsid w:val="00025989"/>
    <w:rsid w:val="00034616"/>
    <w:rsid w:val="0006063C"/>
    <w:rsid w:val="00076345"/>
    <w:rsid w:val="0015074B"/>
    <w:rsid w:val="001D6D27"/>
    <w:rsid w:val="00242C98"/>
    <w:rsid w:val="00272230"/>
    <w:rsid w:val="002901F6"/>
    <w:rsid w:val="0029639D"/>
    <w:rsid w:val="002B4736"/>
    <w:rsid w:val="002C3CF7"/>
    <w:rsid w:val="00326F90"/>
    <w:rsid w:val="00332383"/>
    <w:rsid w:val="003507EC"/>
    <w:rsid w:val="004722AF"/>
    <w:rsid w:val="00551AC8"/>
    <w:rsid w:val="005850DD"/>
    <w:rsid w:val="005E3635"/>
    <w:rsid w:val="00600C0C"/>
    <w:rsid w:val="0066076B"/>
    <w:rsid w:val="0070751F"/>
    <w:rsid w:val="00751A00"/>
    <w:rsid w:val="008565F7"/>
    <w:rsid w:val="00890648"/>
    <w:rsid w:val="00AA1D8D"/>
    <w:rsid w:val="00AB3135"/>
    <w:rsid w:val="00B47730"/>
    <w:rsid w:val="00BE796F"/>
    <w:rsid w:val="00C429BA"/>
    <w:rsid w:val="00CB0664"/>
    <w:rsid w:val="00CC1F1E"/>
    <w:rsid w:val="00CD0E4E"/>
    <w:rsid w:val="00D057D0"/>
    <w:rsid w:val="00E41CDF"/>
    <w:rsid w:val="00E44BFA"/>
    <w:rsid w:val="00ED153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440499B"/>
  <w14:defaultImageDpi w14:val="300"/>
  <w15:docId w15:val="{1E7636C8-B38D-4D40-813A-5CE4C819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AB3135"/>
    <w:rPr>
      <w:color w:val="0000FF" w:themeColor="hyperlink"/>
      <w:u w:val="single"/>
    </w:rPr>
  </w:style>
  <w:style w:type="character" w:styleId="UnresolvedMention">
    <w:name w:val="Unresolved Mention"/>
    <w:basedOn w:val="DefaultParagraphFont"/>
    <w:uiPriority w:val="99"/>
    <w:semiHidden/>
    <w:unhideWhenUsed/>
    <w:rsid w:val="00AB3135"/>
    <w:rPr>
      <w:color w:val="605E5C"/>
      <w:shd w:val="clear" w:color="auto" w:fill="E1DFDD"/>
    </w:rPr>
  </w:style>
  <w:style w:type="paragraph" w:styleId="BalloonText">
    <w:name w:val="Balloon Text"/>
    <w:basedOn w:val="Normal"/>
    <w:link w:val="BalloonTextChar"/>
    <w:uiPriority w:val="99"/>
    <w:semiHidden/>
    <w:unhideWhenUsed/>
    <w:rsid w:val="000131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1C9"/>
    <w:rPr>
      <w:rFonts w:ascii="Segoe UI" w:eastAsia="Times New Roman" w:hAnsi="Segoe UI" w:cs="Segoe UI"/>
      <w:sz w:val="18"/>
      <w:szCs w:val="18"/>
    </w:rPr>
  </w:style>
  <w:style w:type="paragraph" w:styleId="NormalWeb">
    <w:name w:val="Normal (Web)"/>
    <w:basedOn w:val="Normal"/>
    <w:uiPriority w:val="99"/>
    <w:semiHidden/>
    <w:unhideWhenUsed/>
    <w:rsid w:val="00272230"/>
    <w:pPr>
      <w:spacing w:before="100" w:beforeAutospacing="1" w:after="100" w:afterAutospacing="1" w:line="240" w:lineRule="auto"/>
    </w:pPr>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99970">
      <w:bodyDiv w:val="1"/>
      <w:marLeft w:val="0"/>
      <w:marRight w:val="0"/>
      <w:marTop w:val="0"/>
      <w:marBottom w:val="0"/>
      <w:divBdr>
        <w:top w:val="none" w:sz="0" w:space="0" w:color="auto"/>
        <w:left w:val="none" w:sz="0" w:space="0" w:color="auto"/>
        <w:bottom w:val="none" w:sz="0" w:space="0" w:color="auto"/>
        <w:right w:val="none" w:sz="0" w:space="0" w:color="auto"/>
      </w:divBdr>
      <w:divsChild>
        <w:div w:id="2101637168">
          <w:marLeft w:val="0"/>
          <w:marRight w:val="0"/>
          <w:marTop w:val="0"/>
          <w:marBottom w:val="0"/>
          <w:divBdr>
            <w:top w:val="none" w:sz="0" w:space="0" w:color="auto"/>
            <w:left w:val="none" w:sz="0" w:space="0" w:color="auto"/>
            <w:bottom w:val="none" w:sz="0" w:space="0" w:color="auto"/>
            <w:right w:val="none" w:sz="0" w:space="0" w:color="auto"/>
          </w:divBdr>
          <w:divsChild>
            <w:div w:id="17984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4513">
      <w:bodyDiv w:val="1"/>
      <w:marLeft w:val="0"/>
      <w:marRight w:val="0"/>
      <w:marTop w:val="0"/>
      <w:marBottom w:val="0"/>
      <w:divBdr>
        <w:top w:val="none" w:sz="0" w:space="0" w:color="auto"/>
        <w:left w:val="none" w:sz="0" w:space="0" w:color="auto"/>
        <w:bottom w:val="none" w:sz="0" w:space="0" w:color="auto"/>
        <w:right w:val="none" w:sz="0" w:space="0" w:color="auto"/>
      </w:divBdr>
      <w:divsChild>
        <w:div w:id="578633793">
          <w:marLeft w:val="0"/>
          <w:marRight w:val="0"/>
          <w:marTop w:val="0"/>
          <w:marBottom w:val="0"/>
          <w:divBdr>
            <w:top w:val="none" w:sz="0" w:space="0" w:color="auto"/>
            <w:left w:val="none" w:sz="0" w:space="0" w:color="auto"/>
            <w:bottom w:val="none" w:sz="0" w:space="0" w:color="auto"/>
            <w:right w:val="none" w:sz="0" w:space="0" w:color="auto"/>
          </w:divBdr>
          <w:divsChild>
            <w:div w:id="1177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su1615669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i.org/10.1111/j.1540-6210.2012.02673.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57BA4-EBFF-4AA5-8989-6E7986F73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5662</Words>
  <Characters>32277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37864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PC New 16</cp:lastModifiedBy>
  <cp:revision>26</cp:revision>
  <dcterms:created xsi:type="dcterms:W3CDTF">2026-03-13T09:04:00Z</dcterms:created>
  <dcterms:modified xsi:type="dcterms:W3CDTF">2026-03-24T11:36:00Z</dcterms:modified>
  <cp:category/>
</cp:coreProperties>
</file>