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1BED0" w14:textId="4B48D077" w:rsidR="00F37ADE" w:rsidRPr="006536F9" w:rsidRDefault="00A16FE6" w:rsidP="00F37ADE">
      <w:pPr>
        <w:jc w:val="right"/>
        <w:rPr>
          <w:rFonts w:asciiTheme="minorBidi" w:hAnsiTheme="minorBidi" w:cstheme="minorBidi"/>
          <w:b/>
          <w:bCs/>
          <w:i/>
          <w:iCs/>
          <w:sz w:val="28"/>
          <w:szCs w:val="28"/>
          <w:u w:val="single"/>
          <w:lang w:val="en-US"/>
        </w:rPr>
      </w:pPr>
      <w:bookmarkStart w:id="0" w:name="_GoBack"/>
      <w:bookmarkEnd w:id="0"/>
      <w:r>
        <w:rPr>
          <w:rFonts w:asciiTheme="minorBidi" w:hAnsiTheme="minorBidi" w:cstheme="minorBidi"/>
          <w:b/>
          <w:bCs/>
          <w:i/>
          <w:iCs/>
          <w:sz w:val="28"/>
          <w:szCs w:val="28"/>
          <w:u w:val="single"/>
          <w:lang w:val="en-US"/>
        </w:rPr>
        <w:t xml:space="preserve"> </w:t>
      </w:r>
    </w:p>
    <w:p w14:paraId="05DF80B7" w14:textId="3275FCC3" w:rsidR="00130951" w:rsidRPr="002B2757" w:rsidRDefault="00130951" w:rsidP="002B2757">
      <w:pPr>
        <w:jc w:val="right"/>
        <w:rPr>
          <w:rFonts w:asciiTheme="minorBidi" w:hAnsiTheme="minorBidi" w:cstheme="minorBidi"/>
          <w:b/>
          <w:bCs/>
          <w:sz w:val="28"/>
          <w:szCs w:val="28"/>
        </w:rPr>
      </w:pPr>
      <w:r w:rsidRPr="006536F9">
        <w:rPr>
          <w:rFonts w:asciiTheme="minorBidi" w:hAnsiTheme="minorBidi" w:cstheme="minorBidi"/>
          <w:b/>
          <w:bCs/>
          <w:sz w:val="28"/>
          <w:szCs w:val="28"/>
        </w:rPr>
        <w:t>Drug-Eluting Balloon Usage in Contemporary Real-World Percutaneous Coronary Intervention: A Retrospective Analysis from South India</w:t>
      </w:r>
    </w:p>
    <w:p w14:paraId="0442D7A5" w14:textId="77777777" w:rsidR="00130951" w:rsidRPr="006536F9" w:rsidRDefault="00130951" w:rsidP="00130951">
      <w:pPr>
        <w:jc w:val="right"/>
        <w:rPr>
          <w:rFonts w:asciiTheme="minorBidi" w:hAnsiTheme="minorBidi" w:cstheme="minorBidi"/>
        </w:rPr>
      </w:pPr>
      <w:r w:rsidRPr="006536F9">
        <w:rPr>
          <w:rFonts w:asciiTheme="minorBidi" w:hAnsiTheme="minorBidi" w:cstheme="minorBidi"/>
          <w:noProof/>
        </w:rPr>
        <mc:AlternateContent>
          <mc:Choice Requires="wps">
            <w:drawing>
              <wp:inline distT="0" distB="0" distL="0" distR="0" wp14:anchorId="241CEB82" wp14:editId="04838DB5">
                <wp:extent cx="5303520" cy="635"/>
                <wp:effectExtent l="0" t="12700" r="5080" b="12065"/>
                <wp:docPr id="3982044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w16sdtfl="http://schemas.microsoft.com/office/word/2024/wordml/sdtformatlock">
            <w:pict>
              <v:shapetype w14:anchorId="1D0783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13578FD7" w14:textId="77777777" w:rsidR="00087370" w:rsidRPr="006536F9" w:rsidRDefault="00087370" w:rsidP="00087370">
      <w:pPr>
        <w:rPr>
          <w:rFonts w:asciiTheme="minorBidi" w:hAnsiTheme="minorBidi" w:cstheme="minorBidi"/>
          <w:b/>
          <w:bCs/>
          <w:sz w:val="22"/>
          <w:szCs w:val="22"/>
        </w:rPr>
      </w:pPr>
    </w:p>
    <w:p w14:paraId="2135D5BE" w14:textId="77777777" w:rsidR="00130951" w:rsidRPr="006536F9" w:rsidRDefault="00087370" w:rsidP="00087370">
      <w:pPr>
        <w:rPr>
          <w:rFonts w:asciiTheme="minorBidi" w:hAnsiTheme="minorBidi" w:cstheme="minorBidi"/>
          <w:b/>
          <w:bCs/>
          <w:sz w:val="22"/>
          <w:szCs w:val="22"/>
        </w:rPr>
      </w:pPr>
      <w:r w:rsidRPr="006536F9">
        <w:rPr>
          <w:rFonts w:asciiTheme="minorBidi" w:hAnsiTheme="minorBidi" w:cstheme="minorBidi"/>
          <w:b/>
          <w:bCs/>
          <w:sz w:val="22"/>
          <w:szCs w:val="22"/>
        </w:rPr>
        <w:t>ABSTRACT</w:t>
      </w:r>
    </w:p>
    <w:p w14:paraId="29559B10" w14:textId="77777777" w:rsidR="00130951" w:rsidRPr="006536F9" w:rsidRDefault="00130951" w:rsidP="00130951">
      <w:pPr>
        <w:jc w:val="right"/>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130951" w:rsidRPr="006536F9" w14:paraId="10EFF7BA" w14:textId="77777777" w:rsidTr="00FE5BED">
        <w:tc>
          <w:tcPr>
            <w:tcW w:w="9576" w:type="dxa"/>
            <w:shd w:val="clear" w:color="auto" w:fill="F2F2F2"/>
          </w:tcPr>
          <w:p w14:paraId="5E5FF9E5" w14:textId="77777777" w:rsidR="00A9396C" w:rsidRPr="006536F9" w:rsidRDefault="00A9396C" w:rsidP="00A9396C">
            <w:pPr>
              <w:pStyle w:val="NormalWeb"/>
              <w:jc w:val="both"/>
              <w:rPr>
                <w:rFonts w:asciiTheme="minorBidi" w:hAnsiTheme="minorBidi" w:cstheme="minorBidi"/>
                <w:sz w:val="22"/>
                <w:szCs w:val="22"/>
              </w:rPr>
            </w:pPr>
            <w:r w:rsidRPr="006536F9">
              <w:rPr>
                <w:rStyle w:val="Strong"/>
                <w:rFonts w:asciiTheme="minorBidi" w:hAnsiTheme="minorBidi" w:cstheme="minorBidi"/>
                <w:sz w:val="22"/>
                <w:szCs w:val="22"/>
              </w:rPr>
              <w:t>Background:</w:t>
            </w:r>
            <w:r w:rsidRPr="006536F9">
              <w:rPr>
                <w:rFonts w:asciiTheme="minorBidi" w:hAnsiTheme="minorBidi" w:cstheme="minorBidi"/>
                <w:sz w:val="22"/>
                <w:szCs w:val="22"/>
              </w:rPr>
              <w:br/>
              <w:t>Drug-eluting balloons (DCBs) have emerged as an important alternative to stent-based strategies in percutaneous coronary intervention (PCI), particularly in clinical scenarios where permanent metallic implantation may be undesirable. While randomized trials have demonstrated efficacy in selected lesion subsets, contemporary real-world data on DCB utilization and outcomes from India remain limited.</w:t>
            </w:r>
          </w:p>
          <w:p w14:paraId="2302AD12" w14:textId="77777777" w:rsidR="00A9396C" w:rsidRPr="006536F9" w:rsidRDefault="00A9396C" w:rsidP="00A9396C">
            <w:pPr>
              <w:pStyle w:val="NormalWeb"/>
              <w:jc w:val="both"/>
              <w:rPr>
                <w:rFonts w:asciiTheme="minorBidi" w:hAnsiTheme="minorBidi" w:cstheme="minorBidi"/>
                <w:sz w:val="22"/>
                <w:szCs w:val="22"/>
              </w:rPr>
            </w:pPr>
            <w:r w:rsidRPr="006536F9">
              <w:rPr>
                <w:rStyle w:val="Strong"/>
                <w:rFonts w:asciiTheme="minorBidi" w:hAnsiTheme="minorBidi" w:cstheme="minorBidi"/>
                <w:sz w:val="22"/>
                <w:szCs w:val="22"/>
              </w:rPr>
              <w:t>Aims:</w:t>
            </w:r>
            <w:r w:rsidRPr="006536F9">
              <w:rPr>
                <w:rFonts w:asciiTheme="minorBidi" w:hAnsiTheme="minorBidi" w:cstheme="minorBidi"/>
                <w:sz w:val="22"/>
                <w:szCs w:val="22"/>
              </w:rPr>
              <w:br/>
              <w:t>To evaluate indications, utilization patterns, procedural characteristics, and short-term clinical outcomes associated with DCB use in routine PCI practice in South India.</w:t>
            </w:r>
          </w:p>
          <w:p w14:paraId="38B64E13" w14:textId="77777777" w:rsidR="00A9396C" w:rsidRPr="006536F9" w:rsidRDefault="00A9396C" w:rsidP="00A9396C">
            <w:pPr>
              <w:pStyle w:val="NormalWeb"/>
              <w:rPr>
                <w:rFonts w:asciiTheme="minorBidi" w:hAnsiTheme="minorBidi" w:cstheme="minorBidi"/>
                <w:sz w:val="22"/>
                <w:szCs w:val="22"/>
              </w:rPr>
            </w:pPr>
            <w:r w:rsidRPr="006536F9">
              <w:rPr>
                <w:rStyle w:val="Strong"/>
                <w:rFonts w:asciiTheme="minorBidi" w:hAnsiTheme="minorBidi" w:cstheme="minorBidi"/>
                <w:sz w:val="22"/>
                <w:szCs w:val="22"/>
              </w:rPr>
              <w:t>Study design:</w:t>
            </w:r>
            <w:r w:rsidRPr="006536F9">
              <w:rPr>
                <w:rFonts w:asciiTheme="minorBidi" w:hAnsiTheme="minorBidi" w:cstheme="minorBidi"/>
                <w:sz w:val="22"/>
                <w:szCs w:val="22"/>
              </w:rPr>
              <w:br/>
              <w:t>Retrospective observational study.</w:t>
            </w:r>
          </w:p>
          <w:p w14:paraId="44DE1421" w14:textId="77777777" w:rsidR="00A9396C" w:rsidRPr="006536F9" w:rsidRDefault="00A9396C" w:rsidP="00A9396C">
            <w:pPr>
              <w:pStyle w:val="NormalWeb"/>
              <w:rPr>
                <w:rFonts w:asciiTheme="minorBidi" w:hAnsiTheme="minorBidi" w:cstheme="minorBidi"/>
                <w:sz w:val="22"/>
                <w:szCs w:val="22"/>
              </w:rPr>
            </w:pPr>
            <w:r w:rsidRPr="006536F9">
              <w:rPr>
                <w:rStyle w:val="Strong"/>
                <w:rFonts w:asciiTheme="minorBidi" w:hAnsiTheme="minorBidi" w:cstheme="minorBidi"/>
                <w:sz w:val="22"/>
                <w:szCs w:val="22"/>
              </w:rPr>
              <w:t>Place and Duration of Study:</w:t>
            </w:r>
            <w:r w:rsidRPr="006536F9">
              <w:rPr>
                <w:rFonts w:asciiTheme="minorBidi" w:hAnsiTheme="minorBidi" w:cstheme="minorBidi"/>
                <w:sz w:val="22"/>
                <w:szCs w:val="22"/>
              </w:rPr>
              <w:br/>
              <w:t xml:space="preserve">Department of Cardiology, Apollo Speciality Hospitals, </w:t>
            </w:r>
            <w:proofErr w:type="spellStart"/>
            <w:r w:rsidRPr="006536F9">
              <w:rPr>
                <w:rFonts w:asciiTheme="minorBidi" w:hAnsiTheme="minorBidi" w:cstheme="minorBidi"/>
                <w:sz w:val="22"/>
                <w:szCs w:val="22"/>
              </w:rPr>
              <w:t>Vanagaram</w:t>
            </w:r>
            <w:proofErr w:type="spellEnd"/>
            <w:r w:rsidRPr="006536F9">
              <w:rPr>
                <w:rFonts w:asciiTheme="minorBidi" w:hAnsiTheme="minorBidi" w:cstheme="minorBidi"/>
                <w:sz w:val="22"/>
                <w:szCs w:val="22"/>
              </w:rPr>
              <w:t>, Chennai, India; January 2024 to June 2025.</w:t>
            </w:r>
          </w:p>
          <w:p w14:paraId="16B71F0A" w14:textId="77777777" w:rsidR="00A9396C" w:rsidRPr="006536F9" w:rsidRDefault="00A9396C" w:rsidP="00A9396C">
            <w:pPr>
              <w:pStyle w:val="NormalWeb"/>
              <w:jc w:val="both"/>
              <w:rPr>
                <w:rFonts w:asciiTheme="minorBidi" w:hAnsiTheme="minorBidi" w:cstheme="minorBidi"/>
                <w:sz w:val="22"/>
                <w:szCs w:val="22"/>
              </w:rPr>
            </w:pPr>
            <w:r w:rsidRPr="006536F9">
              <w:rPr>
                <w:rStyle w:val="Strong"/>
                <w:rFonts w:asciiTheme="minorBidi" w:hAnsiTheme="minorBidi" w:cstheme="minorBidi"/>
                <w:sz w:val="22"/>
                <w:szCs w:val="22"/>
              </w:rPr>
              <w:t>Methodology:</w:t>
            </w:r>
            <w:r w:rsidRPr="006536F9">
              <w:rPr>
                <w:rFonts w:asciiTheme="minorBidi" w:hAnsiTheme="minorBidi" w:cstheme="minorBidi"/>
                <w:sz w:val="22"/>
                <w:szCs w:val="22"/>
              </w:rPr>
              <w:br/>
              <w:t xml:space="preserve">This retrospective, observational, single-centre study included all consecutive adult patients who underwent PCI involving at least one DCB between January 2024 and June 2025. Clinical, angiographic, and procedural data were collected and </w:t>
            </w:r>
            <w:proofErr w:type="spellStart"/>
            <w:r w:rsidRPr="006536F9">
              <w:rPr>
                <w:rFonts w:asciiTheme="minorBidi" w:hAnsiTheme="minorBidi" w:cstheme="minorBidi"/>
                <w:sz w:val="22"/>
                <w:szCs w:val="22"/>
              </w:rPr>
              <w:t>analyzed</w:t>
            </w:r>
            <w:proofErr w:type="spellEnd"/>
            <w:r w:rsidRPr="006536F9">
              <w:rPr>
                <w:rFonts w:asciiTheme="minorBidi" w:hAnsiTheme="minorBidi" w:cstheme="minorBidi"/>
                <w:sz w:val="22"/>
                <w:szCs w:val="22"/>
              </w:rPr>
              <w:t>. The primary outcome was procedural success, defined as achievement of TIMI grade 3 flow without bailout stenting. Secondary outcomes included procedural complications and short-term (1-month) major adverse cardiac events (MACE).</w:t>
            </w:r>
          </w:p>
          <w:p w14:paraId="0A2E8F70" w14:textId="77777777" w:rsidR="00A9396C" w:rsidRPr="006536F9" w:rsidRDefault="00A9396C" w:rsidP="00A9396C">
            <w:pPr>
              <w:pStyle w:val="NormalWeb"/>
              <w:jc w:val="both"/>
              <w:rPr>
                <w:rFonts w:asciiTheme="minorBidi" w:hAnsiTheme="minorBidi" w:cstheme="minorBidi"/>
                <w:sz w:val="22"/>
                <w:szCs w:val="22"/>
              </w:rPr>
            </w:pPr>
            <w:r w:rsidRPr="006536F9">
              <w:rPr>
                <w:rStyle w:val="Strong"/>
                <w:rFonts w:asciiTheme="minorBidi" w:hAnsiTheme="minorBidi" w:cstheme="minorBidi"/>
                <w:sz w:val="22"/>
                <w:szCs w:val="22"/>
              </w:rPr>
              <w:t>Results:</w:t>
            </w:r>
            <w:r w:rsidRPr="006536F9">
              <w:rPr>
                <w:rFonts w:asciiTheme="minorBidi" w:hAnsiTheme="minorBidi" w:cstheme="minorBidi"/>
                <w:sz w:val="22"/>
                <w:szCs w:val="22"/>
              </w:rPr>
              <w:br/>
              <w:t>A total of 46 patients were included (mean age 60.4 ± 8.8 years; 82.6% male). DCBs were used in de novo lesions (67.4%) and in-stent restenosis (32.6%), with a high prevalence of small-vessel disease (&lt;2.5 mm, 60.9%) and complex lesions (73.9% ACC/AHA type B2/C). Procedural success was achieved in 87.0%, with bailout stenting required in 6.5%. No major in-hospital complications were observed. At 1-month follow-up, no MACE, including death, myocardial infarction, or target lesion or vessel revascularization, was recorded.</w:t>
            </w:r>
          </w:p>
          <w:p w14:paraId="2D82E09F" w14:textId="6EC32760" w:rsidR="00130951" w:rsidRPr="006536F9" w:rsidRDefault="00A9396C" w:rsidP="00A9396C">
            <w:pPr>
              <w:pStyle w:val="NormalWeb"/>
              <w:jc w:val="both"/>
              <w:rPr>
                <w:rFonts w:asciiTheme="minorBidi" w:hAnsiTheme="minorBidi" w:cstheme="minorBidi"/>
              </w:rPr>
            </w:pPr>
            <w:r w:rsidRPr="006536F9">
              <w:rPr>
                <w:rStyle w:val="Strong"/>
                <w:rFonts w:asciiTheme="minorBidi" w:hAnsiTheme="minorBidi" w:cstheme="minorBidi"/>
                <w:sz w:val="22"/>
                <w:szCs w:val="22"/>
              </w:rPr>
              <w:t>Conclusion:</w:t>
            </w:r>
            <w:r w:rsidRPr="006536F9">
              <w:rPr>
                <w:rFonts w:asciiTheme="minorBidi" w:hAnsiTheme="minorBidi" w:cstheme="minorBidi"/>
                <w:sz w:val="22"/>
                <w:szCs w:val="22"/>
              </w:rPr>
              <w:br/>
              <w:t>In this real-world South Indian cohort, DCB-based PCI demonstrated high procedural success and excellent short-term safety, including in complex lesion subsets such as small-vessel disease and in-stent restenosis. These findings support the feasibility of DCB strategies in routine clinical practice, although larger prospective studies with longer follow-up are needed to establish long-term outcomes.</w:t>
            </w:r>
          </w:p>
        </w:tc>
      </w:tr>
    </w:tbl>
    <w:p w14:paraId="10AA63E3" w14:textId="77777777" w:rsidR="00374B34" w:rsidRPr="006536F9" w:rsidRDefault="00374B34" w:rsidP="00087370">
      <w:pPr>
        <w:rPr>
          <w:rFonts w:asciiTheme="minorBidi" w:hAnsiTheme="minorBidi" w:cstheme="minorBidi"/>
          <w:b/>
          <w:bCs/>
        </w:rPr>
      </w:pPr>
    </w:p>
    <w:p w14:paraId="60605466" w14:textId="3D8E2190" w:rsidR="00087370" w:rsidRPr="006536F9" w:rsidRDefault="00087370" w:rsidP="00087370">
      <w:pPr>
        <w:rPr>
          <w:rFonts w:asciiTheme="minorBidi" w:hAnsiTheme="minorBidi" w:cstheme="minorBidi"/>
          <w:b/>
          <w:bCs/>
          <w:sz w:val="22"/>
          <w:szCs w:val="22"/>
        </w:rPr>
      </w:pPr>
      <w:r w:rsidRPr="006536F9">
        <w:rPr>
          <w:rFonts w:asciiTheme="minorBidi" w:hAnsiTheme="minorBidi" w:cstheme="minorBidi"/>
          <w:b/>
          <w:bCs/>
          <w:sz w:val="22"/>
          <w:szCs w:val="22"/>
        </w:rPr>
        <w:t>Keywords</w:t>
      </w:r>
    </w:p>
    <w:p w14:paraId="6A92B7AD" w14:textId="77777777" w:rsidR="00087370" w:rsidRPr="006536F9" w:rsidRDefault="00087370" w:rsidP="00087370">
      <w:pPr>
        <w:rPr>
          <w:rFonts w:asciiTheme="minorBidi" w:hAnsiTheme="minorBidi" w:cstheme="minorBidi"/>
          <w:sz w:val="22"/>
          <w:szCs w:val="22"/>
        </w:rPr>
      </w:pPr>
    </w:p>
    <w:p w14:paraId="199D53E6" w14:textId="77777777" w:rsidR="00087370" w:rsidRPr="006536F9" w:rsidRDefault="00087370" w:rsidP="00087370">
      <w:pPr>
        <w:rPr>
          <w:rFonts w:asciiTheme="minorBidi" w:hAnsiTheme="minorBidi" w:cstheme="minorBidi"/>
          <w:sz w:val="22"/>
          <w:szCs w:val="22"/>
        </w:rPr>
      </w:pPr>
      <w:r w:rsidRPr="006536F9">
        <w:rPr>
          <w:rFonts w:asciiTheme="minorBidi" w:hAnsiTheme="minorBidi" w:cstheme="minorBidi"/>
          <w:sz w:val="22"/>
          <w:szCs w:val="22"/>
        </w:rPr>
        <w:t>Drug-eluting balloon; Drug-coated balloon; Percutaneous coronary intervention; Small vessel disease; In-stent restenosis; Real-world study; India</w:t>
      </w:r>
    </w:p>
    <w:p w14:paraId="4367933C" w14:textId="77777777" w:rsidR="0088221D" w:rsidRPr="006536F9" w:rsidRDefault="0088221D" w:rsidP="00087370">
      <w:pPr>
        <w:spacing w:before="100" w:beforeAutospacing="1" w:after="100" w:afterAutospacing="1"/>
        <w:outlineLvl w:val="1"/>
        <w:rPr>
          <w:rFonts w:asciiTheme="minorBidi" w:hAnsiTheme="minorBidi" w:cstheme="minorBidi"/>
          <w:b/>
          <w:bCs/>
          <w:sz w:val="36"/>
          <w:szCs w:val="36"/>
        </w:rPr>
      </w:pPr>
    </w:p>
    <w:p w14:paraId="27D12E0E" w14:textId="77777777" w:rsidR="00087370" w:rsidRPr="006536F9" w:rsidRDefault="00087370" w:rsidP="00087370">
      <w:pPr>
        <w:pStyle w:val="ListParagraph"/>
        <w:numPr>
          <w:ilvl w:val="0"/>
          <w:numId w:val="2"/>
        </w:numPr>
        <w:tabs>
          <w:tab w:val="left" w:pos="1175"/>
        </w:tabs>
        <w:rPr>
          <w:rFonts w:asciiTheme="minorBidi" w:hAnsiTheme="minorBidi" w:cstheme="minorBidi"/>
          <w:b/>
          <w:bCs/>
          <w:sz w:val="20"/>
          <w:szCs w:val="20"/>
          <w:lang w:val="en-US"/>
        </w:rPr>
      </w:pPr>
      <w:r w:rsidRPr="006536F9">
        <w:rPr>
          <w:rFonts w:asciiTheme="minorBidi" w:hAnsiTheme="minorBidi" w:cstheme="minorBidi"/>
          <w:b/>
          <w:bCs/>
          <w:sz w:val="20"/>
          <w:szCs w:val="20"/>
          <w:lang w:val="en-US"/>
        </w:rPr>
        <w:t>INTRODUCTION</w:t>
      </w:r>
    </w:p>
    <w:p w14:paraId="665C919A" w14:textId="77777777" w:rsidR="00E94379" w:rsidRPr="006536F9" w:rsidRDefault="00E94379" w:rsidP="00E94379">
      <w:pPr>
        <w:pStyle w:val="ListParagraph"/>
        <w:tabs>
          <w:tab w:val="left" w:pos="1175"/>
        </w:tabs>
        <w:rPr>
          <w:rFonts w:asciiTheme="minorBidi" w:hAnsiTheme="minorBidi" w:cstheme="minorBidi"/>
          <w:b/>
          <w:bCs/>
          <w:sz w:val="20"/>
          <w:szCs w:val="20"/>
          <w:lang w:val="en-US"/>
        </w:rPr>
      </w:pPr>
    </w:p>
    <w:p w14:paraId="5D62660B" w14:textId="13025E75" w:rsidR="0088221D" w:rsidRPr="006536F9" w:rsidRDefault="00087370" w:rsidP="0088221D">
      <w:pPr>
        <w:pStyle w:val="NormalWeb"/>
        <w:ind w:left="360"/>
        <w:jc w:val="both"/>
        <w:rPr>
          <w:rFonts w:asciiTheme="minorBidi" w:hAnsiTheme="minorBidi" w:cstheme="minorBidi"/>
          <w:color w:val="000000" w:themeColor="text1"/>
          <w:sz w:val="20"/>
          <w:szCs w:val="20"/>
          <w:vertAlign w:val="superscript"/>
        </w:rPr>
      </w:pPr>
      <w:r w:rsidRPr="006536F9">
        <w:rPr>
          <w:rFonts w:asciiTheme="minorBidi" w:hAnsiTheme="minorBidi" w:cstheme="minorBidi"/>
          <w:color w:val="000000" w:themeColor="text1"/>
          <w:sz w:val="20"/>
          <w:szCs w:val="20"/>
        </w:rPr>
        <w:t>Percutaneous coronary intervention (PCI) with drug-eluting stents (DES) remains the cornerstone of contemporary coronary revascularization. However, permanent metallic implantation is associated with limitations such as impaired vasomotion, late stent thrombosis, and challenges in treating small vessels, bifurcation lesions, and in-stent restenosis (ISR).</w:t>
      </w:r>
      <w:r w:rsidR="00DB207D">
        <w:rPr>
          <w:rFonts w:asciiTheme="minorBidi" w:hAnsiTheme="minorBidi" w:cstheme="minorBidi"/>
          <w:color w:val="000000" w:themeColor="text1"/>
          <w:sz w:val="20"/>
          <w:szCs w:val="20"/>
          <w:vertAlign w:val="superscript"/>
        </w:rPr>
        <w:t>1</w:t>
      </w:r>
      <w:r w:rsidR="00A74486" w:rsidRPr="006536F9">
        <w:rPr>
          <w:rFonts w:asciiTheme="minorBidi" w:hAnsiTheme="minorBidi" w:cstheme="minorBidi"/>
          <w:color w:val="000000" w:themeColor="text1"/>
          <w:sz w:val="20"/>
          <w:szCs w:val="20"/>
        </w:rPr>
        <w:t xml:space="preserve"> Drug-eluting stents (DES), while highly effective, are also associated with the need for prolonged dual antiplatelet therapy (DAPT), which may increase bleeding risk in selected patient populations. In addition, permanent metallic scaffolds can hinder future surgical revascularization and complicate repeat percutaneous interventions, particularly in diffusely diseased or small-calibre vessels.</w:t>
      </w:r>
      <w:r w:rsidR="003833D7" w:rsidRPr="006536F9">
        <w:rPr>
          <w:rFonts w:asciiTheme="minorBidi" w:hAnsiTheme="minorBidi" w:cstheme="minorBidi"/>
          <w:color w:val="000000" w:themeColor="text1"/>
          <w:sz w:val="20"/>
          <w:szCs w:val="20"/>
          <w:vertAlign w:val="superscript"/>
        </w:rPr>
        <w:t>2</w:t>
      </w:r>
    </w:p>
    <w:p w14:paraId="2C5D5C64" w14:textId="099D27A0" w:rsidR="00A74486" w:rsidRPr="006536F9" w:rsidRDefault="00087370" w:rsidP="0088221D">
      <w:pPr>
        <w:pStyle w:val="NormalWeb"/>
        <w:ind w:left="360"/>
        <w:jc w:val="both"/>
        <w:rPr>
          <w:rFonts w:asciiTheme="minorBidi" w:hAnsiTheme="minorBidi" w:cstheme="minorBidi"/>
          <w:color w:val="000000" w:themeColor="text1"/>
          <w:sz w:val="20"/>
          <w:szCs w:val="20"/>
          <w:vertAlign w:val="superscript"/>
        </w:rPr>
      </w:pPr>
      <w:r w:rsidRPr="006536F9">
        <w:rPr>
          <w:rFonts w:asciiTheme="minorBidi" w:hAnsiTheme="minorBidi" w:cstheme="minorBidi"/>
          <w:color w:val="000000" w:themeColor="text1"/>
          <w:sz w:val="20"/>
          <w:szCs w:val="20"/>
        </w:rPr>
        <w:t>Drug-eluting balloons (DCBs) deliver antiproliferative drugs directly to the vessel wall without leaving behind a permanent scaffold, thereby preserving vascular integrity and reducing implant-related complications.</w:t>
      </w:r>
      <w:r w:rsidR="00DB207D">
        <w:rPr>
          <w:rFonts w:asciiTheme="minorBidi" w:hAnsiTheme="minorBidi" w:cstheme="minorBidi"/>
          <w:color w:val="000000" w:themeColor="text1"/>
          <w:sz w:val="20"/>
          <w:szCs w:val="20"/>
          <w:vertAlign w:val="superscript"/>
        </w:rPr>
        <w:t>3</w:t>
      </w:r>
      <w:r w:rsidR="003833D7" w:rsidRPr="006536F9">
        <w:rPr>
          <w:rFonts w:asciiTheme="minorBidi" w:hAnsiTheme="minorBidi" w:cstheme="minorBidi"/>
          <w:color w:val="000000" w:themeColor="text1"/>
          <w:sz w:val="20"/>
          <w:szCs w:val="20"/>
          <w:vertAlign w:val="superscript"/>
        </w:rPr>
        <w:t xml:space="preserve"> </w:t>
      </w:r>
      <w:r w:rsidR="00A74486" w:rsidRPr="006536F9">
        <w:rPr>
          <w:rFonts w:asciiTheme="minorBidi" w:hAnsiTheme="minorBidi" w:cstheme="minorBidi"/>
          <w:color w:val="000000" w:themeColor="text1"/>
          <w:sz w:val="20"/>
          <w:szCs w:val="20"/>
        </w:rPr>
        <w:t>This “leave-nothing-behind” approach has gained increasing attention as it allows restoration of physiological vasomotion, facilitates future treatment options, and may reduce the long-term risks associated with permanent implants, including very late stent thrombosis and neoatherosclerosis.</w:t>
      </w:r>
      <w:r w:rsidR="00DB207D">
        <w:rPr>
          <w:rFonts w:asciiTheme="minorBidi" w:hAnsiTheme="minorBidi" w:cstheme="minorBidi"/>
          <w:color w:val="000000" w:themeColor="text1"/>
          <w:sz w:val="20"/>
          <w:szCs w:val="20"/>
          <w:vertAlign w:val="superscript"/>
        </w:rPr>
        <w:t>4</w:t>
      </w:r>
    </w:p>
    <w:p w14:paraId="5C54E580" w14:textId="3976F519" w:rsidR="0088221D" w:rsidRPr="006536F9" w:rsidRDefault="00087370" w:rsidP="0088221D">
      <w:pPr>
        <w:pStyle w:val="NormalWeb"/>
        <w:ind w:left="360"/>
        <w:jc w:val="both"/>
        <w:rPr>
          <w:rFonts w:asciiTheme="minorBidi" w:hAnsiTheme="minorBidi" w:cstheme="minorBidi"/>
          <w:color w:val="000000" w:themeColor="text1"/>
          <w:sz w:val="20"/>
          <w:szCs w:val="20"/>
          <w:vertAlign w:val="superscript"/>
        </w:rPr>
      </w:pPr>
      <w:r w:rsidRPr="006536F9">
        <w:rPr>
          <w:rFonts w:asciiTheme="minorBidi" w:hAnsiTheme="minorBidi" w:cstheme="minorBidi"/>
          <w:color w:val="000000" w:themeColor="text1"/>
          <w:sz w:val="20"/>
          <w:szCs w:val="20"/>
        </w:rPr>
        <w:t>DCBs are well established in the treatment of coronary ISR, with multiple randomized trials demonstrating superior angiographic and clinical outcomes compared with plain balloon angioplasty.</w:t>
      </w:r>
      <w:r w:rsidR="003833D7" w:rsidRPr="006536F9">
        <w:rPr>
          <w:rFonts w:asciiTheme="minorBidi" w:hAnsiTheme="minorBidi" w:cstheme="minorBidi"/>
          <w:color w:val="000000" w:themeColor="text1"/>
          <w:sz w:val="20"/>
          <w:szCs w:val="20"/>
          <w:vertAlign w:val="superscript"/>
        </w:rPr>
        <w:t>5</w:t>
      </w:r>
      <w:r w:rsidR="00DB207D">
        <w:rPr>
          <w:rFonts w:asciiTheme="minorBidi" w:hAnsiTheme="minorBidi" w:cstheme="minorBidi"/>
          <w:color w:val="000000" w:themeColor="text1"/>
          <w:sz w:val="20"/>
          <w:szCs w:val="20"/>
          <w:vertAlign w:val="superscript"/>
        </w:rPr>
        <w:t>,6</w:t>
      </w:r>
      <w:r w:rsidR="00A74486" w:rsidRPr="006536F9">
        <w:rPr>
          <w:rFonts w:asciiTheme="minorBidi" w:hAnsiTheme="minorBidi" w:cstheme="minorBidi"/>
          <w:color w:val="000000" w:themeColor="text1"/>
          <w:sz w:val="20"/>
          <w:szCs w:val="20"/>
          <w:vertAlign w:val="superscript"/>
        </w:rPr>
        <w:t xml:space="preserve"> </w:t>
      </w:r>
      <w:r w:rsidR="00A74486" w:rsidRPr="006536F9">
        <w:rPr>
          <w:rFonts w:asciiTheme="minorBidi" w:hAnsiTheme="minorBidi" w:cstheme="minorBidi"/>
          <w:color w:val="000000" w:themeColor="text1"/>
          <w:sz w:val="20"/>
          <w:szCs w:val="20"/>
        </w:rPr>
        <w:t>Current international guidelines recommend DCBs as a first-line treatment option for in-stent restenosis, highlighting their efficacy in both bare-metal and drug-eluting stent restenosis.</w:t>
      </w:r>
      <w:r w:rsidR="003833D7" w:rsidRPr="006536F9">
        <w:rPr>
          <w:rFonts w:asciiTheme="minorBidi" w:hAnsiTheme="minorBidi" w:cstheme="minorBidi"/>
          <w:color w:val="000000" w:themeColor="text1"/>
          <w:sz w:val="20"/>
          <w:szCs w:val="20"/>
          <w:vertAlign w:val="superscript"/>
        </w:rPr>
        <w:t>7</w:t>
      </w:r>
      <w:r w:rsidR="00A74486" w:rsidRPr="006536F9">
        <w:rPr>
          <w:rFonts w:asciiTheme="minorBidi" w:hAnsiTheme="minorBidi" w:cstheme="minorBidi"/>
          <w:color w:val="000000" w:themeColor="text1"/>
          <w:sz w:val="20"/>
          <w:szCs w:val="20"/>
        </w:rPr>
        <w:t xml:space="preserve"> Their ability to deliver homogeneous drug distribution without additional metal layers is particularly advantageous in recurrent ISR.</w:t>
      </w:r>
      <w:r w:rsidR="004155A1" w:rsidRPr="006536F9">
        <w:rPr>
          <w:rFonts w:asciiTheme="minorBidi" w:hAnsiTheme="minorBidi" w:cstheme="minorBidi"/>
          <w:color w:val="000000" w:themeColor="text1"/>
          <w:sz w:val="20"/>
          <w:szCs w:val="20"/>
          <w:vertAlign w:val="superscript"/>
        </w:rPr>
        <w:t>8</w:t>
      </w:r>
    </w:p>
    <w:p w14:paraId="77A6141C" w14:textId="77777777" w:rsidR="0088221D" w:rsidRPr="006536F9" w:rsidRDefault="00087370" w:rsidP="0088221D">
      <w:pPr>
        <w:pStyle w:val="NormalWeb"/>
        <w:ind w:left="360"/>
        <w:jc w:val="both"/>
        <w:rPr>
          <w:rFonts w:asciiTheme="minorBidi" w:hAnsiTheme="minorBidi" w:cstheme="minorBidi"/>
          <w:color w:val="000000" w:themeColor="text1"/>
          <w:sz w:val="20"/>
          <w:szCs w:val="20"/>
          <w:vertAlign w:val="superscript"/>
        </w:rPr>
      </w:pPr>
      <w:r w:rsidRPr="006536F9">
        <w:rPr>
          <w:rFonts w:asciiTheme="minorBidi" w:hAnsiTheme="minorBidi" w:cstheme="minorBidi"/>
          <w:color w:val="000000" w:themeColor="text1"/>
          <w:sz w:val="20"/>
          <w:szCs w:val="20"/>
        </w:rPr>
        <w:t xml:space="preserve">Beyond ISR, increasing evidence supports the use of DCBs </w:t>
      </w:r>
      <w:r w:rsidR="00A74486" w:rsidRPr="006536F9">
        <w:rPr>
          <w:rFonts w:asciiTheme="minorBidi" w:hAnsiTheme="minorBidi" w:cstheme="minorBidi"/>
          <w:color w:val="000000" w:themeColor="text1"/>
          <w:sz w:val="20"/>
          <w:szCs w:val="20"/>
        </w:rPr>
        <w:t>in broader clinical settings, including bifurcation lesions, diffuse disease, de novo coronary lesions and selected acute coronary syndrome presentations</w:t>
      </w:r>
      <w:r w:rsidRPr="006536F9">
        <w:rPr>
          <w:rFonts w:asciiTheme="minorBidi" w:hAnsiTheme="minorBidi" w:cstheme="minorBidi"/>
          <w:color w:val="000000" w:themeColor="text1"/>
          <w:sz w:val="20"/>
          <w:szCs w:val="20"/>
        </w:rPr>
        <w:t>.</w:t>
      </w:r>
      <w:r w:rsidR="004155A1" w:rsidRPr="006536F9">
        <w:rPr>
          <w:rFonts w:asciiTheme="minorBidi" w:hAnsiTheme="minorBidi" w:cstheme="minorBidi"/>
          <w:color w:val="000000" w:themeColor="text1"/>
          <w:sz w:val="20"/>
          <w:szCs w:val="20"/>
          <w:vertAlign w:val="superscript"/>
        </w:rPr>
        <w:t>9</w:t>
      </w:r>
      <w:r w:rsidRPr="006536F9">
        <w:rPr>
          <w:rFonts w:asciiTheme="minorBidi" w:hAnsiTheme="minorBidi" w:cstheme="minorBidi"/>
          <w:color w:val="000000" w:themeColor="text1"/>
          <w:sz w:val="20"/>
          <w:szCs w:val="20"/>
        </w:rPr>
        <w:t xml:space="preserve"> </w:t>
      </w:r>
    </w:p>
    <w:p w14:paraId="42FD0528" w14:textId="395E6D15" w:rsidR="00087370" w:rsidRPr="006536F9" w:rsidRDefault="003833D7" w:rsidP="0088221D">
      <w:pPr>
        <w:pStyle w:val="NormalWeb"/>
        <w:ind w:left="360"/>
        <w:jc w:val="both"/>
        <w:rPr>
          <w:rFonts w:asciiTheme="minorBidi" w:hAnsiTheme="minorBidi" w:cstheme="minorBidi"/>
          <w:color w:val="000000" w:themeColor="text1"/>
          <w:sz w:val="20"/>
          <w:szCs w:val="20"/>
          <w:vertAlign w:val="superscript"/>
        </w:rPr>
      </w:pPr>
      <w:r w:rsidRPr="006536F9">
        <w:rPr>
          <w:rFonts w:asciiTheme="minorBidi" w:hAnsiTheme="minorBidi" w:cstheme="minorBidi"/>
          <w:color w:val="000000" w:themeColor="text1"/>
          <w:sz w:val="20"/>
          <w:szCs w:val="20"/>
        </w:rPr>
        <w:t xml:space="preserve">The BELLO trial demonstrated </w:t>
      </w:r>
      <w:proofErr w:type="spellStart"/>
      <w:r w:rsidRPr="006536F9">
        <w:rPr>
          <w:rFonts w:asciiTheme="minorBidi" w:hAnsiTheme="minorBidi" w:cstheme="minorBidi"/>
          <w:color w:val="000000" w:themeColor="text1"/>
          <w:sz w:val="20"/>
          <w:szCs w:val="20"/>
        </w:rPr>
        <w:t>favorable</w:t>
      </w:r>
      <w:proofErr w:type="spellEnd"/>
      <w:r w:rsidRPr="006536F9">
        <w:rPr>
          <w:rFonts w:asciiTheme="minorBidi" w:hAnsiTheme="minorBidi" w:cstheme="minorBidi"/>
          <w:color w:val="000000" w:themeColor="text1"/>
          <w:sz w:val="20"/>
          <w:szCs w:val="20"/>
        </w:rPr>
        <w:t xml:space="preserve"> angiographic outcomes and comparable clinical outcomes of paclitaxel-coated balloons compared with drug-eluting stents in small coronary arteries, highlighting the potential advantages of a metal-free angioplasty strategy in this subset.</w:t>
      </w:r>
      <w:r w:rsidR="004155A1" w:rsidRPr="006536F9">
        <w:rPr>
          <w:rFonts w:asciiTheme="minorBidi" w:hAnsiTheme="minorBidi" w:cstheme="minorBidi"/>
          <w:color w:val="000000" w:themeColor="text1"/>
          <w:sz w:val="20"/>
          <w:szCs w:val="20"/>
          <w:vertAlign w:val="superscript"/>
        </w:rPr>
        <w:t>10</w:t>
      </w:r>
      <w:r w:rsidRPr="006536F9">
        <w:rPr>
          <w:rFonts w:asciiTheme="minorBidi" w:hAnsiTheme="minorBidi" w:cstheme="minorBidi"/>
          <w:color w:val="000000" w:themeColor="text1"/>
          <w:sz w:val="20"/>
          <w:szCs w:val="20"/>
        </w:rPr>
        <w:t xml:space="preserve"> </w:t>
      </w:r>
      <w:r w:rsidR="00A74486" w:rsidRPr="006536F9">
        <w:rPr>
          <w:rFonts w:asciiTheme="minorBidi" w:hAnsiTheme="minorBidi" w:cstheme="minorBidi"/>
          <w:color w:val="000000" w:themeColor="text1"/>
          <w:sz w:val="20"/>
          <w:szCs w:val="20"/>
        </w:rPr>
        <w:t xml:space="preserve">More recently, randomized trials such as the SELUTION </w:t>
      </w:r>
      <w:proofErr w:type="spellStart"/>
      <w:r w:rsidR="00A74486" w:rsidRPr="006536F9">
        <w:rPr>
          <w:rFonts w:asciiTheme="minorBidi" w:hAnsiTheme="minorBidi" w:cstheme="minorBidi"/>
          <w:color w:val="000000" w:themeColor="text1"/>
          <w:sz w:val="20"/>
          <w:szCs w:val="20"/>
        </w:rPr>
        <w:t>DeNovo</w:t>
      </w:r>
      <w:proofErr w:type="spellEnd"/>
      <w:r w:rsidR="00A74486" w:rsidRPr="006536F9">
        <w:rPr>
          <w:rFonts w:asciiTheme="minorBidi" w:hAnsiTheme="minorBidi" w:cstheme="minorBidi"/>
          <w:color w:val="000000" w:themeColor="text1"/>
          <w:sz w:val="20"/>
          <w:szCs w:val="20"/>
        </w:rPr>
        <w:t xml:space="preserve"> study have demonstrated that a strategy using sirolimus-eluting balloons with provisional stenting yields outcomes comparable to contemporary drug-eluting stents in de novo coronary lesions</w:t>
      </w:r>
      <w:r w:rsidR="004155A1" w:rsidRPr="006536F9">
        <w:rPr>
          <w:rFonts w:asciiTheme="minorBidi" w:hAnsiTheme="minorBidi" w:cstheme="minorBidi"/>
          <w:color w:val="000000" w:themeColor="text1"/>
          <w:sz w:val="20"/>
          <w:szCs w:val="20"/>
        </w:rPr>
        <w:t>.</w:t>
      </w:r>
      <w:r w:rsidR="004155A1" w:rsidRPr="006536F9">
        <w:rPr>
          <w:rFonts w:asciiTheme="minorBidi" w:hAnsiTheme="minorBidi" w:cstheme="minorBidi"/>
          <w:color w:val="000000" w:themeColor="text1"/>
          <w:sz w:val="20"/>
          <w:szCs w:val="20"/>
          <w:vertAlign w:val="superscript"/>
        </w:rPr>
        <w:t>11,12</w:t>
      </w:r>
      <w:r w:rsidR="004155A1" w:rsidRPr="006536F9">
        <w:rPr>
          <w:rFonts w:asciiTheme="minorBidi" w:hAnsiTheme="minorBidi" w:cstheme="minorBidi"/>
          <w:color w:val="000000" w:themeColor="text1"/>
          <w:sz w:val="20"/>
          <w:szCs w:val="20"/>
        </w:rPr>
        <w:t xml:space="preserve"> </w:t>
      </w:r>
      <w:r w:rsidR="00A74486" w:rsidRPr="006536F9">
        <w:rPr>
          <w:rFonts w:asciiTheme="minorBidi" w:hAnsiTheme="minorBidi" w:cstheme="minorBidi"/>
          <w:color w:val="000000" w:themeColor="text1"/>
          <w:sz w:val="20"/>
          <w:szCs w:val="20"/>
        </w:rPr>
        <w:t xml:space="preserve">Furthermore, advancements in balloon technology, including improved drug carriers and the emergence of sirolimus-coated balloons, have expanded the potential applications of DCBs beyond traditional indications, with growing interest in their use in complex lesion subsets such as bifurcations and diffuse coronary disease. </w:t>
      </w:r>
      <w:r w:rsidR="006B3B0B" w:rsidRPr="006536F9">
        <w:rPr>
          <w:rFonts w:asciiTheme="minorBidi" w:hAnsiTheme="minorBidi" w:cstheme="minorBidi"/>
          <w:color w:val="000000" w:themeColor="text1"/>
          <w:sz w:val="20"/>
          <w:szCs w:val="20"/>
          <w:vertAlign w:val="superscript"/>
        </w:rPr>
        <w:t>13</w:t>
      </w:r>
    </w:p>
    <w:p w14:paraId="65EBF3AD" w14:textId="43FE6677" w:rsidR="0088221D" w:rsidRPr="006536F9" w:rsidRDefault="00087370" w:rsidP="009B2CF2">
      <w:pPr>
        <w:pStyle w:val="NormalWeb"/>
        <w:ind w:left="360"/>
        <w:jc w:val="both"/>
        <w:rPr>
          <w:rFonts w:asciiTheme="minorBidi" w:hAnsiTheme="minorBidi" w:cstheme="minorBidi"/>
          <w:color w:val="000000" w:themeColor="text1"/>
          <w:sz w:val="20"/>
          <w:szCs w:val="20"/>
        </w:rPr>
      </w:pPr>
      <w:r w:rsidRPr="006536F9">
        <w:rPr>
          <w:rFonts w:asciiTheme="minorBidi" w:hAnsiTheme="minorBidi" w:cstheme="minorBidi"/>
          <w:color w:val="000000" w:themeColor="text1"/>
          <w:sz w:val="20"/>
          <w:szCs w:val="20"/>
        </w:rPr>
        <w:t>Despite growing global evidence, real-world data on contemporary DCB utilization and outcomes from India remain limited</w:t>
      </w:r>
      <w:r w:rsidR="00A74486" w:rsidRPr="006536F9">
        <w:rPr>
          <w:rFonts w:asciiTheme="minorBidi" w:hAnsiTheme="minorBidi" w:cstheme="minorBidi"/>
          <w:color w:val="000000" w:themeColor="text1"/>
          <w:sz w:val="20"/>
          <w:szCs w:val="20"/>
        </w:rPr>
        <w:t xml:space="preserve">. However, most of the available evidence is derived from controlled clinical trials with selected patient populations, which may not fully reflect the complexity and heterogeneity encountered in routine clinical practice. </w:t>
      </w:r>
      <w:r w:rsidRPr="006536F9">
        <w:rPr>
          <w:rFonts w:asciiTheme="minorBidi" w:hAnsiTheme="minorBidi" w:cstheme="minorBidi"/>
          <w:color w:val="000000" w:themeColor="text1"/>
          <w:sz w:val="20"/>
          <w:szCs w:val="20"/>
        </w:rPr>
        <w:t>Given the high prevalence of diabetes, diffuse disease, and small-vessel involvement in the Indian population, region-specific data are essential to guide clinical practice.</w:t>
      </w:r>
      <w:r w:rsidR="006B3B0B" w:rsidRPr="006536F9">
        <w:rPr>
          <w:rFonts w:asciiTheme="minorBidi" w:hAnsiTheme="minorBidi" w:cstheme="minorBidi"/>
          <w:color w:val="000000" w:themeColor="text1"/>
          <w:sz w:val="20"/>
          <w:szCs w:val="20"/>
          <w:vertAlign w:val="superscript"/>
        </w:rPr>
        <w:t>14</w:t>
      </w:r>
      <w:r w:rsidRPr="006536F9">
        <w:rPr>
          <w:rFonts w:asciiTheme="minorBidi" w:hAnsiTheme="minorBidi" w:cstheme="minorBidi"/>
          <w:color w:val="000000" w:themeColor="text1"/>
          <w:sz w:val="20"/>
          <w:szCs w:val="20"/>
        </w:rPr>
        <w:t xml:space="preserve"> The present study was therefore undertaken to evaluate current patterns of DCB use, procedural strategies, and short-term outcomes in routine PCI practice at a tertiary care centre in South India</w:t>
      </w:r>
    </w:p>
    <w:p w14:paraId="054258BC" w14:textId="77777777" w:rsidR="008100C5" w:rsidRPr="006536F9" w:rsidRDefault="008100C5" w:rsidP="008100C5">
      <w:pPr>
        <w:pStyle w:val="NormalWeb"/>
        <w:ind w:left="360"/>
        <w:jc w:val="both"/>
        <w:rPr>
          <w:rFonts w:asciiTheme="minorBidi" w:hAnsiTheme="minorBidi" w:cstheme="minorBidi"/>
          <w:sz w:val="20"/>
          <w:szCs w:val="20"/>
        </w:rPr>
      </w:pPr>
    </w:p>
    <w:p w14:paraId="5D52D1B4" w14:textId="77777777" w:rsidR="00087370" w:rsidRPr="006536F9" w:rsidRDefault="00F015D4" w:rsidP="00F015D4">
      <w:pPr>
        <w:pStyle w:val="ListParagraph"/>
        <w:numPr>
          <w:ilvl w:val="0"/>
          <w:numId w:val="2"/>
        </w:numPr>
        <w:tabs>
          <w:tab w:val="left" w:pos="1175"/>
        </w:tabs>
        <w:rPr>
          <w:rFonts w:asciiTheme="minorBidi" w:hAnsiTheme="minorBidi" w:cstheme="minorBidi"/>
          <w:b/>
          <w:bCs/>
          <w:sz w:val="22"/>
          <w:szCs w:val="22"/>
          <w:lang w:val="en-US"/>
        </w:rPr>
      </w:pPr>
      <w:r w:rsidRPr="006536F9">
        <w:rPr>
          <w:rFonts w:asciiTheme="minorBidi" w:hAnsiTheme="minorBidi" w:cstheme="minorBidi"/>
          <w:b/>
          <w:bCs/>
          <w:sz w:val="22"/>
          <w:szCs w:val="22"/>
          <w:lang w:val="en-US"/>
        </w:rPr>
        <w:t>MATERIAL AND METHODS</w:t>
      </w:r>
    </w:p>
    <w:p w14:paraId="4D43C314" w14:textId="77777777" w:rsidR="00F015D4" w:rsidRPr="006536F9" w:rsidRDefault="00F015D4" w:rsidP="00F015D4">
      <w:pPr>
        <w:pStyle w:val="Heading2"/>
        <w:rPr>
          <w:rFonts w:asciiTheme="minorBidi" w:hAnsiTheme="minorBidi" w:cstheme="minorBidi"/>
          <w:sz w:val="22"/>
          <w:szCs w:val="22"/>
        </w:rPr>
      </w:pPr>
      <w:r w:rsidRPr="006536F9">
        <w:rPr>
          <w:rStyle w:val="Strong"/>
          <w:rFonts w:asciiTheme="minorBidi" w:hAnsiTheme="minorBidi" w:cstheme="minorBidi"/>
          <w:b/>
          <w:bCs/>
          <w:sz w:val="22"/>
          <w:szCs w:val="22"/>
        </w:rPr>
        <w:t>2.1 Study Design and Population</w:t>
      </w:r>
    </w:p>
    <w:p w14:paraId="3B9FA431" w14:textId="77777777" w:rsidR="00F015D4" w:rsidRPr="006536F9" w:rsidRDefault="00F015D4"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lastRenderedPageBreak/>
        <w:t xml:space="preserve">This was a retrospective, single-centre observational study conducted at the Department of Cardiology, Apollo Speciality Hospital, </w:t>
      </w:r>
      <w:proofErr w:type="spellStart"/>
      <w:r w:rsidRPr="006536F9">
        <w:rPr>
          <w:rFonts w:asciiTheme="minorBidi" w:hAnsiTheme="minorBidi" w:cstheme="minorBidi"/>
          <w:sz w:val="20"/>
          <w:szCs w:val="20"/>
        </w:rPr>
        <w:t>Vanagaram</w:t>
      </w:r>
      <w:proofErr w:type="spellEnd"/>
      <w:r w:rsidRPr="006536F9">
        <w:rPr>
          <w:rFonts w:asciiTheme="minorBidi" w:hAnsiTheme="minorBidi" w:cstheme="minorBidi"/>
          <w:sz w:val="20"/>
          <w:szCs w:val="20"/>
        </w:rPr>
        <w:t>, South India, a high-volume tertiary care percutaneous coronary intervention (PCI) centre. All consecutive adult patients (≥18 years) who underwent PCI involving at least one drug-eluting balloon (DCB) between January 2024 and June 2025 were included.</w:t>
      </w:r>
    </w:p>
    <w:p w14:paraId="766AC20A" w14:textId="77777777" w:rsidR="00F015D4" w:rsidRPr="006536F9" w:rsidRDefault="00F015D4"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Patients undergoing peripheral arterial DCB angioplasty or those with incomplete angiographic or procedural documentation were excluded. PCI strategy, lesion preparation, and device selection were determined by the treating operator in accordance with contemporary institutional practice and lesion-specific considerations.</w:t>
      </w:r>
    </w:p>
    <w:p w14:paraId="4B53A38F" w14:textId="44F2AF61" w:rsidR="00B40C1D" w:rsidRPr="006536F9" w:rsidRDefault="00B40C1D" w:rsidP="008100C5">
      <w:pPr>
        <w:pStyle w:val="NormalWeb"/>
        <w:jc w:val="both"/>
        <w:rPr>
          <w:rFonts w:asciiTheme="minorBidi" w:hAnsiTheme="minorBidi" w:cstheme="minorBidi"/>
          <w:b/>
          <w:bCs/>
          <w:sz w:val="18"/>
          <w:szCs w:val="18"/>
        </w:rPr>
      </w:pPr>
      <w:r w:rsidRPr="006536F9">
        <w:rPr>
          <w:rFonts w:asciiTheme="minorBidi" w:hAnsiTheme="minorBidi" w:cstheme="minorBidi"/>
          <w:b/>
          <w:bCs/>
          <w:sz w:val="22"/>
          <w:szCs w:val="22"/>
        </w:rPr>
        <w:t>2.2 Medical Therapy</w:t>
      </w:r>
    </w:p>
    <w:p w14:paraId="2E087FA2" w14:textId="6DECC4FB" w:rsidR="00B40C1D" w:rsidRPr="006536F9" w:rsidRDefault="00B40C1D" w:rsidP="00B40C1D">
      <w:pPr>
        <w:pStyle w:val="NormalWeb"/>
        <w:jc w:val="both"/>
        <w:rPr>
          <w:rFonts w:asciiTheme="minorBidi" w:hAnsiTheme="minorBidi" w:cstheme="minorBidi"/>
          <w:sz w:val="20"/>
          <w:szCs w:val="20"/>
        </w:rPr>
      </w:pPr>
      <w:r w:rsidRPr="006536F9">
        <w:rPr>
          <w:rFonts w:asciiTheme="minorBidi" w:hAnsiTheme="minorBidi" w:cstheme="minorBidi"/>
          <w:sz w:val="20"/>
          <w:szCs w:val="20"/>
        </w:rPr>
        <w:t>All patients received guideline-directed antiplatelet therapy. Dual antiplatelet therapy (DAPT), consisting of aspirin in combination with a P2Y12 inhibitor (clopidogrel or ticagrelor), was prescribed following the procedure. The choice of agent and duration of therapy were determined by the treating physician based on clinical presentation and bleeding risk. In general, patients undergoing DCB-only PCI received shorter-duration DAPT, while those treated with hybrid DCB–DES strategies received standard-duration DAPT in accordance with contemporary guidelines. Compliance with prescribed antiplatelet therapy was assessed during follow-up through clinical records and patient self-report.</w:t>
      </w:r>
    </w:p>
    <w:p w14:paraId="78A2FC74" w14:textId="62A7181E" w:rsidR="00F015D4" w:rsidRPr="006536F9" w:rsidRDefault="00F015D4" w:rsidP="008100C5">
      <w:pPr>
        <w:pStyle w:val="Heading2"/>
        <w:jc w:val="both"/>
        <w:rPr>
          <w:rFonts w:asciiTheme="minorBidi" w:hAnsiTheme="minorBidi" w:cstheme="minorBidi"/>
          <w:sz w:val="22"/>
          <w:szCs w:val="22"/>
        </w:rPr>
      </w:pPr>
      <w:r w:rsidRPr="006536F9">
        <w:rPr>
          <w:rStyle w:val="Strong"/>
          <w:rFonts w:asciiTheme="minorBidi" w:hAnsiTheme="minorBidi" w:cstheme="minorBidi"/>
          <w:b/>
          <w:bCs/>
          <w:sz w:val="22"/>
          <w:szCs w:val="22"/>
        </w:rPr>
        <w:t>2.</w:t>
      </w:r>
      <w:r w:rsidR="00B40C1D" w:rsidRPr="006536F9">
        <w:rPr>
          <w:rStyle w:val="Strong"/>
          <w:rFonts w:asciiTheme="minorBidi" w:hAnsiTheme="minorBidi" w:cstheme="minorBidi"/>
          <w:b/>
          <w:bCs/>
          <w:sz w:val="22"/>
          <w:szCs w:val="22"/>
        </w:rPr>
        <w:t>3</w:t>
      </w:r>
      <w:r w:rsidRPr="006536F9">
        <w:rPr>
          <w:rStyle w:val="Strong"/>
          <w:rFonts w:asciiTheme="minorBidi" w:hAnsiTheme="minorBidi" w:cstheme="minorBidi"/>
          <w:b/>
          <w:bCs/>
          <w:sz w:val="22"/>
          <w:szCs w:val="22"/>
        </w:rPr>
        <w:t xml:space="preserve"> Data Collection</w:t>
      </w:r>
    </w:p>
    <w:p w14:paraId="1FBBF40A" w14:textId="77777777" w:rsidR="00F015D4" w:rsidRPr="006536F9" w:rsidRDefault="00F015D4"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Clinical and procedural data were obtained from electronic medical records, catheterization laboratory logs, procedural reports, and angiographic reviews.</w:t>
      </w:r>
    </w:p>
    <w:p w14:paraId="088DEDE4" w14:textId="77777777" w:rsidR="00F015D4" w:rsidRPr="006536F9" w:rsidRDefault="00F015D4"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 xml:space="preserve">Collected variables included demographic characteristics, cardiovascular risk factors, and clinical presentation. Angiographic variables comprised lesion type (de novo vs in-stent restenosis), vessel size, lesion length, diffuse disease, bifurcation or ostial involvement, and lesion complexity based on ACC/AHA classification. Procedural variables included lesion preparation techniques, DCB dimensions, inflation parameters, use of hybrid DCB–drug-eluting stent (DES) strategy, bailout stenting, and peri-procedural complications. </w:t>
      </w:r>
      <w:r w:rsidR="009C72F1" w:rsidRPr="006536F9">
        <w:rPr>
          <w:rFonts w:asciiTheme="minorBidi" w:hAnsiTheme="minorBidi" w:cstheme="minorBidi"/>
          <w:sz w:val="20"/>
          <w:szCs w:val="20"/>
        </w:rPr>
        <w:t xml:space="preserve">1 month </w:t>
      </w:r>
      <w:r w:rsidRPr="006536F9">
        <w:rPr>
          <w:rFonts w:asciiTheme="minorBidi" w:hAnsiTheme="minorBidi" w:cstheme="minorBidi"/>
          <w:sz w:val="20"/>
          <w:szCs w:val="20"/>
        </w:rPr>
        <w:t>follow-up information was obtained from outpatient records and telephonic follow-up when available.</w:t>
      </w:r>
    </w:p>
    <w:p w14:paraId="47EBF787" w14:textId="40F96B98" w:rsidR="00F015D4" w:rsidRPr="006536F9" w:rsidRDefault="00F015D4" w:rsidP="008100C5">
      <w:pPr>
        <w:pStyle w:val="Heading2"/>
        <w:jc w:val="both"/>
        <w:rPr>
          <w:rFonts w:asciiTheme="minorBidi" w:hAnsiTheme="minorBidi" w:cstheme="minorBidi"/>
          <w:sz w:val="22"/>
          <w:szCs w:val="22"/>
        </w:rPr>
      </w:pPr>
      <w:r w:rsidRPr="006536F9">
        <w:rPr>
          <w:rStyle w:val="Strong"/>
          <w:rFonts w:asciiTheme="minorBidi" w:hAnsiTheme="minorBidi" w:cstheme="minorBidi"/>
          <w:b/>
          <w:bCs/>
          <w:sz w:val="22"/>
          <w:szCs w:val="22"/>
        </w:rPr>
        <w:t>2.</w:t>
      </w:r>
      <w:r w:rsidR="00B40C1D" w:rsidRPr="006536F9">
        <w:rPr>
          <w:rStyle w:val="Strong"/>
          <w:rFonts w:asciiTheme="minorBidi" w:hAnsiTheme="minorBidi" w:cstheme="minorBidi"/>
          <w:b/>
          <w:bCs/>
          <w:sz w:val="22"/>
          <w:szCs w:val="22"/>
        </w:rPr>
        <w:t>4</w:t>
      </w:r>
      <w:r w:rsidRPr="006536F9">
        <w:rPr>
          <w:rStyle w:val="Strong"/>
          <w:rFonts w:asciiTheme="minorBidi" w:hAnsiTheme="minorBidi" w:cstheme="minorBidi"/>
          <w:b/>
          <w:bCs/>
          <w:sz w:val="22"/>
          <w:szCs w:val="22"/>
        </w:rPr>
        <w:t xml:space="preserve"> Outcomes and Definitions</w:t>
      </w:r>
    </w:p>
    <w:p w14:paraId="4283DC9F" w14:textId="77777777" w:rsidR="00F015D4" w:rsidRPr="006536F9" w:rsidRDefault="00F015D4"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The primary outcome was procedural success, defined as achievement of TIMI grade 3 flow in the treated vessel without the requirement for bailout stenting.</w:t>
      </w:r>
    </w:p>
    <w:p w14:paraId="57B38CC9" w14:textId="2810F439" w:rsidR="00F015D4" w:rsidRPr="006536F9" w:rsidRDefault="00F015D4"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 xml:space="preserve">Secondary outcomes included bailout stenting, angiographic or procedural complications, and short-term </w:t>
      </w:r>
      <w:r w:rsidR="009C72F1" w:rsidRPr="006536F9">
        <w:rPr>
          <w:rFonts w:asciiTheme="minorBidi" w:hAnsiTheme="minorBidi" w:cstheme="minorBidi"/>
          <w:sz w:val="20"/>
          <w:szCs w:val="20"/>
        </w:rPr>
        <w:t>i</w:t>
      </w:r>
      <w:r w:rsidR="00415B4D">
        <w:rPr>
          <w:rFonts w:asciiTheme="minorBidi" w:hAnsiTheme="minorBidi" w:cstheme="minorBidi"/>
          <w:sz w:val="20"/>
          <w:szCs w:val="20"/>
        </w:rPr>
        <w:t>.</w:t>
      </w:r>
      <w:r w:rsidR="009C72F1" w:rsidRPr="006536F9">
        <w:rPr>
          <w:rFonts w:asciiTheme="minorBidi" w:hAnsiTheme="minorBidi" w:cstheme="minorBidi"/>
          <w:sz w:val="20"/>
          <w:szCs w:val="20"/>
        </w:rPr>
        <w:t xml:space="preserve">e. </w:t>
      </w:r>
      <w:r w:rsidR="00B16975" w:rsidRPr="006536F9">
        <w:rPr>
          <w:rFonts w:asciiTheme="minorBidi" w:hAnsiTheme="minorBidi" w:cstheme="minorBidi"/>
          <w:sz w:val="20"/>
          <w:szCs w:val="20"/>
        </w:rPr>
        <w:t xml:space="preserve">1 month </w:t>
      </w:r>
      <w:r w:rsidRPr="006536F9">
        <w:rPr>
          <w:rFonts w:asciiTheme="minorBidi" w:hAnsiTheme="minorBidi" w:cstheme="minorBidi"/>
          <w:sz w:val="20"/>
          <w:szCs w:val="20"/>
        </w:rPr>
        <w:t>major adverse cardiac events (MACE), defined as a composite of all-cause death, myocardial infarction, target lesion revascularization, or target vessel revascularization. Angiographic complications included coronary dissection, perforation, or no-reflow phenomenon.</w:t>
      </w:r>
    </w:p>
    <w:p w14:paraId="1E2CF0BC" w14:textId="3E97E72A" w:rsidR="00F015D4" w:rsidRPr="006536F9" w:rsidRDefault="00F015D4" w:rsidP="008100C5">
      <w:pPr>
        <w:pStyle w:val="Heading2"/>
        <w:jc w:val="both"/>
        <w:rPr>
          <w:rFonts w:asciiTheme="minorBidi" w:hAnsiTheme="minorBidi" w:cstheme="minorBidi"/>
          <w:sz w:val="22"/>
          <w:szCs w:val="22"/>
        </w:rPr>
      </w:pPr>
      <w:r w:rsidRPr="006536F9">
        <w:rPr>
          <w:rStyle w:val="Strong"/>
          <w:rFonts w:asciiTheme="minorBidi" w:hAnsiTheme="minorBidi" w:cstheme="minorBidi"/>
          <w:b/>
          <w:bCs/>
          <w:sz w:val="22"/>
          <w:szCs w:val="22"/>
        </w:rPr>
        <w:t>2.</w:t>
      </w:r>
      <w:r w:rsidR="00B40C1D" w:rsidRPr="006536F9">
        <w:rPr>
          <w:rStyle w:val="Strong"/>
          <w:rFonts w:asciiTheme="minorBidi" w:hAnsiTheme="minorBidi" w:cstheme="minorBidi"/>
          <w:b/>
          <w:bCs/>
          <w:sz w:val="22"/>
          <w:szCs w:val="22"/>
        </w:rPr>
        <w:t>5</w:t>
      </w:r>
      <w:r w:rsidRPr="006536F9">
        <w:rPr>
          <w:rStyle w:val="Strong"/>
          <w:rFonts w:asciiTheme="minorBidi" w:hAnsiTheme="minorBidi" w:cstheme="minorBidi"/>
          <w:b/>
          <w:bCs/>
          <w:sz w:val="22"/>
          <w:szCs w:val="22"/>
        </w:rPr>
        <w:t xml:space="preserve"> Statistical Analysis</w:t>
      </w:r>
    </w:p>
    <w:p w14:paraId="3D1C1D7C" w14:textId="77777777" w:rsidR="00F015D4" w:rsidRPr="006536F9" w:rsidRDefault="00F015D4"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Continuous variables are presented as mean ± standard deviation, and categorical variables as frequencies and percentages. Statistical analyses were primarily descriptive given the retrospective observational design. Analyses were performed using Microsoft Excel and SPSS software. Missing data were minimal and managed using complete-case analysis.</w:t>
      </w:r>
    </w:p>
    <w:p w14:paraId="7AA3F8EE" w14:textId="77777777" w:rsidR="00F015D4" w:rsidRPr="006536F9" w:rsidRDefault="00F015D4" w:rsidP="008100C5">
      <w:pPr>
        <w:pStyle w:val="Head1"/>
        <w:spacing w:after="0"/>
        <w:jc w:val="both"/>
        <w:rPr>
          <w:rFonts w:asciiTheme="minorBidi" w:hAnsiTheme="minorBidi" w:cstheme="minorBidi"/>
        </w:rPr>
      </w:pPr>
      <w:r w:rsidRPr="006536F9">
        <w:rPr>
          <w:rFonts w:asciiTheme="minorBidi" w:hAnsiTheme="minorBidi" w:cstheme="minorBidi"/>
        </w:rPr>
        <w:t>3. results and discussion</w:t>
      </w:r>
    </w:p>
    <w:p w14:paraId="7F91CF53" w14:textId="77777777" w:rsidR="00B16975" w:rsidRPr="006536F9" w:rsidRDefault="00B16975" w:rsidP="008100C5">
      <w:pPr>
        <w:jc w:val="both"/>
        <w:rPr>
          <w:rFonts w:asciiTheme="minorBidi" w:hAnsiTheme="minorBidi" w:cstheme="minorBidi"/>
          <w:b/>
          <w:bCs/>
          <w:sz w:val="22"/>
          <w:szCs w:val="22"/>
        </w:rPr>
      </w:pPr>
      <w:r w:rsidRPr="006536F9">
        <w:rPr>
          <w:rFonts w:asciiTheme="minorBidi" w:hAnsiTheme="minorBidi" w:cstheme="minorBidi"/>
          <w:b/>
          <w:bCs/>
          <w:sz w:val="22"/>
          <w:szCs w:val="22"/>
        </w:rPr>
        <w:t xml:space="preserve"> </w:t>
      </w:r>
    </w:p>
    <w:p w14:paraId="17CB8F94" w14:textId="77777777" w:rsidR="00B16975" w:rsidRPr="006536F9" w:rsidRDefault="00B16975" w:rsidP="008100C5">
      <w:pPr>
        <w:jc w:val="both"/>
        <w:rPr>
          <w:rFonts w:asciiTheme="minorBidi" w:hAnsiTheme="minorBidi" w:cstheme="minorBidi"/>
          <w:b/>
          <w:bCs/>
          <w:sz w:val="22"/>
          <w:szCs w:val="22"/>
        </w:rPr>
      </w:pPr>
      <w:r w:rsidRPr="006536F9">
        <w:rPr>
          <w:rFonts w:asciiTheme="minorBidi" w:hAnsiTheme="minorBidi" w:cstheme="minorBidi"/>
          <w:b/>
          <w:bCs/>
          <w:sz w:val="22"/>
          <w:szCs w:val="22"/>
        </w:rPr>
        <w:t>3.1 Baseline Demographic and Clinical Characteristics</w:t>
      </w:r>
    </w:p>
    <w:p w14:paraId="774FCDF2" w14:textId="77777777" w:rsidR="00B16975" w:rsidRPr="006536F9" w:rsidRDefault="00B16975" w:rsidP="008100C5">
      <w:pPr>
        <w:jc w:val="both"/>
        <w:rPr>
          <w:rFonts w:asciiTheme="minorBidi" w:hAnsiTheme="minorBidi" w:cstheme="minorBidi"/>
          <w:sz w:val="22"/>
          <w:szCs w:val="22"/>
        </w:rPr>
      </w:pPr>
    </w:p>
    <w:p w14:paraId="4B9CAB0F"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 xml:space="preserve">The study included 46 patients who underwent PCI using at least one drug-eluting balloon. The cohort had a mean age of 60.4 ± 8.8 years with a marked male predominance (82.6%). A high prevalence of </w:t>
      </w:r>
      <w:r w:rsidRPr="006536F9">
        <w:rPr>
          <w:rFonts w:asciiTheme="minorBidi" w:hAnsiTheme="minorBidi" w:cstheme="minorBidi"/>
          <w:sz w:val="20"/>
          <w:szCs w:val="20"/>
        </w:rPr>
        <w:lastRenderedPageBreak/>
        <w:t>traditional cardiovascular risk factors was observed, particularly hypertension (63.0%), diabetes mellitus (52.2%), and dyslipidaemia (45.7%), reflecting a real-world, high-risk population.</w:t>
      </w:r>
    </w:p>
    <w:p w14:paraId="545B38E3"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Acute coronary syndromes accounted for more than half of the presentations, with NSTEMI (32.6%) and STEMI (26.1%) together forming the majority, while the remainder presented with stable ischemic heart disease.</w:t>
      </w:r>
    </w:p>
    <w:p w14:paraId="4AA23F85" w14:textId="77777777" w:rsidR="00B16975" w:rsidRPr="006536F9" w:rsidRDefault="00B16975" w:rsidP="00B16975">
      <w:pPr>
        <w:rPr>
          <w:rFonts w:asciiTheme="minorBidi" w:hAnsiTheme="minorBidi" w:cstheme="minorBidi"/>
          <w:sz w:val="20"/>
          <w:szCs w:val="20"/>
        </w:rPr>
      </w:pPr>
    </w:p>
    <w:p w14:paraId="4D6BB01A" w14:textId="77777777" w:rsidR="00B16975" w:rsidRPr="006536F9" w:rsidRDefault="00B16975" w:rsidP="00B16975">
      <w:pPr>
        <w:rPr>
          <w:rFonts w:asciiTheme="minorBidi" w:hAnsiTheme="minorBidi" w:cstheme="minorBidi"/>
          <w:sz w:val="20"/>
          <w:szCs w:val="20"/>
        </w:rPr>
      </w:pPr>
    </w:p>
    <w:p w14:paraId="374FA6AB" w14:textId="1CDBB119" w:rsidR="00B16975" w:rsidRPr="00415B4D" w:rsidRDefault="00415B4D" w:rsidP="00415B4D">
      <w:pPr>
        <w:jc w:val="both"/>
        <w:rPr>
          <w:rFonts w:asciiTheme="minorBidi" w:hAnsiTheme="minorBidi" w:cstheme="minorBidi"/>
          <w:i/>
          <w:iCs/>
          <w:sz w:val="20"/>
          <w:szCs w:val="20"/>
        </w:rPr>
      </w:pPr>
      <w:r w:rsidRPr="006536F9">
        <w:rPr>
          <w:rFonts w:asciiTheme="minorBidi" w:hAnsiTheme="minorBidi" w:cstheme="minorBidi"/>
          <w:b/>
          <w:bCs/>
          <w:i/>
          <w:iCs/>
          <w:sz w:val="20"/>
          <w:szCs w:val="20"/>
        </w:rPr>
        <w:t>Table 1:</w:t>
      </w:r>
      <w:r w:rsidRPr="006536F9">
        <w:rPr>
          <w:rFonts w:asciiTheme="minorBidi" w:hAnsiTheme="minorBidi" w:cstheme="minorBidi"/>
          <w:i/>
          <w:iCs/>
          <w:sz w:val="20"/>
          <w:szCs w:val="20"/>
        </w:rPr>
        <w:t xml:space="preserve"> </w:t>
      </w:r>
      <w:r w:rsidRPr="006536F9">
        <w:rPr>
          <w:rFonts w:asciiTheme="minorBidi" w:hAnsiTheme="minorBidi" w:cstheme="minorBidi"/>
          <w:sz w:val="20"/>
          <w:szCs w:val="20"/>
        </w:rPr>
        <w:t>Baseline demographic profile, cardiovascular risk factors, and clinical presentation of patients undergoing percutaneous coronary intervention using drug-eluting balloons.</w:t>
      </w:r>
      <w:r w:rsidRPr="006536F9">
        <w:rPr>
          <w:rFonts w:asciiTheme="minorBidi" w:hAnsiTheme="minorBidi" w:cstheme="minorBidi"/>
          <w:i/>
          <w:iCs/>
          <w:sz w:val="20"/>
          <w:szCs w:val="20"/>
        </w:rPr>
        <w:t xml:space="preserve"> Continuous variables are expressed as mean ± standard deviation, and categorical variables are presented as number (percentage).</w:t>
      </w:r>
    </w:p>
    <w:p w14:paraId="05B9C411" w14:textId="77777777" w:rsidR="00B16975" w:rsidRPr="006536F9" w:rsidRDefault="00B16975" w:rsidP="00B16975">
      <w:pPr>
        <w:rPr>
          <w:rFonts w:asciiTheme="minorBidi" w:hAnsiTheme="minorBidi" w:cstheme="minorBidi"/>
          <w:sz w:val="20"/>
          <w:szCs w:val="20"/>
        </w:rPr>
      </w:pPr>
    </w:p>
    <w:tbl>
      <w:tblPr>
        <w:tblStyle w:val="TableGrid"/>
        <w:tblW w:w="8167" w:type="dxa"/>
        <w:tblLook w:val="04A0" w:firstRow="1" w:lastRow="0" w:firstColumn="1" w:lastColumn="0" w:noHBand="0" w:noVBand="1"/>
      </w:tblPr>
      <w:tblGrid>
        <w:gridCol w:w="4228"/>
        <w:gridCol w:w="3939"/>
      </w:tblGrid>
      <w:tr w:rsidR="00B16975" w:rsidRPr="006536F9" w14:paraId="434808DC" w14:textId="77777777" w:rsidTr="00B16975">
        <w:trPr>
          <w:trHeight w:val="315"/>
        </w:trPr>
        <w:tc>
          <w:tcPr>
            <w:tcW w:w="4228" w:type="dxa"/>
            <w:hideMark/>
          </w:tcPr>
          <w:p w14:paraId="42A380C4" w14:textId="77777777" w:rsidR="00B16975" w:rsidRPr="006536F9" w:rsidRDefault="00B16975" w:rsidP="00FE5BED">
            <w:pPr>
              <w:jc w:val="center"/>
              <w:rPr>
                <w:rFonts w:asciiTheme="minorBidi" w:hAnsiTheme="minorBidi" w:cstheme="minorBidi"/>
                <w:b/>
                <w:bCs/>
                <w:sz w:val="20"/>
                <w:szCs w:val="20"/>
              </w:rPr>
            </w:pPr>
            <w:r w:rsidRPr="006536F9">
              <w:rPr>
                <w:rFonts w:asciiTheme="minorBidi" w:hAnsiTheme="minorBidi" w:cstheme="minorBidi"/>
                <w:b/>
                <w:bCs/>
                <w:sz w:val="20"/>
                <w:szCs w:val="20"/>
              </w:rPr>
              <w:t>Variable</w:t>
            </w:r>
          </w:p>
        </w:tc>
        <w:tc>
          <w:tcPr>
            <w:tcW w:w="3939" w:type="dxa"/>
            <w:hideMark/>
          </w:tcPr>
          <w:p w14:paraId="158FA8B6" w14:textId="77777777" w:rsidR="00B16975" w:rsidRPr="006536F9" w:rsidRDefault="00B16975" w:rsidP="00FE5BED">
            <w:pPr>
              <w:jc w:val="center"/>
              <w:rPr>
                <w:rFonts w:asciiTheme="minorBidi" w:hAnsiTheme="minorBidi" w:cstheme="minorBidi"/>
                <w:b/>
                <w:bCs/>
                <w:sz w:val="20"/>
                <w:szCs w:val="20"/>
              </w:rPr>
            </w:pPr>
            <w:r w:rsidRPr="006536F9">
              <w:rPr>
                <w:rFonts w:asciiTheme="minorBidi" w:hAnsiTheme="minorBidi" w:cstheme="minorBidi"/>
                <w:b/>
                <w:bCs/>
                <w:sz w:val="20"/>
                <w:szCs w:val="20"/>
              </w:rPr>
              <w:t>Value</w:t>
            </w:r>
          </w:p>
        </w:tc>
      </w:tr>
      <w:tr w:rsidR="00B16975" w:rsidRPr="006536F9" w14:paraId="1806673D" w14:textId="77777777" w:rsidTr="00B16975">
        <w:trPr>
          <w:trHeight w:val="289"/>
        </w:trPr>
        <w:tc>
          <w:tcPr>
            <w:tcW w:w="4228" w:type="dxa"/>
            <w:hideMark/>
          </w:tcPr>
          <w:p w14:paraId="3D88C959"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Age, years (mean ± SD)</w:t>
            </w:r>
          </w:p>
        </w:tc>
        <w:tc>
          <w:tcPr>
            <w:tcW w:w="3939" w:type="dxa"/>
            <w:hideMark/>
          </w:tcPr>
          <w:p w14:paraId="43A1249D" w14:textId="77777777" w:rsidR="00B16975" w:rsidRPr="006536F9" w:rsidRDefault="00B16975" w:rsidP="00B16975">
            <w:pPr>
              <w:jc w:val="center"/>
              <w:rPr>
                <w:rFonts w:asciiTheme="minorBidi" w:hAnsiTheme="minorBidi" w:cstheme="minorBidi"/>
                <w:sz w:val="20"/>
                <w:szCs w:val="20"/>
              </w:rPr>
            </w:pPr>
            <w:r w:rsidRPr="006536F9">
              <w:rPr>
                <w:rFonts w:asciiTheme="minorBidi" w:hAnsiTheme="minorBidi" w:cstheme="minorBidi"/>
                <w:sz w:val="20"/>
                <w:szCs w:val="20"/>
              </w:rPr>
              <w:t>60.4 ± 8.8</w:t>
            </w:r>
          </w:p>
        </w:tc>
      </w:tr>
      <w:tr w:rsidR="00B16975" w:rsidRPr="006536F9" w14:paraId="55FB7F12" w14:textId="77777777" w:rsidTr="00B16975">
        <w:trPr>
          <w:trHeight w:val="315"/>
        </w:trPr>
        <w:tc>
          <w:tcPr>
            <w:tcW w:w="4228" w:type="dxa"/>
            <w:hideMark/>
          </w:tcPr>
          <w:p w14:paraId="48B35E95"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Male sex, n (%)</w:t>
            </w:r>
          </w:p>
        </w:tc>
        <w:tc>
          <w:tcPr>
            <w:tcW w:w="3939" w:type="dxa"/>
            <w:hideMark/>
          </w:tcPr>
          <w:p w14:paraId="244068A6" w14:textId="77777777" w:rsidR="00B16975" w:rsidRPr="006536F9" w:rsidRDefault="00B16975" w:rsidP="00B16975">
            <w:pPr>
              <w:jc w:val="center"/>
              <w:rPr>
                <w:rFonts w:asciiTheme="minorBidi" w:hAnsiTheme="minorBidi" w:cstheme="minorBidi"/>
                <w:sz w:val="20"/>
                <w:szCs w:val="20"/>
              </w:rPr>
            </w:pPr>
            <w:r w:rsidRPr="006536F9">
              <w:rPr>
                <w:rFonts w:asciiTheme="minorBidi" w:hAnsiTheme="minorBidi" w:cstheme="minorBidi"/>
                <w:sz w:val="20"/>
                <w:szCs w:val="20"/>
              </w:rPr>
              <w:t>38 (82.6)</w:t>
            </w:r>
          </w:p>
        </w:tc>
      </w:tr>
      <w:tr w:rsidR="00B16975" w:rsidRPr="006536F9" w14:paraId="7B09D602" w14:textId="77777777" w:rsidTr="00B16975">
        <w:trPr>
          <w:trHeight w:val="315"/>
        </w:trPr>
        <w:tc>
          <w:tcPr>
            <w:tcW w:w="4228" w:type="dxa"/>
            <w:hideMark/>
          </w:tcPr>
          <w:p w14:paraId="2C46BC6B"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Diabetes mellitus, n (%)</w:t>
            </w:r>
          </w:p>
        </w:tc>
        <w:tc>
          <w:tcPr>
            <w:tcW w:w="3939" w:type="dxa"/>
            <w:hideMark/>
          </w:tcPr>
          <w:p w14:paraId="30B71769" w14:textId="77777777" w:rsidR="00B16975" w:rsidRPr="006536F9" w:rsidRDefault="00B16975" w:rsidP="00B16975">
            <w:pPr>
              <w:jc w:val="center"/>
              <w:rPr>
                <w:rFonts w:asciiTheme="minorBidi" w:hAnsiTheme="minorBidi" w:cstheme="minorBidi"/>
                <w:sz w:val="20"/>
                <w:szCs w:val="20"/>
              </w:rPr>
            </w:pPr>
            <w:r w:rsidRPr="006536F9">
              <w:rPr>
                <w:rFonts w:asciiTheme="minorBidi" w:hAnsiTheme="minorBidi" w:cstheme="minorBidi"/>
                <w:sz w:val="20"/>
                <w:szCs w:val="20"/>
              </w:rPr>
              <w:t>24 (52.2)</w:t>
            </w:r>
          </w:p>
        </w:tc>
      </w:tr>
      <w:tr w:rsidR="00B16975" w:rsidRPr="006536F9" w14:paraId="4E0CC744" w14:textId="77777777" w:rsidTr="00B16975">
        <w:trPr>
          <w:trHeight w:val="289"/>
        </w:trPr>
        <w:tc>
          <w:tcPr>
            <w:tcW w:w="4228" w:type="dxa"/>
            <w:hideMark/>
          </w:tcPr>
          <w:p w14:paraId="4363F3C7"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Hypertension, n (%)</w:t>
            </w:r>
          </w:p>
        </w:tc>
        <w:tc>
          <w:tcPr>
            <w:tcW w:w="3939" w:type="dxa"/>
            <w:hideMark/>
          </w:tcPr>
          <w:p w14:paraId="6C8BE63E" w14:textId="77777777" w:rsidR="00B16975" w:rsidRPr="006536F9" w:rsidRDefault="00B16975" w:rsidP="00B16975">
            <w:pPr>
              <w:jc w:val="center"/>
              <w:rPr>
                <w:rFonts w:asciiTheme="minorBidi" w:hAnsiTheme="minorBidi" w:cstheme="minorBidi"/>
                <w:sz w:val="20"/>
                <w:szCs w:val="20"/>
              </w:rPr>
            </w:pPr>
            <w:r w:rsidRPr="006536F9">
              <w:rPr>
                <w:rFonts w:asciiTheme="minorBidi" w:hAnsiTheme="minorBidi" w:cstheme="minorBidi"/>
                <w:sz w:val="20"/>
                <w:szCs w:val="20"/>
              </w:rPr>
              <w:t>29 (63.0)</w:t>
            </w:r>
          </w:p>
        </w:tc>
      </w:tr>
      <w:tr w:rsidR="00B16975" w:rsidRPr="006536F9" w14:paraId="1B249BC6" w14:textId="77777777" w:rsidTr="00B16975">
        <w:trPr>
          <w:trHeight w:val="315"/>
        </w:trPr>
        <w:tc>
          <w:tcPr>
            <w:tcW w:w="4228" w:type="dxa"/>
            <w:hideMark/>
          </w:tcPr>
          <w:p w14:paraId="5B456786"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Dyslipidaemia, n (%)</w:t>
            </w:r>
          </w:p>
        </w:tc>
        <w:tc>
          <w:tcPr>
            <w:tcW w:w="3939" w:type="dxa"/>
            <w:hideMark/>
          </w:tcPr>
          <w:p w14:paraId="10A16822" w14:textId="77777777" w:rsidR="00B16975" w:rsidRPr="006536F9" w:rsidRDefault="00B16975" w:rsidP="00B16975">
            <w:pPr>
              <w:jc w:val="center"/>
              <w:rPr>
                <w:rFonts w:asciiTheme="minorBidi" w:hAnsiTheme="minorBidi" w:cstheme="minorBidi"/>
                <w:sz w:val="20"/>
                <w:szCs w:val="20"/>
              </w:rPr>
            </w:pPr>
            <w:r w:rsidRPr="006536F9">
              <w:rPr>
                <w:rFonts w:asciiTheme="minorBidi" w:hAnsiTheme="minorBidi" w:cstheme="minorBidi"/>
                <w:sz w:val="20"/>
                <w:szCs w:val="20"/>
              </w:rPr>
              <w:t>21 (45.7)</w:t>
            </w:r>
          </w:p>
        </w:tc>
      </w:tr>
      <w:tr w:rsidR="00B16975" w:rsidRPr="006536F9" w14:paraId="16B6F43D" w14:textId="77777777" w:rsidTr="00B16975">
        <w:trPr>
          <w:trHeight w:val="315"/>
        </w:trPr>
        <w:tc>
          <w:tcPr>
            <w:tcW w:w="4228" w:type="dxa"/>
            <w:hideMark/>
          </w:tcPr>
          <w:p w14:paraId="6678AFFA"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Chronic kidney disease, n (%)</w:t>
            </w:r>
          </w:p>
        </w:tc>
        <w:tc>
          <w:tcPr>
            <w:tcW w:w="3939" w:type="dxa"/>
            <w:hideMark/>
          </w:tcPr>
          <w:p w14:paraId="3F03FABD" w14:textId="77777777" w:rsidR="00B16975" w:rsidRPr="006536F9" w:rsidRDefault="00B16975" w:rsidP="00B16975">
            <w:pPr>
              <w:jc w:val="center"/>
              <w:rPr>
                <w:rFonts w:asciiTheme="minorBidi" w:hAnsiTheme="minorBidi" w:cstheme="minorBidi"/>
                <w:sz w:val="20"/>
                <w:szCs w:val="20"/>
              </w:rPr>
            </w:pPr>
            <w:r w:rsidRPr="006536F9">
              <w:rPr>
                <w:rFonts w:asciiTheme="minorBidi" w:hAnsiTheme="minorBidi" w:cstheme="minorBidi"/>
                <w:sz w:val="20"/>
                <w:szCs w:val="20"/>
              </w:rPr>
              <w:t>6 (13.0)</w:t>
            </w:r>
          </w:p>
        </w:tc>
      </w:tr>
      <w:tr w:rsidR="00B16975" w:rsidRPr="006536F9" w14:paraId="3E3D4852" w14:textId="77777777" w:rsidTr="00B16975">
        <w:trPr>
          <w:trHeight w:val="289"/>
        </w:trPr>
        <w:tc>
          <w:tcPr>
            <w:tcW w:w="4228" w:type="dxa"/>
            <w:hideMark/>
          </w:tcPr>
          <w:p w14:paraId="03C477E5"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Smoking history, n (%)</w:t>
            </w:r>
          </w:p>
        </w:tc>
        <w:tc>
          <w:tcPr>
            <w:tcW w:w="3939" w:type="dxa"/>
            <w:hideMark/>
          </w:tcPr>
          <w:p w14:paraId="2338345B" w14:textId="77777777" w:rsidR="00B16975" w:rsidRPr="006536F9" w:rsidRDefault="00B16975" w:rsidP="00B16975">
            <w:pPr>
              <w:jc w:val="center"/>
              <w:rPr>
                <w:rFonts w:asciiTheme="minorBidi" w:hAnsiTheme="minorBidi" w:cstheme="minorBidi"/>
                <w:sz w:val="20"/>
                <w:szCs w:val="20"/>
              </w:rPr>
            </w:pPr>
            <w:r w:rsidRPr="006536F9">
              <w:rPr>
                <w:rFonts w:asciiTheme="minorBidi" w:hAnsiTheme="minorBidi" w:cstheme="minorBidi"/>
                <w:sz w:val="20"/>
                <w:szCs w:val="20"/>
              </w:rPr>
              <w:t>18 (39.1)</w:t>
            </w:r>
          </w:p>
        </w:tc>
      </w:tr>
      <w:tr w:rsidR="00B16975" w:rsidRPr="006536F9" w14:paraId="6CDF0D95" w14:textId="77777777" w:rsidTr="00B16975">
        <w:trPr>
          <w:trHeight w:val="315"/>
        </w:trPr>
        <w:tc>
          <w:tcPr>
            <w:tcW w:w="4228" w:type="dxa"/>
            <w:hideMark/>
          </w:tcPr>
          <w:p w14:paraId="500C53A5"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Clinical presentation, n (%)</w:t>
            </w:r>
          </w:p>
        </w:tc>
        <w:tc>
          <w:tcPr>
            <w:tcW w:w="3939" w:type="dxa"/>
            <w:hideMark/>
          </w:tcPr>
          <w:p w14:paraId="03F1C354" w14:textId="77777777" w:rsidR="00B16975" w:rsidRPr="006536F9" w:rsidRDefault="00B16975" w:rsidP="00B16975">
            <w:pPr>
              <w:jc w:val="center"/>
              <w:rPr>
                <w:rFonts w:asciiTheme="minorBidi" w:hAnsiTheme="minorBidi" w:cstheme="minorBidi"/>
                <w:sz w:val="20"/>
                <w:szCs w:val="20"/>
              </w:rPr>
            </w:pPr>
          </w:p>
        </w:tc>
      </w:tr>
      <w:tr w:rsidR="00B16975" w:rsidRPr="006536F9" w14:paraId="0B770BEB" w14:textId="77777777" w:rsidTr="00B16975">
        <w:trPr>
          <w:trHeight w:val="315"/>
        </w:trPr>
        <w:tc>
          <w:tcPr>
            <w:tcW w:w="4228" w:type="dxa"/>
            <w:hideMark/>
          </w:tcPr>
          <w:p w14:paraId="44190371"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 Stable ischemic heart disease</w:t>
            </w:r>
          </w:p>
        </w:tc>
        <w:tc>
          <w:tcPr>
            <w:tcW w:w="3939" w:type="dxa"/>
            <w:hideMark/>
          </w:tcPr>
          <w:p w14:paraId="0EA5D8B3" w14:textId="77777777" w:rsidR="00B16975" w:rsidRPr="006536F9" w:rsidRDefault="00B16975" w:rsidP="00B16975">
            <w:pPr>
              <w:jc w:val="center"/>
              <w:rPr>
                <w:rFonts w:asciiTheme="minorBidi" w:hAnsiTheme="minorBidi" w:cstheme="minorBidi"/>
                <w:sz w:val="20"/>
                <w:szCs w:val="20"/>
              </w:rPr>
            </w:pPr>
            <w:r w:rsidRPr="006536F9">
              <w:rPr>
                <w:rFonts w:asciiTheme="minorBidi" w:hAnsiTheme="minorBidi" w:cstheme="minorBidi"/>
                <w:sz w:val="20"/>
                <w:szCs w:val="20"/>
              </w:rPr>
              <w:t>19 (41.3)</w:t>
            </w:r>
          </w:p>
        </w:tc>
      </w:tr>
      <w:tr w:rsidR="00B16975" w:rsidRPr="006536F9" w14:paraId="2504106B" w14:textId="77777777" w:rsidTr="00B16975">
        <w:trPr>
          <w:trHeight w:val="289"/>
        </w:trPr>
        <w:tc>
          <w:tcPr>
            <w:tcW w:w="4228" w:type="dxa"/>
            <w:hideMark/>
          </w:tcPr>
          <w:p w14:paraId="7110F562"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 NSTEMI</w:t>
            </w:r>
          </w:p>
        </w:tc>
        <w:tc>
          <w:tcPr>
            <w:tcW w:w="3939" w:type="dxa"/>
            <w:hideMark/>
          </w:tcPr>
          <w:p w14:paraId="32A2A797" w14:textId="77777777" w:rsidR="00B16975" w:rsidRPr="006536F9" w:rsidRDefault="00B16975" w:rsidP="00B16975">
            <w:pPr>
              <w:jc w:val="center"/>
              <w:rPr>
                <w:rFonts w:asciiTheme="minorBidi" w:hAnsiTheme="minorBidi" w:cstheme="minorBidi"/>
                <w:sz w:val="20"/>
                <w:szCs w:val="20"/>
              </w:rPr>
            </w:pPr>
            <w:r w:rsidRPr="006536F9">
              <w:rPr>
                <w:rFonts w:asciiTheme="minorBidi" w:hAnsiTheme="minorBidi" w:cstheme="minorBidi"/>
                <w:sz w:val="20"/>
                <w:szCs w:val="20"/>
              </w:rPr>
              <w:t>15 (32.6)</w:t>
            </w:r>
          </w:p>
        </w:tc>
      </w:tr>
      <w:tr w:rsidR="00B16975" w:rsidRPr="006536F9" w14:paraId="0DC20E7F" w14:textId="77777777" w:rsidTr="00B16975">
        <w:trPr>
          <w:trHeight w:val="315"/>
        </w:trPr>
        <w:tc>
          <w:tcPr>
            <w:tcW w:w="4228" w:type="dxa"/>
            <w:hideMark/>
          </w:tcPr>
          <w:p w14:paraId="27F69411" w14:textId="77777777" w:rsidR="00B16975" w:rsidRPr="006536F9" w:rsidRDefault="00B16975" w:rsidP="00FE5BED">
            <w:pPr>
              <w:rPr>
                <w:rFonts w:asciiTheme="minorBidi" w:hAnsiTheme="minorBidi" w:cstheme="minorBidi"/>
                <w:sz w:val="20"/>
                <w:szCs w:val="20"/>
              </w:rPr>
            </w:pPr>
            <w:r w:rsidRPr="006536F9">
              <w:rPr>
                <w:rFonts w:asciiTheme="minorBidi" w:hAnsiTheme="minorBidi" w:cstheme="minorBidi"/>
                <w:sz w:val="20"/>
                <w:szCs w:val="20"/>
              </w:rPr>
              <w:t>• STEMI</w:t>
            </w:r>
          </w:p>
        </w:tc>
        <w:tc>
          <w:tcPr>
            <w:tcW w:w="3939" w:type="dxa"/>
            <w:hideMark/>
          </w:tcPr>
          <w:p w14:paraId="399B16AF" w14:textId="77777777" w:rsidR="00B16975" w:rsidRPr="006536F9" w:rsidRDefault="00B16975" w:rsidP="00B16975">
            <w:pPr>
              <w:jc w:val="center"/>
              <w:rPr>
                <w:rFonts w:asciiTheme="minorBidi" w:hAnsiTheme="minorBidi" w:cstheme="minorBidi"/>
                <w:sz w:val="20"/>
                <w:szCs w:val="20"/>
              </w:rPr>
            </w:pPr>
            <w:r w:rsidRPr="006536F9">
              <w:rPr>
                <w:rFonts w:asciiTheme="minorBidi" w:hAnsiTheme="minorBidi" w:cstheme="minorBidi"/>
                <w:sz w:val="20"/>
                <w:szCs w:val="20"/>
              </w:rPr>
              <w:t>12 (26.1)</w:t>
            </w:r>
          </w:p>
        </w:tc>
      </w:tr>
    </w:tbl>
    <w:p w14:paraId="68B2C639" w14:textId="77777777" w:rsidR="00B16975" w:rsidRPr="006536F9" w:rsidRDefault="00B16975" w:rsidP="00B16975">
      <w:pPr>
        <w:rPr>
          <w:rFonts w:asciiTheme="minorBidi" w:hAnsiTheme="minorBidi" w:cstheme="minorBidi"/>
          <w:sz w:val="20"/>
          <w:szCs w:val="20"/>
        </w:rPr>
      </w:pPr>
    </w:p>
    <w:p w14:paraId="7653B46F" w14:textId="77777777" w:rsidR="00945FA3" w:rsidRPr="006536F9" w:rsidRDefault="00945FA3" w:rsidP="00945FA3">
      <w:pPr>
        <w:jc w:val="both"/>
        <w:rPr>
          <w:rFonts w:asciiTheme="minorBidi" w:hAnsiTheme="minorBidi" w:cstheme="minorBidi"/>
          <w:i/>
          <w:iCs/>
          <w:sz w:val="20"/>
          <w:szCs w:val="20"/>
        </w:rPr>
      </w:pPr>
      <w:r w:rsidRPr="006536F9">
        <w:rPr>
          <w:rStyle w:val="Strong"/>
          <w:rFonts w:asciiTheme="minorBidi" w:hAnsiTheme="minorBidi" w:cstheme="minorBidi"/>
          <w:sz w:val="20"/>
          <w:szCs w:val="20"/>
        </w:rPr>
        <w:t xml:space="preserve">Figure 1. </w:t>
      </w:r>
      <w:r w:rsidRPr="006536F9">
        <w:rPr>
          <w:rStyle w:val="Strong"/>
          <w:rFonts w:asciiTheme="minorBidi" w:hAnsiTheme="minorBidi" w:cstheme="minorBidi"/>
          <w:b w:val="0"/>
          <w:bCs w:val="0"/>
          <w:sz w:val="20"/>
          <w:szCs w:val="20"/>
        </w:rPr>
        <w:t>Baseline cardiovascular risk factors in patients undergoing DCB-based PCI.</w:t>
      </w:r>
      <w:r w:rsidRPr="006536F9">
        <w:rPr>
          <w:rFonts w:asciiTheme="minorBidi" w:hAnsiTheme="minorBidi" w:cstheme="minorBidi"/>
          <w:sz w:val="20"/>
          <w:szCs w:val="20"/>
        </w:rPr>
        <w:br/>
      </w:r>
      <w:r w:rsidRPr="006536F9">
        <w:rPr>
          <w:rFonts w:asciiTheme="minorBidi" w:hAnsiTheme="minorBidi" w:cstheme="minorBidi"/>
          <w:i/>
          <w:iCs/>
          <w:sz w:val="20"/>
          <w:szCs w:val="20"/>
        </w:rPr>
        <w:t>Bar chart showing the prevalence of major cardiovascular risk factors, highlighting the high burden of hypertension, diabetes mellitus, and dyslipidaemia in this real-world cohort in percentage.</w:t>
      </w:r>
    </w:p>
    <w:p w14:paraId="3B51CB75" w14:textId="77777777" w:rsidR="009B2CF2" w:rsidRPr="006536F9" w:rsidRDefault="009B2CF2" w:rsidP="008100C5">
      <w:pPr>
        <w:jc w:val="both"/>
        <w:rPr>
          <w:rFonts w:asciiTheme="minorBidi" w:hAnsiTheme="minorBidi" w:cstheme="minorBidi"/>
          <w:i/>
          <w:iCs/>
          <w:sz w:val="20"/>
          <w:szCs w:val="20"/>
        </w:rPr>
      </w:pPr>
    </w:p>
    <w:p w14:paraId="1DD7F91A" w14:textId="53199035" w:rsidR="00B16975" w:rsidRPr="00945FA3" w:rsidRDefault="00483293" w:rsidP="00945FA3">
      <w:pPr>
        <w:jc w:val="both"/>
        <w:rPr>
          <w:rFonts w:asciiTheme="minorBidi" w:hAnsiTheme="minorBidi" w:cstheme="minorBidi"/>
          <w:i/>
          <w:iCs/>
          <w:sz w:val="20"/>
          <w:szCs w:val="20"/>
        </w:rPr>
      </w:pPr>
      <w:r w:rsidRPr="006536F9">
        <w:rPr>
          <w:rFonts w:asciiTheme="minorBidi" w:hAnsiTheme="minorBidi" w:cstheme="minorBidi"/>
          <w:i/>
          <w:iCs/>
          <w:noProof/>
          <w:sz w:val="20"/>
          <w:szCs w:val="20"/>
          <w14:ligatures w14:val="standardContextual"/>
        </w:rPr>
        <w:drawing>
          <wp:inline distT="0" distB="0" distL="0" distR="0" wp14:anchorId="6088E2E0" wp14:editId="57A7B59F">
            <wp:extent cx="5486400" cy="2902688"/>
            <wp:effectExtent l="0" t="0" r="12700" b="18415"/>
            <wp:docPr id="10458007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9C72F1" w:rsidRPr="006536F9">
        <w:rPr>
          <w:rFonts w:asciiTheme="minorBidi" w:hAnsiTheme="minorBidi" w:cstheme="minorBidi"/>
        </w:rPr>
        <w:fldChar w:fldCharType="begin"/>
      </w:r>
      <w:r w:rsidR="009C72F1" w:rsidRPr="006536F9">
        <w:rPr>
          <w:rFonts w:asciiTheme="minorBidi" w:hAnsiTheme="minorBidi" w:cstheme="minorBidi"/>
        </w:rPr>
        <w:instrText xml:space="preserve"> INCLUDEPICTURE "https://chatgpt.com/backend-api/estuary/content?id=file_00000000c3207206965976431b5c6456&amp;ts=491813&amp;p=fs&amp;cid=1&amp;sig=7e948118501947cc3cf6d8996647aa3ff85b7e89db509ccd6f176e8e175c4b26&amp;v=0" \* MERGEFORMATINET </w:instrText>
      </w:r>
      <w:r w:rsidR="009C72F1" w:rsidRPr="006536F9">
        <w:rPr>
          <w:rFonts w:asciiTheme="minorBidi" w:hAnsiTheme="minorBidi" w:cstheme="minorBidi"/>
        </w:rPr>
        <w:fldChar w:fldCharType="end"/>
      </w:r>
    </w:p>
    <w:p w14:paraId="017C260D" w14:textId="77777777" w:rsidR="008100C5" w:rsidRPr="006536F9" w:rsidRDefault="008100C5" w:rsidP="008100C5">
      <w:pPr>
        <w:jc w:val="both"/>
        <w:rPr>
          <w:rFonts w:asciiTheme="minorBidi" w:hAnsiTheme="minorBidi" w:cstheme="minorBidi"/>
          <w:b/>
          <w:bCs/>
          <w:sz w:val="22"/>
          <w:szCs w:val="22"/>
        </w:rPr>
      </w:pPr>
    </w:p>
    <w:p w14:paraId="12CC7EC4" w14:textId="77777777" w:rsidR="008100C5" w:rsidRPr="006536F9" w:rsidRDefault="008100C5" w:rsidP="008100C5">
      <w:pPr>
        <w:jc w:val="both"/>
        <w:rPr>
          <w:rFonts w:asciiTheme="minorBidi" w:hAnsiTheme="minorBidi" w:cstheme="minorBidi"/>
          <w:b/>
          <w:bCs/>
          <w:sz w:val="22"/>
          <w:szCs w:val="22"/>
        </w:rPr>
      </w:pPr>
    </w:p>
    <w:p w14:paraId="4A27E7F7" w14:textId="77777777" w:rsidR="008100C5" w:rsidRPr="006536F9" w:rsidRDefault="008100C5" w:rsidP="008100C5">
      <w:pPr>
        <w:jc w:val="both"/>
        <w:rPr>
          <w:rFonts w:asciiTheme="minorBidi" w:hAnsiTheme="minorBidi" w:cstheme="minorBidi"/>
          <w:b/>
          <w:bCs/>
          <w:sz w:val="22"/>
          <w:szCs w:val="22"/>
        </w:rPr>
      </w:pPr>
    </w:p>
    <w:p w14:paraId="77FACE00" w14:textId="77777777" w:rsidR="00B16975" w:rsidRPr="006536F9" w:rsidRDefault="00B16975" w:rsidP="008100C5">
      <w:pPr>
        <w:jc w:val="both"/>
        <w:rPr>
          <w:rFonts w:asciiTheme="minorBidi" w:hAnsiTheme="minorBidi" w:cstheme="minorBidi"/>
          <w:b/>
          <w:bCs/>
          <w:sz w:val="22"/>
          <w:szCs w:val="22"/>
        </w:rPr>
      </w:pPr>
      <w:r w:rsidRPr="006536F9">
        <w:rPr>
          <w:rFonts w:asciiTheme="minorBidi" w:hAnsiTheme="minorBidi" w:cstheme="minorBidi"/>
          <w:b/>
          <w:bCs/>
          <w:sz w:val="22"/>
          <w:szCs w:val="22"/>
        </w:rPr>
        <w:t>3.2 Angiographic and Lesion Characteristics</w:t>
      </w:r>
    </w:p>
    <w:p w14:paraId="6BBDC14C" w14:textId="77777777" w:rsidR="00B16975" w:rsidRPr="006536F9" w:rsidRDefault="00B16975" w:rsidP="008100C5">
      <w:pPr>
        <w:jc w:val="both"/>
        <w:rPr>
          <w:rFonts w:asciiTheme="minorBidi" w:hAnsiTheme="minorBidi" w:cstheme="minorBidi"/>
          <w:sz w:val="20"/>
          <w:szCs w:val="20"/>
        </w:rPr>
      </w:pPr>
    </w:p>
    <w:p w14:paraId="69AD5EA4"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lastRenderedPageBreak/>
        <w:t>Angiographic analysis demonstrated that DCBs were used across a wide spectrum of lesion subsets. De novo lesions constituted two-thirds (67.4%) of cases, while in-stent restenosis (ISR) accounted for 32.6%.</w:t>
      </w:r>
    </w:p>
    <w:p w14:paraId="3B14B848" w14:textId="77777777" w:rsidR="00B16975"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A substantial proportion of lesions involved small vessel disease (&lt;2.5 mm, 60.9%) and diffuse disease (&gt;20 mm length, 47.8%), highlighting the preference for DCBs in anatomies where permanent stenting may be suboptimal. Complex lesion morphology was common, with bifurcation lesions (30.4%), ostial lesions (19.6%), and ACC/AHA type B2/C lesions (73.9%) being frequently encountered. DCB PCI was performed in both single-vessel (63.0%) and multivessel (37.0%) settings .</w:t>
      </w:r>
    </w:p>
    <w:p w14:paraId="24EE81EB" w14:textId="539DF01C" w:rsidR="008100C5" w:rsidRPr="00945FA3" w:rsidRDefault="00945FA3" w:rsidP="00945FA3">
      <w:pPr>
        <w:pStyle w:val="NormalWeb"/>
        <w:jc w:val="both"/>
        <w:rPr>
          <w:rFonts w:asciiTheme="minorBidi" w:hAnsiTheme="minorBidi" w:cstheme="minorBidi"/>
          <w:i/>
          <w:iCs/>
          <w:sz w:val="20"/>
          <w:szCs w:val="20"/>
        </w:rPr>
      </w:pPr>
      <w:r w:rsidRPr="006536F9">
        <w:rPr>
          <w:rFonts w:asciiTheme="minorBidi" w:hAnsiTheme="minorBidi" w:cstheme="minorBidi"/>
          <w:b/>
          <w:bCs/>
          <w:sz w:val="20"/>
          <w:szCs w:val="20"/>
        </w:rPr>
        <w:t>Table 2:</w:t>
      </w:r>
      <w:r w:rsidRPr="006536F9">
        <w:rPr>
          <w:rFonts w:asciiTheme="minorBidi" w:hAnsiTheme="minorBidi" w:cstheme="minorBidi"/>
          <w:i/>
          <w:iCs/>
          <w:sz w:val="20"/>
          <w:szCs w:val="20"/>
        </w:rPr>
        <w:t xml:space="preserve"> </w:t>
      </w:r>
      <w:r w:rsidRPr="006536F9">
        <w:rPr>
          <w:rFonts w:asciiTheme="minorBidi" w:hAnsiTheme="minorBidi" w:cstheme="minorBidi"/>
          <w:sz w:val="20"/>
          <w:szCs w:val="20"/>
        </w:rPr>
        <w:t xml:space="preserve">Angiographic characteristics and lesion morphology of coronary lesions treated with drug-eluting balloons, including lesion type, anatomical location, vessel size, lesion complexity, and extent of coronary artery disease. </w:t>
      </w:r>
      <w:r w:rsidRPr="006536F9">
        <w:rPr>
          <w:rFonts w:asciiTheme="minorBidi" w:hAnsiTheme="minorBidi" w:cstheme="minorBidi"/>
          <w:i/>
          <w:iCs/>
          <w:sz w:val="20"/>
          <w:szCs w:val="20"/>
        </w:rPr>
        <w:t>Values are presented as number (percentage).</w:t>
      </w:r>
    </w:p>
    <w:tbl>
      <w:tblPr>
        <w:tblStyle w:val="TableGrid"/>
        <w:tblW w:w="8237" w:type="dxa"/>
        <w:tblLook w:val="04A0" w:firstRow="1" w:lastRow="0" w:firstColumn="1" w:lastColumn="0" w:noHBand="0" w:noVBand="1"/>
      </w:tblPr>
      <w:tblGrid>
        <w:gridCol w:w="4248"/>
        <w:gridCol w:w="3989"/>
      </w:tblGrid>
      <w:tr w:rsidR="00B16975" w:rsidRPr="006536F9" w14:paraId="0B6E9F9A" w14:textId="77777777" w:rsidTr="00B16975">
        <w:trPr>
          <w:trHeight w:val="315"/>
        </w:trPr>
        <w:tc>
          <w:tcPr>
            <w:tcW w:w="4248" w:type="dxa"/>
            <w:hideMark/>
          </w:tcPr>
          <w:p w14:paraId="6CFACD17"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Variable</w:t>
            </w:r>
          </w:p>
        </w:tc>
        <w:tc>
          <w:tcPr>
            <w:tcW w:w="3989" w:type="dxa"/>
            <w:hideMark/>
          </w:tcPr>
          <w:p w14:paraId="6C9AD873"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n (%)</w:t>
            </w:r>
          </w:p>
        </w:tc>
      </w:tr>
      <w:tr w:rsidR="00B16975" w:rsidRPr="006536F9" w14:paraId="15050A3E" w14:textId="77777777" w:rsidTr="00B16975">
        <w:trPr>
          <w:trHeight w:val="288"/>
        </w:trPr>
        <w:tc>
          <w:tcPr>
            <w:tcW w:w="4248" w:type="dxa"/>
            <w:hideMark/>
          </w:tcPr>
          <w:p w14:paraId="2DED991C"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Lesion type</w:t>
            </w:r>
          </w:p>
        </w:tc>
        <w:tc>
          <w:tcPr>
            <w:tcW w:w="3989" w:type="dxa"/>
            <w:hideMark/>
          </w:tcPr>
          <w:p w14:paraId="0F178990" w14:textId="77777777" w:rsidR="00B16975" w:rsidRPr="006536F9" w:rsidRDefault="00B16975" w:rsidP="008100C5">
            <w:pPr>
              <w:jc w:val="both"/>
              <w:rPr>
                <w:rFonts w:asciiTheme="minorBidi" w:hAnsiTheme="minorBidi" w:cstheme="minorBidi"/>
                <w:sz w:val="20"/>
                <w:szCs w:val="20"/>
              </w:rPr>
            </w:pPr>
          </w:p>
        </w:tc>
      </w:tr>
      <w:tr w:rsidR="00B16975" w:rsidRPr="006536F9" w14:paraId="439FA4BA" w14:textId="77777777" w:rsidTr="00B16975">
        <w:trPr>
          <w:trHeight w:val="315"/>
        </w:trPr>
        <w:tc>
          <w:tcPr>
            <w:tcW w:w="4248" w:type="dxa"/>
            <w:hideMark/>
          </w:tcPr>
          <w:p w14:paraId="7D66B773"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 De novo</w:t>
            </w:r>
          </w:p>
        </w:tc>
        <w:tc>
          <w:tcPr>
            <w:tcW w:w="3989" w:type="dxa"/>
            <w:hideMark/>
          </w:tcPr>
          <w:p w14:paraId="6898A931"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31 (67.4)</w:t>
            </w:r>
          </w:p>
        </w:tc>
      </w:tr>
      <w:tr w:rsidR="00B16975" w:rsidRPr="006536F9" w14:paraId="1B3232ED" w14:textId="77777777" w:rsidTr="00B16975">
        <w:trPr>
          <w:trHeight w:val="315"/>
        </w:trPr>
        <w:tc>
          <w:tcPr>
            <w:tcW w:w="4248" w:type="dxa"/>
            <w:hideMark/>
          </w:tcPr>
          <w:p w14:paraId="5E7F4AEF"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 In-stent restenosis (ISR)</w:t>
            </w:r>
          </w:p>
        </w:tc>
        <w:tc>
          <w:tcPr>
            <w:tcW w:w="3989" w:type="dxa"/>
            <w:hideMark/>
          </w:tcPr>
          <w:p w14:paraId="546AAB15"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15 (32.6)</w:t>
            </w:r>
          </w:p>
        </w:tc>
      </w:tr>
      <w:tr w:rsidR="00B16975" w:rsidRPr="006536F9" w14:paraId="473F1B73" w14:textId="77777777" w:rsidTr="00B16975">
        <w:trPr>
          <w:trHeight w:val="288"/>
        </w:trPr>
        <w:tc>
          <w:tcPr>
            <w:tcW w:w="4248" w:type="dxa"/>
            <w:hideMark/>
          </w:tcPr>
          <w:p w14:paraId="6FD86FF5"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Small vessel disease (&lt;2.5 mm)</w:t>
            </w:r>
          </w:p>
        </w:tc>
        <w:tc>
          <w:tcPr>
            <w:tcW w:w="3989" w:type="dxa"/>
            <w:hideMark/>
          </w:tcPr>
          <w:p w14:paraId="5D4BFD3E"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28 (60.9)</w:t>
            </w:r>
          </w:p>
        </w:tc>
      </w:tr>
      <w:tr w:rsidR="00B16975" w:rsidRPr="006536F9" w14:paraId="488B0C89" w14:textId="77777777" w:rsidTr="00B16975">
        <w:trPr>
          <w:trHeight w:val="315"/>
        </w:trPr>
        <w:tc>
          <w:tcPr>
            <w:tcW w:w="4248" w:type="dxa"/>
            <w:hideMark/>
          </w:tcPr>
          <w:p w14:paraId="5B0CE224"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Diffuse lesions (&gt;20 mm)</w:t>
            </w:r>
          </w:p>
        </w:tc>
        <w:tc>
          <w:tcPr>
            <w:tcW w:w="3989" w:type="dxa"/>
            <w:hideMark/>
          </w:tcPr>
          <w:p w14:paraId="184C7757"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22 (47.8)</w:t>
            </w:r>
          </w:p>
        </w:tc>
      </w:tr>
      <w:tr w:rsidR="00B16975" w:rsidRPr="006536F9" w14:paraId="4C65035D" w14:textId="77777777" w:rsidTr="00B16975">
        <w:trPr>
          <w:trHeight w:val="315"/>
        </w:trPr>
        <w:tc>
          <w:tcPr>
            <w:tcW w:w="4248" w:type="dxa"/>
            <w:hideMark/>
          </w:tcPr>
          <w:p w14:paraId="196CCBFF"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Bifurcation lesions</w:t>
            </w:r>
          </w:p>
        </w:tc>
        <w:tc>
          <w:tcPr>
            <w:tcW w:w="3989" w:type="dxa"/>
            <w:hideMark/>
          </w:tcPr>
          <w:p w14:paraId="7DDAC282"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14 (30.4)</w:t>
            </w:r>
          </w:p>
        </w:tc>
      </w:tr>
      <w:tr w:rsidR="00B16975" w:rsidRPr="006536F9" w14:paraId="7946A65A" w14:textId="77777777" w:rsidTr="00B16975">
        <w:trPr>
          <w:trHeight w:val="288"/>
        </w:trPr>
        <w:tc>
          <w:tcPr>
            <w:tcW w:w="4248" w:type="dxa"/>
            <w:hideMark/>
          </w:tcPr>
          <w:p w14:paraId="5A3EF6A7"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Ostial lesions</w:t>
            </w:r>
          </w:p>
        </w:tc>
        <w:tc>
          <w:tcPr>
            <w:tcW w:w="3989" w:type="dxa"/>
            <w:hideMark/>
          </w:tcPr>
          <w:p w14:paraId="3C8945C7"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9 (19.6)</w:t>
            </w:r>
          </w:p>
        </w:tc>
      </w:tr>
      <w:tr w:rsidR="00B16975" w:rsidRPr="006536F9" w14:paraId="08BDFF5E" w14:textId="77777777" w:rsidTr="00B16975">
        <w:trPr>
          <w:trHeight w:val="315"/>
        </w:trPr>
        <w:tc>
          <w:tcPr>
            <w:tcW w:w="4248" w:type="dxa"/>
            <w:hideMark/>
          </w:tcPr>
          <w:p w14:paraId="2668BA57"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ACC/AHA lesion type B2/C</w:t>
            </w:r>
          </w:p>
        </w:tc>
        <w:tc>
          <w:tcPr>
            <w:tcW w:w="3989" w:type="dxa"/>
            <w:hideMark/>
          </w:tcPr>
          <w:p w14:paraId="1AC167F6"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34 (73.9)</w:t>
            </w:r>
          </w:p>
        </w:tc>
      </w:tr>
      <w:tr w:rsidR="00B16975" w:rsidRPr="006536F9" w14:paraId="3CAEA059" w14:textId="77777777" w:rsidTr="00B16975">
        <w:trPr>
          <w:trHeight w:val="315"/>
        </w:trPr>
        <w:tc>
          <w:tcPr>
            <w:tcW w:w="4248" w:type="dxa"/>
            <w:hideMark/>
          </w:tcPr>
          <w:p w14:paraId="7BFA790F"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DCB in single-vessel PCI</w:t>
            </w:r>
          </w:p>
        </w:tc>
        <w:tc>
          <w:tcPr>
            <w:tcW w:w="3989" w:type="dxa"/>
            <w:hideMark/>
          </w:tcPr>
          <w:p w14:paraId="53033254"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29 (63.0)</w:t>
            </w:r>
          </w:p>
        </w:tc>
      </w:tr>
      <w:tr w:rsidR="00B16975" w:rsidRPr="006536F9" w14:paraId="73076799" w14:textId="77777777" w:rsidTr="00B16975">
        <w:trPr>
          <w:trHeight w:val="288"/>
        </w:trPr>
        <w:tc>
          <w:tcPr>
            <w:tcW w:w="4248" w:type="dxa"/>
            <w:hideMark/>
          </w:tcPr>
          <w:p w14:paraId="124A5C63"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DCB in multivessel PCI</w:t>
            </w:r>
          </w:p>
        </w:tc>
        <w:tc>
          <w:tcPr>
            <w:tcW w:w="3989" w:type="dxa"/>
            <w:hideMark/>
          </w:tcPr>
          <w:p w14:paraId="49C70493"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17 (37.0)</w:t>
            </w:r>
          </w:p>
        </w:tc>
      </w:tr>
    </w:tbl>
    <w:p w14:paraId="692A97D7" w14:textId="44112AA5" w:rsidR="00483293" w:rsidRPr="00945FA3" w:rsidRDefault="00945FA3" w:rsidP="00945FA3">
      <w:pPr>
        <w:pStyle w:val="NormalWeb"/>
        <w:jc w:val="both"/>
        <w:rPr>
          <w:rFonts w:asciiTheme="minorBidi" w:hAnsiTheme="minorBidi" w:cstheme="minorBidi"/>
          <w:sz w:val="20"/>
          <w:szCs w:val="20"/>
        </w:rPr>
      </w:pPr>
      <w:r w:rsidRPr="006536F9">
        <w:rPr>
          <w:rStyle w:val="Strong"/>
          <w:rFonts w:asciiTheme="minorBidi" w:hAnsiTheme="minorBidi" w:cstheme="minorBidi"/>
          <w:sz w:val="20"/>
          <w:szCs w:val="20"/>
        </w:rPr>
        <w:t xml:space="preserve">Figure 2. </w:t>
      </w:r>
      <w:r w:rsidRPr="006536F9">
        <w:rPr>
          <w:rStyle w:val="Strong"/>
          <w:rFonts w:asciiTheme="minorBidi" w:hAnsiTheme="minorBidi" w:cstheme="minorBidi"/>
          <w:b w:val="0"/>
          <w:bCs w:val="0"/>
          <w:sz w:val="20"/>
          <w:szCs w:val="20"/>
        </w:rPr>
        <w:t>Distribution of coronary lesion types treated with drug-eluting balloons.</w:t>
      </w:r>
      <w:r w:rsidRPr="006536F9">
        <w:rPr>
          <w:rFonts w:asciiTheme="minorBidi" w:hAnsiTheme="minorBidi" w:cstheme="minorBidi"/>
          <w:b/>
          <w:bCs/>
          <w:sz w:val="20"/>
          <w:szCs w:val="20"/>
        </w:rPr>
        <w:br/>
      </w:r>
      <w:r w:rsidRPr="006536F9">
        <w:rPr>
          <w:rFonts w:asciiTheme="minorBidi" w:hAnsiTheme="minorBidi" w:cstheme="minorBidi"/>
          <w:i/>
          <w:iCs/>
          <w:sz w:val="20"/>
          <w:szCs w:val="20"/>
        </w:rPr>
        <w:t>Comparison of de novo lesions and in-stent restenosis (ISR), demonstrating predominant use of DCBs in de novo coronary disease in percentage.</w:t>
      </w:r>
    </w:p>
    <w:p w14:paraId="3EDFE5EE" w14:textId="4B997558" w:rsidR="009C72F1" w:rsidRPr="006536F9" w:rsidRDefault="00483293" w:rsidP="00945FA3">
      <w:pPr>
        <w:jc w:val="both"/>
        <w:rPr>
          <w:rFonts w:asciiTheme="minorBidi" w:hAnsiTheme="minorBidi" w:cstheme="minorBidi"/>
          <w:sz w:val="20"/>
          <w:szCs w:val="20"/>
        </w:rPr>
      </w:pPr>
      <w:r w:rsidRPr="006536F9">
        <w:rPr>
          <w:rFonts w:asciiTheme="minorBidi" w:hAnsiTheme="minorBidi" w:cstheme="minorBidi"/>
          <w:i/>
          <w:iCs/>
          <w:noProof/>
          <w:sz w:val="20"/>
          <w:szCs w:val="20"/>
          <w14:ligatures w14:val="standardContextual"/>
        </w:rPr>
        <w:drawing>
          <wp:inline distT="0" distB="0" distL="0" distR="0" wp14:anchorId="027B3F8A" wp14:editId="2266A5A7">
            <wp:extent cx="5486400" cy="2838893"/>
            <wp:effectExtent l="0" t="0" r="12700" b="6350"/>
            <wp:docPr id="5822750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849FF2" w14:textId="77777777" w:rsidR="00B16975" w:rsidRPr="006536F9" w:rsidRDefault="00B16975" w:rsidP="008100C5">
      <w:pPr>
        <w:jc w:val="both"/>
        <w:rPr>
          <w:rFonts w:asciiTheme="minorBidi" w:hAnsiTheme="minorBidi" w:cstheme="minorBidi"/>
          <w:sz w:val="20"/>
          <w:szCs w:val="20"/>
        </w:rPr>
      </w:pPr>
    </w:p>
    <w:p w14:paraId="30F8E181" w14:textId="77777777" w:rsidR="00B16975" w:rsidRPr="006536F9" w:rsidRDefault="00B16975" w:rsidP="008100C5">
      <w:pPr>
        <w:jc w:val="both"/>
        <w:rPr>
          <w:rFonts w:asciiTheme="minorBidi" w:hAnsiTheme="minorBidi" w:cstheme="minorBidi"/>
          <w:sz w:val="20"/>
          <w:szCs w:val="20"/>
        </w:rPr>
      </w:pPr>
    </w:p>
    <w:p w14:paraId="56EFDC7E"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3.3 Procedural Characteristics</w:t>
      </w:r>
    </w:p>
    <w:p w14:paraId="4AEAA451" w14:textId="77777777" w:rsidR="00B16975" w:rsidRPr="006536F9" w:rsidRDefault="00B16975" w:rsidP="008100C5">
      <w:pPr>
        <w:jc w:val="both"/>
        <w:rPr>
          <w:rFonts w:asciiTheme="minorBidi" w:hAnsiTheme="minorBidi" w:cstheme="minorBidi"/>
          <w:sz w:val="20"/>
          <w:szCs w:val="20"/>
        </w:rPr>
      </w:pPr>
    </w:p>
    <w:p w14:paraId="26AE8966"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 xml:space="preserve">Lesion preparation was an integral component of the DCB strategy, with </w:t>
      </w:r>
      <w:proofErr w:type="spellStart"/>
      <w:r w:rsidRPr="006536F9">
        <w:rPr>
          <w:rFonts w:asciiTheme="minorBidi" w:hAnsiTheme="minorBidi" w:cstheme="minorBidi"/>
          <w:sz w:val="20"/>
          <w:szCs w:val="20"/>
        </w:rPr>
        <w:t>predilatation</w:t>
      </w:r>
      <w:proofErr w:type="spellEnd"/>
      <w:r w:rsidRPr="006536F9">
        <w:rPr>
          <w:rFonts w:asciiTheme="minorBidi" w:hAnsiTheme="minorBidi" w:cstheme="minorBidi"/>
          <w:sz w:val="20"/>
          <w:szCs w:val="20"/>
        </w:rPr>
        <w:t xml:space="preserve"> performed in over 90% of cases. Scoring or cutting balloons were selectively used in approximately one-third of patients to optimize lesion modification prior to drug delivery.</w:t>
      </w:r>
    </w:p>
    <w:p w14:paraId="10D9DCF5" w14:textId="77777777" w:rsidR="00B16975"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lastRenderedPageBreak/>
        <w:t>A hybrid PCI approach, combining DCB and drug-eluting stents (DES), was employed in 39.1% of procedures, either as overlapping or non-overlapping strategies depending on lesion anatomy. Mean DCB diameter was 2.4 ± 0.3 mm.</w:t>
      </w:r>
    </w:p>
    <w:p w14:paraId="0F11BA71" w14:textId="77777777" w:rsidR="00945FA3" w:rsidRDefault="00945FA3" w:rsidP="008100C5">
      <w:pPr>
        <w:jc w:val="both"/>
        <w:rPr>
          <w:rFonts w:asciiTheme="minorBidi" w:hAnsiTheme="minorBidi" w:cstheme="minorBidi"/>
          <w:sz w:val="20"/>
          <w:szCs w:val="20"/>
        </w:rPr>
      </w:pPr>
    </w:p>
    <w:p w14:paraId="0EE5916C" w14:textId="1B728B4F" w:rsidR="00945FA3" w:rsidRPr="00945FA3" w:rsidRDefault="00945FA3" w:rsidP="00945FA3">
      <w:pPr>
        <w:jc w:val="both"/>
        <w:rPr>
          <w:rFonts w:asciiTheme="minorBidi" w:hAnsiTheme="minorBidi" w:cstheme="minorBidi"/>
          <w:i/>
          <w:iCs/>
          <w:sz w:val="20"/>
          <w:szCs w:val="20"/>
        </w:rPr>
      </w:pPr>
      <w:r w:rsidRPr="006536F9">
        <w:rPr>
          <w:rFonts w:asciiTheme="minorBidi" w:hAnsiTheme="minorBidi" w:cstheme="minorBidi"/>
          <w:b/>
          <w:bCs/>
          <w:sz w:val="20"/>
          <w:szCs w:val="20"/>
        </w:rPr>
        <w:t>Table 3:</w:t>
      </w:r>
      <w:r w:rsidRPr="006536F9">
        <w:rPr>
          <w:rFonts w:asciiTheme="minorBidi" w:hAnsiTheme="minorBidi" w:cstheme="minorBidi"/>
          <w:sz w:val="20"/>
          <w:szCs w:val="20"/>
        </w:rPr>
        <w:t xml:space="preserve"> Procedural strategies and device-related parameters associated with drug-eluting balloon–based PCI, including lesion preparation techniques, hybrid PCI strategies, and balloon dimensions and inflation characteristics. </w:t>
      </w:r>
      <w:r w:rsidRPr="006536F9">
        <w:rPr>
          <w:rFonts w:asciiTheme="minorBidi" w:hAnsiTheme="minorBidi" w:cstheme="minorBidi"/>
          <w:i/>
          <w:iCs/>
          <w:sz w:val="20"/>
          <w:szCs w:val="20"/>
        </w:rPr>
        <w:t>Continuous variables are presented as mean ± standard deviation, and categorical variables as number (percentage).</w:t>
      </w:r>
    </w:p>
    <w:p w14:paraId="10FE60BF" w14:textId="77777777" w:rsidR="00483293" w:rsidRPr="006536F9" w:rsidRDefault="00483293" w:rsidP="008100C5">
      <w:pPr>
        <w:jc w:val="both"/>
        <w:rPr>
          <w:rFonts w:asciiTheme="minorBidi" w:hAnsiTheme="minorBidi" w:cstheme="minorBidi"/>
          <w:sz w:val="20"/>
          <w:szCs w:val="20"/>
        </w:rPr>
      </w:pPr>
    </w:p>
    <w:tbl>
      <w:tblPr>
        <w:tblStyle w:val="TableGrid"/>
        <w:tblW w:w="8238" w:type="dxa"/>
        <w:tblLook w:val="04A0" w:firstRow="1" w:lastRow="0" w:firstColumn="1" w:lastColumn="0" w:noHBand="0" w:noVBand="1"/>
      </w:tblPr>
      <w:tblGrid>
        <w:gridCol w:w="4531"/>
        <w:gridCol w:w="3707"/>
      </w:tblGrid>
      <w:tr w:rsidR="00B16975" w:rsidRPr="006536F9" w14:paraId="2DECEFC8" w14:textId="77777777" w:rsidTr="00B16975">
        <w:trPr>
          <w:trHeight w:val="320"/>
        </w:trPr>
        <w:tc>
          <w:tcPr>
            <w:tcW w:w="4531" w:type="dxa"/>
            <w:hideMark/>
          </w:tcPr>
          <w:p w14:paraId="09D24CA4"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Variable</w:t>
            </w:r>
          </w:p>
        </w:tc>
        <w:tc>
          <w:tcPr>
            <w:tcW w:w="3707" w:type="dxa"/>
            <w:hideMark/>
          </w:tcPr>
          <w:p w14:paraId="63D2ED78"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Value</w:t>
            </w:r>
          </w:p>
        </w:tc>
      </w:tr>
      <w:tr w:rsidR="00B16975" w:rsidRPr="006536F9" w14:paraId="4AEF3F7E" w14:textId="77777777" w:rsidTr="00B16975">
        <w:trPr>
          <w:trHeight w:val="292"/>
        </w:trPr>
        <w:tc>
          <w:tcPr>
            <w:tcW w:w="4531" w:type="dxa"/>
            <w:hideMark/>
          </w:tcPr>
          <w:p w14:paraId="75B7A7AA" w14:textId="77777777" w:rsidR="00B16975" w:rsidRPr="006536F9" w:rsidRDefault="00B16975" w:rsidP="008100C5">
            <w:pPr>
              <w:jc w:val="both"/>
              <w:rPr>
                <w:rFonts w:asciiTheme="minorBidi" w:hAnsiTheme="minorBidi" w:cstheme="minorBidi"/>
                <w:sz w:val="20"/>
                <w:szCs w:val="20"/>
              </w:rPr>
            </w:pPr>
            <w:proofErr w:type="spellStart"/>
            <w:r w:rsidRPr="006536F9">
              <w:rPr>
                <w:rFonts w:asciiTheme="minorBidi" w:hAnsiTheme="minorBidi" w:cstheme="minorBidi"/>
                <w:sz w:val="20"/>
                <w:szCs w:val="20"/>
              </w:rPr>
              <w:t>Predilatation</w:t>
            </w:r>
            <w:proofErr w:type="spellEnd"/>
            <w:r w:rsidRPr="006536F9">
              <w:rPr>
                <w:rFonts w:asciiTheme="minorBidi" w:hAnsiTheme="minorBidi" w:cstheme="minorBidi"/>
                <w:sz w:val="20"/>
                <w:szCs w:val="20"/>
              </w:rPr>
              <w:t xml:space="preserve"> performed, n (%)</w:t>
            </w:r>
          </w:p>
        </w:tc>
        <w:tc>
          <w:tcPr>
            <w:tcW w:w="3707" w:type="dxa"/>
            <w:hideMark/>
          </w:tcPr>
          <w:p w14:paraId="21A8270F"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42 (91.3)</w:t>
            </w:r>
          </w:p>
        </w:tc>
      </w:tr>
      <w:tr w:rsidR="00B16975" w:rsidRPr="006536F9" w14:paraId="281D5412" w14:textId="77777777" w:rsidTr="00B16975">
        <w:trPr>
          <w:trHeight w:val="320"/>
        </w:trPr>
        <w:tc>
          <w:tcPr>
            <w:tcW w:w="4531" w:type="dxa"/>
            <w:hideMark/>
          </w:tcPr>
          <w:p w14:paraId="5763A4D5"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Scoring/cutting balloon used, n (%)</w:t>
            </w:r>
          </w:p>
        </w:tc>
        <w:tc>
          <w:tcPr>
            <w:tcW w:w="3707" w:type="dxa"/>
            <w:hideMark/>
          </w:tcPr>
          <w:p w14:paraId="24B753FA"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16 (34.8)</w:t>
            </w:r>
          </w:p>
        </w:tc>
      </w:tr>
      <w:tr w:rsidR="00B16975" w:rsidRPr="006536F9" w14:paraId="11EEC997" w14:textId="77777777" w:rsidTr="00B16975">
        <w:trPr>
          <w:trHeight w:val="320"/>
        </w:trPr>
        <w:tc>
          <w:tcPr>
            <w:tcW w:w="4531" w:type="dxa"/>
            <w:hideMark/>
          </w:tcPr>
          <w:p w14:paraId="082EFD80"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Hybrid PCI strategy (DCB + DES), n (%)</w:t>
            </w:r>
          </w:p>
        </w:tc>
        <w:tc>
          <w:tcPr>
            <w:tcW w:w="3707" w:type="dxa"/>
            <w:hideMark/>
          </w:tcPr>
          <w:p w14:paraId="0DBFCB81"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18 (39.1)</w:t>
            </w:r>
          </w:p>
        </w:tc>
      </w:tr>
      <w:tr w:rsidR="00B16975" w:rsidRPr="006536F9" w14:paraId="7F397E61" w14:textId="77777777" w:rsidTr="00B16975">
        <w:trPr>
          <w:trHeight w:val="292"/>
        </w:trPr>
        <w:tc>
          <w:tcPr>
            <w:tcW w:w="4531" w:type="dxa"/>
            <w:hideMark/>
          </w:tcPr>
          <w:p w14:paraId="10B86267"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 Overlapping DCB + DES</w:t>
            </w:r>
          </w:p>
        </w:tc>
        <w:tc>
          <w:tcPr>
            <w:tcW w:w="3707" w:type="dxa"/>
            <w:hideMark/>
          </w:tcPr>
          <w:p w14:paraId="0CA3B3E8"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7 (15.2)</w:t>
            </w:r>
          </w:p>
        </w:tc>
      </w:tr>
      <w:tr w:rsidR="00B16975" w:rsidRPr="006536F9" w14:paraId="3EBF943F" w14:textId="77777777" w:rsidTr="00B16975">
        <w:trPr>
          <w:trHeight w:val="320"/>
        </w:trPr>
        <w:tc>
          <w:tcPr>
            <w:tcW w:w="4531" w:type="dxa"/>
            <w:hideMark/>
          </w:tcPr>
          <w:p w14:paraId="5BB24ACB"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 Non-overlapping DCB + DES</w:t>
            </w:r>
          </w:p>
        </w:tc>
        <w:tc>
          <w:tcPr>
            <w:tcW w:w="3707" w:type="dxa"/>
            <w:hideMark/>
          </w:tcPr>
          <w:p w14:paraId="61EC3BD0"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11 (23.9)</w:t>
            </w:r>
          </w:p>
        </w:tc>
      </w:tr>
      <w:tr w:rsidR="00B16975" w:rsidRPr="006536F9" w14:paraId="61711FC9" w14:textId="77777777" w:rsidTr="00B16975">
        <w:trPr>
          <w:trHeight w:val="320"/>
        </w:trPr>
        <w:tc>
          <w:tcPr>
            <w:tcW w:w="4531" w:type="dxa"/>
            <w:hideMark/>
          </w:tcPr>
          <w:p w14:paraId="56A70E20"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Mean DCB diameter, mm (± SD)</w:t>
            </w:r>
          </w:p>
        </w:tc>
        <w:tc>
          <w:tcPr>
            <w:tcW w:w="3707" w:type="dxa"/>
            <w:hideMark/>
          </w:tcPr>
          <w:p w14:paraId="61D5C846"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2.4 ± 0.3</w:t>
            </w:r>
          </w:p>
        </w:tc>
      </w:tr>
      <w:tr w:rsidR="00B16975" w:rsidRPr="006536F9" w14:paraId="3E0F17F3" w14:textId="77777777" w:rsidTr="00B16975">
        <w:trPr>
          <w:trHeight w:val="292"/>
        </w:trPr>
        <w:tc>
          <w:tcPr>
            <w:tcW w:w="4531" w:type="dxa"/>
            <w:hideMark/>
          </w:tcPr>
          <w:p w14:paraId="4BDD539C"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Mean DCB length, mm (± SD)</w:t>
            </w:r>
          </w:p>
        </w:tc>
        <w:tc>
          <w:tcPr>
            <w:tcW w:w="3707" w:type="dxa"/>
            <w:hideMark/>
          </w:tcPr>
          <w:p w14:paraId="04DD6F9A"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22.6 ± 6.1</w:t>
            </w:r>
          </w:p>
        </w:tc>
      </w:tr>
      <w:tr w:rsidR="00B16975" w:rsidRPr="006536F9" w14:paraId="434AC905" w14:textId="77777777" w:rsidTr="00B16975">
        <w:trPr>
          <w:trHeight w:val="320"/>
        </w:trPr>
        <w:tc>
          <w:tcPr>
            <w:tcW w:w="4531" w:type="dxa"/>
            <w:hideMark/>
          </w:tcPr>
          <w:p w14:paraId="6416972C"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Multiple DCB inflations per lesion, n (%)</w:t>
            </w:r>
          </w:p>
        </w:tc>
        <w:tc>
          <w:tcPr>
            <w:tcW w:w="3707" w:type="dxa"/>
            <w:hideMark/>
          </w:tcPr>
          <w:p w14:paraId="51B26147"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12 (26.1)</w:t>
            </w:r>
          </w:p>
        </w:tc>
      </w:tr>
      <w:tr w:rsidR="00B16975" w:rsidRPr="006536F9" w14:paraId="6D3397B1" w14:textId="77777777" w:rsidTr="00B16975">
        <w:trPr>
          <w:trHeight w:val="320"/>
        </w:trPr>
        <w:tc>
          <w:tcPr>
            <w:tcW w:w="4531" w:type="dxa"/>
            <w:hideMark/>
          </w:tcPr>
          <w:p w14:paraId="270E91B2"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 xml:space="preserve">Mean inflation pressure, </w:t>
            </w:r>
            <w:proofErr w:type="spellStart"/>
            <w:r w:rsidRPr="006536F9">
              <w:rPr>
                <w:rFonts w:asciiTheme="minorBidi" w:hAnsiTheme="minorBidi" w:cstheme="minorBidi"/>
                <w:sz w:val="20"/>
                <w:szCs w:val="20"/>
              </w:rPr>
              <w:t>atm</w:t>
            </w:r>
            <w:proofErr w:type="spellEnd"/>
            <w:r w:rsidRPr="006536F9">
              <w:rPr>
                <w:rFonts w:asciiTheme="minorBidi" w:hAnsiTheme="minorBidi" w:cstheme="minorBidi"/>
                <w:sz w:val="20"/>
                <w:szCs w:val="20"/>
              </w:rPr>
              <w:t xml:space="preserve"> (± SD)</w:t>
            </w:r>
          </w:p>
        </w:tc>
        <w:tc>
          <w:tcPr>
            <w:tcW w:w="3707" w:type="dxa"/>
            <w:hideMark/>
          </w:tcPr>
          <w:p w14:paraId="74F81B13"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9.8 ± 1.6</w:t>
            </w:r>
          </w:p>
        </w:tc>
      </w:tr>
      <w:tr w:rsidR="00B16975" w:rsidRPr="006536F9" w14:paraId="537FDFAB" w14:textId="77777777" w:rsidTr="00B16975">
        <w:trPr>
          <w:trHeight w:val="292"/>
        </w:trPr>
        <w:tc>
          <w:tcPr>
            <w:tcW w:w="4531" w:type="dxa"/>
            <w:hideMark/>
          </w:tcPr>
          <w:p w14:paraId="6F4F61CD"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Mean inflation duration, seconds (± SD)</w:t>
            </w:r>
          </w:p>
        </w:tc>
        <w:tc>
          <w:tcPr>
            <w:tcW w:w="3707" w:type="dxa"/>
            <w:hideMark/>
          </w:tcPr>
          <w:p w14:paraId="5367E318"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47 ± 11</w:t>
            </w:r>
          </w:p>
        </w:tc>
      </w:tr>
    </w:tbl>
    <w:p w14:paraId="6BB475B1" w14:textId="77777777" w:rsidR="00B16975" w:rsidRPr="006536F9" w:rsidRDefault="00B16975" w:rsidP="008100C5">
      <w:pPr>
        <w:jc w:val="both"/>
        <w:rPr>
          <w:rFonts w:asciiTheme="minorBidi" w:hAnsiTheme="minorBidi" w:cstheme="minorBidi"/>
          <w:sz w:val="20"/>
          <w:szCs w:val="20"/>
        </w:rPr>
      </w:pPr>
    </w:p>
    <w:p w14:paraId="67A828B3" w14:textId="77777777" w:rsidR="009C72F1" w:rsidRPr="006536F9" w:rsidRDefault="009C72F1" w:rsidP="008100C5">
      <w:pPr>
        <w:jc w:val="both"/>
        <w:rPr>
          <w:rFonts w:asciiTheme="minorBidi" w:hAnsiTheme="minorBidi" w:cstheme="minorBidi"/>
          <w:i/>
          <w:iCs/>
          <w:sz w:val="20"/>
          <w:szCs w:val="20"/>
        </w:rPr>
      </w:pPr>
    </w:p>
    <w:p w14:paraId="6C6EF957" w14:textId="77777777" w:rsidR="00945FA3" w:rsidRPr="006536F9" w:rsidRDefault="00945FA3" w:rsidP="00945FA3">
      <w:pPr>
        <w:jc w:val="both"/>
        <w:rPr>
          <w:rFonts w:asciiTheme="minorBidi" w:hAnsiTheme="minorBidi" w:cstheme="minorBidi"/>
          <w:sz w:val="20"/>
          <w:szCs w:val="20"/>
        </w:rPr>
      </w:pPr>
      <w:r w:rsidRPr="006536F9">
        <w:rPr>
          <w:rFonts w:asciiTheme="minorBidi" w:hAnsiTheme="minorBidi" w:cstheme="minorBidi"/>
          <w:b/>
          <w:bCs/>
          <w:sz w:val="20"/>
          <w:szCs w:val="20"/>
        </w:rPr>
        <w:t>Figure 3.</w:t>
      </w:r>
      <w:r w:rsidRPr="006536F9">
        <w:rPr>
          <w:rFonts w:asciiTheme="minorBidi" w:hAnsiTheme="minorBidi" w:cstheme="minorBidi"/>
          <w:sz w:val="20"/>
          <w:szCs w:val="20"/>
        </w:rPr>
        <w:t xml:space="preserve"> Immediate procedural outcomes following DCB-based PCI.</w:t>
      </w:r>
      <w:r w:rsidRPr="006536F9">
        <w:rPr>
          <w:rFonts w:asciiTheme="minorBidi" w:hAnsiTheme="minorBidi" w:cstheme="minorBidi"/>
          <w:sz w:val="20"/>
          <w:szCs w:val="20"/>
        </w:rPr>
        <w:br/>
      </w:r>
      <w:r w:rsidRPr="006536F9">
        <w:rPr>
          <w:rFonts w:asciiTheme="minorBidi" w:hAnsiTheme="minorBidi" w:cstheme="minorBidi"/>
          <w:i/>
          <w:iCs/>
          <w:sz w:val="20"/>
          <w:szCs w:val="20"/>
        </w:rPr>
        <w:t>Bar chart illustrating high procedural success rates with low bailout stenting and minimal angiographic complications in percentage.</w:t>
      </w:r>
    </w:p>
    <w:p w14:paraId="392E589C" w14:textId="77777777" w:rsidR="009C72F1" w:rsidRPr="006536F9" w:rsidRDefault="009C72F1" w:rsidP="008100C5">
      <w:pPr>
        <w:jc w:val="both"/>
        <w:rPr>
          <w:rFonts w:asciiTheme="minorBidi" w:hAnsiTheme="minorBidi" w:cstheme="minorBidi"/>
          <w:i/>
          <w:iCs/>
          <w:sz w:val="20"/>
          <w:szCs w:val="20"/>
        </w:rPr>
      </w:pPr>
    </w:p>
    <w:p w14:paraId="2D8D24A8" w14:textId="4BF71667" w:rsidR="009C72F1" w:rsidRPr="006536F9" w:rsidRDefault="00483293" w:rsidP="009B2CF2">
      <w:pPr>
        <w:jc w:val="both"/>
        <w:rPr>
          <w:rFonts w:asciiTheme="minorBidi" w:hAnsiTheme="minorBidi" w:cstheme="minorBidi"/>
          <w:i/>
          <w:iCs/>
          <w:sz w:val="20"/>
          <w:szCs w:val="20"/>
        </w:rPr>
      </w:pPr>
      <w:r w:rsidRPr="006536F9">
        <w:rPr>
          <w:rFonts w:asciiTheme="minorBidi" w:hAnsiTheme="minorBidi" w:cstheme="minorBidi"/>
          <w:i/>
          <w:iCs/>
          <w:noProof/>
          <w:sz w:val="20"/>
          <w:szCs w:val="20"/>
          <w14:ligatures w14:val="standardContextual"/>
        </w:rPr>
        <w:drawing>
          <wp:inline distT="0" distB="0" distL="0" distR="0" wp14:anchorId="1B24B81C" wp14:editId="0858D31A">
            <wp:extent cx="5486400" cy="3200400"/>
            <wp:effectExtent l="0" t="0" r="12700" b="12700"/>
            <wp:docPr id="21340741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C414F4" w14:textId="77777777" w:rsidR="009C72F1" w:rsidRPr="006536F9" w:rsidRDefault="009C72F1" w:rsidP="008100C5">
      <w:pPr>
        <w:jc w:val="both"/>
        <w:rPr>
          <w:rFonts w:asciiTheme="minorBidi" w:hAnsiTheme="minorBidi" w:cstheme="minorBidi"/>
          <w:i/>
          <w:iCs/>
          <w:sz w:val="20"/>
          <w:szCs w:val="20"/>
        </w:rPr>
      </w:pPr>
    </w:p>
    <w:p w14:paraId="014A9B9B" w14:textId="77777777" w:rsidR="009C72F1" w:rsidRPr="006536F9" w:rsidRDefault="009C72F1" w:rsidP="008100C5">
      <w:pPr>
        <w:jc w:val="both"/>
        <w:rPr>
          <w:rFonts w:asciiTheme="minorBidi" w:hAnsiTheme="minorBidi" w:cstheme="minorBidi"/>
          <w:sz w:val="20"/>
          <w:szCs w:val="20"/>
        </w:rPr>
      </w:pPr>
    </w:p>
    <w:p w14:paraId="26403A17" w14:textId="77777777" w:rsidR="00B16975" w:rsidRPr="006536F9" w:rsidRDefault="00B16975" w:rsidP="008100C5">
      <w:pPr>
        <w:jc w:val="both"/>
        <w:rPr>
          <w:rFonts w:asciiTheme="minorBidi" w:hAnsiTheme="minorBidi" w:cstheme="minorBidi"/>
          <w:b/>
          <w:bCs/>
          <w:sz w:val="20"/>
          <w:szCs w:val="20"/>
        </w:rPr>
      </w:pPr>
    </w:p>
    <w:p w14:paraId="0901415A"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3.4 Procedural Outcomes and Safety</w:t>
      </w:r>
    </w:p>
    <w:p w14:paraId="1034D322" w14:textId="77777777" w:rsidR="00B16975" w:rsidRPr="006536F9" w:rsidRDefault="00B16975" w:rsidP="008100C5">
      <w:pPr>
        <w:jc w:val="both"/>
        <w:rPr>
          <w:rFonts w:asciiTheme="minorBidi" w:hAnsiTheme="minorBidi" w:cstheme="minorBidi"/>
          <w:sz w:val="20"/>
          <w:szCs w:val="20"/>
        </w:rPr>
      </w:pPr>
    </w:p>
    <w:p w14:paraId="55946860"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Procedural success, defined as achievement of TIMI 3 flow without the need for bailout stenting, was achieved in 87.0% of cases. Bailout stenting was required in only 6.5%, primarily due to flow-limiting dissections.</w:t>
      </w:r>
    </w:p>
    <w:p w14:paraId="397502BB" w14:textId="77777777" w:rsidR="00B16975"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lastRenderedPageBreak/>
        <w:t>Coronary dissections occurred infrequently and were mostly non-flow limiting. Importantly, no cases of no-reflow, coronary perforation, or significant arrhythmias were observed, underscoring the procedural safety of DCB use in this cohort.</w:t>
      </w:r>
    </w:p>
    <w:p w14:paraId="75708636" w14:textId="77777777" w:rsidR="00945FA3" w:rsidRDefault="00945FA3" w:rsidP="00945FA3">
      <w:pPr>
        <w:jc w:val="both"/>
        <w:rPr>
          <w:rFonts w:asciiTheme="minorBidi" w:hAnsiTheme="minorBidi" w:cstheme="minorBidi"/>
          <w:b/>
          <w:bCs/>
          <w:sz w:val="20"/>
          <w:szCs w:val="20"/>
        </w:rPr>
      </w:pPr>
    </w:p>
    <w:p w14:paraId="3EAAD059" w14:textId="7AD779A1" w:rsidR="00945FA3" w:rsidRPr="00945FA3" w:rsidRDefault="00945FA3" w:rsidP="00945FA3">
      <w:pPr>
        <w:jc w:val="both"/>
        <w:rPr>
          <w:rFonts w:asciiTheme="minorBidi" w:hAnsiTheme="minorBidi" w:cstheme="minorBidi"/>
          <w:i/>
          <w:iCs/>
          <w:sz w:val="20"/>
          <w:szCs w:val="20"/>
        </w:rPr>
      </w:pPr>
      <w:r w:rsidRPr="006536F9">
        <w:rPr>
          <w:rFonts w:asciiTheme="minorBidi" w:hAnsiTheme="minorBidi" w:cstheme="minorBidi"/>
          <w:b/>
          <w:bCs/>
          <w:sz w:val="20"/>
          <w:szCs w:val="20"/>
        </w:rPr>
        <w:t>Table 4:</w:t>
      </w:r>
      <w:r w:rsidRPr="006536F9">
        <w:rPr>
          <w:rFonts w:asciiTheme="minorBidi" w:hAnsiTheme="minorBidi" w:cstheme="minorBidi"/>
          <w:sz w:val="20"/>
          <w:szCs w:val="20"/>
        </w:rPr>
        <w:t xml:space="preserve"> Immediate procedural outcomes and in-hospital safety events following drug-eluting balloon angioplasty, including procedural success, bailout stenting, angiographic dissections, and major periprocedural complications. </w:t>
      </w:r>
      <w:r w:rsidRPr="006536F9">
        <w:rPr>
          <w:rFonts w:asciiTheme="minorBidi" w:hAnsiTheme="minorBidi" w:cstheme="minorBidi"/>
          <w:i/>
          <w:iCs/>
          <w:sz w:val="20"/>
          <w:szCs w:val="20"/>
        </w:rPr>
        <w:t>Values are expressed as number (percentage).</w:t>
      </w:r>
    </w:p>
    <w:p w14:paraId="58F6859E" w14:textId="77777777" w:rsidR="00014D28" w:rsidRPr="006536F9" w:rsidRDefault="00014D28" w:rsidP="008100C5">
      <w:pPr>
        <w:jc w:val="both"/>
        <w:rPr>
          <w:rFonts w:asciiTheme="minorBidi" w:hAnsiTheme="minorBidi" w:cstheme="minorBidi"/>
          <w:sz w:val="20"/>
          <w:szCs w:val="20"/>
        </w:rPr>
      </w:pPr>
    </w:p>
    <w:tbl>
      <w:tblPr>
        <w:tblStyle w:val="TableGrid"/>
        <w:tblW w:w="8262" w:type="dxa"/>
        <w:tblLook w:val="04A0" w:firstRow="1" w:lastRow="0" w:firstColumn="1" w:lastColumn="0" w:noHBand="0" w:noVBand="1"/>
      </w:tblPr>
      <w:tblGrid>
        <w:gridCol w:w="4390"/>
        <w:gridCol w:w="3872"/>
      </w:tblGrid>
      <w:tr w:rsidR="00B16975" w:rsidRPr="006536F9" w14:paraId="4A22A5EC" w14:textId="77777777" w:rsidTr="00B16975">
        <w:trPr>
          <w:trHeight w:val="300"/>
        </w:trPr>
        <w:tc>
          <w:tcPr>
            <w:tcW w:w="4390" w:type="dxa"/>
            <w:hideMark/>
          </w:tcPr>
          <w:p w14:paraId="0470D565"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Outcome</w:t>
            </w:r>
          </w:p>
        </w:tc>
        <w:tc>
          <w:tcPr>
            <w:tcW w:w="3872" w:type="dxa"/>
            <w:hideMark/>
          </w:tcPr>
          <w:p w14:paraId="77B732BE"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n (%)</w:t>
            </w:r>
          </w:p>
        </w:tc>
      </w:tr>
      <w:tr w:rsidR="00B16975" w:rsidRPr="006536F9" w14:paraId="7E2F6CEB" w14:textId="77777777" w:rsidTr="00B16975">
        <w:trPr>
          <w:trHeight w:val="275"/>
        </w:trPr>
        <w:tc>
          <w:tcPr>
            <w:tcW w:w="4390" w:type="dxa"/>
            <w:hideMark/>
          </w:tcPr>
          <w:p w14:paraId="2E44352A"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Procedural success (TIMI 3 flow without bailout stenting)</w:t>
            </w:r>
          </w:p>
        </w:tc>
        <w:tc>
          <w:tcPr>
            <w:tcW w:w="3872" w:type="dxa"/>
            <w:hideMark/>
          </w:tcPr>
          <w:p w14:paraId="09B84B5A"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40 (87.0)</w:t>
            </w:r>
          </w:p>
        </w:tc>
      </w:tr>
      <w:tr w:rsidR="00B16975" w:rsidRPr="006536F9" w14:paraId="2A476174" w14:textId="77777777" w:rsidTr="00B16975">
        <w:trPr>
          <w:trHeight w:val="300"/>
        </w:trPr>
        <w:tc>
          <w:tcPr>
            <w:tcW w:w="4390" w:type="dxa"/>
            <w:hideMark/>
          </w:tcPr>
          <w:p w14:paraId="7C728088"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Bailout stenting required</w:t>
            </w:r>
          </w:p>
        </w:tc>
        <w:tc>
          <w:tcPr>
            <w:tcW w:w="3872" w:type="dxa"/>
            <w:hideMark/>
          </w:tcPr>
          <w:p w14:paraId="4FB9E9B3"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3 (6.5)</w:t>
            </w:r>
          </w:p>
        </w:tc>
      </w:tr>
      <w:tr w:rsidR="00B16975" w:rsidRPr="006536F9" w14:paraId="71826F1C" w14:textId="77777777" w:rsidTr="00B16975">
        <w:trPr>
          <w:trHeight w:val="300"/>
        </w:trPr>
        <w:tc>
          <w:tcPr>
            <w:tcW w:w="4390" w:type="dxa"/>
            <w:hideMark/>
          </w:tcPr>
          <w:p w14:paraId="0F72686C"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Coronary dissection post-DCB</w:t>
            </w:r>
          </w:p>
        </w:tc>
        <w:tc>
          <w:tcPr>
            <w:tcW w:w="3872" w:type="dxa"/>
            <w:hideMark/>
          </w:tcPr>
          <w:p w14:paraId="331CC370"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4 (8.7)</w:t>
            </w:r>
          </w:p>
        </w:tc>
      </w:tr>
      <w:tr w:rsidR="00B16975" w:rsidRPr="006536F9" w14:paraId="308366ED" w14:textId="77777777" w:rsidTr="00B16975">
        <w:trPr>
          <w:trHeight w:val="275"/>
        </w:trPr>
        <w:tc>
          <w:tcPr>
            <w:tcW w:w="4390" w:type="dxa"/>
            <w:hideMark/>
          </w:tcPr>
          <w:p w14:paraId="33ED73B1"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No-reflow phenomenon</w:t>
            </w:r>
          </w:p>
        </w:tc>
        <w:tc>
          <w:tcPr>
            <w:tcW w:w="3872" w:type="dxa"/>
            <w:hideMark/>
          </w:tcPr>
          <w:p w14:paraId="377C2425"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0</w:t>
            </w:r>
          </w:p>
        </w:tc>
      </w:tr>
      <w:tr w:rsidR="00B16975" w:rsidRPr="006536F9" w14:paraId="2DCE1854" w14:textId="77777777" w:rsidTr="00B16975">
        <w:trPr>
          <w:trHeight w:val="300"/>
        </w:trPr>
        <w:tc>
          <w:tcPr>
            <w:tcW w:w="4390" w:type="dxa"/>
            <w:hideMark/>
          </w:tcPr>
          <w:p w14:paraId="3C105083"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Coronary perforation</w:t>
            </w:r>
          </w:p>
        </w:tc>
        <w:tc>
          <w:tcPr>
            <w:tcW w:w="3872" w:type="dxa"/>
            <w:hideMark/>
          </w:tcPr>
          <w:p w14:paraId="58ED9731"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0</w:t>
            </w:r>
          </w:p>
        </w:tc>
      </w:tr>
      <w:tr w:rsidR="00B16975" w:rsidRPr="006536F9" w14:paraId="52C07A6F" w14:textId="77777777" w:rsidTr="00B16975">
        <w:trPr>
          <w:trHeight w:val="275"/>
        </w:trPr>
        <w:tc>
          <w:tcPr>
            <w:tcW w:w="4390" w:type="dxa"/>
            <w:hideMark/>
          </w:tcPr>
          <w:p w14:paraId="56882D13"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Significant arrhythmias</w:t>
            </w:r>
          </w:p>
        </w:tc>
        <w:tc>
          <w:tcPr>
            <w:tcW w:w="3872" w:type="dxa"/>
            <w:hideMark/>
          </w:tcPr>
          <w:p w14:paraId="41361495"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0</w:t>
            </w:r>
          </w:p>
        </w:tc>
      </w:tr>
    </w:tbl>
    <w:p w14:paraId="3D25DA27" w14:textId="77777777" w:rsidR="00B16975" w:rsidRPr="006536F9" w:rsidRDefault="00B16975" w:rsidP="008100C5">
      <w:pPr>
        <w:jc w:val="both"/>
        <w:rPr>
          <w:rFonts w:asciiTheme="minorBidi" w:hAnsiTheme="minorBidi" w:cstheme="minorBidi"/>
          <w:sz w:val="20"/>
          <w:szCs w:val="20"/>
        </w:rPr>
      </w:pPr>
    </w:p>
    <w:p w14:paraId="51109C5B" w14:textId="77777777" w:rsidR="00B16975" w:rsidRPr="006536F9" w:rsidRDefault="00B16975" w:rsidP="008100C5">
      <w:pPr>
        <w:jc w:val="both"/>
        <w:rPr>
          <w:rFonts w:asciiTheme="minorBidi" w:hAnsiTheme="minorBidi" w:cstheme="minorBidi"/>
          <w:i/>
          <w:iCs/>
          <w:sz w:val="20"/>
          <w:szCs w:val="20"/>
        </w:rPr>
      </w:pPr>
    </w:p>
    <w:p w14:paraId="054B32F1" w14:textId="77777777" w:rsidR="00B16975" w:rsidRPr="006536F9" w:rsidRDefault="00B16975" w:rsidP="008100C5">
      <w:pPr>
        <w:jc w:val="both"/>
        <w:rPr>
          <w:rFonts w:asciiTheme="minorBidi" w:hAnsiTheme="minorBidi" w:cstheme="minorBidi"/>
          <w:sz w:val="20"/>
          <w:szCs w:val="20"/>
        </w:rPr>
      </w:pPr>
    </w:p>
    <w:p w14:paraId="30EDFFE6"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3.5 Short-Term Clinical Outcomes</w:t>
      </w:r>
    </w:p>
    <w:p w14:paraId="357EE4CF" w14:textId="77777777" w:rsidR="00B16975" w:rsidRPr="006536F9" w:rsidRDefault="00B16975" w:rsidP="008100C5">
      <w:pPr>
        <w:jc w:val="both"/>
        <w:rPr>
          <w:rFonts w:asciiTheme="minorBidi" w:hAnsiTheme="minorBidi" w:cstheme="minorBidi"/>
          <w:sz w:val="20"/>
          <w:szCs w:val="20"/>
        </w:rPr>
      </w:pPr>
    </w:p>
    <w:p w14:paraId="601CB343"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 xml:space="preserve">At short-term follow-up, clinical outcomes were excellent. There were no major adverse cardiac events (MACE) recorded, including no deaths, myocardial infarctions, target lesion revascularization (TLR), or target vessel revascularization (TVR). These findings indicate </w:t>
      </w:r>
      <w:proofErr w:type="spellStart"/>
      <w:r w:rsidRPr="006536F9">
        <w:rPr>
          <w:rFonts w:asciiTheme="minorBidi" w:hAnsiTheme="minorBidi" w:cstheme="minorBidi"/>
          <w:sz w:val="20"/>
          <w:szCs w:val="20"/>
        </w:rPr>
        <w:t>favorable</w:t>
      </w:r>
      <w:proofErr w:type="spellEnd"/>
      <w:r w:rsidRPr="006536F9">
        <w:rPr>
          <w:rFonts w:asciiTheme="minorBidi" w:hAnsiTheme="minorBidi" w:cstheme="minorBidi"/>
          <w:sz w:val="20"/>
          <w:szCs w:val="20"/>
        </w:rPr>
        <w:t xml:space="preserve"> early clinical performance of DCB-based PCI in real-world practice </w:t>
      </w:r>
    </w:p>
    <w:p w14:paraId="4815F7EB" w14:textId="77777777" w:rsidR="009C72F1" w:rsidRPr="006536F9" w:rsidRDefault="009C72F1" w:rsidP="008100C5">
      <w:pPr>
        <w:jc w:val="both"/>
        <w:rPr>
          <w:rFonts w:asciiTheme="minorBidi" w:hAnsiTheme="minorBidi" w:cstheme="minorBidi"/>
          <w:sz w:val="20"/>
          <w:szCs w:val="20"/>
        </w:rPr>
      </w:pPr>
    </w:p>
    <w:p w14:paraId="52F77885" w14:textId="77777777" w:rsidR="00945FA3" w:rsidRPr="006536F9" w:rsidRDefault="00945FA3" w:rsidP="00945FA3">
      <w:pPr>
        <w:jc w:val="both"/>
        <w:rPr>
          <w:rFonts w:asciiTheme="minorBidi" w:hAnsiTheme="minorBidi" w:cstheme="minorBidi"/>
          <w:i/>
          <w:iCs/>
          <w:sz w:val="20"/>
          <w:szCs w:val="20"/>
        </w:rPr>
      </w:pPr>
      <w:r w:rsidRPr="006536F9">
        <w:rPr>
          <w:rFonts w:asciiTheme="minorBidi" w:hAnsiTheme="minorBidi" w:cstheme="minorBidi"/>
          <w:b/>
          <w:bCs/>
          <w:sz w:val="20"/>
          <w:szCs w:val="20"/>
        </w:rPr>
        <w:t>Table 5:</w:t>
      </w:r>
      <w:r w:rsidRPr="006536F9">
        <w:rPr>
          <w:rFonts w:asciiTheme="minorBidi" w:hAnsiTheme="minorBidi" w:cstheme="minorBidi"/>
          <w:sz w:val="20"/>
          <w:szCs w:val="20"/>
        </w:rPr>
        <w:t xml:space="preserve"> Short-term clinical outcomes following drug-eluting balloon–based PCI, including major adverse cardiac events (MACE) and its individual components during follow-up. </w:t>
      </w:r>
      <w:r w:rsidRPr="006536F9">
        <w:rPr>
          <w:rFonts w:asciiTheme="minorBidi" w:hAnsiTheme="minorBidi" w:cstheme="minorBidi"/>
          <w:i/>
          <w:iCs/>
          <w:sz w:val="20"/>
          <w:szCs w:val="20"/>
        </w:rPr>
        <w:t>Values are presented as number (percentage).</w:t>
      </w:r>
    </w:p>
    <w:p w14:paraId="0DD4BF67" w14:textId="77777777" w:rsidR="009C72F1" w:rsidRPr="006536F9" w:rsidRDefault="009C72F1" w:rsidP="008100C5">
      <w:pPr>
        <w:jc w:val="both"/>
        <w:rPr>
          <w:rFonts w:asciiTheme="minorBidi" w:hAnsiTheme="minorBidi" w:cstheme="minorBidi"/>
          <w:sz w:val="20"/>
          <w:szCs w:val="20"/>
        </w:rPr>
      </w:pPr>
    </w:p>
    <w:tbl>
      <w:tblPr>
        <w:tblStyle w:val="TableGrid"/>
        <w:tblW w:w="7983" w:type="dxa"/>
        <w:tblLook w:val="04A0" w:firstRow="1" w:lastRow="0" w:firstColumn="1" w:lastColumn="0" w:noHBand="0" w:noVBand="1"/>
      </w:tblPr>
      <w:tblGrid>
        <w:gridCol w:w="4957"/>
        <w:gridCol w:w="3026"/>
      </w:tblGrid>
      <w:tr w:rsidR="00B16975" w:rsidRPr="006536F9" w14:paraId="7F67D5FA" w14:textId="77777777" w:rsidTr="009C72F1">
        <w:trPr>
          <w:trHeight w:val="298"/>
        </w:trPr>
        <w:tc>
          <w:tcPr>
            <w:tcW w:w="4957" w:type="dxa"/>
            <w:hideMark/>
          </w:tcPr>
          <w:p w14:paraId="35BF7B68"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Outcome</w:t>
            </w:r>
          </w:p>
        </w:tc>
        <w:tc>
          <w:tcPr>
            <w:tcW w:w="3026" w:type="dxa"/>
            <w:hideMark/>
          </w:tcPr>
          <w:p w14:paraId="0DEE05F9"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n (%)</w:t>
            </w:r>
          </w:p>
        </w:tc>
      </w:tr>
      <w:tr w:rsidR="00B16975" w:rsidRPr="006536F9" w14:paraId="54B87F1B" w14:textId="77777777" w:rsidTr="009C72F1">
        <w:trPr>
          <w:trHeight w:val="273"/>
        </w:trPr>
        <w:tc>
          <w:tcPr>
            <w:tcW w:w="4957" w:type="dxa"/>
            <w:hideMark/>
          </w:tcPr>
          <w:p w14:paraId="4D88E4AF"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MACE (composite)</w:t>
            </w:r>
          </w:p>
        </w:tc>
        <w:tc>
          <w:tcPr>
            <w:tcW w:w="3026" w:type="dxa"/>
            <w:hideMark/>
          </w:tcPr>
          <w:p w14:paraId="17B9FA00"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0</w:t>
            </w:r>
          </w:p>
        </w:tc>
      </w:tr>
      <w:tr w:rsidR="00B16975" w:rsidRPr="006536F9" w14:paraId="494685BF" w14:textId="77777777" w:rsidTr="009C72F1">
        <w:trPr>
          <w:trHeight w:val="298"/>
        </w:trPr>
        <w:tc>
          <w:tcPr>
            <w:tcW w:w="4957" w:type="dxa"/>
            <w:hideMark/>
          </w:tcPr>
          <w:p w14:paraId="44F115FC"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All-cause mortality</w:t>
            </w:r>
          </w:p>
        </w:tc>
        <w:tc>
          <w:tcPr>
            <w:tcW w:w="3026" w:type="dxa"/>
            <w:hideMark/>
          </w:tcPr>
          <w:p w14:paraId="6FE542F4"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0</w:t>
            </w:r>
          </w:p>
        </w:tc>
      </w:tr>
      <w:tr w:rsidR="00B16975" w:rsidRPr="006536F9" w14:paraId="7F0FCDEB" w14:textId="77777777" w:rsidTr="009C72F1">
        <w:trPr>
          <w:trHeight w:val="298"/>
        </w:trPr>
        <w:tc>
          <w:tcPr>
            <w:tcW w:w="4957" w:type="dxa"/>
            <w:hideMark/>
          </w:tcPr>
          <w:p w14:paraId="3185DB03"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Myocardial infarction</w:t>
            </w:r>
          </w:p>
        </w:tc>
        <w:tc>
          <w:tcPr>
            <w:tcW w:w="3026" w:type="dxa"/>
            <w:hideMark/>
          </w:tcPr>
          <w:p w14:paraId="772FC7C5"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0</w:t>
            </w:r>
          </w:p>
        </w:tc>
      </w:tr>
      <w:tr w:rsidR="00B16975" w:rsidRPr="006536F9" w14:paraId="6BEA9980" w14:textId="77777777" w:rsidTr="009C72F1">
        <w:trPr>
          <w:trHeight w:val="273"/>
        </w:trPr>
        <w:tc>
          <w:tcPr>
            <w:tcW w:w="4957" w:type="dxa"/>
            <w:hideMark/>
          </w:tcPr>
          <w:p w14:paraId="1C5BAC3B"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Target lesion revascularization (TLR)</w:t>
            </w:r>
          </w:p>
        </w:tc>
        <w:tc>
          <w:tcPr>
            <w:tcW w:w="3026" w:type="dxa"/>
            <w:hideMark/>
          </w:tcPr>
          <w:p w14:paraId="03EB10A7"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0</w:t>
            </w:r>
          </w:p>
        </w:tc>
      </w:tr>
      <w:tr w:rsidR="00B16975" w:rsidRPr="006536F9" w14:paraId="6A4CEFC2" w14:textId="77777777" w:rsidTr="009C72F1">
        <w:trPr>
          <w:trHeight w:val="298"/>
        </w:trPr>
        <w:tc>
          <w:tcPr>
            <w:tcW w:w="4957" w:type="dxa"/>
            <w:hideMark/>
          </w:tcPr>
          <w:p w14:paraId="220FC49B"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Target vessel revascularization (TVR)</w:t>
            </w:r>
          </w:p>
        </w:tc>
        <w:tc>
          <w:tcPr>
            <w:tcW w:w="3026" w:type="dxa"/>
            <w:hideMark/>
          </w:tcPr>
          <w:p w14:paraId="51F62096"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0</w:t>
            </w:r>
          </w:p>
        </w:tc>
      </w:tr>
    </w:tbl>
    <w:p w14:paraId="2496DA71" w14:textId="77777777" w:rsidR="00B16975" w:rsidRPr="006536F9" w:rsidRDefault="00B16975" w:rsidP="008100C5">
      <w:pPr>
        <w:jc w:val="both"/>
        <w:rPr>
          <w:rFonts w:asciiTheme="minorBidi" w:hAnsiTheme="minorBidi" w:cstheme="minorBidi"/>
          <w:sz w:val="20"/>
          <w:szCs w:val="20"/>
        </w:rPr>
      </w:pPr>
    </w:p>
    <w:p w14:paraId="1D704CE5" w14:textId="77777777" w:rsidR="00B16975" w:rsidRPr="006536F9" w:rsidRDefault="00B16975" w:rsidP="008100C5">
      <w:pPr>
        <w:jc w:val="both"/>
        <w:rPr>
          <w:rFonts w:asciiTheme="minorBidi" w:hAnsiTheme="minorBidi" w:cstheme="minorBidi"/>
          <w:sz w:val="20"/>
          <w:szCs w:val="20"/>
        </w:rPr>
      </w:pPr>
    </w:p>
    <w:p w14:paraId="7842A995" w14:textId="77777777" w:rsidR="00B16975" w:rsidRPr="006536F9" w:rsidRDefault="009C72F1"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 xml:space="preserve">3.6 </w:t>
      </w:r>
      <w:r w:rsidR="00B16975" w:rsidRPr="006536F9">
        <w:rPr>
          <w:rFonts w:asciiTheme="minorBidi" w:hAnsiTheme="minorBidi" w:cstheme="minorBidi"/>
          <w:b/>
          <w:bCs/>
          <w:sz w:val="20"/>
          <w:szCs w:val="20"/>
        </w:rPr>
        <w:t>Subgroup Analysis</w:t>
      </w:r>
    </w:p>
    <w:p w14:paraId="3070A268" w14:textId="77777777" w:rsidR="00B16975" w:rsidRPr="006536F9" w:rsidRDefault="00B16975" w:rsidP="008100C5">
      <w:pPr>
        <w:jc w:val="both"/>
        <w:rPr>
          <w:rFonts w:asciiTheme="minorBidi" w:hAnsiTheme="minorBidi" w:cstheme="minorBidi"/>
          <w:sz w:val="20"/>
          <w:szCs w:val="20"/>
        </w:rPr>
      </w:pPr>
    </w:p>
    <w:p w14:paraId="6C132B32"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On subgroup analysis, ISR lesions were more frequently associated with small vessel disease and diffuse lesion morphology compared with de novo lesions. Procedural success was numerically higher in the de novo group (90.3%) compared with the ISR group (80.0%), although overall success remained high in both subsets.</w:t>
      </w:r>
    </w:p>
    <w:p w14:paraId="366D1EF1" w14:textId="664960BC" w:rsidR="00B16975"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Bailout stenting was slightly more frequent in ISR lesions, reflecting increased lesion complexity. Notably, no MACE was observed in either subgroup during follow-up</w:t>
      </w:r>
      <w:r w:rsidR="006E2CCA" w:rsidRPr="006536F9">
        <w:rPr>
          <w:rFonts w:asciiTheme="minorBidi" w:hAnsiTheme="minorBidi" w:cstheme="minorBidi"/>
          <w:sz w:val="20"/>
          <w:szCs w:val="20"/>
        </w:rPr>
        <w:t xml:space="preserve"> at 1</w:t>
      </w:r>
      <w:r w:rsidR="00415B4D">
        <w:rPr>
          <w:rFonts w:asciiTheme="minorBidi" w:hAnsiTheme="minorBidi" w:cstheme="minorBidi"/>
          <w:sz w:val="20"/>
          <w:szCs w:val="20"/>
        </w:rPr>
        <w:t xml:space="preserve"> </w:t>
      </w:r>
      <w:r w:rsidR="006E2CCA" w:rsidRPr="006536F9">
        <w:rPr>
          <w:rFonts w:asciiTheme="minorBidi" w:hAnsiTheme="minorBidi" w:cstheme="minorBidi"/>
          <w:sz w:val="20"/>
          <w:szCs w:val="20"/>
        </w:rPr>
        <w:t>month.</w:t>
      </w:r>
    </w:p>
    <w:p w14:paraId="468AA7F7" w14:textId="77777777" w:rsidR="00945FA3" w:rsidRDefault="00945FA3" w:rsidP="00945FA3">
      <w:pPr>
        <w:pStyle w:val="NormalWeb"/>
        <w:jc w:val="both"/>
        <w:rPr>
          <w:rFonts w:asciiTheme="minorBidi" w:hAnsiTheme="minorBidi" w:cstheme="minorBidi"/>
          <w:b/>
          <w:bCs/>
          <w:sz w:val="20"/>
          <w:szCs w:val="20"/>
        </w:rPr>
      </w:pPr>
    </w:p>
    <w:p w14:paraId="1348CE1C" w14:textId="7DE41F25" w:rsidR="009C72F1" w:rsidRPr="00DB207D" w:rsidRDefault="00945FA3" w:rsidP="00DB207D">
      <w:pPr>
        <w:pStyle w:val="NormalWeb"/>
        <w:jc w:val="both"/>
        <w:rPr>
          <w:rFonts w:asciiTheme="minorBidi" w:hAnsiTheme="minorBidi" w:cstheme="minorBidi"/>
          <w:i/>
          <w:iCs/>
          <w:sz w:val="20"/>
          <w:szCs w:val="20"/>
        </w:rPr>
      </w:pPr>
      <w:r w:rsidRPr="006536F9">
        <w:rPr>
          <w:rFonts w:asciiTheme="minorBidi" w:hAnsiTheme="minorBidi" w:cstheme="minorBidi"/>
          <w:b/>
          <w:bCs/>
          <w:sz w:val="20"/>
          <w:szCs w:val="20"/>
        </w:rPr>
        <w:t>Table 6:</w:t>
      </w:r>
      <w:r w:rsidRPr="006536F9">
        <w:rPr>
          <w:rFonts w:asciiTheme="minorBidi" w:hAnsiTheme="minorBidi" w:cstheme="minorBidi"/>
          <w:sz w:val="20"/>
          <w:szCs w:val="20"/>
        </w:rPr>
        <w:t xml:space="preserve"> Comparative analysis of lesion characteristics, procedural success, and clinical outcomes between de novo coronary lesions and in-stent restenosis treated with drug-eluting balloons. </w:t>
      </w:r>
      <w:r w:rsidRPr="006536F9">
        <w:rPr>
          <w:rFonts w:asciiTheme="minorBidi" w:hAnsiTheme="minorBidi" w:cstheme="minorBidi"/>
          <w:i/>
          <w:iCs/>
          <w:sz w:val="20"/>
          <w:szCs w:val="20"/>
        </w:rPr>
        <w:t>Data are presented as number (percentage).</w:t>
      </w:r>
    </w:p>
    <w:tbl>
      <w:tblPr>
        <w:tblStyle w:val="TableGrid"/>
        <w:tblW w:w="7834" w:type="dxa"/>
        <w:tblLook w:val="04A0" w:firstRow="1" w:lastRow="0" w:firstColumn="1" w:lastColumn="0" w:noHBand="0" w:noVBand="1"/>
      </w:tblPr>
      <w:tblGrid>
        <w:gridCol w:w="3627"/>
        <w:gridCol w:w="2428"/>
        <w:gridCol w:w="1779"/>
      </w:tblGrid>
      <w:tr w:rsidR="00B16975" w:rsidRPr="006536F9" w14:paraId="263B89F0" w14:textId="77777777" w:rsidTr="009C72F1">
        <w:trPr>
          <w:trHeight w:val="298"/>
        </w:trPr>
        <w:tc>
          <w:tcPr>
            <w:tcW w:w="0" w:type="auto"/>
            <w:hideMark/>
          </w:tcPr>
          <w:p w14:paraId="6B17B161"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Variable</w:t>
            </w:r>
          </w:p>
        </w:tc>
        <w:tc>
          <w:tcPr>
            <w:tcW w:w="0" w:type="auto"/>
            <w:hideMark/>
          </w:tcPr>
          <w:p w14:paraId="06FCD2B3"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De Novo (n = 31)</w:t>
            </w:r>
          </w:p>
        </w:tc>
        <w:tc>
          <w:tcPr>
            <w:tcW w:w="0" w:type="auto"/>
            <w:hideMark/>
          </w:tcPr>
          <w:p w14:paraId="2C2BC544" w14:textId="77777777" w:rsidR="00B16975" w:rsidRPr="006536F9" w:rsidRDefault="00B16975" w:rsidP="008100C5">
            <w:pPr>
              <w:jc w:val="both"/>
              <w:rPr>
                <w:rFonts w:asciiTheme="minorBidi" w:hAnsiTheme="minorBidi" w:cstheme="minorBidi"/>
                <w:b/>
                <w:bCs/>
                <w:sz w:val="20"/>
                <w:szCs w:val="20"/>
              </w:rPr>
            </w:pPr>
            <w:r w:rsidRPr="006536F9">
              <w:rPr>
                <w:rFonts w:asciiTheme="minorBidi" w:hAnsiTheme="minorBidi" w:cstheme="minorBidi"/>
                <w:b/>
                <w:bCs/>
                <w:sz w:val="20"/>
                <w:szCs w:val="20"/>
              </w:rPr>
              <w:t>ISR (n = 15)</w:t>
            </w:r>
          </w:p>
        </w:tc>
      </w:tr>
      <w:tr w:rsidR="00B16975" w:rsidRPr="006536F9" w14:paraId="7BCD8476" w14:textId="77777777" w:rsidTr="009C72F1">
        <w:trPr>
          <w:trHeight w:val="273"/>
        </w:trPr>
        <w:tc>
          <w:tcPr>
            <w:tcW w:w="0" w:type="auto"/>
            <w:hideMark/>
          </w:tcPr>
          <w:p w14:paraId="5527738F"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Small vessel disease, n (%)</w:t>
            </w:r>
          </w:p>
        </w:tc>
        <w:tc>
          <w:tcPr>
            <w:tcW w:w="0" w:type="auto"/>
            <w:hideMark/>
          </w:tcPr>
          <w:p w14:paraId="658917B4"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17 (54.8)</w:t>
            </w:r>
          </w:p>
        </w:tc>
        <w:tc>
          <w:tcPr>
            <w:tcW w:w="0" w:type="auto"/>
            <w:hideMark/>
          </w:tcPr>
          <w:p w14:paraId="575F3DAA"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11 (73.3)</w:t>
            </w:r>
          </w:p>
        </w:tc>
      </w:tr>
      <w:tr w:rsidR="00B16975" w:rsidRPr="006536F9" w14:paraId="3E175665" w14:textId="77777777" w:rsidTr="009C72F1">
        <w:trPr>
          <w:trHeight w:val="298"/>
        </w:trPr>
        <w:tc>
          <w:tcPr>
            <w:tcW w:w="0" w:type="auto"/>
            <w:hideMark/>
          </w:tcPr>
          <w:p w14:paraId="165F9DAD"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lastRenderedPageBreak/>
              <w:t>Diffuse lesions, n (%)</w:t>
            </w:r>
          </w:p>
        </w:tc>
        <w:tc>
          <w:tcPr>
            <w:tcW w:w="0" w:type="auto"/>
            <w:hideMark/>
          </w:tcPr>
          <w:p w14:paraId="6D30C498"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13 (41.9)</w:t>
            </w:r>
          </w:p>
        </w:tc>
        <w:tc>
          <w:tcPr>
            <w:tcW w:w="0" w:type="auto"/>
            <w:hideMark/>
          </w:tcPr>
          <w:p w14:paraId="02F2F7C1"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9 (60.0)</w:t>
            </w:r>
          </w:p>
        </w:tc>
      </w:tr>
      <w:tr w:rsidR="00B16975" w:rsidRPr="006536F9" w14:paraId="4879E4BF" w14:textId="77777777" w:rsidTr="009C72F1">
        <w:trPr>
          <w:trHeight w:val="298"/>
        </w:trPr>
        <w:tc>
          <w:tcPr>
            <w:tcW w:w="0" w:type="auto"/>
            <w:hideMark/>
          </w:tcPr>
          <w:p w14:paraId="205A2BC6"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Bailout stenting, n (%)</w:t>
            </w:r>
          </w:p>
        </w:tc>
        <w:tc>
          <w:tcPr>
            <w:tcW w:w="0" w:type="auto"/>
            <w:hideMark/>
          </w:tcPr>
          <w:p w14:paraId="3E4E158F"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 (3.2)</w:t>
            </w:r>
          </w:p>
        </w:tc>
        <w:tc>
          <w:tcPr>
            <w:tcW w:w="0" w:type="auto"/>
            <w:hideMark/>
          </w:tcPr>
          <w:p w14:paraId="549DE57E"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2 (13.3)</w:t>
            </w:r>
          </w:p>
        </w:tc>
      </w:tr>
      <w:tr w:rsidR="00B16975" w:rsidRPr="006536F9" w14:paraId="3C395021" w14:textId="77777777" w:rsidTr="009C72F1">
        <w:trPr>
          <w:trHeight w:val="273"/>
        </w:trPr>
        <w:tc>
          <w:tcPr>
            <w:tcW w:w="0" w:type="auto"/>
            <w:hideMark/>
          </w:tcPr>
          <w:p w14:paraId="0749424A"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Procedural success, n (%)</w:t>
            </w:r>
          </w:p>
        </w:tc>
        <w:tc>
          <w:tcPr>
            <w:tcW w:w="0" w:type="auto"/>
            <w:hideMark/>
          </w:tcPr>
          <w:p w14:paraId="2080CEA0"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28 (90.3)</w:t>
            </w:r>
          </w:p>
        </w:tc>
        <w:tc>
          <w:tcPr>
            <w:tcW w:w="0" w:type="auto"/>
            <w:hideMark/>
          </w:tcPr>
          <w:p w14:paraId="08839D61"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12 (80.0)</w:t>
            </w:r>
          </w:p>
        </w:tc>
      </w:tr>
      <w:tr w:rsidR="00B16975" w:rsidRPr="006536F9" w14:paraId="29D7CA64" w14:textId="77777777" w:rsidTr="009C72F1">
        <w:trPr>
          <w:trHeight w:val="298"/>
        </w:trPr>
        <w:tc>
          <w:tcPr>
            <w:tcW w:w="0" w:type="auto"/>
            <w:hideMark/>
          </w:tcPr>
          <w:p w14:paraId="7DC3DD2C"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 xml:space="preserve">MACE at </w:t>
            </w:r>
            <w:r w:rsidR="006E2CCA" w:rsidRPr="006536F9">
              <w:rPr>
                <w:rFonts w:asciiTheme="minorBidi" w:hAnsiTheme="minorBidi" w:cstheme="minorBidi"/>
                <w:sz w:val="20"/>
                <w:szCs w:val="20"/>
              </w:rPr>
              <w:t xml:space="preserve">1 month </w:t>
            </w:r>
            <w:r w:rsidRPr="006536F9">
              <w:rPr>
                <w:rFonts w:asciiTheme="minorBidi" w:hAnsiTheme="minorBidi" w:cstheme="minorBidi"/>
                <w:sz w:val="20"/>
                <w:szCs w:val="20"/>
              </w:rPr>
              <w:t>follow-up</w:t>
            </w:r>
          </w:p>
        </w:tc>
        <w:tc>
          <w:tcPr>
            <w:tcW w:w="0" w:type="auto"/>
            <w:hideMark/>
          </w:tcPr>
          <w:p w14:paraId="5E08E35C"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0</w:t>
            </w:r>
          </w:p>
        </w:tc>
        <w:tc>
          <w:tcPr>
            <w:tcW w:w="0" w:type="auto"/>
            <w:hideMark/>
          </w:tcPr>
          <w:p w14:paraId="16071C5D" w14:textId="77777777" w:rsidR="00B16975" w:rsidRPr="006536F9" w:rsidRDefault="00B16975" w:rsidP="008100C5">
            <w:pPr>
              <w:jc w:val="both"/>
              <w:rPr>
                <w:rFonts w:asciiTheme="minorBidi" w:hAnsiTheme="minorBidi" w:cstheme="minorBidi"/>
                <w:sz w:val="20"/>
                <w:szCs w:val="20"/>
              </w:rPr>
            </w:pPr>
            <w:r w:rsidRPr="006536F9">
              <w:rPr>
                <w:rFonts w:asciiTheme="minorBidi" w:hAnsiTheme="minorBidi" w:cstheme="minorBidi"/>
                <w:sz w:val="20"/>
                <w:szCs w:val="20"/>
              </w:rPr>
              <w:t>0</w:t>
            </w:r>
          </w:p>
        </w:tc>
      </w:tr>
    </w:tbl>
    <w:p w14:paraId="7666DC95" w14:textId="77777777" w:rsidR="00014D28" w:rsidRPr="006536F9" w:rsidRDefault="00014D28" w:rsidP="008100C5">
      <w:pPr>
        <w:pStyle w:val="NormalWeb"/>
        <w:jc w:val="both"/>
        <w:rPr>
          <w:rFonts w:asciiTheme="minorBidi" w:hAnsiTheme="minorBidi" w:cstheme="minorBidi"/>
          <w:i/>
          <w:iCs/>
          <w:sz w:val="20"/>
          <w:szCs w:val="20"/>
        </w:rPr>
      </w:pPr>
    </w:p>
    <w:p w14:paraId="632942BA" w14:textId="148B8AD8" w:rsidR="00014D28" w:rsidRPr="006536F9" w:rsidRDefault="00945FA3" w:rsidP="00945FA3">
      <w:pPr>
        <w:tabs>
          <w:tab w:val="left" w:pos="1175"/>
        </w:tabs>
        <w:jc w:val="both"/>
        <w:rPr>
          <w:rFonts w:asciiTheme="minorBidi" w:hAnsiTheme="minorBidi" w:cstheme="minorBidi"/>
          <w:i/>
          <w:iCs/>
          <w:sz w:val="20"/>
          <w:szCs w:val="20"/>
        </w:rPr>
      </w:pPr>
      <w:r w:rsidRPr="006536F9">
        <w:rPr>
          <w:rFonts w:asciiTheme="minorBidi" w:hAnsiTheme="minorBidi" w:cstheme="minorBidi"/>
          <w:b/>
          <w:bCs/>
          <w:sz w:val="20"/>
          <w:szCs w:val="20"/>
        </w:rPr>
        <w:t xml:space="preserve">Figure 4. </w:t>
      </w:r>
      <w:r w:rsidRPr="006536F9">
        <w:rPr>
          <w:rFonts w:asciiTheme="minorBidi" w:hAnsiTheme="minorBidi" w:cstheme="minorBidi"/>
          <w:sz w:val="20"/>
          <w:szCs w:val="20"/>
        </w:rPr>
        <w:t>Procedural success by lesion subgroup.</w:t>
      </w:r>
      <w:r w:rsidRPr="006536F9">
        <w:rPr>
          <w:rFonts w:asciiTheme="minorBidi" w:hAnsiTheme="minorBidi" w:cstheme="minorBidi"/>
          <w:sz w:val="20"/>
          <w:szCs w:val="20"/>
        </w:rPr>
        <w:br/>
      </w:r>
      <w:r w:rsidRPr="006536F9">
        <w:rPr>
          <w:rFonts w:asciiTheme="minorBidi" w:hAnsiTheme="minorBidi" w:cstheme="minorBidi"/>
          <w:i/>
          <w:iCs/>
          <w:sz w:val="20"/>
          <w:szCs w:val="20"/>
        </w:rPr>
        <w:t>Comparison of procedural success between de novo lesions and ISR, showing consistently high success across both subsets in percentage.</w:t>
      </w:r>
    </w:p>
    <w:p w14:paraId="40F1CA7D" w14:textId="77777777" w:rsidR="00014D28" w:rsidRPr="006536F9" w:rsidRDefault="00483293" w:rsidP="008100C5">
      <w:pPr>
        <w:pStyle w:val="NormalWeb"/>
        <w:jc w:val="both"/>
        <w:rPr>
          <w:rFonts w:asciiTheme="minorBidi" w:hAnsiTheme="minorBidi" w:cstheme="minorBidi"/>
          <w:i/>
          <w:iCs/>
          <w:sz w:val="20"/>
          <w:szCs w:val="20"/>
        </w:rPr>
      </w:pPr>
      <w:r w:rsidRPr="006536F9">
        <w:rPr>
          <w:rFonts w:asciiTheme="minorBidi" w:hAnsiTheme="minorBidi" w:cstheme="minorBidi"/>
          <w:i/>
          <w:iCs/>
          <w:noProof/>
          <w:sz w:val="20"/>
          <w:szCs w:val="20"/>
          <w14:ligatures w14:val="standardContextual"/>
        </w:rPr>
        <w:drawing>
          <wp:inline distT="0" distB="0" distL="0" distR="0" wp14:anchorId="570CEA2B" wp14:editId="2885059A">
            <wp:extent cx="5486400" cy="3200400"/>
            <wp:effectExtent l="0" t="0" r="12700" b="12700"/>
            <wp:docPr id="3623013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1D55A3" w14:textId="77777777" w:rsidR="008100C5" w:rsidRPr="006536F9" w:rsidRDefault="008100C5" w:rsidP="008100C5">
      <w:pPr>
        <w:tabs>
          <w:tab w:val="left" w:pos="1175"/>
        </w:tabs>
        <w:jc w:val="both"/>
        <w:rPr>
          <w:rFonts w:asciiTheme="minorBidi" w:hAnsiTheme="minorBidi" w:cstheme="minorBidi"/>
          <w:i/>
          <w:iCs/>
          <w:sz w:val="20"/>
          <w:szCs w:val="20"/>
        </w:rPr>
      </w:pPr>
    </w:p>
    <w:p w14:paraId="3246A866" w14:textId="77777777" w:rsidR="00014D28" w:rsidRPr="006536F9" w:rsidRDefault="00014D28" w:rsidP="008100C5">
      <w:pPr>
        <w:jc w:val="both"/>
        <w:rPr>
          <w:rFonts w:asciiTheme="minorBidi" w:hAnsiTheme="minorBidi" w:cstheme="minorBidi"/>
          <w:b/>
          <w:bCs/>
          <w:sz w:val="20"/>
          <w:szCs w:val="20"/>
        </w:rPr>
      </w:pPr>
    </w:p>
    <w:p w14:paraId="5BB70D12" w14:textId="77777777" w:rsidR="00014D28" w:rsidRPr="006536F9" w:rsidRDefault="00014D28"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This retrospective, real-world analysis provides contemporary evidence on drug-eluting balloon (DCB) use in routine percutaneous coronary intervention (PCI) practice in South India. The key findings of this study are: (1) DCBs are frequently utilized beyond classical in-stent restenosis (ISR), particularly in de novo and small-vessel disease; (2) high procedural success with a low bailout stent rate can be achieved with careful lesion preparation; and (3) short-term clinical outcomes are excellent, with no observed major adverse cardiac events (MACE).</w:t>
      </w:r>
    </w:p>
    <w:p w14:paraId="187D5856" w14:textId="5A49E76A" w:rsidR="00014D28" w:rsidRPr="006536F9" w:rsidRDefault="00014D28"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DCBs are an established therapy for coronary ISR, supported by randomized trials such as PACCOCATH and PEPCAD-DES, which demonstrated superior angiographic and clinical outcomes compared with plain balloon angioplasty and durable long-term efficacy.</w:t>
      </w:r>
      <w:r w:rsidR="009035E1" w:rsidRPr="006536F9">
        <w:rPr>
          <w:rFonts w:asciiTheme="minorBidi" w:hAnsiTheme="minorBidi" w:cstheme="minorBidi"/>
          <w:sz w:val="20"/>
          <w:szCs w:val="20"/>
          <w:vertAlign w:val="superscript"/>
        </w:rPr>
        <w:t>5</w:t>
      </w:r>
      <w:r w:rsidR="00DE7D7E" w:rsidRPr="006536F9">
        <w:rPr>
          <w:rFonts w:asciiTheme="minorBidi" w:hAnsiTheme="minorBidi" w:cstheme="minorBidi"/>
          <w:sz w:val="20"/>
          <w:szCs w:val="20"/>
          <w:vertAlign w:val="superscript"/>
        </w:rPr>
        <w:t>,</w:t>
      </w:r>
      <w:r w:rsidR="009035E1" w:rsidRPr="006536F9">
        <w:rPr>
          <w:rFonts w:asciiTheme="minorBidi" w:hAnsiTheme="minorBidi" w:cstheme="minorBidi"/>
          <w:sz w:val="20"/>
          <w:szCs w:val="20"/>
          <w:vertAlign w:val="superscript"/>
        </w:rPr>
        <w:t>6,15</w:t>
      </w:r>
      <w:r w:rsidRPr="006536F9">
        <w:rPr>
          <w:rFonts w:asciiTheme="minorBidi" w:hAnsiTheme="minorBidi" w:cstheme="minorBidi"/>
          <w:sz w:val="20"/>
          <w:szCs w:val="20"/>
          <w:vertAlign w:val="superscript"/>
        </w:rPr>
        <w:t xml:space="preserve"> </w:t>
      </w:r>
      <w:r w:rsidRPr="006536F9">
        <w:rPr>
          <w:rFonts w:asciiTheme="minorBidi" w:hAnsiTheme="minorBidi" w:cstheme="minorBidi"/>
          <w:sz w:val="20"/>
          <w:szCs w:val="20"/>
        </w:rPr>
        <w:t xml:space="preserve">In the present study, ISR constituted nearly one-third of treated lesions, with slightly lower procedural success and higher bailout stent rates compared with de novo lesions. This observation is consistent with the greater mechanical complexity and fibrotic nature of </w:t>
      </w:r>
      <w:proofErr w:type="spellStart"/>
      <w:r w:rsidRPr="006536F9">
        <w:rPr>
          <w:rFonts w:asciiTheme="minorBidi" w:hAnsiTheme="minorBidi" w:cstheme="minorBidi"/>
          <w:sz w:val="20"/>
          <w:szCs w:val="20"/>
        </w:rPr>
        <w:t>restenotic</w:t>
      </w:r>
      <w:proofErr w:type="spellEnd"/>
      <w:r w:rsidRPr="006536F9">
        <w:rPr>
          <w:rFonts w:asciiTheme="minorBidi" w:hAnsiTheme="minorBidi" w:cstheme="minorBidi"/>
          <w:sz w:val="20"/>
          <w:szCs w:val="20"/>
        </w:rPr>
        <w:t xml:space="preserve"> tissue. Importantly, however, no MACE occurred in either subgroup, supporting the short-term safety of DCB use in ISR.</w:t>
      </w:r>
    </w:p>
    <w:p w14:paraId="1BB2AB31" w14:textId="60B73197" w:rsidR="00014D28" w:rsidRPr="006536F9" w:rsidRDefault="00014D28"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 xml:space="preserve">A notable finding of this study is the predominant use of DCBs in de novo lesions (67.4%), particularly in small-vessel disease, which accounted for more than 60% of cases. This reflects evolving real-world practice and aligns with evidence from the BELLO trial, which demonstrated </w:t>
      </w:r>
      <w:proofErr w:type="spellStart"/>
      <w:r w:rsidRPr="006536F9">
        <w:rPr>
          <w:rFonts w:asciiTheme="minorBidi" w:hAnsiTheme="minorBidi" w:cstheme="minorBidi"/>
          <w:sz w:val="20"/>
          <w:szCs w:val="20"/>
        </w:rPr>
        <w:t>favorable</w:t>
      </w:r>
      <w:proofErr w:type="spellEnd"/>
      <w:r w:rsidRPr="006536F9">
        <w:rPr>
          <w:rFonts w:asciiTheme="minorBidi" w:hAnsiTheme="minorBidi" w:cstheme="minorBidi"/>
          <w:sz w:val="20"/>
          <w:szCs w:val="20"/>
        </w:rPr>
        <w:t xml:space="preserve"> outcomes of DCBs compared with DES in small coronary vessels.</w:t>
      </w:r>
      <w:r w:rsidR="00DE7D7E" w:rsidRPr="006536F9">
        <w:rPr>
          <w:rFonts w:asciiTheme="minorBidi" w:hAnsiTheme="minorBidi" w:cstheme="minorBidi"/>
          <w:sz w:val="20"/>
          <w:szCs w:val="20"/>
          <w:vertAlign w:val="superscript"/>
        </w:rPr>
        <w:t>10</w:t>
      </w:r>
      <w:r w:rsidRPr="006536F9">
        <w:rPr>
          <w:rFonts w:asciiTheme="minorBidi" w:hAnsiTheme="minorBidi" w:cstheme="minorBidi"/>
          <w:sz w:val="20"/>
          <w:szCs w:val="20"/>
        </w:rPr>
        <w:t xml:space="preserve"> Avoidance of permanent metallic scaffolds may </w:t>
      </w:r>
      <w:r w:rsidRPr="006536F9">
        <w:rPr>
          <w:rFonts w:asciiTheme="minorBidi" w:hAnsiTheme="minorBidi" w:cstheme="minorBidi"/>
          <w:sz w:val="20"/>
          <w:szCs w:val="20"/>
        </w:rPr>
        <w:lastRenderedPageBreak/>
        <w:t>be especially advantageous in small-calibre arteries, where restenosis risk and stent-related complications are higher.</w:t>
      </w:r>
    </w:p>
    <w:p w14:paraId="305E495F" w14:textId="77777777" w:rsidR="00014D28" w:rsidRPr="006536F9" w:rsidRDefault="00014D28"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The study population included a high proportion of complex lesion morphologies, including diffuse disease, bifurcation lesions, and ACC/AHA type B2/C lesions. Despite this complexity, procedural success was achieved in 87% of cases, underscoring the feasibility of DCB-based strategies in routine clinical practice. These findings support the concept that DCB PCI, when appropriately applied, can be extended to complex anatomies beyond those typically included in randomized trials.</w:t>
      </w:r>
    </w:p>
    <w:p w14:paraId="2C31A1CC" w14:textId="41BE3F4B" w:rsidR="00014D28" w:rsidRPr="006536F9" w:rsidRDefault="00014D28"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 xml:space="preserve">Lesion preparation emerged as a critical determinant of procedural success. </w:t>
      </w:r>
      <w:proofErr w:type="spellStart"/>
      <w:r w:rsidRPr="006536F9">
        <w:rPr>
          <w:rFonts w:asciiTheme="minorBidi" w:hAnsiTheme="minorBidi" w:cstheme="minorBidi"/>
          <w:sz w:val="20"/>
          <w:szCs w:val="20"/>
        </w:rPr>
        <w:t>Predilatation</w:t>
      </w:r>
      <w:proofErr w:type="spellEnd"/>
      <w:r w:rsidRPr="006536F9">
        <w:rPr>
          <w:rFonts w:asciiTheme="minorBidi" w:hAnsiTheme="minorBidi" w:cstheme="minorBidi"/>
          <w:sz w:val="20"/>
          <w:szCs w:val="20"/>
        </w:rPr>
        <w:t xml:space="preserve"> was performed in over 90% of cases, with selective use of scoring or cutting balloons. Contemporary studies and physiology-guided approaches have emphasized that adequate lesion modification is essential for optimal drug uptake and </w:t>
      </w:r>
      <w:proofErr w:type="spellStart"/>
      <w:r w:rsidRPr="006536F9">
        <w:rPr>
          <w:rFonts w:asciiTheme="minorBidi" w:hAnsiTheme="minorBidi" w:cstheme="minorBidi"/>
          <w:sz w:val="20"/>
          <w:szCs w:val="20"/>
        </w:rPr>
        <w:t>favorable</w:t>
      </w:r>
      <w:proofErr w:type="spellEnd"/>
      <w:r w:rsidRPr="006536F9">
        <w:rPr>
          <w:rFonts w:asciiTheme="minorBidi" w:hAnsiTheme="minorBidi" w:cstheme="minorBidi"/>
          <w:sz w:val="20"/>
          <w:szCs w:val="20"/>
        </w:rPr>
        <w:t xml:space="preserve"> outcomes in DCB-based PCI.</w:t>
      </w:r>
      <w:r w:rsidR="00DE7D7E" w:rsidRPr="006536F9">
        <w:rPr>
          <w:rFonts w:asciiTheme="minorBidi" w:hAnsiTheme="minorBidi" w:cstheme="minorBidi"/>
          <w:sz w:val="20"/>
          <w:szCs w:val="20"/>
          <w:vertAlign w:val="superscript"/>
        </w:rPr>
        <w:t>16</w:t>
      </w:r>
      <w:r w:rsidRPr="006536F9">
        <w:rPr>
          <w:rFonts w:asciiTheme="minorBidi" w:hAnsiTheme="minorBidi" w:cstheme="minorBidi"/>
          <w:sz w:val="20"/>
          <w:szCs w:val="20"/>
        </w:rPr>
        <w:t xml:space="preserve"> The low bailout stent rate observed in this study further reinforces this principle.</w:t>
      </w:r>
    </w:p>
    <w:p w14:paraId="0718D240" w14:textId="19DF9414" w:rsidR="00014D28" w:rsidRPr="006536F9" w:rsidRDefault="00014D28" w:rsidP="008100C5">
      <w:pPr>
        <w:pStyle w:val="NormalWeb"/>
        <w:jc w:val="both"/>
        <w:rPr>
          <w:rFonts w:asciiTheme="minorBidi" w:hAnsiTheme="minorBidi" w:cstheme="minorBidi"/>
          <w:sz w:val="20"/>
          <w:szCs w:val="20"/>
          <w:vertAlign w:val="superscript"/>
        </w:rPr>
      </w:pPr>
      <w:r w:rsidRPr="006536F9">
        <w:rPr>
          <w:rFonts w:asciiTheme="minorBidi" w:hAnsiTheme="minorBidi" w:cstheme="minorBidi"/>
          <w:sz w:val="20"/>
          <w:szCs w:val="20"/>
        </w:rPr>
        <w:t>Approximately 40% of procedures employed a hybrid DCB–DES strategy, reflecting pragmatic, lesion-specific decision-making in real-world practice. Hybrid approaches allow operators to minimize metal implantation while maintaining safety in segments requiring scaffolding and have been increasingly reported in observational studies and expert reviews.</w:t>
      </w:r>
      <w:r w:rsidR="00DE7D7E" w:rsidRPr="006536F9">
        <w:rPr>
          <w:rFonts w:asciiTheme="minorBidi" w:hAnsiTheme="minorBidi" w:cstheme="minorBidi"/>
          <w:sz w:val="20"/>
          <w:szCs w:val="20"/>
          <w:vertAlign w:val="superscript"/>
        </w:rPr>
        <w:t>17</w:t>
      </w:r>
    </w:p>
    <w:p w14:paraId="5E468B22" w14:textId="58C22211" w:rsidR="00014D28" w:rsidRPr="006536F9" w:rsidRDefault="00014D28"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Short-term safety outcomes were excellent, with no cases of death, myocardial infarction, or repeat revascularization. These findings are consistent with contemporary observational data and systematic reviews demonstrating low early adverse event rates following DCB use in both ISR and selected de novo lesions.</w:t>
      </w:r>
      <w:r w:rsidR="00DE7D7E" w:rsidRPr="006536F9">
        <w:rPr>
          <w:rFonts w:asciiTheme="minorBidi" w:hAnsiTheme="minorBidi" w:cstheme="minorBidi"/>
          <w:sz w:val="20"/>
          <w:szCs w:val="20"/>
          <w:vertAlign w:val="superscript"/>
        </w:rPr>
        <w:t>11</w:t>
      </w:r>
      <w:r w:rsidRPr="006536F9">
        <w:rPr>
          <w:rFonts w:asciiTheme="minorBidi" w:hAnsiTheme="minorBidi" w:cstheme="minorBidi"/>
          <w:sz w:val="20"/>
          <w:szCs w:val="20"/>
        </w:rPr>
        <w:t xml:space="preserve"> Emerging evidence from newer-generation sirolimus-coated balloons, including real-world studies such as the MOZEC trial, further supports the expanding role of DCB technology in contemporary PCI practice.</w:t>
      </w:r>
      <w:r w:rsidR="00DE7D7E" w:rsidRPr="006536F9">
        <w:rPr>
          <w:rFonts w:asciiTheme="minorBidi" w:hAnsiTheme="minorBidi" w:cstheme="minorBidi"/>
          <w:sz w:val="20"/>
          <w:szCs w:val="20"/>
          <w:vertAlign w:val="superscript"/>
        </w:rPr>
        <w:t>18</w:t>
      </w:r>
    </w:p>
    <w:p w14:paraId="535485CC" w14:textId="77777777" w:rsidR="00014D28" w:rsidRPr="006536F9" w:rsidRDefault="00014D28" w:rsidP="008100C5">
      <w:pPr>
        <w:jc w:val="both"/>
        <w:rPr>
          <w:rFonts w:asciiTheme="minorBidi" w:hAnsiTheme="minorBidi" w:cstheme="minorBidi"/>
          <w:b/>
          <w:bCs/>
          <w:sz w:val="22"/>
          <w:szCs w:val="22"/>
        </w:rPr>
      </w:pPr>
      <w:r w:rsidRPr="006536F9">
        <w:rPr>
          <w:rFonts w:asciiTheme="minorBidi" w:hAnsiTheme="minorBidi" w:cstheme="minorBidi"/>
          <w:b/>
          <w:bCs/>
          <w:sz w:val="22"/>
          <w:szCs w:val="22"/>
        </w:rPr>
        <w:t>5.0 Conclusion</w:t>
      </w:r>
    </w:p>
    <w:p w14:paraId="6C9DB2E8" w14:textId="77777777" w:rsidR="00014D28" w:rsidRPr="006536F9" w:rsidRDefault="00014D28" w:rsidP="008100C5">
      <w:pPr>
        <w:jc w:val="both"/>
        <w:rPr>
          <w:rFonts w:asciiTheme="minorBidi" w:hAnsiTheme="minorBidi" w:cstheme="minorBidi"/>
          <w:b/>
          <w:bCs/>
          <w:sz w:val="20"/>
          <w:szCs w:val="20"/>
        </w:rPr>
      </w:pPr>
    </w:p>
    <w:p w14:paraId="36A6067E" w14:textId="77777777" w:rsidR="007A2D13" w:rsidRPr="00AD4019" w:rsidRDefault="007A2D13" w:rsidP="006536F9">
      <w:pPr>
        <w:pStyle w:val="NormalWeb"/>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rPr>
        <w:t xml:space="preserve">DCB-based PCI in this contemporary real-world South Indian cohort was associated with high procedural success, low bailout stent rates, and excellent short-term clinical outcomes, within the limitations of a small, single-centre, retrospective study with short-term follow-up. </w:t>
      </w:r>
      <w:proofErr w:type="spellStart"/>
      <w:r w:rsidRPr="00AD4019">
        <w:rPr>
          <w:rFonts w:asciiTheme="minorBidi" w:hAnsiTheme="minorBidi" w:cstheme="minorBidi"/>
          <w:color w:val="000000" w:themeColor="text1"/>
          <w:sz w:val="20"/>
          <w:szCs w:val="20"/>
        </w:rPr>
        <w:t>Favorable</w:t>
      </w:r>
      <w:proofErr w:type="spellEnd"/>
      <w:r w:rsidRPr="00AD4019">
        <w:rPr>
          <w:rFonts w:asciiTheme="minorBidi" w:hAnsiTheme="minorBidi" w:cstheme="minorBidi"/>
          <w:color w:val="000000" w:themeColor="text1"/>
          <w:sz w:val="20"/>
          <w:szCs w:val="20"/>
        </w:rPr>
        <w:t xml:space="preserve"> results were observed even in complex lesion subsets, including small-vessel disease and in-stent restenosis, reflecting early procedural and short-term clinical performance.</w:t>
      </w:r>
    </w:p>
    <w:p w14:paraId="1A53E186" w14:textId="77777777" w:rsidR="007A2D13" w:rsidRPr="00AD4019" w:rsidRDefault="007A2D13" w:rsidP="006536F9">
      <w:pPr>
        <w:pStyle w:val="NormalWeb"/>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rPr>
        <w:t>When combined with meticulous lesion preparation and selective hybrid strategies, DCBs appear to be a safe and effective adjunct in carefully selected patients and lesion subsets where a stent-less or hybrid approach is desirable. This study adds important real-world evidence from an Indian population with a high burden of diffuse and small-vessel coronary artery disease and supports the feasibility of contemporary DCB-based strategies in routine clinical practice.</w:t>
      </w:r>
    </w:p>
    <w:p w14:paraId="1EFF8BAD" w14:textId="77777777" w:rsidR="007A2D13" w:rsidRPr="00AD4019" w:rsidRDefault="007A2D13" w:rsidP="006536F9">
      <w:pPr>
        <w:pStyle w:val="NormalWeb"/>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rPr>
        <w:t>Larger prospective studies with longer follow-up are warranted to better define long-term outcomes, optimal patient selection, and the comparative role of DCBs in relation to current-generation drug-eluting stents.</w:t>
      </w:r>
    </w:p>
    <w:p w14:paraId="119EE152" w14:textId="77777777" w:rsidR="00014D28" w:rsidRPr="006536F9" w:rsidRDefault="00014D28" w:rsidP="008100C5">
      <w:pPr>
        <w:jc w:val="both"/>
        <w:rPr>
          <w:rFonts w:asciiTheme="minorBidi" w:hAnsiTheme="minorBidi" w:cstheme="minorBidi"/>
          <w:sz w:val="20"/>
          <w:szCs w:val="20"/>
        </w:rPr>
      </w:pPr>
    </w:p>
    <w:p w14:paraId="1736C941" w14:textId="77777777" w:rsidR="00014D28" w:rsidRPr="006536F9" w:rsidRDefault="00014D28" w:rsidP="008100C5">
      <w:pPr>
        <w:jc w:val="both"/>
        <w:rPr>
          <w:rFonts w:asciiTheme="minorBidi" w:hAnsiTheme="minorBidi" w:cstheme="minorBidi"/>
          <w:b/>
          <w:bCs/>
          <w:sz w:val="22"/>
          <w:szCs w:val="22"/>
        </w:rPr>
      </w:pPr>
      <w:r w:rsidRPr="006536F9">
        <w:rPr>
          <w:rFonts w:asciiTheme="minorBidi" w:hAnsiTheme="minorBidi" w:cstheme="minorBidi"/>
          <w:b/>
          <w:bCs/>
          <w:sz w:val="22"/>
          <w:szCs w:val="22"/>
        </w:rPr>
        <w:t>6.0 Limitations</w:t>
      </w:r>
    </w:p>
    <w:p w14:paraId="2BD37A83" w14:textId="77777777" w:rsidR="00014D28" w:rsidRPr="006536F9" w:rsidRDefault="00014D28" w:rsidP="008100C5">
      <w:pPr>
        <w:jc w:val="both"/>
        <w:rPr>
          <w:rFonts w:asciiTheme="minorBidi" w:hAnsiTheme="minorBidi" w:cstheme="minorBidi"/>
          <w:b/>
          <w:bCs/>
          <w:sz w:val="20"/>
          <w:szCs w:val="20"/>
        </w:rPr>
      </w:pPr>
    </w:p>
    <w:p w14:paraId="352D3A8B" w14:textId="6CF050A2" w:rsidR="007A2D13" w:rsidRPr="00AD4019" w:rsidRDefault="007A2D13" w:rsidP="006536F9">
      <w:pPr>
        <w:pStyle w:val="NormalWeb"/>
        <w:jc w:val="both"/>
        <w:rPr>
          <w:rFonts w:asciiTheme="minorBidi" w:hAnsiTheme="minorBidi" w:cstheme="minorBidi"/>
          <w:sz w:val="20"/>
          <w:szCs w:val="20"/>
        </w:rPr>
      </w:pPr>
      <w:r w:rsidRPr="00AD4019">
        <w:rPr>
          <w:rFonts w:asciiTheme="minorBidi" w:hAnsiTheme="minorBidi" w:cstheme="minorBidi"/>
          <w:sz w:val="20"/>
          <w:szCs w:val="20"/>
        </w:rPr>
        <w:t>This study has several limitations. First, its retrospective, single-centre design introduces the potential for selection bias and unmeasured confounding, which may influence both treatment decisions and outcomes. Second, the relatively small sample size limits statistical power and precludes robust subgroup analyses or identification of independent predictors of outcomes. Third, the absence of a comparator arm, such as drug-eluting stent–based PCI, restricts the ability to draw definitive conclusions regarding the relative efficacy of DCB strategies over DES.</w:t>
      </w:r>
    </w:p>
    <w:p w14:paraId="232BAA62" w14:textId="77777777" w:rsidR="007A2D13" w:rsidRPr="00AD4019" w:rsidRDefault="007A2D13" w:rsidP="006536F9">
      <w:pPr>
        <w:pStyle w:val="NormalWeb"/>
        <w:jc w:val="both"/>
        <w:rPr>
          <w:rFonts w:asciiTheme="minorBidi" w:hAnsiTheme="minorBidi" w:cstheme="minorBidi"/>
          <w:sz w:val="20"/>
          <w:szCs w:val="20"/>
        </w:rPr>
      </w:pPr>
      <w:r w:rsidRPr="00AD4019">
        <w:rPr>
          <w:rFonts w:asciiTheme="minorBidi" w:hAnsiTheme="minorBidi" w:cstheme="minorBidi"/>
          <w:sz w:val="20"/>
          <w:szCs w:val="20"/>
        </w:rPr>
        <w:lastRenderedPageBreak/>
        <w:t>In addition, follow-up was limited to the short term, and therefore long-term outcomes, including late lumen loss, restenosis, and target lesion failure, could not be assessed. Routine angiographic follow-up was not performed, which may have led to under-detection of subclinical restenosis. Furthermore, procedural strategies, including lesion preparation techniques and the use of hybrid DCB–DES approaches, were operator-dependent and may limit reproducibility across different centres.</w:t>
      </w:r>
    </w:p>
    <w:p w14:paraId="6513F5EE" w14:textId="15D5A0D5" w:rsidR="00B76E11" w:rsidRPr="00AD4019" w:rsidRDefault="007A2D13" w:rsidP="0067303B">
      <w:pPr>
        <w:pStyle w:val="NormalWeb"/>
        <w:jc w:val="both"/>
        <w:rPr>
          <w:rFonts w:asciiTheme="minorBidi" w:hAnsiTheme="minorBidi" w:cstheme="minorBidi"/>
          <w:sz w:val="21"/>
          <w:szCs w:val="21"/>
        </w:rPr>
      </w:pPr>
      <w:r w:rsidRPr="00AD4019">
        <w:rPr>
          <w:rFonts w:asciiTheme="minorBidi" w:hAnsiTheme="minorBidi" w:cstheme="minorBidi"/>
          <w:sz w:val="20"/>
          <w:szCs w:val="20"/>
        </w:rPr>
        <w:t>Finally, as this study reflects real-world practice at a high-volume tertiary care centre, the findings may not be fully generalizable to other settings with different patient populations, operator expertise, or resource availability.</w:t>
      </w:r>
    </w:p>
    <w:p w14:paraId="49CEA871" w14:textId="77777777" w:rsidR="00B76E11" w:rsidRPr="006536F9" w:rsidRDefault="00B76E11" w:rsidP="008100C5">
      <w:pPr>
        <w:pStyle w:val="Heading2"/>
        <w:jc w:val="both"/>
        <w:rPr>
          <w:rFonts w:asciiTheme="minorBidi" w:hAnsiTheme="minorBidi" w:cstheme="minorBidi"/>
          <w:sz w:val="20"/>
          <w:szCs w:val="20"/>
        </w:rPr>
      </w:pPr>
      <w:r w:rsidRPr="006536F9">
        <w:rPr>
          <w:rStyle w:val="Strong"/>
          <w:rFonts w:asciiTheme="minorBidi" w:hAnsiTheme="minorBidi" w:cstheme="minorBidi"/>
          <w:b/>
          <w:bCs/>
          <w:sz w:val="20"/>
          <w:szCs w:val="20"/>
        </w:rPr>
        <w:t>CONSENT</w:t>
      </w:r>
    </w:p>
    <w:p w14:paraId="1820CFFE" w14:textId="77D8EE8E" w:rsidR="00B76E11" w:rsidRDefault="00B76E11"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All patient data used in this retrospective study were anonymized prior to analysis. Individual informed consent was waived in accordance with institutional policy for retrospective record-based studies. No identifiable patient information is included in this manuscript.</w:t>
      </w:r>
    </w:p>
    <w:p w14:paraId="5844C37B" w14:textId="610C364D" w:rsidR="00F54494" w:rsidRDefault="00F54494" w:rsidP="008100C5">
      <w:pPr>
        <w:pStyle w:val="NormalWeb"/>
        <w:jc w:val="both"/>
        <w:rPr>
          <w:rFonts w:asciiTheme="minorBidi" w:hAnsiTheme="minorBidi" w:cstheme="minorBidi"/>
          <w:sz w:val="20"/>
          <w:szCs w:val="20"/>
        </w:rPr>
      </w:pPr>
    </w:p>
    <w:p w14:paraId="2135B51E" w14:textId="77777777" w:rsidR="00F54494" w:rsidRPr="00F54494" w:rsidRDefault="00F54494" w:rsidP="00F54494">
      <w:pPr>
        <w:spacing w:after="200" w:line="276" w:lineRule="auto"/>
        <w:rPr>
          <w:rFonts w:ascii="Calibri" w:eastAsia="Calibri" w:hAnsi="Calibri"/>
          <w:b/>
          <w:sz w:val="22"/>
          <w:szCs w:val="22"/>
          <w:highlight w:val="yellow"/>
          <w:lang w:val="en-US" w:eastAsia="en-US"/>
        </w:rPr>
      </w:pPr>
      <w:r w:rsidRPr="00F54494">
        <w:rPr>
          <w:rFonts w:ascii="Calibri" w:eastAsia="Calibri" w:hAnsi="Calibri"/>
          <w:b/>
          <w:sz w:val="22"/>
          <w:szCs w:val="22"/>
          <w:highlight w:val="yellow"/>
          <w:lang w:val="en-US" w:eastAsia="en-US"/>
        </w:rPr>
        <w:t xml:space="preserve">Consent </w:t>
      </w:r>
    </w:p>
    <w:p w14:paraId="2471FDA4" w14:textId="77777777" w:rsidR="00F54494" w:rsidRPr="00F54494" w:rsidRDefault="00F54494" w:rsidP="00F54494">
      <w:pPr>
        <w:spacing w:after="200" w:line="276" w:lineRule="auto"/>
        <w:rPr>
          <w:rFonts w:ascii="Calibri" w:eastAsia="Calibri" w:hAnsi="Calibri"/>
          <w:sz w:val="22"/>
          <w:szCs w:val="22"/>
          <w:lang w:val="en-US" w:eastAsia="en-US"/>
        </w:rPr>
      </w:pPr>
      <w:r w:rsidRPr="00F54494">
        <w:rPr>
          <w:rFonts w:ascii="Calibri" w:eastAsia="Calibri" w:hAnsi="Calibri"/>
          <w:sz w:val="22"/>
          <w:szCs w:val="22"/>
          <w:highlight w:val="yellow"/>
          <w:lang w:val="en-US" w:eastAsia="en-US"/>
        </w:rPr>
        <w:t>As per international standards or university standards, Participants’ written consent has been collected and preserved by the author(s).</w:t>
      </w:r>
    </w:p>
    <w:p w14:paraId="2C8C020A" w14:textId="77777777" w:rsidR="00F54494" w:rsidRPr="006536F9" w:rsidRDefault="00F54494" w:rsidP="008100C5">
      <w:pPr>
        <w:pStyle w:val="NormalWeb"/>
        <w:jc w:val="both"/>
        <w:rPr>
          <w:rFonts w:asciiTheme="minorBidi" w:hAnsiTheme="minorBidi" w:cstheme="minorBidi"/>
          <w:sz w:val="20"/>
          <w:szCs w:val="20"/>
        </w:rPr>
      </w:pPr>
    </w:p>
    <w:p w14:paraId="3DD80E0D" w14:textId="77777777" w:rsidR="00B76E11" w:rsidRPr="006536F9" w:rsidRDefault="00B76E11" w:rsidP="008100C5">
      <w:pPr>
        <w:jc w:val="both"/>
        <w:rPr>
          <w:rFonts w:asciiTheme="minorBidi" w:hAnsiTheme="minorBidi" w:cstheme="minorBidi"/>
          <w:sz w:val="20"/>
          <w:szCs w:val="20"/>
        </w:rPr>
      </w:pPr>
    </w:p>
    <w:p w14:paraId="249FED34" w14:textId="77777777" w:rsidR="00B76E11" w:rsidRPr="006536F9" w:rsidRDefault="00B76E11" w:rsidP="008100C5">
      <w:pPr>
        <w:pStyle w:val="Heading2"/>
        <w:jc w:val="both"/>
        <w:rPr>
          <w:rFonts w:asciiTheme="minorBidi" w:hAnsiTheme="minorBidi" w:cstheme="minorBidi"/>
          <w:sz w:val="20"/>
          <w:szCs w:val="20"/>
        </w:rPr>
      </w:pPr>
      <w:r w:rsidRPr="006536F9">
        <w:rPr>
          <w:rStyle w:val="Strong"/>
          <w:rFonts w:asciiTheme="minorBidi" w:hAnsiTheme="minorBidi" w:cstheme="minorBidi"/>
          <w:b/>
          <w:bCs/>
          <w:sz w:val="20"/>
          <w:szCs w:val="20"/>
        </w:rPr>
        <w:t>ETHICAL APPROVAL</w:t>
      </w:r>
    </w:p>
    <w:p w14:paraId="265BAD9F" w14:textId="77777777" w:rsidR="00B76E11" w:rsidRPr="006536F9" w:rsidRDefault="00B76E11" w:rsidP="008100C5">
      <w:pPr>
        <w:pStyle w:val="NormalWeb"/>
        <w:jc w:val="both"/>
        <w:rPr>
          <w:rFonts w:asciiTheme="minorBidi" w:hAnsiTheme="minorBidi" w:cstheme="minorBidi"/>
          <w:sz w:val="20"/>
          <w:szCs w:val="20"/>
        </w:rPr>
      </w:pPr>
      <w:r w:rsidRPr="006536F9">
        <w:rPr>
          <w:rFonts w:asciiTheme="minorBidi" w:hAnsiTheme="minorBidi" w:cstheme="minorBidi"/>
          <w:sz w:val="20"/>
          <w:szCs w:val="20"/>
        </w:rPr>
        <w:t xml:space="preserve">All authors declare that the study protocol was reviewed and approved by the Institutional Ethics Committee of Apollo </w:t>
      </w:r>
      <w:r w:rsidR="005E23D6" w:rsidRPr="006536F9">
        <w:rPr>
          <w:rFonts w:asciiTheme="minorBidi" w:hAnsiTheme="minorBidi" w:cstheme="minorBidi"/>
          <w:sz w:val="20"/>
          <w:szCs w:val="20"/>
        </w:rPr>
        <w:t>Hospitals, Chennai</w:t>
      </w:r>
      <w:r w:rsidRPr="006536F9">
        <w:rPr>
          <w:rFonts w:asciiTheme="minorBidi" w:hAnsiTheme="minorBidi" w:cstheme="minorBidi"/>
          <w:sz w:val="20"/>
          <w:szCs w:val="20"/>
        </w:rPr>
        <w:t>. The study was conducted in accordance with the ethical standards outlined in the Declaration of Helsinki. As this was a retrospective analysis of anonymized clinical data, the requirement for individual informed consent was waived by the ethics committee.</w:t>
      </w:r>
    </w:p>
    <w:p w14:paraId="46476CE8" w14:textId="77777777" w:rsidR="005A1F27" w:rsidRPr="006536F9" w:rsidRDefault="005A1F27" w:rsidP="005A1F27">
      <w:pPr>
        <w:jc w:val="both"/>
        <w:outlineLvl w:val="0"/>
        <w:rPr>
          <w:rFonts w:asciiTheme="minorBidi" w:hAnsiTheme="minorBidi" w:cstheme="minorBidi"/>
        </w:rPr>
      </w:pPr>
      <w:r w:rsidRPr="006536F9">
        <w:rPr>
          <w:rFonts w:asciiTheme="minorBidi" w:hAnsiTheme="minorBidi" w:cstheme="minorBidi"/>
          <w:b/>
          <w:bCs/>
        </w:rPr>
        <w:t>COMPETING INTERESTS DISCLAIMER:</w:t>
      </w:r>
    </w:p>
    <w:p w14:paraId="3D29D88C" w14:textId="77777777" w:rsidR="005A1F27" w:rsidRPr="006536F9" w:rsidRDefault="005A1F27" w:rsidP="005A1F27">
      <w:pPr>
        <w:rPr>
          <w:rFonts w:asciiTheme="minorBidi" w:hAnsiTheme="minorBidi" w:cstheme="minorBidi"/>
        </w:rPr>
      </w:pPr>
      <w:r w:rsidRPr="006536F9">
        <w:rPr>
          <w:rFonts w:asciiTheme="minorBidi" w:hAnsiTheme="minorBidi" w:cstheme="minorBidi"/>
        </w:rPr>
        <w:t>Authors have declared that they have no known competing financial interests OR non-financial interests OR personal relationships that could have appeared to influence the work reported in this paper.</w:t>
      </w:r>
    </w:p>
    <w:p w14:paraId="09654BA7" w14:textId="77777777" w:rsidR="005A1F27" w:rsidRPr="006536F9" w:rsidRDefault="005A1F27" w:rsidP="005A1F27">
      <w:pPr>
        <w:rPr>
          <w:rFonts w:asciiTheme="minorBidi" w:hAnsiTheme="minorBidi" w:cstheme="minorBidi"/>
        </w:rPr>
      </w:pPr>
    </w:p>
    <w:p w14:paraId="0E140283" w14:textId="77777777" w:rsidR="005A1F27" w:rsidRPr="006536F9" w:rsidRDefault="005A1F27" w:rsidP="005A1F27">
      <w:pPr>
        <w:rPr>
          <w:rFonts w:asciiTheme="minorBidi" w:hAnsiTheme="minorBidi" w:cstheme="minorBidi"/>
        </w:rPr>
      </w:pPr>
    </w:p>
    <w:p w14:paraId="35F19CB9" w14:textId="77777777" w:rsidR="005C6639" w:rsidRPr="006536F9" w:rsidRDefault="005C6639" w:rsidP="005C6639">
      <w:pPr>
        <w:rPr>
          <w:rFonts w:asciiTheme="minorBidi" w:eastAsia="Calibri" w:hAnsiTheme="minorBidi" w:cstheme="minorBidi"/>
          <w:kern w:val="2"/>
          <w:sz w:val="22"/>
          <w:szCs w:val="22"/>
          <w:highlight w:val="yellow"/>
          <w:lang w:val="en-US" w:eastAsia="en-US"/>
        </w:rPr>
      </w:pPr>
      <w:bookmarkStart w:id="1" w:name="_Hlk198031404"/>
      <w:bookmarkStart w:id="2" w:name="_Hlk219125673"/>
      <w:r w:rsidRPr="006536F9">
        <w:rPr>
          <w:rFonts w:asciiTheme="minorBidi" w:eastAsia="Calibri" w:hAnsiTheme="minorBidi" w:cstheme="minorBidi"/>
          <w:kern w:val="2"/>
          <w:sz w:val="22"/>
          <w:szCs w:val="22"/>
          <w:highlight w:val="yellow"/>
          <w:lang w:val="en-US" w:eastAsia="en-US"/>
        </w:rPr>
        <w:t>Disclaimer (Artificial intelligence)</w:t>
      </w:r>
    </w:p>
    <w:p w14:paraId="11162499" w14:textId="77777777" w:rsidR="005C6639" w:rsidRPr="006536F9" w:rsidRDefault="005C6639" w:rsidP="005C6639">
      <w:pPr>
        <w:rPr>
          <w:rFonts w:asciiTheme="minorBidi" w:eastAsia="Calibri" w:hAnsiTheme="minorBidi" w:cstheme="minorBidi"/>
          <w:kern w:val="2"/>
          <w:sz w:val="22"/>
          <w:szCs w:val="22"/>
          <w:highlight w:val="yellow"/>
          <w:lang w:val="en-US" w:eastAsia="en-US"/>
        </w:rPr>
      </w:pPr>
    </w:p>
    <w:p w14:paraId="1986CEB0" w14:textId="77777777" w:rsidR="005C6639" w:rsidRPr="006536F9" w:rsidRDefault="005C6639" w:rsidP="005C6639">
      <w:pPr>
        <w:rPr>
          <w:rFonts w:asciiTheme="minorBidi" w:eastAsia="Calibri" w:hAnsiTheme="minorBidi" w:cstheme="minorBidi"/>
          <w:kern w:val="2"/>
          <w:sz w:val="22"/>
          <w:szCs w:val="22"/>
          <w:highlight w:val="yellow"/>
          <w:lang w:val="en-US" w:eastAsia="en-US"/>
        </w:rPr>
      </w:pPr>
      <w:r w:rsidRPr="006536F9">
        <w:rPr>
          <w:rFonts w:asciiTheme="minorBidi" w:eastAsia="Calibri" w:hAnsiTheme="minorBidi" w:cstheme="minorBidi"/>
          <w:kern w:val="2"/>
          <w:sz w:val="22"/>
          <w:szCs w:val="22"/>
          <w:highlight w:val="yellow"/>
          <w:lang w:val="en-US" w:eastAsia="en-US"/>
        </w:rPr>
        <w:t>Author(s) hereby declare that NO generative AI technologies such as Large Language Models (</w:t>
      </w:r>
      <w:proofErr w:type="spellStart"/>
      <w:r w:rsidRPr="006536F9">
        <w:rPr>
          <w:rFonts w:asciiTheme="minorBidi" w:eastAsia="Calibri" w:hAnsiTheme="minorBidi" w:cstheme="minorBidi"/>
          <w:kern w:val="2"/>
          <w:sz w:val="22"/>
          <w:szCs w:val="22"/>
          <w:highlight w:val="yellow"/>
          <w:lang w:val="en-US" w:eastAsia="en-US"/>
        </w:rPr>
        <w:t>ChatGPT</w:t>
      </w:r>
      <w:proofErr w:type="spellEnd"/>
      <w:r w:rsidRPr="006536F9">
        <w:rPr>
          <w:rFonts w:asciiTheme="minorBidi" w:eastAsia="Calibri" w:hAnsiTheme="minorBidi" w:cstheme="minorBidi"/>
          <w:kern w:val="2"/>
          <w:sz w:val="22"/>
          <w:szCs w:val="22"/>
          <w:highlight w:val="yellow"/>
          <w:lang w:val="en-US" w:eastAsia="en-US"/>
        </w:rPr>
        <w:t xml:space="preserve">, COPILOT, etc.) and text-to-image generators have been used during the writing or editing of this manuscript. </w:t>
      </w:r>
    </w:p>
    <w:bookmarkEnd w:id="1"/>
    <w:p w14:paraId="63B3E5E4" w14:textId="77777777" w:rsidR="005C6639" w:rsidRPr="006536F9" w:rsidRDefault="005C6639" w:rsidP="005C6639">
      <w:pPr>
        <w:spacing w:after="200" w:line="276" w:lineRule="auto"/>
        <w:rPr>
          <w:rFonts w:asciiTheme="minorBidi" w:eastAsia="Calibri" w:hAnsiTheme="minorBidi" w:cstheme="minorBidi"/>
          <w:sz w:val="28"/>
          <w:szCs w:val="22"/>
          <w:lang w:val="en-US" w:eastAsia="en-US"/>
        </w:rPr>
      </w:pPr>
    </w:p>
    <w:bookmarkEnd w:id="2"/>
    <w:p w14:paraId="1FDAEE46" w14:textId="77777777" w:rsidR="00D02B5F" w:rsidRPr="006536F9" w:rsidRDefault="00D02B5F" w:rsidP="008100C5">
      <w:pPr>
        <w:pStyle w:val="NormalWeb"/>
        <w:jc w:val="both"/>
        <w:rPr>
          <w:rFonts w:asciiTheme="minorBidi" w:hAnsiTheme="minorBidi" w:cstheme="minorBidi"/>
          <w:sz w:val="20"/>
          <w:szCs w:val="20"/>
          <w:lang w:val="en-US"/>
        </w:rPr>
      </w:pPr>
    </w:p>
    <w:p w14:paraId="26207C6A" w14:textId="77777777" w:rsidR="008100C5" w:rsidRPr="006536F9" w:rsidRDefault="008100C5" w:rsidP="008100C5">
      <w:pPr>
        <w:jc w:val="both"/>
        <w:rPr>
          <w:rFonts w:asciiTheme="minorBidi" w:hAnsiTheme="minorBidi" w:cstheme="minorBidi"/>
          <w:b/>
          <w:bCs/>
          <w:sz w:val="22"/>
          <w:szCs w:val="22"/>
        </w:rPr>
      </w:pPr>
    </w:p>
    <w:p w14:paraId="4751A535" w14:textId="77777777" w:rsidR="00B76E11" w:rsidRPr="006536F9" w:rsidRDefault="00B76E11" w:rsidP="008100C5">
      <w:pPr>
        <w:jc w:val="both"/>
        <w:rPr>
          <w:rFonts w:asciiTheme="minorBidi" w:hAnsiTheme="minorBidi" w:cstheme="minorBidi"/>
          <w:b/>
          <w:bCs/>
          <w:sz w:val="22"/>
          <w:szCs w:val="22"/>
        </w:rPr>
      </w:pPr>
      <w:r w:rsidRPr="006536F9">
        <w:rPr>
          <w:rFonts w:asciiTheme="minorBidi" w:hAnsiTheme="minorBidi" w:cstheme="minorBidi"/>
          <w:b/>
          <w:bCs/>
          <w:sz w:val="22"/>
          <w:szCs w:val="22"/>
        </w:rPr>
        <w:t xml:space="preserve">REFERENCES: </w:t>
      </w:r>
    </w:p>
    <w:p w14:paraId="223BACA9" w14:textId="77777777" w:rsidR="00B76E11" w:rsidRPr="006536F9" w:rsidRDefault="00B76E11" w:rsidP="008100C5">
      <w:pPr>
        <w:jc w:val="both"/>
        <w:rPr>
          <w:rFonts w:asciiTheme="minorBidi" w:hAnsiTheme="minorBidi" w:cstheme="minorBidi"/>
          <w:sz w:val="20"/>
          <w:szCs w:val="20"/>
        </w:rPr>
      </w:pPr>
    </w:p>
    <w:p w14:paraId="665B9108" w14:textId="77777777" w:rsidR="00B76E11" w:rsidRPr="00AD4019" w:rsidRDefault="00B76E11" w:rsidP="008100C5">
      <w:pPr>
        <w:pStyle w:val="ListParagraph"/>
        <w:numPr>
          <w:ilvl w:val="0"/>
          <w:numId w:val="5"/>
        </w:numPr>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rPr>
        <w:t>Byrne RA, Joner M, Kastrati A. Stent thrombosis and restenosis: what have we learned and where are we going? Lancet. 2015;385:627–38.</w:t>
      </w:r>
    </w:p>
    <w:p w14:paraId="0ABABCBA" w14:textId="77777777" w:rsidR="0088221D" w:rsidRPr="00AD4019" w:rsidRDefault="0088221D" w:rsidP="0088221D">
      <w:pPr>
        <w:pStyle w:val="ListParagraph"/>
        <w:ind w:left="644"/>
        <w:jc w:val="both"/>
        <w:rPr>
          <w:rFonts w:asciiTheme="minorBidi" w:hAnsiTheme="minorBidi" w:cstheme="minorBidi"/>
          <w:color w:val="000000" w:themeColor="text1"/>
          <w:sz w:val="20"/>
          <w:szCs w:val="20"/>
        </w:rPr>
      </w:pPr>
    </w:p>
    <w:p w14:paraId="15096934" w14:textId="08897F18" w:rsidR="003833D7" w:rsidRPr="00AD4019" w:rsidRDefault="003833D7" w:rsidP="003833D7">
      <w:pPr>
        <w:pStyle w:val="ListParagraph"/>
        <w:numPr>
          <w:ilvl w:val="0"/>
          <w:numId w:val="5"/>
        </w:numPr>
        <w:jc w:val="both"/>
        <w:rPr>
          <w:rFonts w:asciiTheme="minorBidi" w:hAnsiTheme="minorBidi" w:cstheme="minorBidi"/>
          <w:color w:val="000000" w:themeColor="text1"/>
          <w:sz w:val="20"/>
          <w:szCs w:val="20"/>
        </w:rPr>
      </w:pPr>
      <w:proofErr w:type="spellStart"/>
      <w:r w:rsidRPr="00AD4019">
        <w:rPr>
          <w:rFonts w:asciiTheme="minorBidi" w:hAnsiTheme="minorBidi" w:cstheme="minorBidi"/>
          <w:color w:val="000000" w:themeColor="text1"/>
          <w:sz w:val="20"/>
          <w:szCs w:val="20"/>
        </w:rPr>
        <w:t>Bourazana</w:t>
      </w:r>
      <w:proofErr w:type="spellEnd"/>
      <w:r w:rsidRPr="00AD4019">
        <w:rPr>
          <w:rFonts w:asciiTheme="minorBidi" w:hAnsiTheme="minorBidi" w:cstheme="minorBidi"/>
          <w:color w:val="000000" w:themeColor="text1"/>
          <w:sz w:val="20"/>
          <w:szCs w:val="20"/>
        </w:rPr>
        <w:t xml:space="preserve"> A, </w:t>
      </w:r>
      <w:proofErr w:type="spellStart"/>
      <w:r w:rsidRPr="00AD4019">
        <w:rPr>
          <w:rFonts w:asciiTheme="minorBidi" w:hAnsiTheme="minorBidi" w:cstheme="minorBidi"/>
          <w:color w:val="000000" w:themeColor="text1"/>
          <w:sz w:val="20"/>
          <w:szCs w:val="20"/>
        </w:rPr>
        <w:t>Briasoulis</w:t>
      </w:r>
      <w:proofErr w:type="spellEnd"/>
      <w:r w:rsidRPr="00AD4019">
        <w:rPr>
          <w:rFonts w:asciiTheme="minorBidi" w:hAnsiTheme="minorBidi" w:cstheme="minorBidi"/>
          <w:color w:val="000000" w:themeColor="text1"/>
          <w:sz w:val="20"/>
          <w:szCs w:val="20"/>
        </w:rPr>
        <w:t xml:space="preserve"> A, </w:t>
      </w:r>
      <w:proofErr w:type="spellStart"/>
      <w:r w:rsidRPr="00AD4019">
        <w:rPr>
          <w:rFonts w:asciiTheme="minorBidi" w:hAnsiTheme="minorBidi" w:cstheme="minorBidi"/>
          <w:color w:val="000000" w:themeColor="text1"/>
          <w:sz w:val="20"/>
          <w:szCs w:val="20"/>
        </w:rPr>
        <w:t>Kourek</w:t>
      </w:r>
      <w:proofErr w:type="spellEnd"/>
      <w:r w:rsidRPr="00AD4019">
        <w:rPr>
          <w:rFonts w:asciiTheme="minorBidi" w:hAnsiTheme="minorBidi" w:cstheme="minorBidi"/>
          <w:color w:val="000000" w:themeColor="text1"/>
          <w:sz w:val="20"/>
          <w:szCs w:val="20"/>
        </w:rPr>
        <w:t xml:space="preserve"> C, </w:t>
      </w:r>
      <w:proofErr w:type="spellStart"/>
      <w:r w:rsidRPr="00AD4019">
        <w:rPr>
          <w:rFonts w:asciiTheme="minorBidi" w:hAnsiTheme="minorBidi" w:cstheme="minorBidi"/>
          <w:color w:val="000000" w:themeColor="text1"/>
          <w:sz w:val="20"/>
          <w:szCs w:val="20"/>
        </w:rPr>
        <w:t>Kuno</w:t>
      </w:r>
      <w:proofErr w:type="spellEnd"/>
      <w:r w:rsidRPr="00AD4019">
        <w:rPr>
          <w:rFonts w:asciiTheme="minorBidi" w:hAnsiTheme="minorBidi" w:cstheme="minorBidi"/>
          <w:color w:val="000000" w:themeColor="text1"/>
          <w:sz w:val="20"/>
          <w:szCs w:val="20"/>
        </w:rPr>
        <w:t xml:space="preserve"> T, </w:t>
      </w:r>
      <w:proofErr w:type="spellStart"/>
      <w:r w:rsidRPr="00AD4019">
        <w:rPr>
          <w:rFonts w:asciiTheme="minorBidi" w:hAnsiTheme="minorBidi" w:cstheme="minorBidi"/>
          <w:color w:val="000000" w:themeColor="text1"/>
          <w:sz w:val="20"/>
          <w:szCs w:val="20"/>
        </w:rPr>
        <w:t>Leventis</w:t>
      </w:r>
      <w:proofErr w:type="spellEnd"/>
      <w:r w:rsidRPr="00AD4019">
        <w:rPr>
          <w:rFonts w:asciiTheme="minorBidi" w:hAnsiTheme="minorBidi" w:cstheme="minorBidi"/>
          <w:color w:val="000000" w:themeColor="text1"/>
          <w:sz w:val="20"/>
          <w:szCs w:val="20"/>
        </w:rPr>
        <w:t xml:space="preserve"> I, </w:t>
      </w:r>
      <w:proofErr w:type="spellStart"/>
      <w:r w:rsidRPr="00AD4019">
        <w:rPr>
          <w:rFonts w:asciiTheme="minorBidi" w:hAnsiTheme="minorBidi" w:cstheme="minorBidi"/>
          <w:color w:val="000000" w:themeColor="text1"/>
          <w:sz w:val="20"/>
          <w:szCs w:val="20"/>
        </w:rPr>
        <w:t>Pantsios</w:t>
      </w:r>
      <w:proofErr w:type="spellEnd"/>
      <w:r w:rsidRPr="00AD4019">
        <w:rPr>
          <w:rFonts w:asciiTheme="minorBidi" w:hAnsiTheme="minorBidi" w:cstheme="minorBidi"/>
          <w:color w:val="000000" w:themeColor="text1"/>
          <w:sz w:val="20"/>
          <w:szCs w:val="20"/>
        </w:rPr>
        <w:t xml:space="preserve"> C, et al. Bioresorbable Scaffolds for Coronary Revascularization: From Concept to Clinical Maturity. J Cardiovasc Dev Dis. 2025 Dec 19;13(1):2. doi:</w:t>
      </w:r>
      <w:hyperlink r:id="rId11" w:history="1">
        <w:r w:rsidRPr="00AD4019">
          <w:rPr>
            <w:rStyle w:val="Hyperlink"/>
            <w:rFonts w:asciiTheme="minorBidi" w:hAnsiTheme="minorBidi" w:cstheme="minorBidi"/>
            <w:color w:val="000000" w:themeColor="text1"/>
            <w:sz w:val="20"/>
            <w:szCs w:val="20"/>
          </w:rPr>
          <w:t>10.3390/jcdd13010002</w:t>
        </w:r>
      </w:hyperlink>
      <w:r w:rsidRPr="00AD4019">
        <w:rPr>
          <w:rFonts w:asciiTheme="minorBidi" w:hAnsiTheme="minorBidi" w:cstheme="minorBidi"/>
          <w:color w:val="000000" w:themeColor="text1"/>
          <w:sz w:val="20"/>
          <w:szCs w:val="20"/>
        </w:rPr>
        <w:t xml:space="preserve"> PubMed PMID: 41590829; PubMed Central PMCID: PMC12841993.</w:t>
      </w:r>
    </w:p>
    <w:p w14:paraId="61D7BE3D" w14:textId="77777777" w:rsidR="00B76E11" w:rsidRPr="00AD4019" w:rsidRDefault="00B76E11" w:rsidP="008100C5">
      <w:pPr>
        <w:jc w:val="both"/>
        <w:rPr>
          <w:rFonts w:asciiTheme="minorBidi" w:hAnsiTheme="minorBidi" w:cstheme="minorBidi"/>
          <w:color w:val="000000" w:themeColor="text1"/>
          <w:sz w:val="20"/>
          <w:szCs w:val="20"/>
        </w:rPr>
      </w:pPr>
    </w:p>
    <w:p w14:paraId="46BA3133" w14:textId="3AD70384" w:rsidR="003833D7" w:rsidRPr="00AD4019" w:rsidRDefault="00B76E11" w:rsidP="00AD4019">
      <w:pPr>
        <w:pStyle w:val="ListParagraph"/>
        <w:numPr>
          <w:ilvl w:val="0"/>
          <w:numId w:val="5"/>
        </w:numPr>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rPr>
        <w:t xml:space="preserve">Ramakrishna CD, Dave BA, </w:t>
      </w:r>
      <w:proofErr w:type="spellStart"/>
      <w:r w:rsidRPr="00AD4019">
        <w:rPr>
          <w:rFonts w:asciiTheme="minorBidi" w:hAnsiTheme="minorBidi" w:cstheme="minorBidi"/>
          <w:color w:val="000000" w:themeColor="text1"/>
          <w:sz w:val="20"/>
          <w:szCs w:val="20"/>
        </w:rPr>
        <w:t>Kothavade</w:t>
      </w:r>
      <w:proofErr w:type="spellEnd"/>
      <w:r w:rsidRPr="00AD4019">
        <w:rPr>
          <w:rFonts w:asciiTheme="minorBidi" w:hAnsiTheme="minorBidi" w:cstheme="minorBidi"/>
          <w:color w:val="000000" w:themeColor="text1"/>
          <w:sz w:val="20"/>
          <w:szCs w:val="20"/>
        </w:rPr>
        <w:t xml:space="preserve"> PS, Joshi KJ, Thakkar AS. Basic concepts and clinical outcomes of drug-eluting balloons for treatment of coronary artery disease. J Clin Diagn Res. 2017;11:OE01–4.</w:t>
      </w:r>
    </w:p>
    <w:p w14:paraId="407E8E41" w14:textId="37BA9B0E" w:rsidR="003833D7" w:rsidRPr="00AD4019" w:rsidRDefault="003833D7" w:rsidP="003833D7">
      <w:pPr>
        <w:pStyle w:val="ListParagraph"/>
        <w:ind w:left="644"/>
        <w:jc w:val="center"/>
        <w:rPr>
          <w:rFonts w:asciiTheme="minorBidi" w:hAnsiTheme="minorBidi" w:cstheme="minorBidi"/>
          <w:color w:val="000000" w:themeColor="text1"/>
          <w:sz w:val="20"/>
          <w:szCs w:val="20"/>
        </w:rPr>
      </w:pPr>
    </w:p>
    <w:p w14:paraId="3B444FE7" w14:textId="3B143C06" w:rsidR="003833D7" w:rsidRPr="00AD4019" w:rsidRDefault="003833D7" w:rsidP="00AD4019">
      <w:pPr>
        <w:pStyle w:val="ListParagraph"/>
        <w:numPr>
          <w:ilvl w:val="0"/>
          <w:numId w:val="5"/>
        </w:numPr>
        <w:ind w:right="96"/>
        <w:jc w:val="both"/>
        <w:rPr>
          <w:rFonts w:asciiTheme="minorBidi" w:hAnsiTheme="minorBidi" w:cstheme="minorBidi"/>
          <w:color w:val="000000" w:themeColor="text1"/>
          <w:sz w:val="20"/>
          <w:szCs w:val="20"/>
        </w:rPr>
      </w:pPr>
      <w:proofErr w:type="spellStart"/>
      <w:r w:rsidRPr="00AD4019">
        <w:rPr>
          <w:rFonts w:asciiTheme="minorBidi" w:hAnsiTheme="minorBidi" w:cstheme="minorBidi"/>
          <w:color w:val="000000" w:themeColor="text1"/>
          <w:sz w:val="20"/>
          <w:szCs w:val="20"/>
        </w:rPr>
        <w:t>Chioncel</w:t>
      </w:r>
      <w:proofErr w:type="spellEnd"/>
      <w:r w:rsidRPr="00AD4019">
        <w:rPr>
          <w:rFonts w:asciiTheme="minorBidi" w:hAnsiTheme="minorBidi" w:cstheme="minorBidi"/>
          <w:color w:val="000000" w:themeColor="text1"/>
          <w:sz w:val="20"/>
          <w:szCs w:val="20"/>
        </w:rPr>
        <w:t xml:space="preserve"> V, </w:t>
      </w:r>
      <w:proofErr w:type="spellStart"/>
      <w:r w:rsidRPr="00AD4019">
        <w:rPr>
          <w:rFonts w:asciiTheme="minorBidi" w:hAnsiTheme="minorBidi" w:cstheme="minorBidi"/>
          <w:color w:val="000000" w:themeColor="text1"/>
          <w:sz w:val="20"/>
          <w:szCs w:val="20"/>
        </w:rPr>
        <w:t>Gherasie</w:t>
      </w:r>
      <w:proofErr w:type="spellEnd"/>
      <w:r w:rsidRPr="00AD4019">
        <w:rPr>
          <w:rFonts w:asciiTheme="minorBidi" w:hAnsiTheme="minorBidi" w:cstheme="minorBidi"/>
          <w:color w:val="000000" w:themeColor="text1"/>
          <w:sz w:val="20"/>
          <w:szCs w:val="20"/>
        </w:rPr>
        <w:t xml:space="preserve"> F, </w:t>
      </w:r>
      <w:proofErr w:type="spellStart"/>
      <w:r w:rsidRPr="00AD4019">
        <w:rPr>
          <w:rFonts w:asciiTheme="minorBidi" w:hAnsiTheme="minorBidi" w:cstheme="minorBidi"/>
          <w:color w:val="000000" w:themeColor="text1"/>
          <w:sz w:val="20"/>
          <w:szCs w:val="20"/>
        </w:rPr>
        <w:t>Iancu</w:t>
      </w:r>
      <w:proofErr w:type="spellEnd"/>
      <w:r w:rsidRPr="00AD4019">
        <w:rPr>
          <w:rFonts w:asciiTheme="minorBidi" w:hAnsiTheme="minorBidi" w:cstheme="minorBidi"/>
          <w:color w:val="000000" w:themeColor="text1"/>
          <w:sz w:val="20"/>
          <w:szCs w:val="20"/>
        </w:rPr>
        <w:t xml:space="preserve"> A, Avram AG. Coronary Angioplasty with Drug-Coated Balloons: Pharmacological Foundations, Clinical Efficacy, and Future Directions. </w:t>
      </w:r>
      <w:proofErr w:type="spellStart"/>
      <w:r w:rsidRPr="00AD4019">
        <w:rPr>
          <w:rFonts w:asciiTheme="minorBidi" w:hAnsiTheme="minorBidi" w:cstheme="minorBidi"/>
          <w:color w:val="000000" w:themeColor="text1"/>
          <w:sz w:val="20"/>
          <w:szCs w:val="20"/>
        </w:rPr>
        <w:t>Medicina</w:t>
      </w:r>
      <w:proofErr w:type="spellEnd"/>
      <w:r w:rsidRPr="00AD4019">
        <w:rPr>
          <w:rFonts w:asciiTheme="minorBidi" w:hAnsiTheme="minorBidi" w:cstheme="minorBidi"/>
          <w:color w:val="000000" w:themeColor="text1"/>
          <w:sz w:val="20"/>
          <w:szCs w:val="20"/>
        </w:rPr>
        <w:t xml:space="preserve"> (Kaunas). 2025 Aug 15;61(8):1470. doi:</w:t>
      </w:r>
      <w:hyperlink r:id="rId12" w:history="1">
        <w:r w:rsidRPr="00AD4019">
          <w:rPr>
            <w:rStyle w:val="Hyperlink"/>
            <w:rFonts w:asciiTheme="minorBidi" w:hAnsiTheme="minorBidi" w:cstheme="minorBidi"/>
            <w:color w:val="000000" w:themeColor="text1"/>
            <w:sz w:val="20"/>
            <w:szCs w:val="20"/>
          </w:rPr>
          <w:t>10.3390/medicina61081470</w:t>
        </w:r>
      </w:hyperlink>
      <w:r w:rsidRPr="00AD4019">
        <w:rPr>
          <w:rFonts w:asciiTheme="minorBidi" w:hAnsiTheme="minorBidi" w:cstheme="minorBidi"/>
          <w:color w:val="000000" w:themeColor="text1"/>
          <w:sz w:val="20"/>
          <w:szCs w:val="20"/>
        </w:rPr>
        <w:t xml:space="preserve"> PubMed PMID: 40870515; PubMed Central PMCID: PMC12387977.</w:t>
      </w:r>
    </w:p>
    <w:p w14:paraId="15593848" w14:textId="77777777" w:rsidR="00B76E11" w:rsidRPr="00AD4019" w:rsidRDefault="00B76E11" w:rsidP="008100C5">
      <w:pPr>
        <w:jc w:val="both"/>
        <w:rPr>
          <w:rFonts w:asciiTheme="minorBidi" w:hAnsiTheme="minorBidi" w:cstheme="minorBidi"/>
          <w:color w:val="000000" w:themeColor="text1"/>
          <w:sz w:val="20"/>
          <w:szCs w:val="20"/>
        </w:rPr>
      </w:pPr>
    </w:p>
    <w:p w14:paraId="1AD0E080" w14:textId="77777777" w:rsidR="00B76E11" w:rsidRPr="00AD4019" w:rsidRDefault="00B76E11" w:rsidP="008100C5">
      <w:pPr>
        <w:pStyle w:val="ListParagraph"/>
        <w:numPr>
          <w:ilvl w:val="0"/>
          <w:numId w:val="5"/>
        </w:numPr>
        <w:jc w:val="both"/>
        <w:rPr>
          <w:rFonts w:asciiTheme="minorBidi" w:hAnsiTheme="minorBidi" w:cstheme="minorBidi"/>
          <w:color w:val="000000" w:themeColor="text1"/>
          <w:sz w:val="20"/>
          <w:szCs w:val="20"/>
        </w:rPr>
      </w:pPr>
      <w:proofErr w:type="spellStart"/>
      <w:r w:rsidRPr="00AD4019">
        <w:rPr>
          <w:rFonts w:asciiTheme="minorBidi" w:hAnsiTheme="minorBidi" w:cstheme="minorBidi"/>
          <w:color w:val="000000" w:themeColor="text1"/>
          <w:sz w:val="20"/>
          <w:szCs w:val="20"/>
        </w:rPr>
        <w:t>Scheller</w:t>
      </w:r>
      <w:proofErr w:type="spellEnd"/>
      <w:r w:rsidRPr="00AD4019">
        <w:rPr>
          <w:rFonts w:asciiTheme="minorBidi" w:hAnsiTheme="minorBidi" w:cstheme="minorBidi"/>
          <w:color w:val="000000" w:themeColor="text1"/>
          <w:sz w:val="20"/>
          <w:szCs w:val="20"/>
        </w:rPr>
        <w:t xml:space="preserve"> B, </w:t>
      </w:r>
      <w:proofErr w:type="spellStart"/>
      <w:r w:rsidRPr="00AD4019">
        <w:rPr>
          <w:rFonts w:asciiTheme="minorBidi" w:hAnsiTheme="minorBidi" w:cstheme="minorBidi"/>
          <w:color w:val="000000" w:themeColor="text1"/>
          <w:sz w:val="20"/>
          <w:szCs w:val="20"/>
        </w:rPr>
        <w:t>Hehrlein</w:t>
      </w:r>
      <w:proofErr w:type="spellEnd"/>
      <w:r w:rsidRPr="00AD4019">
        <w:rPr>
          <w:rFonts w:asciiTheme="minorBidi" w:hAnsiTheme="minorBidi" w:cstheme="minorBidi"/>
          <w:color w:val="000000" w:themeColor="text1"/>
          <w:sz w:val="20"/>
          <w:szCs w:val="20"/>
        </w:rPr>
        <w:t xml:space="preserve"> C, </w:t>
      </w:r>
      <w:proofErr w:type="spellStart"/>
      <w:r w:rsidRPr="00AD4019">
        <w:rPr>
          <w:rFonts w:asciiTheme="minorBidi" w:hAnsiTheme="minorBidi" w:cstheme="minorBidi"/>
          <w:color w:val="000000" w:themeColor="text1"/>
          <w:sz w:val="20"/>
          <w:szCs w:val="20"/>
        </w:rPr>
        <w:t>Bocksch</w:t>
      </w:r>
      <w:proofErr w:type="spellEnd"/>
      <w:r w:rsidRPr="00AD4019">
        <w:rPr>
          <w:rFonts w:asciiTheme="minorBidi" w:hAnsiTheme="minorBidi" w:cstheme="minorBidi"/>
          <w:color w:val="000000" w:themeColor="text1"/>
          <w:sz w:val="20"/>
          <w:szCs w:val="20"/>
        </w:rPr>
        <w:t xml:space="preserve"> W, Rutsch W, </w:t>
      </w:r>
      <w:proofErr w:type="spellStart"/>
      <w:r w:rsidRPr="00AD4019">
        <w:rPr>
          <w:rFonts w:asciiTheme="minorBidi" w:hAnsiTheme="minorBidi" w:cstheme="minorBidi"/>
          <w:color w:val="000000" w:themeColor="text1"/>
          <w:sz w:val="20"/>
          <w:szCs w:val="20"/>
        </w:rPr>
        <w:t>Haghi</w:t>
      </w:r>
      <w:proofErr w:type="spellEnd"/>
      <w:r w:rsidRPr="00AD4019">
        <w:rPr>
          <w:rFonts w:asciiTheme="minorBidi" w:hAnsiTheme="minorBidi" w:cstheme="minorBidi"/>
          <w:color w:val="000000" w:themeColor="text1"/>
          <w:sz w:val="20"/>
          <w:szCs w:val="20"/>
        </w:rPr>
        <w:t xml:space="preserve"> D, Dietz U, et al. Treatment of coronary in-stent restenosis with a paclitaxel-coated balloon catheter. N Engl J Med. 2006;355:2113–24.</w:t>
      </w:r>
    </w:p>
    <w:p w14:paraId="5A4146C5" w14:textId="77777777" w:rsidR="00B76E11" w:rsidRPr="00AD4019" w:rsidRDefault="00B76E11" w:rsidP="008100C5">
      <w:pPr>
        <w:jc w:val="both"/>
        <w:rPr>
          <w:rFonts w:asciiTheme="minorBidi" w:hAnsiTheme="minorBidi" w:cstheme="minorBidi"/>
          <w:color w:val="000000" w:themeColor="text1"/>
          <w:sz w:val="20"/>
          <w:szCs w:val="20"/>
        </w:rPr>
      </w:pPr>
    </w:p>
    <w:p w14:paraId="1544DD38" w14:textId="77777777" w:rsidR="00B76E11" w:rsidRPr="00AD4019" w:rsidRDefault="00B76E11" w:rsidP="008100C5">
      <w:pPr>
        <w:pStyle w:val="ListParagraph"/>
        <w:numPr>
          <w:ilvl w:val="0"/>
          <w:numId w:val="5"/>
        </w:numPr>
        <w:jc w:val="both"/>
        <w:rPr>
          <w:rFonts w:asciiTheme="minorBidi" w:hAnsiTheme="minorBidi" w:cstheme="minorBidi"/>
          <w:color w:val="000000" w:themeColor="text1"/>
          <w:sz w:val="20"/>
          <w:szCs w:val="20"/>
        </w:rPr>
      </w:pPr>
      <w:proofErr w:type="spellStart"/>
      <w:r w:rsidRPr="00AD4019">
        <w:rPr>
          <w:rFonts w:asciiTheme="minorBidi" w:hAnsiTheme="minorBidi" w:cstheme="minorBidi"/>
          <w:color w:val="000000" w:themeColor="text1"/>
          <w:sz w:val="20"/>
          <w:szCs w:val="20"/>
        </w:rPr>
        <w:t>Rittger</w:t>
      </w:r>
      <w:proofErr w:type="spellEnd"/>
      <w:r w:rsidRPr="00AD4019">
        <w:rPr>
          <w:rFonts w:asciiTheme="minorBidi" w:hAnsiTheme="minorBidi" w:cstheme="minorBidi"/>
          <w:color w:val="000000" w:themeColor="text1"/>
          <w:sz w:val="20"/>
          <w:szCs w:val="20"/>
        </w:rPr>
        <w:t xml:space="preserve"> H, </w:t>
      </w:r>
      <w:proofErr w:type="spellStart"/>
      <w:r w:rsidRPr="00AD4019">
        <w:rPr>
          <w:rFonts w:asciiTheme="minorBidi" w:hAnsiTheme="minorBidi" w:cstheme="minorBidi"/>
          <w:color w:val="000000" w:themeColor="text1"/>
          <w:sz w:val="20"/>
          <w:szCs w:val="20"/>
        </w:rPr>
        <w:t>Waliszewski</w:t>
      </w:r>
      <w:proofErr w:type="spellEnd"/>
      <w:r w:rsidRPr="00AD4019">
        <w:rPr>
          <w:rFonts w:asciiTheme="minorBidi" w:hAnsiTheme="minorBidi" w:cstheme="minorBidi"/>
          <w:color w:val="000000" w:themeColor="text1"/>
          <w:sz w:val="20"/>
          <w:szCs w:val="20"/>
        </w:rPr>
        <w:t xml:space="preserve"> M, </w:t>
      </w:r>
      <w:proofErr w:type="spellStart"/>
      <w:r w:rsidRPr="00AD4019">
        <w:rPr>
          <w:rFonts w:asciiTheme="minorBidi" w:hAnsiTheme="minorBidi" w:cstheme="minorBidi"/>
          <w:color w:val="000000" w:themeColor="text1"/>
          <w:sz w:val="20"/>
          <w:szCs w:val="20"/>
        </w:rPr>
        <w:t>Brachmann</w:t>
      </w:r>
      <w:proofErr w:type="spellEnd"/>
      <w:r w:rsidRPr="00AD4019">
        <w:rPr>
          <w:rFonts w:asciiTheme="minorBidi" w:hAnsiTheme="minorBidi" w:cstheme="minorBidi"/>
          <w:color w:val="000000" w:themeColor="text1"/>
          <w:sz w:val="20"/>
          <w:szCs w:val="20"/>
        </w:rPr>
        <w:t xml:space="preserve"> J, </w:t>
      </w:r>
      <w:proofErr w:type="spellStart"/>
      <w:r w:rsidRPr="00AD4019">
        <w:rPr>
          <w:rFonts w:asciiTheme="minorBidi" w:hAnsiTheme="minorBidi" w:cstheme="minorBidi"/>
          <w:color w:val="000000" w:themeColor="text1"/>
          <w:sz w:val="20"/>
          <w:szCs w:val="20"/>
        </w:rPr>
        <w:t>Hohenforst</w:t>
      </w:r>
      <w:proofErr w:type="spellEnd"/>
      <w:r w:rsidRPr="00AD4019">
        <w:rPr>
          <w:rFonts w:asciiTheme="minorBidi" w:hAnsiTheme="minorBidi" w:cstheme="minorBidi"/>
          <w:color w:val="000000" w:themeColor="text1"/>
          <w:sz w:val="20"/>
          <w:szCs w:val="20"/>
        </w:rPr>
        <w:t xml:space="preserve">-Schmidt W, </w:t>
      </w:r>
      <w:proofErr w:type="spellStart"/>
      <w:r w:rsidRPr="00AD4019">
        <w:rPr>
          <w:rFonts w:asciiTheme="minorBidi" w:hAnsiTheme="minorBidi" w:cstheme="minorBidi"/>
          <w:color w:val="000000" w:themeColor="text1"/>
          <w:sz w:val="20"/>
          <w:szCs w:val="20"/>
        </w:rPr>
        <w:t>Ohlow</w:t>
      </w:r>
      <w:proofErr w:type="spellEnd"/>
      <w:r w:rsidRPr="00AD4019">
        <w:rPr>
          <w:rFonts w:asciiTheme="minorBidi" w:hAnsiTheme="minorBidi" w:cstheme="minorBidi"/>
          <w:color w:val="000000" w:themeColor="text1"/>
          <w:sz w:val="20"/>
          <w:szCs w:val="20"/>
        </w:rPr>
        <w:t xml:space="preserve"> M, Brugger A, et al. Long-term outcomes after treatment with a paclitaxel-coated balloon versus balloon angioplasty: insights from the PEPCAD-DES study. JACC Cardiovasc </w:t>
      </w:r>
      <w:proofErr w:type="spellStart"/>
      <w:r w:rsidRPr="00AD4019">
        <w:rPr>
          <w:rFonts w:asciiTheme="minorBidi" w:hAnsiTheme="minorBidi" w:cstheme="minorBidi"/>
          <w:color w:val="000000" w:themeColor="text1"/>
          <w:sz w:val="20"/>
          <w:szCs w:val="20"/>
        </w:rPr>
        <w:t>Interv</w:t>
      </w:r>
      <w:proofErr w:type="spellEnd"/>
      <w:r w:rsidRPr="00AD4019">
        <w:rPr>
          <w:rFonts w:asciiTheme="minorBidi" w:hAnsiTheme="minorBidi" w:cstheme="minorBidi"/>
          <w:color w:val="000000" w:themeColor="text1"/>
          <w:sz w:val="20"/>
          <w:szCs w:val="20"/>
        </w:rPr>
        <w:t>. 2015;8:1695–700.</w:t>
      </w:r>
    </w:p>
    <w:p w14:paraId="63D2601B" w14:textId="77777777" w:rsidR="004155A1" w:rsidRPr="00AD4019" w:rsidRDefault="004155A1" w:rsidP="004155A1">
      <w:pPr>
        <w:pStyle w:val="ListParagraph"/>
        <w:rPr>
          <w:rFonts w:asciiTheme="minorBidi" w:hAnsiTheme="minorBidi" w:cstheme="minorBidi"/>
          <w:color w:val="000000" w:themeColor="text1"/>
          <w:sz w:val="20"/>
          <w:szCs w:val="20"/>
        </w:rPr>
      </w:pPr>
    </w:p>
    <w:p w14:paraId="3544E42A" w14:textId="42EC6BA8" w:rsidR="006B3B0B" w:rsidRPr="00AD4019" w:rsidRDefault="004155A1" w:rsidP="006B3B0B">
      <w:pPr>
        <w:pStyle w:val="ListParagraph"/>
        <w:numPr>
          <w:ilvl w:val="0"/>
          <w:numId w:val="5"/>
        </w:numPr>
        <w:jc w:val="both"/>
        <w:rPr>
          <w:rFonts w:asciiTheme="minorBidi" w:hAnsiTheme="minorBidi" w:cstheme="minorBidi"/>
          <w:color w:val="000000" w:themeColor="text1"/>
          <w:sz w:val="20"/>
          <w:szCs w:val="20"/>
        </w:rPr>
      </w:pPr>
      <w:proofErr w:type="spellStart"/>
      <w:r w:rsidRPr="00AD4019">
        <w:rPr>
          <w:rFonts w:asciiTheme="minorBidi" w:hAnsiTheme="minorBidi" w:cstheme="minorBidi"/>
          <w:color w:val="000000" w:themeColor="text1"/>
          <w:sz w:val="20"/>
          <w:szCs w:val="20"/>
        </w:rPr>
        <w:t>Korjian</w:t>
      </w:r>
      <w:proofErr w:type="spellEnd"/>
      <w:r w:rsidRPr="00AD4019">
        <w:rPr>
          <w:rFonts w:asciiTheme="minorBidi" w:hAnsiTheme="minorBidi" w:cstheme="minorBidi"/>
          <w:color w:val="000000" w:themeColor="text1"/>
          <w:sz w:val="20"/>
          <w:szCs w:val="20"/>
        </w:rPr>
        <w:t xml:space="preserve"> S, McCarthy KJ, </w:t>
      </w:r>
      <w:proofErr w:type="spellStart"/>
      <w:r w:rsidRPr="00AD4019">
        <w:rPr>
          <w:rFonts w:asciiTheme="minorBidi" w:hAnsiTheme="minorBidi" w:cstheme="minorBidi"/>
          <w:color w:val="000000" w:themeColor="text1"/>
          <w:sz w:val="20"/>
          <w:szCs w:val="20"/>
        </w:rPr>
        <w:t>Larnard</w:t>
      </w:r>
      <w:proofErr w:type="spellEnd"/>
      <w:r w:rsidRPr="00AD4019">
        <w:rPr>
          <w:rFonts w:asciiTheme="minorBidi" w:hAnsiTheme="minorBidi" w:cstheme="minorBidi"/>
          <w:color w:val="000000" w:themeColor="text1"/>
          <w:sz w:val="20"/>
          <w:szCs w:val="20"/>
        </w:rPr>
        <w:t xml:space="preserve"> EA, </w:t>
      </w:r>
      <w:proofErr w:type="spellStart"/>
      <w:r w:rsidRPr="00AD4019">
        <w:rPr>
          <w:rFonts w:asciiTheme="minorBidi" w:hAnsiTheme="minorBidi" w:cstheme="minorBidi"/>
          <w:color w:val="000000" w:themeColor="text1"/>
          <w:sz w:val="20"/>
          <w:szCs w:val="20"/>
        </w:rPr>
        <w:t>Cutlip</w:t>
      </w:r>
      <w:proofErr w:type="spellEnd"/>
      <w:r w:rsidRPr="00AD4019">
        <w:rPr>
          <w:rFonts w:asciiTheme="minorBidi" w:hAnsiTheme="minorBidi" w:cstheme="minorBidi"/>
          <w:color w:val="000000" w:themeColor="text1"/>
          <w:sz w:val="20"/>
          <w:szCs w:val="20"/>
        </w:rPr>
        <w:t xml:space="preserve"> DE, </w:t>
      </w:r>
      <w:proofErr w:type="spellStart"/>
      <w:r w:rsidRPr="00AD4019">
        <w:rPr>
          <w:rFonts w:asciiTheme="minorBidi" w:hAnsiTheme="minorBidi" w:cstheme="minorBidi"/>
          <w:color w:val="000000" w:themeColor="text1"/>
          <w:sz w:val="20"/>
          <w:szCs w:val="20"/>
        </w:rPr>
        <w:t>McEntegart</w:t>
      </w:r>
      <w:proofErr w:type="spellEnd"/>
      <w:r w:rsidRPr="00AD4019">
        <w:rPr>
          <w:rFonts w:asciiTheme="minorBidi" w:hAnsiTheme="minorBidi" w:cstheme="minorBidi"/>
          <w:color w:val="000000" w:themeColor="text1"/>
          <w:sz w:val="20"/>
          <w:szCs w:val="20"/>
        </w:rPr>
        <w:t xml:space="preserve"> MB, </w:t>
      </w:r>
      <w:proofErr w:type="spellStart"/>
      <w:r w:rsidRPr="00AD4019">
        <w:rPr>
          <w:rFonts w:asciiTheme="minorBidi" w:hAnsiTheme="minorBidi" w:cstheme="minorBidi"/>
          <w:color w:val="000000" w:themeColor="text1"/>
          <w:sz w:val="20"/>
          <w:szCs w:val="20"/>
        </w:rPr>
        <w:t>Kirtane</w:t>
      </w:r>
      <w:proofErr w:type="spellEnd"/>
      <w:r w:rsidRPr="00AD4019">
        <w:rPr>
          <w:rFonts w:asciiTheme="minorBidi" w:hAnsiTheme="minorBidi" w:cstheme="minorBidi"/>
          <w:color w:val="000000" w:themeColor="text1"/>
          <w:sz w:val="20"/>
          <w:szCs w:val="20"/>
        </w:rPr>
        <w:t xml:space="preserve"> AJ, et al. Drug-Coated Balloons in the Management of Coronary Artery Disease. Circulation: Cardiovascular Interventions. 2024 May;17(5):e013302. doi:</w:t>
      </w:r>
      <w:hyperlink r:id="rId13" w:history="1">
        <w:r w:rsidRPr="00AD4019">
          <w:rPr>
            <w:rStyle w:val="Hyperlink"/>
            <w:rFonts w:asciiTheme="minorBidi" w:hAnsiTheme="minorBidi" w:cstheme="minorBidi"/>
            <w:color w:val="000000" w:themeColor="text1"/>
            <w:sz w:val="20"/>
            <w:szCs w:val="20"/>
          </w:rPr>
          <w:t>10.1161/CIRCINTERVENTIONS.123.013302</w:t>
        </w:r>
      </w:hyperlink>
    </w:p>
    <w:p w14:paraId="4CA12D1C" w14:textId="77777777" w:rsidR="006B3B0B" w:rsidRPr="00AD4019" w:rsidRDefault="006B3B0B" w:rsidP="006B3B0B">
      <w:pPr>
        <w:pStyle w:val="ListParagraph"/>
        <w:rPr>
          <w:rFonts w:asciiTheme="minorBidi" w:hAnsiTheme="minorBidi" w:cstheme="minorBidi"/>
          <w:color w:val="000000" w:themeColor="text1"/>
          <w:sz w:val="20"/>
          <w:szCs w:val="20"/>
        </w:rPr>
      </w:pPr>
    </w:p>
    <w:p w14:paraId="2EF1FA72" w14:textId="77777777" w:rsidR="006B3B0B" w:rsidRPr="00AD4019" w:rsidRDefault="006B3B0B" w:rsidP="006B3B0B">
      <w:pPr>
        <w:pStyle w:val="ListParagraph"/>
        <w:numPr>
          <w:ilvl w:val="0"/>
          <w:numId w:val="5"/>
        </w:numPr>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rPr>
        <w:t xml:space="preserve">Simonetti F, </w:t>
      </w:r>
      <w:proofErr w:type="spellStart"/>
      <w:r w:rsidRPr="00AD4019">
        <w:rPr>
          <w:rFonts w:asciiTheme="minorBidi" w:hAnsiTheme="minorBidi" w:cstheme="minorBidi"/>
          <w:color w:val="000000" w:themeColor="text1"/>
          <w:sz w:val="20"/>
          <w:szCs w:val="20"/>
        </w:rPr>
        <w:t>Voll</w:t>
      </w:r>
      <w:proofErr w:type="spellEnd"/>
      <w:r w:rsidRPr="00AD4019">
        <w:rPr>
          <w:rFonts w:asciiTheme="minorBidi" w:hAnsiTheme="minorBidi" w:cstheme="minorBidi"/>
          <w:color w:val="000000" w:themeColor="text1"/>
          <w:sz w:val="20"/>
          <w:szCs w:val="20"/>
        </w:rPr>
        <w:t xml:space="preserve"> F, Alfonso F, </w:t>
      </w:r>
      <w:proofErr w:type="spellStart"/>
      <w:r w:rsidRPr="00AD4019">
        <w:rPr>
          <w:rFonts w:asciiTheme="minorBidi" w:hAnsiTheme="minorBidi" w:cstheme="minorBidi"/>
          <w:color w:val="000000" w:themeColor="text1"/>
          <w:sz w:val="20"/>
          <w:szCs w:val="20"/>
        </w:rPr>
        <w:t>Gräßer</w:t>
      </w:r>
      <w:proofErr w:type="spellEnd"/>
      <w:r w:rsidRPr="00AD4019">
        <w:rPr>
          <w:rFonts w:asciiTheme="minorBidi" w:hAnsiTheme="minorBidi" w:cstheme="minorBidi"/>
          <w:color w:val="000000" w:themeColor="text1"/>
          <w:sz w:val="20"/>
          <w:szCs w:val="20"/>
        </w:rPr>
        <w:t xml:space="preserve"> C, </w:t>
      </w:r>
      <w:proofErr w:type="spellStart"/>
      <w:r w:rsidRPr="00AD4019">
        <w:rPr>
          <w:rFonts w:asciiTheme="minorBidi" w:hAnsiTheme="minorBidi" w:cstheme="minorBidi"/>
          <w:color w:val="000000" w:themeColor="text1"/>
          <w:sz w:val="20"/>
          <w:szCs w:val="20"/>
        </w:rPr>
        <w:t>Janisch</w:t>
      </w:r>
      <w:proofErr w:type="spellEnd"/>
      <w:r w:rsidRPr="00AD4019">
        <w:rPr>
          <w:rFonts w:asciiTheme="minorBidi" w:hAnsiTheme="minorBidi" w:cstheme="minorBidi"/>
          <w:color w:val="000000" w:themeColor="text1"/>
          <w:sz w:val="20"/>
          <w:szCs w:val="20"/>
        </w:rPr>
        <w:t xml:space="preserve"> M, </w:t>
      </w:r>
      <w:proofErr w:type="spellStart"/>
      <w:r w:rsidRPr="00AD4019">
        <w:rPr>
          <w:rFonts w:asciiTheme="minorBidi" w:hAnsiTheme="minorBidi" w:cstheme="minorBidi"/>
          <w:color w:val="000000" w:themeColor="text1"/>
          <w:sz w:val="20"/>
          <w:szCs w:val="20"/>
        </w:rPr>
        <w:t>Joner</w:t>
      </w:r>
      <w:proofErr w:type="spellEnd"/>
      <w:r w:rsidRPr="00AD4019">
        <w:rPr>
          <w:rFonts w:asciiTheme="minorBidi" w:hAnsiTheme="minorBidi" w:cstheme="minorBidi"/>
          <w:color w:val="000000" w:themeColor="text1"/>
          <w:sz w:val="20"/>
          <w:szCs w:val="20"/>
        </w:rPr>
        <w:t xml:space="preserve"> M, et al. Intracoronary Stenting and Restenosis - Randomized Trial of Drug-Eluting Stent Implantation or Drug-Coated Balloon Angioplasty According to Neointima Morphology in Drug-Eluting Stent </w:t>
      </w:r>
      <w:proofErr w:type="spellStart"/>
      <w:r w:rsidRPr="00AD4019">
        <w:rPr>
          <w:rFonts w:asciiTheme="minorBidi" w:hAnsiTheme="minorBidi" w:cstheme="minorBidi"/>
          <w:color w:val="000000" w:themeColor="text1"/>
          <w:sz w:val="20"/>
          <w:szCs w:val="20"/>
        </w:rPr>
        <w:t>REstenosis</w:t>
      </w:r>
      <w:proofErr w:type="spellEnd"/>
      <w:r w:rsidRPr="00AD4019">
        <w:rPr>
          <w:rFonts w:asciiTheme="minorBidi" w:hAnsiTheme="minorBidi" w:cstheme="minorBidi"/>
          <w:color w:val="000000" w:themeColor="text1"/>
          <w:sz w:val="20"/>
          <w:szCs w:val="20"/>
        </w:rPr>
        <w:t xml:space="preserve"> 5: Rationale and Design of the ISAR-DESIRE 5 Trial. J Cardiovasc </w:t>
      </w:r>
      <w:proofErr w:type="spellStart"/>
      <w:r w:rsidRPr="00AD4019">
        <w:rPr>
          <w:rFonts w:asciiTheme="minorBidi" w:hAnsiTheme="minorBidi" w:cstheme="minorBidi"/>
          <w:color w:val="000000" w:themeColor="text1"/>
          <w:sz w:val="20"/>
          <w:szCs w:val="20"/>
        </w:rPr>
        <w:t>Transl</w:t>
      </w:r>
      <w:proofErr w:type="spellEnd"/>
      <w:r w:rsidRPr="00AD4019">
        <w:rPr>
          <w:rFonts w:asciiTheme="minorBidi" w:hAnsiTheme="minorBidi" w:cstheme="minorBidi"/>
          <w:color w:val="000000" w:themeColor="text1"/>
          <w:sz w:val="20"/>
          <w:szCs w:val="20"/>
        </w:rPr>
        <w:t xml:space="preserve"> Res. 2025 Oct;18(5):1176–84. doi:</w:t>
      </w:r>
      <w:hyperlink r:id="rId14" w:history="1">
        <w:r w:rsidRPr="00AD4019">
          <w:rPr>
            <w:rStyle w:val="Hyperlink"/>
            <w:rFonts w:asciiTheme="minorBidi" w:hAnsiTheme="minorBidi" w:cstheme="minorBidi"/>
            <w:color w:val="000000" w:themeColor="text1"/>
            <w:sz w:val="20"/>
            <w:szCs w:val="20"/>
          </w:rPr>
          <w:t>10.1007/s12265-025-10650-x</w:t>
        </w:r>
      </w:hyperlink>
      <w:r w:rsidRPr="00AD4019">
        <w:rPr>
          <w:rFonts w:asciiTheme="minorBidi" w:hAnsiTheme="minorBidi" w:cstheme="minorBidi"/>
          <w:color w:val="000000" w:themeColor="text1"/>
          <w:sz w:val="20"/>
          <w:szCs w:val="20"/>
        </w:rPr>
        <w:t xml:space="preserve"> PubMed PMID: 40588613; PubMed Central PMCID: PMC12630265.</w:t>
      </w:r>
    </w:p>
    <w:p w14:paraId="0DE7652B" w14:textId="77777777" w:rsidR="00B76E11" w:rsidRPr="00AD4019" w:rsidRDefault="00B76E11" w:rsidP="004155A1">
      <w:pPr>
        <w:jc w:val="both"/>
        <w:rPr>
          <w:rFonts w:asciiTheme="minorBidi" w:hAnsiTheme="minorBidi" w:cstheme="minorBidi"/>
          <w:color w:val="000000" w:themeColor="text1"/>
          <w:sz w:val="20"/>
          <w:szCs w:val="20"/>
        </w:rPr>
      </w:pPr>
    </w:p>
    <w:p w14:paraId="5799070F" w14:textId="5B8A221D" w:rsidR="004155A1" w:rsidRPr="00AD4019" w:rsidRDefault="004155A1" w:rsidP="004155A1">
      <w:pPr>
        <w:pStyle w:val="ListParagraph"/>
        <w:numPr>
          <w:ilvl w:val="0"/>
          <w:numId w:val="5"/>
        </w:numPr>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rPr>
        <w:t xml:space="preserve">Her AY, Ahmad WAW, Bang LH, </w:t>
      </w:r>
      <w:proofErr w:type="spellStart"/>
      <w:r w:rsidRPr="00AD4019">
        <w:rPr>
          <w:rFonts w:asciiTheme="minorBidi" w:hAnsiTheme="minorBidi" w:cstheme="minorBidi"/>
          <w:color w:val="000000" w:themeColor="text1"/>
          <w:sz w:val="20"/>
          <w:szCs w:val="20"/>
        </w:rPr>
        <w:t>Kiam</w:t>
      </w:r>
      <w:proofErr w:type="spellEnd"/>
      <w:r w:rsidRPr="00AD4019">
        <w:rPr>
          <w:rFonts w:asciiTheme="minorBidi" w:hAnsiTheme="minorBidi" w:cstheme="minorBidi"/>
          <w:color w:val="000000" w:themeColor="text1"/>
          <w:sz w:val="20"/>
          <w:szCs w:val="20"/>
        </w:rPr>
        <w:t xml:space="preserve"> OT, </w:t>
      </w:r>
      <w:proofErr w:type="spellStart"/>
      <w:r w:rsidRPr="00AD4019">
        <w:rPr>
          <w:rFonts w:asciiTheme="minorBidi" w:hAnsiTheme="minorBidi" w:cstheme="minorBidi"/>
          <w:color w:val="000000" w:themeColor="text1"/>
          <w:sz w:val="20"/>
          <w:szCs w:val="20"/>
        </w:rPr>
        <w:t>Nuruddin</w:t>
      </w:r>
      <w:proofErr w:type="spellEnd"/>
      <w:r w:rsidRPr="00AD4019">
        <w:rPr>
          <w:rFonts w:asciiTheme="minorBidi" w:hAnsiTheme="minorBidi" w:cstheme="minorBidi"/>
          <w:color w:val="000000" w:themeColor="text1"/>
          <w:sz w:val="20"/>
          <w:szCs w:val="20"/>
        </w:rPr>
        <w:t xml:space="preserve"> AA, Hsieh IC, et al. Drug-Coated Balloons-Based Intervention for Coronary Artery Disease. JACC Asia. 2025 Apr 29;5(6):701–17. doi:</w:t>
      </w:r>
      <w:hyperlink r:id="rId15" w:history="1">
        <w:r w:rsidRPr="00AD4019">
          <w:rPr>
            <w:rStyle w:val="Hyperlink"/>
            <w:rFonts w:asciiTheme="minorBidi" w:hAnsiTheme="minorBidi" w:cstheme="minorBidi"/>
            <w:color w:val="000000" w:themeColor="text1"/>
            <w:sz w:val="20"/>
            <w:szCs w:val="20"/>
          </w:rPr>
          <w:t>10.1016/j.jacasi.2025.02.017</w:t>
        </w:r>
      </w:hyperlink>
      <w:r w:rsidRPr="00AD4019">
        <w:rPr>
          <w:rFonts w:asciiTheme="minorBidi" w:hAnsiTheme="minorBidi" w:cstheme="minorBidi"/>
          <w:color w:val="000000" w:themeColor="text1"/>
          <w:sz w:val="20"/>
          <w:szCs w:val="20"/>
        </w:rPr>
        <w:t xml:space="preserve"> PubMed PMID: 40304645; PubMed Central PMCID: PMC12287746.</w:t>
      </w:r>
    </w:p>
    <w:p w14:paraId="47E508E6" w14:textId="77777777" w:rsidR="004155A1" w:rsidRPr="00AD4019" w:rsidRDefault="004155A1" w:rsidP="0088221D">
      <w:pPr>
        <w:rPr>
          <w:rFonts w:asciiTheme="minorBidi" w:hAnsiTheme="minorBidi" w:cstheme="minorBidi"/>
          <w:color w:val="000000" w:themeColor="text1"/>
          <w:sz w:val="20"/>
          <w:szCs w:val="20"/>
        </w:rPr>
      </w:pPr>
    </w:p>
    <w:p w14:paraId="0120E277" w14:textId="0C9E805B" w:rsidR="00B76E11" w:rsidRPr="00AD4019" w:rsidRDefault="00B76E11" w:rsidP="008100C5">
      <w:pPr>
        <w:pStyle w:val="ListParagraph"/>
        <w:numPr>
          <w:ilvl w:val="0"/>
          <w:numId w:val="5"/>
        </w:numPr>
        <w:jc w:val="both"/>
        <w:rPr>
          <w:rFonts w:asciiTheme="minorBidi" w:hAnsiTheme="minorBidi" w:cstheme="minorBidi"/>
          <w:color w:val="000000" w:themeColor="text1"/>
          <w:sz w:val="20"/>
          <w:szCs w:val="20"/>
        </w:rPr>
      </w:pPr>
      <w:proofErr w:type="spellStart"/>
      <w:r w:rsidRPr="00AD4019">
        <w:rPr>
          <w:rFonts w:asciiTheme="minorBidi" w:hAnsiTheme="minorBidi" w:cstheme="minorBidi"/>
          <w:color w:val="000000" w:themeColor="text1"/>
          <w:sz w:val="20"/>
          <w:szCs w:val="20"/>
        </w:rPr>
        <w:t>Latib</w:t>
      </w:r>
      <w:proofErr w:type="spellEnd"/>
      <w:r w:rsidRPr="00AD4019">
        <w:rPr>
          <w:rFonts w:asciiTheme="minorBidi" w:hAnsiTheme="minorBidi" w:cstheme="minorBidi"/>
          <w:color w:val="000000" w:themeColor="text1"/>
          <w:sz w:val="20"/>
          <w:szCs w:val="20"/>
        </w:rPr>
        <w:t xml:space="preserve"> A, Colombo A, Castriota F, Micari A, Cremonesi A, De Felice F, et al. A randomized </w:t>
      </w:r>
      <w:proofErr w:type="spellStart"/>
      <w:r w:rsidRPr="00AD4019">
        <w:rPr>
          <w:rFonts w:asciiTheme="minorBidi" w:hAnsiTheme="minorBidi" w:cstheme="minorBidi"/>
          <w:color w:val="000000" w:themeColor="text1"/>
          <w:sz w:val="20"/>
          <w:szCs w:val="20"/>
        </w:rPr>
        <w:t>multicenter</w:t>
      </w:r>
      <w:proofErr w:type="spellEnd"/>
      <w:r w:rsidRPr="00AD4019">
        <w:rPr>
          <w:rFonts w:asciiTheme="minorBidi" w:hAnsiTheme="minorBidi" w:cstheme="minorBidi"/>
          <w:color w:val="000000" w:themeColor="text1"/>
          <w:sz w:val="20"/>
          <w:szCs w:val="20"/>
        </w:rPr>
        <w:t xml:space="preserve"> study comparing a paclitaxel drug-eluting balloon with a paclitaxel-eluting stent in small coronary vessels (BELLO). J Am Coll </w:t>
      </w:r>
      <w:proofErr w:type="spellStart"/>
      <w:r w:rsidRPr="00AD4019">
        <w:rPr>
          <w:rFonts w:asciiTheme="minorBidi" w:hAnsiTheme="minorBidi" w:cstheme="minorBidi"/>
          <w:color w:val="000000" w:themeColor="text1"/>
          <w:sz w:val="20"/>
          <w:szCs w:val="20"/>
        </w:rPr>
        <w:t>Cardiol</w:t>
      </w:r>
      <w:proofErr w:type="spellEnd"/>
      <w:r w:rsidRPr="00AD4019">
        <w:rPr>
          <w:rFonts w:asciiTheme="minorBidi" w:hAnsiTheme="minorBidi" w:cstheme="minorBidi"/>
          <w:color w:val="000000" w:themeColor="text1"/>
          <w:sz w:val="20"/>
          <w:szCs w:val="20"/>
        </w:rPr>
        <w:t>. 2012;60:2473–80.</w:t>
      </w:r>
    </w:p>
    <w:p w14:paraId="659C996A" w14:textId="77777777" w:rsidR="00B76E11" w:rsidRPr="00AD4019" w:rsidRDefault="00B76E11" w:rsidP="008100C5">
      <w:pPr>
        <w:jc w:val="both"/>
        <w:rPr>
          <w:rFonts w:asciiTheme="minorBidi" w:hAnsiTheme="minorBidi" w:cstheme="minorBidi"/>
          <w:color w:val="000000" w:themeColor="text1"/>
          <w:sz w:val="20"/>
          <w:szCs w:val="20"/>
        </w:rPr>
      </w:pPr>
    </w:p>
    <w:p w14:paraId="31B13E9B" w14:textId="77777777" w:rsidR="008E63D5" w:rsidRDefault="00B76E11" w:rsidP="008E63D5">
      <w:pPr>
        <w:pStyle w:val="ListParagraph"/>
        <w:numPr>
          <w:ilvl w:val="0"/>
          <w:numId w:val="5"/>
        </w:numPr>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lang w:val="fr-FR"/>
        </w:rPr>
        <w:t xml:space="preserve">Zhang WY, Zhang MD, Tian JF, Zhou Y, Song XT. </w:t>
      </w:r>
      <w:r w:rsidRPr="00AD4019">
        <w:rPr>
          <w:rFonts w:asciiTheme="minorBidi" w:hAnsiTheme="minorBidi" w:cstheme="minorBidi"/>
          <w:color w:val="000000" w:themeColor="text1"/>
          <w:sz w:val="20"/>
          <w:szCs w:val="20"/>
        </w:rPr>
        <w:t>Efficacy and safety of drug-eluting balloon-only strategy for de novo coronary artery disease: a systematic review and meta-analysis. Eur Heart J. 2020;41(</w:t>
      </w:r>
      <w:proofErr w:type="spellStart"/>
      <w:r w:rsidRPr="00AD4019">
        <w:rPr>
          <w:rFonts w:asciiTheme="minorBidi" w:hAnsiTheme="minorBidi" w:cstheme="minorBidi"/>
          <w:color w:val="000000" w:themeColor="text1"/>
          <w:sz w:val="20"/>
          <w:szCs w:val="20"/>
        </w:rPr>
        <w:t>Suppl</w:t>
      </w:r>
      <w:proofErr w:type="spellEnd"/>
      <w:r w:rsidRPr="00AD4019">
        <w:rPr>
          <w:rFonts w:asciiTheme="minorBidi" w:hAnsiTheme="minorBidi" w:cstheme="minorBidi"/>
          <w:color w:val="000000" w:themeColor="text1"/>
          <w:sz w:val="20"/>
          <w:szCs w:val="20"/>
        </w:rPr>
        <w:t xml:space="preserve"> 2):ehaa946.</w:t>
      </w:r>
    </w:p>
    <w:p w14:paraId="77BB896F" w14:textId="77777777" w:rsidR="008E63D5" w:rsidRPr="008E63D5" w:rsidRDefault="008E63D5" w:rsidP="008E63D5">
      <w:pPr>
        <w:pStyle w:val="ListParagraph"/>
        <w:rPr>
          <w:rFonts w:asciiTheme="minorBidi" w:hAnsiTheme="minorBidi" w:cstheme="minorBidi"/>
          <w:color w:val="000000" w:themeColor="text1"/>
          <w:sz w:val="20"/>
          <w:szCs w:val="20"/>
        </w:rPr>
      </w:pPr>
    </w:p>
    <w:p w14:paraId="45DFAF02" w14:textId="09E85929" w:rsidR="00B76E11" w:rsidRPr="008E63D5" w:rsidRDefault="00AD4019" w:rsidP="008E63D5">
      <w:pPr>
        <w:pStyle w:val="ListParagraph"/>
        <w:numPr>
          <w:ilvl w:val="0"/>
          <w:numId w:val="5"/>
        </w:numPr>
        <w:jc w:val="both"/>
        <w:rPr>
          <w:rFonts w:asciiTheme="minorBidi" w:hAnsiTheme="minorBidi" w:cstheme="minorBidi"/>
          <w:color w:val="000000" w:themeColor="text1"/>
          <w:sz w:val="20"/>
          <w:szCs w:val="20"/>
        </w:rPr>
      </w:pPr>
      <w:r w:rsidRPr="008E63D5">
        <w:rPr>
          <w:rFonts w:asciiTheme="minorBidi" w:hAnsiTheme="minorBidi" w:cstheme="minorBidi"/>
          <w:color w:val="000000" w:themeColor="text1"/>
          <w:sz w:val="20"/>
          <w:szCs w:val="20"/>
        </w:rPr>
        <w:t xml:space="preserve">Anonymous. (2025). SELUTION </w:t>
      </w:r>
      <w:proofErr w:type="spellStart"/>
      <w:r w:rsidRPr="008E63D5">
        <w:rPr>
          <w:rFonts w:asciiTheme="minorBidi" w:hAnsiTheme="minorBidi" w:cstheme="minorBidi"/>
          <w:color w:val="000000" w:themeColor="text1"/>
          <w:sz w:val="20"/>
          <w:szCs w:val="20"/>
        </w:rPr>
        <w:t>DeNovo</w:t>
      </w:r>
      <w:proofErr w:type="spellEnd"/>
      <w:r w:rsidRPr="008E63D5">
        <w:rPr>
          <w:rFonts w:asciiTheme="minorBidi" w:hAnsiTheme="minorBidi" w:cstheme="minorBidi"/>
          <w:color w:val="000000" w:themeColor="text1"/>
          <w:sz w:val="20"/>
          <w:szCs w:val="20"/>
        </w:rPr>
        <w:t xml:space="preserve">: PCI with a sirolimus-eluting balloon and provisional stenting shows comparable outcomes to routine DES implantation for treatment of de novo coronary lesions—coverage of TCT 2025. Society for Cardiovascular Angiography and Interventions. </w:t>
      </w:r>
      <w:hyperlink r:id="rId16" w:tgtFrame="_new" w:history="1">
        <w:r w:rsidRPr="008E63D5">
          <w:rPr>
            <w:rStyle w:val="Hyperlink"/>
            <w:rFonts w:asciiTheme="minorBidi" w:hAnsiTheme="minorBidi" w:cstheme="minorBidi"/>
            <w:color w:val="000000" w:themeColor="text1"/>
            <w:sz w:val="20"/>
            <w:szCs w:val="20"/>
          </w:rPr>
          <w:t>https://www.scai.org/selution-denovo-pci-sirolimus-eluting-balloon-and-provisional-stenting-shows-comparable-outcomes</w:t>
        </w:r>
      </w:hyperlink>
    </w:p>
    <w:p w14:paraId="64401ED8" w14:textId="77777777" w:rsidR="00AD4019" w:rsidRPr="00AD4019" w:rsidRDefault="00AD4019" w:rsidP="00AD4019">
      <w:pPr>
        <w:pStyle w:val="ListParagraph"/>
        <w:rPr>
          <w:rFonts w:asciiTheme="minorBidi" w:hAnsiTheme="minorBidi" w:cstheme="minorBidi"/>
          <w:color w:val="000000" w:themeColor="text1"/>
          <w:sz w:val="20"/>
          <w:szCs w:val="20"/>
        </w:rPr>
      </w:pPr>
    </w:p>
    <w:p w14:paraId="49267AC1" w14:textId="77777777" w:rsidR="00AD4019" w:rsidRPr="00AD4019" w:rsidRDefault="00AD4019" w:rsidP="00AD4019">
      <w:pPr>
        <w:pStyle w:val="ListParagraph"/>
        <w:ind w:left="644"/>
        <w:jc w:val="both"/>
        <w:rPr>
          <w:rFonts w:asciiTheme="minorBidi" w:hAnsiTheme="minorBidi" w:cstheme="minorBidi"/>
          <w:color w:val="000000" w:themeColor="text1"/>
          <w:sz w:val="20"/>
          <w:szCs w:val="20"/>
        </w:rPr>
      </w:pPr>
    </w:p>
    <w:p w14:paraId="618141C4" w14:textId="3772BCA0" w:rsidR="0088221D" w:rsidRPr="00AD4019" w:rsidRDefault="006B3B0B" w:rsidP="0088221D">
      <w:pPr>
        <w:pStyle w:val="ListParagraph"/>
        <w:numPr>
          <w:ilvl w:val="0"/>
          <w:numId w:val="5"/>
        </w:numPr>
        <w:jc w:val="both"/>
        <w:rPr>
          <w:rFonts w:asciiTheme="minorBidi" w:hAnsiTheme="minorBidi" w:cstheme="minorBidi"/>
          <w:color w:val="000000" w:themeColor="text1"/>
          <w:sz w:val="20"/>
          <w:szCs w:val="20"/>
        </w:rPr>
      </w:pPr>
      <w:proofErr w:type="spellStart"/>
      <w:r w:rsidRPr="00AD4019">
        <w:rPr>
          <w:rFonts w:asciiTheme="minorBidi" w:hAnsiTheme="minorBidi" w:cstheme="minorBidi"/>
          <w:color w:val="000000" w:themeColor="text1"/>
          <w:sz w:val="20"/>
          <w:szCs w:val="20"/>
        </w:rPr>
        <w:t>Marchetta</w:t>
      </w:r>
      <w:proofErr w:type="spellEnd"/>
      <w:r w:rsidRPr="00AD4019">
        <w:rPr>
          <w:rFonts w:asciiTheme="minorBidi" w:hAnsiTheme="minorBidi" w:cstheme="minorBidi"/>
          <w:color w:val="000000" w:themeColor="text1"/>
          <w:sz w:val="20"/>
          <w:szCs w:val="20"/>
        </w:rPr>
        <w:t xml:space="preserve"> M, </w:t>
      </w:r>
      <w:proofErr w:type="spellStart"/>
      <w:r w:rsidRPr="00AD4019">
        <w:rPr>
          <w:rFonts w:asciiTheme="minorBidi" w:hAnsiTheme="minorBidi" w:cstheme="minorBidi"/>
          <w:color w:val="000000" w:themeColor="text1"/>
          <w:sz w:val="20"/>
          <w:szCs w:val="20"/>
        </w:rPr>
        <w:t>Sasso</w:t>
      </w:r>
      <w:proofErr w:type="spellEnd"/>
      <w:r w:rsidRPr="00AD4019">
        <w:rPr>
          <w:rFonts w:asciiTheme="minorBidi" w:hAnsiTheme="minorBidi" w:cstheme="minorBidi"/>
          <w:color w:val="000000" w:themeColor="text1"/>
          <w:sz w:val="20"/>
          <w:szCs w:val="20"/>
        </w:rPr>
        <w:t xml:space="preserve"> S, </w:t>
      </w:r>
      <w:proofErr w:type="spellStart"/>
      <w:r w:rsidRPr="00AD4019">
        <w:rPr>
          <w:rFonts w:asciiTheme="minorBidi" w:hAnsiTheme="minorBidi" w:cstheme="minorBidi"/>
          <w:color w:val="000000" w:themeColor="text1"/>
          <w:sz w:val="20"/>
          <w:szCs w:val="20"/>
        </w:rPr>
        <w:t>Paragliola</w:t>
      </w:r>
      <w:proofErr w:type="spellEnd"/>
      <w:r w:rsidRPr="00AD4019">
        <w:rPr>
          <w:rFonts w:asciiTheme="minorBidi" w:hAnsiTheme="minorBidi" w:cstheme="minorBidi"/>
          <w:color w:val="000000" w:themeColor="text1"/>
          <w:sz w:val="20"/>
          <w:szCs w:val="20"/>
        </w:rPr>
        <w:t xml:space="preserve"> V, </w:t>
      </w:r>
      <w:proofErr w:type="spellStart"/>
      <w:r w:rsidRPr="00AD4019">
        <w:rPr>
          <w:rFonts w:asciiTheme="minorBidi" w:hAnsiTheme="minorBidi" w:cstheme="minorBidi"/>
          <w:color w:val="000000" w:themeColor="text1"/>
          <w:sz w:val="20"/>
          <w:szCs w:val="20"/>
        </w:rPr>
        <w:t>Maffi</w:t>
      </w:r>
      <w:proofErr w:type="spellEnd"/>
      <w:r w:rsidRPr="00AD4019">
        <w:rPr>
          <w:rFonts w:asciiTheme="minorBidi" w:hAnsiTheme="minorBidi" w:cstheme="minorBidi"/>
          <w:color w:val="000000" w:themeColor="text1"/>
          <w:sz w:val="20"/>
          <w:szCs w:val="20"/>
        </w:rPr>
        <w:t xml:space="preserve"> V, </w:t>
      </w:r>
      <w:proofErr w:type="spellStart"/>
      <w:r w:rsidRPr="00AD4019">
        <w:rPr>
          <w:rFonts w:asciiTheme="minorBidi" w:hAnsiTheme="minorBidi" w:cstheme="minorBidi"/>
          <w:color w:val="000000" w:themeColor="text1"/>
          <w:sz w:val="20"/>
          <w:szCs w:val="20"/>
        </w:rPr>
        <w:t>Chiricolo</w:t>
      </w:r>
      <w:proofErr w:type="spellEnd"/>
      <w:r w:rsidRPr="00AD4019">
        <w:rPr>
          <w:rFonts w:asciiTheme="minorBidi" w:hAnsiTheme="minorBidi" w:cstheme="minorBidi"/>
          <w:color w:val="000000" w:themeColor="text1"/>
          <w:sz w:val="20"/>
          <w:szCs w:val="20"/>
        </w:rPr>
        <w:t xml:space="preserve"> G, Massaro G, et al. Leaving Nothing Behind: Expanding the Clinical Frontiers of Drug-Coated Balloon Angioplasty in Coronary Artery Disease. J Cardiovasc Dev Dis. 2025 May 5;12(5):176. doi:</w:t>
      </w:r>
      <w:hyperlink r:id="rId17" w:history="1">
        <w:r w:rsidRPr="00AD4019">
          <w:rPr>
            <w:rStyle w:val="Hyperlink"/>
            <w:rFonts w:asciiTheme="minorBidi" w:hAnsiTheme="minorBidi" w:cstheme="minorBidi"/>
            <w:color w:val="000000" w:themeColor="text1"/>
            <w:sz w:val="20"/>
            <w:szCs w:val="20"/>
          </w:rPr>
          <w:t>10.3390/jcdd12050176</w:t>
        </w:r>
      </w:hyperlink>
      <w:r w:rsidRPr="00AD4019">
        <w:rPr>
          <w:rFonts w:asciiTheme="minorBidi" w:hAnsiTheme="minorBidi" w:cstheme="minorBidi"/>
          <w:color w:val="000000" w:themeColor="text1"/>
          <w:sz w:val="20"/>
          <w:szCs w:val="20"/>
        </w:rPr>
        <w:t xml:space="preserve"> PubMed PMID: 40422946; PubMed Central PMCID: PMC12112498.</w:t>
      </w:r>
    </w:p>
    <w:p w14:paraId="6686EEBA" w14:textId="77777777" w:rsidR="0088221D" w:rsidRPr="00AD4019" w:rsidRDefault="0088221D" w:rsidP="0088221D">
      <w:pPr>
        <w:pStyle w:val="ListParagraph"/>
        <w:ind w:left="644"/>
        <w:jc w:val="both"/>
        <w:rPr>
          <w:rFonts w:asciiTheme="minorBidi" w:hAnsiTheme="minorBidi" w:cstheme="minorBidi"/>
          <w:color w:val="000000" w:themeColor="text1"/>
          <w:sz w:val="20"/>
          <w:szCs w:val="20"/>
        </w:rPr>
      </w:pPr>
    </w:p>
    <w:p w14:paraId="20ABEDC5" w14:textId="3668783E" w:rsidR="009035E1" w:rsidRPr="00AD4019" w:rsidRDefault="009035E1" w:rsidP="009035E1">
      <w:pPr>
        <w:pStyle w:val="ListParagraph"/>
        <w:numPr>
          <w:ilvl w:val="0"/>
          <w:numId w:val="5"/>
        </w:numPr>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rPr>
        <w:t xml:space="preserve">Sekher TV, Flood D, Green H, Hu P, Ali MK, </w:t>
      </w:r>
      <w:proofErr w:type="spellStart"/>
      <w:r w:rsidRPr="00AD4019">
        <w:rPr>
          <w:rFonts w:asciiTheme="minorBidi" w:hAnsiTheme="minorBidi" w:cstheme="minorBidi"/>
          <w:color w:val="000000" w:themeColor="text1"/>
          <w:sz w:val="20"/>
          <w:szCs w:val="20"/>
        </w:rPr>
        <w:t>Shete</w:t>
      </w:r>
      <w:proofErr w:type="spellEnd"/>
      <w:r w:rsidRPr="00AD4019">
        <w:rPr>
          <w:rFonts w:asciiTheme="minorBidi" w:hAnsiTheme="minorBidi" w:cstheme="minorBidi"/>
          <w:color w:val="000000" w:themeColor="text1"/>
          <w:sz w:val="20"/>
          <w:szCs w:val="20"/>
        </w:rPr>
        <w:t xml:space="preserve"> A, et al. Prevalence, awareness, treatment, and control of diabetes in India: a nationally representative survey of adults aged 45 years and </w:t>
      </w:r>
      <w:r w:rsidRPr="00AD4019">
        <w:rPr>
          <w:rFonts w:asciiTheme="minorBidi" w:hAnsiTheme="minorBidi" w:cstheme="minorBidi"/>
          <w:color w:val="000000" w:themeColor="text1"/>
          <w:sz w:val="20"/>
          <w:szCs w:val="20"/>
        </w:rPr>
        <w:lastRenderedPageBreak/>
        <w:t>older. The Lancet Global Health. 2025 Sep 1;13(9):e1543–52. doi:</w:t>
      </w:r>
      <w:hyperlink r:id="rId18" w:history="1">
        <w:r w:rsidRPr="00AD4019">
          <w:rPr>
            <w:rStyle w:val="Hyperlink"/>
            <w:rFonts w:asciiTheme="minorBidi" w:hAnsiTheme="minorBidi" w:cstheme="minorBidi"/>
            <w:color w:val="000000" w:themeColor="text1"/>
            <w:sz w:val="20"/>
            <w:szCs w:val="20"/>
          </w:rPr>
          <w:t>10.1016/S2214-109X(23)00502-8</w:t>
        </w:r>
      </w:hyperlink>
      <w:r w:rsidRPr="00AD4019">
        <w:rPr>
          <w:rFonts w:asciiTheme="minorBidi" w:hAnsiTheme="minorBidi" w:cstheme="minorBidi"/>
          <w:color w:val="000000" w:themeColor="text1"/>
          <w:sz w:val="20"/>
          <w:szCs w:val="20"/>
        </w:rPr>
        <w:t xml:space="preserve"> PubMed PMID: 40784358.</w:t>
      </w:r>
    </w:p>
    <w:p w14:paraId="710DF52B" w14:textId="77777777" w:rsidR="0088221D" w:rsidRPr="00AD4019" w:rsidRDefault="0088221D" w:rsidP="0088221D">
      <w:pPr>
        <w:jc w:val="both"/>
        <w:rPr>
          <w:rFonts w:asciiTheme="minorBidi" w:hAnsiTheme="minorBidi" w:cstheme="minorBidi"/>
          <w:color w:val="000000" w:themeColor="text1"/>
          <w:sz w:val="20"/>
          <w:szCs w:val="20"/>
        </w:rPr>
      </w:pPr>
    </w:p>
    <w:p w14:paraId="0E3A634F" w14:textId="77777777" w:rsidR="009035E1" w:rsidRPr="00AD4019" w:rsidRDefault="009035E1" w:rsidP="009035E1">
      <w:pPr>
        <w:pStyle w:val="ListParagraph"/>
        <w:numPr>
          <w:ilvl w:val="0"/>
          <w:numId w:val="5"/>
        </w:numPr>
        <w:jc w:val="both"/>
        <w:rPr>
          <w:rFonts w:asciiTheme="minorBidi" w:hAnsiTheme="minorBidi" w:cstheme="minorBidi"/>
          <w:color w:val="000000" w:themeColor="text1"/>
          <w:sz w:val="20"/>
          <w:szCs w:val="20"/>
        </w:rPr>
      </w:pPr>
      <w:proofErr w:type="spellStart"/>
      <w:r w:rsidRPr="00AD4019">
        <w:rPr>
          <w:rFonts w:asciiTheme="minorBidi" w:hAnsiTheme="minorBidi" w:cstheme="minorBidi"/>
          <w:color w:val="000000" w:themeColor="text1"/>
          <w:sz w:val="20"/>
          <w:szCs w:val="20"/>
        </w:rPr>
        <w:t>Schnorr</w:t>
      </w:r>
      <w:proofErr w:type="spellEnd"/>
      <w:r w:rsidRPr="00AD4019">
        <w:rPr>
          <w:rFonts w:asciiTheme="minorBidi" w:hAnsiTheme="minorBidi" w:cstheme="minorBidi"/>
          <w:color w:val="000000" w:themeColor="text1"/>
          <w:sz w:val="20"/>
          <w:szCs w:val="20"/>
        </w:rPr>
        <w:t xml:space="preserve"> B, Speck U, </w:t>
      </w:r>
      <w:proofErr w:type="spellStart"/>
      <w:r w:rsidRPr="00AD4019">
        <w:rPr>
          <w:rFonts w:asciiTheme="minorBidi" w:hAnsiTheme="minorBidi" w:cstheme="minorBidi"/>
          <w:color w:val="000000" w:themeColor="text1"/>
          <w:sz w:val="20"/>
          <w:szCs w:val="20"/>
        </w:rPr>
        <w:t>Scheller</w:t>
      </w:r>
      <w:proofErr w:type="spellEnd"/>
      <w:r w:rsidRPr="00AD4019">
        <w:rPr>
          <w:rFonts w:asciiTheme="minorBidi" w:hAnsiTheme="minorBidi" w:cstheme="minorBidi"/>
          <w:color w:val="000000" w:themeColor="text1"/>
          <w:sz w:val="20"/>
          <w:szCs w:val="20"/>
        </w:rPr>
        <w:t xml:space="preserve"> B. Review of clinical data with </w:t>
      </w:r>
      <w:proofErr w:type="spellStart"/>
      <w:r w:rsidRPr="00AD4019">
        <w:rPr>
          <w:rFonts w:asciiTheme="minorBidi" w:hAnsiTheme="minorBidi" w:cstheme="minorBidi"/>
          <w:color w:val="000000" w:themeColor="text1"/>
          <w:sz w:val="20"/>
          <w:szCs w:val="20"/>
        </w:rPr>
        <w:t>Paccocath</w:t>
      </w:r>
      <w:proofErr w:type="spellEnd"/>
      <w:r w:rsidRPr="00AD4019">
        <w:rPr>
          <w:rFonts w:asciiTheme="minorBidi" w:hAnsiTheme="minorBidi" w:cstheme="minorBidi"/>
          <w:color w:val="000000" w:themeColor="text1"/>
          <w:sz w:val="20"/>
          <w:szCs w:val="20"/>
        </w:rPr>
        <w:t xml:space="preserve">- coated balloon catheters. Minerva </w:t>
      </w:r>
      <w:proofErr w:type="spellStart"/>
      <w:r w:rsidRPr="00AD4019">
        <w:rPr>
          <w:rFonts w:asciiTheme="minorBidi" w:hAnsiTheme="minorBidi" w:cstheme="minorBidi"/>
          <w:color w:val="000000" w:themeColor="text1"/>
          <w:sz w:val="20"/>
          <w:szCs w:val="20"/>
        </w:rPr>
        <w:t>Cardioangiol</w:t>
      </w:r>
      <w:proofErr w:type="spellEnd"/>
      <w:r w:rsidRPr="00AD4019">
        <w:rPr>
          <w:rFonts w:asciiTheme="minorBidi" w:hAnsiTheme="minorBidi" w:cstheme="minorBidi"/>
          <w:color w:val="000000" w:themeColor="text1"/>
          <w:sz w:val="20"/>
          <w:szCs w:val="20"/>
        </w:rPr>
        <w:t>. 2011 Oct;59(5):431–45. PubMed PMID: 21983304.</w:t>
      </w:r>
    </w:p>
    <w:p w14:paraId="71243993" w14:textId="77777777" w:rsidR="0088221D" w:rsidRPr="00AD4019" w:rsidRDefault="0088221D" w:rsidP="0088221D">
      <w:pPr>
        <w:jc w:val="both"/>
        <w:rPr>
          <w:rFonts w:asciiTheme="minorBidi" w:hAnsiTheme="minorBidi" w:cstheme="minorBidi"/>
          <w:color w:val="000000" w:themeColor="text1"/>
          <w:sz w:val="20"/>
          <w:szCs w:val="20"/>
        </w:rPr>
      </w:pPr>
    </w:p>
    <w:p w14:paraId="3149C435" w14:textId="6EB62B4F" w:rsidR="00B76E11" w:rsidRPr="00AD4019" w:rsidRDefault="00B76E11" w:rsidP="00DE7D7E">
      <w:pPr>
        <w:pStyle w:val="ListParagraph"/>
        <w:numPr>
          <w:ilvl w:val="0"/>
          <w:numId w:val="5"/>
        </w:numPr>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rPr>
        <w:t xml:space="preserve">Shin ES, Bang LH, Jun EJ, Her AY, Chung JH, Garg S, et al. Provisional drug-coated balloon treatment guided by physiology on de novo coronary lesions. </w:t>
      </w:r>
      <w:proofErr w:type="spellStart"/>
      <w:r w:rsidRPr="00AD4019">
        <w:rPr>
          <w:rFonts w:asciiTheme="minorBidi" w:hAnsiTheme="minorBidi" w:cstheme="minorBidi"/>
          <w:color w:val="000000" w:themeColor="text1"/>
          <w:sz w:val="20"/>
          <w:szCs w:val="20"/>
        </w:rPr>
        <w:t>Cardiol</w:t>
      </w:r>
      <w:proofErr w:type="spellEnd"/>
      <w:r w:rsidRPr="00AD4019">
        <w:rPr>
          <w:rFonts w:asciiTheme="minorBidi" w:hAnsiTheme="minorBidi" w:cstheme="minorBidi"/>
          <w:color w:val="000000" w:themeColor="text1"/>
          <w:sz w:val="20"/>
          <w:szCs w:val="20"/>
        </w:rPr>
        <w:t xml:space="preserve"> J. 2021;28:615–22.</w:t>
      </w:r>
    </w:p>
    <w:p w14:paraId="75F8EEFB" w14:textId="77777777" w:rsidR="00B76E11" w:rsidRPr="00AD4019" w:rsidRDefault="00B76E11" w:rsidP="008100C5">
      <w:pPr>
        <w:jc w:val="both"/>
        <w:rPr>
          <w:rFonts w:asciiTheme="minorBidi" w:hAnsiTheme="minorBidi" w:cstheme="minorBidi"/>
          <w:color w:val="000000" w:themeColor="text1"/>
          <w:sz w:val="20"/>
          <w:szCs w:val="20"/>
        </w:rPr>
      </w:pPr>
    </w:p>
    <w:p w14:paraId="69F50932" w14:textId="77777777" w:rsidR="00B76E11" w:rsidRPr="00AD4019" w:rsidRDefault="00B76E11" w:rsidP="008100C5">
      <w:pPr>
        <w:pStyle w:val="ListParagraph"/>
        <w:numPr>
          <w:ilvl w:val="0"/>
          <w:numId w:val="5"/>
        </w:numPr>
        <w:jc w:val="both"/>
        <w:rPr>
          <w:rFonts w:asciiTheme="minorBidi" w:hAnsiTheme="minorBidi" w:cstheme="minorBidi"/>
          <w:color w:val="000000" w:themeColor="text1"/>
          <w:sz w:val="20"/>
          <w:szCs w:val="20"/>
        </w:rPr>
      </w:pPr>
      <w:proofErr w:type="spellStart"/>
      <w:r w:rsidRPr="00AD4019">
        <w:rPr>
          <w:rFonts w:asciiTheme="minorBidi" w:hAnsiTheme="minorBidi" w:cstheme="minorBidi"/>
          <w:color w:val="000000" w:themeColor="text1"/>
          <w:sz w:val="20"/>
          <w:szCs w:val="20"/>
        </w:rPr>
        <w:t>Gąsecka</w:t>
      </w:r>
      <w:proofErr w:type="spellEnd"/>
      <w:r w:rsidRPr="00AD4019">
        <w:rPr>
          <w:rFonts w:asciiTheme="minorBidi" w:hAnsiTheme="minorBidi" w:cstheme="minorBidi"/>
          <w:color w:val="000000" w:themeColor="text1"/>
          <w:sz w:val="20"/>
          <w:szCs w:val="20"/>
        </w:rPr>
        <w:t xml:space="preserve"> A, </w:t>
      </w:r>
      <w:proofErr w:type="spellStart"/>
      <w:r w:rsidRPr="00AD4019">
        <w:rPr>
          <w:rFonts w:asciiTheme="minorBidi" w:hAnsiTheme="minorBidi" w:cstheme="minorBidi"/>
          <w:color w:val="000000" w:themeColor="text1"/>
          <w:sz w:val="20"/>
          <w:szCs w:val="20"/>
        </w:rPr>
        <w:t>Pindlowski</w:t>
      </w:r>
      <w:proofErr w:type="spellEnd"/>
      <w:r w:rsidRPr="00AD4019">
        <w:rPr>
          <w:rFonts w:asciiTheme="minorBidi" w:hAnsiTheme="minorBidi" w:cstheme="minorBidi"/>
          <w:color w:val="000000" w:themeColor="text1"/>
          <w:sz w:val="20"/>
          <w:szCs w:val="20"/>
        </w:rPr>
        <w:t xml:space="preserve"> P, </w:t>
      </w:r>
      <w:proofErr w:type="spellStart"/>
      <w:r w:rsidRPr="00AD4019">
        <w:rPr>
          <w:rFonts w:asciiTheme="minorBidi" w:hAnsiTheme="minorBidi" w:cstheme="minorBidi"/>
          <w:color w:val="000000" w:themeColor="text1"/>
          <w:sz w:val="20"/>
          <w:szCs w:val="20"/>
        </w:rPr>
        <w:t>Szczerba</w:t>
      </w:r>
      <w:proofErr w:type="spellEnd"/>
      <w:r w:rsidRPr="00AD4019">
        <w:rPr>
          <w:rFonts w:asciiTheme="minorBidi" w:hAnsiTheme="minorBidi" w:cstheme="minorBidi"/>
          <w:color w:val="000000" w:themeColor="text1"/>
          <w:sz w:val="20"/>
          <w:szCs w:val="20"/>
        </w:rPr>
        <w:t xml:space="preserve"> M, </w:t>
      </w:r>
      <w:proofErr w:type="spellStart"/>
      <w:r w:rsidRPr="00AD4019">
        <w:rPr>
          <w:rFonts w:asciiTheme="minorBidi" w:hAnsiTheme="minorBidi" w:cstheme="minorBidi"/>
          <w:color w:val="000000" w:themeColor="text1"/>
          <w:sz w:val="20"/>
          <w:szCs w:val="20"/>
        </w:rPr>
        <w:t>Zimodro</w:t>
      </w:r>
      <w:proofErr w:type="spellEnd"/>
      <w:r w:rsidRPr="00AD4019">
        <w:rPr>
          <w:rFonts w:asciiTheme="minorBidi" w:hAnsiTheme="minorBidi" w:cstheme="minorBidi"/>
          <w:color w:val="000000" w:themeColor="text1"/>
          <w:sz w:val="20"/>
          <w:szCs w:val="20"/>
        </w:rPr>
        <w:t xml:space="preserve"> JM, </w:t>
      </w:r>
      <w:proofErr w:type="spellStart"/>
      <w:r w:rsidRPr="00AD4019">
        <w:rPr>
          <w:rFonts w:asciiTheme="minorBidi" w:hAnsiTheme="minorBidi" w:cstheme="minorBidi"/>
          <w:color w:val="000000" w:themeColor="text1"/>
          <w:sz w:val="20"/>
          <w:szCs w:val="20"/>
        </w:rPr>
        <w:t>Błażejowska</w:t>
      </w:r>
      <w:proofErr w:type="spellEnd"/>
      <w:r w:rsidRPr="00AD4019">
        <w:rPr>
          <w:rFonts w:asciiTheme="minorBidi" w:hAnsiTheme="minorBidi" w:cstheme="minorBidi"/>
          <w:color w:val="000000" w:themeColor="text1"/>
          <w:sz w:val="20"/>
          <w:szCs w:val="20"/>
        </w:rPr>
        <w:t xml:space="preserve"> E, </w:t>
      </w:r>
      <w:proofErr w:type="spellStart"/>
      <w:r w:rsidRPr="00AD4019">
        <w:rPr>
          <w:rFonts w:asciiTheme="minorBidi" w:hAnsiTheme="minorBidi" w:cstheme="minorBidi"/>
          <w:color w:val="000000" w:themeColor="text1"/>
          <w:sz w:val="20"/>
          <w:szCs w:val="20"/>
        </w:rPr>
        <w:t>Pietrasik</w:t>
      </w:r>
      <w:proofErr w:type="spellEnd"/>
      <w:r w:rsidRPr="00AD4019">
        <w:rPr>
          <w:rFonts w:asciiTheme="minorBidi" w:hAnsiTheme="minorBidi" w:cstheme="minorBidi"/>
          <w:color w:val="000000" w:themeColor="text1"/>
          <w:sz w:val="20"/>
          <w:szCs w:val="20"/>
        </w:rPr>
        <w:t xml:space="preserve"> A, et al. Drug-coated balloons in percutaneous coronary interventions: existing evidence and emerging hopes. </w:t>
      </w:r>
      <w:proofErr w:type="spellStart"/>
      <w:r w:rsidRPr="00AD4019">
        <w:rPr>
          <w:rFonts w:asciiTheme="minorBidi" w:hAnsiTheme="minorBidi" w:cstheme="minorBidi"/>
          <w:color w:val="000000" w:themeColor="text1"/>
          <w:sz w:val="20"/>
          <w:szCs w:val="20"/>
        </w:rPr>
        <w:t>Cardiol</w:t>
      </w:r>
      <w:proofErr w:type="spellEnd"/>
      <w:r w:rsidRPr="00AD4019">
        <w:rPr>
          <w:rFonts w:asciiTheme="minorBidi" w:hAnsiTheme="minorBidi" w:cstheme="minorBidi"/>
          <w:color w:val="000000" w:themeColor="text1"/>
          <w:sz w:val="20"/>
          <w:szCs w:val="20"/>
        </w:rPr>
        <w:t xml:space="preserve"> J. 2025;32:308–20.</w:t>
      </w:r>
    </w:p>
    <w:p w14:paraId="786EA04C" w14:textId="77777777" w:rsidR="00B76E11" w:rsidRPr="00AD4019" w:rsidRDefault="00B76E11" w:rsidP="008100C5">
      <w:pPr>
        <w:jc w:val="both"/>
        <w:rPr>
          <w:rFonts w:asciiTheme="minorBidi" w:hAnsiTheme="minorBidi" w:cstheme="minorBidi"/>
          <w:color w:val="000000" w:themeColor="text1"/>
          <w:sz w:val="20"/>
          <w:szCs w:val="20"/>
        </w:rPr>
      </w:pPr>
    </w:p>
    <w:p w14:paraId="47087B58" w14:textId="77777777" w:rsidR="00B76E11" w:rsidRPr="00AD4019" w:rsidRDefault="00B76E11" w:rsidP="008100C5">
      <w:pPr>
        <w:pStyle w:val="ListParagraph"/>
        <w:numPr>
          <w:ilvl w:val="0"/>
          <w:numId w:val="5"/>
        </w:numPr>
        <w:jc w:val="both"/>
        <w:rPr>
          <w:rFonts w:asciiTheme="minorBidi" w:hAnsiTheme="minorBidi" w:cstheme="minorBidi"/>
          <w:color w:val="000000" w:themeColor="text1"/>
          <w:sz w:val="20"/>
          <w:szCs w:val="20"/>
        </w:rPr>
      </w:pPr>
      <w:r w:rsidRPr="00AD4019">
        <w:rPr>
          <w:rFonts w:asciiTheme="minorBidi" w:hAnsiTheme="minorBidi" w:cstheme="minorBidi"/>
          <w:color w:val="000000" w:themeColor="text1"/>
          <w:sz w:val="20"/>
          <w:szCs w:val="20"/>
        </w:rPr>
        <w:t xml:space="preserve">Jain RK, Parikh K, Sethuraman S, Sharma K, Roy S, Vithala SR, et al. Safety and performance of the MOZEC sirolimus-eluting coronary balloon in routine clinical practice. </w:t>
      </w:r>
      <w:proofErr w:type="spellStart"/>
      <w:r w:rsidRPr="00AD4019">
        <w:rPr>
          <w:rFonts w:asciiTheme="minorBidi" w:hAnsiTheme="minorBidi" w:cstheme="minorBidi"/>
          <w:color w:val="000000" w:themeColor="text1"/>
          <w:sz w:val="20"/>
          <w:szCs w:val="20"/>
        </w:rPr>
        <w:t>Cardiol</w:t>
      </w:r>
      <w:proofErr w:type="spellEnd"/>
      <w:r w:rsidRPr="00AD4019">
        <w:rPr>
          <w:rFonts w:asciiTheme="minorBidi" w:hAnsiTheme="minorBidi" w:cstheme="minorBidi"/>
          <w:color w:val="000000" w:themeColor="text1"/>
          <w:sz w:val="20"/>
          <w:szCs w:val="20"/>
        </w:rPr>
        <w:t xml:space="preserve"> Res. 2025;16:130–9.</w:t>
      </w:r>
    </w:p>
    <w:p w14:paraId="2B70C300" w14:textId="77777777" w:rsidR="00014D28" w:rsidRPr="00AD4019" w:rsidRDefault="00014D28" w:rsidP="008100C5">
      <w:pPr>
        <w:jc w:val="both"/>
        <w:rPr>
          <w:rFonts w:asciiTheme="minorBidi" w:hAnsiTheme="minorBidi" w:cstheme="minorBidi"/>
          <w:color w:val="000000" w:themeColor="text1"/>
          <w:sz w:val="20"/>
          <w:szCs w:val="20"/>
        </w:rPr>
      </w:pPr>
    </w:p>
    <w:p w14:paraId="1FF59D49" w14:textId="77777777" w:rsidR="00014D28" w:rsidRPr="00AD4019" w:rsidRDefault="00014D28" w:rsidP="008100C5">
      <w:pPr>
        <w:jc w:val="both"/>
        <w:rPr>
          <w:rFonts w:asciiTheme="minorBidi" w:hAnsiTheme="minorBidi" w:cstheme="minorBidi"/>
          <w:b/>
          <w:bCs/>
          <w:sz w:val="20"/>
          <w:szCs w:val="20"/>
        </w:rPr>
      </w:pPr>
    </w:p>
    <w:p w14:paraId="2C9FBB88" w14:textId="77777777" w:rsidR="00014D28" w:rsidRPr="006536F9" w:rsidRDefault="00014D28" w:rsidP="008100C5">
      <w:pPr>
        <w:jc w:val="both"/>
        <w:rPr>
          <w:rFonts w:asciiTheme="minorBidi" w:hAnsiTheme="minorBidi" w:cstheme="minorBidi"/>
          <w:sz w:val="20"/>
          <w:szCs w:val="20"/>
        </w:rPr>
      </w:pPr>
    </w:p>
    <w:p w14:paraId="129FFFCD"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Abbreviations</w:t>
      </w:r>
    </w:p>
    <w:p w14:paraId="1F251F0F"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ACC/AHA — American College of Cardiology / American Heart Association</w:t>
      </w:r>
    </w:p>
    <w:p w14:paraId="6E255624" w14:textId="77777777" w:rsidR="00AE13C7" w:rsidRPr="00AE13C7" w:rsidRDefault="00AE13C7" w:rsidP="00AE13C7">
      <w:pPr>
        <w:tabs>
          <w:tab w:val="left" w:pos="1175"/>
        </w:tabs>
        <w:jc w:val="both"/>
        <w:rPr>
          <w:rFonts w:asciiTheme="minorBidi" w:hAnsiTheme="minorBidi" w:cstheme="minorBidi"/>
          <w:sz w:val="20"/>
          <w:szCs w:val="20"/>
        </w:rPr>
      </w:pPr>
      <w:proofErr w:type="spellStart"/>
      <w:r w:rsidRPr="00AE13C7">
        <w:rPr>
          <w:rFonts w:asciiTheme="minorBidi" w:hAnsiTheme="minorBidi" w:cstheme="minorBidi"/>
          <w:sz w:val="20"/>
          <w:szCs w:val="20"/>
        </w:rPr>
        <w:t>atm</w:t>
      </w:r>
      <w:proofErr w:type="spellEnd"/>
      <w:r w:rsidRPr="00AE13C7">
        <w:rPr>
          <w:rFonts w:asciiTheme="minorBidi" w:hAnsiTheme="minorBidi" w:cstheme="minorBidi"/>
          <w:sz w:val="20"/>
          <w:szCs w:val="20"/>
        </w:rPr>
        <w:t xml:space="preserve"> — Atmospheres (balloon inflation pressure unit)</w:t>
      </w:r>
    </w:p>
    <w:p w14:paraId="29669F29"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DCB — Drug-Eluting Balloon (also Drug-Coated Balloon)</w:t>
      </w:r>
    </w:p>
    <w:p w14:paraId="60F4B9F0"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DES — Drug-Eluting Stent</w:t>
      </w:r>
    </w:p>
    <w:p w14:paraId="278E286C"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ISR — In-Stent Restenosis</w:t>
      </w:r>
    </w:p>
    <w:p w14:paraId="13B170DB"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MACE — Major Adverse Cardiac Events</w:t>
      </w:r>
    </w:p>
    <w:p w14:paraId="19434F30"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NSTEMI — Non-ST-Elevation Myocardial Infarction</w:t>
      </w:r>
    </w:p>
    <w:p w14:paraId="46419ECE"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PCI — Percutaneous Coronary Intervention</w:t>
      </w:r>
    </w:p>
    <w:p w14:paraId="5E7631C8"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SD — Standard Deviation</w:t>
      </w:r>
    </w:p>
    <w:p w14:paraId="7760A38A"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STEMI — ST-Elevation Myocardial Infarction</w:t>
      </w:r>
    </w:p>
    <w:p w14:paraId="516ED5D3"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 xml:space="preserve">TIMI — Thrombolysis </w:t>
      </w:r>
      <w:proofErr w:type="gramStart"/>
      <w:r w:rsidRPr="00AE13C7">
        <w:rPr>
          <w:rFonts w:asciiTheme="minorBidi" w:hAnsiTheme="minorBidi" w:cstheme="minorBidi"/>
          <w:sz w:val="20"/>
          <w:szCs w:val="20"/>
        </w:rPr>
        <w:t>In</w:t>
      </w:r>
      <w:proofErr w:type="gramEnd"/>
      <w:r w:rsidRPr="00AE13C7">
        <w:rPr>
          <w:rFonts w:asciiTheme="minorBidi" w:hAnsiTheme="minorBidi" w:cstheme="minorBidi"/>
          <w:sz w:val="20"/>
          <w:szCs w:val="20"/>
        </w:rPr>
        <w:t xml:space="preserve"> Myocardial Infarction (flow grade)</w:t>
      </w:r>
    </w:p>
    <w:p w14:paraId="240DE0B0" w14:textId="77777777" w:rsidR="00AE13C7" w:rsidRPr="00AE13C7"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TLR — Target Lesion Revascularization</w:t>
      </w:r>
    </w:p>
    <w:p w14:paraId="06EA2B39" w14:textId="43717C08" w:rsidR="00014D28" w:rsidRPr="006536F9" w:rsidRDefault="00AE13C7" w:rsidP="00AE13C7">
      <w:pPr>
        <w:tabs>
          <w:tab w:val="left" w:pos="1175"/>
        </w:tabs>
        <w:jc w:val="both"/>
        <w:rPr>
          <w:rFonts w:asciiTheme="minorBidi" w:hAnsiTheme="minorBidi" w:cstheme="minorBidi"/>
          <w:sz w:val="20"/>
          <w:szCs w:val="20"/>
        </w:rPr>
      </w:pPr>
      <w:r w:rsidRPr="00AE13C7">
        <w:rPr>
          <w:rFonts w:asciiTheme="minorBidi" w:hAnsiTheme="minorBidi" w:cstheme="minorBidi"/>
          <w:sz w:val="20"/>
          <w:szCs w:val="20"/>
        </w:rPr>
        <w:t>TVR — Target Vessel Revascularization</w:t>
      </w:r>
    </w:p>
    <w:sectPr w:rsidR="00014D28" w:rsidRPr="006536F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4E2CA" w14:textId="77777777" w:rsidR="008A4B06" w:rsidRDefault="008A4B06" w:rsidP="00A036DE">
      <w:r>
        <w:separator/>
      </w:r>
    </w:p>
  </w:endnote>
  <w:endnote w:type="continuationSeparator" w:id="0">
    <w:p w14:paraId="7D107C2B" w14:textId="77777777" w:rsidR="008A4B06" w:rsidRDefault="008A4B06" w:rsidP="00A0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D0D5" w14:textId="77777777" w:rsidR="00A036DE" w:rsidRDefault="00A03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5B6A" w14:textId="77777777" w:rsidR="00A036DE" w:rsidRDefault="00A03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1708" w14:textId="77777777" w:rsidR="00A036DE" w:rsidRDefault="00A03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EBFB3" w14:textId="77777777" w:rsidR="008A4B06" w:rsidRDefault="008A4B06" w:rsidP="00A036DE">
      <w:r>
        <w:separator/>
      </w:r>
    </w:p>
  </w:footnote>
  <w:footnote w:type="continuationSeparator" w:id="0">
    <w:p w14:paraId="7F801B89" w14:textId="77777777" w:rsidR="008A4B06" w:rsidRDefault="008A4B06" w:rsidP="00A03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0A08" w14:textId="09DBE078" w:rsidR="00A036DE" w:rsidRDefault="008A4B06">
    <w:pPr>
      <w:pStyle w:val="Header"/>
    </w:pPr>
    <w:r>
      <w:rPr>
        <w:noProof/>
      </w:rPr>
      <w:pict w14:anchorId="60B13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45501"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D7B0" w14:textId="05FCC60B" w:rsidR="00A036DE" w:rsidRDefault="008A4B06">
    <w:pPr>
      <w:pStyle w:val="Header"/>
    </w:pPr>
    <w:r>
      <w:rPr>
        <w:noProof/>
      </w:rPr>
      <w:pict w14:anchorId="001D7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45502"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FECD" w14:textId="1948CFD7" w:rsidR="00A036DE" w:rsidRDefault="008A4B06">
    <w:pPr>
      <w:pStyle w:val="Header"/>
    </w:pPr>
    <w:r>
      <w:rPr>
        <w:noProof/>
      </w:rPr>
      <w:pict w14:anchorId="777D3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45500"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4E72"/>
    <w:multiLevelType w:val="hybridMultilevel"/>
    <w:tmpl w:val="F8186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54847"/>
    <w:multiLevelType w:val="hybridMultilevel"/>
    <w:tmpl w:val="5734F788"/>
    <w:lvl w:ilvl="0" w:tplc="08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1E876763"/>
    <w:multiLevelType w:val="multilevel"/>
    <w:tmpl w:val="5C48892A"/>
    <w:lvl w:ilvl="0">
      <w:start w:val="4"/>
      <w:numFmt w:val="decimal"/>
      <w:lvlText w:val="%1.0"/>
      <w:lvlJc w:val="left"/>
      <w:pPr>
        <w:ind w:left="360" w:hanging="360"/>
      </w:pPr>
      <w:rPr>
        <w:rFonts w:asciiTheme="minorBidi" w:hAnsiTheme="minorBidi" w:hint="default"/>
        <w:b/>
        <w:bCs w:val="0"/>
        <w:sz w:val="22"/>
      </w:rPr>
    </w:lvl>
    <w:lvl w:ilvl="1">
      <w:start w:val="1"/>
      <w:numFmt w:val="decimal"/>
      <w:lvlText w:val="%1.%2"/>
      <w:lvlJc w:val="left"/>
      <w:pPr>
        <w:ind w:left="1080" w:hanging="360"/>
      </w:pPr>
      <w:rPr>
        <w:rFonts w:asciiTheme="minorBidi" w:hAnsiTheme="minorBidi" w:hint="default"/>
        <w:b w:val="0"/>
        <w:sz w:val="22"/>
      </w:rPr>
    </w:lvl>
    <w:lvl w:ilvl="2">
      <w:start w:val="1"/>
      <w:numFmt w:val="decimal"/>
      <w:lvlText w:val="%1.%2.%3"/>
      <w:lvlJc w:val="left"/>
      <w:pPr>
        <w:ind w:left="2160" w:hanging="720"/>
      </w:pPr>
      <w:rPr>
        <w:rFonts w:asciiTheme="minorBidi" w:hAnsiTheme="minorBidi" w:hint="default"/>
        <w:b w:val="0"/>
        <w:sz w:val="22"/>
      </w:rPr>
    </w:lvl>
    <w:lvl w:ilvl="3">
      <w:start w:val="1"/>
      <w:numFmt w:val="decimal"/>
      <w:lvlText w:val="%1.%2.%3.%4"/>
      <w:lvlJc w:val="left"/>
      <w:pPr>
        <w:ind w:left="2880" w:hanging="720"/>
      </w:pPr>
      <w:rPr>
        <w:rFonts w:asciiTheme="minorBidi" w:hAnsiTheme="minorBidi" w:hint="default"/>
        <w:b w:val="0"/>
        <w:sz w:val="22"/>
      </w:rPr>
    </w:lvl>
    <w:lvl w:ilvl="4">
      <w:start w:val="1"/>
      <w:numFmt w:val="decimal"/>
      <w:lvlText w:val="%1.%2.%3.%4.%5"/>
      <w:lvlJc w:val="left"/>
      <w:pPr>
        <w:ind w:left="3960" w:hanging="1080"/>
      </w:pPr>
      <w:rPr>
        <w:rFonts w:asciiTheme="minorBidi" w:hAnsiTheme="minorBidi" w:hint="default"/>
        <w:b w:val="0"/>
        <w:sz w:val="22"/>
      </w:rPr>
    </w:lvl>
    <w:lvl w:ilvl="5">
      <w:start w:val="1"/>
      <w:numFmt w:val="decimal"/>
      <w:lvlText w:val="%1.%2.%3.%4.%5.%6"/>
      <w:lvlJc w:val="left"/>
      <w:pPr>
        <w:ind w:left="4680" w:hanging="1080"/>
      </w:pPr>
      <w:rPr>
        <w:rFonts w:asciiTheme="minorBidi" w:hAnsiTheme="minorBidi" w:hint="default"/>
        <w:b w:val="0"/>
        <w:sz w:val="22"/>
      </w:rPr>
    </w:lvl>
    <w:lvl w:ilvl="6">
      <w:start w:val="1"/>
      <w:numFmt w:val="decimal"/>
      <w:lvlText w:val="%1.%2.%3.%4.%5.%6.%7"/>
      <w:lvlJc w:val="left"/>
      <w:pPr>
        <w:ind w:left="5760" w:hanging="1440"/>
      </w:pPr>
      <w:rPr>
        <w:rFonts w:asciiTheme="minorBidi" w:hAnsiTheme="minorBidi" w:hint="default"/>
        <w:b w:val="0"/>
        <w:sz w:val="22"/>
      </w:rPr>
    </w:lvl>
    <w:lvl w:ilvl="7">
      <w:start w:val="1"/>
      <w:numFmt w:val="decimal"/>
      <w:lvlText w:val="%1.%2.%3.%4.%5.%6.%7.%8"/>
      <w:lvlJc w:val="left"/>
      <w:pPr>
        <w:ind w:left="6480" w:hanging="1440"/>
      </w:pPr>
      <w:rPr>
        <w:rFonts w:asciiTheme="minorBidi" w:hAnsiTheme="minorBidi" w:hint="default"/>
        <w:b w:val="0"/>
        <w:sz w:val="22"/>
      </w:rPr>
    </w:lvl>
    <w:lvl w:ilvl="8">
      <w:start w:val="1"/>
      <w:numFmt w:val="decimal"/>
      <w:lvlText w:val="%1.%2.%3.%4.%5.%6.%7.%8.%9"/>
      <w:lvlJc w:val="left"/>
      <w:pPr>
        <w:ind w:left="7560" w:hanging="1800"/>
      </w:pPr>
      <w:rPr>
        <w:rFonts w:asciiTheme="minorBidi" w:hAnsiTheme="minorBidi" w:hint="default"/>
        <w:b w:val="0"/>
        <w:sz w:val="22"/>
      </w:rPr>
    </w:lvl>
  </w:abstractNum>
  <w:abstractNum w:abstractNumId="3" w15:restartNumberingAfterBreak="0">
    <w:nsid w:val="4E2101AB"/>
    <w:multiLevelType w:val="hybridMultilevel"/>
    <w:tmpl w:val="DFB001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8E013C"/>
    <w:multiLevelType w:val="hybridMultilevel"/>
    <w:tmpl w:val="C8888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51"/>
    <w:rsid w:val="00014D28"/>
    <w:rsid w:val="0002722C"/>
    <w:rsid w:val="000333BE"/>
    <w:rsid w:val="000675F6"/>
    <w:rsid w:val="00087290"/>
    <w:rsid w:val="00087370"/>
    <w:rsid w:val="000D5FF5"/>
    <w:rsid w:val="00111921"/>
    <w:rsid w:val="0011564A"/>
    <w:rsid w:val="00130951"/>
    <w:rsid w:val="00171F79"/>
    <w:rsid w:val="00277D67"/>
    <w:rsid w:val="002B2757"/>
    <w:rsid w:val="00374B34"/>
    <w:rsid w:val="003833D7"/>
    <w:rsid w:val="003D7756"/>
    <w:rsid w:val="004155A1"/>
    <w:rsid w:val="00415B4D"/>
    <w:rsid w:val="00483293"/>
    <w:rsid w:val="004C40F3"/>
    <w:rsid w:val="005A1F27"/>
    <w:rsid w:val="005C6639"/>
    <w:rsid w:val="005E23D6"/>
    <w:rsid w:val="006536F9"/>
    <w:rsid w:val="0067303B"/>
    <w:rsid w:val="006978EA"/>
    <w:rsid w:val="006B3B0B"/>
    <w:rsid w:val="006C5817"/>
    <w:rsid w:val="006E2CCA"/>
    <w:rsid w:val="00765315"/>
    <w:rsid w:val="007A2D13"/>
    <w:rsid w:val="008100C5"/>
    <w:rsid w:val="0088221D"/>
    <w:rsid w:val="008A13DD"/>
    <w:rsid w:val="008A4B06"/>
    <w:rsid w:val="008E63D5"/>
    <w:rsid w:val="009035E1"/>
    <w:rsid w:val="00945FA3"/>
    <w:rsid w:val="009A394D"/>
    <w:rsid w:val="009B2CF2"/>
    <w:rsid w:val="009C72F1"/>
    <w:rsid w:val="009E1C69"/>
    <w:rsid w:val="00A036DE"/>
    <w:rsid w:val="00A16FE6"/>
    <w:rsid w:val="00A74486"/>
    <w:rsid w:val="00A9396C"/>
    <w:rsid w:val="00AD4019"/>
    <w:rsid w:val="00AE13C7"/>
    <w:rsid w:val="00B16975"/>
    <w:rsid w:val="00B40C1D"/>
    <w:rsid w:val="00B462FF"/>
    <w:rsid w:val="00B76E11"/>
    <w:rsid w:val="00BC6537"/>
    <w:rsid w:val="00D02B5F"/>
    <w:rsid w:val="00DB207D"/>
    <w:rsid w:val="00DE7D7E"/>
    <w:rsid w:val="00E11EAC"/>
    <w:rsid w:val="00E94379"/>
    <w:rsid w:val="00F015D4"/>
    <w:rsid w:val="00F271DB"/>
    <w:rsid w:val="00F37ADE"/>
    <w:rsid w:val="00F5449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01A270"/>
  <w15:chartTrackingRefBased/>
  <w15:docId w15:val="{5FBA5B6D-D746-B648-81FD-1B55DBFA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5E1"/>
    <w:rPr>
      <w:rFonts w:ascii="Times New Roman" w:eastAsia="Times New Roman" w:hAnsi="Times New Roman" w:cs="Times New Roman"/>
      <w:kern w:val="0"/>
      <w:lang w:eastAsia="en-GB"/>
      <w14:ligatures w14:val="none"/>
    </w:rPr>
  </w:style>
  <w:style w:type="paragraph" w:styleId="Heading2">
    <w:name w:val="heading 2"/>
    <w:basedOn w:val="Normal"/>
    <w:link w:val="Heading2Char"/>
    <w:uiPriority w:val="9"/>
    <w:qFormat/>
    <w:rsid w:val="0008737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130951"/>
    <w:pPr>
      <w:spacing w:after="240"/>
      <w:jc w:val="both"/>
    </w:pPr>
    <w:rPr>
      <w:rFonts w:ascii="Helvetica" w:hAnsi="Helvetica"/>
      <w:sz w:val="20"/>
      <w:szCs w:val="20"/>
      <w:lang w:val="en-US"/>
    </w:rPr>
  </w:style>
  <w:style w:type="character" w:customStyle="1" w:styleId="Heading2Char">
    <w:name w:val="Heading 2 Char"/>
    <w:basedOn w:val="DefaultParagraphFont"/>
    <w:link w:val="Heading2"/>
    <w:uiPriority w:val="9"/>
    <w:rsid w:val="00087370"/>
    <w:rPr>
      <w:rFonts w:ascii="Times New Roman" w:eastAsia="Times New Roman" w:hAnsi="Times New Roman" w:cs="Times New Roman"/>
      <w:b/>
      <w:bCs/>
      <w:kern w:val="0"/>
      <w:sz w:val="36"/>
      <w:szCs w:val="36"/>
      <w:lang w:eastAsia="en-GB"/>
      <w14:ligatures w14:val="none"/>
    </w:rPr>
  </w:style>
  <w:style w:type="character" w:styleId="Strong">
    <w:name w:val="Strong"/>
    <w:basedOn w:val="DefaultParagraphFont"/>
    <w:uiPriority w:val="22"/>
    <w:qFormat/>
    <w:rsid w:val="00087370"/>
    <w:rPr>
      <w:b/>
      <w:bCs/>
    </w:rPr>
  </w:style>
  <w:style w:type="paragraph" w:styleId="NormalWeb">
    <w:name w:val="Normal (Web)"/>
    <w:basedOn w:val="Normal"/>
    <w:uiPriority w:val="99"/>
    <w:unhideWhenUsed/>
    <w:rsid w:val="00087370"/>
    <w:pPr>
      <w:spacing w:before="100" w:beforeAutospacing="1" w:after="100" w:afterAutospacing="1"/>
    </w:pPr>
  </w:style>
  <w:style w:type="paragraph" w:styleId="ListParagraph">
    <w:name w:val="List Paragraph"/>
    <w:basedOn w:val="Normal"/>
    <w:uiPriority w:val="34"/>
    <w:qFormat/>
    <w:rsid w:val="00087370"/>
    <w:pPr>
      <w:ind w:left="720"/>
      <w:contextualSpacing/>
    </w:pPr>
  </w:style>
  <w:style w:type="paragraph" w:customStyle="1" w:styleId="Head1">
    <w:name w:val="Head1"/>
    <w:basedOn w:val="Normal"/>
    <w:rsid w:val="00F015D4"/>
    <w:pPr>
      <w:keepNext/>
      <w:spacing w:after="240"/>
    </w:pPr>
    <w:rPr>
      <w:rFonts w:ascii="Helvetica" w:hAnsi="Helvetica"/>
      <w:b/>
      <w:caps/>
      <w:sz w:val="22"/>
      <w:szCs w:val="20"/>
      <w:lang w:val="en-US"/>
    </w:rPr>
  </w:style>
  <w:style w:type="table" w:styleId="TableGrid">
    <w:name w:val="Table Grid"/>
    <w:basedOn w:val="TableNormal"/>
    <w:uiPriority w:val="39"/>
    <w:rsid w:val="00B1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36DE"/>
    <w:pPr>
      <w:tabs>
        <w:tab w:val="center" w:pos="4513"/>
        <w:tab w:val="right" w:pos="9026"/>
      </w:tabs>
    </w:pPr>
  </w:style>
  <w:style w:type="character" w:customStyle="1" w:styleId="HeaderChar">
    <w:name w:val="Header Char"/>
    <w:basedOn w:val="DefaultParagraphFont"/>
    <w:link w:val="Header"/>
    <w:uiPriority w:val="99"/>
    <w:rsid w:val="00A036DE"/>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A036DE"/>
    <w:pPr>
      <w:tabs>
        <w:tab w:val="center" w:pos="4513"/>
        <w:tab w:val="right" w:pos="9026"/>
      </w:tabs>
    </w:pPr>
  </w:style>
  <w:style w:type="character" w:customStyle="1" w:styleId="FooterChar">
    <w:name w:val="Footer Char"/>
    <w:basedOn w:val="DefaultParagraphFont"/>
    <w:link w:val="Footer"/>
    <w:uiPriority w:val="99"/>
    <w:rsid w:val="00A036DE"/>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3833D7"/>
    <w:rPr>
      <w:color w:val="0000FF"/>
      <w:u w:val="single"/>
    </w:rPr>
  </w:style>
  <w:style w:type="character" w:styleId="FollowedHyperlink">
    <w:name w:val="FollowedHyperlink"/>
    <w:basedOn w:val="DefaultParagraphFont"/>
    <w:uiPriority w:val="99"/>
    <w:semiHidden/>
    <w:unhideWhenUsed/>
    <w:rsid w:val="006B3B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974">
      <w:bodyDiv w:val="1"/>
      <w:marLeft w:val="0"/>
      <w:marRight w:val="0"/>
      <w:marTop w:val="0"/>
      <w:marBottom w:val="0"/>
      <w:divBdr>
        <w:top w:val="none" w:sz="0" w:space="0" w:color="auto"/>
        <w:left w:val="none" w:sz="0" w:space="0" w:color="auto"/>
        <w:bottom w:val="none" w:sz="0" w:space="0" w:color="auto"/>
        <w:right w:val="none" w:sz="0" w:space="0" w:color="auto"/>
      </w:divBdr>
    </w:div>
    <w:div w:id="55517816">
      <w:bodyDiv w:val="1"/>
      <w:marLeft w:val="0"/>
      <w:marRight w:val="0"/>
      <w:marTop w:val="0"/>
      <w:marBottom w:val="0"/>
      <w:divBdr>
        <w:top w:val="none" w:sz="0" w:space="0" w:color="auto"/>
        <w:left w:val="none" w:sz="0" w:space="0" w:color="auto"/>
        <w:bottom w:val="none" w:sz="0" w:space="0" w:color="auto"/>
        <w:right w:val="none" w:sz="0" w:space="0" w:color="auto"/>
      </w:divBdr>
    </w:div>
    <w:div w:id="75909894">
      <w:bodyDiv w:val="1"/>
      <w:marLeft w:val="0"/>
      <w:marRight w:val="0"/>
      <w:marTop w:val="0"/>
      <w:marBottom w:val="0"/>
      <w:divBdr>
        <w:top w:val="none" w:sz="0" w:space="0" w:color="auto"/>
        <w:left w:val="none" w:sz="0" w:space="0" w:color="auto"/>
        <w:bottom w:val="none" w:sz="0" w:space="0" w:color="auto"/>
        <w:right w:val="none" w:sz="0" w:space="0" w:color="auto"/>
      </w:divBdr>
      <w:divsChild>
        <w:div w:id="73360638">
          <w:marLeft w:val="0"/>
          <w:marRight w:val="0"/>
          <w:marTop w:val="0"/>
          <w:marBottom w:val="0"/>
          <w:divBdr>
            <w:top w:val="none" w:sz="0" w:space="0" w:color="auto"/>
            <w:left w:val="none" w:sz="0" w:space="0" w:color="auto"/>
            <w:bottom w:val="none" w:sz="0" w:space="0" w:color="auto"/>
            <w:right w:val="none" w:sz="0" w:space="0" w:color="auto"/>
          </w:divBdr>
          <w:divsChild>
            <w:div w:id="1686515398">
              <w:marLeft w:val="0"/>
              <w:marRight w:val="0"/>
              <w:marTop w:val="0"/>
              <w:marBottom w:val="0"/>
              <w:divBdr>
                <w:top w:val="none" w:sz="0" w:space="0" w:color="auto"/>
                <w:left w:val="none" w:sz="0" w:space="0" w:color="auto"/>
                <w:bottom w:val="none" w:sz="0" w:space="0" w:color="auto"/>
                <w:right w:val="none" w:sz="0" w:space="0" w:color="auto"/>
              </w:divBdr>
              <w:divsChild>
                <w:div w:id="34853380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6846342">
      <w:bodyDiv w:val="1"/>
      <w:marLeft w:val="0"/>
      <w:marRight w:val="0"/>
      <w:marTop w:val="0"/>
      <w:marBottom w:val="0"/>
      <w:divBdr>
        <w:top w:val="none" w:sz="0" w:space="0" w:color="auto"/>
        <w:left w:val="none" w:sz="0" w:space="0" w:color="auto"/>
        <w:bottom w:val="none" w:sz="0" w:space="0" w:color="auto"/>
        <w:right w:val="none" w:sz="0" w:space="0" w:color="auto"/>
      </w:divBdr>
      <w:divsChild>
        <w:div w:id="1090735059">
          <w:marLeft w:val="0"/>
          <w:marRight w:val="0"/>
          <w:marTop w:val="0"/>
          <w:marBottom w:val="0"/>
          <w:divBdr>
            <w:top w:val="none" w:sz="0" w:space="0" w:color="auto"/>
            <w:left w:val="none" w:sz="0" w:space="0" w:color="auto"/>
            <w:bottom w:val="none" w:sz="0" w:space="0" w:color="auto"/>
            <w:right w:val="none" w:sz="0" w:space="0" w:color="auto"/>
          </w:divBdr>
          <w:divsChild>
            <w:div w:id="2092575949">
              <w:marLeft w:val="0"/>
              <w:marRight w:val="0"/>
              <w:marTop w:val="0"/>
              <w:marBottom w:val="0"/>
              <w:divBdr>
                <w:top w:val="none" w:sz="0" w:space="0" w:color="auto"/>
                <w:left w:val="none" w:sz="0" w:space="0" w:color="auto"/>
                <w:bottom w:val="none" w:sz="0" w:space="0" w:color="auto"/>
                <w:right w:val="none" w:sz="0" w:space="0" w:color="auto"/>
              </w:divBdr>
              <w:divsChild>
                <w:div w:id="11437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4502">
      <w:bodyDiv w:val="1"/>
      <w:marLeft w:val="0"/>
      <w:marRight w:val="0"/>
      <w:marTop w:val="0"/>
      <w:marBottom w:val="0"/>
      <w:divBdr>
        <w:top w:val="none" w:sz="0" w:space="0" w:color="auto"/>
        <w:left w:val="none" w:sz="0" w:space="0" w:color="auto"/>
        <w:bottom w:val="none" w:sz="0" w:space="0" w:color="auto"/>
        <w:right w:val="none" w:sz="0" w:space="0" w:color="auto"/>
      </w:divBdr>
      <w:divsChild>
        <w:div w:id="1147670082">
          <w:marLeft w:val="0"/>
          <w:marRight w:val="0"/>
          <w:marTop w:val="0"/>
          <w:marBottom w:val="0"/>
          <w:divBdr>
            <w:top w:val="none" w:sz="0" w:space="0" w:color="auto"/>
            <w:left w:val="none" w:sz="0" w:space="0" w:color="auto"/>
            <w:bottom w:val="none" w:sz="0" w:space="0" w:color="auto"/>
            <w:right w:val="none" w:sz="0" w:space="0" w:color="auto"/>
          </w:divBdr>
          <w:divsChild>
            <w:div w:id="669599861">
              <w:marLeft w:val="0"/>
              <w:marRight w:val="0"/>
              <w:marTop w:val="0"/>
              <w:marBottom w:val="0"/>
              <w:divBdr>
                <w:top w:val="none" w:sz="0" w:space="0" w:color="auto"/>
                <w:left w:val="none" w:sz="0" w:space="0" w:color="auto"/>
                <w:bottom w:val="none" w:sz="0" w:space="0" w:color="auto"/>
                <w:right w:val="none" w:sz="0" w:space="0" w:color="auto"/>
              </w:divBdr>
              <w:divsChild>
                <w:div w:id="10163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78032">
      <w:bodyDiv w:val="1"/>
      <w:marLeft w:val="0"/>
      <w:marRight w:val="0"/>
      <w:marTop w:val="0"/>
      <w:marBottom w:val="0"/>
      <w:divBdr>
        <w:top w:val="none" w:sz="0" w:space="0" w:color="auto"/>
        <w:left w:val="none" w:sz="0" w:space="0" w:color="auto"/>
        <w:bottom w:val="none" w:sz="0" w:space="0" w:color="auto"/>
        <w:right w:val="none" w:sz="0" w:space="0" w:color="auto"/>
      </w:divBdr>
      <w:divsChild>
        <w:div w:id="1274745754">
          <w:marLeft w:val="0"/>
          <w:marRight w:val="0"/>
          <w:marTop w:val="0"/>
          <w:marBottom w:val="0"/>
          <w:divBdr>
            <w:top w:val="none" w:sz="0" w:space="0" w:color="auto"/>
            <w:left w:val="none" w:sz="0" w:space="0" w:color="auto"/>
            <w:bottom w:val="none" w:sz="0" w:space="0" w:color="auto"/>
            <w:right w:val="none" w:sz="0" w:space="0" w:color="auto"/>
          </w:divBdr>
          <w:divsChild>
            <w:div w:id="1141770332">
              <w:marLeft w:val="0"/>
              <w:marRight w:val="0"/>
              <w:marTop w:val="0"/>
              <w:marBottom w:val="0"/>
              <w:divBdr>
                <w:top w:val="none" w:sz="0" w:space="0" w:color="auto"/>
                <w:left w:val="none" w:sz="0" w:space="0" w:color="auto"/>
                <w:bottom w:val="none" w:sz="0" w:space="0" w:color="auto"/>
                <w:right w:val="none" w:sz="0" w:space="0" w:color="auto"/>
              </w:divBdr>
              <w:divsChild>
                <w:div w:id="1851398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52339955">
      <w:bodyDiv w:val="1"/>
      <w:marLeft w:val="0"/>
      <w:marRight w:val="0"/>
      <w:marTop w:val="0"/>
      <w:marBottom w:val="0"/>
      <w:divBdr>
        <w:top w:val="none" w:sz="0" w:space="0" w:color="auto"/>
        <w:left w:val="none" w:sz="0" w:space="0" w:color="auto"/>
        <w:bottom w:val="none" w:sz="0" w:space="0" w:color="auto"/>
        <w:right w:val="none" w:sz="0" w:space="0" w:color="auto"/>
      </w:divBdr>
    </w:div>
    <w:div w:id="420877359">
      <w:bodyDiv w:val="1"/>
      <w:marLeft w:val="0"/>
      <w:marRight w:val="0"/>
      <w:marTop w:val="0"/>
      <w:marBottom w:val="0"/>
      <w:divBdr>
        <w:top w:val="none" w:sz="0" w:space="0" w:color="auto"/>
        <w:left w:val="none" w:sz="0" w:space="0" w:color="auto"/>
        <w:bottom w:val="none" w:sz="0" w:space="0" w:color="auto"/>
        <w:right w:val="none" w:sz="0" w:space="0" w:color="auto"/>
      </w:divBdr>
      <w:divsChild>
        <w:div w:id="525099699">
          <w:marLeft w:val="0"/>
          <w:marRight w:val="0"/>
          <w:marTop w:val="0"/>
          <w:marBottom w:val="0"/>
          <w:divBdr>
            <w:top w:val="none" w:sz="0" w:space="0" w:color="auto"/>
            <w:left w:val="none" w:sz="0" w:space="0" w:color="auto"/>
            <w:bottom w:val="none" w:sz="0" w:space="0" w:color="auto"/>
            <w:right w:val="none" w:sz="0" w:space="0" w:color="auto"/>
          </w:divBdr>
          <w:divsChild>
            <w:div w:id="114301414">
              <w:marLeft w:val="0"/>
              <w:marRight w:val="0"/>
              <w:marTop w:val="0"/>
              <w:marBottom w:val="0"/>
              <w:divBdr>
                <w:top w:val="none" w:sz="0" w:space="0" w:color="auto"/>
                <w:left w:val="none" w:sz="0" w:space="0" w:color="auto"/>
                <w:bottom w:val="none" w:sz="0" w:space="0" w:color="auto"/>
                <w:right w:val="none" w:sz="0" w:space="0" w:color="auto"/>
              </w:divBdr>
              <w:divsChild>
                <w:div w:id="12960646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53931547">
      <w:bodyDiv w:val="1"/>
      <w:marLeft w:val="0"/>
      <w:marRight w:val="0"/>
      <w:marTop w:val="0"/>
      <w:marBottom w:val="0"/>
      <w:divBdr>
        <w:top w:val="none" w:sz="0" w:space="0" w:color="auto"/>
        <w:left w:val="none" w:sz="0" w:space="0" w:color="auto"/>
        <w:bottom w:val="none" w:sz="0" w:space="0" w:color="auto"/>
        <w:right w:val="none" w:sz="0" w:space="0" w:color="auto"/>
      </w:divBdr>
      <w:divsChild>
        <w:div w:id="1040939007">
          <w:marLeft w:val="0"/>
          <w:marRight w:val="0"/>
          <w:marTop w:val="0"/>
          <w:marBottom w:val="0"/>
          <w:divBdr>
            <w:top w:val="none" w:sz="0" w:space="0" w:color="auto"/>
            <w:left w:val="none" w:sz="0" w:space="0" w:color="auto"/>
            <w:bottom w:val="none" w:sz="0" w:space="0" w:color="auto"/>
            <w:right w:val="none" w:sz="0" w:space="0" w:color="auto"/>
          </w:divBdr>
          <w:divsChild>
            <w:div w:id="634214671">
              <w:marLeft w:val="0"/>
              <w:marRight w:val="0"/>
              <w:marTop w:val="0"/>
              <w:marBottom w:val="0"/>
              <w:divBdr>
                <w:top w:val="none" w:sz="0" w:space="0" w:color="auto"/>
                <w:left w:val="none" w:sz="0" w:space="0" w:color="auto"/>
                <w:bottom w:val="none" w:sz="0" w:space="0" w:color="auto"/>
                <w:right w:val="none" w:sz="0" w:space="0" w:color="auto"/>
              </w:divBdr>
              <w:divsChild>
                <w:div w:id="22480383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60872840">
      <w:bodyDiv w:val="1"/>
      <w:marLeft w:val="0"/>
      <w:marRight w:val="0"/>
      <w:marTop w:val="0"/>
      <w:marBottom w:val="0"/>
      <w:divBdr>
        <w:top w:val="none" w:sz="0" w:space="0" w:color="auto"/>
        <w:left w:val="none" w:sz="0" w:space="0" w:color="auto"/>
        <w:bottom w:val="none" w:sz="0" w:space="0" w:color="auto"/>
        <w:right w:val="none" w:sz="0" w:space="0" w:color="auto"/>
      </w:divBdr>
    </w:div>
    <w:div w:id="595795961">
      <w:bodyDiv w:val="1"/>
      <w:marLeft w:val="0"/>
      <w:marRight w:val="0"/>
      <w:marTop w:val="0"/>
      <w:marBottom w:val="0"/>
      <w:divBdr>
        <w:top w:val="none" w:sz="0" w:space="0" w:color="auto"/>
        <w:left w:val="none" w:sz="0" w:space="0" w:color="auto"/>
        <w:bottom w:val="none" w:sz="0" w:space="0" w:color="auto"/>
        <w:right w:val="none" w:sz="0" w:space="0" w:color="auto"/>
      </w:divBdr>
    </w:div>
    <w:div w:id="716202579">
      <w:bodyDiv w:val="1"/>
      <w:marLeft w:val="0"/>
      <w:marRight w:val="0"/>
      <w:marTop w:val="0"/>
      <w:marBottom w:val="0"/>
      <w:divBdr>
        <w:top w:val="none" w:sz="0" w:space="0" w:color="auto"/>
        <w:left w:val="none" w:sz="0" w:space="0" w:color="auto"/>
        <w:bottom w:val="none" w:sz="0" w:space="0" w:color="auto"/>
        <w:right w:val="none" w:sz="0" w:space="0" w:color="auto"/>
      </w:divBdr>
      <w:divsChild>
        <w:div w:id="20322694">
          <w:marLeft w:val="0"/>
          <w:marRight w:val="0"/>
          <w:marTop w:val="0"/>
          <w:marBottom w:val="0"/>
          <w:divBdr>
            <w:top w:val="none" w:sz="0" w:space="0" w:color="auto"/>
            <w:left w:val="none" w:sz="0" w:space="0" w:color="auto"/>
            <w:bottom w:val="none" w:sz="0" w:space="0" w:color="auto"/>
            <w:right w:val="none" w:sz="0" w:space="0" w:color="auto"/>
          </w:divBdr>
          <w:divsChild>
            <w:div w:id="1599409747">
              <w:marLeft w:val="0"/>
              <w:marRight w:val="0"/>
              <w:marTop w:val="0"/>
              <w:marBottom w:val="0"/>
              <w:divBdr>
                <w:top w:val="none" w:sz="0" w:space="0" w:color="auto"/>
                <w:left w:val="none" w:sz="0" w:space="0" w:color="auto"/>
                <w:bottom w:val="none" w:sz="0" w:space="0" w:color="auto"/>
                <w:right w:val="none" w:sz="0" w:space="0" w:color="auto"/>
              </w:divBdr>
              <w:divsChild>
                <w:div w:id="14300762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33687963">
      <w:bodyDiv w:val="1"/>
      <w:marLeft w:val="0"/>
      <w:marRight w:val="0"/>
      <w:marTop w:val="0"/>
      <w:marBottom w:val="0"/>
      <w:divBdr>
        <w:top w:val="none" w:sz="0" w:space="0" w:color="auto"/>
        <w:left w:val="none" w:sz="0" w:space="0" w:color="auto"/>
        <w:bottom w:val="none" w:sz="0" w:space="0" w:color="auto"/>
        <w:right w:val="none" w:sz="0" w:space="0" w:color="auto"/>
      </w:divBdr>
      <w:divsChild>
        <w:div w:id="793329516">
          <w:marLeft w:val="0"/>
          <w:marRight w:val="0"/>
          <w:marTop w:val="0"/>
          <w:marBottom w:val="0"/>
          <w:divBdr>
            <w:top w:val="none" w:sz="0" w:space="0" w:color="auto"/>
            <w:left w:val="none" w:sz="0" w:space="0" w:color="auto"/>
            <w:bottom w:val="none" w:sz="0" w:space="0" w:color="auto"/>
            <w:right w:val="none" w:sz="0" w:space="0" w:color="auto"/>
          </w:divBdr>
          <w:divsChild>
            <w:div w:id="375277351">
              <w:marLeft w:val="0"/>
              <w:marRight w:val="0"/>
              <w:marTop w:val="0"/>
              <w:marBottom w:val="0"/>
              <w:divBdr>
                <w:top w:val="none" w:sz="0" w:space="0" w:color="auto"/>
                <w:left w:val="none" w:sz="0" w:space="0" w:color="auto"/>
                <w:bottom w:val="none" w:sz="0" w:space="0" w:color="auto"/>
                <w:right w:val="none" w:sz="0" w:space="0" w:color="auto"/>
              </w:divBdr>
              <w:divsChild>
                <w:div w:id="181760188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66140255">
      <w:bodyDiv w:val="1"/>
      <w:marLeft w:val="0"/>
      <w:marRight w:val="0"/>
      <w:marTop w:val="0"/>
      <w:marBottom w:val="0"/>
      <w:divBdr>
        <w:top w:val="none" w:sz="0" w:space="0" w:color="auto"/>
        <w:left w:val="none" w:sz="0" w:space="0" w:color="auto"/>
        <w:bottom w:val="none" w:sz="0" w:space="0" w:color="auto"/>
        <w:right w:val="none" w:sz="0" w:space="0" w:color="auto"/>
      </w:divBdr>
    </w:div>
    <w:div w:id="923150927">
      <w:bodyDiv w:val="1"/>
      <w:marLeft w:val="0"/>
      <w:marRight w:val="0"/>
      <w:marTop w:val="0"/>
      <w:marBottom w:val="0"/>
      <w:divBdr>
        <w:top w:val="none" w:sz="0" w:space="0" w:color="auto"/>
        <w:left w:val="none" w:sz="0" w:space="0" w:color="auto"/>
        <w:bottom w:val="none" w:sz="0" w:space="0" w:color="auto"/>
        <w:right w:val="none" w:sz="0" w:space="0" w:color="auto"/>
      </w:divBdr>
    </w:div>
    <w:div w:id="951979651">
      <w:bodyDiv w:val="1"/>
      <w:marLeft w:val="0"/>
      <w:marRight w:val="0"/>
      <w:marTop w:val="0"/>
      <w:marBottom w:val="0"/>
      <w:divBdr>
        <w:top w:val="none" w:sz="0" w:space="0" w:color="auto"/>
        <w:left w:val="none" w:sz="0" w:space="0" w:color="auto"/>
        <w:bottom w:val="none" w:sz="0" w:space="0" w:color="auto"/>
        <w:right w:val="none" w:sz="0" w:space="0" w:color="auto"/>
      </w:divBdr>
    </w:div>
    <w:div w:id="1010643000">
      <w:bodyDiv w:val="1"/>
      <w:marLeft w:val="0"/>
      <w:marRight w:val="0"/>
      <w:marTop w:val="0"/>
      <w:marBottom w:val="0"/>
      <w:divBdr>
        <w:top w:val="none" w:sz="0" w:space="0" w:color="auto"/>
        <w:left w:val="none" w:sz="0" w:space="0" w:color="auto"/>
        <w:bottom w:val="none" w:sz="0" w:space="0" w:color="auto"/>
        <w:right w:val="none" w:sz="0" w:space="0" w:color="auto"/>
      </w:divBdr>
    </w:div>
    <w:div w:id="1083795321">
      <w:bodyDiv w:val="1"/>
      <w:marLeft w:val="0"/>
      <w:marRight w:val="0"/>
      <w:marTop w:val="0"/>
      <w:marBottom w:val="0"/>
      <w:divBdr>
        <w:top w:val="none" w:sz="0" w:space="0" w:color="auto"/>
        <w:left w:val="none" w:sz="0" w:space="0" w:color="auto"/>
        <w:bottom w:val="none" w:sz="0" w:space="0" w:color="auto"/>
        <w:right w:val="none" w:sz="0" w:space="0" w:color="auto"/>
      </w:divBdr>
      <w:divsChild>
        <w:div w:id="460853768">
          <w:marLeft w:val="0"/>
          <w:marRight w:val="0"/>
          <w:marTop w:val="0"/>
          <w:marBottom w:val="0"/>
          <w:divBdr>
            <w:top w:val="none" w:sz="0" w:space="0" w:color="auto"/>
            <w:left w:val="none" w:sz="0" w:space="0" w:color="auto"/>
            <w:bottom w:val="none" w:sz="0" w:space="0" w:color="auto"/>
            <w:right w:val="none" w:sz="0" w:space="0" w:color="auto"/>
          </w:divBdr>
          <w:divsChild>
            <w:div w:id="2009477458">
              <w:marLeft w:val="0"/>
              <w:marRight w:val="0"/>
              <w:marTop w:val="0"/>
              <w:marBottom w:val="0"/>
              <w:divBdr>
                <w:top w:val="none" w:sz="0" w:space="0" w:color="auto"/>
                <w:left w:val="none" w:sz="0" w:space="0" w:color="auto"/>
                <w:bottom w:val="none" w:sz="0" w:space="0" w:color="auto"/>
                <w:right w:val="none" w:sz="0" w:space="0" w:color="auto"/>
              </w:divBdr>
              <w:divsChild>
                <w:div w:id="191739745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31166720">
      <w:bodyDiv w:val="1"/>
      <w:marLeft w:val="0"/>
      <w:marRight w:val="0"/>
      <w:marTop w:val="0"/>
      <w:marBottom w:val="0"/>
      <w:divBdr>
        <w:top w:val="none" w:sz="0" w:space="0" w:color="auto"/>
        <w:left w:val="none" w:sz="0" w:space="0" w:color="auto"/>
        <w:bottom w:val="none" w:sz="0" w:space="0" w:color="auto"/>
        <w:right w:val="none" w:sz="0" w:space="0" w:color="auto"/>
      </w:divBdr>
      <w:divsChild>
        <w:div w:id="2087410763">
          <w:marLeft w:val="0"/>
          <w:marRight w:val="0"/>
          <w:marTop w:val="0"/>
          <w:marBottom w:val="0"/>
          <w:divBdr>
            <w:top w:val="none" w:sz="0" w:space="0" w:color="auto"/>
            <w:left w:val="none" w:sz="0" w:space="0" w:color="auto"/>
            <w:bottom w:val="none" w:sz="0" w:space="0" w:color="auto"/>
            <w:right w:val="none" w:sz="0" w:space="0" w:color="auto"/>
          </w:divBdr>
          <w:divsChild>
            <w:div w:id="1939479023">
              <w:marLeft w:val="0"/>
              <w:marRight w:val="0"/>
              <w:marTop w:val="0"/>
              <w:marBottom w:val="0"/>
              <w:divBdr>
                <w:top w:val="none" w:sz="0" w:space="0" w:color="auto"/>
                <w:left w:val="none" w:sz="0" w:space="0" w:color="auto"/>
                <w:bottom w:val="none" w:sz="0" w:space="0" w:color="auto"/>
                <w:right w:val="none" w:sz="0" w:space="0" w:color="auto"/>
              </w:divBdr>
              <w:divsChild>
                <w:div w:id="13684846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04946068">
      <w:bodyDiv w:val="1"/>
      <w:marLeft w:val="0"/>
      <w:marRight w:val="0"/>
      <w:marTop w:val="0"/>
      <w:marBottom w:val="0"/>
      <w:divBdr>
        <w:top w:val="none" w:sz="0" w:space="0" w:color="auto"/>
        <w:left w:val="none" w:sz="0" w:space="0" w:color="auto"/>
        <w:bottom w:val="none" w:sz="0" w:space="0" w:color="auto"/>
        <w:right w:val="none" w:sz="0" w:space="0" w:color="auto"/>
      </w:divBdr>
    </w:div>
    <w:div w:id="1241211956">
      <w:bodyDiv w:val="1"/>
      <w:marLeft w:val="0"/>
      <w:marRight w:val="0"/>
      <w:marTop w:val="0"/>
      <w:marBottom w:val="0"/>
      <w:divBdr>
        <w:top w:val="none" w:sz="0" w:space="0" w:color="auto"/>
        <w:left w:val="none" w:sz="0" w:space="0" w:color="auto"/>
        <w:bottom w:val="none" w:sz="0" w:space="0" w:color="auto"/>
        <w:right w:val="none" w:sz="0" w:space="0" w:color="auto"/>
      </w:divBdr>
    </w:div>
    <w:div w:id="1309094463">
      <w:bodyDiv w:val="1"/>
      <w:marLeft w:val="0"/>
      <w:marRight w:val="0"/>
      <w:marTop w:val="0"/>
      <w:marBottom w:val="0"/>
      <w:divBdr>
        <w:top w:val="none" w:sz="0" w:space="0" w:color="auto"/>
        <w:left w:val="none" w:sz="0" w:space="0" w:color="auto"/>
        <w:bottom w:val="none" w:sz="0" w:space="0" w:color="auto"/>
        <w:right w:val="none" w:sz="0" w:space="0" w:color="auto"/>
      </w:divBdr>
      <w:divsChild>
        <w:div w:id="2035690731">
          <w:marLeft w:val="0"/>
          <w:marRight w:val="0"/>
          <w:marTop w:val="0"/>
          <w:marBottom w:val="0"/>
          <w:divBdr>
            <w:top w:val="none" w:sz="0" w:space="0" w:color="auto"/>
            <w:left w:val="none" w:sz="0" w:space="0" w:color="auto"/>
            <w:bottom w:val="none" w:sz="0" w:space="0" w:color="auto"/>
            <w:right w:val="none" w:sz="0" w:space="0" w:color="auto"/>
          </w:divBdr>
          <w:divsChild>
            <w:div w:id="1010521711">
              <w:marLeft w:val="0"/>
              <w:marRight w:val="0"/>
              <w:marTop w:val="0"/>
              <w:marBottom w:val="0"/>
              <w:divBdr>
                <w:top w:val="none" w:sz="0" w:space="0" w:color="auto"/>
                <w:left w:val="none" w:sz="0" w:space="0" w:color="auto"/>
                <w:bottom w:val="none" w:sz="0" w:space="0" w:color="auto"/>
                <w:right w:val="none" w:sz="0" w:space="0" w:color="auto"/>
              </w:divBdr>
              <w:divsChild>
                <w:div w:id="51985748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11203602">
      <w:bodyDiv w:val="1"/>
      <w:marLeft w:val="0"/>
      <w:marRight w:val="0"/>
      <w:marTop w:val="0"/>
      <w:marBottom w:val="0"/>
      <w:divBdr>
        <w:top w:val="none" w:sz="0" w:space="0" w:color="auto"/>
        <w:left w:val="none" w:sz="0" w:space="0" w:color="auto"/>
        <w:bottom w:val="none" w:sz="0" w:space="0" w:color="auto"/>
        <w:right w:val="none" w:sz="0" w:space="0" w:color="auto"/>
      </w:divBdr>
      <w:divsChild>
        <w:div w:id="1226910928">
          <w:marLeft w:val="0"/>
          <w:marRight w:val="0"/>
          <w:marTop w:val="0"/>
          <w:marBottom w:val="0"/>
          <w:divBdr>
            <w:top w:val="none" w:sz="0" w:space="0" w:color="auto"/>
            <w:left w:val="none" w:sz="0" w:space="0" w:color="auto"/>
            <w:bottom w:val="none" w:sz="0" w:space="0" w:color="auto"/>
            <w:right w:val="none" w:sz="0" w:space="0" w:color="auto"/>
          </w:divBdr>
          <w:divsChild>
            <w:div w:id="994911770">
              <w:marLeft w:val="0"/>
              <w:marRight w:val="0"/>
              <w:marTop w:val="0"/>
              <w:marBottom w:val="0"/>
              <w:divBdr>
                <w:top w:val="none" w:sz="0" w:space="0" w:color="auto"/>
                <w:left w:val="none" w:sz="0" w:space="0" w:color="auto"/>
                <w:bottom w:val="none" w:sz="0" w:space="0" w:color="auto"/>
                <w:right w:val="none" w:sz="0" w:space="0" w:color="auto"/>
              </w:divBdr>
              <w:divsChild>
                <w:div w:id="5724408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11806581">
      <w:bodyDiv w:val="1"/>
      <w:marLeft w:val="0"/>
      <w:marRight w:val="0"/>
      <w:marTop w:val="0"/>
      <w:marBottom w:val="0"/>
      <w:divBdr>
        <w:top w:val="none" w:sz="0" w:space="0" w:color="auto"/>
        <w:left w:val="none" w:sz="0" w:space="0" w:color="auto"/>
        <w:bottom w:val="none" w:sz="0" w:space="0" w:color="auto"/>
        <w:right w:val="none" w:sz="0" w:space="0" w:color="auto"/>
      </w:divBdr>
    </w:div>
    <w:div w:id="1534732832">
      <w:bodyDiv w:val="1"/>
      <w:marLeft w:val="0"/>
      <w:marRight w:val="0"/>
      <w:marTop w:val="0"/>
      <w:marBottom w:val="0"/>
      <w:divBdr>
        <w:top w:val="none" w:sz="0" w:space="0" w:color="auto"/>
        <w:left w:val="none" w:sz="0" w:space="0" w:color="auto"/>
        <w:bottom w:val="none" w:sz="0" w:space="0" w:color="auto"/>
        <w:right w:val="none" w:sz="0" w:space="0" w:color="auto"/>
      </w:divBdr>
    </w:div>
    <w:div w:id="1641112478">
      <w:bodyDiv w:val="1"/>
      <w:marLeft w:val="0"/>
      <w:marRight w:val="0"/>
      <w:marTop w:val="0"/>
      <w:marBottom w:val="0"/>
      <w:divBdr>
        <w:top w:val="none" w:sz="0" w:space="0" w:color="auto"/>
        <w:left w:val="none" w:sz="0" w:space="0" w:color="auto"/>
        <w:bottom w:val="none" w:sz="0" w:space="0" w:color="auto"/>
        <w:right w:val="none" w:sz="0" w:space="0" w:color="auto"/>
      </w:divBdr>
    </w:div>
    <w:div w:id="1654793519">
      <w:bodyDiv w:val="1"/>
      <w:marLeft w:val="0"/>
      <w:marRight w:val="0"/>
      <w:marTop w:val="0"/>
      <w:marBottom w:val="0"/>
      <w:divBdr>
        <w:top w:val="none" w:sz="0" w:space="0" w:color="auto"/>
        <w:left w:val="none" w:sz="0" w:space="0" w:color="auto"/>
        <w:bottom w:val="none" w:sz="0" w:space="0" w:color="auto"/>
        <w:right w:val="none" w:sz="0" w:space="0" w:color="auto"/>
      </w:divBdr>
      <w:divsChild>
        <w:div w:id="547452662">
          <w:marLeft w:val="0"/>
          <w:marRight w:val="0"/>
          <w:marTop w:val="0"/>
          <w:marBottom w:val="0"/>
          <w:divBdr>
            <w:top w:val="none" w:sz="0" w:space="0" w:color="auto"/>
            <w:left w:val="none" w:sz="0" w:space="0" w:color="auto"/>
            <w:bottom w:val="none" w:sz="0" w:space="0" w:color="auto"/>
            <w:right w:val="none" w:sz="0" w:space="0" w:color="auto"/>
          </w:divBdr>
          <w:divsChild>
            <w:div w:id="943223827">
              <w:marLeft w:val="0"/>
              <w:marRight w:val="0"/>
              <w:marTop w:val="0"/>
              <w:marBottom w:val="0"/>
              <w:divBdr>
                <w:top w:val="none" w:sz="0" w:space="0" w:color="auto"/>
                <w:left w:val="none" w:sz="0" w:space="0" w:color="auto"/>
                <w:bottom w:val="none" w:sz="0" w:space="0" w:color="auto"/>
                <w:right w:val="none" w:sz="0" w:space="0" w:color="auto"/>
              </w:divBdr>
              <w:divsChild>
                <w:div w:id="102521175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12879956">
      <w:bodyDiv w:val="1"/>
      <w:marLeft w:val="0"/>
      <w:marRight w:val="0"/>
      <w:marTop w:val="0"/>
      <w:marBottom w:val="0"/>
      <w:divBdr>
        <w:top w:val="none" w:sz="0" w:space="0" w:color="auto"/>
        <w:left w:val="none" w:sz="0" w:space="0" w:color="auto"/>
        <w:bottom w:val="none" w:sz="0" w:space="0" w:color="auto"/>
        <w:right w:val="none" w:sz="0" w:space="0" w:color="auto"/>
      </w:divBdr>
    </w:div>
    <w:div w:id="1761095991">
      <w:bodyDiv w:val="1"/>
      <w:marLeft w:val="0"/>
      <w:marRight w:val="0"/>
      <w:marTop w:val="0"/>
      <w:marBottom w:val="0"/>
      <w:divBdr>
        <w:top w:val="none" w:sz="0" w:space="0" w:color="auto"/>
        <w:left w:val="none" w:sz="0" w:space="0" w:color="auto"/>
        <w:bottom w:val="none" w:sz="0" w:space="0" w:color="auto"/>
        <w:right w:val="none" w:sz="0" w:space="0" w:color="auto"/>
      </w:divBdr>
    </w:div>
    <w:div w:id="1852642089">
      <w:bodyDiv w:val="1"/>
      <w:marLeft w:val="0"/>
      <w:marRight w:val="0"/>
      <w:marTop w:val="0"/>
      <w:marBottom w:val="0"/>
      <w:divBdr>
        <w:top w:val="none" w:sz="0" w:space="0" w:color="auto"/>
        <w:left w:val="none" w:sz="0" w:space="0" w:color="auto"/>
        <w:bottom w:val="none" w:sz="0" w:space="0" w:color="auto"/>
        <w:right w:val="none" w:sz="0" w:space="0" w:color="auto"/>
      </w:divBdr>
      <w:divsChild>
        <w:div w:id="642589111">
          <w:marLeft w:val="0"/>
          <w:marRight w:val="0"/>
          <w:marTop w:val="0"/>
          <w:marBottom w:val="0"/>
          <w:divBdr>
            <w:top w:val="none" w:sz="0" w:space="0" w:color="auto"/>
            <w:left w:val="none" w:sz="0" w:space="0" w:color="auto"/>
            <w:bottom w:val="none" w:sz="0" w:space="0" w:color="auto"/>
            <w:right w:val="none" w:sz="0" w:space="0" w:color="auto"/>
          </w:divBdr>
          <w:divsChild>
            <w:div w:id="1719743819">
              <w:marLeft w:val="0"/>
              <w:marRight w:val="0"/>
              <w:marTop w:val="0"/>
              <w:marBottom w:val="0"/>
              <w:divBdr>
                <w:top w:val="none" w:sz="0" w:space="0" w:color="auto"/>
                <w:left w:val="none" w:sz="0" w:space="0" w:color="auto"/>
                <w:bottom w:val="none" w:sz="0" w:space="0" w:color="auto"/>
                <w:right w:val="none" w:sz="0" w:space="0" w:color="auto"/>
              </w:divBdr>
              <w:divsChild>
                <w:div w:id="12508473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05407443">
      <w:bodyDiv w:val="1"/>
      <w:marLeft w:val="0"/>
      <w:marRight w:val="0"/>
      <w:marTop w:val="0"/>
      <w:marBottom w:val="0"/>
      <w:divBdr>
        <w:top w:val="none" w:sz="0" w:space="0" w:color="auto"/>
        <w:left w:val="none" w:sz="0" w:space="0" w:color="auto"/>
        <w:bottom w:val="none" w:sz="0" w:space="0" w:color="auto"/>
        <w:right w:val="none" w:sz="0" w:space="0" w:color="auto"/>
      </w:divBdr>
    </w:div>
    <w:div w:id="1948154335">
      <w:bodyDiv w:val="1"/>
      <w:marLeft w:val="0"/>
      <w:marRight w:val="0"/>
      <w:marTop w:val="0"/>
      <w:marBottom w:val="0"/>
      <w:divBdr>
        <w:top w:val="none" w:sz="0" w:space="0" w:color="auto"/>
        <w:left w:val="none" w:sz="0" w:space="0" w:color="auto"/>
        <w:bottom w:val="none" w:sz="0" w:space="0" w:color="auto"/>
        <w:right w:val="none" w:sz="0" w:space="0" w:color="auto"/>
      </w:divBdr>
    </w:div>
    <w:div w:id="1952786808">
      <w:bodyDiv w:val="1"/>
      <w:marLeft w:val="0"/>
      <w:marRight w:val="0"/>
      <w:marTop w:val="0"/>
      <w:marBottom w:val="0"/>
      <w:divBdr>
        <w:top w:val="none" w:sz="0" w:space="0" w:color="auto"/>
        <w:left w:val="none" w:sz="0" w:space="0" w:color="auto"/>
        <w:bottom w:val="none" w:sz="0" w:space="0" w:color="auto"/>
        <w:right w:val="none" w:sz="0" w:space="0" w:color="auto"/>
      </w:divBdr>
      <w:divsChild>
        <w:div w:id="1767380353">
          <w:marLeft w:val="0"/>
          <w:marRight w:val="0"/>
          <w:marTop w:val="0"/>
          <w:marBottom w:val="0"/>
          <w:divBdr>
            <w:top w:val="none" w:sz="0" w:space="0" w:color="auto"/>
            <w:left w:val="none" w:sz="0" w:space="0" w:color="auto"/>
            <w:bottom w:val="none" w:sz="0" w:space="0" w:color="auto"/>
            <w:right w:val="none" w:sz="0" w:space="0" w:color="auto"/>
          </w:divBdr>
          <w:divsChild>
            <w:div w:id="2031562311">
              <w:marLeft w:val="0"/>
              <w:marRight w:val="0"/>
              <w:marTop w:val="0"/>
              <w:marBottom w:val="0"/>
              <w:divBdr>
                <w:top w:val="none" w:sz="0" w:space="0" w:color="auto"/>
                <w:left w:val="none" w:sz="0" w:space="0" w:color="auto"/>
                <w:bottom w:val="none" w:sz="0" w:space="0" w:color="auto"/>
                <w:right w:val="none" w:sz="0" w:space="0" w:color="auto"/>
              </w:divBdr>
              <w:divsChild>
                <w:div w:id="17854664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3910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161/CIRCINTERVENTIONS.123.013302" TargetMode="External"/><Relationship Id="rId18" Type="http://schemas.openxmlformats.org/officeDocument/2006/relationships/hyperlink" Target="https://doi.org/10.1016/S2214-109X(23)00502-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3390/medicina61081470" TargetMode="External"/><Relationship Id="rId17" Type="http://schemas.openxmlformats.org/officeDocument/2006/relationships/hyperlink" Target="https://doi.org/10.3390/jcdd1205017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ai.org/selution-denovo-pci-sirolimus-eluting-balloon-and-provisional-stenting-shows-comparable-outcomes?utm_source=chatgpt.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jcdd1301000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jacasi.2025.02.017" TargetMode="External"/><Relationship Id="rId23"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07/s12265-025-10650-x"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IN"/>
              <a:t>Baseline cardiovascular risk factors </a:t>
            </a:r>
            <a:endParaRPr lang="en-US"/>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Hypertension</c:v>
                </c:pt>
                <c:pt idx="1">
                  <c:v>Diabetes</c:v>
                </c:pt>
                <c:pt idx="2">
                  <c:v>Dyslipidaemia</c:v>
                </c:pt>
                <c:pt idx="3">
                  <c:v>Smoking</c:v>
                </c:pt>
                <c:pt idx="4">
                  <c:v>CKD</c:v>
                </c:pt>
              </c:strCache>
            </c:strRef>
          </c:cat>
          <c:val>
            <c:numRef>
              <c:f>Sheet1!$B$2:$B$6</c:f>
              <c:numCache>
                <c:formatCode>0.00%</c:formatCode>
                <c:ptCount val="5"/>
                <c:pt idx="0" formatCode="0%">
                  <c:v>0.63</c:v>
                </c:pt>
                <c:pt idx="1">
                  <c:v>0.52200000000000002</c:v>
                </c:pt>
                <c:pt idx="2">
                  <c:v>0.45700000000000002</c:v>
                </c:pt>
                <c:pt idx="3">
                  <c:v>0.39100000000000001</c:v>
                </c:pt>
                <c:pt idx="4" formatCode="0%">
                  <c:v>0.13</c:v>
                </c:pt>
              </c:numCache>
            </c:numRef>
          </c:val>
          <c:extLst>
            <c:ext xmlns:c16="http://schemas.microsoft.com/office/drawing/2014/chart" uri="{C3380CC4-5D6E-409C-BE32-E72D297353CC}">
              <c16:uniqueId val="{00000000-5CAA-184F-AA17-15C4072FCB76}"/>
            </c:ext>
          </c:extLst>
        </c:ser>
        <c:dLbls>
          <c:dLblPos val="inEnd"/>
          <c:showLegendKey val="0"/>
          <c:showVal val="1"/>
          <c:showCatName val="0"/>
          <c:showSerName val="0"/>
          <c:showPercent val="0"/>
          <c:showBubbleSize val="0"/>
        </c:dLbls>
        <c:gapWidth val="80"/>
        <c:overlap val="25"/>
        <c:axId val="1392954432"/>
        <c:axId val="1378156544"/>
      </c:barChart>
      <c:catAx>
        <c:axId val="139295443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378156544"/>
        <c:crosses val="autoZero"/>
        <c:auto val="1"/>
        <c:lblAlgn val="ctr"/>
        <c:lblOffset val="100"/>
        <c:noMultiLvlLbl val="0"/>
      </c:catAx>
      <c:valAx>
        <c:axId val="1378156544"/>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39295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IN"/>
              <a:t>Distribution of coronary lesion types </a:t>
            </a:r>
            <a:endParaRPr lang="en-US"/>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De novo</c:v>
                </c:pt>
                <c:pt idx="1">
                  <c:v>ISR</c:v>
                </c:pt>
              </c:strCache>
            </c:strRef>
          </c:cat>
          <c:val>
            <c:numRef>
              <c:f>Sheet1!$B$2:$B$3</c:f>
              <c:numCache>
                <c:formatCode>0.00%</c:formatCode>
                <c:ptCount val="2"/>
                <c:pt idx="0">
                  <c:v>0.67400000000000004</c:v>
                </c:pt>
                <c:pt idx="1">
                  <c:v>0.32600000000000001</c:v>
                </c:pt>
              </c:numCache>
            </c:numRef>
          </c:val>
          <c:extLst>
            <c:ext xmlns:c16="http://schemas.microsoft.com/office/drawing/2014/chart" uri="{C3380CC4-5D6E-409C-BE32-E72D297353CC}">
              <c16:uniqueId val="{00000000-DE4B-2C46-9AF9-6D67380496B0}"/>
            </c:ext>
          </c:extLst>
        </c:ser>
        <c:dLbls>
          <c:dLblPos val="inEnd"/>
          <c:showLegendKey val="0"/>
          <c:showVal val="1"/>
          <c:showCatName val="0"/>
          <c:showSerName val="0"/>
          <c:showPercent val="0"/>
          <c:showBubbleSize val="0"/>
        </c:dLbls>
        <c:gapWidth val="80"/>
        <c:overlap val="25"/>
        <c:axId val="1392954432"/>
        <c:axId val="1378156544"/>
      </c:barChart>
      <c:catAx>
        <c:axId val="139295443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378156544"/>
        <c:crosses val="autoZero"/>
        <c:auto val="1"/>
        <c:lblAlgn val="ctr"/>
        <c:lblOffset val="100"/>
        <c:noMultiLvlLbl val="0"/>
      </c:catAx>
      <c:valAx>
        <c:axId val="1378156544"/>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39295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IN"/>
              <a:t>Immediate procedural outcomes </a:t>
            </a:r>
            <a:endParaRPr lang="en-US"/>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Procedural success</c:v>
                </c:pt>
                <c:pt idx="1">
                  <c:v>Bailout stenting</c:v>
                </c:pt>
                <c:pt idx="2">
                  <c:v>Coronary dissection</c:v>
                </c:pt>
              </c:strCache>
            </c:strRef>
          </c:cat>
          <c:val>
            <c:numRef>
              <c:f>Sheet1!$B$2:$B$4</c:f>
              <c:numCache>
                <c:formatCode>0.00%</c:formatCode>
                <c:ptCount val="3"/>
                <c:pt idx="0" formatCode="0%">
                  <c:v>0.87</c:v>
                </c:pt>
                <c:pt idx="1">
                  <c:v>6.5000000000000002E-2</c:v>
                </c:pt>
                <c:pt idx="2">
                  <c:v>8.6999999999999994E-2</c:v>
                </c:pt>
              </c:numCache>
            </c:numRef>
          </c:val>
          <c:extLst>
            <c:ext xmlns:c16="http://schemas.microsoft.com/office/drawing/2014/chart" uri="{C3380CC4-5D6E-409C-BE32-E72D297353CC}">
              <c16:uniqueId val="{00000000-3883-0C43-962A-CB89422B5136}"/>
            </c:ext>
          </c:extLst>
        </c:ser>
        <c:dLbls>
          <c:dLblPos val="inEnd"/>
          <c:showLegendKey val="0"/>
          <c:showVal val="1"/>
          <c:showCatName val="0"/>
          <c:showSerName val="0"/>
          <c:showPercent val="0"/>
          <c:showBubbleSize val="0"/>
        </c:dLbls>
        <c:gapWidth val="80"/>
        <c:overlap val="25"/>
        <c:axId val="1392954432"/>
        <c:axId val="1378156544"/>
      </c:barChart>
      <c:catAx>
        <c:axId val="139295443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378156544"/>
        <c:crosses val="autoZero"/>
        <c:auto val="1"/>
        <c:lblAlgn val="ctr"/>
        <c:lblOffset val="100"/>
        <c:noMultiLvlLbl val="0"/>
      </c:catAx>
      <c:valAx>
        <c:axId val="1378156544"/>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39295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IN"/>
              <a:t>Procedural success by lesion subgroup. </a:t>
            </a:r>
            <a:endParaRPr lang="en-US"/>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Success Rate (%)</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De novo lesions</c:v>
                </c:pt>
                <c:pt idx="1">
                  <c:v>ISR lesions</c:v>
                </c:pt>
              </c:strCache>
            </c:strRef>
          </c:cat>
          <c:val>
            <c:numRef>
              <c:f>Sheet1!$B$2:$B$3</c:f>
              <c:numCache>
                <c:formatCode>0%</c:formatCode>
                <c:ptCount val="2"/>
                <c:pt idx="0" formatCode="0.00%">
                  <c:v>0.90300000000000002</c:v>
                </c:pt>
                <c:pt idx="1">
                  <c:v>0.8</c:v>
                </c:pt>
              </c:numCache>
            </c:numRef>
          </c:val>
          <c:extLst>
            <c:ext xmlns:c16="http://schemas.microsoft.com/office/drawing/2014/chart" uri="{C3380CC4-5D6E-409C-BE32-E72D297353CC}">
              <c16:uniqueId val="{00000000-9DAE-9642-8D8D-CD22153F2A31}"/>
            </c:ext>
          </c:extLst>
        </c:ser>
        <c:dLbls>
          <c:dLblPos val="outEnd"/>
          <c:showLegendKey val="0"/>
          <c:showVal val="1"/>
          <c:showCatName val="0"/>
          <c:showSerName val="0"/>
          <c:showPercent val="0"/>
          <c:showBubbleSize val="0"/>
        </c:dLbls>
        <c:gapWidth val="80"/>
        <c:overlap val="25"/>
        <c:axId val="1392954432"/>
        <c:axId val="1378156544"/>
      </c:barChart>
      <c:catAx>
        <c:axId val="139295443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378156544"/>
        <c:crosses val="autoZero"/>
        <c:auto val="1"/>
        <c:lblAlgn val="ctr"/>
        <c:lblOffset val="100"/>
        <c:noMultiLvlLbl val="0"/>
      </c:catAx>
      <c:valAx>
        <c:axId val="1378156544"/>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39295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4534</Words>
  <Characters>25848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Mohankumar</dc:creator>
  <cp:keywords/>
  <dc:description/>
  <cp:lastModifiedBy>SDI 1158</cp:lastModifiedBy>
  <cp:revision>17</cp:revision>
  <dcterms:created xsi:type="dcterms:W3CDTF">2026-04-17T17:36:00Z</dcterms:created>
  <dcterms:modified xsi:type="dcterms:W3CDTF">2026-04-25T09:26:00Z</dcterms:modified>
</cp:coreProperties>
</file>