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264B" w:rsidRDefault="00C63EB9">
      <w:pPr>
        <w:pStyle w:val="Body"/>
        <w:rPr>
          <w:rFonts w:ascii="Times New Roman" w:eastAsia="Times New Roman" w:hAnsi="Times New Roman" w:cs="Times New Roman"/>
          <w:b/>
          <w:bCs/>
          <w:i/>
          <w:iCs/>
          <w:sz w:val="36"/>
          <w:szCs w:val="36"/>
          <w:u w:val="single"/>
        </w:rPr>
      </w:pPr>
      <w:r>
        <w:rPr>
          <w:rFonts w:ascii="Times New Roman" w:hAnsi="Times New Roman"/>
          <w:b/>
          <w:bCs/>
          <w:i/>
          <w:iCs/>
          <w:sz w:val="36"/>
          <w:szCs w:val="36"/>
          <w:u w:val="single"/>
          <w:lang w:val="en-US"/>
        </w:rPr>
        <w:t xml:space="preserve">Case report </w:t>
      </w:r>
    </w:p>
    <w:p w:rsidR="009D264B" w:rsidRDefault="009D264B">
      <w:pPr>
        <w:pStyle w:val="Body"/>
        <w:rPr>
          <w:rFonts w:ascii="Times New Roman" w:eastAsia="Times New Roman" w:hAnsi="Times New Roman" w:cs="Times New Roman"/>
          <w:sz w:val="36"/>
          <w:szCs w:val="36"/>
        </w:rPr>
      </w:pPr>
    </w:p>
    <w:p w:rsidR="009D264B" w:rsidRDefault="00C63EB9">
      <w:pPr>
        <w:pStyle w:val="Body"/>
        <w:spacing w:line="240" w:lineRule="auto"/>
        <w:jc w:val="both"/>
        <w:rPr>
          <w:rFonts w:ascii="Times New Roman" w:eastAsia="Times New Roman" w:hAnsi="Times New Roman" w:cs="Times New Roman"/>
          <w:b/>
          <w:bCs/>
          <w:sz w:val="24"/>
          <w:szCs w:val="24"/>
        </w:rPr>
      </w:pPr>
      <w:r>
        <w:rPr>
          <w:rFonts w:ascii="Oi" w:eastAsia="Oi" w:hAnsi="Oi" w:cs="Oi"/>
          <w:b/>
          <w:bCs/>
          <w:sz w:val="24"/>
          <w:szCs w:val="24"/>
          <w:lang w:val="de-DE"/>
        </w:rPr>
        <w:t>ABSTRACTA RARE CASE OF INTRATHYROID PARATHYROID ADENOMA</w:t>
      </w:r>
    </w:p>
    <w:p w:rsidR="009D264B" w:rsidRDefault="009D264B">
      <w:pPr>
        <w:pStyle w:val="Body"/>
        <w:spacing w:line="240" w:lineRule="auto"/>
        <w:jc w:val="both"/>
        <w:rPr>
          <w:rFonts w:ascii="Times New Roman" w:eastAsia="Times New Roman" w:hAnsi="Times New Roman" w:cs="Times New Roman"/>
          <w:b/>
          <w:bCs/>
          <w:sz w:val="24"/>
          <w:szCs w:val="24"/>
        </w:rPr>
      </w:pPr>
    </w:p>
    <w:p w:rsidR="009D264B" w:rsidRDefault="009D264B">
      <w:pPr>
        <w:pStyle w:val="Body"/>
        <w:rPr>
          <w:rFonts w:ascii="Times New Roman" w:eastAsia="Times New Roman" w:hAnsi="Times New Roman" w:cs="Times New Roman"/>
          <w:sz w:val="36"/>
          <w:szCs w:val="36"/>
        </w:rPr>
      </w:pPr>
    </w:p>
    <w:p w:rsidR="009D264B" w:rsidRDefault="00C63EB9">
      <w:pPr>
        <w:pStyle w:val="Body"/>
        <w:rPr>
          <w:rFonts w:ascii="Times New Roman" w:eastAsia="Times New Roman" w:hAnsi="Times New Roman" w:cs="Times New Roman"/>
          <w:b/>
          <w:bCs/>
          <w:sz w:val="36"/>
          <w:szCs w:val="36"/>
        </w:rPr>
      </w:pPr>
      <w:r>
        <w:rPr>
          <w:rFonts w:ascii="Times New Roman" w:hAnsi="Times New Roman"/>
          <w:b/>
          <w:bCs/>
          <w:sz w:val="36"/>
          <w:szCs w:val="36"/>
          <w:lang w:val="de-DE"/>
        </w:rPr>
        <w:t>ABSTRACT</w:t>
      </w:r>
    </w:p>
    <w:p w:rsidR="009D264B" w:rsidRDefault="009D264B">
      <w:pPr>
        <w:pStyle w:val="Body"/>
        <w:rPr>
          <w:rFonts w:ascii="Times New Roman" w:eastAsia="Times New Roman" w:hAnsi="Times New Roman" w:cs="Times New Roman"/>
          <w:sz w:val="36"/>
          <w:szCs w:val="36"/>
        </w:rPr>
      </w:pP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Primary hyperparathyroidism (PHPT)</w:t>
      </w:r>
      <w:r>
        <w:rPr>
          <w:rFonts w:ascii="Times New Roman" w:hAnsi="Times New Roman"/>
          <w:sz w:val="36"/>
          <w:szCs w:val="36"/>
          <w:vertAlign w:val="superscript"/>
        </w:rPr>
        <w:t xml:space="preserve">1 </w:t>
      </w:r>
      <w:r>
        <w:rPr>
          <w:rFonts w:ascii="Times New Roman" w:hAnsi="Times New Roman"/>
          <w:sz w:val="36"/>
          <w:szCs w:val="36"/>
          <w:lang w:val="en-US"/>
        </w:rPr>
        <w:t xml:space="preserve">is an endocrine disease that affects 0.1–0.7% of the general population. </w:t>
      </w:r>
      <w:proofErr w:type="gramStart"/>
      <w:r>
        <w:rPr>
          <w:rFonts w:ascii="Times New Roman" w:hAnsi="Times New Roman"/>
          <w:sz w:val="36"/>
          <w:szCs w:val="36"/>
          <w:lang w:val="en-US"/>
        </w:rPr>
        <w:t>Surgery  to</w:t>
      </w:r>
      <w:proofErr w:type="gramEnd"/>
      <w:r>
        <w:rPr>
          <w:rFonts w:ascii="Times New Roman" w:hAnsi="Times New Roman"/>
          <w:sz w:val="36"/>
          <w:szCs w:val="36"/>
          <w:lang w:val="en-US"/>
        </w:rPr>
        <w:t xml:space="preserve"> completely remove the pathologic tissue is the only curative and is the gold standard treatment of the disease. Ectopic and supernumerary parathyroid glands are uncommon but present, inferior ectopic are more common compared to superior glands. </w:t>
      </w:r>
      <w:proofErr w:type="gramStart"/>
      <w:r>
        <w:rPr>
          <w:rFonts w:ascii="Times New Roman" w:hAnsi="Times New Roman"/>
          <w:sz w:val="36"/>
          <w:szCs w:val="36"/>
          <w:lang w:val="en-US"/>
        </w:rPr>
        <w:t>Their  preoperative</w:t>
      </w:r>
      <w:proofErr w:type="gramEnd"/>
      <w:r>
        <w:rPr>
          <w:rFonts w:ascii="Times New Roman" w:hAnsi="Times New Roman"/>
          <w:sz w:val="36"/>
          <w:szCs w:val="36"/>
          <w:lang w:val="en-US"/>
        </w:rPr>
        <w:t xml:space="preserve"> localization is of utmost importance for proper planning of the causative </w:t>
      </w:r>
      <w:proofErr w:type="spellStart"/>
      <w:r>
        <w:rPr>
          <w:rFonts w:ascii="Times New Roman" w:hAnsi="Times New Roman"/>
          <w:sz w:val="36"/>
          <w:szCs w:val="36"/>
          <w:lang w:val="en-US"/>
        </w:rPr>
        <w:t>tissue,thereby</w:t>
      </w:r>
      <w:proofErr w:type="spellEnd"/>
      <w:r>
        <w:rPr>
          <w:rFonts w:ascii="Times New Roman" w:hAnsi="Times New Roman"/>
          <w:sz w:val="36"/>
          <w:szCs w:val="36"/>
          <w:lang w:val="en-US"/>
        </w:rPr>
        <w:t xml:space="preserve"> avoiding persistent and recurrent symptoms.</w:t>
      </w:r>
    </w:p>
    <w:p w:rsidR="009D264B" w:rsidRDefault="00C63EB9">
      <w:pPr>
        <w:pStyle w:val="Body"/>
      </w:pPr>
      <w:r>
        <w:rPr>
          <w:rFonts w:ascii="Times New Roman" w:hAnsi="Times New Roman"/>
          <w:sz w:val="36"/>
          <w:szCs w:val="36"/>
          <w:lang w:val="en-US"/>
        </w:rPr>
        <w:t xml:space="preserve">  This is a case presentation of middle aged female who presented with features of osteitis fibrosa cystica involving left femur which was diagnosed on MRI showed raised Calcium and Parathyroid hormone level in </w:t>
      </w:r>
      <w:proofErr w:type="spellStart"/>
      <w:proofErr w:type="gramStart"/>
      <w:r>
        <w:rPr>
          <w:rFonts w:ascii="Times New Roman" w:hAnsi="Times New Roman"/>
          <w:sz w:val="36"/>
          <w:szCs w:val="36"/>
          <w:lang w:val="en-US"/>
        </w:rPr>
        <w:t>serum.Her</w:t>
      </w:r>
      <w:proofErr w:type="spellEnd"/>
      <w:proofErr w:type="gramEnd"/>
      <w:r>
        <w:rPr>
          <w:rFonts w:ascii="Times New Roman" w:hAnsi="Times New Roman"/>
          <w:sz w:val="36"/>
          <w:szCs w:val="36"/>
          <w:lang w:val="en-US"/>
        </w:rPr>
        <w:t xml:space="preserve"> radiological investigations including specific parathyroid localization studies showed lesion in right lobe of thyroid with normal parathyroid glands with respect to their position and size. The patient underwent right hemithyroidectomy for the lesion. </w:t>
      </w:r>
      <w:proofErr w:type="spellStart"/>
      <w:r>
        <w:rPr>
          <w:rFonts w:ascii="Times New Roman" w:hAnsi="Times New Roman"/>
          <w:sz w:val="36"/>
          <w:szCs w:val="36"/>
          <w:lang w:val="en-US"/>
        </w:rPr>
        <w:t>Post operative</w:t>
      </w:r>
      <w:proofErr w:type="spellEnd"/>
      <w:r>
        <w:rPr>
          <w:rFonts w:ascii="Times New Roman" w:hAnsi="Times New Roman"/>
          <w:sz w:val="36"/>
          <w:szCs w:val="36"/>
          <w:lang w:val="en-US"/>
        </w:rPr>
        <w:t xml:space="preserve"> decrease in parathyroid hormone level and histopathology specimen of hemithyroidectomy specimen confirmed presence of ectopic parathyroid adenoma inside right lobe of thyroid.</w:t>
      </w:r>
      <w:r>
        <w:t xml:space="preserve"> </w:t>
      </w:r>
    </w:p>
    <w:p w:rsidR="00BE0A4E" w:rsidRPr="00BE0A4E" w:rsidRDefault="00BE0A4E" w:rsidP="00BE0A4E">
      <w:pPr>
        <w:pStyle w:val="Body"/>
        <w:rPr>
          <w:rFonts w:ascii="Times New Roman" w:eastAsia="Times New Roman" w:hAnsi="Times New Roman" w:cs="Times New Roman"/>
          <w:sz w:val="36"/>
          <w:szCs w:val="36"/>
        </w:rPr>
      </w:pPr>
      <w:r w:rsidRPr="00BE0A4E">
        <w:rPr>
          <w:rFonts w:ascii="Times New Roman" w:eastAsia="Times New Roman" w:hAnsi="Times New Roman" w:cs="Times New Roman"/>
          <w:sz w:val="36"/>
          <w:szCs w:val="36"/>
        </w:rPr>
        <w:t>Keywords:</w:t>
      </w:r>
    </w:p>
    <w:p w:rsidR="00BE0A4E" w:rsidRPr="00BE0A4E" w:rsidRDefault="00BE0A4E" w:rsidP="00BE0A4E">
      <w:pPr>
        <w:pStyle w:val="Body"/>
        <w:rPr>
          <w:rFonts w:ascii="Times New Roman" w:eastAsia="Times New Roman" w:hAnsi="Times New Roman" w:cs="Times New Roman"/>
          <w:sz w:val="36"/>
          <w:szCs w:val="36"/>
        </w:rPr>
      </w:pPr>
      <w:r w:rsidRPr="00BE0A4E">
        <w:rPr>
          <w:rFonts w:ascii="Times New Roman" w:eastAsia="Times New Roman" w:hAnsi="Times New Roman" w:cs="Times New Roman"/>
          <w:sz w:val="36"/>
          <w:szCs w:val="36"/>
        </w:rPr>
        <w:t xml:space="preserve">Parathyroid </w:t>
      </w:r>
      <w:proofErr w:type="spellStart"/>
      <w:proofErr w:type="gramStart"/>
      <w:r w:rsidRPr="00BE0A4E">
        <w:rPr>
          <w:rFonts w:ascii="Times New Roman" w:eastAsia="Times New Roman" w:hAnsi="Times New Roman" w:cs="Times New Roman"/>
          <w:sz w:val="36"/>
          <w:szCs w:val="36"/>
        </w:rPr>
        <w:t>adenoma,Ectopic</w:t>
      </w:r>
      <w:proofErr w:type="spellEnd"/>
      <w:proofErr w:type="gramEnd"/>
      <w:r w:rsidRPr="00BE0A4E">
        <w:rPr>
          <w:rFonts w:ascii="Times New Roman" w:eastAsia="Times New Roman" w:hAnsi="Times New Roman" w:cs="Times New Roman"/>
          <w:sz w:val="36"/>
          <w:szCs w:val="36"/>
        </w:rPr>
        <w:t xml:space="preserve"> parathyroid </w:t>
      </w:r>
      <w:proofErr w:type="spellStart"/>
      <w:r w:rsidRPr="00BE0A4E">
        <w:rPr>
          <w:rFonts w:ascii="Times New Roman" w:eastAsia="Times New Roman" w:hAnsi="Times New Roman" w:cs="Times New Roman"/>
          <w:sz w:val="36"/>
          <w:szCs w:val="36"/>
        </w:rPr>
        <w:t>gland,Primary</w:t>
      </w:r>
      <w:proofErr w:type="spellEnd"/>
      <w:r w:rsidRPr="00BE0A4E">
        <w:rPr>
          <w:rFonts w:ascii="Times New Roman" w:eastAsia="Times New Roman" w:hAnsi="Times New Roman" w:cs="Times New Roman"/>
          <w:sz w:val="36"/>
          <w:szCs w:val="36"/>
        </w:rPr>
        <w:t xml:space="preserve"> hyperparathyroidism, Hypercalcemia</w:t>
      </w:r>
    </w:p>
    <w:p w:rsidR="00BE0A4E" w:rsidRDefault="00BE0A4E" w:rsidP="00BE0A4E">
      <w:pPr>
        <w:pStyle w:val="Body"/>
        <w:rPr>
          <w:rFonts w:ascii="Times New Roman" w:eastAsia="Times New Roman" w:hAnsi="Times New Roman" w:cs="Times New Roman"/>
          <w:sz w:val="36"/>
          <w:szCs w:val="36"/>
        </w:rPr>
      </w:pPr>
      <w:r w:rsidRPr="00BE0A4E">
        <w:rPr>
          <w:rFonts w:ascii="Times New Roman" w:eastAsia="Times New Roman" w:hAnsi="Times New Roman" w:cs="Times New Roman"/>
          <w:sz w:val="36"/>
          <w:szCs w:val="36"/>
        </w:rPr>
        <w:t>Parathyroid hormone (PTH), Intraoperative PTH monitoring</w:t>
      </w:r>
    </w:p>
    <w:p w:rsidR="009D264B" w:rsidRDefault="009D264B">
      <w:pPr>
        <w:pStyle w:val="Body"/>
        <w:spacing w:after="0" w:line="240" w:lineRule="auto"/>
        <w:jc w:val="both"/>
        <w:rPr>
          <w:rFonts w:ascii="Oi" w:eastAsia="Oi" w:hAnsi="Oi" w:cs="Oi"/>
          <w:sz w:val="44"/>
          <w:szCs w:val="44"/>
        </w:rPr>
      </w:pPr>
    </w:p>
    <w:p w:rsidR="009D264B" w:rsidRDefault="009D264B">
      <w:pPr>
        <w:pStyle w:val="Body"/>
        <w:spacing w:after="0" w:line="240" w:lineRule="auto"/>
        <w:jc w:val="both"/>
        <w:rPr>
          <w:rFonts w:ascii="Oi" w:eastAsia="Oi" w:hAnsi="Oi" w:cs="Oi"/>
          <w:sz w:val="44"/>
          <w:szCs w:val="44"/>
        </w:rPr>
      </w:pPr>
    </w:p>
    <w:p w:rsidR="009D264B" w:rsidRDefault="009D264B">
      <w:pPr>
        <w:pStyle w:val="Body"/>
        <w:spacing w:after="5" w:line="120" w:lineRule="auto"/>
        <w:jc w:val="both"/>
        <w:rPr>
          <w:rFonts w:ascii="Oi" w:eastAsia="Oi" w:hAnsi="Oi" w:cs="Oi"/>
          <w:sz w:val="44"/>
          <w:szCs w:val="44"/>
        </w:rPr>
      </w:pPr>
    </w:p>
    <w:p w:rsidR="009D264B" w:rsidRDefault="00C63EB9">
      <w:pPr>
        <w:pStyle w:val="Body"/>
        <w:rPr>
          <w:rFonts w:ascii="Times New Roman" w:eastAsia="Times New Roman" w:hAnsi="Times New Roman" w:cs="Times New Roman"/>
          <w:b/>
          <w:bCs/>
          <w:sz w:val="36"/>
          <w:szCs w:val="36"/>
        </w:rPr>
      </w:pPr>
      <w:r>
        <w:rPr>
          <w:rFonts w:ascii="Times New Roman" w:hAnsi="Times New Roman"/>
          <w:b/>
          <w:bCs/>
          <w:sz w:val="36"/>
          <w:szCs w:val="36"/>
          <w:lang w:val="de-DE"/>
        </w:rPr>
        <w:t>INTRODUCTION-</w:t>
      </w: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Primary hyperparathyroidism (PHPT)</w:t>
      </w:r>
      <w:r>
        <w:rPr>
          <w:rFonts w:ascii="Times New Roman" w:hAnsi="Times New Roman"/>
          <w:sz w:val="36"/>
          <w:szCs w:val="36"/>
          <w:vertAlign w:val="superscript"/>
        </w:rPr>
        <w:t xml:space="preserve">1 </w:t>
      </w:r>
      <w:r>
        <w:rPr>
          <w:rFonts w:ascii="Times New Roman" w:hAnsi="Times New Roman"/>
          <w:sz w:val="36"/>
          <w:szCs w:val="36"/>
          <w:lang w:val="en-US"/>
        </w:rPr>
        <w:t>is an endocrine disease that affects 0.1–0.7% of the general population. Primary hyperparathyroidism is characterized by excessive secretion of parathyroid hormone due to parathyroid adenoma, hyperplasia or rarely a parathyroid cancer. Asymptomatic presentation is not uncommon. Surgical treatment remains the gold standard for management. After the establishment of diagnosis of PHPT, the localization of the pathological parathyroid gland(s) should be investigated</w:t>
      </w:r>
      <w:r>
        <w:rPr>
          <w:rFonts w:ascii="Times New Roman" w:hAnsi="Times New Roman"/>
          <w:sz w:val="36"/>
          <w:szCs w:val="36"/>
          <w:vertAlign w:val="superscript"/>
        </w:rPr>
        <w:t>2</w:t>
      </w:r>
      <w:r>
        <w:rPr>
          <w:rFonts w:ascii="Times New Roman" w:hAnsi="Times New Roman"/>
          <w:sz w:val="36"/>
          <w:szCs w:val="36"/>
          <w:lang w:val="en-US"/>
        </w:rPr>
        <w:t xml:space="preserve">. Parathyroid </w:t>
      </w:r>
      <w:proofErr w:type="spellStart"/>
      <w:r>
        <w:rPr>
          <w:rFonts w:ascii="Times New Roman" w:hAnsi="Times New Roman"/>
          <w:sz w:val="36"/>
          <w:szCs w:val="36"/>
          <w:lang w:val="en-US"/>
        </w:rPr>
        <w:t>tumours</w:t>
      </w:r>
      <w:proofErr w:type="spellEnd"/>
      <w:r>
        <w:rPr>
          <w:rFonts w:ascii="Times New Roman" w:hAnsi="Times New Roman"/>
          <w:sz w:val="36"/>
          <w:szCs w:val="36"/>
          <w:lang w:val="en-US"/>
        </w:rPr>
        <w:t xml:space="preserve"> are usually located in the neck region especially on the posterior capsule of the thyroid or in ectopic locations. Only a few of them are ectopically occurred in the mediastinum due to the migratory pathways of embryologic parathyroid tissue </w:t>
      </w:r>
      <w:r>
        <w:rPr>
          <w:rFonts w:ascii="Times New Roman" w:hAnsi="Times New Roman"/>
          <w:sz w:val="36"/>
          <w:szCs w:val="36"/>
          <w:vertAlign w:val="superscript"/>
        </w:rPr>
        <w:t>3</w:t>
      </w:r>
      <w:r>
        <w:rPr>
          <w:rFonts w:ascii="Times New Roman" w:hAnsi="Times New Roman"/>
          <w:sz w:val="36"/>
          <w:szCs w:val="36"/>
        </w:rPr>
        <w:t>.</w:t>
      </w: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The ectopic parathyroid adenoma is an important cause of refractory and recurrent hyperparathyroidism</w:t>
      </w:r>
      <w:r>
        <w:rPr>
          <w:rFonts w:ascii="Times New Roman" w:hAnsi="Times New Roman"/>
          <w:sz w:val="40"/>
          <w:szCs w:val="40"/>
          <w:vertAlign w:val="superscript"/>
        </w:rPr>
        <w:t>4</w:t>
      </w:r>
      <w:r>
        <w:rPr>
          <w:rFonts w:ascii="Times New Roman" w:hAnsi="Times New Roman"/>
          <w:sz w:val="36"/>
          <w:szCs w:val="36"/>
        </w:rPr>
        <w:t>.</w:t>
      </w:r>
      <w:r>
        <w:t xml:space="preserve"> </w:t>
      </w:r>
      <w:r>
        <w:rPr>
          <w:rFonts w:ascii="Times New Roman" w:hAnsi="Times New Roman"/>
          <w:sz w:val="36"/>
          <w:szCs w:val="36"/>
          <w:lang w:val="en-US"/>
        </w:rPr>
        <w:t>The</w:t>
      </w:r>
      <w:r>
        <w:rPr>
          <w:sz w:val="36"/>
          <w:szCs w:val="36"/>
        </w:rPr>
        <w:t xml:space="preserve"> </w:t>
      </w:r>
      <w:r>
        <w:rPr>
          <w:rFonts w:ascii="Times New Roman" w:hAnsi="Times New Roman"/>
          <w:sz w:val="36"/>
          <w:szCs w:val="36"/>
          <w:lang w:val="en-US"/>
        </w:rPr>
        <w:t xml:space="preserve">success of treatment of PHPT largely depends on accurate identification and complete excision of the causative parathyroid glands. Historically, this was achieved through bilateral neck exploration due to the lack of reliable localization techniques. In modern days advancement in radiology like 4D computed tomography and nuclear scans has made localization </w:t>
      </w:r>
      <w:proofErr w:type="gramStart"/>
      <w:r>
        <w:rPr>
          <w:rFonts w:ascii="Times New Roman" w:hAnsi="Times New Roman"/>
          <w:sz w:val="36"/>
          <w:szCs w:val="36"/>
          <w:lang w:val="en-US"/>
        </w:rPr>
        <w:t>of  culprit</w:t>
      </w:r>
      <w:proofErr w:type="gramEnd"/>
      <w:r>
        <w:rPr>
          <w:rFonts w:ascii="Times New Roman" w:hAnsi="Times New Roman"/>
          <w:sz w:val="36"/>
          <w:szCs w:val="36"/>
          <w:lang w:val="en-US"/>
        </w:rPr>
        <w:t xml:space="preserve"> gland more precise and easier</w:t>
      </w:r>
      <w:r>
        <w:rPr>
          <w:rFonts w:ascii="Times New Roman" w:hAnsi="Times New Roman"/>
          <w:sz w:val="40"/>
          <w:szCs w:val="40"/>
          <w:vertAlign w:val="superscript"/>
        </w:rPr>
        <w:t>5</w:t>
      </w:r>
      <w:r>
        <w:rPr>
          <w:rFonts w:ascii="Times New Roman" w:hAnsi="Times New Roman"/>
          <w:sz w:val="36"/>
          <w:szCs w:val="36"/>
          <w:lang w:val="en-US"/>
        </w:rPr>
        <w:t>. This has made the treatment of choice for PHPT is isolated removal of adenomatous gland with preservation of rest of glands either by open or endoscopic approach. Refractory or recurrent primary hyperparathyroidism is most commonly attributed to inadequate initial resection or the development of a second adenoma or, rarely, missed ectopic parathyroid tissue and its tumor.</w:t>
      </w:r>
    </w:p>
    <w:p w:rsidR="009D264B" w:rsidRDefault="00C63EB9">
      <w:pPr>
        <w:pStyle w:val="Body"/>
        <w:rPr>
          <w:rFonts w:ascii="Times New Roman" w:eastAsia="Times New Roman" w:hAnsi="Times New Roman" w:cs="Times New Roman"/>
          <w:sz w:val="36"/>
          <w:szCs w:val="36"/>
        </w:rPr>
      </w:pPr>
      <w:r>
        <w:rPr>
          <w:rFonts w:ascii="Times New Roman" w:hAnsi="Times New Roman"/>
          <w:b/>
          <w:bCs/>
          <w:sz w:val="36"/>
          <w:szCs w:val="36"/>
          <w:lang w:val="sv-SE"/>
        </w:rPr>
        <w:t>Case Summary:</w:t>
      </w:r>
    </w:p>
    <w:p w:rsidR="009D264B" w:rsidRDefault="00C63EB9">
      <w:pPr>
        <w:pStyle w:val="Body"/>
        <w:rPr>
          <w:rFonts w:ascii="Times New Roman" w:eastAsia="Times New Roman" w:hAnsi="Times New Roman" w:cs="Times New Roman"/>
          <w:sz w:val="36"/>
          <w:szCs w:val="36"/>
        </w:rPr>
      </w:pPr>
      <w:proofErr w:type="gramStart"/>
      <w:r>
        <w:rPr>
          <w:rFonts w:ascii="Times New Roman" w:hAnsi="Times New Roman"/>
          <w:sz w:val="36"/>
          <w:szCs w:val="36"/>
          <w:lang w:val="en-US"/>
        </w:rPr>
        <w:t>History :</w:t>
      </w:r>
      <w:proofErr w:type="gramEnd"/>
      <w:r>
        <w:rPr>
          <w:rFonts w:ascii="Times New Roman" w:hAnsi="Times New Roman"/>
          <w:sz w:val="36"/>
          <w:szCs w:val="36"/>
          <w:lang w:val="en-US"/>
        </w:rPr>
        <w:t xml:space="preserve"> A 35year old female presented with chief complaints of pain in left leg which was refractory to analgesics since 4 months, insidious in onset, progressive in severity to the state of difficulty in walking and sitting. Patient started to walk with limp on left side </w:t>
      </w:r>
      <w:proofErr w:type="gramStart"/>
      <w:r>
        <w:rPr>
          <w:rFonts w:ascii="Times New Roman" w:hAnsi="Times New Roman"/>
          <w:sz w:val="36"/>
          <w:szCs w:val="36"/>
          <w:lang w:val="en-US"/>
        </w:rPr>
        <w:t>since</w:t>
      </w:r>
      <w:proofErr w:type="gramEnd"/>
      <w:r>
        <w:rPr>
          <w:rFonts w:ascii="Times New Roman" w:hAnsi="Times New Roman"/>
          <w:sz w:val="36"/>
          <w:szCs w:val="36"/>
          <w:lang w:val="en-US"/>
        </w:rPr>
        <w:t xml:space="preserve"> 1 month. Patient is otherwise nil comorbid with no significant surgical history and denies any addiction. </w:t>
      </w: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On clinical examination, Patient is moderately built and nourished with no significant findings on systemic examination. Local examination of left leg revealed no deformity or swelling with normal vascular examination. There was restriction of abduction and external rotation at left hip, extension at left knee</w:t>
      </w:r>
    </w:p>
    <w:p w:rsidR="009D264B" w:rsidRDefault="00C63EB9">
      <w:pPr>
        <w:pStyle w:val="Body"/>
        <w:rPr>
          <w:rFonts w:ascii="Oi" w:eastAsia="Oi" w:hAnsi="Oi" w:cs="Oi"/>
          <w:sz w:val="44"/>
          <w:szCs w:val="44"/>
        </w:rPr>
      </w:pPr>
      <w:r>
        <w:rPr>
          <w:rFonts w:ascii="Times New Roman" w:hAnsi="Times New Roman"/>
          <w:sz w:val="36"/>
          <w:szCs w:val="36"/>
          <w:lang w:val="en-US"/>
        </w:rPr>
        <w:t xml:space="preserve">On examination of neck, a small swelling measuring about 3x2x2cm felt in midline slightly on right with smooth surface, regular border and soft in consistency, swelling was moving with deglutition but not with protrusion tongue. Overlying skin shows no scars or dilated veins. No lymph nodes were </w:t>
      </w:r>
      <w:r w:rsidR="00DE3B31">
        <w:rPr>
          <w:noProof/>
        </w:rPr>
        <w:drawing>
          <wp:anchor distT="0" distB="0" distL="0" distR="0" simplePos="0" relativeHeight="251669504" behindDoc="0" locked="0" layoutInCell="1" allowOverlap="1">
            <wp:simplePos x="0" y="0"/>
            <wp:positionH relativeFrom="column">
              <wp:posOffset>1914525</wp:posOffset>
            </wp:positionH>
            <wp:positionV relativeFrom="line">
              <wp:posOffset>347345</wp:posOffset>
            </wp:positionV>
            <wp:extent cx="3657600" cy="1520825"/>
            <wp:effectExtent l="0" t="0" r="0" b="0"/>
            <wp:wrapNone/>
            <wp:docPr id="1073741826" name="officeArt object" descr="image2.jpg"/>
            <wp:cNvGraphicFramePr/>
            <a:graphic xmlns:a="http://schemas.openxmlformats.org/drawingml/2006/main">
              <a:graphicData uri="http://schemas.openxmlformats.org/drawingml/2006/picture">
                <pic:pic xmlns:pic="http://schemas.openxmlformats.org/drawingml/2006/picture">
                  <pic:nvPicPr>
                    <pic:cNvPr id="1073741826" name="image2.jpg" descr="image2.jpg"/>
                    <pic:cNvPicPr>
                      <a:picLocks noChangeAspect="1"/>
                    </pic:cNvPicPr>
                  </pic:nvPicPr>
                  <pic:blipFill>
                    <a:blip r:embed="rId7">
                      <a:extLst/>
                    </a:blip>
                    <a:srcRect t="6005" b="6004"/>
                    <a:stretch>
                      <a:fillRect/>
                    </a:stretch>
                  </pic:blipFill>
                  <pic:spPr>
                    <a:xfrm>
                      <a:off x="0" y="0"/>
                      <a:ext cx="3657600" cy="1520825"/>
                    </a:xfrm>
                    <a:prstGeom prst="rect">
                      <a:avLst/>
                    </a:prstGeom>
                    <a:ln w="12700" cap="flat">
                      <a:noFill/>
                      <a:miter lim="400000"/>
                    </a:ln>
                    <a:effectLst/>
                  </pic:spPr>
                </pic:pic>
              </a:graphicData>
            </a:graphic>
          </wp:anchor>
        </w:drawing>
      </w:r>
      <w:r>
        <w:rPr>
          <w:rFonts w:ascii="Times New Roman" w:hAnsi="Times New Roman"/>
          <w:sz w:val="36"/>
          <w:szCs w:val="36"/>
          <w:lang w:val="en-US"/>
        </w:rPr>
        <w:t>palpable</w:t>
      </w:r>
      <w:r>
        <w:t>.</w:t>
      </w:r>
    </w:p>
    <w:p w:rsidR="009D264B" w:rsidRDefault="009D264B">
      <w:pPr>
        <w:pStyle w:val="Body"/>
        <w:rPr>
          <w:rFonts w:ascii="Oi" w:eastAsia="Oi" w:hAnsi="Oi" w:cs="Oi"/>
          <w:sz w:val="44"/>
          <w:szCs w:val="44"/>
        </w:rPr>
      </w:pPr>
    </w:p>
    <w:p w:rsidR="009D264B" w:rsidRDefault="009D264B">
      <w:pPr>
        <w:pStyle w:val="Body"/>
        <w:rPr>
          <w:rFonts w:ascii="Oi" w:eastAsia="Oi" w:hAnsi="Oi" w:cs="Oi"/>
          <w:sz w:val="44"/>
          <w:szCs w:val="44"/>
        </w:rPr>
      </w:pPr>
    </w:p>
    <w:p w:rsidR="009D264B" w:rsidRDefault="009D264B">
      <w:pPr>
        <w:pStyle w:val="Body"/>
        <w:spacing w:after="0" w:line="460" w:lineRule="auto"/>
        <w:ind w:right="7866"/>
        <w:jc w:val="both"/>
        <w:rPr>
          <w:rFonts w:ascii="Oi" w:eastAsia="Oi" w:hAnsi="Oi" w:cs="Oi"/>
          <w:sz w:val="44"/>
          <w:szCs w:val="44"/>
        </w:rPr>
      </w:pPr>
    </w:p>
    <w:p w:rsidR="009D264B" w:rsidRDefault="00C63EB9">
      <w:pPr>
        <w:pStyle w:val="Body"/>
        <w:rPr>
          <w:rFonts w:ascii="Oi" w:eastAsia="Oi" w:hAnsi="Oi" w:cs="Oi"/>
          <w:sz w:val="44"/>
          <w:szCs w:val="44"/>
        </w:rPr>
      </w:pPr>
      <w:r>
        <w:rPr>
          <w:rFonts w:ascii="Oi" w:eastAsia="Oi" w:hAnsi="Oi" w:cs="Oi"/>
          <w:noProof/>
          <w:sz w:val="44"/>
          <w:szCs w:val="44"/>
        </w:rPr>
        <mc:AlternateContent>
          <mc:Choice Requires="wps">
            <w:drawing>
              <wp:anchor distT="80010" distB="80010" distL="80010" distR="80010" simplePos="0" relativeHeight="251659264" behindDoc="0" locked="0" layoutInCell="1" allowOverlap="1">
                <wp:simplePos x="0" y="0"/>
                <wp:positionH relativeFrom="margin">
                  <wp:posOffset>114629</wp:posOffset>
                </wp:positionH>
                <wp:positionV relativeFrom="line">
                  <wp:posOffset>514950</wp:posOffset>
                </wp:positionV>
                <wp:extent cx="6334986" cy="532573"/>
                <wp:effectExtent l="0" t="0" r="0" b="0"/>
                <wp:wrapSquare wrapText="bothSides" distT="80010" distB="80010" distL="80010" distR="80010"/>
                <wp:docPr id="1073741827" name="officeArt object" descr="Fig 1 : Clinical picture of patient showing neck swelling"/>
                <wp:cNvGraphicFramePr/>
                <a:graphic xmlns:a="http://schemas.openxmlformats.org/drawingml/2006/main">
                  <a:graphicData uri="http://schemas.microsoft.com/office/word/2010/wordprocessingShape">
                    <wps:wsp>
                      <wps:cNvSpPr/>
                      <wps:spPr>
                        <a:xfrm>
                          <a:off x="0" y="0"/>
                          <a:ext cx="6334986" cy="532573"/>
                        </a:xfrm>
                        <a:prstGeom prst="rect">
                          <a:avLst/>
                        </a:prstGeom>
                        <a:solidFill>
                          <a:srgbClr val="FFFFFF"/>
                        </a:solidFill>
                        <a:ln w="9525" cap="flat">
                          <a:solidFill>
                            <a:srgbClr val="000000"/>
                          </a:solidFill>
                          <a:prstDash val="solid"/>
                          <a:miter lim="8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1 :</w:t>
                            </w:r>
                            <w:proofErr w:type="gramEnd"/>
                            <w:r>
                              <w:rPr>
                                <w:rFonts w:ascii="Times New Roman" w:hAnsi="Times New Roman"/>
                                <w:sz w:val="36"/>
                                <w:szCs w:val="36"/>
                                <w:lang w:val="en-US"/>
                              </w:rPr>
                              <w:t xml:space="preserve"> Clinical picture of patient showing neck swelling</w:t>
                            </w:r>
                          </w:p>
                        </w:txbxContent>
                      </wps:txbx>
                      <wps:bodyPr wrap="square" lIns="45699" tIns="45699" rIns="45699" bIns="45699" numCol="1" anchor="t">
                        <a:noAutofit/>
                      </wps:bodyPr>
                    </wps:wsp>
                  </a:graphicData>
                </a:graphic>
              </wp:anchor>
            </w:drawing>
          </mc:Choice>
          <mc:Fallback>
            <w:pict>
              <v:rect id="officeArt object" o:spid="_x0000_s1026" alt="Fig 1 : Clinical picture of patient showing neck swelling" style="position:absolute;margin-left:9.05pt;margin-top:40.55pt;width:498.8pt;height:41.95pt;z-index:251659264;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">
                <v:stroke miterlimit="5243f"/>
                <v:textbox inset="1.2694mm,1.2694mm,1.2694mm,1.2694mm">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1 :</w:t>
                      </w:r>
                      <w:proofErr w:type="gramEnd"/>
                      <w:r>
                        <w:rPr>
                          <w:rFonts w:ascii="Times New Roman" w:hAnsi="Times New Roman"/>
                          <w:sz w:val="36"/>
                          <w:szCs w:val="36"/>
                          <w:lang w:val="en-US"/>
                        </w:rPr>
                        <w:t xml:space="preserve"> Clinical picture of patient showing neck swelling</w:t>
                      </w:r>
                    </w:p>
                  </w:txbxContent>
                </v:textbox>
                <w10:wrap type="square" anchorx="margin" anchory="line"/>
              </v:rect>
            </w:pict>
          </mc:Fallback>
        </mc:AlternateContent>
      </w:r>
    </w:p>
    <w:p w:rsidR="009D264B" w:rsidRDefault="009D264B">
      <w:pPr>
        <w:pStyle w:val="Body"/>
      </w:pPr>
    </w:p>
    <w:p w:rsidR="009D264B" w:rsidRDefault="009D264B">
      <w:pPr>
        <w:pStyle w:val="Body"/>
      </w:pPr>
    </w:p>
    <w:p w:rsidR="009D264B" w:rsidRDefault="009D264B">
      <w:pPr>
        <w:pStyle w:val="Body"/>
      </w:pP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 xml:space="preserve">Patient then went to consult </w:t>
      </w:r>
      <w:proofErr w:type="spellStart"/>
      <w:r>
        <w:rPr>
          <w:rFonts w:ascii="Times New Roman" w:hAnsi="Times New Roman"/>
          <w:sz w:val="36"/>
          <w:szCs w:val="36"/>
          <w:lang w:val="en-US"/>
        </w:rPr>
        <w:t>orthopaedic</w:t>
      </w:r>
      <w:proofErr w:type="spellEnd"/>
      <w:r>
        <w:rPr>
          <w:rFonts w:ascii="Times New Roman" w:hAnsi="Times New Roman"/>
          <w:sz w:val="36"/>
          <w:szCs w:val="36"/>
          <w:lang w:val="en-US"/>
        </w:rPr>
        <w:t xml:space="preserve"> doctor, who advised X-ray and Serum Calcium which showed raised total calcium (12.5mg/dL) with ionic Ca</w:t>
      </w:r>
      <w:r>
        <w:rPr>
          <w:rFonts w:ascii="Times New Roman" w:hAnsi="Times New Roman"/>
          <w:sz w:val="36"/>
          <w:szCs w:val="36"/>
          <w:vertAlign w:val="superscript"/>
        </w:rPr>
        <w:t>2+</w:t>
      </w:r>
      <w:r>
        <w:rPr>
          <w:rFonts w:ascii="Times New Roman" w:hAnsi="Times New Roman"/>
          <w:sz w:val="36"/>
          <w:szCs w:val="36"/>
          <w:lang w:val="en-US"/>
        </w:rPr>
        <w:t xml:space="preserve"> level- 6.2mg/dL. On x-ray there was bowing of left femur seen with multiple cystic lesions in femur shaft and </w:t>
      </w:r>
      <w:proofErr w:type="spellStart"/>
      <w:r>
        <w:rPr>
          <w:rFonts w:ascii="Times New Roman" w:hAnsi="Times New Roman"/>
          <w:sz w:val="36"/>
          <w:szCs w:val="36"/>
          <w:lang w:val="en-US"/>
        </w:rPr>
        <w:t>patella.MRI</w:t>
      </w:r>
      <w:proofErr w:type="spellEnd"/>
      <w:r>
        <w:rPr>
          <w:rFonts w:ascii="Times New Roman" w:hAnsi="Times New Roman"/>
          <w:sz w:val="36"/>
          <w:szCs w:val="36"/>
          <w:lang w:val="en-US"/>
        </w:rPr>
        <w:t xml:space="preserve"> done which revealed multiple aneurysmal cysts in left femur and patella.</w:t>
      </w: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 xml:space="preserve"> Parathyroid adenoma was suspected and ultrasound of neck advised. Ultrasonography of neck- showed bulky right lobe of thyroid measuring about 5x3.5x3cm -TIRADS - II lesion. Her thyroid profile were within normal </w:t>
      </w:r>
      <w:proofErr w:type="gramStart"/>
      <w:r>
        <w:rPr>
          <w:rFonts w:ascii="Times New Roman" w:hAnsi="Times New Roman"/>
          <w:sz w:val="36"/>
          <w:szCs w:val="36"/>
          <w:lang w:val="en-US"/>
        </w:rPr>
        <w:t>limits</w:t>
      </w:r>
      <w:r>
        <w:t xml:space="preserve"> .</w:t>
      </w:r>
      <w:r>
        <w:rPr>
          <w:rFonts w:ascii="Times New Roman" w:hAnsi="Times New Roman"/>
          <w:sz w:val="36"/>
          <w:szCs w:val="36"/>
          <w:lang w:val="en-US"/>
        </w:rPr>
        <w:t>Parathyroid</w:t>
      </w:r>
      <w:proofErr w:type="gramEnd"/>
      <w:r>
        <w:rPr>
          <w:rFonts w:ascii="Times New Roman" w:hAnsi="Times New Roman"/>
          <w:sz w:val="36"/>
          <w:szCs w:val="36"/>
          <w:lang w:val="en-US"/>
        </w:rPr>
        <w:t xml:space="preserve"> hormone levels checked which was -16,000IU.</w:t>
      </w:r>
    </w:p>
    <w:p w:rsidR="009D264B" w:rsidRDefault="00DE3B31">
      <w:pPr>
        <w:pStyle w:val="Body"/>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anchor distT="0" distB="0" distL="0" distR="0" simplePos="0" relativeHeight="251661312" behindDoc="0" locked="0" layoutInCell="1" allowOverlap="1">
            <wp:simplePos x="0" y="0"/>
            <wp:positionH relativeFrom="margin">
              <wp:posOffset>4329430</wp:posOffset>
            </wp:positionH>
            <wp:positionV relativeFrom="line">
              <wp:posOffset>147320</wp:posOffset>
            </wp:positionV>
            <wp:extent cx="6212205" cy="1666875"/>
            <wp:effectExtent l="0" t="0" r="0" b="0"/>
            <wp:wrapNone/>
            <wp:docPr id="1073741828" name="officeArt object" descr="image1.png"/>
            <wp:cNvGraphicFramePr/>
            <a:graphic xmlns:a="http://schemas.openxmlformats.org/drawingml/2006/main">
              <a:graphicData uri="http://schemas.openxmlformats.org/drawingml/2006/picture">
                <pic:pic xmlns:pic="http://schemas.openxmlformats.org/drawingml/2006/picture">
                  <pic:nvPicPr>
                    <pic:cNvPr id="1073741828" name="image1.png" descr="image1.png"/>
                    <pic:cNvPicPr>
                      <a:picLocks noChangeAspect="1"/>
                    </pic:cNvPicPr>
                  </pic:nvPicPr>
                  <pic:blipFill>
                    <a:blip r:embed="rId8">
                      <a:extLst/>
                    </a:blip>
                    <a:stretch>
                      <a:fillRect/>
                    </a:stretch>
                  </pic:blipFill>
                  <pic:spPr>
                    <a:xfrm>
                      <a:off x="0" y="0"/>
                      <a:ext cx="6212205" cy="1666875"/>
                    </a:xfrm>
                    <a:prstGeom prst="rect">
                      <a:avLst/>
                    </a:prstGeom>
                    <a:ln w="12700" cap="flat">
                      <a:noFill/>
                      <a:miter lim="400000"/>
                    </a:ln>
                    <a:effectLst/>
                  </pic:spPr>
                </pic:pic>
              </a:graphicData>
            </a:graphic>
          </wp:anchor>
        </w:drawing>
      </w:r>
      <w:r w:rsidR="00C63EB9">
        <w:rPr>
          <w:rFonts w:ascii="Times New Roman" w:eastAsia="Times New Roman" w:hAnsi="Times New Roman" w:cs="Times New Roman"/>
          <w:noProof/>
          <w:sz w:val="36"/>
          <w:szCs w:val="36"/>
        </w:rPr>
        <w:drawing>
          <wp:inline distT="0" distB="0" distL="0" distR="0">
            <wp:extent cx="3971925" cy="1907413"/>
            <wp:effectExtent l="0" t="0" r="0" b="0"/>
            <wp:docPr id="1073741829" name="officeArt object" descr="image6.jpg"/>
            <wp:cNvGraphicFramePr/>
            <a:graphic xmlns:a="http://schemas.openxmlformats.org/drawingml/2006/main">
              <a:graphicData uri="http://schemas.openxmlformats.org/drawingml/2006/picture">
                <pic:pic xmlns:pic="http://schemas.openxmlformats.org/drawingml/2006/picture">
                  <pic:nvPicPr>
                    <pic:cNvPr id="1073741829" name="image6.jpg" descr="image6.jpg"/>
                    <pic:cNvPicPr>
                      <a:picLocks noChangeAspect="1"/>
                    </pic:cNvPicPr>
                  </pic:nvPicPr>
                  <pic:blipFill>
                    <a:blip r:embed="rId9">
                      <a:extLst/>
                    </a:blip>
                    <a:stretch>
                      <a:fillRect/>
                    </a:stretch>
                  </pic:blipFill>
                  <pic:spPr>
                    <a:xfrm>
                      <a:off x="0" y="0"/>
                      <a:ext cx="3997886" cy="1919880"/>
                    </a:xfrm>
                    <a:prstGeom prst="rect">
                      <a:avLst/>
                    </a:prstGeom>
                    <a:ln w="12700" cap="flat">
                      <a:noFill/>
                      <a:miter lim="400000"/>
                    </a:ln>
                    <a:effectLst/>
                  </pic:spPr>
                </pic:pic>
              </a:graphicData>
            </a:graphic>
          </wp:inline>
        </w:drawing>
      </w:r>
    </w:p>
    <w:p w:rsidR="009D264B" w:rsidRDefault="00DE3B31">
      <w:pPr>
        <w:pStyle w:val="Body"/>
      </w:pPr>
      <w:r>
        <w:rPr>
          <w:rFonts w:ascii="Times New Roman" w:eastAsia="Times New Roman" w:hAnsi="Times New Roman" w:cs="Times New Roman"/>
          <w:noProof/>
          <w:sz w:val="36"/>
          <w:szCs w:val="36"/>
        </w:rPr>
        <mc:AlternateContent>
          <mc:Choice Requires="wps">
            <w:drawing>
              <wp:anchor distT="80010" distB="80010" distL="80010" distR="80010" simplePos="0" relativeHeight="251662336" behindDoc="0" locked="0" layoutInCell="1" allowOverlap="1">
                <wp:simplePos x="0" y="0"/>
                <wp:positionH relativeFrom="margin">
                  <wp:align>right</wp:align>
                </wp:positionH>
                <wp:positionV relativeFrom="line">
                  <wp:posOffset>25684480</wp:posOffset>
                </wp:positionV>
                <wp:extent cx="4573270" cy="594995"/>
                <wp:effectExtent l="0" t="0" r="17780" b="14605"/>
                <wp:wrapSquare wrapText="bothSides" distT="80010" distB="80010" distL="80010" distR="80010"/>
                <wp:docPr id="1073741830" name="officeArt object" descr="Fig 3 : Sestamibi scan showing uptake in lower part of right lobe of thyroid"/>
                <wp:cNvGraphicFramePr/>
                <a:graphic xmlns:a="http://schemas.openxmlformats.org/drawingml/2006/main">
                  <a:graphicData uri="http://schemas.microsoft.com/office/word/2010/wordprocessingShape">
                    <wps:wsp>
                      <wps:cNvSpPr/>
                      <wps:spPr>
                        <a:xfrm>
                          <a:off x="0" y="0"/>
                          <a:ext cx="4573270" cy="595366"/>
                        </a:xfrm>
                        <a:prstGeom prst="rect">
                          <a:avLst/>
                        </a:prstGeom>
                        <a:solidFill>
                          <a:srgbClr val="FFFFFF"/>
                        </a:solidFill>
                        <a:ln w="9525" cap="flat">
                          <a:solidFill>
                            <a:srgbClr val="000000"/>
                          </a:solidFill>
                          <a:prstDash val="solid"/>
                          <a:miter lim="8000"/>
                        </a:ln>
                        <a:effectLst/>
                      </wps:spPr>
                      <wps:txbx>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3 :</w:t>
                            </w:r>
                            <w:proofErr w:type="gramEnd"/>
                            <w:r>
                              <w:rPr>
                                <w:rFonts w:ascii="Times New Roman" w:hAnsi="Times New Roman"/>
                                <w:sz w:val="36"/>
                                <w:szCs w:val="36"/>
                                <w:lang w:val="en-US"/>
                              </w:rPr>
                              <w:t xml:space="preserve"> </w:t>
                            </w:r>
                            <w:proofErr w:type="spellStart"/>
                            <w:r>
                              <w:rPr>
                                <w:rFonts w:ascii="Times New Roman" w:hAnsi="Times New Roman"/>
                                <w:sz w:val="36"/>
                                <w:szCs w:val="36"/>
                                <w:lang w:val="en-US"/>
                              </w:rPr>
                              <w:t>Sestamibi</w:t>
                            </w:r>
                            <w:proofErr w:type="spellEnd"/>
                            <w:r>
                              <w:rPr>
                                <w:rFonts w:ascii="Times New Roman" w:hAnsi="Times New Roman"/>
                                <w:sz w:val="36"/>
                                <w:szCs w:val="36"/>
                                <w:lang w:val="en-US"/>
                              </w:rPr>
                              <w:t xml:space="preserve"> scan showing uptake in lower part of right lobe of thyroid</w:t>
                            </w:r>
                          </w:p>
                        </w:txbxContent>
                      </wps:txbx>
                      <wps:bodyPr wrap="square" lIns="45699" tIns="45699" rIns="45699" bIns="45699" numCol="1" anchor="t">
                        <a:noAutofit/>
                      </wps:bodyPr>
                    </wps:wsp>
                  </a:graphicData>
                </a:graphic>
                <wp14:sizeRelH relativeFrom="margin">
                  <wp14:pctWidth>0</wp14:pctWidth>
                </wp14:sizeRelH>
                <wp14:sizeRelV relativeFrom="margin">
                  <wp14:pctHeight>0</wp14:pctHeight>
                </wp14:sizeRelV>
              </wp:anchor>
            </w:drawing>
          </mc:Choice>
          <mc:Fallback>
            <w:pict>
              <v:rect id="_x0000_s1027" alt="Fig 3 : Sestamibi scan showing uptake in lower part of right lobe of thyroid" style="position:absolute;margin-left:308.9pt;margin-top:2022.4pt;width:360.1pt;height:46.85pt;z-index:251662336;visibility:visible;mso-wrap-style:square;mso-width-percent:0;mso-height-percent:0;mso-wrap-distance-left:6.3pt;mso-wrap-distance-top:6.3pt;mso-wrap-distance-right:6.3pt;mso-wrap-distance-bottom:6.3pt;mso-position-horizontal:right;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">
                <v:stroke miterlimit="5243f"/>
                <v:textbox inset="1.2694mm,1.2694mm,1.2694mm,1.2694mm">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3 :</w:t>
                      </w:r>
                      <w:proofErr w:type="gramEnd"/>
                      <w:r>
                        <w:rPr>
                          <w:rFonts w:ascii="Times New Roman" w:hAnsi="Times New Roman"/>
                          <w:sz w:val="36"/>
                          <w:szCs w:val="36"/>
                          <w:lang w:val="en-US"/>
                        </w:rPr>
                        <w:t xml:space="preserve"> </w:t>
                      </w:r>
                      <w:proofErr w:type="spellStart"/>
                      <w:r>
                        <w:rPr>
                          <w:rFonts w:ascii="Times New Roman" w:hAnsi="Times New Roman"/>
                          <w:sz w:val="36"/>
                          <w:szCs w:val="36"/>
                          <w:lang w:val="en-US"/>
                        </w:rPr>
                        <w:t>Sestamibi</w:t>
                      </w:r>
                      <w:proofErr w:type="spellEnd"/>
                      <w:r>
                        <w:rPr>
                          <w:rFonts w:ascii="Times New Roman" w:hAnsi="Times New Roman"/>
                          <w:sz w:val="36"/>
                          <w:szCs w:val="36"/>
                          <w:lang w:val="en-US"/>
                        </w:rPr>
                        <w:t xml:space="preserve"> scan showing uptake in lower part of right lobe of thyroid</w:t>
                      </w:r>
                    </w:p>
                  </w:txbxContent>
                </v:textbox>
                <w10:wrap type="square" anchorx="margin" anchory="line"/>
              </v:rect>
            </w:pict>
          </mc:Fallback>
        </mc:AlternateContent>
      </w:r>
      <w:r w:rsidR="00C63EB9">
        <w:rPr>
          <w:rFonts w:ascii="Times New Roman" w:eastAsia="Times New Roman" w:hAnsi="Times New Roman" w:cs="Times New Roman"/>
          <w:noProof/>
          <w:sz w:val="36"/>
          <w:szCs w:val="36"/>
        </w:rPr>
        <mc:AlternateContent>
          <mc:Choice Requires="wps">
            <w:drawing>
              <wp:anchor distT="80010" distB="80010" distL="80010" distR="80010" simplePos="0" relativeHeight="251660288" behindDoc="0" locked="0" layoutInCell="1" allowOverlap="1">
                <wp:simplePos x="0" y="0"/>
                <wp:positionH relativeFrom="margin">
                  <wp:posOffset>-365760</wp:posOffset>
                </wp:positionH>
                <wp:positionV relativeFrom="line">
                  <wp:posOffset>-25673685</wp:posOffset>
                </wp:positionV>
                <wp:extent cx="4257675" cy="652858"/>
                <wp:effectExtent l="0" t="0" r="28575" b="13970"/>
                <wp:wrapSquare wrapText="bothSides" distT="80010" distB="80010" distL="80010" distR="80010"/>
                <wp:docPr id="1073741831" name="officeArt object" descr="Fig 2 : Ultrasonography of neck showing TIRADS II lesion"/>
                <wp:cNvGraphicFramePr/>
                <a:graphic xmlns:a="http://schemas.openxmlformats.org/drawingml/2006/main">
                  <a:graphicData uri="http://schemas.microsoft.com/office/word/2010/wordprocessingShape">
                    <wps:wsp>
                      <wps:cNvSpPr/>
                      <wps:spPr>
                        <a:xfrm>
                          <a:off x="0" y="0"/>
                          <a:ext cx="4257675" cy="652858"/>
                        </a:xfrm>
                        <a:prstGeom prst="rect">
                          <a:avLst/>
                        </a:prstGeom>
                        <a:solidFill>
                          <a:srgbClr val="FFFFFF"/>
                        </a:solidFill>
                        <a:ln w="9525" cap="flat">
                          <a:solidFill>
                            <a:srgbClr val="000000"/>
                          </a:solidFill>
                          <a:prstDash val="solid"/>
                          <a:miter lim="8000"/>
                        </a:ln>
                        <a:effectLst/>
                      </wps:spPr>
                      <wps:txbx>
                        <w:txbxContent>
                          <w:p w:rsidR="009D264B" w:rsidRDefault="00C63EB9">
                            <w:pPr>
                              <w:pStyle w:val="Body"/>
                            </w:pPr>
                            <w:bookmarkStart w:id="0" w:name="_GoBack"/>
                            <w:r>
                              <w:rPr>
                                <w:rFonts w:ascii="Times New Roman" w:hAnsi="Times New Roman"/>
                                <w:sz w:val="36"/>
                                <w:szCs w:val="36"/>
                                <w:lang w:val="en-US"/>
                              </w:rPr>
                              <w:t>Fig</w:t>
                            </w:r>
                            <w:bookmarkEnd w:id="0"/>
                            <w:r>
                              <w:rPr>
                                <w:rFonts w:ascii="Times New Roman" w:hAnsi="Times New Roman"/>
                                <w:sz w:val="36"/>
                                <w:szCs w:val="36"/>
                                <w:lang w:val="en-US"/>
                              </w:rPr>
                              <w:t xml:space="preserve"> </w:t>
                            </w:r>
                            <w:proofErr w:type="gramStart"/>
                            <w:r>
                              <w:rPr>
                                <w:rFonts w:ascii="Times New Roman" w:hAnsi="Times New Roman"/>
                                <w:sz w:val="36"/>
                                <w:szCs w:val="36"/>
                                <w:lang w:val="en-US"/>
                              </w:rPr>
                              <w:t>2 :</w:t>
                            </w:r>
                            <w:proofErr w:type="gramEnd"/>
                            <w:r>
                              <w:rPr>
                                <w:rFonts w:ascii="Times New Roman" w:hAnsi="Times New Roman"/>
                                <w:sz w:val="36"/>
                                <w:szCs w:val="36"/>
                                <w:lang w:val="en-US"/>
                              </w:rPr>
                              <w:t xml:space="preserve"> Ultrasonography of neck showing TIRADS II lesion</w:t>
                            </w:r>
                          </w:p>
                        </w:txbxContent>
                      </wps:txbx>
                      <wps:bodyPr wrap="square" lIns="45699" tIns="45699" rIns="45699" bIns="45699" numCol="1" anchor="t">
                        <a:noAutofit/>
                      </wps:bodyPr>
                    </wps:wsp>
                  </a:graphicData>
                </a:graphic>
                <wp14:sizeRelH relativeFrom="margin">
                  <wp14:pctWidth>0</wp14:pctWidth>
                </wp14:sizeRelH>
              </wp:anchor>
            </w:drawing>
          </mc:Choice>
          <mc:Fallback>
            <w:pict>
              <v:rect id="_x0000_s1028" alt="Fig 2 : Ultrasonography of neck showing TIRADS II lesion" style="position:absolute;margin-left:-28.8pt;margin-top:-2021.55pt;width:335.25pt;height:51.4pt;z-index:251660288;visibility:visible;mso-wrap-style:square;mso-width-percent:0;mso-wrap-distance-left:6.3pt;mso-wrap-distance-top:6.3pt;mso-wrap-distance-right:6.3pt;mso-wrap-distance-bottom:6.3pt;mso-position-horizontal:absolute;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">
                <v:stroke miterlimit="5243f"/>
                <v:textbox inset="1.2694mm,1.2694mm,1.2694mm,1.2694mm">
                  <w:txbxContent>
                    <w:p w:rsidR="009D264B" w:rsidRDefault="00C63EB9">
                      <w:pPr>
                        <w:pStyle w:val="Body"/>
                      </w:pPr>
                      <w:bookmarkStart w:id="1" w:name="_GoBack"/>
                      <w:r>
                        <w:rPr>
                          <w:rFonts w:ascii="Times New Roman" w:hAnsi="Times New Roman"/>
                          <w:sz w:val="36"/>
                          <w:szCs w:val="36"/>
                          <w:lang w:val="en-US"/>
                        </w:rPr>
                        <w:t>Fig</w:t>
                      </w:r>
                      <w:bookmarkEnd w:id="1"/>
                      <w:r>
                        <w:rPr>
                          <w:rFonts w:ascii="Times New Roman" w:hAnsi="Times New Roman"/>
                          <w:sz w:val="36"/>
                          <w:szCs w:val="36"/>
                          <w:lang w:val="en-US"/>
                        </w:rPr>
                        <w:t xml:space="preserve"> </w:t>
                      </w:r>
                      <w:proofErr w:type="gramStart"/>
                      <w:r>
                        <w:rPr>
                          <w:rFonts w:ascii="Times New Roman" w:hAnsi="Times New Roman"/>
                          <w:sz w:val="36"/>
                          <w:szCs w:val="36"/>
                          <w:lang w:val="en-US"/>
                        </w:rPr>
                        <w:t>2 :</w:t>
                      </w:r>
                      <w:proofErr w:type="gramEnd"/>
                      <w:r>
                        <w:rPr>
                          <w:rFonts w:ascii="Times New Roman" w:hAnsi="Times New Roman"/>
                          <w:sz w:val="36"/>
                          <w:szCs w:val="36"/>
                          <w:lang w:val="en-US"/>
                        </w:rPr>
                        <w:t xml:space="preserve"> Ultrasonography of neck showing TIRADS II lesion</w:t>
                      </w:r>
                    </w:p>
                  </w:txbxContent>
                </v:textbox>
                <w10:wrap type="square" anchorx="margin" anchory="line"/>
              </v:rect>
            </w:pict>
          </mc:Fallback>
        </mc:AlternateContent>
      </w:r>
    </w:p>
    <w:p w:rsidR="009D264B" w:rsidRDefault="009D264B">
      <w:pPr>
        <w:pStyle w:val="Body"/>
      </w:pPr>
    </w:p>
    <w:p w:rsidR="009D264B" w:rsidRDefault="009D264B">
      <w:pPr>
        <w:pStyle w:val="Body"/>
      </w:pPr>
    </w:p>
    <w:p w:rsidR="009D264B" w:rsidRDefault="009D264B">
      <w:pPr>
        <w:pStyle w:val="Body"/>
      </w:pPr>
    </w:p>
    <w:p w:rsidR="009D264B" w:rsidRDefault="009D264B">
      <w:pPr>
        <w:pStyle w:val="Body"/>
      </w:pPr>
    </w:p>
    <w:p w:rsidR="009D264B" w:rsidRDefault="00C63EB9">
      <w:pPr>
        <w:pStyle w:val="Body"/>
        <w:rPr>
          <w:rFonts w:ascii="Times New Roman" w:eastAsia="Times New Roman" w:hAnsi="Times New Roman" w:cs="Times New Roman"/>
          <w:sz w:val="36"/>
          <w:szCs w:val="36"/>
        </w:rPr>
      </w:pPr>
      <w:proofErr w:type="spellStart"/>
      <w:r>
        <w:rPr>
          <w:rFonts w:ascii="Times New Roman" w:hAnsi="Times New Roman"/>
          <w:sz w:val="36"/>
          <w:szCs w:val="36"/>
          <w:lang w:val="en-US"/>
        </w:rPr>
        <w:t>Sestamibi</w:t>
      </w:r>
      <w:proofErr w:type="spellEnd"/>
      <w:r>
        <w:rPr>
          <w:rFonts w:ascii="Times New Roman" w:hAnsi="Times New Roman"/>
          <w:sz w:val="36"/>
          <w:szCs w:val="36"/>
          <w:lang w:val="en-US"/>
        </w:rPr>
        <w:t xml:space="preserve"> scan done which showed increased uptake in relation to lower pole of right lobe of thyroid </w:t>
      </w:r>
      <w:proofErr w:type="gramStart"/>
      <w:r>
        <w:rPr>
          <w:rFonts w:ascii="Times New Roman" w:hAnsi="Times New Roman"/>
          <w:sz w:val="36"/>
          <w:szCs w:val="36"/>
          <w:lang w:val="en-US"/>
        </w:rPr>
        <w:t>gland ?parathyroid</w:t>
      </w:r>
      <w:proofErr w:type="gramEnd"/>
      <w:r>
        <w:rPr>
          <w:rFonts w:ascii="Times New Roman" w:hAnsi="Times New Roman"/>
          <w:sz w:val="36"/>
          <w:szCs w:val="36"/>
          <w:lang w:val="en-US"/>
        </w:rPr>
        <w:t xml:space="preserve"> adenoma of right inferior parathyroid gland.</w:t>
      </w: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 xml:space="preserve">4D CT done suggested of hypo-dense lesion in right thyroid lobe measuring about   2.1x2.5x3.5cm- hypo-dense lesion, which shows heterogenous post contrast enhancement with few </w:t>
      </w:r>
      <w:proofErr w:type="gramStart"/>
      <w:r>
        <w:rPr>
          <w:rFonts w:ascii="Times New Roman" w:hAnsi="Times New Roman"/>
          <w:sz w:val="36"/>
          <w:szCs w:val="36"/>
          <w:lang w:val="en-US"/>
        </w:rPr>
        <w:t>non enhancing</w:t>
      </w:r>
      <w:proofErr w:type="gramEnd"/>
      <w:r>
        <w:rPr>
          <w:rFonts w:ascii="Times New Roman" w:hAnsi="Times New Roman"/>
          <w:sz w:val="36"/>
          <w:szCs w:val="36"/>
          <w:lang w:val="en-US"/>
        </w:rPr>
        <w:t xml:space="preserve"> cystic areas within.? </w:t>
      </w:r>
      <w:proofErr w:type="spellStart"/>
      <w:r>
        <w:rPr>
          <w:rFonts w:ascii="Times New Roman" w:hAnsi="Times New Roman"/>
          <w:sz w:val="36"/>
          <w:szCs w:val="36"/>
          <w:lang w:val="en-US"/>
        </w:rPr>
        <w:t>intrathyroid</w:t>
      </w:r>
      <w:proofErr w:type="spellEnd"/>
      <w:r>
        <w:rPr>
          <w:rFonts w:ascii="Times New Roman" w:hAnsi="Times New Roman"/>
          <w:sz w:val="36"/>
          <w:szCs w:val="36"/>
          <w:lang w:val="en-US"/>
        </w:rPr>
        <w:t xml:space="preserve"> parathyroid adenoma.</w:t>
      </w:r>
    </w:p>
    <w:p w:rsidR="009D264B" w:rsidRDefault="00C63EB9">
      <w:pPr>
        <w:pStyle w:val="Body"/>
        <w:rPr>
          <w:rFonts w:ascii="Times New Roman" w:eastAsia="Times New Roman" w:hAnsi="Times New Roman" w:cs="Times New Roman"/>
          <w:sz w:val="36"/>
          <w:szCs w:val="36"/>
        </w:rPr>
      </w:pPr>
      <w:r>
        <w:rPr>
          <w:rFonts w:ascii="Times New Roman" w:eastAsia="Times New Roman" w:hAnsi="Times New Roman" w:cs="Times New Roman"/>
          <w:noProof/>
          <w:sz w:val="36"/>
          <w:szCs w:val="36"/>
        </w:rPr>
        <w:drawing>
          <wp:inline distT="0" distB="0" distL="0" distR="0">
            <wp:extent cx="5444492" cy="2662671"/>
            <wp:effectExtent l="0" t="0" r="0" b="0"/>
            <wp:docPr id="1073741832" name="officeArt object" descr="image15.jpg"/>
            <wp:cNvGraphicFramePr/>
            <a:graphic xmlns:a="http://schemas.openxmlformats.org/drawingml/2006/main">
              <a:graphicData uri="http://schemas.openxmlformats.org/drawingml/2006/picture">
                <pic:pic xmlns:pic="http://schemas.openxmlformats.org/drawingml/2006/picture">
                  <pic:nvPicPr>
                    <pic:cNvPr id="1073741832" name="image15.jpg" descr="image15.jpg"/>
                    <pic:cNvPicPr>
                      <a:picLocks noChangeAspect="1"/>
                    </pic:cNvPicPr>
                  </pic:nvPicPr>
                  <pic:blipFill>
                    <a:blip r:embed="rId10">
                      <a:extLst/>
                    </a:blip>
                    <a:stretch>
                      <a:fillRect/>
                    </a:stretch>
                  </pic:blipFill>
                  <pic:spPr>
                    <a:xfrm>
                      <a:off x="0" y="0"/>
                      <a:ext cx="5444492" cy="2662671"/>
                    </a:xfrm>
                    <a:prstGeom prst="rect">
                      <a:avLst/>
                    </a:prstGeom>
                    <a:ln w="12700" cap="flat">
                      <a:noFill/>
                      <a:miter lim="400000"/>
                    </a:ln>
                    <a:effectLst/>
                  </pic:spPr>
                </pic:pic>
              </a:graphicData>
            </a:graphic>
          </wp:inline>
        </w:drawing>
      </w:r>
    </w:p>
    <w:p w:rsidR="009D264B" w:rsidRDefault="00DE3B31">
      <w:pPr>
        <w:pStyle w:val="Body"/>
        <w:rPr>
          <w:rFonts w:ascii="Times New Roman" w:eastAsia="Times New Roman" w:hAnsi="Times New Roman" w:cs="Times New Roman"/>
          <w:sz w:val="36"/>
          <w:szCs w:val="36"/>
        </w:rPr>
      </w:pPr>
      <w:r>
        <w:rPr>
          <w:rFonts w:ascii="Times New Roman" w:eastAsia="Times New Roman" w:hAnsi="Times New Roman" w:cs="Times New Roman"/>
          <w:noProof/>
          <w:sz w:val="36"/>
          <w:szCs w:val="36"/>
        </w:rPr>
        <mc:AlternateContent>
          <mc:Choice Requires="wps">
            <w:drawing>
              <wp:anchor distT="80010" distB="80010" distL="80010" distR="80010" simplePos="0" relativeHeight="251663360" behindDoc="0" locked="0" layoutInCell="1" allowOverlap="1">
                <wp:simplePos x="0" y="0"/>
                <wp:positionH relativeFrom="margin">
                  <wp:align>left</wp:align>
                </wp:positionH>
                <wp:positionV relativeFrom="line">
                  <wp:posOffset>32938720</wp:posOffset>
                </wp:positionV>
                <wp:extent cx="6471285" cy="487680"/>
                <wp:effectExtent l="0" t="0" r="0" b="0"/>
                <wp:wrapSquare wrapText="bothSides" distT="80010" distB="80010" distL="80010" distR="80010"/>
                <wp:docPr id="1073741833" name="officeArt object" descr="Fig 4 : 4D CT cut sections showing lesion in right lobe of thyroid"/>
                <wp:cNvGraphicFramePr/>
                <a:graphic xmlns:a="http://schemas.openxmlformats.org/drawingml/2006/main">
                  <a:graphicData uri="http://schemas.microsoft.com/office/word/2010/wordprocessingShape">
                    <wps:wsp>
                      <wps:cNvSpPr/>
                      <wps:spPr>
                        <a:xfrm>
                          <a:off x="0" y="0"/>
                          <a:ext cx="6471458" cy="487827"/>
                        </a:xfrm>
                        <a:prstGeom prst="rect">
                          <a:avLst/>
                        </a:prstGeom>
                        <a:solidFill>
                          <a:srgbClr val="FFFFFF"/>
                        </a:solidFill>
                        <a:ln w="9525" cap="flat">
                          <a:solidFill>
                            <a:srgbClr val="000000"/>
                          </a:solidFill>
                          <a:prstDash val="solid"/>
                          <a:miter lim="8000"/>
                        </a:ln>
                        <a:effectLst/>
                      </wps:spPr>
                      <wps:txbx>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4 :</w:t>
                            </w:r>
                            <w:proofErr w:type="gramEnd"/>
                            <w:r>
                              <w:rPr>
                                <w:rFonts w:ascii="Times New Roman" w:hAnsi="Times New Roman"/>
                                <w:sz w:val="36"/>
                                <w:szCs w:val="36"/>
                                <w:lang w:val="en-US"/>
                              </w:rPr>
                              <w:t xml:space="preserve"> 4D CT cut sections showing lesion in right lobe of thyroid</w:t>
                            </w:r>
                          </w:p>
                        </w:txbxContent>
                      </wps:txbx>
                      <wps:bodyPr wrap="square" lIns="45699" tIns="45699" rIns="45699" bIns="45699" numCol="1" anchor="t">
                        <a:noAutofit/>
                      </wps:bodyPr>
                    </wps:wsp>
                  </a:graphicData>
                </a:graphic>
                <wp14:sizeRelH relativeFrom="margin">
                  <wp14:pctWidth>0</wp14:pctWidth>
                </wp14:sizeRelH>
              </wp:anchor>
            </w:drawing>
          </mc:Choice>
          <mc:Fallback>
            <w:pict>
              <v:rect id="_x0000_s1029" alt="Fig 4 : 4D CT cut sections showing lesion in right lobe of thyroid" style="position:absolute;margin-left:0;margin-top:2593.6pt;width:509.55pt;height:38.4pt;z-index:251663360;visibility:visible;mso-wrap-style:square;mso-width-percent:0;mso-wrap-distance-left:6.3pt;mso-wrap-distance-top:6.3pt;mso-wrap-distance-right:6.3pt;mso-wrap-distance-bottom:6.3pt;mso-position-horizontal:left;mso-position-horizontal-relative:margin;mso-position-vertical:absolute;mso-position-vertical-relative:lin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">
                <v:stroke miterlimit="5243f"/>
                <v:textbox inset="1.2694mm,1.2694mm,1.2694mm,1.2694mm">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4 :</w:t>
                      </w:r>
                      <w:proofErr w:type="gramEnd"/>
                      <w:r>
                        <w:rPr>
                          <w:rFonts w:ascii="Times New Roman" w:hAnsi="Times New Roman"/>
                          <w:sz w:val="36"/>
                          <w:szCs w:val="36"/>
                          <w:lang w:val="en-US"/>
                        </w:rPr>
                        <w:t xml:space="preserve"> 4D CT cut sections showing lesion in right lobe of thyroid</w:t>
                      </w:r>
                    </w:p>
                  </w:txbxContent>
                </v:textbox>
                <w10:wrap type="square" anchorx="margin" anchory="line"/>
              </v:rect>
            </w:pict>
          </mc:Fallback>
        </mc:AlternateContent>
      </w:r>
    </w:p>
    <w:p w:rsidR="009D264B" w:rsidRDefault="009D264B">
      <w:pPr>
        <w:pStyle w:val="Body"/>
        <w:rPr>
          <w:rFonts w:ascii="Times New Roman" w:eastAsia="Times New Roman" w:hAnsi="Times New Roman" w:cs="Times New Roman"/>
          <w:sz w:val="36"/>
          <w:szCs w:val="36"/>
        </w:rPr>
      </w:pPr>
    </w:p>
    <w:p w:rsidR="009D264B" w:rsidRDefault="00C63EB9">
      <w:pPr>
        <w:pStyle w:val="Body"/>
        <w:rPr>
          <w:rFonts w:ascii="Times New Roman" w:eastAsia="Times New Roman" w:hAnsi="Times New Roman" w:cs="Times New Roman"/>
          <w:sz w:val="36"/>
          <w:szCs w:val="36"/>
        </w:rPr>
      </w:pPr>
      <w:r>
        <w:rPr>
          <w:rFonts w:ascii="Times New Roman" w:hAnsi="Times New Roman"/>
          <w:sz w:val="36"/>
          <w:szCs w:val="36"/>
          <w:lang w:val="en-US"/>
        </w:rPr>
        <w:t xml:space="preserve">The patient is planned for excision of parathyroid </w:t>
      </w:r>
      <w:proofErr w:type="spellStart"/>
      <w:proofErr w:type="gramStart"/>
      <w:r>
        <w:rPr>
          <w:rFonts w:ascii="Times New Roman" w:hAnsi="Times New Roman"/>
          <w:sz w:val="36"/>
          <w:szCs w:val="36"/>
          <w:lang w:val="en-US"/>
        </w:rPr>
        <w:t>adenoma..</w:t>
      </w:r>
      <w:proofErr w:type="gramEnd"/>
      <w:r>
        <w:rPr>
          <w:rFonts w:ascii="Times New Roman" w:hAnsi="Times New Roman"/>
          <w:sz w:val="36"/>
          <w:szCs w:val="36"/>
          <w:lang w:val="en-US"/>
        </w:rPr>
        <w:t>Intraoperatively</w:t>
      </w:r>
      <w:proofErr w:type="spellEnd"/>
      <w:r>
        <w:rPr>
          <w:rFonts w:ascii="Times New Roman" w:hAnsi="Times New Roman"/>
          <w:sz w:val="36"/>
          <w:szCs w:val="36"/>
          <w:lang w:val="en-US"/>
        </w:rPr>
        <w:t xml:space="preserve">  right lobe of thyroid gland seems to be enlarged(6 X 4 X 3CM), soft in consistency with smooth surface and regular border. After dissecting out the right lobe and reflecting, inferior and superior parathyroid gland </w:t>
      </w:r>
      <w:proofErr w:type="spellStart"/>
      <w:r>
        <w:rPr>
          <w:rFonts w:ascii="Times New Roman" w:hAnsi="Times New Roman"/>
          <w:sz w:val="36"/>
          <w:szCs w:val="36"/>
          <w:lang w:val="en-US"/>
        </w:rPr>
        <w:t>visualised</w:t>
      </w:r>
      <w:proofErr w:type="spellEnd"/>
      <w:r>
        <w:rPr>
          <w:rFonts w:ascii="Times New Roman" w:hAnsi="Times New Roman"/>
          <w:sz w:val="36"/>
          <w:szCs w:val="36"/>
          <w:lang w:val="en-US"/>
        </w:rPr>
        <w:t xml:space="preserve"> and were not enlarged.</w:t>
      </w:r>
    </w:p>
    <w:p w:rsidR="009D264B" w:rsidRDefault="009D264B">
      <w:pPr>
        <w:pStyle w:val="Body"/>
        <w:rPr>
          <w:rFonts w:ascii="Times New Roman" w:eastAsia="Times New Roman" w:hAnsi="Times New Roman" w:cs="Times New Roman"/>
          <w:sz w:val="36"/>
          <w:szCs w:val="36"/>
        </w:rPr>
      </w:pPr>
    </w:p>
    <w:p w:rsidR="00DE3B31" w:rsidRPr="00DE3B31" w:rsidRDefault="00C63EB9" w:rsidP="00DE3B31">
      <w:pPr>
        <w:pStyle w:val="Body"/>
        <w:spacing w:line="225" w:lineRule="auto"/>
        <w:ind w:right="507"/>
        <w:jc w:val="both"/>
        <w:rPr>
          <w:rFonts w:ascii="Times New Roman" w:hAnsi="Times New Roman"/>
          <w:sz w:val="36"/>
          <w:szCs w:val="36"/>
          <w:lang w:val="en-US"/>
        </w:rPr>
      </w:pPr>
      <w:r>
        <w:rPr>
          <w:rFonts w:ascii="Times New Roman" w:hAnsi="Times New Roman"/>
          <w:sz w:val="36"/>
          <w:szCs w:val="36"/>
          <w:lang w:val="en-US"/>
        </w:rPr>
        <w:t xml:space="preserve">Decision taken to do right </w:t>
      </w:r>
      <w:proofErr w:type="spellStart"/>
      <w:proofErr w:type="gramStart"/>
      <w:r>
        <w:rPr>
          <w:rFonts w:ascii="Times New Roman" w:hAnsi="Times New Roman"/>
          <w:sz w:val="36"/>
          <w:szCs w:val="36"/>
          <w:lang w:val="en-US"/>
        </w:rPr>
        <w:t>hemithyroidectomy.Right</w:t>
      </w:r>
      <w:proofErr w:type="spellEnd"/>
      <w:proofErr w:type="gramEnd"/>
      <w:r>
        <w:rPr>
          <w:rFonts w:ascii="Times New Roman" w:hAnsi="Times New Roman"/>
          <w:sz w:val="36"/>
          <w:szCs w:val="36"/>
          <w:lang w:val="en-US"/>
        </w:rPr>
        <w:t xml:space="preserve"> lobe of thyroid gland along with isthmus divided from left thyroid </w:t>
      </w:r>
      <w:proofErr w:type="spellStart"/>
      <w:r>
        <w:rPr>
          <w:rFonts w:ascii="Times New Roman" w:hAnsi="Times New Roman"/>
          <w:sz w:val="36"/>
          <w:szCs w:val="36"/>
          <w:lang w:val="en-US"/>
        </w:rPr>
        <w:t>lobe.Superior</w:t>
      </w:r>
      <w:proofErr w:type="spellEnd"/>
      <w:r>
        <w:rPr>
          <w:rFonts w:ascii="Times New Roman" w:hAnsi="Times New Roman"/>
          <w:sz w:val="36"/>
          <w:szCs w:val="36"/>
          <w:lang w:val="en-US"/>
        </w:rPr>
        <w:t xml:space="preserve"> and inferior pole identified and cut carefully after ligation with careful preservation of parathyroid glands and their </w:t>
      </w:r>
      <w:proofErr w:type="spellStart"/>
      <w:r>
        <w:rPr>
          <w:rFonts w:ascii="Times New Roman" w:hAnsi="Times New Roman"/>
          <w:sz w:val="36"/>
          <w:szCs w:val="36"/>
          <w:lang w:val="en-US"/>
        </w:rPr>
        <w:t>vascularity.Specimen</w:t>
      </w:r>
      <w:proofErr w:type="spellEnd"/>
      <w:r>
        <w:rPr>
          <w:rFonts w:ascii="Times New Roman" w:hAnsi="Times New Roman"/>
          <w:sz w:val="36"/>
          <w:szCs w:val="36"/>
          <w:lang w:val="en-US"/>
        </w:rPr>
        <w:t xml:space="preserve"> labelled and sent for HPE of fresh frozen section. After 20min of removal specimen patients venous sample sent for calcium (11.2mg) and parathyroid hormone level (64IU). </w:t>
      </w:r>
      <w:r w:rsidR="00DE3B31" w:rsidRPr="00DE3B31">
        <w:rPr>
          <w:rFonts w:ascii="Times New Roman" w:hAnsi="Times New Roman"/>
          <w:sz w:val="36"/>
          <w:szCs w:val="36"/>
          <w:lang w:val="en-US"/>
        </w:rPr>
        <w:t xml:space="preserve">Frozen section examination confirmed ectopic </w:t>
      </w:r>
      <w:proofErr w:type="spellStart"/>
      <w:r w:rsidR="00DE3B31" w:rsidRPr="00DE3B31">
        <w:rPr>
          <w:rFonts w:ascii="Times New Roman" w:hAnsi="Times New Roman"/>
          <w:sz w:val="36"/>
          <w:szCs w:val="36"/>
          <w:lang w:val="en-US"/>
        </w:rPr>
        <w:t>intrathyroid</w:t>
      </w:r>
      <w:proofErr w:type="spellEnd"/>
      <w:r w:rsidR="00DE3B31" w:rsidRPr="00DE3B31">
        <w:rPr>
          <w:rFonts w:ascii="Times New Roman" w:hAnsi="Times New Roman"/>
          <w:sz w:val="36"/>
          <w:szCs w:val="36"/>
          <w:lang w:val="en-US"/>
        </w:rPr>
        <w:t xml:space="preserve"> parathyroid adenoma. POD2-patient complaints of weakness and stiffness of fingers of bilateral </w:t>
      </w:r>
      <w:proofErr w:type="spellStart"/>
      <w:proofErr w:type="gramStart"/>
      <w:r w:rsidR="00DE3B31" w:rsidRPr="00DE3B31">
        <w:rPr>
          <w:rFonts w:ascii="Times New Roman" w:hAnsi="Times New Roman"/>
          <w:sz w:val="36"/>
          <w:szCs w:val="36"/>
          <w:lang w:val="en-US"/>
        </w:rPr>
        <w:t>upperlimb.On</w:t>
      </w:r>
      <w:proofErr w:type="spellEnd"/>
      <w:proofErr w:type="gramEnd"/>
      <w:r w:rsidR="00DE3B31" w:rsidRPr="00DE3B31">
        <w:rPr>
          <w:rFonts w:ascii="Times New Roman" w:hAnsi="Times New Roman"/>
          <w:sz w:val="36"/>
          <w:szCs w:val="36"/>
          <w:lang w:val="en-US"/>
        </w:rPr>
        <w:t xml:space="preserve"> examination Chvostek’s and Trousseau’s signs positive. Repeated serum calcium -8.5mg/dl and PTH-24IU.Patient started on oral calcium supplements. Patient’s complaints resolved.</w:t>
      </w:r>
    </w:p>
    <w:p w:rsidR="00DE3B31" w:rsidRPr="00DE3B31" w:rsidRDefault="00DE3B31" w:rsidP="00DE3B31">
      <w:pPr>
        <w:pStyle w:val="Body"/>
        <w:spacing w:line="225" w:lineRule="auto"/>
        <w:ind w:right="507"/>
        <w:jc w:val="both"/>
        <w:rPr>
          <w:rFonts w:ascii="Times New Roman" w:hAnsi="Times New Roman"/>
          <w:sz w:val="36"/>
          <w:szCs w:val="36"/>
          <w:lang w:val="en-US"/>
        </w:rPr>
      </w:pPr>
      <w:r>
        <w:rPr>
          <w:rFonts w:ascii="Oi" w:eastAsia="Oi" w:hAnsi="Oi" w:cs="Oi"/>
          <w:noProof/>
          <w:sz w:val="44"/>
          <w:szCs w:val="44"/>
        </w:rPr>
        <w:drawing>
          <wp:anchor distT="0" distB="0" distL="0" distR="0" simplePos="0" relativeHeight="251657216" behindDoc="1" locked="0" layoutInCell="1" allowOverlap="1">
            <wp:simplePos x="0" y="0"/>
            <wp:positionH relativeFrom="column">
              <wp:posOffset>3776345</wp:posOffset>
            </wp:positionH>
            <wp:positionV relativeFrom="line">
              <wp:posOffset>252095</wp:posOffset>
            </wp:positionV>
            <wp:extent cx="1943100" cy="3800475"/>
            <wp:effectExtent l="4762" t="0" r="4763" b="4762"/>
            <wp:wrapNone/>
            <wp:docPr id="1073741834" name="officeArt object" descr="image4.png"/>
            <wp:cNvGraphicFramePr/>
            <a:graphic xmlns:a="http://schemas.openxmlformats.org/drawingml/2006/main">
              <a:graphicData uri="http://schemas.openxmlformats.org/drawingml/2006/picture">
                <pic:pic xmlns:pic="http://schemas.openxmlformats.org/drawingml/2006/picture">
                  <pic:nvPicPr>
                    <pic:cNvPr id="1073741834" name="image4.png" descr="image4.png"/>
                    <pic:cNvPicPr>
                      <a:picLocks noChangeAspect="1"/>
                    </pic:cNvPicPr>
                  </pic:nvPicPr>
                  <pic:blipFill>
                    <a:blip r:embed="rId11">
                      <a:extLst/>
                    </a:blip>
                    <a:stretch>
                      <a:fillRect/>
                    </a:stretch>
                  </pic:blipFill>
                  <pic:spPr>
                    <a:xfrm rot="5400000">
                      <a:off x="0" y="0"/>
                      <a:ext cx="1943100" cy="3800475"/>
                    </a:xfrm>
                    <a:prstGeom prst="rect">
                      <a:avLst/>
                    </a:prstGeom>
                    <a:ln w="12700" cap="flat">
                      <a:noFill/>
                      <a:miter lim="400000"/>
                    </a:ln>
                    <a:effectLst/>
                  </pic:spPr>
                </pic:pic>
              </a:graphicData>
            </a:graphic>
            <wp14:sizeRelH relativeFrom="margin">
              <wp14:pctWidth>0</wp14:pctWidth>
            </wp14:sizeRelH>
          </wp:anchor>
        </w:drawing>
      </w:r>
    </w:p>
    <w:p w:rsidR="009D264B" w:rsidRDefault="009D264B">
      <w:pPr>
        <w:pStyle w:val="Body"/>
        <w:spacing w:after="0" w:line="225" w:lineRule="auto"/>
        <w:ind w:right="507"/>
        <w:jc w:val="both"/>
        <w:rPr>
          <w:rFonts w:ascii="Oi" w:eastAsia="Oi" w:hAnsi="Oi" w:cs="Oi"/>
          <w:sz w:val="44"/>
          <w:szCs w:val="44"/>
        </w:rPr>
      </w:pPr>
    </w:p>
    <w:p w:rsidR="009D264B" w:rsidRDefault="009D264B">
      <w:pPr>
        <w:pStyle w:val="Body"/>
        <w:spacing w:after="0" w:line="225" w:lineRule="auto"/>
        <w:ind w:right="507"/>
        <w:jc w:val="both"/>
        <w:rPr>
          <w:rFonts w:ascii="Oi" w:eastAsia="Oi" w:hAnsi="Oi" w:cs="Oi"/>
          <w:sz w:val="44"/>
          <w:szCs w:val="44"/>
        </w:rPr>
      </w:pPr>
    </w:p>
    <w:p w:rsidR="009D264B" w:rsidRDefault="00DE3B31">
      <w:pPr>
        <w:pStyle w:val="Body"/>
        <w:spacing w:after="0" w:line="225" w:lineRule="auto"/>
        <w:ind w:right="507"/>
        <w:jc w:val="both"/>
        <w:rPr>
          <w:rFonts w:ascii="Oi" w:eastAsia="Oi" w:hAnsi="Oi" w:cs="Oi"/>
          <w:sz w:val="44"/>
          <w:szCs w:val="44"/>
          <w:shd w:val="clear" w:color="auto" w:fill="990000"/>
        </w:rPr>
      </w:pPr>
      <w:r>
        <w:rPr>
          <w:noProof/>
        </w:rPr>
        <w:drawing>
          <wp:anchor distT="152400" distB="152400" distL="152400" distR="152400" simplePos="0" relativeHeight="251670528" behindDoc="0" locked="0" layoutInCell="1" allowOverlap="1">
            <wp:simplePos x="0" y="0"/>
            <wp:positionH relativeFrom="page">
              <wp:align>right</wp:align>
            </wp:positionH>
            <wp:positionV relativeFrom="page">
              <wp:posOffset>39469695</wp:posOffset>
            </wp:positionV>
            <wp:extent cx="2122805" cy="2411095"/>
            <wp:effectExtent l="0" t="0" r="0" b="0"/>
            <wp:wrapThrough wrapText="bothSides" distL="152400" distR="152400">
              <wp:wrapPolygon edited="1">
                <wp:start x="0" y="0"/>
                <wp:lineTo x="21600" y="0"/>
                <wp:lineTo x="21600" y="21600"/>
                <wp:lineTo x="0" y="21600"/>
                <wp:lineTo x="0" y="0"/>
              </wp:wrapPolygon>
            </wp:wrapThrough>
            <wp:docPr id="1073741837" name="officeArt object" descr="IMG_0012.jpeg"/>
            <wp:cNvGraphicFramePr/>
            <a:graphic xmlns:a="http://schemas.openxmlformats.org/drawingml/2006/main">
              <a:graphicData uri="http://schemas.openxmlformats.org/drawingml/2006/picture">
                <pic:pic xmlns:pic="http://schemas.openxmlformats.org/drawingml/2006/picture">
                  <pic:nvPicPr>
                    <pic:cNvPr id="1073741837" name="IMG_0012.jpeg" descr="IMG_0012.jpeg"/>
                    <pic:cNvPicPr>
                      <a:picLocks noChangeAspect="1"/>
                    </pic:cNvPicPr>
                  </pic:nvPicPr>
                  <pic:blipFill>
                    <a:blip r:embed="rId12">
                      <a:extLst/>
                    </a:blip>
                    <a:stretch>
                      <a:fillRect/>
                    </a:stretch>
                  </pic:blipFill>
                  <pic:spPr>
                    <a:xfrm>
                      <a:off x="0" y="0"/>
                      <a:ext cx="2123093" cy="2411668"/>
                    </a:xfrm>
                    <a:prstGeom prst="rect">
                      <a:avLst/>
                    </a:prstGeom>
                    <a:ln w="12700" cap="flat">
                      <a:noFill/>
                      <a:miter lim="400000"/>
                    </a:ln>
                    <a:effectLst/>
                  </pic:spPr>
                </pic:pic>
              </a:graphicData>
            </a:graphic>
          </wp:anchor>
        </w:drawing>
      </w:r>
    </w:p>
    <w:p w:rsidR="009D264B" w:rsidRDefault="009D264B">
      <w:pPr>
        <w:pStyle w:val="Body"/>
        <w:sectPr w:rsidR="009D264B">
          <w:headerReference w:type="default" r:id="rId13"/>
          <w:footerReference w:type="default" r:id="rId14"/>
          <w:pgSz w:w="19200" w:h="10800" w:orient="landscape"/>
          <w:pgMar w:top="330" w:right="231" w:bottom="359" w:left="556" w:header="720" w:footer="720" w:gutter="0"/>
          <w:pgNumType w:start="1"/>
          <w:cols w:space="720"/>
        </w:sectPr>
      </w:pPr>
    </w:p>
    <w:p w:rsidR="009D264B" w:rsidRDefault="00C63EB9">
      <w:pPr>
        <w:pStyle w:val="Body"/>
        <w:sectPr w:rsidR="009D264B">
          <w:type w:val="continuous"/>
          <w:pgSz w:w="19200" w:h="10800" w:orient="landscape"/>
          <w:pgMar w:top="60" w:right="850" w:bottom="536" w:left="260" w:header="720" w:footer="720" w:gutter="0"/>
          <w:pgNumType w:start="1"/>
          <w:cols w:num="2" w:space="720" w:equalWidth="0">
            <w:col w:w="9254" w:space="200"/>
            <w:col w:w="9254" w:space="0"/>
          </w:cols>
        </w:sectPr>
      </w:pPr>
      <w:r>
        <w:rPr>
          <w:noProof/>
        </w:rPr>
        <mc:AlternateContent>
          <mc:Choice Requires="wps">
            <w:drawing>
              <wp:anchor distT="80010" distB="80010" distL="80010" distR="80010" simplePos="0" relativeHeight="251665408" behindDoc="0" locked="0" layoutInCell="1" allowOverlap="1">
                <wp:simplePos x="0" y="0"/>
                <wp:positionH relativeFrom="margin">
                  <wp:posOffset>196037</wp:posOffset>
                </wp:positionH>
                <wp:positionV relativeFrom="line">
                  <wp:posOffset>3229645</wp:posOffset>
                </wp:positionV>
                <wp:extent cx="9779135" cy="991811"/>
                <wp:effectExtent l="0" t="0" r="0" b="0"/>
                <wp:wrapSquare wrapText="bothSides" distT="80010" distB="80010" distL="80010" distR="80010"/>
                <wp:docPr id="1073741835" name="officeArt object" descr="Fig 5 : Intraoperative and postoperative pictures showing enlarged right lobe of thyroid gland land"/>
                <wp:cNvGraphicFramePr/>
                <a:graphic xmlns:a="http://schemas.openxmlformats.org/drawingml/2006/main">
                  <a:graphicData uri="http://schemas.microsoft.com/office/word/2010/wordprocessingShape">
                    <wps:wsp>
                      <wps:cNvSpPr/>
                      <wps:spPr>
                        <a:xfrm>
                          <a:off x="0" y="0"/>
                          <a:ext cx="9779135" cy="991811"/>
                        </a:xfrm>
                        <a:prstGeom prst="rect">
                          <a:avLst/>
                        </a:prstGeom>
                        <a:solidFill>
                          <a:srgbClr val="FFFFFF"/>
                        </a:solidFill>
                        <a:ln w="9525" cap="flat">
                          <a:solidFill>
                            <a:srgbClr val="000000"/>
                          </a:solidFill>
                          <a:prstDash val="solid"/>
                          <a:miter lim="8000"/>
                        </a:ln>
                        <a:effectLst/>
                      </wps:spPr>
                      <wps:txbx>
                        <w:txbxContent>
                          <w:p w:rsidR="009D264B" w:rsidRDefault="00C63EB9">
                            <w:pPr>
                              <w:pStyle w:val="Body"/>
                            </w:pPr>
                            <w:r>
                              <w:rPr>
                                <w:rFonts w:ascii="Times New Roman" w:hAnsi="Times New Roman"/>
                                <w:sz w:val="32"/>
                                <w:szCs w:val="32"/>
                                <w:lang w:val="en-US"/>
                              </w:rPr>
                              <w:t xml:space="preserve">Fig </w:t>
                            </w:r>
                            <w:proofErr w:type="gramStart"/>
                            <w:r>
                              <w:rPr>
                                <w:rFonts w:ascii="Times New Roman" w:hAnsi="Times New Roman"/>
                                <w:sz w:val="32"/>
                                <w:szCs w:val="32"/>
                                <w:lang w:val="en-US"/>
                              </w:rPr>
                              <w:t>5 :</w:t>
                            </w:r>
                            <w:proofErr w:type="gramEnd"/>
                            <w:r>
                              <w:rPr>
                                <w:rFonts w:ascii="Times New Roman" w:hAnsi="Times New Roman"/>
                                <w:sz w:val="32"/>
                                <w:szCs w:val="32"/>
                                <w:lang w:val="en-US"/>
                              </w:rPr>
                              <w:t xml:space="preserve"> Intraoperative and postoperative pictures showing enlarged right lobe of thyroid </w:t>
                            </w:r>
                            <w:r>
                              <w:rPr>
                                <w:rFonts w:ascii="Times New Roman" w:hAnsi="Times New Roman"/>
                                <w:sz w:val="36"/>
                                <w:szCs w:val="36"/>
                                <w:lang w:val="en-US"/>
                              </w:rPr>
                              <w:t>gland</w:t>
                            </w:r>
                            <w:r>
                              <w:t xml:space="preserve"> </w:t>
                            </w:r>
                            <w:r>
                              <w:rPr>
                                <w:rFonts w:ascii="Times New Roman" w:hAnsi="Times New Roman"/>
                                <w:sz w:val="32"/>
                                <w:szCs w:val="32"/>
                              </w:rPr>
                              <w:t xml:space="preserve">land  </w:t>
                            </w:r>
                          </w:p>
                        </w:txbxContent>
                      </wps:txbx>
                      <wps:bodyPr wrap="square" lIns="45699" tIns="45699" rIns="45699" bIns="45699" numCol="1" anchor="t">
                        <a:noAutofit/>
                      </wps:bodyPr>
                    </wps:wsp>
                  </a:graphicData>
                </a:graphic>
              </wp:anchor>
            </w:drawing>
          </mc:Choice>
          <mc:Fallback>
            <w:pict>
              <v:rect id="_x0000_s1030" alt="Fig 5 : Intraoperative and postoperative pictures showing enlarged right lobe of thyroid gland land" style="position:absolute;margin-left:15.45pt;margin-top:254.3pt;width:770pt;height:78.1pt;z-index:251665408;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">
                <v:stroke miterlimit="5243f"/>
                <v:textbox inset="1.2694mm,1.2694mm,1.2694mm,1.2694mm">
                  <w:txbxContent>
                    <w:p w:rsidR="009D264B" w:rsidRDefault="00C63EB9">
                      <w:pPr>
                        <w:pStyle w:val="Body"/>
                      </w:pPr>
                      <w:r>
                        <w:rPr>
                          <w:rFonts w:ascii="Times New Roman" w:hAnsi="Times New Roman"/>
                          <w:sz w:val="32"/>
                          <w:szCs w:val="32"/>
                          <w:lang w:val="en-US"/>
                        </w:rPr>
                        <w:t xml:space="preserve">Fig </w:t>
                      </w:r>
                      <w:proofErr w:type="gramStart"/>
                      <w:r>
                        <w:rPr>
                          <w:rFonts w:ascii="Times New Roman" w:hAnsi="Times New Roman"/>
                          <w:sz w:val="32"/>
                          <w:szCs w:val="32"/>
                          <w:lang w:val="en-US"/>
                        </w:rPr>
                        <w:t>5 :</w:t>
                      </w:r>
                      <w:proofErr w:type="gramEnd"/>
                      <w:r>
                        <w:rPr>
                          <w:rFonts w:ascii="Times New Roman" w:hAnsi="Times New Roman"/>
                          <w:sz w:val="32"/>
                          <w:szCs w:val="32"/>
                          <w:lang w:val="en-US"/>
                        </w:rPr>
                        <w:t xml:space="preserve"> Intraoperative and postoperative pictures showing enlarged right lobe of thyroid </w:t>
                      </w:r>
                      <w:r>
                        <w:rPr>
                          <w:rFonts w:ascii="Times New Roman" w:hAnsi="Times New Roman"/>
                          <w:sz w:val="36"/>
                          <w:szCs w:val="36"/>
                          <w:lang w:val="en-US"/>
                        </w:rPr>
                        <w:t>gland</w:t>
                      </w:r>
                      <w:r>
                        <w:t xml:space="preserve"> </w:t>
                      </w:r>
                      <w:r>
                        <w:rPr>
                          <w:rFonts w:ascii="Times New Roman" w:hAnsi="Times New Roman"/>
                          <w:sz w:val="32"/>
                          <w:szCs w:val="32"/>
                        </w:rPr>
                        <w:t xml:space="preserve">land  </w:t>
                      </w:r>
                    </w:p>
                  </w:txbxContent>
                </v:textbox>
                <w10:wrap type="square" anchorx="margin" anchory="line"/>
              </v:rect>
            </w:pict>
          </mc:Fallback>
        </mc:AlternateContent>
      </w:r>
      <w:r>
        <w:rPr>
          <w:noProof/>
        </w:rPr>
        <w:drawing>
          <wp:anchor distT="0" distB="0" distL="0" distR="0" simplePos="0" relativeHeight="251664384" behindDoc="0" locked="0" layoutInCell="1" allowOverlap="1">
            <wp:simplePos x="0" y="0"/>
            <wp:positionH relativeFrom="page">
              <wp:posOffset>381000</wp:posOffset>
            </wp:positionH>
            <wp:positionV relativeFrom="page">
              <wp:posOffset>-38274625</wp:posOffset>
            </wp:positionV>
            <wp:extent cx="2314575" cy="1809750"/>
            <wp:effectExtent l="0" t="0" r="9525" b="0"/>
            <wp:wrapTopAndBottom distT="0" distB="0"/>
            <wp:docPr id="1073741836" name="officeArt object" descr="image8.jpg"/>
            <wp:cNvGraphicFramePr/>
            <a:graphic xmlns:a="http://schemas.openxmlformats.org/drawingml/2006/main">
              <a:graphicData uri="http://schemas.openxmlformats.org/drawingml/2006/picture">
                <pic:pic xmlns:pic="http://schemas.openxmlformats.org/drawingml/2006/picture">
                  <pic:nvPicPr>
                    <pic:cNvPr id="1073741836" name="image8.jpg" descr="image8.jpg"/>
                    <pic:cNvPicPr>
                      <a:picLocks noChangeAspect="1"/>
                    </pic:cNvPicPr>
                  </pic:nvPicPr>
                  <pic:blipFill>
                    <a:blip r:embed="rId15">
                      <a:extLst/>
                    </a:blip>
                    <a:srcRect t="19135" b="19135"/>
                    <a:stretch>
                      <a:fillRect/>
                    </a:stretch>
                  </pic:blipFill>
                  <pic:spPr>
                    <a:xfrm rot="10800000">
                      <a:off x="0" y="0"/>
                      <a:ext cx="2315047" cy="181011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DE3B31">
      <w:pPr>
        <w:pStyle w:val="Body"/>
        <w:spacing w:after="0" w:line="240" w:lineRule="auto"/>
        <w:jc w:val="both"/>
        <w:rPr>
          <w:rFonts w:ascii="Times New Roman" w:eastAsia="Times New Roman" w:hAnsi="Times New Roman" w:cs="Times New Roman"/>
          <w:b/>
          <w:bCs/>
          <w:color w:val="212121"/>
          <w:sz w:val="36"/>
          <w:szCs w:val="36"/>
          <w:u w:val="single" w:color="212121"/>
        </w:rPr>
      </w:pPr>
      <w:r>
        <w:rPr>
          <w:rFonts w:ascii="Times New Roman" w:eastAsia="Times New Roman" w:hAnsi="Times New Roman" w:cs="Times New Roman"/>
          <w:b/>
          <w:bCs/>
          <w:noProof/>
          <w:color w:val="212121"/>
          <w:sz w:val="36"/>
          <w:szCs w:val="36"/>
          <w:u w:val="single" w:color="212121"/>
        </w:rPr>
        <w:drawing>
          <wp:anchor distT="57150" distB="57150" distL="57150" distR="57150" simplePos="0" relativeHeight="251667456" behindDoc="0" locked="0" layoutInCell="1" allowOverlap="1">
            <wp:simplePos x="0" y="0"/>
            <wp:positionH relativeFrom="margin">
              <wp:align>right</wp:align>
            </wp:positionH>
            <wp:positionV relativeFrom="line">
              <wp:posOffset>43451780</wp:posOffset>
            </wp:positionV>
            <wp:extent cx="4309745" cy="1718310"/>
            <wp:effectExtent l="0" t="0" r="0" b="0"/>
            <wp:wrapSquare wrapText="bothSides" distT="57150" distB="57150" distL="57150" distR="57150"/>
            <wp:docPr id="1073741840" name="officeArt object" descr="image3.png"/>
            <wp:cNvGraphicFramePr/>
            <a:graphic xmlns:a="http://schemas.openxmlformats.org/drawingml/2006/main">
              <a:graphicData uri="http://schemas.openxmlformats.org/drawingml/2006/picture">
                <pic:pic xmlns:pic="http://schemas.openxmlformats.org/drawingml/2006/picture">
                  <pic:nvPicPr>
                    <pic:cNvPr id="1073741840" name="image3.png" descr="image3.png"/>
                    <pic:cNvPicPr>
                      <a:picLocks noChangeAspect="1"/>
                    </pic:cNvPicPr>
                  </pic:nvPicPr>
                  <pic:blipFill>
                    <a:blip r:embed="rId16">
                      <a:extLst/>
                    </a:blip>
                    <a:stretch>
                      <a:fillRect/>
                    </a:stretch>
                  </pic:blipFill>
                  <pic:spPr>
                    <a:xfrm>
                      <a:off x="0" y="0"/>
                      <a:ext cx="4310372" cy="1718836"/>
                    </a:xfrm>
                    <a:prstGeom prst="rect">
                      <a:avLst/>
                    </a:prstGeom>
                    <a:ln w="12700" cap="flat">
                      <a:noFill/>
                      <a:miter lim="400000"/>
                    </a:ln>
                    <a:effectLst/>
                  </pic:spPr>
                </pic:pic>
              </a:graphicData>
            </a:graphic>
          </wp:anchor>
        </w:drawing>
      </w:r>
      <w:r>
        <w:rPr>
          <w:rFonts w:ascii="Times New Roman" w:eastAsia="Times New Roman" w:hAnsi="Times New Roman" w:cs="Times New Roman"/>
          <w:b/>
          <w:bCs/>
          <w:noProof/>
          <w:color w:val="212121"/>
          <w:sz w:val="36"/>
          <w:szCs w:val="36"/>
          <w:u w:val="single" w:color="212121"/>
        </w:rPr>
        <w:drawing>
          <wp:anchor distT="57150" distB="57150" distL="57150" distR="57150" simplePos="0" relativeHeight="251666432" behindDoc="0" locked="0" layoutInCell="1" allowOverlap="1">
            <wp:simplePos x="0" y="0"/>
            <wp:positionH relativeFrom="margin">
              <wp:align>left</wp:align>
            </wp:positionH>
            <wp:positionV relativeFrom="line">
              <wp:posOffset>43579415</wp:posOffset>
            </wp:positionV>
            <wp:extent cx="4088765" cy="1821180"/>
            <wp:effectExtent l="0" t="0" r="0" b="0"/>
            <wp:wrapSquare wrapText="bothSides" distT="57150" distB="57150" distL="57150" distR="57150"/>
            <wp:docPr id="1073741839" name="officeArt object" descr="image5.png"/>
            <wp:cNvGraphicFramePr/>
            <a:graphic xmlns:a="http://schemas.openxmlformats.org/drawingml/2006/main">
              <a:graphicData uri="http://schemas.openxmlformats.org/drawingml/2006/picture">
                <pic:pic xmlns:pic="http://schemas.openxmlformats.org/drawingml/2006/picture">
                  <pic:nvPicPr>
                    <pic:cNvPr id="1073741839" name="image5.png" descr="image5.png"/>
                    <pic:cNvPicPr>
                      <a:picLocks noChangeAspect="1"/>
                    </pic:cNvPicPr>
                  </pic:nvPicPr>
                  <pic:blipFill>
                    <a:blip r:embed="rId17">
                      <a:extLst/>
                    </a:blip>
                    <a:stretch>
                      <a:fillRect/>
                    </a:stretch>
                  </pic:blipFill>
                  <pic:spPr>
                    <a:xfrm>
                      <a:off x="0" y="0"/>
                      <a:ext cx="4088880" cy="1821706"/>
                    </a:xfrm>
                    <a:prstGeom prst="rect">
                      <a:avLst/>
                    </a:prstGeom>
                    <a:ln w="12700" cap="flat">
                      <a:noFill/>
                      <a:miter lim="400000"/>
                    </a:ln>
                    <a:effectLst/>
                  </pic:spPr>
                </pic:pic>
              </a:graphicData>
            </a:graphic>
          </wp:anchor>
        </w:drawing>
      </w:r>
    </w:p>
    <w:p w:rsidR="009D264B" w:rsidRDefault="00C63EB9">
      <w:pPr>
        <w:pStyle w:val="Body"/>
        <w:spacing w:after="0" w:line="240" w:lineRule="auto"/>
        <w:jc w:val="both"/>
        <w:rPr>
          <w:rFonts w:ascii="Times New Roman" w:eastAsia="Times New Roman" w:hAnsi="Times New Roman" w:cs="Times New Roman"/>
          <w:b/>
          <w:bCs/>
          <w:color w:val="212121"/>
          <w:sz w:val="36"/>
          <w:szCs w:val="36"/>
          <w:u w:val="single" w:color="212121"/>
        </w:rPr>
      </w:pPr>
      <w:r>
        <w:rPr>
          <w:rFonts w:ascii="Times New Roman" w:eastAsia="Times New Roman" w:hAnsi="Times New Roman" w:cs="Times New Roman"/>
          <w:b/>
          <w:bCs/>
          <w:noProof/>
          <w:color w:val="212121"/>
          <w:sz w:val="36"/>
          <w:szCs w:val="36"/>
          <w:u w:val="single" w:color="212121"/>
        </w:rPr>
        <mc:AlternateContent>
          <mc:Choice Requires="wps">
            <w:drawing>
              <wp:anchor distT="80010" distB="80010" distL="80010" distR="80010" simplePos="0" relativeHeight="251668480" behindDoc="0" locked="0" layoutInCell="1" allowOverlap="1">
                <wp:simplePos x="0" y="0"/>
                <wp:positionH relativeFrom="margin">
                  <wp:posOffset>645415</wp:posOffset>
                </wp:positionH>
                <wp:positionV relativeFrom="line">
                  <wp:posOffset>414586</wp:posOffset>
                </wp:positionV>
                <wp:extent cx="8520136" cy="609193"/>
                <wp:effectExtent l="0" t="0" r="0" b="0"/>
                <wp:wrapSquare wrapText="bothSides" distT="80010" distB="80010" distL="80010" distR="80010"/>
                <wp:docPr id="1073741841" name="officeArt object" descr="Fig 6 : Histopathology slides showing parathyroid glands in between thyroid follicles"/>
                <wp:cNvGraphicFramePr/>
                <a:graphic xmlns:a="http://schemas.openxmlformats.org/drawingml/2006/main">
                  <a:graphicData uri="http://schemas.microsoft.com/office/word/2010/wordprocessingShape">
                    <wps:wsp>
                      <wps:cNvSpPr/>
                      <wps:spPr>
                        <a:xfrm>
                          <a:off x="0" y="0"/>
                          <a:ext cx="8520136" cy="609193"/>
                        </a:xfrm>
                        <a:prstGeom prst="rect">
                          <a:avLst/>
                        </a:prstGeom>
                        <a:solidFill>
                          <a:srgbClr val="FFFFFF"/>
                        </a:solidFill>
                        <a:ln w="9525" cap="flat">
                          <a:solidFill>
                            <a:srgbClr val="000000"/>
                          </a:solidFill>
                          <a:prstDash val="solid"/>
                          <a:miter lim="8000"/>
                        </a:ln>
                        <a:effectLst/>
                      </wps:spPr>
                      <wps:txbx>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6 :</w:t>
                            </w:r>
                            <w:proofErr w:type="gramEnd"/>
                            <w:r>
                              <w:rPr>
                                <w:rFonts w:ascii="Times New Roman" w:hAnsi="Times New Roman"/>
                                <w:sz w:val="36"/>
                                <w:szCs w:val="36"/>
                                <w:lang w:val="en-US"/>
                              </w:rPr>
                              <w:t xml:space="preserve"> Histopathology slides showing parathyroid glands in between thyroid follicles</w:t>
                            </w:r>
                          </w:p>
                        </w:txbxContent>
                      </wps:txbx>
                      <wps:bodyPr wrap="square" lIns="45699" tIns="45699" rIns="45699" bIns="45699" numCol="1" anchor="t">
                        <a:noAutofit/>
                      </wps:bodyPr>
                    </wps:wsp>
                  </a:graphicData>
                </a:graphic>
              </wp:anchor>
            </w:drawing>
          </mc:Choice>
          <mc:Fallback>
            <w:pict>
              <v:rect id="_x0000_s1031" alt="Fig 6 : Histopathology slides showing parathyroid glands in between thyroid follicles" style="position:absolute;left:0;text-align:left;margin-left:50.8pt;margin-top:32.65pt;width:670.9pt;height:47.95pt;z-index:251668480;visibility:visible;mso-wrap-style:square;mso-wrap-distance-left:6.3pt;mso-wrap-distance-top:6.3pt;mso-wrap-distance-right:6.3pt;mso-wrap-distance-bottom:6.3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">
                <v:stroke miterlimit="5243f"/>
                <v:textbox inset="1.2694mm,1.2694mm,1.2694mm,1.2694mm">
                  <w:txbxContent>
                    <w:p w:rsidR="009D264B" w:rsidRDefault="00C63EB9">
                      <w:pPr>
                        <w:pStyle w:val="Body"/>
                      </w:pPr>
                      <w:r>
                        <w:rPr>
                          <w:rFonts w:ascii="Times New Roman" w:hAnsi="Times New Roman"/>
                          <w:sz w:val="36"/>
                          <w:szCs w:val="36"/>
                          <w:lang w:val="en-US"/>
                        </w:rPr>
                        <w:t xml:space="preserve">Fig </w:t>
                      </w:r>
                      <w:proofErr w:type="gramStart"/>
                      <w:r>
                        <w:rPr>
                          <w:rFonts w:ascii="Times New Roman" w:hAnsi="Times New Roman"/>
                          <w:sz w:val="36"/>
                          <w:szCs w:val="36"/>
                          <w:lang w:val="en-US"/>
                        </w:rPr>
                        <w:t>6 :</w:t>
                      </w:r>
                      <w:proofErr w:type="gramEnd"/>
                      <w:r>
                        <w:rPr>
                          <w:rFonts w:ascii="Times New Roman" w:hAnsi="Times New Roman"/>
                          <w:sz w:val="36"/>
                          <w:szCs w:val="36"/>
                          <w:lang w:val="en-US"/>
                        </w:rPr>
                        <w:t xml:space="preserve"> Histopathology slides showing parathyroid glands in between thyroid follicles</w:t>
                      </w:r>
                    </w:p>
                  </w:txbxContent>
                </v:textbox>
                <w10:wrap type="square" anchorx="margin" anchory="line"/>
              </v:rect>
            </w:pict>
          </mc:Fallback>
        </mc:AlternateContent>
      </w: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9D264B">
      <w:pPr>
        <w:pStyle w:val="Body"/>
        <w:spacing w:after="0" w:line="240" w:lineRule="auto"/>
        <w:jc w:val="both"/>
        <w:rPr>
          <w:rFonts w:ascii="Times New Roman" w:eastAsia="Times New Roman" w:hAnsi="Times New Roman" w:cs="Times New Roman"/>
          <w:b/>
          <w:bCs/>
          <w:color w:val="212121"/>
          <w:sz w:val="36"/>
          <w:szCs w:val="36"/>
          <w:u w:val="single" w:color="212121"/>
        </w:rPr>
      </w:pPr>
    </w:p>
    <w:p w:rsidR="009D264B" w:rsidRDefault="00C63EB9">
      <w:pPr>
        <w:pStyle w:val="Body"/>
        <w:spacing w:after="0" w:line="240" w:lineRule="auto"/>
        <w:jc w:val="both"/>
        <w:rPr>
          <w:rFonts w:ascii="Times New Roman" w:eastAsia="Times New Roman" w:hAnsi="Times New Roman" w:cs="Times New Roman"/>
          <w:b/>
          <w:bCs/>
          <w:color w:val="212121"/>
          <w:sz w:val="36"/>
          <w:szCs w:val="36"/>
          <w:u w:val="single" w:color="212121"/>
        </w:rPr>
      </w:pPr>
      <w:r>
        <w:rPr>
          <w:rFonts w:ascii="Times New Roman" w:hAnsi="Times New Roman"/>
          <w:b/>
          <w:bCs/>
          <w:color w:val="212121"/>
          <w:sz w:val="36"/>
          <w:szCs w:val="36"/>
          <w:u w:val="single" w:color="212121"/>
          <w:lang w:val="en-US"/>
        </w:rPr>
        <w:t>Discussion:</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The parathyroid glands were first described in 1852 by Sir Richard Owen during his examination of an Indian rhinoceros in London, where he identified a small, yellowish glandular structure attached to the thyroid¹</w:t>
      </w:r>
      <w:r>
        <w:rPr>
          <w:rFonts w:ascii="Times New Roman" w:hAnsi="Times New Roman"/>
          <w:sz w:val="36"/>
          <w:szCs w:val="36"/>
        </w:rPr>
        <w:t xml:space="preserve">. Later, Ivar </w:t>
      </w:r>
      <w:r>
        <w:rPr>
          <w:rFonts w:ascii="Times New Roman" w:hAnsi="Times New Roman"/>
          <w:sz w:val="36"/>
          <w:szCs w:val="36"/>
          <w:lang w:val="en-US"/>
        </w:rPr>
        <w:t xml:space="preserve">Sandstorm established that these glands were anatomically independent of the thyroid and introduced the term </w:t>
      </w:r>
      <w:r>
        <w:rPr>
          <w:rFonts w:ascii="Times New Roman" w:hAnsi="Times New Roman"/>
          <w:i/>
          <w:iCs/>
          <w:sz w:val="36"/>
          <w:szCs w:val="36"/>
          <w:lang w:val="en-US"/>
        </w:rPr>
        <w:t>“</w:t>
      </w:r>
      <w:proofErr w:type="spellStart"/>
      <w:r>
        <w:rPr>
          <w:rFonts w:ascii="Times New Roman" w:hAnsi="Times New Roman"/>
          <w:i/>
          <w:iCs/>
          <w:sz w:val="36"/>
          <w:szCs w:val="36"/>
          <w:lang w:val="en-US"/>
        </w:rPr>
        <w:t>epithelkö</w:t>
      </w:r>
      <w:proofErr w:type="spellEnd"/>
      <w:r>
        <w:rPr>
          <w:rFonts w:ascii="Times New Roman" w:hAnsi="Times New Roman"/>
          <w:i/>
          <w:iCs/>
          <w:sz w:val="36"/>
          <w:szCs w:val="36"/>
          <w:lang w:val="it-IT"/>
        </w:rPr>
        <w:t>rperchen</w:t>
      </w:r>
      <w:proofErr w:type="gramStart"/>
      <w:r>
        <w:rPr>
          <w:rFonts w:ascii="Times New Roman" w:hAnsi="Times New Roman"/>
          <w:i/>
          <w:iCs/>
          <w:sz w:val="36"/>
          <w:szCs w:val="36"/>
          <w:lang w:val="it-IT"/>
        </w:rPr>
        <w:t>.</w:t>
      </w:r>
      <w:r>
        <w:rPr>
          <w:rFonts w:ascii="Times New Roman" w:hAnsi="Times New Roman"/>
          <w:i/>
          <w:iCs/>
          <w:sz w:val="36"/>
          <w:szCs w:val="36"/>
          <w:lang w:val="en-US"/>
        </w:rPr>
        <w:t>”</w:t>
      </w:r>
      <w:r>
        <w:rPr>
          <w:rFonts w:ascii="Times New Roman" w:hAnsi="Times New Roman"/>
          <w:sz w:val="36"/>
          <w:szCs w:val="36"/>
          <w:lang w:val="en-US"/>
        </w:rPr>
        <w:t>Until</w:t>
      </w:r>
      <w:proofErr w:type="gramEnd"/>
      <w:r>
        <w:rPr>
          <w:rFonts w:ascii="Times New Roman" w:hAnsi="Times New Roman"/>
          <w:sz w:val="36"/>
          <w:szCs w:val="36"/>
          <w:lang w:val="en-US"/>
        </w:rPr>
        <w:t xml:space="preserve"> then, the parathyroid glands were believed to be part of the thyroid². The first successful isolation of an active parathyroid extract was reported by Hanson in 1923 through experiments in cattle³</w:t>
      </w:r>
      <w:r>
        <w:rPr>
          <w:rFonts w:ascii="Times New Roman" w:hAnsi="Times New Roman"/>
          <w:sz w:val="36"/>
          <w:szCs w:val="36"/>
        </w:rPr>
        <w:t>.</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The embryological development of the thyroid and parathyroid glands plays a crucial role in determining their anatomical location and variations, which is of significant surgical importance. The parathyroid glands typically develop from the third and fourth pharyngeal pouches between the fifth and twelfth weeks of gestation</w:t>
      </w:r>
      <w:r>
        <w:rPr>
          <w:rFonts w:ascii="Arial Unicode MS" w:hAnsi="Arial Unicode MS"/>
          <w:sz w:val="36"/>
          <w:szCs w:val="36"/>
          <w:lang w:val="en-US"/>
        </w:rPr>
        <w:t>⁴</w:t>
      </w:r>
      <w:r>
        <w:rPr>
          <w:rFonts w:ascii="Times New Roman" w:hAnsi="Times New Roman"/>
          <w:sz w:val="36"/>
          <w:szCs w:val="36"/>
          <w:lang w:val="en-US"/>
        </w:rPr>
        <w:t>. The inferior parathyroid glands arise from the third pharyngeal pouch along with the thymus and descend caudally, often resulting in a more variable anatomical position. In contrast, the superior parathyroid glands originate from the fourth pouch and exhibit relatively consistent positioning. Due to this differential migration, inferior glands may be located anywhere along their descent path, whereas superior glands are usually found near the posterior aspect of the thyroid, close to the junction of the inferior thyroid artery and the recurrent laryngeal nerve.</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Ectopic parathyroid glands are not uncommon, with approximately 13% of individuals exhibiting aberrant locations and about 5% having supernumerary glands. Common ectopic sites include the retro-</w:t>
      </w:r>
      <w:proofErr w:type="spellStart"/>
      <w:r>
        <w:rPr>
          <w:rFonts w:ascii="Times New Roman" w:hAnsi="Times New Roman"/>
          <w:sz w:val="36"/>
          <w:szCs w:val="36"/>
          <w:lang w:val="en-US"/>
        </w:rPr>
        <w:t>oesophageal</w:t>
      </w:r>
      <w:proofErr w:type="spellEnd"/>
      <w:r>
        <w:rPr>
          <w:rFonts w:ascii="Times New Roman" w:hAnsi="Times New Roman"/>
          <w:sz w:val="36"/>
          <w:szCs w:val="36"/>
          <w:lang w:val="en-US"/>
        </w:rPr>
        <w:t xml:space="preserve"> and para-esophageal regions (~30%), intrathyroidal location (~20%), carotid sheath (~17.5%), </w:t>
      </w:r>
      <w:proofErr w:type="spellStart"/>
      <w:r>
        <w:rPr>
          <w:rFonts w:ascii="Times New Roman" w:hAnsi="Times New Roman"/>
          <w:sz w:val="36"/>
          <w:szCs w:val="36"/>
          <w:lang w:val="en-US"/>
        </w:rPr>
        <w:t>thyrothymic</w:t>
      </w:r>
      <w:proofErr w:type="spellEnd"/>
      <w:r>
        <w:rPr>
          <w:rFonts w:ascii="Times New Roman" w:hAnsi="Times New Roman"/>
          <w:sz w:val="36"/>
          <w:szCs w:val="36"/>
          <w:lang w:val="en-US"/>
        </w:rPr>
        <w:t xml:space="preserve"> ligament (~17%), and tracheoesophageal groove (~5</w:t>
      </w:r>
      <w:proofErr w:type="gramStart"/>
      <w:r>
        <w:rPr>
          <w:rFonts w:ascii="Times New Roman" w:hAnsi="Times New Roman"/>
          <w:sz w:val="36"/>
          <w:szCs w:val="36"/>
          <w:lang w:val="en-US"/>
        </w:rPr>
        <w:t>%)</w:t>
      </w:r>
      <w:r>
        <w:rPr>
          <w:rFonts w:ascii="Arial Unicode MS" w:hAnsi="Arial Unicode MS"/>
          <w:sz w:val="36"/>
          <w:szCs w:val="36"/>
          <w:lang w:val="en-US"/>
        </w:rPr>
        <w:t>⁵</w:t>
      </w:r>
      <w:proofErr w:type="gramEnd"/>
      <w:r>
        <w:rPr>
          <w:rFonts w:ascii="Times New Roman" w:hAnsi="Times New Roman"/>
          <w:sz w:val="36"/>
          <w:szCs w:val="36"/>
          <w:lang w:val="en-US"/>
        </w:rPr>
        <w:t>. Intrathyroidal parathyroid adenomas, although rare, present a diagnostic challenge as they can mimic thyroid nodules both clinically and radiologically.</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 xml:space="preserve">Historically, preoperative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studies were considered less critical than the expertise of the surgeon, as </w:t>
      </w:r>
      <w:proofErr w:type="spellStart"/>
      <w:r>
        <w:rPr>
          <w:rFonts w:ascii="Times New Roman" w:hAnsi="Times New Roman"/>
          <w:sz w:val="36"/>
          <w:szCs w:val="36"/>
          <w:lang w:val="en-US"/>
        </w:rPr>
        <w:t>emphasised</w:t>
      </w:r>
      <w:proofErr w:type="spellEnd"/>
      <w:r>
        <w:rPr>
          <w:rFonts w:ascii="Times New Roman" w:hAnsi="Times New Roman"/>
          <w:sz w:val="36"/>
          <w:szCs w:val="36"/>
          <w:lang w:val="en-US"/>
        </w:rPr>
        <w:t xml:space="preserve"> by John </w:t>
      </w:r>
      <w:proofErr w:type="spellStart"/>
      <w:r>
        <w:rPr>
          <w:rFonts w:ascii="Times New Roman" w:hAnsi="Times New Roman"/>
          <w:sz w:val="36"/>
          <w:szCs w:val="36"/>
          <w:lang w:val="en-US"/>
        </w:rPr>
        <w:t>Doppman</w:t>
      </w:r>
      <w:proofErr w:type="spellEnd"/>
      <w:r>
        <w:rPr>
          <w:rFonts w:ascii="Times New Roman" w:hAnsi="Times New Roman"/>
          <w:sz w:val="36"/>
          <w:szCs w:val="36"/>
          <w:lang w:val="en-US"/>
        </w:rPr>
        <w:t xml:space="preserve">, who famously stated that the only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required was that of an experienced parathyroid surgeon</w:t>
      </w:r>
      <w:r>
        <w:rPr>
          <w:rFonts w:ascii="Arial Unicode MS" w:hAnsi="Arial Unicode MS"/>
          <w:sz w:val="36"/>
          <w:szCs w:val="36"/>
          <w:lang w:val="en-US"/>
        </w:rPr>
        <w:t>⁶</w:t>
      </w:r>
      <w:r>
        <w:rPr>
          <w:rFonts w:ascii="Times New Roman" w:hAnsi="Times New Roman"/>
          <w:sz w:val="36"/>
          <w:szCs w:val="36"/>
          <w:lang w:val="en-US"/>
        </w:rPr>
        <w:t xml:space="preserve">. However, with the evolution from conventional bilateral neck exploration to minimally invasive parathyroidectomy, accurate preoperative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has become essential</w:t>
      </w:r>
      <w:r>
        <w:rPr>
          <w:rFonts w:ascii="Arial Unicode MS" w:hAnsi="Arial Unicode MS"/>
          <w:sz w:val="36"/>
          <w:szCs w:val="36"/>
          <w:lang w:val="en-US"/>
        </w:rPr>
        <w:t>⁷</w:t>
      </w:r>
      <w:r>
        <w:rPr>
          <w:rFonts w:ascii="Times New Roman" w:hAnsi="Times New Roman"/>
          <w:sz w:val="36"/>
          <w:szCs w:val="36"/>
          <w:lang w:val="en-US"/>
        </w:rPr>
        <w:t xml:space="preserve">. Non-invasive imaging modalities such as neck ultrasonography and technetium-99m </w:t>
      </w:r>
      <w:proofErr w:type="spellStart"/>
      <w:r>
        <w:rPr>
          <w:rFonts w:ascii="Times New Roman" w:hAnsi="Times New Roman"/>
          <w:sz w:val="36"/>
          <w:szCs w:val="36"/>
          <w:lang w:val="en-US"/>
        </w:rPr>
        <w:t>sestamibi</w:t>
      </w:r>
      <w:proofErr w:type="spellEnd"/>
      <w:r>
        <w:rPr>
          <w:rFonts w:ascii="Times New Roman" w:hAnsi="Times New Roman"/>
          <w:sz w:val="36"/>
          <w:szCs w:val="36"/>
          <w:lang w:val="en-US"/>
        </w:rPr>
        <w:t xml:space="preserve"> scanning are commonly used as first-line investigations, although their sensitivity is limited when used independently. Advanced imaging techniques, including SPECT and SPECT/CT, as well as four-dimensional computed tomography (4D-CT), significantly enhance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accuracy, particularly in cases of ectopic or intrathyroidal glands</w:t>
      </w:r>
      <w:r>
        <w:rPr>
          <w:rFonts w:ascii="Arial Unicode MS" w:hAnsi="Arial Unicode MS"/>
          <w:sz w:val="36"/>
          <w:szCs w:val="36"/>
          <w:lang w:val="en-US"/>
        </w:rPr>
        <w:t>⁸</w:t>
      </w:r>
      <w:r>
        <w:rPr>
          <w:rFonts w:ascii="Times New Roman" w:hAnsi="Times New Roman"/>
          <w:sz w:val="36"/>
          <w:szCs w:val="36"/>
        </w:rPr>
        <w:t>.</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 xml:space="preserve">Invasive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techniques, including ultrasound- or CT-guided fine-needle aspiration with parathyroid hormone (PTH) assay, selective venous sampling, and parathyroid angiography, are generally reserved for recurrent </w:t>
      </w:r>
      <w:r>
        <w:rPr>
          <w:rFonts w:ascii="Times New Roman" w:hAnsi="Times New Roman"/>
          <w:sz w:val="36"/>
          <w:szCs w:val="36"/>
          <w:lang w:val="it-IT"/>
        </w:rPr>
        <w:t xml:space="preserve">or complex cases. </w:t>
      </w:r>
      <w:r>
        <w:rPr>
          <w:rFonts w:ascii="Times New Roman" w:hAnsi="Times New Roman"/>
          <w:sz w:val="36"/>
          <w:szCs w:val="36"/>
          <w:lang w:val="en-US"/>
        </w:rPr>
        <w:t>Radio-guided minimally invasive parathyroidectomy, combined with intraoperative PTH (</w:t>
      </w:r>
      <w:proofErr w:type="spellStart"/>
      <w:r>
        <w:rPr>
          <w:rFonts w:ascii="Times New Roman" w:hAnsi="Times New Roman"/>
          <w:sz w:val="36"/>
          <w:szCs w:val="36"/>
          <w:lang w:val="en-US"/>
        </w:rPr>
        <w:t>ioPTH</w:t>
      </w:r>
      <w:proofErr w:type="spellEnd"/>
      <w:r>
        <w:rPr>
          <w:rFonts w:ascii="Times New Roman" w:hAnsi="Times New Roman"/>
          <w:sz w:val="36"/>
          <w:szCs w:val="36"/>
          <w:lang w:val="en-US"/>
        </w:rPr>
        <w:t>) monitoring, has markedly improved surgical outcomes. A significant intraoperative decline in PTH levels confirms successful excision of the hyper-functioning gland</w:t>
      </w:r>
      <w:r>
        <w:rPr>
          <w:rFonts w:ascii="Arial Unicode MS" w:hAnsi="Arial Unicode MS"/>
          <w:sz w:val="36"/>
          <w:szCs w:val="36"/>
          <w:lang w:val="en-US"/>
        </w:rPr>
        <w:t>⁹</w:t>
      </w:r>
      <w:r>
        <w:rPr>
          <w:rFonts w:ascii="Times New Roman" w:hAnsi="Times New Roman"/>
          <w:sz w:val="36"/>
          <w:szCs w:val="36"/>
        </w:rPr>
        <w:t>.</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Parathyroidectomy remains the gold standard treatment for symptomatic primary hyperparathyroidism. Indications for surgery include nephrolithiasis, hypercalciuria, reduced renal function, osteoporosis, fragility fractures, pancreatitis, gastrointestinal manifestations, and neuropsychiatric symptoms¹</w:t>
      </w:r>
      <w:r>
        <w:rPr>
          <w:rFonts w:ascii="Arial Unicode MS" w:hAnsi="Arial Unicode MS"/>
          <w:sz w:val="36"/>
          <w:szCs w:val="36"/>
          <w:lang w:val="en-US"/>
        </w:rPr>
        <w:t>⁰</w:t>
      </w:r>
      <w:r>
        <w:rPr>
          <w:rFonts w:ascii="Times New Roman" w:hAnsi="Times New Roman"/>
          <w:sz w:val="36"/>
          <w:szCs w:val="36"/>
          <w:lang w:val="en-US"/>
        </w:rPr>
        <w:t xml:space="preserve">. Preoperative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facilitates targeted removal of the pathological gland while preserving normal parathyroid tissue. In cases where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is inconclusive, systematic intraoperative exploration should include common ectopic sites such as the tracheoesophageal groove for missing superior glands and the thymus for inferior glands.</w:t>
      </w:r>
    </w:p>
    <w:p w:rsidR="009D264B" w:rsidRDefault="00C63EB9">
      <w:pPr>
        <w:pStyle w:val="Body"/>
        <w:spacing w:before="240" w:after="240" w:line="240" w:lineRule="auto"/>
        <w:jc w:val="both"/>
        <w:rPr>
          <w:rFonts w:ascii="Times New Roman" w:eastAsia="Times New Roman" w:hAnsi="Times New Roman" w:cs="Times New Roman"/>
          <w:sz w:val="36"/>
          <w:szCs w:val="36"/>
        </w:rPr>
      </w:pPr>
      <w:r>
        <w:rPr>
          <w:rFonts w:ascii="Times New Roman" w:hAnsi="Times New Roman"/>
          <w:sz w:val="36"/>
          <w:szCs w:val="36"/>
          <w:lang w:val="en-US"/>
        </w:rPr>
        <w:t>Postoperative hypocalcemia is the most common complication, typically resulting from a sudden drop in PTH levels following gland removal. This is usually transient and can be managed with calcium and vitamin D supplementation.</w:t>
      </w:r>
    </w:p>
    <w:p w:rsidR="009D264B" w:rsidRDefault="00C63EB9">
      <w:pPr>
        <w:pStyle w:val="Body"/>
        <w:spacing w:before="240" w:after="240" w:line="240" w:lineRule="auto"/>
        <w:jc w:val="both"/>
        <w:rPr>
          <w:rFonts w:ascii="Times New Roman" w:eastAsia="Times New Roman" w:hAnsi="Times New Roman" w:cs="Times New Roman"/>
          <w:color w:val="212121"/>
          <w:sz w:val="36"/>
          <w:szCs w:val="36"/>
          <w:u w:color="212121"/>
        </w:rPr>
      </w:pPr>
      <w:r>
        <w:rPr>
          <w:rFonts w:ascii="Times New Roman" w:hAnsi="Times New Roman"/>
          <w:sz w:val="36"/>
          <w:szCs w:val="36"/>
          <w:lang w:val="en-US"/>
        </w:rPr>
        <w:t xml:space="preserve">A multidisciplinary approach involving radiologists, surgeons, endocrinologists, and pathologists is essential for optimal management. This collaborative strategy enhances the accuracy of </w:t>
      </w:r>
      <w:proofErr w:type="spellStart"/>
      <w:r>
        <w:rPr>
          <w:rFonts w:ascii="Times New Roman" w:hAnsi="Times New Roman"/>
          <w:sz w:val="36"/>
          <w:szCs w:val="36"/>
          <w:lang w:val="en-US"/>
        </w:rPr>
        <w:t>localisation</w:t>
      </w:r>
      <w:proofErr w:type="spellEnd"/>
      <w:r>
        <w:rPr>
          <w:rFonts w:ascii="Times New Roman" w:hAnsi="Times New Roman"/>
          <w:sz w:val="36"/>
          <w:szCs w:val="36"/>
          <w:lang w:val="en-US"/>
        </w:rPr>
        <w:t xml:space="preserve"> and excision, reduces the risk of persistent or recurrent hyperparathyroidism, and helps preserve normal parathyroid tissue, thereby </w:t>
      </w:r>
      <w:proofErr w:type="spellStart"/>
      <w:r>
        <w:rPr>
          <w:rFonts w:ascii="Times New Roman" w:hAnsi="Times New Roman"/>
          <w:sz w:val="36"/>
          <w:szCs w:val="36"/>
          <w:lang w:val="en-US"/>
        </w:rPr>
        <w:t>minimising</w:t>
      </w:r>
      <w:proofErr w:type="spellEnd"/>
      <w:r>
        <w:rPr>
          <w:rFonts w:ascii="Times New Roman" w:hAnsi="Times New Roman"/>
          <w:sz w:val="36"/>
          <w:szCs w:val="36"/>
          <w:lang w:val="en-US"/>
        </w:rPr>
        <w:t xml:space="preserve"> the likelihood of permanent hypocalcemia and lifelong dependence on supplementation</w:t>
      </w:r>
    </w:p>
    <w:p w:rsidR="009D264B" w:rsidRDefault="00C63EB9">
      <w:pPr>
        <w:pStyle w:val="Body"/>
        <w:spacing w:after="0" w:line="225" w:lineRule="auto"/>
        <w:ind w:right="232"/>
        <w:jc w:val="both"/>
        <w:rPr>
          <w:rFonts w:ascii="Times New Roman" w:eastAsia="Times New Roman" w:hAnsi="Times New Roman" w:cs="Times New Roman"/>
          <w:b/>
          <w:bCs/>
          <w:color w:val="212121"/>
          <w:sz w:val="36"/>
          <w:szCs w:val="36"/>
          <w:u w:color="212121"/>
        </w:rPr>
      </w:pPr>
      <w:r>
        <w:rPr>
          <w:rFonts w:ascii="Times New Roman" w:hAnsi="Times New Roman"/>
          <w:b/>
          <w:bCs/>
          <w:color w:val="212121"/>
          <w:sz w:val="36"/>
          <w:szCs w:val="36"/>
          <w:u w:color="212121"/>
          <w:lang w:val="fr-FR"/>
        </w:rPr>
        <w:t xml:space="preserve">Conclusion </w:t>
      </w:r>
    </w:p>
    <w:p w:rsidR="009D264B" w:rsidRDefault="00C63EB9">
      <w:pPr>
        <w:pStyle w:val="Body"/>
        <w:spacing w:after="0" w:line="225" w:lineRule="auto"/>
        <w:ind w:right="232"/>
        <w:jc w:val="both"/>
        <w:rPr>
          <w:rFonts w:ascii="Times New Roman" w:eastAsia="Times New Roman" w:hAnsi="Times New Roman" w:cs="Times New Roman"/>
          <w:color w:val="212121"/>
          <w:sz w:val="36"/>
          <w:szCs w:val="36"/>
          <w:u w:color="212121"/>
        </w:rPr>
      </w:pPr>
      <w:r>
        <w:rPr>
          <w:rFonts w:ascii="Times New Roman" w:hAnsi="Times New Roman"/>
          <w:color w:val="212121"/>
          <w:sz w:val="36"/>
          <w:szCs w:val="36"/>
          <w:u w:color="212121"/>
          <w:lang w:val="en-US"/>
        </w:rPr>
        <w:t xml:space="preserve">The diagnosis of intrathyroidal parathyroid adenoma, similar to our case report, is more difficult. Brown </w:t>
      </w:r>
      <w:proofErr w:type="spellStart"/>
      <w:r>
        <w:rPr>
          <w:rFonts w:ascii="Times New Roman" w:hAnsi="Times New Roman"/>
          <w:color w:val="212121"/>
          <w:sz w:val="36"/>
          <w:szCs w:val="36"/>
          <w:u w:color="212121"/>
          <w:lang w:val="en-US"/>
        </w:rPr>
        <w:t>tumours</w:t>
      </w:r>
      <w:proofErr w:type="spellEnd"/>
      <w:r>
        <w:rPr>
          <w:rFonts w:ascii="Times New Roman" w:hAnsi="Times New Roman"/>
          <w:color w:val="212121"/>
          <w:sz w:val="36"/>
          <w:szCs w:val="36"/>
          <w:u w:color="212121"/>
          <w:lang w:val="en-US"/>
        </w:rPr>
        <w:t xml:space="preserve"> of the long bones may commonly involve femur and tibia, rarely involve </w:t>
      </w:r>
      <w:proofErr w:type="spellStart"/>
      <w:r>
        <w:rPr>
          <w:rFonts w:ascii="Times New Roman" w:hAnsi="Times New Roman"/>
          <w:color w:val="212121"/>
          <w:sz w:val="36"/>
          <w:szCs w:val="36"/>
          <w:u w:color="212121"/>
          <w:lang w:val="en-US"/>
        </w:rPr>
        <w:t>humerus</w:t>
      </w:r>
      <w:proofErr w:type="spellEnd"/>
      <w:r>
        <w:rPr>
          <w:rFonts w:ascii="Times New Roman" w:hAnsi="Times New Roman"/>
          <w:color w:val="212121"/>
          <w:sz w:val="36"/>
          <w:szCs w:val="36"/>
          <w:u w:color="212121"/>
          <w:lang w:val="en-US"/>
        </w:rPr>
        <w:t xml:space="preserve"> in association with primary hyperparathyroidism. Ectopic parathyroid adenomas of our patient had an unusual location of this disorder. Surgery is the cornerstone of the treatment. A better chance to cure this disease is conditioned by complete surgical resection with negative margins microscopically, that was the case of our patient.</w:t>
      </w:r>
    </w:p>
    <w:p w:rsidR="009D264B" w:rsidRDefault="00C63EB9">
      <w:pPr>
        <w:pStyle w:val="Body"/>
        <w:spacing w:after="0" w:line="226" w:lineRule="auto"/>
        <w:ind w:right="231"/>
        <w:jc w:val="both"/>
        <w:rPr>
          <w:rFonts w:ascii="Times New Roman" w:eastAsia="Times New Roman" w:hAnsi="Times New Roman" w:cs="Times New Roman"/>
          <w:color w:val="212121"/>
          <w:sz w:val="36"/>
          <w:szCs w:val="36"/>
          <w:u w:color="212121"/>
        </w:rPr>
      </w:pPr>
      <w:r>
        <w:rPr>
          <w:rFonts w:ascii="Times New Roman" w:hAnsi="Times New Roman"/>
          <w:color w:val="212121"/>
          <w:sz w:val="36"/>
          <w:szCs w:val="36"/>
          <w:u w:color="212121"/>
          <w:lang w:val="en-US"/>
        </w:rPr>
        <w:t>This case demonstrates that in the setting of inconclusive imaging, one’s clinical acumen, and anatomical and embryologic knowledge must be utilized in a systematic approach to identifying parathyroid adenomas. After other ectopic locations are excluded, a thyroid lobectomy should be considered to treat a completely intrathyroidal parathyroid adenoma.</w:t>
      </w: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p>
    <w:p w:rsidR="009D264B" w:rsidRDefault="00C63EB9">
      <w:pPr>
        <w:pStyle w:val="Body"/>
        <w:spacing w:after="0" w:line="226" w:lineRule="auto"/>
        <w:ind w:right="231"/>
        <w:jc w:val="both"/>
        <w:rPr>
          <w:rFonts w:ascii="Times New Roman" w:eastAsia="Times New Roman" w:hAnsi="Times New Roman" w:cs="Times New Roman"/>
          <w:color w:val="212121"/>
          <w:sz w:val="36"/>
          <w:szCs w:val="36"/>
          <w:u w:color="212121"/>
        </w:rPr>
      </w:pPr>
      <w:r>
        <w:rPr>
          <w:rFonts w:ascii="Times New Roman" w:hAnsi="Times New Roman"/>
          <w:color w:val="212121"/>
          <w:sz w:val="36"/>
          <w:szCs w:val="36"/>
          <w:u w:color="212121"/>
          <w:lang w:val="en-US"/>
        </w:rPr>
        <w:t>Ethical issues: Written informed consent was obtained from the patient for publication of this case report and accompanying images</w:t>
      </w: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p>
    <w:p w:rsidR="009D264B" w:rsidRDefault="00C63EB9">
      <w:pPr>
        <w:pStyle w:val="Body"/>
        <w:spacing w:after="0" w:line="240" w:lineRule="auto"/>
        <w:rPr>
          <w:rFonts w:ascii="Times New Roman" w:eastAsia="Times New Roman" w:hAnsi="Times New Roman" w:cs="Times New Roman"/>
          <w:shd w:val="clear" w:color="auto" w:fill="FFFF00"/>
        </w:rPr>
      </w:pPr>
      <w:bookmarkStart w:id="2" w:name="_headingh.copimph0a5xi"/>
      <w:bookmarkEnd w:id="2"/>
      <w:r>
        <w:rPr>
          <w:rFonts w:ascii="Times New Roman" w:hAnsi="Times New Roman"/>
          <w:shd w:val="clear" w:color="auto" w:fill="FFFF00"/>
        </w:rPr>
        <w:t>D</w:t>
      </w:r>
      <w:proofErr w:type="spellStart"/>
      <w:r>
        <w:rPr>
          <w:rFonts w:ascii="Times New Roman" w:hAnsi="Times New Roman"/>
          <w:shd w:val="clear" w:color="auto" w:fill="FFFF00"/>
          <w:lang w:val="fr-FR"/>
        </w:rPr>
        <w:t>isclaimer</w:t>
      </w:r>
      <w:proofErr w:type="spellEnd"/>
      <w:r>
        <w:rPr>
          <w:rFonts w:ascii="Times New Roman" w:hAnsi="Times New Roman"/>
          <w:shd w:val="clear" w:color="auto" w:fill="FFFF00"/>
          <w:lang w:val="fr-FR"/>
        </w:rPr>
        <w:t xml:space="preserve"> (</w:t>
      </w:r>
      <w:proofErr w:type="spellStart"/>
      <w:r>
        <w:rPr>
          <w:rFonts w:ascii="Times New Roman" w:hAnsi="Times New Roman"/>
          <w:shd w:val="clear" w:color="auto" w:fill="FFFF00"/>
          <w:lang w:val="fr-FR"/>
        </w:rPr>
        <w:t>Artificial</w:t>
      </w:r>
      <w:proofErr w:type="spellEnd"/>
      <w:r>
        <w:rPr>
          <w:rFonts w:ascii="Times New Roman" w:hAnsi="Times New Roman"/>
          <w:shd w:val="clear" w:color="auto" w:fill="FFFF00"/>
          <w:lang w:val="fr-FR"/>
        </w:rPr>
        <w:t xml:space="preserve"> intelligence)</w:t>
      </w:r>
    </w:p>
    <w:p w:rsidR="009D264B" w:rsidRDefault="009D264B">
      <w:pPr>
        <w:pStyle w:val="Body"/>
        <w:spacing w:after="0" w:line="240" w:lineRule="auto"/>
        <w:rPr>
          <w:rFonts w:ascii="Times New Roman" w:eastAsia="Times New Roman" w:hAnsi="Times New Roman" w:cs="Times New Roman"/>
          <w:shd w:val="clear" w:color="auto" w:fill="FFFF00"/>
        </w:rPr>
      </w:pPr>
    </w:p>
    <w:p w:rsidR="009D264B" w:rsidRDefault="00C63EB9">
      <w:pPr>
        <w:pStyle w:val="Body"/>
        <w:spacing w:after="0" w:line="240" w:lineRule="auto"/>
        <w:rPr>
          <w:rFonts w:ascii="Times New Roman" w:eastAsia="Times New Roman" w:hAnsi="Times New Roman" w:cs="Times New Roman"/>
          <w:shd w:val="clear" w:color="auto" w:fill="FFFF00"/>
        </w:rPr>
      </w:pPr>
      <w:r>
        <w:rPr>
          <w:rFonts w:ascii="Times New Roman" w:hAnsi="Times New Roman"/>
          <w:shd w:val="clear" w:color="auto" w:fill="FFFF00"/>
          <w:lang w:val="en-US"/>
        </w:rPr>
        <w:t>Author(s) hereby declare that NO generative AI technologies such as Large Language Models (</w:t>
      </w:r>
      <w:proofErr w:type="spellStart"/>
      <w:r>
        <w:rPr>
          <w:rFonts w:ascii="Times New Roman" w:hAnsi="Times New Roman"/>
          <w:shd w:val="clear" w:color="auto" w:fill="FFFF00"/>
          <w:lang w:val="en-US"/>
        </w:rPr>
        <w:t>ChatGPT</w:t>
      </w:r>
      <w:proofErr w:type="spellEnd"/>
      <w:r>
        <w:rPr>
          <w:rFonts w:ascii="Times New Roman" w:hAnsi="Times New Roman"/>
          <w:shd w:val="clear" w:color="auto" w:fill="FFFF00"/>
          <w:lang w:val="en-US"/>
        </w:rPr>
        <w:t xml:space="preserve">, COPILOT, etc.) and text-to-image generators have been used during the writing or editing of this manuscript. </w:t>
      </w:r>
    </w:p>
    <w:p w:rsidR="009D264B" w:rsidRDefault="009D264B">
      <w:pPr>
        <w:pStyle w:val="Body"/>
        <w:spacing w:after="0" w:line="226" w:lineRule="auto"/>
        <w:ind w:right="231"/>
        <w:jc w:val="both"/>
        <w:rPr>
          <w:rFonts w:ascii="Times New Roman" w:eastAsia="Times New Roman" w:hAnsi="Times New Roman" w:cs="Times New Roman"/>
          <w:color w:val="212121"/>
          <w:sz w:val="36"/>
          <w:szCs w:val="36"/>
          <w:u w:color="212121"/>
        </w:rPr>
      </w:pPr>
      <w:bookmarkStart w:id="3" w:name="_headingh.ij589cgeyinh"/>
      <w:bookmarkEnd w:id="3"/>
    </w:p>
    <w:p w:rsidR="009D264B" w:rsidRDefault="009D264B">
      <w:pPr>
        <w:pStyle w:val="Body"/>
        <w:spacing w:after="0" w:line="226" w:lineRule="auto"/>
        <w:ind w:left="360" w:right="231" w:hanging="360"/>
        <w:jc w:val="both"/>
        <w:rPr>
          <w:rFonts w:ascii="Times New Roman" w:eastAsia="Times New Roman" w:hAnsi="Times New Roman" w:cs="Times New Roman"/>
          <w:color w:val="212121"/>
          <w:sz w:val="36"/>
          <w:szCs w:val="36"/>
          <w:u w:color="212121"/>
        </w:rPr>
      </w:pPr>
    </w:p>
    <w:p w:rsidR="009D264B" w:rsidRDefault="00C63EB9">
      <w:pPr>
        <w:pStyle w:val="Body"/>
        <w:spacing w:after="0" w:line="240" w:lineRule="auto"/>
        <w:rPr>
          <w:rFonts w:ascii="Times New Roman" w:eastAsia="Times New Roman" w:hAnsi="Times New Roman" w:cs="Times New Roman"/>
          <w:sz w:val="36"/>
          <w:szCs w:val="36"/>
        </w:rPr>
      </w:pPr>
      <w:proofErr w:type="spellStart"/>
      <w:proofErr w:type="gramStart"/>
      <w:r>
        <w:rPr>
          <w:rFonts w:ascii="Times New Roman" w:hAnsi="Times New Roman"/>
          <w:b/>
          <w:bCs/>
          <w:sz w:val="36"/>
          <w:szCs w:val="36"/>
          <w:lang w:val="fr-FR"/>
        </w:rPr>
        <w:t>References</w:t>
      </w:r>
      <w:proofErr w:type="spellEnd"/>
      <w:r>
        <w:rPr>
          <w:rFonts w:ascii="Times New Roman" w:hAnsi="Times New Roman"/>
          <w:b/>
          <w:bCs/>
          <w:sz w:val="36"/>
          <w:szCs w:val="36"/>
          <w:lang w:val="fr-FR"/>
        </w:rPr>
        <w:t>:</w:t>
      </w:r>
      <w:proofErr w:type="gramEnd"/>
      <w:r>
        <w:rPr>
          <w:rFonts w:ascii="Times New Roman" w:hAnsi="Times New Roman"/>
          <w:sz w:val="36"/>
          <w:szCs w:val="36"/>
        </w:rPr>
        <w:t xml:space="preserve"> .</w:t>
      </w:r>
    </w:p>
    <w:p w:rsidR="009D264B" w:rsidRDefault="009D264B">
      <w:pPr>
        <w:pStyle w:val="Body"/>
        <w:spacing w:after="9" w:line="160" w:lineRule="auto"/>
        <w:rPr>
          <w:rFonts w:ascii="Times New Roman" w:eastAsia="Times New Roman" w:hAnsi="Times New Roman" w:cs="Times New Roman"/>
          <w:sz w:val="36"/>
          <w:szCs w:val="36"/>
        </w:rPr>
      </w:pPr>
    </w:p>
    <w:p w:rsidR="009D264B" w:rsidRDefault="00C63EB9">
      <w:pPr>
        <w:pStyle w:val="Body"/>
        <w:spacing w:after="0" w:line="246" w:lineRule="auto"/>
        <w:ind w:right="219"/>
        <w:rPr>
          <w:rFonts w:ascii="Times New Roman" w:eastAsia="Times New Roman" w:hAnsi="Times New Roman" w:cs="Times New Roman"/>
          <w:sz w:val="36"/>
          <w:szCs w:val="36"/>
        </w:rPr>
      </w:pPr>
      <w:r>
        <w:rPr>
          <w:rFonts w:ascii="Times New Roman" w:hAnsi="Times New Roman"/>
          <w:sz w:val="36"/>
          <w:szCs w:val="36"/>
          <w:lang w:val="en-US"/>
        </w:rPr>
        <w:t>1. Walker MD, Silverberg SJ. Primary hyperparathyroidism. Nat Rev Endocrinol 2018; 14:115–</w:t>
      </w:r>
      <w:r>
        <w:rPr>
          <w:rFonts w:ascii="Times New Roman" w:hAnsi="Times New Roman"/>
          <w:sz w:val="36"/>
          <w:szCs w:val="36"/>
          <w:lang w:val="de-DE"/>
        </w:rPr>
        <w:t>25. Google ScholarCrossrefPubMedWorldCat</w:t>
      </w:r>
    </w:p>
    <w:p w:rsidR="009D264B" w:rsidRDefault="00C63EB9">
      <w:pPr>
        <w:pStyle w:val="Body"/>
        <w:spacing w:after="0" w:line="248" w:lineRule="auto"/>
        <w:rPr>
          <w:rFonts w:ascii="Times New Roman" w:eastAsia="Times New Roman" w:hAnsi="Times New Roman" w:cs="Times New Roman"/>
          <w:sz w:val="36"/>
          <w:szCs w:val="36"/>
        </w:rPr>
      </w:pPr>
      <w:r>
        <w:rPr>
          <w:rFonts w:ascii="Times New Roman" w:hAnsi="Times New Roman"/>
          <w:sz w:val="36"/>
          <w:szCs w:val="36"/>
          <w:lang w:val="en-US"/>
        </w:rPr>
        <w:t xml:space="preserve">2. </w:t>
      </w:r>
      <w:proofErr w:type="spellStart"/>
      <w:proofErr w:type="gramStart"/>
      <w:r>
        <w:rPr>
          <w:rFonts w:ascii="Times New Roman" w:hAnsi="Times New Roman"/>
          <w:sz w:val="36"/>
          <w:szCs w:val="36"/>
          <w:lang w:val="en-US"/>
        </w:rPr>
        <w:t>Embryology,Pharyngeal</w:t>
      </w:r>
      <w:proofErr w:type="spellEnd"/>
      <w:proofErr w:type="gramEnd"/>
      <w:r>
        <w:rPr>
          <w:rFonts w:ascii="Times New Roman" w:hAnsi="Times New Roman"/>
          <w:sz w:val="36"/>
          <w:szCs w:val="36"/>
          <w:lang w:val="en-US"/>
        </w:rPr>
        <w:t xml:space="preserve"> </w:t>
      </w:r>
      <w:proofErr w:type="spellStart"/>
      <w:r>
        <w:rPr>
          <w:rFonts w:ascii="Times New Roman" w:hAnsi="Times New Roman"/>
          <w:sz w:val="36"/>
          <w:szCs w:val="36"/>
          <w:lang w:val="en-US"/>
        </w:rPr>
        <w:t>Pouch.Miles</w:t>
      </w:r>
      <w:proofErr w:type="spellEnd"/>
      <w:r>
        <w:rPr>
          <w:rFonts w:ascii="Times New Roman" w:hAnsi="Times New Roman"/>
          <w:sz w:val="36"/>
          <w:szCs w:val="36"/>
          <w:lang w:val="en-US"/>
        </w:rPr>
        <w:t xml:space="preserve"> </w:t>
      </w:r>
      <w:proofErr w:type="spellStart"/>
      <w:r>
        <w:rPr>
          <w:rFonts w:ascii="Times New Roman" w:hAnsi="Times New Roman"/>
          <w:sz w:val="36"/>
          <w:szCs w:val="36"/>
          <w:lang w:val="en-US"/>
        </w:rPr>
        <w:t>B,et</w:t>
      </w:r>
      <w:proofErr w:type="spellEnd"/>
      <w:r>
        <w:rPr>
          <w:rFonts w:ascii="Times New Roman" w:hAnsi="Times New Roman"/>
          <w:sz w:val="36"/>
          <w:szCs w:val="36"/>
          <w:lang w:val="en-US"/>
        </w:rPr>
        <w:t xml:space="preserve"> al.2023 Apr3.In: </w:t>
      </w:r>
      <w:proofErr w:type="spellStart"/>
      <w:r>
        <w:rPr>
          <w:rFonts w:ascii="Times New Roman" w:hAnsi="Times New Roman"/>
          <w:sz w:val="36"/>
          <w:szCs w:val="36"/>
          <w:lang w:val="en-US"/>
        </w:rPr>
        <w:t>StatPearls</w:t>
      </w:r>
      <w:proofErr w:type="spellEnd"/>
      <w:r>
        <w:rPr>
          <w:rFonts w:ascii="Times New Roman" w:hAnsi="Times New Roman"/>
          <w:sz w:val="36"/>
          <w:szCs w:val="36"/>
          <w:lang w:val="en-US"/>
        </w:rPr>
        <w:t xml:space="preserve"> [Internet]. Treasure Island (FL): </w:t>
      </w:r>
      <w:proofErr w:type="spellStart"/>
      <w:r>
        <w:rPr>
          <w:rFonts w:ascii="Times New Roman" w:hAnsi="Times New Roman"/>
          <w:sz w:val="36"/>
          <w:szCs w:val="36"/>
          <w:lang w:val="en-US"/>
        </w:rPr>
        <w:t>StatPearls</w:t>
      </w:r>
      <w:proofErr w:type="spellEnd"/>
      <w:r>
        <w:rPr>
          <w:rFonts w:ascii="Times New Roman" w:hAnsi="Times New Roman"/>
          <w:sz w:val="36"/>
          <w:szCs w:val="36"/>
          <w:lang w:val="en-US"/>
        </w:rPr>
        <w:t xml:space="preserve"> Publishing; 2023 Jan–. PMID:32491656 Free Books &amp; Documents</w:t>
      </w:r>
    </w:p>
    <w:p w:rsidR="009D264B" w:rsidRDefault="00C63EB9">
      <w:pPr>
        <w:pStyle w:val="Body"/>
        <w:spacing w:after="0" w:line="249" w:lineRule="auto"/>
        <w:ind w:right="870"/>
        <w:rPr>
          <w:rFonts w:ascii="Times New Roman" w:eastAsia="Times New Roman" w:hAnsi="Times New Roman" w:cs="Times New Roman"/>
          <w:sz w:val="36"/>
          <w:szCs w:val="36"/>
        </w:rPr>
      </w:pPr>
      <w:r>
        <w:rPr>
          <w:rFonts w:ascii="Times New Roman" w:hAnsi="Times New Roman"/>
          <w:sz w:val="36"/>
          <w:szCs w:val="36"/>
        </w:rPr>
        <w:t xml:space="preserve">3. </w:t>
      </w:r>
      <w:proofErr w:type="spellStart"/>
      <w:r>
        <w:rPr>
          <w:rFonts w:ascii="Times New Roman" w:hAnsi="Times New Roman"/>
          <w:sz w:val="36"/>
          <w:szCs w:val="36"/>
        </w:rPr>
        <w:t>Cakmak</w:t>
      </w:r>
      <w:proofErr w:type="spellEnd"/>
      <w:r>
        <w:rPr>
          <w:rFonts w:ascii="Times New Roman" w:hAnsi="Times New Roman"/>
          <w:sz w:val="36"/>
          <w:szCs w:val="36"/>
        </w:rPr>
        <w:t xml:space="preserve"> H, </w:t>
      </w:r>
      <w:proofErr w:type="spellStart"/>
      <w:r>
        <w:rPr>
          <w:rFonts w:ascii="Times New Roman" w:hAnsi="Times New Roman"/>
          <w:sz w:val="36"/>
          <w:szCs w:val="36"/>
        </w:rPr>
        <w:t>Tokat</w:t>
      </w:r>
      <w:proofErr w:type="spellEnd"/>
      <w:r>
        <w:rPr>
          <w:rFonts w:ascii="Times New Roman" w:hAnsi="Times New Roman"/>
          <w:sz w:val="36"/>
          <w:szCs w:val="36"/>
        </w:rPr>
        <w:t xml:space="preserve"> AO, Karasu S, </w:t>
      </w:r>
      <w:proofErr w:type="spellStart"/>
      <w:r>
        <w:rPr>
          <w:rFonts w:ascii="Times New Roman" w:hAnsi="Times New Roman"/>
          <w:sz w:val="36"/>
          <w:szCs w:val="36"/>
        </w:rPr>
        <w:t>Ozkan</w:t>
      </w:r>
      <w:proofErr w:type="spellEnd"/>
      <w:r>
        <w:rPr>
          <w:rFonts w:ascii="Times New Roman" w:hAnsi="Times New Roman"/>
          <w:sz w:val="36"/>
          <w:szCs w:val="36"/>
        </w:rPr>
        <w:t xml:space="preserve"> M. Giant mediastinal parathyroid adenoma. </w:t>
      </w:r>
      <w:proofErr w:type="spellStart"/>
      <w:r>
        <w:rPr>
          <w:rFonts w:ascii="Times New Roman" w:hAnsi="Times New Roman"/>
          <w:sz w:val="36"/>
          <w:szCs w:val="36"/>
        </w:rPr>
        <w:t>Tuberk</w:t>
      </w:r>
      <w:proofErr w:type="spellEnd"/>
      <w:r>
        <w:rPr>
          <w:rFonts w:ascii="Times New Roman" w:hAnsi="Times New Roman"/>
          <w:sz w:val="36"/>
          <w:szCs w:val="36"/>
        </w:rPr>
        <w:t xml:space="preserve"> </w:t>
      </w:r>
      <w:proofErr w:type="spellStart"/>
      <w:r>
        <w:rPr>
          <w:rFonts w:ascii="Times New Roman" w:hAnsi="Times New Roman"/>
          <w:sz w:val="36"/>
          <w:szCs w:val="36"/>
        </w:rPr>
        <w:t>Toraks</w:t>
      </w:r>
      <w:proofErr w:type="spellEnd"/>
      <w:r>
        <w:rPr>
          <w:rFonts w:ascii="Times New Roman" w:hAnsi="Times New Roman"/>
          <w:sz w:val="36"/>
          <w:szCs w:val="36"/>
        </w:rPr>
        <w:t xml:space="preserve"> 2011; 59:263</w:t>
      </w:r>
      <w:r>
        <w:rPr>
          <w:rFonts w:ascii="Times New Roman" w:hAnsi="Times New Roman"/>
          <w:sz w:val="36"/>
          <w:szCs w:val="36"/>
          <w:lang w:val="en-US"/>
        </w:rPr>
        <w:t>–</w:t>
      </w:r>
      <w:r>
        <w:rPr>
          <w:rFonts w:ascii="Times New Roman" w:hAnsi="Times New Roman"/>
          <w:sz w:val="36"/>
          <w:szCs w:val="36"/>
          <w:lang w:val="de-DE"/>
        </w:rPr>
        <w:t>5. Google ScholarCrossrefPubMedWorldCat</w:t>
      </w: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Fonts w:ascii="Times New Roman" w:hAnsi="Times New Roman"/>
          <w:sz w:val="36"/>
          <w:szCs w:val="36"/>
        </w:rPr>
        <w:t xml:space="preserve">4. </w:t>
      </w:r>
      <w:hyperlink r:id="rId18" w:history="1">
        <w:r>
          <w:rPr>
            <w:rStyle w:val="Hyperlink0"/>
            <w:rFonts w:eastAsia="Arial Unicode MS"/>
            <w:lang w:val="en-US"/>
          </w:rPr>
          <w:t>Recurrent or persistent hyperparathyroidism.</w:t>
        </w:r>
      </w:hyperlink>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lang w:val="de-DE"/>
        </w:rPr>
        <w:t>Wells SA Jr, Debenedetti MK, Doherty GM.J Bone Miner Res. 2002 Nov;17 Suppl 2:N158-62.PMID:</w:t>
      </w:r>
      <w:r>
        <w:rPr>
          <w:rStyle w:val="None"/>
          <w:rFonts w:ascii="Times New Roman" w:hAnsi="Times New Roman"/>
          <w:sz w:val="36"/>
          <w:szCs w:val="36"/>
          <w:lang w:val="en-US"/>
        </w:rPr>
        <w:t> </w:t>
      </w:r>
      <w:r>
        <w:rPr>
          <w:rStyle w:val="None"/>
          <w:rFonts w:ascii="Times New Roman" w:hAnsi="Times New Roman"/>
          <w:sz w:val="36"/>
          <w:szCs w:val="36"/>
        </w:rPr>
        <w:t>12412795Review.</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numPr>
          <w:ilvl w:val="0"/>
          <w:numId w:val="2"/>
        </w:numPr>
        <w:spacing w:after="0" w:line="249" w:lineRule="auto"/>
        <w:ind w:right="870"/>
        <w:rPr>
          <w:rFonts w:ascii="Times New Roman" w:hAnsi="Times New Roman"/>
          <w:sz w:val="36"/>
          <w:szCs w:val="36"/>
        </w:rPr>
      </w:pPr>
      <w:r>
        <w:rPr>
          <w:rStyle w:val="None"/>
          <w:rFonts w:ascii="Times New Roman" w:hAnsi="Times New Roman"/>
          <w:sz w:val="36"/>
          <w:szCs w:val="36"/>
        </w:rPr>
        <w:t>5.</w:t>
      </w:r>
      <w:r>
        <w:rPr>
          <w:rStyle w:val="None"/>
          <w:rFonts w:ascii="Quattrocento Sans" w:eastAsia="Quattrocento Sans" w:hAnsi="Quattrocento Sans" w:cs="Quattrocento Sans"/>
          <w:color w:val="212121"/>
          <w:u w:color="212121"/>
        </w:rPr>
        <w:t xml:space="preserve"> </w:t>
      </w:r>
      <w:hyperlink r:id="rId19" w:history="1">
        <w:r>
          <w:rPr>
            <w:rStyle w:val="Hyperlink1"/>
            <w:rFonts w:ascii="Times New Roman" w:hAnsi="Times New Roman"/>
            <w:sz w:val="36"/>
            <w:szCs w:val="36"/>
            <w:lang w:val="en-US"/>
          </w:rPr>
          <w:t xml:space="preserve">Preoperative localization and </w:t>
        </w:r>
        <w:proofErr w:type="spellStart"/>
        <w:r>
          <w:rPr>
            <w:rStyle w:val="Hyperlink1"/>
            <w:rFonts w:ascii="Times New Roman" w:hAnsi="Times New Roman"/>
            <w:sz w:val="36"/>
            <w:szCs w:val="36"/>
            <w:lang w:val="en-US"/>
          </w:rPr>
          <w:t>radioguided</w:t>
        </w:r>
        <w:proofErr w:type="spellEnd"/>
        <w:r>
          <w:rPr>
            <w:rStyle w:val="Hyperlink1"/>
            <w:rFonts w:ascii="Times New Roman" w:hAnsi="Times New Roman"/>
            <w:sz w:val="36"/>
            <w:szCs w:val="36"/>
            <w:lang w:val="en-US"/>
          </w:rPr>
          <w:t xml:space="preserve"> parathyroid surgery.</w:t>
        </w:r>
      </w:hyperlink>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lang w:val="it-IT"/>
        </w:rPr>
        <w:t>Mariani G, Gulec SA, Rubello D, Boni G, Puccini M, Pelizzo MR, Manca G, Casara D, Sotti G, Erba P, Volterrani D, Giuliano AE.J Nucl Med. 2003 Sep;44(9):1443-58.PMID:</w:t>
      </w:r>
      <w:r>
        <w:rPr>
          <w:rStyle w:val="None"/>
          <w:rFonts w:ascii="Times New Roman" w:hAnsi="Times New Roman"/>
          <w:sz w:val="36"/>
          <w:szCs w:val="36"/>
          <w:lang w:val="en-US"/>
        </w:rPr>
        <w:t> </w:t>
      </w:r>
      <w:r>
        <w:rPr>
          <w:rStyle w:val="None"/>
          <w:rFonts w:ascii="Times New Roman" w:hAnsi="Times New Roman"/>
          <w:sz w:val="36"/>
          <w:szCs w:val="36"/>
        </w:rPr>
        <w:t>12960191Review.</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rPr>
        <w:t>6.</w:t>
      </w:r>
      <w:r>
        <w:rPr>
          <w:rStyle w:val="None"/>
        </w:rPr>
        <w:t xml:space="preserve"> </w:t>
      </w:r>
      <w:proofErr w:type="gramStart"/>
      <w:r>
        <w:rPr>
          <w:rStyle w:val="None"/>
          <w:rFonts w:ascii="Times New Roman" w:hAnsi="Times New Roman"/>
          <w:sz w:val="36"/>
          <w:szCs w:val="36"/>
          <w:lang w:val="en-US"/>
        </w:rPr>
        <w:t>1.Medvei</w:t>
      </w:r>
      <w:proofErr w:type="gramEnd"/>
      <w:r>
        <w:rPr>
          <w:rStyle w:val="None"/>
          <w:rFonts w:ascii="Times New Roman" w:hAnsi="Times New Roman"/>
          <w:sz w:val="36"/>
          <w:szCs w:val="36"/>
          <w:lang w:val="en-US"/>
        </w:rPr>
        <w:t xml:space="preserve"> VC. Lancaster: MTP Press Ltd; 1982. A history of endocrinology. [Google Scholar]</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rPr>
        <w:t xml:space="preserve">7.Casale J, </w:t>
      </w:r>
      <w:proofErr w:type="spellStart"/>
      <w:r>
        <w:rPr>
          <w:rStyle w:val="None"/>
          <w:rFonts w:ascii="Times New Roman" w:hAnsi="Times New Roman"/>
          <w:sz w:val="36"/>
          <w:szCs w:val="36"/>
        </w:rPr>
        <w:t>Giwa</w:t>
      </w:r>
      <w:proofErr w:type="spellEnd"/>
      <w:r>
        <w:rPr>
          <w:rStyle w:val="None"/>
          <w:rFonts w:ascii="Times New Roman" w:hAnsi="Times New Roman"/>
          <w:sz w:val="36"/>
          <w:szCs w:val="36"/>
        </w:rPr>
        <w:t xml:space="preserve"> AO.</w:t>
      </w:r>
      <w:r>
        <w:rPr>
          <w:rStyle w:val="None"/>
          <w:rFonts w:ascii="Times New Roman" w:hAnsi="Times New Roman"/>
          <w:sz w:val="36"/>
          <w:szCs w:val="36"/>
          <w:lang w:val="en-US"/>
        </w:rPr>
        <w:t> </w:t>
      </w:r>
      <w:proofErr w:type="spellStart"/>
      <w:r>
        <w:rPr>
          <w:rStyle w:val="None"/>
          <w:rFonts w:ascii="Times New Roman" w:hAnsi="Times New Roman"/>
          <w:sz w:val="36"/>
          <w:szCs w:val="36"/>
          <w:lang w:val="en-US"/>
        </w:rPr>
        <w:t>StatPearls</w:t>
      </w:r>
      <w:proofErr w:type="spellEnd"/>
      <w:r>
        <w:rPr>
          <w:rStyle w:val="None"/>
          <w:rFonts w:ascii="Times New Roman" w:hAnsi="Times New Roman"/>
          <w:sz w:val="36"/>
          <w:szCs w:val="36"/>
          <w:lang w:val="en-US"/>
        </w:rPr>
        <w:t xml:space="preserve"> [Internet]. </w:t>
      </w:r>
      <w:proofErr w:type="spellStart"/>
      <w:r>
        <w:rPr>
          <w:rStyle w:val="None"/>
          <w:rFonts w:ascii="Times New Roman" w:hAnsi="Times New Roman"/>
          <w:sz w:val="36"/>
          <w:szCs w:val="36"/>
          <w:lang w:val="en-US"/>
        </w:rPr>
        <w:t>StatPearls</w:t>
      </w:r>
      <w:proofErr w:type="spellEnd"/>
      <w:r>
        <w:rPr>
          <w:rStyle w:val="None"/>
          <w:rFonts w:ascii="Times New Roman" w:hAnsi="Times New Roman"/>
          <w:sz w:val="36"/>
          <w:szCs w:val="36"/>
          <w:lang w:val="en-US"/>
        </w:rPr>
        <w:t xml:space="preserve"> Publishing; Treasure Island (FL): Aug 8, 2023. Embryology, Branchial Arches. [</w:t>
      </w:r>
      <w:hyperlink r:id="rId20" w:history="1">
        <w:r>
          <w:rPr>
            <w:rStyle w:val="Hyperlink0"/>
            <w:rFonts w:eastAsia="Arial Unicode MS"/>
          </w:rPr>
          <w:t>PubMed</w:t>
        </w:r>
      </w:hyperlink>
      <w:r>
        <w:rPr>
          <w:rStyle w:val="None"/>
          <w:rFonts w:ascii="Times New Roman" w:hAnsi="Times New Roman"/>
          <w:sz w:val="36"/>
          <w:szCs w:val="36"/>
          <w:lang w:val="pt-PT"/>
        </w:rPr>
        <w:t>]</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rPr>
        <w:t>8.</w:t>
      </w:r>
      <w:r>
        <w:rPr>
          <w:rStyle w:val="None"/>
          <w:shd w:val="clear" w:color="auto" w:fill="FFFFFF"/>
        </w:rPr>
        <w:t xml:space="preserve"> </w:t>
      </w:r>
      <w:r>
        <w:rPr>
          <w:rStyle w:val="None"/>
          <w:rFonts w:ascii="Times New Roman" w:hAnsi="Times New Roman"/>
          <w:sz w:val="36"/>
          <w:szCs w:val="36"/>
          <w:lang w:val="pt-PT"/>
        </w:rPr>
        <w:t>Georgakopoulos B, Al Khalili Y.</w:t>
      </w:r>
      <w:r>
        <w:rPr>
          <w:rStyle w:val="None"/>
          <w:rFonts w:ascii="Times New Roman" w:hAnsi="Times New Roman"/>
          <w:sz w:val="36"/>
          <w:szCs w:val="36"/>
          <w:lang w:val="en-US"/>
        </w:rPr>
        <w:t> </w:t>
      </w:r>
      <w:proofErr w:type="spellStart"/>
      <w:r>
        <w:rPr>
          <w:rStyle w:val="None"/>
          <w:rFonts w:ascii="Times New Roman" w:hAnsi="Times New Roman"/>
          <w:sz w:val="36"/>
          <w:szCs w:val="36"/>
          <w:lang w:val="en-US"/>
        </w:rPr>
        <w:t>StatPearls</w:t>
      </w:r>
      <w:proofErr w:type="spellEnd"/>
      <w:r>
        <w:rPr>
          <w:rStyle w:val="None"/>
          <w:rFonts w:ascii="Times New Roman" w:hAnsi="Times New Roman"/>
          <w:sz w:val="36"/>
          <w:szCs w:val="36"/>
          <w:lang w:val="en-US"/>
        </w:rPr>
        <w:t xml:space="preserve"> [Internet]. </w:t>
      </w:r>
      <w:proofErr w:type="spellStart"/>
      <w:r>
        <w:rPr>
          <w:rStyle w:val="None"/>
          <w:rFonts w:ascii="Times New Roman" w:hAnsi="Times New Roman"/>
          <w:sz w:val="36"/>
          <w:szCs w:val="36"/>
          <w:lang w:val="en-US"/>
        </w:rPr>
        <w:t>StatPearls</w:t>
      </w:r>
      <w:proofErr w:type="spellEnd"/>
      <w:r>
        <w:rPr>
          <w:rStyle w:val="None"/>
          <w:rFonts w:ascii="Times New Roman" w:hAnsi="Times New Roman"/>
          <w:sz w:val="36"/>
          <w:szCs w:val="36"/>
          <w:lang w:val="en-US"/>
        </w:rPr>
        <w:t xml:space="preserve"> Publishing; Treasure Island (FL): Jul 17, 2023. Anatomy, Head and Neck, Parathyroid, Ectopic Glands. [</w:t>
      </w:r>
      <w:hyperlink r:id="rId21" w:history="1">
        <w:r>
          <w:rPr>
            <w:rStyle w:val="Hyperlink0"/>
            <w:rFonts w:eastAsia="Arial Unicode MS"/>
          </w:rPr>
          <w:t>PubMed</w:t>
        </w:r>
      </w:hyperlink>
      <w:r>
        <w:rPr>
          <w:rStyle w:val="None"/>
          <w:rFonts w:ascii="Times New Roman" w:hAnsi="Times New Roman"/>
          <w:sz w:val="36"/>
          <w:szCs w:val="36"/>
          <w:lang w:val="pt-PT"/>
        </w:rPr>
        <w:t>]</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Times New Roman" w:hAnsi="Times New Roman"/>
          <w:sz w:val="36"/>
          <w:szCs w:val="36"/>
        </w:rPr>
        <w:t>9.</w:t>
      </w:r>
      <w:r>
        <w:rPr>
          <w:rStyle w:val="None"/>
          <w:rFonts w:ascii="Cambria" w:hAnsi="Cambria"/>
          <w:color w:val="1B1B1B"/>
          <w:sz w:val="26"/>
          <w:szCs w:val="26"/>
          <w:u w:color="1B1B1B"/>
          <w:shd w:val="clear" w:color="auto" w:fill="FFFFFF"/>
        </w:rPr>
        <w:t xml:space="preserve"> </w:t>
      </w:r>
      <w:r>
        <w:rPr>
          <w:rStyle w:val="None"/>
          <w:rFonts w:ascii="Times New Roman" w:hAnsi="Times New Roman"/>
          <w:sz w:val="36"/>
          <w:szCs w:val="36"/>
          <w:lang w:val="en-US"/>
        </w:rPr>
        <w:t xml:space="preserve">Yeh R., Tay Y.-K.D., </w:t>
      </w:r>
      <w:proofErr w:type="spellStart"/>
      <w:r>
        <w:rPr>
          <w:rStyle w:val="None"/>
          <w:rFonts w:ascii="Times New Roman" w:hAnsi="Times New Roman"/>
          <w:sz w:val="36"/>
          <w:szCs w:val="36"/>
          <w:lang w:val="en-US"/>
        </w:rPr>
        <w:t>Tabacco</w:t>
      </w:r>
      <w:proofErr w:type="spellEnd"/>
      <w:r>
        <w:rPr>
          <w:rStyle w:val="None"/>
          <w:rFonts w:ascii="Times New Roman" w:hAnsi="Times New Roman"/>
          <w:sz w:val="36"/>
          <w:szCs w:val="36"/>
          <w:lang w:val="en-US"/>
        </w:rPr>
        <w:t xml:space="preserve"> G., </w:t>
      </w:r>
      <w:proofErr w:type="spellStart"/>
      <w:r>
        <w:rPr>
          <w:rStyle w:val="None"/>
          <w:rFonts w:ascii="Times New Roman" w:hAnsi="Times New Roman"/>
          <w:sz w:val="36"/>
          <w:szCs w:val="36"/>
          <w:lang w:val="en-US"/>
        </w:rPr>
        <w:t>Dercle</w:t>
      </w:r>
      <w:proofErr w:type="spellEnd"/>
      <w:r>
        <w:rPr>
          <w:rStyle w:val="None"/>
          <w:rFonts w:ascii="Times New Roman" w:hAnsi="Times New Roman"/>
          <w:sz w:val="36"/>
          <w:szCs w:val="36"/>
          <w:lang w:val="en-US"/>
        </w:rPr>
        <w:t xml:space="preserve"> L., </w:t>
      </w:r>
      <w:proofErr w:type="spellStart"/>
      <w:r>
        <w:rPr>
          <w:rStyle w:val="None"/>
          <w:rFonts w:ascii="Times New Roman" w:hAnsi="Times New Roman"/>
          <w:sz w:val="36"/>
          <w:szCs w:val="36"/>
          <w:lang w:val="en-US"/>
        </w:rPr>
        <w:t>Kuo</w:t>
      </w:r>
      <w:proofErr w:type="spellEnd"/>
      <w:r>
        <w:rPr>
          <w:rStyle w:val="None"/>
          <w:rFonts w:ascii="Times New Roman" w:hAnsi="Times New Roman"/>
          <w:sz w:val="36"/>
          <w:szCs w:val="36"/>
          <w:lang w:val="en-US"/>
        </w:rPr>
        <w:t xml:space="preserve"> J.H., Bandeira L., McManus C., Leung D.K., Lee J.A., </w:t>
      </w:r>
      <w:proofErr w:type="spellStart"/>
      <w:r>
        <w:rPr>
          <w:rStyle w:val="None"/>
          <w:rFonts w:ascii="Times New Roman" w:hAnsi="Times New Roman"/>
          <w:sz w:val="36"/>
          <w:szCs w:val="36"/>
          <w:lang w:val="en-US"/>
        </w:rPr>
        <w:t>Bilezikian</w:t>
      </w:r>
      <w:proofErr w:type="spellEnd"/>
      <w:r>
        <w:rPr>
          <w:rStyle w:val="None"/>
          <w:rFonts w:ascii="Times New Roman" w:hAnsi="Times New Roman"/>
          <w:sz w:val="36"/>
          <w:szCs w:val="36"/>
          <w:lang w:val="en-US"/>
        </w:rPr>
        <w:t xml:space="preserve"> J.P. Diagnostic Performance of 4D CT and </w:t>
      </w:r>
      <w:proofErr w:type="spellStart"/>
      <w:r>
        <w:rPr>
          <w:rStyle w:val="None"/>
          <w:rFonts w:ascii="Times New Roman" w:hAnsi="Times New Roman"/>
          <w:sz w:val="36"/>
          <w:szCs w:val="36"/>
          <w:lang w:val="en-US"/>
        </w:rPr>
        <w:t>Sestamibi</w:t>
      </w:r>
      <w:proofErr w:type="spellEnd"/>
      <w:r>
        <w:rPr>
          <w:rStyle w:val="None"/>
          <w:rFonts w:ascii="Times New Roman" w:hAnsi="Times New Roman"/>
          <w:sz w:val="36"/>
          <w:szCs w:val="36"/>
          <w:lang w:val="en-US"/>
        </w:rPr>
        <w:t xml:space="preserve"> SPECT/CT in Localizing Parathyroid Adenomas in Primary Hyperparathyroidism. Radiology. </w:t>
      </w:r>
      <w:proofErr w:type="gramStart"/>
      <w:r>
        <w:rPr>
          <w:rStyle w:val="None"/>
          <w:rFonts w:ascii="Times New Roman" w:hAnsi="Times New Roman"/>
          <w:sz w:val="36"/>
          <w:szCs w:val="36"/>
          <w:lang w:val="en-US"/>
        </w:rPr>
        <w:t>2019;291:469</w:t>
      </w:r>
      <w:proofErr w:type="gramEnd"/>
      <w:r>
        <w:rPr>
          <w:rStyle w:val="None"/>
          <w:rFonts w:ascii="Times New Roman" w:hAnsi="Times New Roman"/>
          <w:sz w:val="36"/>
          <w:szCs w:val="36"/>
          <w:lang w:val="en-US"/>
        </w:rPr>
        <w:t>–</w:t>
      </w:r>
      <w:r>
        <w:rPr>
          <w:rStyle w:val="None"/>
          <w:rFonts w:ascii="Times New Roman" w:hAnsi="Times New Roman"/>
          <w:sz w:val="36"/>
          <w:szCs w:val="36"/>
          <w:lang w:val="pt-PT"/>
        </w:rPr>
        <w:t>476. doi: 10.1148/radiol.2019182122.</w:t>
      </w:r>
      <w:r>
        <w:rPr>
          <w:rStyle w:val="None"/>
          <w:rFonts w:ascii="Times New Roman" w:hAnsi="Times New Roman"/>
          <w:sz w:val="36"/>
          <w:szCs w:val="36"/>
          <w:lang w:val="en-US"/>
        </w:rPr>
        <w:t> </w:t>
      </w:r>
      <w:r>
        <w:rPr>
          <w:rStyle w:val="None"/>
          <w:rFonts w:ascii="Times New Roman" w:hAnsi="Times New Roman"/>
          <w:sz w:val="36"/>
          <w:szCs w:val="36"/>
          <w:lang w:val="pt-PT"/>
        </w:rPr>
        <w:t>[</w:t>
      </w:r>
      <w:r>
        <w:rPr>
          <w:rStyle w:val="Hyperlink0"/>
          <w:rFonts w:eastAsia="Arial Unicode MS"/>
        </w:rPr>
        <w:fldChar w:fldCharType="begin"/>
      </w:r>
      <w:r>
        <w:rPr>
          <w:rStyle w:val="Hyperlink0"/>
          <w:rFonts w:eastAsia="Arial Unicode MS"/>
        </w:rPr>
        <w:instrText xml:space="preserve"> HYPERLINK "https://doi.org/10.1148/radiol.2019182122"</w:instrText>
      </w:r>
      <w:r>
        <w:rPr>
          <w:rStyle w:val="Hyperlink0"/>
          <w:rFonts w:eastAsia="Arial Unicode MS"/>
        </w:rPr>
        <w:fldChar w:fldCharType="separate"/>
      </w:r>
      <w:r>
        <w:rPr>
          <w:rStyle w:val="Hyperlink0"/>
          <w:rFonts w:eastAsia="Arial Unicode MS"/>
        </w:rPr>
        <w:t>DOI</w:t>
      </w:r>
      <w:r>
        <w:fldChar w:fldCharType="end"/>
      </w:r>
      <w:r>
        <w:rPr>
          <w:rStyle w:val="None"/>
          <w:rFonts w:ascii="Times New Roman" w:hAnsi="Times New Roman"/>
          <w:sz w:val="36"/>
          <w:szCs w:val="36"/>
          <w:lang w:val="pt-PT"/>
        </w:rPr>
        <w:t>] [</w:t>
      </w:r>
      <w:r>
        <w:rPr>
          <w:rStyle w:val="Hyperlink0"/>
          <w:rFonts w:eastAsia="Arial Unicode MS"/>
        </w:rPr>
        <w:fldChar w:fldCharType="begin"/>
      </w:r>
      <w:r>
        <w:rPr>
          <w:rStyle w:val="Hyperlink0"/>
          <w:rFonts w:eastAsia="Arial Unicode MS"/>
        </w:rPr>
        <w:instrText xml:space="preserve"> HYPERLINK "https://pmc.ncbi.nlm.nih.gov/articles/PMC7440755/"</w:instrText>
      </w:r>
      <w:r>
        <w:rPr>
          <w:rStyle w:val="Hyperlink0"/>
          <w:rFonts w:eastAsia="Arial Unicode MS"/>
        </w:rPr>
        <w:fldChar w:fldCharType="separate"/>
      </w:r>
      <w:r>
        <w:rPr>
          <w:rStyle w:val="Hyperlink0"/>
          <w:rFonts w:eastAsia="Arial Unicode MS"/>
          <w:lang w:val="en-US"/>
        </w:rPr>
        <w:t>PMC free article</w:t>
      </w:r>
      <w:r>
        <w:fldChar w:fldCharType="end"/>
      </w:r>
      <w:r>
        <w:rPr>
          <w:rStyle w:val="None"/>
          <w:rFonts w:ascii="Times New Roman" w:hAnsi="Times New Roman"/>
          <w:sz w:val="36"/>
          <w:szCs w:val="36"/>
          <w:lang w:val="pt-PT"/>
        </w:rPr>
        <w:t>] [</w:t>
      </w:r>
      <w:r>
        <w:rPr>
          <w:rStyle w:val="Hyperlink0"/>
          <w:rFonts w:eastAsia="Arial Unicode MS"/>
        </w:rPr>
        <w:fldChar w:fldCharType="begin"/>
      </w:r>
      <w:r>
        <w:rPr>
          <w:rStyle w:val="Hyperlink0"/>
          <w:rFonts w:eastAsia="Arial Unicode MS"/>
        </w:rPr>
        <w:instrText xml:space="preserve"> HYPERLINK "https://pubmed.ncbi.nlm.nih.gov/30835187/"</w:instrText>
      </w:r>
      <w:r>
        <w:rPr>
          <w:rStyle w:val="Hyperlink0"/>
          <w:rFonts w:eastAsia="Arial Unicode MS"/>
        </w:rPr>
        <w:fldChar w:fldCharType="separate"/>
      </w:r>
      <w:r>
        <w:rPr>
          <w:rStyle w:val="Hyperlink0"/>
          <w:rFonts w:eastAsia="Arial Unicode MS"/>
        </w:rPr>
        <w:t>PubMed</w:t>
      </w:r>
      <w:r>
        <w:fldChar w:fldCharType="end"/>
      </w:r>
      <w:r>
        <w:rPr>
          <w:rStyle w:val="None"/>
          <w:rFonts w:ascii="Times New Roman" w:hAnsi="Times New Roman"/>
          <w:sz w:val="36"/>
          <w:szCs w:val="36"/>
          <w:lang w:val="pt-PT"/>
        </w:rPr>
        <w:t>] [</w:t>
      </w:r>
      <w:r>
        <w:rPr>
          <w:rStyle w:val="Hyperlink0"/>
          <w:rFonts w:eastAsia="Arial Unicode MS"/>
        </w:rPr>
        <w:fldChar w:fldCharType="begin"/>
      </w:r>
      <w:r>
        <w:rPr>
          <w:rStyle w:val="Hyperlink0"/>
          <w:rFonts w:eastAsia="Arial Unicode MS"/>
        </w:rPr>
        <w:instrText xml:space="preserve"> HYPERLINK "https://scholar.google.com/scholar_lookup?journal=Radiology&amp;title=Diagnostic%2520Performance%2520of%25204D%2520CT%2520and%2520Sestamibi%2520SPECT/CT%2520in%2520Localizing%2520Parathyroid%2520Adenomas%2520in%2520Primary%2520Hyperparathyroidism&amp;author=R.%2520Yeh&amp;author=Y.-K.D.%2520Tay&amp;author=G.%2520Tabacco&amp;author=L.%2520Dercle&amp;author=J.H.%2520Kuo&amp;volume=291&amp;publication_year=2019&amp;pages=469-476&amp;pmid=30835187&amp;doi=10.1148/radiol.2019182122&amp;"</w:instrText>
      </w:r>
      <w:r>
        <w:rPr>
          <w:rStyle w:val="Hyperlink0"/>
          <w:rFonts w:eastAsia="Arial Unicode MS"/>
        </w:rPr>
        <w:fldChar w:fldCharType="separate"/>
      </w:r>
      <w:r>
        <w:rPr>
          <w:rStyle w:val="Hyperlink0"/>
          <w:rFonts w:eastAsia="Arial Unicode MS"/>
          <w:lang w:val="de-DE"/>
        </w:rPr>
        <w:t>Google Scholar</w:t>
      </w:r>
      <w:r>
        <w:fldChar w:fldCharType="end"/>
      </w:r>
      <w:r>
        <w:rPr>
          <w:rStyle w:val="None"/>
          <w:rFonts w:ascii="Times New Roman" w:hAnsi="Times New Roman"/>
          <w:sz w:val="36"/>
          <w:szCs w:val="36"/>
          <w:lang w:val="pt-PT"/>
        </w:rPr>
        <w:t>]</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C63EB9">
      <w:pPr>
        <w:pStyle w:val="Body"/>
        <w:spacing w:after="0" w:line="249" w:lineRule="auto"/>
        <w:ind w:right="870"/>
        <w:rPr>
          <w:rStyle w:val="None"/>
          <w:rFonts w:ascii="Times New Roman" w:eastAsia="Times New Roman" w:hAnsi="Times New Roman" w:cs="Times New Roman"/>
          <w:sz w:val="36"/>
          <w:szCs w:val="36"/>
        </w:rPr>
      </w:pPr>
      <w:r>
        <w:rPr>
          <w:rStyle w:val="None"/>
          <w:rFonts w:ascii="Quattrocento Sans" w:eastAsia="Quattrocento Sans" w:hAnsi="Quattrocento Sans" w:cs="Quattrocento Sans"/>
          <w:color w:val="212121"/>
          <w:sz w:val="36"/>
          <w:szCs w:val="36"/>
          <w:u w:color="212121"/>
        </w:rPr>
        <w:t>10.</w:t>
      </w:r>
      <w:r>
        <w:rPr>
          <w:rStyle w:val="None"/>
          <w:rFonts w:ascii="Quattrocento Sans" w:eastAsia="Quattrocento Sans" w:hAnsi="Quattrocento Sans" w:cs="Quattrocento Sans"/>
          <w:color w:val="212121"/>
          <w:u w:color="212121"/>
        </w:rPr>
        <w:t xml:space="preserve"> </w:t>
      </w:r>
      <w:hyperlink r:id="rId22" w:history="1">
        <w:r>
          <w:rPr>
            <w:rStyle w:val="Hyperlink0"/>
            <w:rFonts w:eastAsia="Arial Unicode MS"/>
            <w:lang w:val="en-US"/>
          </w:rPr>
          <w:t>Main Surgical Principles and Methods in Surgical Treatment of Primary Hyperparathyroidism.</w:t>
        </w:r>
      </w:hyperlink>
    </w:p>
    <w:p w:rsidR="009D264B" w:rsidRDefault="00C63EB9">
      <w:pPr>
        <w:pStyle w:val="Body"/>
        <w:spacing w:after="0" w:line="249" w:lineRule="auto"/>
        <w:ind w:right="870"/>
        <w:rPr>
          <w:rStyle w:val="None"/>
          <w:rFonts w:ascii="Times New Roman" w:eastAsia="Times New Roman" w:hAnsi="Times New Roman" w:cs="Times New Roman"/>
          <w:sz w:val="36"/>
          <w:szCs w:val="36"/>
        </w:rPr>
      </w:pPr>
      <w:proofErr w:type="spellStart"/>
      <w:r>
        <w:rPr>
          <w:rStyle w:val="None"/>
          <w:rFonts w:ascii="Times New Roman" w:hAnsi="Times New Roman"/>
          <w:sz w:val="36"/>
          <w:szCs w:val="36"/>
        </w:rPr>
        <w:t>Uluda</w:t>
      </w:r>
      <w:proofErr w:type="spellEnd"/>
      <w:r>
        <w:rPr>
          <w:rStyle w:val="None"/>
          <w:rFonts w:ascii="Times New Roman" w:hAnsi="Times New Roman"/>
          <w:sz w:val="36"/>
          <w:szCs w:val="36"/>
          <w:lang w:val="en-US"/>
        </w:rPr>
        <w:t xml:space="preserve">ğ </w:t>
      </w:r>
      <w:r>
        <w:rPr>
          <w:rStyle w:val="None"/>
          <w:rFonts w:ascii="Times New Roman" w:hAnsi="Times New Roman"/>
          <w:sz w:val="36"/>
          <w:szCs w:val="36"/>
        </w:rPr>
        <w:t xml:space="preserve">M, </w:t>
      </w:r>
      <w:proofErr w:type="spellStart"/>
      <w:r>
        <w:rPr>
          <w:rStyle w:val="None"/>
          <w:rFonts w:ascii="Times New Roman" w:hAnsi="Times New Roman"/>
          <w:sz w:val="36"/>
          <w:szCs w:val="36"/>
        </w:rPr>
        <w:t>Ayg</w:t>
      </w:r>
      <w:proofErr w:type="spellEnd"/>
      <w:r>
        <w:rPr>
          <w:rStyle w:val="None"/>
          <w:rFonts w:ascii="Times New Roman" w:hAnsi="Times New Roman"/>
          <w:sz w:val="36"/>
          <w:szCs w:val="36"/>
          <w:lang w:val="en-US"/>
        </w:rPr>
        <w:t>ü</w:t>
      </w:r>
      <w:r>
        <w:rPr>
          <w:rStyle w:val="None"/>
          <w:rFonts w:ascii="Times New Roman" w:hAnsi="Times New Roman"/>
          <w:sz w:val="36"/>
          <w:szCs w:val="36"/>
        </w:rPr>
        <w:t xml:space="preserve">n </w:t>
      </w:r>
      <w:proofErr w:type="spellStart"/>
      <w:r>
        <w:rPr>
          <w:rStyle w:val="None"/>
          <w:rFonts w:ascii="Times New Roman" w:hAnsi="Times New Roman"/>
          <w:sz w:val="36"/>
          <w:szCs w:val="36"/>
        </w:rPr>
        <w:t>N</w:t>
      </w:r>
      <w:proofErr w:type="spellEnd"/>
      <w:r>
        <w:rPr>
          <w:rStyle w:val="None"/>
          <w:rFonts w:ascii="Times New Roman" w:hAnsi="Times New Roman"/>
          <w:sz w:val="36"/>
          <w:szCs w:val="36"/>
        </w:rPr>
        <w:t xml:space="preserve">, </w:t>
      </w:r>
      <w:proofErr w:type="spellStart"/>
      <w:r>
        <w:rPr>
          <w:rStyle w:val="None"/>
          <w:rFonts w:ascii="Times New Roman" w:hAnsi="Times New Roman"/>
          <w:sz w:val="36"/>
          <w:szCs w:val="36"/>
          <w:lang w:val="en-US"/>
        </w:rPr>
        <w:t>İş</w:t>
      </w:r>
      <w:proofErr w:type="spellEnd"/>
      <w:r>
        <w:rPr>
          <w:rStyle w:val="None"/>
          <w:rFonts w:ascii="Times New Roman" w:hAnsi="Times New Roman"/>
          <w:sz w:val="36"/>
          <w:szCs w:val="36"/>
        </w:rPr>
        <w:t>g</w:t>
      </w:r>
      <w:proofErr w:type="spellStart"/>
      <w:r>
        <w:rPr>
          <w:rStyle w:val="None"/>
          <w:rFonts w:ascii="Times New Roman" w:hAnsi="Times New Roman"/>
          <w:sz w:val="36"/>
          <w:szCs w:val="36"/>
          <w:lang w:val="en-US"/>
        </w:rPr>
        <w:t>ör</w:t>
      </w:r>
      <w:proofErr w:type="spellEnd"/>
      <w:r>
        <w:rPr>
          <w:rStyle w:val="None"/>
          <w:rFonts w:ascii="Times New Roman" w:hAnsi="Times New Roman"/>
          <w:sz w:val="36"/>
          <w:szCs w:val="36"/>
          <w:lang w:val="en-US"/>
        </w:rPr>
        <w:t xml:space="preserve"> </w:t>
      </w:r>
      <w:proofErr w:type="spellStart"/>
      <w:proofErr w:type="gramStart"/>
      <w:r>
        <w:rPr>
          <w:rStyle w:val="None"/>
          <w:rFonts w:ascii="Times New Roman" w:hAnsi="Times New Roman"/>
          <w:sz w:val="36"/>
          <w:szCs w:val="36"/>
          <w:lang w:val="en-US"/>
        </w:rPr>
        <w:t>A.Sisli</w:t>
      </w:r>
      <w:proofErr w:type="spellEnd"/>
      <w:proofErr w:type="gramEnd"/>
      <w:r>
        <w:rPr>
          <w:rStyle w:val="None"/>
          <w:rFonts w:ascii="Times New Roman" w:hAnsi="Times New Roman"/>
          <w:sz w:val="36"/>
          <w:szCs w:val="36"/>
          <w:lang w:val="en-US"/>
        </w:rPr>
        <w:t xml:space="preserve"> </w:t>
      </w:r>
      <w:proofErr w:type="spellStart"/>
      <w:r>
        <w:rPr>
          <w:rStyle w:val="None"/>
          <w:rFonts w:ascii="Times New Roman" w:hAnsi="Times New Roman"/>
          <w:sz w:val="36"/>
          <w:szCs w:val="36"/>
          <w:lang w:val="en-US"/>
        </w:rPr>
        <w:t>Etfal</w:t>
      </w:r>
      <w:proofErr w:type="spellEnd"/>
      <w:r>
        <w:rPr>
          <w:rStyle w:val="None"/>
          <w:rFonts w:ascii="Times New Roman" w:hAnsi="Times New Roman"/>
          <w:sz w:val="36"/>
          <w:szCs w:val="36"/>
          <w:lang w:val="en-US"/>
        </w:rPr>
        <w:t xml:space="preserve"> </w:t>
      </w:r>
      <w:proofErr w:type="spellStart"/>
      <w:r>
        <w:rPr>
          <w:rStyle w:val="None"/>
          <w:rFonts w:ascii="Times New Roman" w:hAnsi="Times New Roman"/>
          <w:sz w:val="36"/>
          <w:szCs w:val="36"/>
          <w:lang w:val="en-US"/>
        </w:rPr>
        <w:t>Hastan</w:t>
      </w:r>
      <w:proofErr w:type="spellEnd"/>
      <w:r>
        <w:rPr>
          <w:rStyle w:val="None"/>
          <w:rFonts w:ascii="Times New Roman" w:hAnsi="Times New Roman"/>
          <w:sz w:val="36"/>
          <w:szCs w:val="36"/>
          <w:lang w:val="en-US"/>
        </w:rPr>
        <w:t xml:space="preserve"> Tip Bul. 2019 Dec 3;53(4):337-352. </w:t>
      </w:r>
      <w:proofErr w:type="spellStart"/>
      <w:r>
        <w:rPr>
          <w:rStyle w:val="None"/>
          <w:rFonts w:ascii="Times New Roman" w:hAnsi="Times New Roman"/>
          <w:sz w:val="36"/>
          <w:szCs w:val="36"/>
          <w:lang w:val="en-US"/>
        </w:rPr>
        <w:t>doi</w:t>
      </w:r>
      <w:proofErr w:type="spellEnd"/>
      <w:r>
        <w:rPr>
          <w:rStyle w:val="None"/>
          <w:rFonts w:ascii="Times New Roman" w:hAnsi="Times New Roman"/>
          <w:sz w:val="36"/>
          <w:szCs w:val="36"/>
          <w:lang w:val="en-US"/>
        </w:rPr>
        <w:t xml:space="preserve">: 10.14744/SEMB.2019.67944. </w:t>
      </w:r>
      <w:proofErr w:type="spellStart"/>
      <w:r>
        <w:rPr>
          <w:rStyle w:val="None"/>
          <w:rFonts w:ascii="Times New Roman" w:hAnsi="Times New Roman"/>
          <w:sz w:val="36"/>
          <w:szCs w:val="36"/>
          <w:lang w:val="en-US"/>
        </w:rPr>
        <w:t>eCollection</w:t>
      </w:r>
      <w:proofErr w:type="spellEnd"/>
      <w:r>
        <w:rPr>
          <w:rStyle w:val="None"/>
          <w:rFonts w:ascii="Times New Roman" w:hAnsi="Times New Roman"/>
          <w:sz w:val="36"/>
          <w:szCs w:val="36"/>
          <w:lang w:val="en-US"/>
        </w:rPr>
        <w:t xml:space="preserve"> 2019.PMID: </w:t>
      </w:r>
      <w:r>
        <w:rPr>
          <w:rStyle w:val="None"/>
          <w:rFonts w:ascii="Times New Roman" w:hAnsi="Times New Roman"/>
          <w:sz w:val="36"/>
          <w:szCs w:val="36"/>
        </w:rPr>
        <w:t>32377107</w:t>
      </w:r>
      <w:r>
        <w:rPr>
          <w:rStyle w:val="None"/>
          <w:rFonts w:ascii="Times New Roman" w:hAnsi="Times New Roman"/>
          <w:b/>
          <w:bCs/>
          <w:sz w:val="36"/>
          <w:szCs w:val="36"/>
          <w:lang w:val="en-US"/>
        </w:rPr>
        <w:t xml:space="preserve">Free PMC </w:t>
      </w:r>
      <w:proofErr w:type="gramStart"/>
      <w:r>
        <w:rPr>
          <w:rStyle w:val="None"/>
          <w:rFonts w:ascii="Times New Roman" w:hAnsi="Times New Roman"/>
          <w:b/>
          <w:bCs/>
          <w:sz w:val="36"/>
          <w:szCs w:val="36"/>
          <w:lang w:val="en-US"/>
        </w:rPr>
        <w:t>article.</w:t>
      </w:r>
      <w:r>
        <w:rPr>
          <w:rStyle w:val="None"/>
          <w:rFonts w:ascii="Times New Roman" w:hAnsi="Times New Roman"/>
          <w:sz w:val="36"/>
          <w:szCs w:val="36"/>
        </w:rPr>
        <w:t>Review</w:t>
      </w:r>
      <w:proofErr w:type="gramEnd"/>
      <w:r>
        <w:rPr>
          <w:rStyle w:val="None"/>
          <w:rFonts w:ascii="Times New Roman" w:hAnsi="Times New Roman"/>
          <w:sz w:val="36"/>
          <w:szCs w:val="36"/>
        </w:rPr>
        <w:t>.</w:t>
      </w:r>
    </w:p>
    <w:p w:rsidR="009D264B" w:rsidRDefault="009D264B">
      <w:pPr>
        <w:pStyle w:val="Body"/>
        <w:spacing w:after="0" w:line="249" w:lineRule="auto"/>
        <w:ind w:right="870"/>
        <w:rPr>
          <w:rStyle w:val="None"/>
          <w:rFonts w:ascii="Times New Roman" w:eastAsia="Times New Roman" w:hAnsi="Times New Roman" w:cs="Times New Roman"/>
          <w:sz w:val="36"/>
          <w:szCs w:val="36"/>
        </w:rPr>
      </w:pPr>
    </w:p>
    <w:p w:rsidR="009D264B" w:rsidRDefault="009D264B">
      <w:pPr>
        <w:pStyle w:val="Body"/>
        <w:spacing w:after="0" w:line="226" w:lineRule="auto"/>
        <w:ind w:left="360" w:right="231" w:hanging="360"/>
        <w:jc w:val="both"/>
        <w:sectPr w:rsidR="009D264B">
          <w:headerReference w:type="default" r:id="rId23"/>
          <w:pgSz w:w="19200" w:h="10800" w:orient="landscape"/>
          <w:pgMar w:top="60" w:right="850" w:bottom="1134" w:left="902" w:header="720" w:footer="720" w:gutter="0"/>
          <w:cols w:space="720"/>
        </w:sectPr>
      </w:pPr>
    </w:p>
    <w:p w:rsidR="009D264B" w:rsidRDefault="00C63EB9">
      <w:pPr>
        <w:pStyle w:val="Body"/>
        <w:spacing w:line="240" w:lineRule="auto"/>
        <w:jc w:val="both"/>
        <w:rPr>
          <w:rStyle w:val="None"/>
          <w:rFonts w:ascii="Oi" w:eastAsia="Oi" w:hAnsi="Oi" w:cs="Oi"/>
          <w:sz w:val="44"/>
          <w:szCs w:val="44"/>
        </w:rPr>
      </w:pPr>
      <w:r>
        <w:rPr>
          <w:rStyle w:val="None"/>
          <w:rFonts w:ascii="Oi" w:eastAsia="Oi" w:hAnsi="Oi" w:cs="Oi"/>
          <w:sz w:val="44"/>
          <w:szCs w:val="44"/>
        </w:rPr>
        <w:t xml:space="preserve"> </w:t>
      </w:r>
    </w:p>
    <w:p w:rsidR="009D264B" w:rsidRDefault="009D264B">
      <w:pPr>
        <w:pStyle w:val="Body"/>
        <w:spacing w:after="0" w:line="200" w:lineRule="auto"/>
        <w:jc w:val="both"/>
      </w:pPr>
    </w:p>
    <w:sectPr w:rsidR="009D264B">
      <w:headerReference w:type="default" r:id="rId24"/>
      <w:pgSz w:w="19200" w:h="10800" w:orient="landscape"/>
      <w:pgMar w:top="519" w:right="850" w:bottom="865" w:left="8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360B" w:rsidRDefault="006C360B">
      <w:r>
        <w:separator/>
      </w:r>
    </w:p>
  </w:endnote>
  <w:endnote w:type="continuationSeparator" w:id="0">
    <w:p w:rsidR="006C360B" w:rsidRDefault="006C36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roman"/>
    <w:pitch w:val="default"/>
  </w:font>
  <w:font w:name="Arial Unicode MS">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Oi">
    <w:altName w:val="Cambria"/>
    <w:charset w:val="00"/>
    <w:family w:val="roman"/>
    <w:pitch w:val="default"/>
  </w:font>
  <w:font w:name="&amp;quot">
    <w:altName w:val="Cambria"/>
    <w:charset w:val="00"/>
    <w:family w:val="roman"/>
    <w:pitch w:val="default"/>
  </w:font>
  <w:font w:name="Quattrocento Sans">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64B" w:rsidRDefault="009D264B">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360B" w:rsidRDefault="006C360B">
      <w:r>
        <w:separator/>
      </w:r>
    </w:p>
  </w:footnote>
  <w:footnote w:type="continuationSeparator" w:id="0">
    <w:p w:rsidR="006C360B" w:rsidRDefault="006C36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64B" w:rsidRDefault="00C63EB9">
    <w:pPr>
      <w:pStyle w:val="Body"/>
      <w:tabs>
        <w:tab w:val="center" w:pos="4680"/>
        <w:tab w:val="right" w:pos="9360"/>
      </w:tabs>
      <w:spacing w:after="0" w:line="240" w:lineRule="auto"/>
    </w:pPr>
    <w:r>
      <w:rPr>
        <w:noProof/>
      </w:rPr>
      <mc:AlternateContent>
        <mc:Choice Requires="wps">
          <w:drawing>
            <wp:anchor distT="152400" distB="152400" distL="152400" distR="152400" simplePos="0" relativeHeight="251656704" behindDoc="1" locked="0" layoutInCell="1" allowOverlap="1">
              <wp:simplePos x="0" y="0"/>
              <wp:positionH relativeFrom="page">
                <wp:posOffset>2391727</wp:posOffset>
              </wp:positionH>
              <wp:positionV relativeFrom="page">
                <wp:posOffset>2701925</wp:posOffset>
              </wp:positionV>
              <wp:extent cx="7614920" cy="1435736"/>
              <wp:effectExtent l="0" t="2482022" r="0" b="2482022"/>
              <wp:wrapNone/>
              <wp:docPr id="1073741825" name="officeArt object" descr="UNDER PEER REVIEW"/>
              <wp:cNvGraphicFramePr/>
              <a:graphic xmlns:a="http://schemas.openxmlformats.org/drawingml/2006/main">
                <a:graphicData uri="http://schemas.microsoft.com/office/word/2010/wordprocessingShape">
                  <wps:wsp>
                    <wps:cNvSpPr txBox="1"/>
                    <wps:spPr>
                      <a:xfrm rot="18900000">
                        <a:off x="0" y="0"/>
                        <a:ext cx="7614920" cy="1435736"/>
                      </a:xfrm>
                      <a:prstGeom prst="rect">
                        <a:avLst/>
                      </a:prstGeom>
                      <a:noFill/>
                      <a:ln w="12700" cap="flat">
                        <a:noFill/>
                        <a:miter lim="400000"/>
                      </a:ln>
                      <a:effectLst/>
                    </wps:spPr>
                    <wps:txbx>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alt="UNDER PEER REVIEW" style="position:absolute;margin-left:188.3pt;margin-top:212.75pt;width:599.6pt;height:113.05pt;rotation:-45;z-index:-251659776;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" filled="f" stroked="f" strokeweight="1pt">
              <v:stroke miterlimit="4"/>
              <v:textbox inset="0,0,0,0">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64B" w:rsidRDefault="00C63EB9">
    <w:pPr>
      <w:pStyle w:val="HeaderFooter"/>
    </w:pPr>
    <w:r>
      <w:rPr>
        <w:noProof/>
      </w:rPr>
      <mc:AlternateContent>
        <mc:Choice Requires="wps">
          <w:drawing>
            <wp:anchor distT="152400" distB="152400" distL="152400" distR="152400" simplePos="0" relativeHeight="251657728" behindDoc="1" locked="0" layoutInCell="1" allowOverlap="1">
              <wp:simplePos x="0" y="0"/>
              <wp:positionH relativeFrom="page">
                <wp:posOffset>2391727</wp:posOffset>
              </wp:positionH>
              <wp:positionV relativeFrom="page">
                <wp:posOffset>2701925</wp:posOffset>
              </wp:positionV>
              <wp:extent cx="7614920" cy="1435736"/>
              <wp:effectExtent l="0" t="2482022" r="0" b="2482022"/>
              <wp:wrapNone/>
              <wp:docPr id="1073741838" name="officeArt object" descr="UNDER PEER REVIEW"/>
              <wp:cNvGraphicFramePr/>
              <a:graphic xmlns:a="http://schemas.openxmlformats.org/drawingml/2006/main">
                <a:graphicData uri="http://schemas.microsoft.com/office/word/2010/wordprocessingShape">
                  <wps:wsp>
                    <wps:cNvSpPr txBox="1"/>
                    <wps:spPr>
                      <a:xfrm rot="18900000">
                        <a:off x="0" y="0"/>
                        <a:ext cx="7614920" cy="1435736"/>
                      </a:xfrm>
                      <a:prstGeom prst="rect">
                        <a:avLst/>
                      </a:prstGeom>
                      <a:noFill/>
                      <a:ln w="12700" cap="flat">
                        <a:noFill/>
                        <a:miter lim="400000"/>
                      </a:ln>
                      <a:effectLst/>
                    </wps:spPr>
                    <wps:txbx>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_x0000_s1033" type="#_x0000_t202" alt="UNDER PEER REVIEW" style="position:absolute;margin-left:188.3pt;margin-top:212.75pt;width:599.6pt;height:113.05pt;rotation:-45;z-index:-251658752;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" filled="f" stroked="f" strokeweight="1pt">
              <v:stroke miterlimit="4"/>
              <v:textbox inset="0,0,0,0">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264B" w:rsidRDefault="00C63EB9">
    <w:pPr>
      <w:pStyle w:val="HeaderFooter"/>
    </w:pPr>
    <w:r>
      <w:rPr>
        <w:noProof/>
      </w:rPr>
      <mc:AlternateContent>
        <mc:Choice Requires="wps">
          <w:drawing>
            <wp:anchor distT="152400" distB="152400" distL="152400" distR="152400" simplePos="0" relativeHeight="251658752" behindDoc="1" locked="0" layoutInCell="1" allowOverlap="1">
              <wp:simplePos x="0" y="0"/>
              <wp:positionH relativeFrom="page">
                <wp:posOffset>2391727</wp:posOffset>
              </wp:positionH>
              <wp:positionV relativeFrom="page">
                <wp:posOffset>2701925</wp:posOffset>
              </wp:positionV>
              <wp:extent cx="7614920" cy="1435736"/>
              <wp:effectExtent l="0" t="2482022" r="0" b="2482022"/>
              <wp:wrapNone/>
              <wp:docPr id="1073741842" name="officeArt object" descr="UNDER PEER REVIEW"/>
              <wp:cNvGraphicFramePr/>
              <a:graphic xmlns:a="http://schemas.openxmlformats.org/drawingml/2006/main">
                <a:graphicData uri="http://schemas.microsoft.com/office/word/2010/wordprocessingShape">
                  <wps:wsp>
                    <wps:cNvSpPr txBox="1"/>
                    <wps:spPr>
                      <a:xfrm rot="18900000">
                        <a:off x="0" y="0"/>
                        <a:ext cx="7614920" cy="1435736"/>
                      </a:xfrm>
                      <a:prstGeom prst="rect">
                        <a:avLst/>
                      </a:prstGeom>
                      <a:noFill/>
                      <a:ln w="12700" cap="flat">
                        <a:noFill/>
                        <a:miter lim="400000"/>
                      </a:ln>
                      <a:effectLst/>
                    </wps:spPr>
                    <wps:txbx>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wps:txbx>
                    <wps:bodyPr wrap="square" lIns="0" tIns="0" rIns="0" bIns="0" numCol="1" anchor="ctr">
                      <a:normAutofit/>
                    </wps:bodyPr>
                  </wps:wsp>
                </a:graphicData>
              </a:graphic>
            </wp:anchor>
          </w:drawing>
        </mc:Choice>
        <mc:Fallback>
          <w:pict>
            <v:shapetype id="_x0000_t202" coordsize="21600,21600" o:spt="202" path="m,l,21600r21600,l21600,xe">
              <v:stroke joinstyle="miter"/>
              <v:path gradientshapeok="t" o:connecttype="rect"/>
            </v:shapetype>
            <v:shape id="_x0000_s1034" type="#_x0000_t202" alt="UNDER PEER REVIEW" style="position:absolute;margin-left:188.3pt;margin-top:212.75pt;width:599.6pt;height:113.05pt;rotation:-45;z-index:-251657728;visibility:visible;mso-wrap-style:square;mso-wrap-distance-left:12pt;mso-wrap-distance-top:12pt;mso-wrap-distance-right:12pt;mso-wrap-distance-bottom:12pt;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" filled="f" stroked="f" strokeweight="1pt">
              <v:stroke miterlimit="4"/>
              <v:textbox inset="0,0,0,0">
                <w:txbxContent>
                  <w:p w:rsidR="009D264B" w:rsidRDefault="00C63EB9">
                    <w:pPr>
                      <w:pStyle w:val="Caption"/>
                      <w:tabs>
                        <w:tab w:val="left" w:pos="1440"/>
                        <w:tab w:val="left" w:pos="2880"/>
                        <w:tab w:val="left" w:pos="4320"/>
                        <w:tab w:val="left" w:pos="5760"/>
                        <w:tab w:val="left" w:pos="7200"/>
                        <w:tab w:val="left" w:pos="8640"/>
                        <w:tab w:val="left" w:pos="10080"/>
                        <w:tab w:val="left" w:pos="11520"/>
                      </w:tabs>
                    </w:pPr>
                    <w:r>
                      <w:rPr>
                        <w:rFonts w:ascii="&amp;quot" w:eastAsia="&amp;quot" w:hAnsi="&amp;quot" w:cs="&amp;quot"/>
                        <w:color w:val="C0C0C0"/>
                        <w:sz w:val="98"/>
                        <w:szCs w:val="98"/>
                        <w14:textFill>
                          <w14:solidFill>
                            <w14:srgbClr w14:val="C0C0C0">
                              <w14:alpha w14:val="50000"/>
                            </w14:srgbClr>
                          </w14:solidFill>
                        </w14:textFill>
                      </w:rPr>
                      <w:t>UNDER PEER 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78613B"/>
    <w:multiLevelType w:val="hybridMultilevel"/>
    <w:tmpl w:val="EA369DA8"/>
    <w:numStyleLink w:val="ImportedStyle1"/>
  </w:abstractNum>
  <w:abstractNum w:abstractNumId="1" w15:restartNumberingAfterBreak="0">
    <w:nsid w:val="714D768E"/>
    <w:multiLevelType w:val="hybridMultilevel"/>
    <w:tmpl w:val="EA369DA8"/>
    <w:styleLink w:val="ImportedStyle1"/>
    <w:lvl w:ilvl="0" w:tplc="A8CC0762">
      <w:start w:val="1"/>
      <w:numFmt w:val="bullet"/>
      <w:lvlText w:val="●"/>
      <w:lvlJc w:val="left"/>
      <w:pPr>
        <w:ind w:left="72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9872C5DC">
      <w:start w:val="1"/>
      <w:numFmt w:val="bullet"/>
      <w:lvlText w:val="o"/>
      <w:lvlJc w:val="left"/>
      <w:pPr>
        <w:ind w:left="144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1D8E16B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4A0AC1A6">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90E2AAC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8982A8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2056C8E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330CEB8">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0540CF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64B"/>
    <w:rsid w:val="006C360B"/>
    <w:rsid w:val="009D264B"/>
    <w:rsid w:val="00BE0A4E"/>
    <w:rsid w:val="00C63EB9"/>
    <w:rsid w:val="00DE3B3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D68D3"/>
  <w15:docId w15:val="{274843CA-AE22-4E0C-8E5F-73510383C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IN" w:eastAsia="en-I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after="160" w:line="259"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styleId="Caption">
    <w:name w:val="caption"/>
    <w:pPr>
      <w:suppressAutoHyphens/>
      <w:outlineLvl w:val="0"/>
    </w:pPr>
    <w:rPr>
      <w:rFonts w:ascii="Cambria" w:hAnsi="Cambria" w:cs="Arial Unicode MS"/>
      <w:color w:val="000000"/>
      <w:sz w:val="36"/>
      <w:szCs w:val="36"/>
      <w:lang w:val="de-DE"/>
      <w14:textOutline w14:w="12700" w14:cap="flat" w14:cmpd="sng" w14:algn="ctr">
        <w14:noFill/>
        <w14:prstDash w14:val="solid"/>
        <w14:miter w14:lim="400000"/>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36"/>
      <w:szCs w:val="36"/>
      <w:u w:val="single" w:color="0000FF"/>
    </w:rPr>
  </w:style>
  <w:style w:type="numbering" w:customStyle="1" w:styleId="ImportedStyle1">
    <w:name w:val="Imported Style 1"/>
    <w:pPr>
      <w:numPr>
        <w:numId w:val="1"/>
      </w:numPr>
    </w:pPr>
  </w:style>
  <w:style w:type="character" w:customStyle="1" w:styleId="Hyperlink1">
    <w:name w:val="Hyperlink.1"/>
    <w:basedOn w:val="None"/>
    <w:rPr>
      <w:outline w:val="0"/>
      <w:color w:val="0000FF"/>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hyperlink" Target="https://pubmed.ncbi.nlm.nih.gov/12412795/"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pubmed.ncbi.nlm.nih.gov/31082016"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pubmed.ncbi.nlm.nih.gov/3086072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hyperlink" Target="https://pubmed.ncbi.nlm.nih.gov/12960191/"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yperlink" Target="https://pubmed.ncbi.nlm.nih.gov/32377107/"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2249</Words>
  <Characters>12820</Characters>
  <Application>Microsoft Office Word</Application>
  <DocSecurity>0</DocSecurity>
  <Lines>106</Lines>
  <Paragraphs>30</Paragraphs>
  <ScaleCrop>false</ScaleCrop>
  <Company/>
  <LinksUpToDate>false</LinksUpToDate>
  <CharactersWithSpaces>15039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3</cp:revision>
  <dcterms:created xsi:type="dcterms:W3CDTF">2026-04-23T10:42:00Z</dcterms:created>
  <dcterms:modified xsi:type="dcterms:W3CDTF">2026-04-23T10:58:00Z</dcterms:modified>
</cp:coreProperties>
</file>