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8DA3B" w14:textId="77777777" w:rsidR="00F754FA" w:rsidRPr="00E246A9" w:rsidRDefault="00F754FA" w:rsidP="00F754FA">
      <w:pPr>
        <w:pStyle w:val="Author"/>
        <w:rPr>
          <w:rFonts w:ascii="Arial" w:hAnsi="Arial" w:cs="Arial"/>
          <w:bCs/>
          <w:i/>
          <w:iCs/>
          <w:kern w:val="28"/>
          <w:sz w:val="18"/>
          <w:szCs w:val="18"/>
          <w:u w:val="single"/>
        </w:rPr>
      </w:pPr>
      <w:r w:rsidRPr="00E246A9">
        <w:rPr>
          <w:rFonts w:ascii="Arial" w:hAnsi="Arial" w:cs="Arial"/>
          <w:bCs/>
          <w:i/>
          <w:iCs/>
          <w:kern w:val="28"/>
          <w:sz w:val="18"/>
          <w:szCs w:val="18"/>
          <w:u w:val="single"/>
        </w:rPr>
        <w:t xml:space="preserve">Case report </w:t>
      </w:r>
    </w:p>
    <w:p w14:paraId="75B8D495" w14:textId="77777777" w:rsidR="00F754FA" w:rsidRPr="00E246A9" w:rsidRDefault="00F754FA" w:rsidP="00F754FA">
      <w:pPr>
        <w:pStyle w:val="Author"/>
        <w:spacing w:line="240" w:lineRule="auto"/>
        <w:rPr>
          <w:rFonts w:ascii="Arial" w:hAnsi="Arial" w:cs="Arial"/>
          <w:bCs/>
          <w:iCs/>
          <w:kern w:val="28"/>
          <w:sz w:val="36"/>
        </w:rPr>
      </w:pPr>
      <w:r w:rsidRPr="00E246A9">
        <w:rPr>
          <w:rFonts w:ascii="Arial" w:hAnsi="Arial" w:cs="Arial"/>
          <w:bCs/>
          <w:iCs/>
          <w:kern w:val="28"/>
          <w:sz w:val="36"/>
        </w:rPr>
        <w:t xml:space="preserve">Primary Central Nervous System Lymphoma Presenting </w:t>
      </w:r>
      <w:proofErr w:type="gramStart"/>
      <w:r w:rsidRPr="00E246A9">
        <w:rPr>
          <w:rFonts w:ascii="Arial" w:hAnsi="Arial" w:cs="Arial"/>
          <w:bCs/>
          <w:iCs/>
          <w:kern w:val="28"/>
          <w:sz w:val="36"/>
        </w:rPr>
        <w:t>As</w:t>
      </w:r>
      <w:proofErr w:type="gramEnd"/>
      <w:r w:rsidRPr="00E246A9">
        <w:rPr>
          <w:rFonts w:ascii="Arial" w:hAnsi="Arial" w:cs="Arial"/>
          <w:bCs/>
          <w:iCs/>
          <w:kern w:val="28"/>
          <w:sz w:val="36"/>
        </w:rPr>
        <w:t xml:space="preserve"> A Space-Occupying Lesion: A Case Report </w:t>
      </w:r>
    </w:p>
    <w:p w14:paraId="4EC05F73" w14:textId="77777777" w:rsidR="00F754FA" w:rsidRPr="00E246A9" w:rsidRDefault="00F754FA" w:rsidP="00F754FA">
      <w:pPr>
        <w:pStyle w:val="Author"/>
        <w:spacing w:line="240" w:lineRule="auto"/>
        <w:jc w:val="both"/>
        <w:rPr>
          <w:rFonts w:ascii="Arial" w:hAnsi="Arial" w:cs="Arial"/>
          <w:sz w:val="36"/>
        </w:rPr>
      </w:pPr>
    </w:p>
    <w:p w14:paraId="28A2B3F8" w14:textId="77777777" w:rsidR="00F754FA" w:rsidRPr="00E246A9" w:rsidRDefault="00F754FA" w:rsidP="00F754FA">
      <w:pPr>
        <w:pStyle w:val="Copyright"/>
        <w:spacing w:after="0" w:line="240" w:lineRule="auto"/>
        <w:jc w:val="both"/>
        <w:rPr>
          <w:rFonts w:ascii="Arial" w:hAnsi="Arial" w:cs="Arial"/>
        </w:rPr>
        <w:sectPr w:rsidR="00F754FA" w:rsidRPr="00E246A9" w:rsidSect="008F59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246A9">
        <w:rPr>
          <w:rFonts w:ascii="Arial" w:hAnsi="Arial" w:cs="Arial"/>
          <w:noProof/>
        </w:rPr>
        <mc:AlternateContent>
          <mc:Choice Requires="wps">
            <w:drawing>
              <wp:inline distT="0" distB="0" distL="0" distR="0" wp14:anchorId="2E142404" wp14:editId="55B679A7">
                <wp:extent cx="5303520" cy="635"/>
                <wp:effectExtent l="9525" t="15875" r="11430"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70B53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Pr="00E246A9">
        <w:rPr>
          <w:rFonts w:ascii="Arial" w:hAnsi="Arial" w:cs="Arial"/>
        </w:rPr>
        <w:t>.</w:t>
      </w:r>
    </w:p>
    <w:p w14:paraId="04DEF44F" w14:textId="77777777" w:rsidR="00F754FA" w:rsidRPr="00E246A9" w:rsidRDefault="00F754FA" w:rsidP="00F754FA">
      <w:pPr>
        <w:pStyle w:val="AbstHead"/>
        <w:spacing w:after="0"/>
        <w:jc w:val="both"/>
        <w:rPr>
          <w:rFonts w:ascii="Arial" w:hAnsi="Arial" w:cs="Arial"/>
        </w:rPr>
      </w:pPr>
    </w:p>
    <w:p w14:paraId="784F2B8D" w14:textId="77777777" w:rsidR="00F754FA" w:rsidRPr="00E246A9" w:rsidRDefault="00F754FA" w:rsidP="00F754FA">
      <w:pPr>
        <w:pStyle w:val="AbstHead"/>
        <w:spacing w:after="0"/>
        <w:jc w:val="both"/>
        <w:rPr>
          <w:rFonts w:ascii="Arial" w:hAnsi="Arial" w:cs="Arial"/>
        </w:rPr>
      </w:pPr>
      <w:r w:rsidRPr="00E246A9">
        <w:rPr>
          <w:rFonts w:ascii="Arial" w:hAnsi="Arial" w:cs="Arial"/>
        </w:rPr>
        <w:t>ABSTRACT</w:t>
      </w:r>
    </w:p>
    <w:p w14:paraId="1046AA8D" w14:textId="77777777" w:rsidR="00F754FA" w:rsidRPr="00E246A9" w:rsidRDefault="00F754FA" w:rsidP="00F754FA">
      <w:pPr>
        <w:pStyle w:val="AbstHead"/>
        <w:spacing w:after="0"/>
        <w:jc w:val="both"/>
        <w:rPr>
          <w:rFonts w:ascii="Arial" w:hAnsi="Arial" w:cs="Arial"/>
        </w:rPr>
      </w:pPr>
    </w:p>
    <w:p w14:paraId="02098D1D" w14:textId="77777777" w:rsidR="00F754FA" w:rsidRPr="00E246A9" w:rsidRDefault="00F754FA" w:rsidP="00F754F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754FA" w:rsidRPr="00E246A9" w14:paraId="50B124E6" w14:textId="77777777" w:rsidTr="00E83EEC">
        <w:tc>
          <w:tcPr>
            <w:tcW w:w="9576" w:type="dxa"/>
            <w:shd w:val="clear" w:color="auto" w:fill="F2F2F2"/>
          </w:tcPr>
          <w:p w14:paraId="43773341" w14:textId="77777777" w:rsidR="00F754FA" w:rsidRPr="00E246A9" w:rsidRDefault="00F754FA" w:rsidP="00E83EEC">
            <w:pPr>
              <w:pStyle w:val="Body"/>
              <w:spacing w:after="0"/>
              <w:rPr>
                <w:rFonts w:ascii="Arial" w:hAnsi="Arial" w:cs="Arial"/>
                <w:sz w:val="24"/>
                <w:szCs w:val="24"/>
                <w:lang w:eastAsia="en-MY"/>
              </w:rPr>
            </w:pPr>
          </w:p>
          <w:p w14:paraId="4EF6146A" w14:textId="77777777" w:rsidR="00F754FA" w:rsidRPr="00E246A9" w:rsidRDefault="00F754FA" w:rsidP="00E83EEC">
            <w:pPr>
              <w:pStyle w:val="Body"/>
              <w:spacing w:after="0"/>
              <w:rPr>
                <w:rFonts w:ascii="Arial" w:hAnsi="Arial" w:cs="Arial"/>
                <w:lang w:eastAsia="en-MY"/>
              </w:rPr>
            </w:pPr>
            <w:r w:rsidRPr="00E246A9">
              <w:rPr>
                <w:rFonts w:ascii="Arial" w:hAnsi="Arial" w:cs="Arial"/>
                <w:lang w:eastAsia="en-MY"/>
              </w:rPr>
              <w:t xml:space="preserve">Primary central nervous system lymphoma (PCNSL) is an aggressive and rare subtype of diffuse large B-cell lymphoma, which is specifically confined to the central nervous system (CNS). As a mature B-cell neoplasm, PCNSL's unique features often result in nonspecific clinical presentations, making diagnosis challenging. Here, we present a case of a 62-year-old woman who presented with a 1-week history of right-sided body weakness, altered </w:t>
            </w:r>
            <w:proofErr w:type="spellStart"/>
            <w:r w:rsidRPr="00E246A9">
              <w:rPr>
                <w:rFonts w:ascii="Arial" w:hAnsi="Arial" w:cs="Arial"/>
                <w:lang w:eastAsia="en-MY"/>
              </w:rPr>
              <w:t>behaviour</w:t>
            </w:r>
            <w:proofErr w:type="spellEnd"/>
            <w:r w:rsidRPr="00E246A9">
              <w:rPr>
                <w:rFonts w:ascii="Arial" w:hAnsi="Arial" w:cs="Arial"/>
                <w:lang w:eastAsia="en-MY"/>
              </w:rPr>
              <w:t xml:space="preserve">, incoherent speech, and facial asymmetry. A Computed Tomography (CT) scan of the brain revealed a space-occupying lesion in the frontoparietal region with associated mass effect and midline shift. The patient underwent an emergency craniotomy with </w:t>
            </w:r>
            <w:proofErr w:type="spellStart"/>
            <w:r w:rsidRPr="00E246A9">
              <w:rPr>
                <w:rFonts w:ascii="Arial" w:hAnsi="Arial" w:cs="Arial"/>
                <w:lang w:eastAsia="en-MY"/>
              </w:rPr>
              <w:t>tumour</w:t>
            </w:r>
            <w:proofErr w:type="spellEnd"/>
            <w:r w:rsidRPr="00E246A9">
              <w:rPr>
                <w:rFonts w:ascii="Arial" w:hAnsi="Arial" w:cs="Arial"/>
                <w:lang w:eastAsia="en-MY"/>
              </w:rPr>
              <w:t xml:space="preserve"> resection, after which she made a good recovery and was discharged home a few days later. Histopathological examination confirmed the diagnosis of primary CNS diffuse large B-cell lymphoma. This case highlights the diagnostic and management challenges associated with PCNSL, which will be discussed in detail.</w:t>
            </w:r>
          </w:p>
          <w:p w14:paraId="517A0225" w14:textId="77777777" w:rsidR="00F754FA" w:rsidRPr="00E246A9" w:rsidRDefault="00F754FA" w:rsidP="00E83EEC">
            <w:pPr>
              <w:pStyle w:val="Body"/>
              <w:spacing w:after="0"/>
              <w:rPr>
                <w:rFonts w:ascii="Arial" w:hAnsi="Arial" w:cs="Arial"/>
                <w:sz w:val="24"/>
                <w:szCs w:val="24"/>
                <w:lang w:eastAsia="en-MY"/>
              </w:rPr>
            </w:pPr>
          </w:p>
        </w:tc>
      </w:tr>
    </w:tbl>
    <w:p w14:paraId="36E17521" w14:textId="77777777" w:rsidR="00F754FA" w:rsidRPr="00E246A9" w:rsidRDefault="00F754FA" w:rsidP="00F754FA">
      <w:pPr>
        <w:pStyle w:val="Body"/>
        <w:spacing w:after="0"/>
        <w:rPr>
          <w:rFonts w:ascii="Arial" w:hAnsi="Arial" w:cs="Arial"/>
          <w:i/>
        </w:rPr>
      </w:pPr>
    </w:p>
    <w:p w14:paraId="02574A35" w14:textId="77777777" w:rsidR="00F754FA" w:rsidRPr="00E246A9" w:rsidRDefault="00F754FA" w:rsidP="00F754FA">
      <w:pPr>
        <w:jc w:val="both"/>
        <w:rPr>
          <w:rFonts w:ascii="Arial" w:hAnsi="Arial" w:cs="Arial"/>
          <w:sz w:val="24"/>
          <w:szCs w:val="24"/>
        </w:rPr>
      </w:pPr>
      <w:r w:rsidRPr="00E246A9">
        <w:rPr>
          <w:rFonts w:ascii="Arial" w:hAnsi="Arial" w:cs="Arial"/>
          <w:i/>
        </w:rPr>
        <w:t>Keywords: Primary central nervous system lymphoma; Diffuse large B-cell lymphoma; C</w:t>
      </w:r>
      <w:r w:rsidRPr="00E246A9">
        <w:rPr>
          <w:rFonts w:ascii="Arial" w:hAnsi="Arial" w:cs="Arial"/>
          <w:i/>
          <w:lang w:eastAsia="en-MY"/>
        </w:rPr>
        <w:t xml:space="preserve">entral nervous system; Brain </w:t>
      </w:r>
      <w:proofErr w:type="spellStart"/>
      <w:r w:rsidRPr="00E246A9">
        <w:rPr>
          <w:rFonts w:ascii="Arial" w:hAnsi="Arial" w:cs="Arial"/>
          <w:i/>
          <w:lang w:eastAsia="en-MY"/>
        </w:rPr>
        <w:t>tumour</w:t>
      </w:r>
      <w:proofErr w:type="spellEnd"/>
      <w:r w:rsidRPr="00E246A9">
        <w:rPr>
          <w:rFonts w:ascii="Arial" w:hAnsi="Arial" w:cs="Arial"/>
          <w:i/>
          <w:lang w:eastAsia="en-MY"/>
        </w:rPr>
        <w:t>; Chemotherapy</w:t>
      </w:r>
    </w:p>
    <w:p w14:paraId="69C69736" w14:textId="77777777" w:rsidR="00F754FA" w:rsidRPr="00E246A9" w:rsidRDefault="00F754FA" w:rsidP="00F754FA">
      <w:pPr>
        <w:pStyle w:val="Body"/>
        <w:spacing w:after="0"/>
        <w:rPr>
          <w:rFonts w:ascii="Arial" w:hAnsi="Arial" w:cs="Arial"/>
          <w:i/>
        </w:rPr>
      </w:pPr>
    </w:p>
    <w:p w14:paraId="02A3E929" w14:textId="77777777" w:rsidR="00F754FA" w:rsidRPr="00E246A9" w:rsidRDefault="00F754FA" w:rsidP="00F754FA">
      <w:pPr>
        <w:pStyle w:val="Body"/>
        <w:spacing w:after="0"/>
        <w:rPr>
          <w:rFonts w:ascii="Arial" w:hAnsi="Arial" w:cs="Arial"/>
          <w:i/>
        </w:rPr>
      </w:pPr>
    </w:p>
    <w:p w14:paraId="65347BA5" w14:textId="77777777" w:rsidR="00F754FA" w:rsidRPr="00E246A9" w:rsidRDefault="00F754FA" w:rsidP="00F754FA">
      <w:pPr>
        <w:pStyle w:val="AbstHead"/>
        <w:spacing w:after="0"/>
        <w:jc w:val="both"/>
        <w:rPr>
          <w:rFonts w:ascii="Arial" w:hAnsi="Arial" w:cs="Arial"/>
        </w:rPr>
      </w:pPr>
      <w:r w:rsidRPr="00E246A9">
        <w:rPr>
          <w:rFonts w:ascii="Arial" w:hAnsi="Arial" w:cs="Arial"/>
        </w:rPr>
        <w:t>INTRODUCTION</w:t>
      </w:r>
    </w:p>
    <w:p w14:paraId="29785A29" w14:textId="77777777" w:rsidR="00F754FA" w:rsidRPr="00E246A9" w:rsidRDefault="00F754FA" w:rsidP="00F754FA">
      <w:pPr>
        <w:pStyle w:val="AbstHead"/>
        <w:spacing w:after="0"/>
        <w:jc w:val="both"/>
        <w:rPr>
          <w:rFonts w:ascii="Arial" w:hAnsi="Arial" w:cs="Arial"/>
        </w:rPr>
      </w:pPr>
    </w:p>
    <w:p w14:paraId="0927B2FC" w14:textId="77777777" w:rsidR="00F754FA" w:rsidRPr="00E246A9" w:rsidRDefault="00F754FA" w:rsidP="00F754FA">
      <w:pPr>
        <w:pStyle w:val="AbstHead"/>
        <w:spacing w:after="0"/>
        <w:jc w:val="both"/>
        <w:rPr>
          <w:rFonts w:ascii="Arial" w:hAnsi="Arial" w:cs="Arial"/>
          <w:sz w:val="20"/>
        </w:rPr>
      </w:pPr>
    </w:p>
    <w:p w14:paraId="6E71673A" w14:textId="77777777" w:rsidR="002F002B" w:rsidRPr="002F002B" w:rsidRDefault="002F002B" w:rsidP="002F002B">
      <w:pPr>
        <w:spacing w:line="360" w:lineRule="auto"/>
        <w:ind w:firstLine="720"/>
        <w:jc w:val="both"/>
        <w:rPr>
          <w:rFonts w:ascii="Arial" w:hAnsi="Arial" w:cs="Arial"/>
          <w:shd w:val="clear" w:color="auto" w:fill="FFFFFF"/>
        </w:rPr>
      </w:pPr>
      <w:r w:rsidRPr="002F002B">
        <w:rPr>
          <w:rFonts w:ascii="Arial" w:hAnsi="Arial" w:cs="Arial"/>
          <w:shd w:val="clear" w:color="auto" w:fill="FFFFFF"/>
        </w:rPr>
        <w:t xml:space="preserve">Lymphoma involving the central nervous system (CNS), whether primary or secondary in origin, constitutes a rare yet highly aggressive subset of extra-nodal non-Hodgkin lymphoma (NHL), accounting for approximately 2.2% of all CNS </w:t>
      </w:r>
      <w:proofErr w:type="spellStart"/>
      <w:r w:rsidRPr="002F002B">
        <w:rPr>
          <w:rFonts w:ascii="Arial" w:hAnsi="Arial" w:cs="Arial"/>
          <w:shd w:val="clear" w:color="auto" w:fill="FFFFFF"/>
        </w:rPr>
        <w:t>tumours</w:t>
      </w:r>
      <w:proofErr w:type="spellEnd"/>
      <w:r w:rsidRPr="002F002B">
        <w:rPr>
          <w:rFonts w:ascii="Arial" w:hAnsi="Arial" w:cs="Arial"/>
          <w:shd w:val="clear" w:color="auto" w:fill="FFFFFF"/>
        </w:rPr>
        <w:t xml:space="preserve"> [1]. Primary central nervous system lymphoma (PCNSL) may arise at any location along the </w:t>
      </w:r>
      <w:proofErr w:type="spellStart"/>
      <w:r w:rsidRPr="002F002B">
        <w:rPr>
          <w:rFonts w:ascii="Arial" w:hAnsi="Arial" w:cs="Arial"/>
          <w:shd w:val="clear" w:color="auto" w:fill="FFFFFF"/>
        </w:rPr>
        <w:t>neuraxis</w:t>
      </w:r>
      <w:proofErr w:type="spellEnd"/>
      <w:r w:rsidRPr="002F002B">
        <w:rPr>
          <w:rFonts w:ascii="Arial" w:hAnsi="Arial" w:cs="Arial"/>
          <w:shd w:val="clear" w:color="auto" w:fill="FFFFFF"/>
        </w:rPr>
        <w:t>, encompassing the orbits, dura mater, leptomeninges, brain parenchyma, cranial nerves, and spinal cord. In contrast, secondary CNS lymphoma refers to systemic NHL that has subsequently disseminated to involve the CNS [2].</w:t>
      </w:r>
    </w:p>
    <w:p w14:paraId="0F91FFA7" w14:textId="77777777" w:rsidR="002F002B" w:rsidRPr="002F002B" w:rsidRDefault="002F002B" w:rsidP="002F002B">
      <w:pPr>
        <w:spacing w:line="360" w:lineRule="auto"/>
        <w:ind w:firstLine="720"/>
        <w:jc w:val="both"/>
        <w:rPr>
          <w:rFonts w:ascii="Arial" w:hAnsi="Arial" w:cs="Arial"/>
          <w:shd w:val="clear" w:color="auto" w:fill="FFFFFF"/>
        </w:rPr>
      </w:pPr>
    </w:p>
    <w:p w14:paraId="47FD8534" w14:textId="6F096C94" w:rsidR="00F754FA" w:rsidRPr="00E246A9" w:rsidRDefault="002F002B" w:rsidP="002F002B">
      <w:pPr>
        <w:spacing w:line="360" w:lineRule="auto"/>
        <w:ind w:firstLine="720"/>
        <w:jc w:val="both"/>
        <w:rPr>
          <w:rFonts w:ascii="Arial" w:hAnsi="Arial" w:cs="Arial"/>
          <w:bCs/>
        </w:rPr>
      </w:pPr>
      <w:proofErr w:type="spellStart"/>
      <w:r w:rsidRPr="002F002B">
        <w:rPr>
          <w:rFonts w:ascii="Arial" w:hAnsi="Arial" w:cs="Arial"/>
          <w:shd w:val="clear" w:color="auto" w:fill="FFFFFF"/>
        </w:rPr>
        <w:t>Histopathologically</w:t>
      </w:r>
      <w:proofErr w:type="spellEnd"/>
      <w:r w:rsidRPr="002F002B">
        <w:rPr>
          <w:rFonts w:ascii="Arial" w:hAnsi="Arial" w:cs="Arial"/>
          <w:shd w:val="clear" w:color="auto" w:fill="FFFFFF"/>
        </w:rPr>
        <w:t xml:space="preserve">, diffuse large B-cell lymphoma (DLBCL) represents the predominant subtype of PCNSL, comprising nearly 95% of cases. This form is most commonly </w:t>
      </w:r>
      <w:proofErr w:type="spellStart"/>
      <w:r w:rsidRPr="002F002B">
        <w:rPr>
          <w:rFonts w:ascii="Arial" w:hAnsi="Arial" w:cs="Arial"/>
          <w:shd w:val="clear" w:color="auto" w:fill="FFFFFF"/>
        </w:rPr>
        <w:t>localised</w:t>
      </w:r>
      <w:proofErr w:type="spellEnd"/>
      <w:r w:rsidRPr="002F002B">
        <w:rPr>
          <w:rFonts w:ascii="Arial" w:hAnsi="Arial" w:cs="Arial"/>
          <w:shd w:val="clear" w:color="auto" w:fill="FFFFFF"/>
        </w:rPr>
        <w:t xml:space="preserve"> within the brain parenchyma, although involvement of other CNS compartments, as </w:t>
      </w:r>
      <w:r w:rsidRPr="002F002B">
        <w:rPr>
          <w:rFonts w:ascii="Arial" w:hAnsi="Arial" w:cs="Arial"/>
          <w:shd w:val="clear" w:color="auto" w:fill="FFFFFF"/>
        </w:rPr>
        <w:lastRenderedPageBreak/>
        <w:t>noted above, is also well documented. The remaining approximately 5% of cases include less common histological variants such as T-cell lymphomas, Burkitt lymphoma, lymphoblastic lymphoma, and marginal zone lymphomas [3].</w:t>
      </w:r>
    </w:p>
    <w:p w14:paraId="63EBF55A" w14:textId="77777777" w:rsidR="00F754FA" w:rsidRPr="00E246A9" w:rsidRDefault="00F754FA" w:rsidP="00F754FA">
      <w:pPr>
        <w:spacing w:line="360" w:lineRule="auto"/>
        <w:ind w:firstLine="720"/>
        <w:jc w:val="both"/>
        <w:rPr>
          <w:rFonts w:ascii="Arial" w:hAnsi="Arial" w:cs="Arial"/>
          <w:shd w:val="clear" w:color="auto" w:fill="FFFFFF"/>
        </w:rPr>
      </w:pPr>
      <w:r w:rsidRPr="00E246A9">
        <w:rPr>
          <w:rFonts w:ascii="Arial" w:hAnsi="Arial" w:cs="Arial"/>
          <w:bCs/>
        </w:rPr>
        <w:t>PCNSL occurs in both immunocompetent and immunodeficient patients and are more associated with leptomeningeal involvement. Hence primary/congenital and acquired immunodeficiency (particularly HIV and post-transplant conditions) are an important risk factor for PCNSL.</w:t>
      </w:r>
      <w:r w:rsidRPr="00E246A9">
        <w:rPr>
          <w:rFonts w:ascii="Arial" w:hAnsi="Arial" w:cs="Arial"/>
          <w:bCs/>
          <w:vertAlign w:val="superscript"/>
        </w:rPr>
        <w:t>[2][3]</w:t>
      </w:r>
      <w:r w:rsidRPr="00E246A9">
        <w:rPr>
          <w:rFonts w:ascii="Arial" w:hAnsi="Arial" w:cs="Arial"/>
          <w:shd w:val="clear" w:color="auto" w:fill="FFFFFF"/>
        </w:rPr>
        <w:t xml:space="preserve"> </w:t>
      </w:r>
      <w:r w:rsidRPr="00E246A9">
        <w:rPr>
          <w:rFonts w:ascii="Arial" w:hAnsi="Arial" w:cs="Arial"/>
          <w:bCs/>
        </w:rPr>
        <w:t xml:space="preserve">Patients typically present with an intracranial mass lesion, with a combination of generalized symptoms including increased intracranial pressure associated with non-specific such as headache, cognitive decline, confusion, </w:t>
      </w:r>
      <w:proofErr w:type="spellStart"/>
      <w:r w:rsidRPr="00E246A9">
        <w:rPr>
          <w:rFonts w:ascii="Arial" w:hAnsi="Arial" w:cs="Arial"/>
          <w:bCs/>
        </w:rPr>
        <w:t>behavioural</w:t>
      </w:r>
      <w:proofErr w:type="spellEnd"/>
      <w:r w:rsidRPr="00E246A9">
        <w:rPr>
          <w:rFonts w:ascii="Arial" w:hAnsi="Arial" w:cs="Arial"/>
          <w:bCs/>
        </w:rPr>
        <w:t xml:space="preserve"> disruption, lethargy and lateralizing deficits such as hemiparesis, hemisensory loss or ataxia. However, s</w:t>
      </w:r>
      <w:r w:rsidRPr="00E246A9">
        <w:rPr>
          <w:rFonts w:ascii="Arial" w:hAnsi="Arial" w:cs="Arial"/>
          <w:shd w:val="clear" w:color="auto" w:fill="FFFFFF"/>
        </w:rPr>
        <w:t>ystemic symptoms such as fever of unknown origin, night sweats and weight loss which are a common presentation in systemic lymphoma may not be present in PCNSL.</w:t>
      </w:r>
      <w:r w:rsidRPr="00E246A9">
        <w:rPr>
          <w:rFonts w:ascii="Arial" w:hAnsi="Arial" w:cs="Arial"/>
          <w:shd w:val="clear" w:color="auto" w:fill="FFFFFF"/>
          <w:vertAlign w:val="superscript"/>
        </w:rPr>
        <w:t>[3][4]</w:t>
      </w:r>
      <w:r w:rsidRPr="00E246A9">
        <w:rPr>
          <w:rFonts w:ascii="Arial" w:hAnsi="Arial" w:cs="Arial"/>
          <w:shd w:val="clear" w:color="auto" w:fill="FFFFFF"/>
        </w:rPr>
        <w:t xml:space="preserve"> Furthermore, leptomeningeal disease may cause cranial neuropathies or symptoms localizing to the cauda equina presenting as urinary retention or saddle </w:t>
      </w:r>
      <w:proofErr w:type="spellStart"/>
      <w:r w:rsidRPr="00E246A9">
        <w:rPr>
          <w:rFonts w:ascii="Arial" w:hAnsi="Arial" w:cs="Arial"/>
          <w:shd w:val="clear" w:color="auto" w:fill="FFFFFF"/>
        </w:rPr>
        <w:t>anaesthesia</w:t>
      </w:r>
      <w:proofErr w:type="spellEnd"/>
      <w:r w:rsidRPr="00E246A9">
        <w:rPr>
          <w:rFonts w:ascii="Arial" w:hAnsi="Arial" w:cs="Arial"/>
          <w:shd w:val="clear" w:color="auto" w:fill="FFFFFF"/>
        </w:rPr>
        <w:t>.  Direct nerve invasion can cause a painful radiculopathy. Ocular involvement may happen in as many as 25% of patients and they may present with report of frank visual deficit.</w:t>
      </w:r>
      <w:r w:rsidRPr="00E246A9">
        <w:rPr>
          <w:rFonts w:ascii="Arial" w:hAnsi="Arial" w:cs="Arial"/>
          <w:shd w:val="clear" w:color="auto" w:fill="FFFFFF"/>
          <w:vertAlign w:val="superscript"/>
        </w:rPr>
        <w:t>[2]</w:t>
      </w:r>
    </w:p>
    <w:p w14:paraId="6E307940" w14:textId="77777777" w:rsidR="00F754FA" w:rsidRPr="00E246A9" w:rsidRDefault="00F754FA" w:rsidP="00F754FA">
      <w:pPr>
        <w:pStyle w:val="Body"/>
        <w:spacing w:after="0" w:line="360" w:lineRule="auto"/>
        <w:rPr>
          <w:rFonts w:ascii="Arial" w:hAnsi="Arial" w:cs="Arial"/>
          <w:bCs/>
        </w:rPr>
      </w:pPr>
    </w:p>
    <w:p w14:paraId="54A87A3E" w14:textId="77777777" w:rsidR="00F754FA" w:rsidRPr="00E246A9" w:rsidRDefault="00F754FA" w:rsidP="00F754FA">
      <w:pPr>
        <w:pStyle w:val="Body"/>
        <w:spacing w:after="0" w:line="360" w:lineRule="auto"/>
        <w:ind w:firstLine="720"/>
        <w:rPr>
          <w:rFonts w:ascii="Arial" w:hAnsi="Arial" w:cs="Arial"/>
        </w:rPr>
      </w:pPr>
      <w:r w:rsidRPr="00E246A9">
        <w:rPr>
          <w:rFonts w:ascii="Arial" w:hAnsi="Arial" w:cs="Arial"/>
          <w:bCs/>
        </w:rPr>
        <w:t xml:space="preserve">Following these symptoms, further evaluation would follow by neuroimaging, either with MRI or CT scan. Once diagnosis is made, treatment of PCNSL may include surgery, chemotherapy and radiotherapy. In some cases, a combination of </w:t>
      </w:r>
      <w:r w:rsidRPr="00E246A9">
        <w:rPr>
          <w:rFonts w:ascii="Arial" w:hAnsi="Arial" w:cs="Arial"/>
          <w:shd w:val="clear" w:color="auto" w:fill="FFFFFF"/>
        </w:rPr>
        <w:t>corticosteroids, chemotherapy and radiotherapy may be curative or provide long-lasting palliation for patients in good clinical condition.</w:t>
      </w:r>
      <w:r w:rsidRPr="00E246A9">
        <w:rPr>
          <w:rFonts w:ascii="Arial" w:hAnsi="Arial" w:cs="Arial"/>
          <w:shd w:val="clear" w:color="auto" w:fill="FFFFFF"/>
          <w:vertAlign w:val="superscript"/>
        </w:rPr>
        <w:t>[5]</w:t>
      </w:r>
      <w:r w:rsidRPr="00E246A9">
        <w:rPr>
          <w:rFonts w:ascii="Arial" w:hAnsi="Arial" w:cs="Arial"/>
          <w:shd w:val="clear" w:color="auto" w:fill="FFFFFF"/>
        </w:rPr>
        <w:t xml:space="preserve"> </w:t>
      </w:r>
      <w:r w:rsidRPr="00E246A9">
        <w:rPr>
          <w:rFonts w:ascii="Arial" w:hAnsi="Arial" w:cs="Arial"/>
          <w:bCs/>
        </w:rPr>
        <w:t>The prognosis of PCNSL remains poor despite evolvement of treatment options. Median survival described between 17-45 months after symptomatic treatment</w:t>
      </w:r>
      <w:r w:rsidRPr="00E246A9">
        <w:rPr>
          <w:rFonts w:ascii="Arial" w:hAnsi="Arial" w:cs="Arial"/>
          <w:shd w:val="clear" w:color="auto" w:fill="FFFFFF"/>
        </w:rPr>
        <w:t>.</w:t>
      </w:r>
      <w:r w:rsidRPr="00E246A9">
        <w:rPr>
          <w:rFonts w:ascii="Arial" w:hAnsi="Arial" w:cs="Arial"/>
          <w:shd w:val="clear" w:color="auto" w:fill="FFFFFF"/>
          <w:vertAlign w:val="superscript"/>
        </w:rPr>
        <w:t xml:space="preserve">[6] </w:t>
      </w:r>
      <w:r w:rsidRPr="00E246A9">
        <w:rPr>
          <w:rFonts w:ascii="Arial" w:hAnsi="Arial" w:cs="Arial"/>
        </w:rPr>
        <w:t>This case report reviews the presentation, diagnosis, treatment, and prognosis of PCNSL, contributing to the growing body of literature on this challenging disease.</w:t>
      </w:r>
    </w:p>
    <w:p w14:paraId="5E668F3D" w14:textId="77777777" w:rsidR="00F754FA" w:rsidRPr="00E246A9" w:rsidRDefault="00F754FA" w:rsidP="00F754FA">
      <w:pPr>
        <w:pStyle w:val="Body"/>
        <w:spacing w:after="0" w:line="360" w:lineRule="auto"/>
        <w:ind w:firstLine="720"/>
        <w:rPr>
          <w:rFonts w:ascii="Arial" w:hAnsi="Arial" w:cs="Arial"/>
        </w:rPr>
      </w:pPr>
    </w:p>
    <w:p w14:paraId="1F91F486" w14:textId="77777777" w:rsidR="00F754FA" w:rsidRPr="00E246A9" w:rsidRDefault="00F754FA" w:rsidP="00F754FA">
      <w:pPr>
        <w:pStyle w:val="Body"/>
        <w:spacing w:after="0"/>
        <w:rPr>
          <w:rFonts w:ascii="Arial" w:hAnsi="Arial" w:cs="Arial"/>
        </w:rPr>
      </w:pPr>
    </w:p>
    <w:p w14:paraId="3D5E7898" w14:textId="77777777" w:rsidR="00F754FA" w:rsidRPr="00E246A9" w:rsidRDefault="00F754FA" w:rsidP="00F754FA">
      <w:pPr>
        <w:pStyle w:val="AbstHead"/>
        <w:spacing w:after="0"/>
        <w:jc w:val="both"/>
        <w:rPr>
          <w:rFonts w:ascii="Arial" w:hAnsi="Arial" w:cs="Arial"/>
        </w:rPr>
      </w:pPr>
      <w:r w:rsidRPr="00E246A9">
        <w:rPr>
          <w:rFonts w:ascii="Arial" w:hAnsi="Arial" w:cs="Arial"/>
        </w:rPr>
        <w:t xml:space="preserve">CASE PRESENTATION </w:t>
      </w:r>
    </w:p>
    <w:p w14:paraId="6C4536BC" w14:textId="77777777" w:rsidR="00F754FA" w:rsidRPr="00E246A9" w:rsidRDefault="00F754FA" w:rsidP="00F754FA">
      <w:pPr>
        <w:pStyle w:val="Body"/>
        <w:spacing w:after="0"/>
        <w:rPr>
          <w:rFonts w:ascii="Arial" w:hAnsi="Arial" w:cs="Arial"/>
        </w:rPr>
      </w:pPr>
    </w:p>
    <w:p w14:paraId="3651AA22" w14:textId="77777777" w:rsidR="00F754FA" w:rsidRPr="00E246A9" w:rsidRDefault="00F754FA" w:rsidP="00F754FA">
      <w:pPr>
        <w:spacing w:line="360" w:lineRule="auto"/>
        <w:ind w:firstLine="720"/>
        <w:jc w:val="both"/>
        <w:rPr>
          <w:rFonts w:ascii="Arial" w:hAnsi="Arial" w:cs="Arial"/>
          <w:bCs/>
        </w:rPr>
      </w:pPr>
    </w:p>
    <w:p w14:paraId="64445830" w14:textId="77777777" w:rsidR="002B4AF2" w:rsidRDefault="00F754FA" w:rsidP="00F754FA">
      <w:pPr>
        <w:spacing w:line="360" w:lineRule="auto"/>
        <w:ind w:firstLine="720"/>
        <w:jc w:val="both"/>
        <w:rPr>
          <w:rFonts w:ascii="Arial" w:hAnsi="Arial" w:cs="Arial"/>
          <w:bCs/>
        </w:rPr>
      </w:pPr>
      <w:r w:rsidRPr="00E246A9">
        <w:rPr>
          <w:rFonts w:ascii="Arial" w:hAnsi="Arial" w:cs="Arial"/>
          <w:bCs/>
        </w:rPr>
        <w:t xml:space="preserve">We report a case of a 62-year-old lady with no known medical illness previously. She presented with right sided body weakness for a week and associated with altered </w:t>
      </w:r>
      <w:proofErr w:type="spellStart"/>
      <w:r w:rsidRPr="00E246A9">
        <w:rPr>
          <w:rFonts w:ascii="Arial" w:hAnsi="Arial" w:cs="Arial"/>
          <w:bCs/>
        </w:rPr>
        <w:t>behaviour</w:t>
      </w:r>
      <w:proofErr w:type="spellEnd"/>
      <w:r w:rsidRPr="00E246A9">
        <w:rPr>
          <w:rFonts w:ascii="Arial" w:hAnsi="Arial" w:cs="Arial"/>
          <w:bCs/>
        </w:rPr>
        <w:t xml:space="preserve">, incoherent speech and facial asymmetry. She denied headache, nausea, vomiting, trauma, unsteady gait or seizures. Clinical examination noted she is alert with Glasgow coma scale (GCS) was 15 and pupils 3mm bilaterally reactive. There was presence of weakness of her right side of body with muscle power of 4 out of 5. CT brain was done for her which showed a </w:t>
      </w:r>
      <w:r w:rsidRPr="00E246A9">
        <w:rPr>
          <w:rFonts w:ascii="Arial" w:hAnsi="Arial" w:cs="Arial"/>
          <w:bCs/>
        </w:rPr>
        <w:lastRenderedPageBreak/>
        <w:t xml:space="preserve">left frontoparietal space occupying lesion with perilesional </w:t>
      </w:r>
      <w:proofErr w:type="spellStart"/>
      <w:r w:rsidRPr="00E246A9">
        <w:rPr>
          <w:rFonts w:ascii="Arial" w:hAnsi="Arial" w:cs="Arial"/>
          <w:bCs/>
        </w:rPr>
        <w:t>oedema</w:t>
      </w:r>
      <w:proofErr w:type="spellEnd"/>
      <w:r w:rsidRPr="00E246A9">
        <w:rPr>
          <w:rFonts w:ascii="Arial" w:hAnsi="Arial" w:cs="Arial"/>
          <w:bCs/>
        </w:rPr>
        <w:t xml:space="preserve"> and midline shift and mass effect. </w:t>
      </w:r>
    </w:p>
    <w:p w14:paraId="436E77C6" w14:textId="0887BA5C" w:rsidR="002B4AF2" w:rsidRDefault="002B4AF2" w:rsidP="00F754FA">
      <w:pPr>
        <w:spacing w:line="360" w:lineRule="auto"/>
        <w:ind w:firstLine="720"/>
        <w:jc w:val="both"/>
        <w:rPr>
          <w:rFonts w:ascii="Arial" w:hAnsi="Arial" w:cs="Arial"/>
          <w:bCs/>
        </w:rPr>
      </w:pPr>
    </w:p>
    <w:p w14:paraId="5A051471" w14:textId="77777777" w:rsidR="002B4AF2" w:rsidRDefault="002B4AF2" w:rsidP="00F754FA">
      <w:pPr>
        <w:spacing w:line="360" w:lineRule="auto"/>
        <w:ind w:firstLine="720"/>
        <w:jc w:val="both"/>
        <w:rPr>
          <w:rFonts w:ascii="Arial" w:hAnsi="Arial" w:cs="Arial"/>
          <w:bCs/>
        </w:rPr>
      </w:pPr>
    </w:p>
    <w:p w14:paraId="10CBE46F" w14:textId="0FEE15A9" w:rsidR="002B4AF2" w:rsidRDefault="002B4AF2" w:rsidP="002B4AF2">
      <w:pPr>
        <w:spacing w:line="360" w:lineRule="auto"/>
        <w:jc w:val="both"/>
        <w:rPr>
          <w:rFonts w:ascii="Arial" w:hAnsi="Arial" w:cs="Arial"/>
          <w:b/>
        </w:rPr>
      </w:pPr>
      <w:r>
        <w:rPr>
          <w:rFonts w:ascii="Arial" w:hAnsi="Arial" w:cs="Arial"/>
          <w:b/>
        </w:rPr>
        <w:t>OPERATIVE FINDINGS</w:t>
      </w:r>
    </w:p>
    <w:p w14:paraId="3BC1A95F" w14:textId="77777777" w:rsidR="002B4AF2" w:rsidRPr="002B4AF2" w:rsidRDefault="002B4AF2" w:rsidP="002B4AF2">
      <w:pPr>
        <w:spacing w:line="360" w:lineRule="auto"/>
        <w:jc w:val="both"/>
        <w:rPr>
          <w:rFonts w:ascii="Arial" w:hAnsi="Arial" w:cs="Arial"/>
          <w:b/>
        </w:rPr>
      </w:pPr>
    </w:p>
    <w:p w14:paraId="75F89A1D" w14:textId="2CF80F44" w:rsidR="00F754FA" w:rsidRPr="00E246A9" w:rsidRDefault="00F754FA" w:rsidP="00F754FA">
      <w:pPr>
        <w:spacing w:line="360" w:lineRule="auto"/>
        <w:ind w:firstLine="720"/>
        <w:jc w:val="both"/>
        <w:rPr>
          <w:rFonts w:ascii="Arial" w:hAnsi="Arial" w:cs="Arial"/>
          <w:bCs/>
        </w:rPr>
      </w:pPr>
      <w:r w:rsidRPr="00E246A9">
        <w:rPr>
          <w:rFonts w:ascii="Arial" w:hAnsi="Arial" w:cs="Arial"/>
          <w:bCs/>
        </w:rPr>
        <w:t xml:space="preserve">She was admitted and underwent emergency surgery craniotomy and </w:t>
      </w:r>
      <w:proofErr w:type="spellStart"/>
      <w:r w:rsidRPr="00E246A9">
        <w:rPr>
          <w:rFonts w:ascii="Arial" w:hAnsi="Arial" w:cs="Arial"/>
          <w:bCs/>
        </w:rPr>
        <w:t>tumour</w:t>
      </w:r>
      <w:proofErr w:type="spellEnd"/>
      <w:r w:rsidRPr="00E246A9">
        <w:rPr>
          <w:rFonts w:ascii="Arial" w:hAnsi="Arial" w:cs="Arial"/>
          <w:bCs/>
        </w:rPr>
        <w:t xml:space="preserve"> excision. Intraoperatively the </w:t>
      </w:r>
      <w:proofErr w:type="spellStart"/>
      <w:r w:rsidRPr="00E246A9">
        <w:rPr>
          <w:rFonts w:ascii="Arial" w:hAnsi="Arial" w:cs="Arial"/>
          <w:bCs/>
        </w:rPr>
        <w:t>tumour</w:t>
      </w:r>
      <w:proofErr w:type="spellEnd"/>
      <w:r w:rsidRPr="00E246A9">
        <w:rPr>
          <w:rFonts w:ascii="Arial" w:hAnsi="Arial" w:cs="Arial"/>
          <w:bCs/>
        </w:rPr>
        <w:t xml:space="preserve"> size was 4x3cm, appeared pale and highly vascular, and was completely excised. Otherwise, the surrounding brain parenchyma was pulsatile. </w:t>
      </w:r>
    </w:p>
    <w:p w14:paraId="5D3D3A7A" w14:textId="77777777" w:rsidR="00F754FA" w:rsidRPr="00E246A9" w:rsidRDefault="00F754FA" w:rsidP="00F754FA">
      <w:pPr>
        <w:spacing w:line="360" w:lineRule="auto"/>
        <w:ind w:firstLine="720"/>
        <w:jc w:val="both"/>
        <w:rPr>
          <w:rFonts w:ascii="Arial" w:hAnsi="Arial" w:cs="Arial"/>
          <w:bCs/>
        </w:rPr>
      </w:pPr>
    </w:p>
    <w:p w14:paraId="10F9428C" w14:textId="77777777" w:rsidR="00F754FA" w:rsidRPr="00E246A9" w:rsidRDefault="00F754FA" w:rsidP="00F754FA">
      <w:pPr>
        <w:keepNext/>
        <w:spacing w:line="360" w:lineRule="auto"/>
        <w:jc w:val="center"/>
        <w:rPr>
          <w:rFonts w:ascii="Arial" w:hAnsi="Arial" w:cs="Arial"/>
        </w:rPr>
      </w:pPr>
      <w:r w:rsidRPr="00E246A9">
        <w:rPr>
          <w:rFonts w:ascii="Arial" w:hAnsi="Arial" w:cs="Arial"/>
          <w:noProof/>
        </w:rPr>
        <w:drawing>
          <wp:inline distT="0" distB="0" distL="0" distR="0" wp14:anchorId="5465F174" wp14:editId="65ECDDA8">
            <wp:extent cx="2535459" cy="25457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9706" cy="2620262"/>
                    </a:xfrm>
                    <a:prstGeom prst="rect">
                      <a:avLst/>
                    </a:prstGeom>
                    <a:noFill/>
                    <a:ln>
                      <a:noFill/>
                    </a:ln>
                  </pic:spPr>
                </pic:pic>
              </a:graphicData>
            </a:graphic>
          </wp:inline>
        </w:drawing>
      </w:r>
      <w:r w:rsidRPr="00E246A9">
        <w:rPr>
          <w:rFonts w:ascii="Arial" w:hAnsi="Arial" w:cs="Arial"/>
          <w:noProof/>
        </w:rPr>
        <w:drawing>
          <wp:inline distT="0" distB="0" distL="0" distR="0" wp14:anchorId="4B007329" wp14:editId="6B4ED2C5">
            <wp:extent cx="2614358" cy="2552663"/>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9632" cy="2606633"/>
                    </a:xfrm>
                    <a:prstGeom prst="rect">
                      <a:avLst/>
                    </a:prstGeom>
                    <a:noFill/>
                    <a:ln>
                      <a:noFill/>
                    </a:ln>
                  </pic:spPr>
                </pic:pic>
              </a:graphicData>
            </a:graphic>
          </wp:inline>
        </w:drawing>
      </w:r>
    </w:p>
    <w:p w14:paraId="457AC1BC" w14:textId="77777777" w:rsidR="00F754FA" w:rsidRPr="00E246A9" w:rsidRDefault="00F754FA" w:rsidP="00F754FA">
      <w:pPr>
        <w:pStyle w:val="Caption"/>
        <w:jc w:val="center"/>
        <w:rPr>
          <w:rFonts w:ascii="Arial" w:hAnsi="Arial" w:cs="Arial"/>
          <w:color w:val="auto"/>
        </w:rPr>
      </w:pPr>
      <w:r w:rsidRPr="00E246A9">
        <w:rPr>
          <w:rFonts w:ascii="Arial" w:hAnsi="Arial" w:cs="Arial"/>
          <w:color w:val="auto"/>
        </w:rPr>
        <w:t xml:space="preserve">Figure </w:t>
      </w:r>
      <w:r w:rsidRPr="00E246A9">
        <w:rPr>
          <w:rFonts w:ascii="Arial" w:hAnsi="Arial" w:cs="Arial"/>
          <w:color w:val="auto"/>
        </w:rPr>
        <w:fldChar w:fldCharType="begin"/>
      </w:r>
      <w:r w:rsidRPr="00E246A9">
        <w:rPr>
          <w:rFonts w:ascii="Arial" w:hAnsi="Arial" w:cs="Arial"/>
          <w:color w:val="auto"/>
        </w:rPr>
        <w:instrText xml:space="preserve"> SEQ Figure \* ARABIC </w:instrText>
      </w:r>
      <w:r w:rsidRPr="00E246A9">
        <w:rPr>
          <w:rFonts w:ascii="Arial" w:hAnsi="Arial" w:cs="Arial"/>
          <w:color w:val="auto"/>
        </w:rPr>
        <w:fldChar w:fldCharType="separate"/>
      </w:r>
      <w:r w:rsidRPr="00E246A9">
        <w:rPr>
          <w:rFonts w:ascii="Arial" w:hAnsi="Arial" w:cs="Arial"/>
          <w:noProof/>
          <w:color w:val="auto"/>
        </w:rPr>
        <w:t>1</w:t>
      </w:r>
      <w:r w:rsidRPr="00E246A9">
        <w:rPr>
          <w:rFonts w:ascii="Arial" w:hAnsi="Arial" w:cs="Arial"/>
          <w:color w:val="auto"/>
        </w:rPr>
        <w:fldChar w:fldCharType="end"/>
      </w:r>
      <w:r w:rsidRPr="00E246A9">
        <w:rPr>
          <w:rFonts w:ascii="Arial" w:hAnsi="Arial" w:cs="Arial"/>
          <w:color w:val="auto"/>
        </w:rPr>
        <w:t xml:space="preserve">: CT contrast showed </w:t>
      </w:r>
      <w:proofErr w:type="spellStart"/>
      <w:r w:rsidRPr="00E246A9">
        <w:rPr>
          <w:rFonts w:ascii="Arial" w:hAnsi="Arial" w:cs="Arial"/>
          <w:color w:val="auto"/>
        </w:rPr>
        <w:t>isodense</w:t>
      </w:r>
      <w:proofErr w:type="spellEnd"/>
      <w:r w:rsidRPr="00E246A9">
        <w:rPr>
          <w:rFonts w:ascii="Arial" w:hAnsi="Arial" w:cs="Arial"/>
          <w:color w:val="auto"/>
        </w:rPr>
        <w:t xml:space="preserve"> mass at left frontal lobe which appears intra-axial and demonstrate enhancement. Within the lesions, there are areas of hypodensities likely necrosis. No calcification noted. There is associated cerebral oedema, mass effect, midline shift and obstructive hydrocephalus, suspicious of primary brain tumour with differential of glioma.</w:t>
      </w:r>
    </w:p>
    <w:p w14:paraId="11673113" w14:textId="52043EA8" w:rsidR="00F754FA" w:rsidRDefault="00F754FA" w:rsidP="002B4AF2">
      <w:pPr>
        <w:spacing w:line="360" w:lineRule="auto"/>
        <w:jc w:val="both"/>
        <w:rPr>
          <w:rFonts w:ascii="Arial" w:hAnsi="Arial" w:cs="Arial"/>
          <w:bCs/>
        </w:rPr>
      </w:pPr>
    </w:p>
    <w:p w14:paraId="69A62E85" w14:textId="3AE3E94C" w:rsidR="002B4AF2" w:rsidRPr="00E246A9" w:rsidRDefault="002B4AF2" w:rsidP="002B4AF2">
      <w:pPr>
        <w:pStyle w:val="AbstHead"/>
        <w:spacing w:after="0"/>
        <w:jc w:val="both"/>
        <w:rPr>
          <w:rFonts w:ascii="Arial" w:hAnsi="Arial" w:cs="Arial"/>
        </w:rPr>
      </w:pPr>
      <w:r>
        <w:rPr>
          <w:rFonts w:ascii="Arial" w:hAnsi="Arial" w:cs="Arial"/>
        </w:rPr>
        <w:t>TREATMENT AND FOLLOW-UP</w:t>
      </w:r>
    </w:p>
    <w:p w14:paraId="07E4A54D" w14:textId="77777777" w:rsidR="002B4AF2" w:rsidRPr="00E246A9" w:rsidRDefault="002B4AF2" w:rsidP="002B4AF2">
      <w:pPr>
        <w:spacing w:line="360" w:lineRule="auto"/>
        <w:jc w:val="both"/>
        <w:rPr>
          <w:rFonts w:ascii="Arial" w:hAnsi="Arial" w:cs="Arial"/>
          <w:bCs/>
        </w:rPr>
      </w:pPr>
    </w:p>
    <w:p w14:paraId="3ED26F55" w14:textId="77777777" w:rsidR="00F754FA" w:rsidRPr="00E246A9" w:rsidRDefault="00F754FA" w:rsidP="00F754FA">
      <w:pPr>
        <w:spacing w:line="360" w:lineRule="auto"/>
        <w:ind w:firstLine="720"/>
        <w:jc w:val="both"/>
        <w:rPr>
          <w:rFonts w:ascii="Arial" w:hAnsi="Arial" w:cs="Arial"/>
          <w:bCs/>
        </w:rPr>
      </w:pPr>
      <w:r w:rsidRPr="00E246A9">
        <w:rPr>
          <w:rFonts w:ascii="Arial" w:hAnsi="Arial" w:cs="Arial"/>
          <w:bCs/>
        </w:rPr>
        <w:t xml:space="preserve">Post operatively, she has good recovery. GCS remains full with slight improvement of power over her right side of body. CT brain post operatively showed improving midline shift. She was allowed discharge with dexamethasone on a tapering dosage. In clinic review she has much improved recovery, ambulating without aid or assistance and no residual neurological deficit. Histopathological examination confirmed diffuse large B-cell lymphoma. Immunohistochemical stains showed that the </w:t>
      </w:r>
      <w:proofErr w:type="spellStart"/>
      <w:r w:rsidRPr="00E246A9">
        <w:rPr>
          <w:rFonts w:ascii="Arial" w:hAnsi="Arial" w:cs="Arial"/>
          <w:bCs/>
        </w:rPr>
        <w:t>tumour</w:t>
      </w:r>
      <w:proofErr w:type="spellEnd"/>
      <w:r w:rsidRPr="00E246A9">
        <w:rPr>
          <w:rFonts w:ascii="Arial" w:hAnsi="Arial" w:cs="Arial"/>
          <w:bCs/>
        </w:rPr>
        <w:t xml:space="preserve"> cells are positive for CD20, BCL-6, MUM-1and BCL2; negative for CKAE1/AE3, GFAP, CD3, CD10 (&lt;30%) and C-MYC; Ki-67 proliferation index high ~90%. She was then referred to </w:t>
      </w:r>
      <w:proofErr w:type="spellStart"/>
      <w:r w:rsidRPr="00E246A9">
        <w:rPr>
          <w:rFonts w:ascii="Arial" w:hAnsi="Arial" w:cs="Arial"/>
          <w:bCs/>
        </w:rPr>
        <w:t>haematology</w:t>
      </w:r>
      <w:proofErr w:type="spellEnd"/>
      <w:r w:rsidRPr="00E246A9">
        <w:rPr>
          <w:rFonts w:ascii="Arial" w:hAnsi="Arial" w:cs="Arial"/>
          <w:bCs/>
        </w:rPr>
        <w:t xml:space="preserve"> team for further </w:t>
      </w:r>
      <w:r w:rsidRPr="00E246A9">
        <w:rPr>
          <w:rFonts w:ascii="Arial" w:hAnsi="Arial" w:cs="Arial"/>
          <w:bCs/>
        </w:rPr>
        <w:lastRenderedPageBreak/>
        <w:t xml:space="preserve">management. Evaluation by </w:t>
      </w:r>
      <w:proofErr w:type="spellStart"/>
      <w:r w:rsidRPr="00E246A9">
        <w:rPr>
          <w:rFonts w:ascii="Arial" w:hAnsi="Arial" w:cs="Arial"/>
          <w:bCs/>
        </w:rPr>
        <w:t>haematology</w:t>
      </w:r>
      <w:proofErr w:type="spellEnd"/>
      <w:r w:rsidRPr="00E246A9">
        <w:rPr>
          <w:rFonts w:ascii="Arial" w:hAnsi="Arial" w:cs="Arial"/>
          <w:bCs/>
        </w:rPr>
        <w:t xml:space="preserve"> team, proceeded with pre-chemo workup and PET CT and bone marrow aspiration and trephine biopsy (BMAT). Results of BMAT showed no lymphomatous infiltration. PET scan showed hypermetabolic area involving residual left frontal lobe and left parietal lobe causing midline shift, no FDG avid disease elsewhere. She was then started on her first cycle of chemotherapy with </w:t>
      </w:r>
      <w:r w:rsidRPr="00E246A9">
        <w:rPr>
          <w:rFonts w:ascii="Arial" w:hAnsi="Arial" w:cs="Arial"/>
          <w:lang w:eastAsia="en-MY"/>
        </w:rPr>
        <w:t>rituximab, methotrexate, procarbazine, and vincristine (R-MPV)</w:t>
      </w:r>
      <w:r w:rsidRPr="00E246A9">
        <w:rPr>
          <w:rFonts w:ascii="Arial" w:hAnsi="Arial" w:cs="Arial"/>
          <w:bCs/>
        </w:rPr>
        <w:t>. She showed marked improvement after the first cycle of chemotherapy and was continued on subsequent cycles with intrathecal therapy.</w:t>
      </w:r>
    </w:p>
    <w:p w14:paraId="2A05EA05" w14:textId="77777777" w:rsidR="00F754FA" w:rsidRPr="00E246A9" w:rsidRDefault="00F754FA" w:rsidP="00F754FA">
      <w:pPr>
        <w:spacing w:line="360" w:lineRule="auto"/>
        <w:ind w:firstLine="720"/>
        <w:jc w:val="both"/>
        <w:rPr>
          <w:rFonts w:ascii="Arial" w:hAnsi="Arial" w:cs="Arial"/>
          <w:bCs/>
        </w:rPr>
      </w:pPr>
    </w:p>
    <w:p w14:paraId="3FEF8900" w14:textId="77777777" w:rsidR="00F754FA" w:rsidRPr="00E246A9" w:rsidRDefault="00F754FA" w:rsidP="00F754FA">
      <w:pPr>
        <w:spacing w:line="360" w:lineRule="auto"/>
        <w:ind w:firstLine="720"/>
        <w:jc w:val="both"/>
        <w:rPr>
          <w:rFonts w:ascii="Arial" w:hAnsi="Arial" w:cs="Arial"/>
          <w:bCs/>
        </w:rPr>
      </w:pPr>
      <w:r w:rsidRPr="00E246A9">
        <w:rPr>
          <w:rFonts w:ascii="Arial" w:hAnsi="Arial" w:cs="Arial"/>
          <w:bCs/>
        </w:rPr>
        <w:t xml:space="preserve">During follow up, she underwent MRI brain after the first chemotherapy, which showed left enhancing solid component within the surgical cavity measuring 3.4x3.2x4.0cm which demonstrated T2W/FLAIR hyperintense signal with patchy enhancement at the posterior aspect of the lesion, suggesting residual </w:t>
      </w:r>
      <w:proofErr w:type="spellStart"/>
      <w:r w:rsidRPr="00E246A9">
        <w:rPr>
          <w:rFonts w:ascii="Arial" w:hAnsi="Arial" w:cs="Arial"/>
          <w:bCs/>
        </w:rPr>
        <w:t>tumour</w:t>
      </w:r>
      <w:proofErr w:type="spellEnd"/>
      <w:r w:rsidRPr="00E246A9">
        <w:rPr>
          <w:rFonts w:ascii="Arial" w:hAnsi="Arial" w:cs="Arial"/>
          <w:bCs/>
        </w:rPr>
        <w:t xml:space="preserve">. She was then continued on for further chemotherapy cycle. </w:t>
      </w:r>
    </w:p>
    <w:p w14:paraId="63678DE7" w14:textId="77777777" w:rsidR="00F754FA" w:rsidRPr="00E246A9" w:rsidRDefault="00F754FA" w:rsidP="00F754FA">
      <w:pPr>
        <w:keepNext/>
        <w:tabs>
          <w:tab w:val="left" w:pos="2853"/>
        </w:tabs>
        <w:spacing w:before="100" w:beforeAutospacing="1" w:after="100" w:afterAutospacing="1" w:line="360" w:lineRule="auto"/>
        <w:jc w:val="center"/>
        <w:rPr>
          <w:rFonts w:ascii="Arial" w:hAnsi="Arial" w:cs="Arial"/>
        </w:rPr>
      </w:pPr>
      <w:r w:rsidRPr="00E246A9">
        <w:rPr>
          <w:rFonts w:ascii="Arial" w:hAnsi="Arial" w:cs="Arial"/>
          <w:noProof/>
        </w:rPr>
        <w:drawing>
          <wp:inline distT="0" distB="0" distL="0" distR="0" wp14:anchorId="49F8B877" wp14:editId="65C99275">
            <wp:extent cx="1714497" cy="16897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7216" cy="1741693"/>
                    </a:xfrm>
                    <a:prstGeom prst="rect">
                      <a:avLst/>
                    </a:prstGeom>
                    <a:noFill/>
                    <a:ln>
                      <a:noFill/>
                    </a:ln>
                  </pic:spPr>
                </pic:pic>
              </a:graphicData>
            </a:graphic>
          </wp:inline>
        </w:drawing>
      </w:r>
      <w:r w:rsidRPr="00E246A9">
        <w:rPr>
          <w:rFonts w:ascii="Arial" w:hAnsi="Arial" w:cs="Arial"/>
          <w:noProof/>
        </w:rPr>
        <w:drawing>
          <wp:inline distT="0" distB="0" distL="0" distR="0" wp14:anchorId="01047B8F" wp14:editId="2404C364">
            <wp:extent cx="1621250" cy="1693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81174" cy="1755908"/>
                    </a:xfrm>
                    <a:prstGeom prst="rect">
                      <a:avLst/>
                    </a:prstGeom>
                    <a:noFill/>
                    <a:ln>
                      <a:noFill/>
                    </a:ln>
                  </pic:spPr>
                </pic:pic>
              </a:graphicData>
            </a:graphic>
          </wp:inline>
        </w:drawing>
      </w:r>
      <w:r w:rsidRPr="00E246A9">
        <w:rPr>
          <w:rFonts w:ascii="Arial" w:hAnsi="Arial" w:cs="Arial"/>
          <w:noProof/>
        </w:rPr>
        <w:drawing>
          <wp:inline distT="0" distB="0" distL="0" distR="0" wp14:anchorId="65C88DC5" wp14:editId="59F3BDFB">
            <wp:extent cx="1691640" cy="1691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20080" cy="1720080"/>
                    </a:xfrm>
                    <a:prstGeom prst="rect">
                      <a:avLst/>
                    </a:prstGeom>
                    <a:noFill/>
                    <a:ln>
                      <a:noFill/>
                    </a:ln>
                  </pic:spPr>
                </pic:pic>
              </a:graphicData>
            </a:graphic>
          </wp:inline>
        </w:drawing>
      </w:r>
    </w:p>
    <w:p w14:paraId="16BBCD02" w14:textId="77777777" w:rsidR="00F754FA" w:rsidRPr="00E246A9" w:rsidRDefault="00F754FA" w:rsidP="00F754FA">
      <w:pPr>
        <w:pStyle w:val="Caption"/>
        <w:jc w:val="center"/>
        <w:rPr>
          <w:rFonts w:ascii="Arial" w:eastAsia="Times New Roman" w:hAnsi="Arial" w:cs="Arial"/>
          <w:color w:val="auto"/>
          <w:lang w:eastAsia="en-MY"/>
        </w:rPr>
      </w:pPr>
      <w:r w:rsidRPr="00E246A9">
        <w:rPr>
          <w:rFonts w:ascii="Arial" w:hAnsi="Arial" w:cs="Arial"/>
          <w:color w:val="auto"/>
        </w:rPr>
        <w:t>Figure 2: post-operative PET scan showed hypermetabolic area involving residual left frontal lobe and left parietal lobe causing midline shift</w:t>
      </w:r>
    </w:p>
    <w:p w14:paraId="3DB48365" w14:textId="77777777" w:rsidR="00F754FA" w:rsidRPr="00E246A9" w:rsidRDefault="00F754FA" w:rsidP="00F754FA">
      <w:pPr>
        <w:spacing w:line="360" w:lineRule="auto"/>
        <w:jc w:val="both"/>
        <w:rPr>
          <w:rFonts w:ascii="Arial" w:hAnsi="Arial" w:cs="Arial"/>
          <w:bCs/>
          <w:sz w:val="24"/>
          <w:szCs w:val="24"/>
        </w:rPr>
      </w:pPr>
    </w:p>
    <w:p w14:paraId="51217FF9" w14:textId="77777777" w:rsidR="00F754FA" w:rsidRPr="00E246A9" w:rsidRDefault="00F754FA" w:rsidP="00F754FA">
      <w:pPr>
        <w:pStyle w:val="Head1"/>
        <w:spacing w:after="0"/>
        <w:jc w:val="both"/>
        <w:rPr>
          <w:rFonts w:ascii="Arial" w:hAnsi="Arial" w:cs="Arial"/>
        </w:rPr>
      </w:pPr>
      <w:r w:rsidRPr="00E246A9">
        <w:rPr>
          <w:rFonts w:ascii="Arial" w:hAnsi="Arial" w:cs="Arial"/>
        </w:rPr>
        <w:t>DISCUSSION</w:t>
      </w:r>
    </w:p>
    <w:p w14:paraId="0D375BD6" w14:textId="77777777" w:rsidR="00F754FA" w:rsidRPr="00E246A9" w:rsidRDefault="00F754FA" w:rsidP="00F754FA">
      <w:pPr>
        <w:pStyle w:val="Head1"/>
        <w:spacing w:after="0"/>
        <w:jc w:val="both"/>
        <w:rPr>
          <w:rFonts w:ascii="Arial" w:hAnsi="Arial" w:cs="Arial"/>
        </w:rPr>
      </w:pPr>
    </w:p>
    <w:p w14:paraId="1FCAD532" w14:textId="77777777" w:rsidR="00F754FA" w:rsidRPr="00E246A9" w:rsidRDefault="00F754FA" w:rsidP="00F754FA">
      <w:pPr>
        <w:pStyle w:val="Head1"/>
        <w:spacing w:after="0"/>
        <w:jc w:val="both"/>
        <w:rPr>
          <w:rFonts w:ascii="Arial" w:hAnsi="Arial" w:cs="Arial"/>
          <w:sz w:val="20"/>
        </w:rPr>
      </w:pPr>
    </w:p>
    <w:p w14:paraId="5675213D" w14:textId="77777777" w:rsidR="001F6D0B" w:rsidRPr="001F6D0B" w:rsidRDefault="001F6D0B" w:rsidP="001F6D0B">
      <w:pPr>
        <w:spacing w:line="360" w:lineRule="auto"/>
        <w:ind w:firstLine="720"/>
        <w:jc w:val="both"/>
        <w:rPr>
          <w:rFonts w:ascii="Arial" w:hAnsi="Arial" w:cs="Arial"/>
          <w:lang w:eastAsia="en-MY"/>
        </w:rPr>
      </w:pPr>
      <w:r w:rsidRPr="001F6D0B">
        <w:rPr>
          <w:rFonts w:ascii="Arial" w:hAnsi="Arial" w:cs="Arial"/>
          <w:lang w:eastAsia="en-MY"/>
        </w:rPr>
        <w:t xml:space="preserve">Primary central nervous system lymphoma (PCNSL), most commonly of the diffuse large B-cell lymphoma (DLBCL) subtype, is an exceedingly rare neoplasm </w:t>
      </w:r>
      <w:proofErr w:type="spellStart"/>
      <w:r w:rsidRPr="001F6D0B">
        <w:rPr>
          <w:rFonts w:ascii="Arial" w:hAnsi="Arial" w:cs="Arial"/>
          <w:lang w:eastAsia="en-MY"/>
        </w:rPr>
        <w:t>characterised</w:t>
      </w:r>
      <w:proofErr w:type="spellEnd"/>
      <w:r w:rsidRPr="001F6D0B">
        <w:rPr>
          <w:rFonts w:ascii="Arial" w:hAnsi="Arial" w:cs="Arial"/>
          <w:lang w:eastAsia="en-MY"/>
        </w:rPr>
        <w:t xml:space="preserve"> by highly aggressive clinical </w:t>
      </w:r>
      <w:proofErr w:type="spellStart"/>
      <w:r w:rsidRPr="001F6D0B">
        <w:rPr>
          <w:rFonts w:ascii="Arial" w:hAnsi="Arial" w:cs="Arial"/>
          <w:lang w:eastAsia="en-MY"/>
        </w:rPr>
        <w:t>behaviour</w:t>
      </w:r>
      <w:proofErr w:type="spellEnd"/>
      <w:r w:rsidRPr="001F6D0B">
        <w:rPr>
          <w:rFonts w:ascii="Arial" w:hAnsi="Arial" w:cs="Arial"/>
          <w:lang w:eastAsia="en-MY"/>
        </w:rPr>
        <w:t xml:space="preserve">. Its clinical and radiological presentation may closely resemble other intracranial </w:t>
      </w:r>
      <w:proofErr w:type="spellStart"/>
      <w:r w:rsidRPr="001F6D0B">
        <w:rPr>
          <w:rFonts w:ascii="Arial" w:hAnsi="Arial" w:cs="Arial"/>
          <w:lang w:eastAsia="en-MY"/>
        </w:rPr>
        <w:t>tumours</w:t>
      </w:r>
      <w:proofErr w:type="spellEnd"/>
      <w:r w:rsidRPr="001F6D0B">
        <w:rPr>
          <w:rFonts w:ascii="Arial" w:hAnsi="Arial" w:cs="Arial"/>
          <w:lang w:eastAsia="en-MY"/>
        </w:rPr>
        <w:t>, such as gliomas or metastatic lesions, thereby posing significant challenges to early and accurate diagnosis.</w:t>
      </w:r>
    </w:p>
    <w:p w14:paraId="6689094F" w14:textId="77777777" w:rsidR="001F6D0B" w:rsidRPr="001F6D0B" w:rsidRDefault="001F6D0B" w:rsidP="001F6D0B">
      <w:pPr>
        <w:spacing w:line="360" w:lineRule="auto"/>
        <w:ind w:firstLine="720"/>
        <w:jc w:val="both"/>
        <w:rPr>
          <w:rFonts w:ascii="Arial" w:hAnsi="Arial" w:cs="Arial"/>
          <w:lang w:eastAsia="en-MY"/>
        </w:rPr>
      </w:pPr>
    </w:p>
    <w:p w14:paraId="121DE56D" w14:textId="323707F9" w:rsidR="00F754FA" w:rsidRPr="00E246A9" w:rsidRDefault="001F6D0B" w:rsidP="001F6D0B">
      <w:pPr>
        <w:spacing w:line="360" w:lineRule="auto"/>
        <w:ind w:firstLine="720"/>
        <w:jc w:val="both"/>
        <w:rPr>
          <w:rFonts w:ascii="Arial" w:hAnsi="Arial" w:cs="Arial"/>
          <w:shd w:val="clear" w:color="auto" w:fill="FFFFFF"/>
        </w:rPr>
      </w:pPr>
      <w:r w:rsidRPr="001F6D0B">
        <w:rPr>
          <w:rFonts w:ascii="Arial" w:hAnsi="Arial" w:cs="Arial"/>
          <w:lang w:eastAsia="en-MY"/>
        </w:rPr>
        <w:t xml:space="preserve">Although PCNSL has historically been associated with immunocompromised states, an increasing incidence has been reported among immunocompetent individuals. In the </w:t>
      </w:r>
      <w:r w:rsidRPr="001F6D0B">
        <w:rPr>
          <w:rFonts w:ascii="Arial" w:hAnsi="Arial" w:cs="Arial"/>
          <w:lang w:eastAsia="en-MY"/>
        </w:rPr>
        <w:lastRenderedPageBreak/>
        <w:t>present case, the patient did not exhibit any evidence of underlying immunodeficiency. Epidemiological studies indicate that, in immunocompetent populations, the median age at diagnosis ranges between 53 and 57 years, with a slight male predominance (male-to-female ratio of approximately 1.2:1). In contrast, among immunocompromised patients, PCNSL tends to occur at a younger median age of 31–35 years and demonstrates a markedly higher male predominance, with a reported male-to-female ratio of 7.38:1 [6].</w:t>
      </w:r>
    </w:p>
    <w:p w14:paraId="1EA432C8" w14:textId="77777777" w:rsidR="001F6D0B" w:rsidRPr="001F6D0B" w:rsidRDefault="001F6D0B" w:rsidP="001F6D0B">
      <w:pPr>
        <w:spacing w:line="360" w:lineRule="auto"/>
        <w:ind w:firstLine="720"/>
        <w:jc w:val="both"/>
        <w:rPr>
          <w:rFonts w:ascii="Arial" w:hAnsi="Arial" w:cs="Arial"/>
          <w:shd w:val="clear" w:color="auto" w:fill="FFFFFF"/>
        </w:rPr>
      </w:pPr>
      <w:r w:rsidRPr="001F6D0B">
        <w:rPr>
          <w:rFonts w:ascii="Arial" w:hAnsi="Arial" w:cs="Arial"/>
          <w:shd w:val="clear" w:color="auto" w:fill="FFFFFF"/>
        </w:rPr>
        <w:t>The diagnosis of primary central nervous system lymphoma (PCNSL) requires a comprehensive integration of clinical presentation, radiological assessment, and histopathological confirmation through tissue biopsy [7]. As clinical manifestations are often non-specific and insufficient for definitive diagnosis, the identification of a radiologically evident lesion is crucial to facilitate timely brain biopsy and accurate histological evaluation.</w:t>
      </w:r>
    </w:p>
    <w:p w14:paraId="1C3CD336" w14:textId="77777777" w:rsidR="001F6D0B" w:rsidRPr="001F6D0B" w:rsidRDefault="001F6D0B" w:rsidP="001F6D0B">
      <w:pPr>
        <w:spacing w:line="360" w:lineRule="auto"/>
        <w:ind w:firstLine="720"/>
        <w:jc w:val="both"/>
        <w:rPr>
          <w:rFonts w:ascii="Arial" w:hAnsi="Arial" w:cs="Arial"/>
          <w:shd w:val="clear" w:color="auto" w:fill="FFFFFF"/>
        </w:rPr>
      </w:pPr>
    </w:p>
    <w:p w14:paraId="647F8D11" w14:textId="77777777" w:rsidR="001F6D0B" w:rsidRPr="001F6D0B" w:rsidRDefault="001F6D0B" w:rsidP="001F6D0B">
      <w:pPr>
        <w:spacing w:line="360" w:lineRule="auto"/>
        <w:ind w:firstLine="720"/>
        <w:jc w:val="both"/>
        <w:rPr>
          <w:rFonts w:ascii="Arial" w:hAnsi="Arial" w:cs="Arial"/>
          <w:shd w:val="clear" w:color="auto" w:fill="FFFFFF"/>
        </w:rPr>
      </w:pPr>
      <w:r w:rsidRPr="001F6D0B">
        <w:rPr>
          <w:rFonts w:ascii="Arial" w:hAnsi="Arial" w:cs="Arial"/>
          <w:shd w:val="clear" w:color="auto" w:fill="FFFFFF"/>
        </w:rPr>
        <w:t xml:space="preserve">Computed tomography (CT) and magnetic resonance imaging (MRI) are typically employed as initial imaging modalities. On unenhanced CT, PCNSL lesions generally appear </w:t>
      </w:r>
      <w:proofErr w:type="spellStart"/>
      <w:r w:rsidRPr="001F6D0B">
        <w:rPr>
          <w:rFonts w:ascii="Arial" w:hAnsi="Arial" w:cs="Arial"/>
          <w:shd w:val="clear" w:color="auto" w:fill="FFFFFF"/>
        </w:rPr>
        <w:t>hyperattenuated</w:t>
      </w:r>
      <w:proofErr w:type="spellEnd"/>
      <w:r w:rsidRPr="001F6D0B">
        <w:rPr>
          <w:rFonts w:ascii="Arial" w:hAnsi="Arial" w:cs="Arial"/>
          <w:shd w:val="clear" w:color="auto" w:fill="FFFFFF"/>
        </w:rPr>
        <w:t xml:space="preserve"> or </w:t>
      </w:r>
      <w:proofErr w:type="spellStart"/>
      <w:r w:rsidRPr="001F6D0B">
        <w:rPr>
          <w:rFonts w:ascii="Arial" w:hAnsi="Arial" w:cs="Arial"/>
          <w:shd w:val="clear" w:color="auto" w:fill="FFFFFF"/>
        </w:rPr>
        <w:t>isoattenuated</w:t>
      </w:r>
      <w:proofErr w:type="spellEnd"/>
      <w:r w:rsidRPr="001F6D0B">
        <w:rPr>
          <w:rFonts w:ascii="Arial" w:hAnsi="Arial" w:cs="Arial"/>
          <w:shd w:val="clear" w:color="auto" w:fill="FFFFFF"/>
        </w:rPr>
        <w:t xml:space="preserve">, whereas contrast-enhanced CT often demonstrates homogeneously enhancing lesions, frequently located in periventricular regions and characteristically lacking central necrosis, resulting in diffuse enhancement patterns. The degree of surrounding </w:t>
      </w:r>
      <w:proofErr w:type="spellStart"/>
      <w:r w:rsidRPr="001F6D0B">
        <w:rPr>
          <w:rFonts w:ascii="Arial" w:hAnsi="Arial" w:cs="Arial"/>
          <w:shd w:val="clear" w:color="auto" w:fill="FFFFFF"/>
        </w:rPr>
        <w:t>oedema</w:t>
      </w:r>
      <w:proofErr w:type="spellEnd"/>
      <w:r w:rsidRPr="001F6D0B">
        <w:rPr>
          <w:rFonts w:ascii="Arial" w:hAnsi="Arial" w:cs="Arial"/>
          <w:shd w:val="clear" w:color="auto" w:fill="FFFFFF"/>
        </w:rPr>
        <w:t xml:space="preserve"> is variable. Lesions are solitary in approximately 60–70% of patients, while the remainder present with multiple lesions; notably, multiple lesions are more commonly observed in immunocompromised individuals at the time of diagnosis.</w:t>
      </w:r>
    </w:p>
    <w:p w14:paraId="0C53A5D6" w14:textId="77777777" w:rsidR="001F6D0B" w:rsidRPr="001F6D0B" w:rsidRDefault="001F6D0B" w:rsidP="001F6D0B">
      <w:pPr>
        <w:spacing w:line="360" w:lineRule="auto"/>
        <w:ind w:firstLine="720"/>
        <w:jc w:val="both"/>
        <w:rPr>
          <w:rFonts w:ascii="Arial" w:hAnsi="Arial" w:cs="Arial"/>
          <w:shd w:val="clear" w:color="auto" w:fill="FFFFFF"/>
        </w:rPr>
      </w:pPr>
    </w:p>
    <w:p w14:paraId="000DC25C" w14:textId="77777777" w:rsidR="001F6D0B" w:rsidRPr="001F6D0B" w:rsidRDefault="001F6D0B" w:rsidP="001F6D0B">
      <w:pPr>
        <w:spacing w:line="360" w:lineRule="auto"/>
        <w:ind w:firstLine="720"/>
        <w:jc w:val="both"/>
        <w:rPr>
          <w:rFonts w:ascii="Arial" w:hAnsi="Arial" w:cs="Arial"/>
          <w:shd w:val="clear" w:color="auto" w:fill="FFFFFF"/>
        </w:rPr>
      </w:pPr>
      <w:r w:rsidRPr="001F6D0B">
        <w:rPr>
          <w:rFonts w:ascii="Arial" w:hAnsi="Arial" w:cs="Arial"/>
          <w:shd w:val="clear" w:color="auto" w:fill="FFFFFF"/>
        </w:rPr>
        <w:t xml:space="preserve">Magnetic resonance imaging is considered superior and represents the imaging modality of choice. However, conventional MRI findings may not reliably distinguish PCNSL from other intracranial pathologies, including metastatic </w:t>
      </w:r>
      <w:proofErr w:type="spellStart"/>
      <w:r w:rsidRPr="001F6D0B">
        <w:rPr>
          <w:rFonts w:ascii="Arial" w:hAnsi="Arial" w:cs="Arial"/>
          <w:shd w:val="clear" w:color="auto" w:fill="FFFFFF"/>
        </w:rPr>
        <w:t>tumours</w:t>
      </w:r>
      <w:proofErr w:type="spellEnd"/>
      <w:r w:rsidRPr="001F6D0B">
        <w:rPr>
          <w:rFonts w:ascii="Arial" w:hAnsi="Arial" w:cs="Arial"/>
          <w:shd w:val="clear" w:color="auto" w:fill="FFFFFF"/>
        </w:rPr>
        <w:t>, high-grade gliomas, meningiomas, or non-neoplastic conditions such as multiple sclerosis, cerebrovascular accidents, and pyogenic abscesses, as these entities may also exhibit marked contrast enhancement on both CT and MRI [8].</w:t>
      </w:r>
    </w:p>
    <w:p w14:paraId="2AE5FF11" w14:textId="77777777" w:rsidR="001F6D0B" w:rsidRPr="001F6D0B" w:rsidRDefault="001F6D0B" w:rsidP="001F6D0B">
      <w:pPr>
        <w:spacing w:line="360" w:lineRule="auto"/>
        <w:ind w:firstLine="720"/>
        <w:jc w:val="both"/>
        <w:rPr>
          <w:rFonts w:ascii="Arial" w:hAnsi="Arial" w:cs="Arial"/>
          <w:shd w:val="clear" w:color="auto" w:fill="FFFFFF"/>
        </w:rPr>
      </w:pPr>
    </w:p>
    <w:p w14:paraId="343503B9" w14:textId="7340592D" w:rsidR="00F754FA" w:rsidRDefault="001F6D0B" w:rsidP="001F6D0B">
      <w:pPr>
        <w:spacing w:line="360" w:lineRule="auto"/>
        <w:ind w:firstLine="720"/>
        <w:jc w:val="both"/>
        <w:rPr>
          <w:rFonts w:ascii="Arial" w:hAnsi="Arial" w:cs="Arial"/>
          <w:shd w:val="clear" w:color="auto" w:fill="FFFFFF"/>
        </w:rPr>
      </w:pPr>
      <w:r w:rsidRPr="001F6D0B">
        <w:rPr>
          <w:rFonts w:ascii="Arial" w:hAnsi="Arial" w:cs="Arial"/>
          <w:shd w:val="clear" w:color="auto" w:fill="FFFFFF"/>
        </w:rPr>
        <w:t xml:space="preserve">Advanced imaging techniques, particularly contrast-enhanced MRI with perfusion-weighted imaging using gadolinium, provide improved diagnostic accuracy and are therefore preferred. Radiologically, PCNSL most commonly presents as a single lesion, often located within the cerebral hemispheres, basal ganglia, corpus callosum, or periventricular regions (approximately 66% of cases), with a predominance in supratentorial locations (87%) and the frontoparietal lobes (39%). Less commonly, involvement may extend to the eyes (15–25%) and cerebrospinal fluid (7–42%), while spinal cord involvement remains rare. Additionally, </w:t>
      </w:r>
      <w:r w:rsidRPr="001F6D0B">
        <w:rPr>
          <w:rFonts w:ascii="Arial" w:hAnsi="Arial" w:cs="Arial"/>
          <w:shd w:val="clear" w:color="auto" w:fill="FFFFFF"/>
        </w:rPr>
        <w:lastRenderedPageBreak/>
        <w:t>functional imaging modalities such as fluorodeoxyglucose positron emission tomography (FDG-PET) may further assist in differentiating PCNSL from other intracranial lesions [8].</w:t>
      </w:r>
    </w:p>
    <w:p w14:paraId="06AA0CA9" w14:textId="77777777" w:rsidR="001F6D0B" w:rsidRPr="00E246A9" w:rsidRDefault="001F6D0B" w:rsidP="001F6D0B">
      <w:pPr>
        <w:spacing w:line="360" w:lineRule="auto"/>
        <w:ind w:firstLine="720"/>
        <w:jc w:val="both"/>
        <w:rPr>
          <w:rFonts w:ascii="Arial" w:hAnsi="Arial" w:cs="Arial"/>
        </w:rPr>
      </w:pPr>
    </w:p>
    <w:p w14:paraId="37404668" w14:textId="77777777" w:rsidR="00B31657" w:rsidRPr="00B31657" w:rsidRDefault="00B31657" w:rsidP="00B31657">
      <w:pPr>
        <w:spacing w:line="360" w:lineRule="auto"/>
        <w:ind w:firstLine="720"/>
        <w:jc w:val="both"/>
        <w:rPr>
          <w:rFonts w:ascii="Arial" w:hAnsi="Arial" w:cs="Arial"/>
        </w:rPr>
      </w:pPr>
      <w:r w:rsidRPr="00B31657">
        <w:rPr>
          <w:rFonts w:ascii="Arial" w:hAnsi="Arial" w:cs="Arial"/>
        </w:rPr>
        <w:t>In the present case, a postoperative positron emission tomography (PET) scan demonstrated a hypermetabolic focus involving the residual left frontal and left parietal lobes, accompanied by a midline shift. Importantly, no additional areas of significant hypermetabolic activity were identified elsewhere, thereby reducing the likelihood of systemic dissemination or distant metastasis.</w:t>
      </w:r>
    </w:p>
    <w:p w14:paraId="37D9D3BB" w14:textId="77777777" w:rsidR="00B31657" w:rsidRPr="00B31657" w:rsidRDefault="00B31657" w:rsidP="00B31657">
      <w:pPr>
        <w:spacing w:line="360" w:lineRule="auto"/>
        <w:ind w:firstLine="720"/>
        <w:jc w:val="both"/>
        <w:rPr>
          <w:rFonts w:ascii="Arial" w:hAnsi="Arial" w:cs="Arial"/>
        </w:rPr>
      </w:pPr>
    </w:p>
    <w:p w14:paraId="3A9C7F81" w14:textId="77777777" w:rsidR="00B31657" w:rsidRPr="00B31657" w:rsidRDefault="00B31657" w:rsidP="00B31657">
      <w:pPr>
        <w:spacing w:line="360" w:lineRule="auto"/>
        <w:ind w:firstLine="720"/>
        <w:jc w:val="both"/>
        <w:rPr>
          <w:rFonts w:ascii="Arial" w:hAnsi="Arial" w:cs="Arial"/>
        </w:rPr>
      </w:pPr>
      <w:r w:rsidRPr="00B31657">
        <w:rPr>
          <w:rFonts w:ascii="Arial" w:hAnsi="Arial" w:cs="Arial"/>
        </w:rPr>
        <w:t xml:space="preserve">In typical primary central nervous system lymphoma (PCNSL), PET imaging characteristically reveals a markedly increased and relatively homogeneous uptake of ^18F-fluorodeoxyglucose (FDG), predominantly within subcortical regions. This hypermetabolic pattern is often accentuated on visual analysis due to the relative hypometabolism observed in the surrounding cortex, which may result from </w:t>
      </w:r>
      <w:proofErr w:type="spellStart"/>
      <w:r w:rsidRPr="00B31657">
        <w:rPr>
          <w:rFonts w:ascii="Arial" w:hAnsi="Arial" w:cs="Arial"/>
        </w:rPr>
        <w:t>tumour</w:t>
      </w:r>
      <w:proofErr w:type="spellEnd"/>
      <w:r w:rsidRPr="00B31657">
        <w:rPr>
          <w:rFonts w:ascii="Arial" w:hAnsi="Arial" w:cs="Arial"/>
        </w:rPr>
        <w:t xml:space="preserve">-induced compression or associated </w:t>
      </w:r>
      <w:proofErr w:type="spellStart"/>
      <w:r w:rsidRPr="00B31657">
        <w:rPr>
          <w:rFonts w:ascii="Arial" w:hAnsi="Arial" w:cs="Arial"/>
        </w:rPr>
        <w:t>oedema</w:t>
      </w:r>
      <w:proofErr w:type="spellEnd"/>
      <w:r w:rsidRPr="00B31657">
        <w:rPr>
          <w:rFonts w:ascii="Arial" w:hAnsi="Arial" w:cs="Arial"/>
        </w:rPr>
        <w:t>. Notably, similar metabolic patterns may also be observed in cases of disease recurrence.</w:t>
      </w:r>
    </w:p>
    <w:p w14:paraId="20D45826" w14:textId="77777777" w:rsidR="00B31657" w:rsidRPr="00B31657" w:rsidRDefault="00B31657" w:rsidP="00B31657">
      <w:pPr>
        <w:spacing w:line="360" w:lineRule="auto"/>
        <w:ind w:firstLine="720"/>
        <w:jc w:val="both"/>
        <w:rPr>
          <w:rFonts w:ascii="Arial" w:hAnsi="Arial" w:cs="Arial"/>
        </w:rPr>
      </w:pPr>
    </w:p>
    <w:p w14:paraId="0D466CF2" w14:textId="77777777" w:rsidR="00B31657" w:rsidRPr="00B31657" w:rsidRDefault="00B31657" w:rsidP="00B31657">
      <w:pPr>
        <w:spacing w:line="360" w:lineRule="auto"/>
        <w:ind w:firstLine="720"/>
        <w:jc w:val="both"/>
        <w:rPr>
          <w:rFonts w:ascii="Arial" w:hAnsi="Arial" w:cs="Arial"/>
        </w:rPr>
      </w:pPr>
      <w:r w:rsidRPr="00B31657">
        <w:rPr>
          <w:rFonts w:ascii="Arial" w:hAnsi="Arial" w:cs="Arial"/>
        </w:rPr>
        <w:t xml:space="preserve">Beyond its diagnostic utility, FDG-PET plays a critical role in both the initial staging and subsequent follow-up of PCNSL. It offers greater sensitivity than conventional imaging modalities for detecting occult systemic involvement and is particularly valuable in excluding systemic non-Hodgkin lymphoma at the time of presentation [1]. In this context, a study by </w:t>
      </w:r>
      <w:proofErr w:type="spellStart"/>
      <w:r w:rsidRPr="00B31657">
        <w:rPr>
          <w:rFonts w:ascii="Arial" w:hAnsi="Arial" w:cs="Arial"/>
        </w:rPr>
        <w:t>Mohile</w:t>
      </w:r>
      <w:proofErr w:type="spellEnd"/>
      <w:r w:rsidRPr="00B31657">
        <w:rPr>
          <w:rFonts w:ascii="Arial" w:hAnsi="Arial" w:cs="Arial"/>
        </w:rPr>
        <w:t xml:space="preserve"> et al. reported that approximately 7% of patients with presumed PCNSL were subsequently found to have systemic non-Hodgkin lymphoma on whole-body FDG-PET, despite negative findings on computed tomography and bone marrow biopsy [9]. Furthermore, FDG-PET has demonstrated utility in restaging, with positive findings in approximately 27% of patients evaluated for suspected disease recurrence.</w:t>
      </w:r>
    </w:p>
    <w:p w14:paraId="61CE29CC" w14:textId="77777777" w:rsidR="00B31657" w:rsidRPr="00B31657" w:rsidRDefault="00B31657" w:rsidP="00B31657">
      <w:pPr>
        <w:spacing w:line="360" w:lineRule="auto"/>
        <w:ind w:firstLine="720"/>
        <w:jc w:val="both"/>
        <w:rPr>
          <w:rFonts w:ascii="Arial" w:hAnsi="Arial" w:cs="Arial"/>
        </w:rPr>
      </w:pPr>
    </w:p>
    <w:p w14:paraId="5BD92703" w14:textId="3D26658E" w:rsidR="00F754FA" w:rsidRPr="00E246A9" w:rsidRDefault="00B31657" w:rsidP="00B31657">
      <w:pPr>
        <w:spacing w:line="360" w:lineRule="auto"/>
        <w:ind w:firstLine="720"/>
        <w:jc w:val="both"/>
        <w:rPr>
          <w:rFonts w:ascii="Arial" w:hAnsi="Arial" w:cs="Arial"/>
        </w:rPr>
      </w:pPr>
      <w:r w:rsidRPr="00B31657">
        <w:rPr>
          <w:rFonts w:ascii="Arial" w:hAnsi="Arial" w:cs="Arial"/>
        </w:rPr>
        <w:t>However, interpretation of PET findings in the CNS can be challenging due to the inherently high physiological FDG uptake in regions such as the basal ganglia, cerebral cortex, and thalamus, which may obscure or mimic pathological activity. Consequently, despite the significant advances in imaging techniques, histopathological confirmation through tissue diagnosis remains the gold standard for definitive diagnosis [1,3].</w:t>
      </w:r>
      <w:bookmarkStart w:id="0" w:name="_GoBack"/>
      <w:bookmarkEnd w:id="0"/>
    </w:p>
    <w:p w14:paraId="34BA9633" w14:textId="77777777" w:rsidR="00F754FA" w:rsidRPr="00E246A9" w:rsidRDefault="00F754FA" w:rsidP="00F754FA">
      <w:pPr>
        <w:spacing w:line="360" w:lineRule="auto"/>
        <w:ind w:firstLine="720"/>
        <w:jc w:val="both"/>
        <w:rPr>
          <w:rFonts w:ascii="Arial" w:hAnsi="Arial" w:cs="Arial"/>
          <w:shd w:val="clear" w:color="auto" w:fill="FFFFFF"/>
        </w:rPr>
      </w:pPr>
      <w:r w:rsidRPr="00E246A9">
        <w:rPr>
          <w:rFonts w:ascii="Arial" w:hAnsi="Arial" w:cs="Arial"/>
        </w:rPr>
        <w:t xml:space="preserve">Tissue diagnosis can be obtained either through biopsy or through surgical resection. Studies compare the outcomes of surgical resection vs biopsy. From a systematic review by </w:t>
      </w:r>
      <w:proofErr w:type="spellStart"/>
      <w:r w:rsidRPr="00E246A9">
        <w:rPr>
          <w:rFonts w:ascii="Arial" w:hAnsi="Arial" w:cs="Arial"/>
        </w:rPr>
        <w:t>Chojak</w:t>
      </w:r>
      <w:proofErr w:type="spellEnd"/>
      <w:r w:rsidRPr="00E246A9">
        <w:rPr>
          <w:rFonts w:ascii="Arial" w:hAnsi="Arial" w:cs="Arial"/>
        </w:rPr>
        <w:t xml:space="preserve"> et al noted there are few studies that indicate surgical resection may improve overall survival and progression free survival, while other studies found that no significant difference </w:t>
      </w:r>
      <w:r w:rsidRPr="00E246A9">
        <w:rPr>
          <w:rFonts w:ascii="Arial" w:hAnsi="Arial" w:cs="Arial"/>
        </w:rPr>
        <w:lastRenderedPageBreak/>
        <w:t>between resection and biopsy.</w:t>
      </w:r>
      <w:r w:rsidRPr="00E246A9">
        <w:rPr>
          <w:rFonts w:ascii="Arial" w:hAnsi="Arial" w:cs="Arial"/>
          <w:vertAlign w:val="superscript"/>
        </w:rPr>
        <w:t>[10]</w:t>
      </w:r>
      <w:r w:rsidRPr="00E246A9">
        <w:rPr>
          <w:rFonts w:ascii="Arial" w:hAnsi="Arial" w:cs="Arial"/>
        </w:rPr>
        <w:t xml:space="preserve"> Especially if the patients are over 70, with multiple or deep-seated lesions, or with low </w:t>
      </w:r>
      <w:proofErr w:type="spellStart"/>
      <w:r w:rsidRPr="00E246A9">
        <w:rPr>
          <w:rFonts w:ascii="Arial" w:hAnsi="Arial" w:cs="Arial"/>
        </w:rPr>
        <w:t>Karnofsky</w:t>
      </w:r>
      <w:proofErr w:type="spellEnd"/>
      <w:r w:rsidRPr="00E246A9">
        <w:rPr>
          <w:rFonts w:ascii="Arial" w:hAnsi="Arial" w:cs="Arial"/>
        </w:rPr>
        <w:t xml:space="preserve"> Performance Status (KPS). On the contrary, study by </w:t>
      </w:r>
      <w:proofErr w:type="spellStart"/>
      <w:r w:rsidRPr="00E246A9">
        <w:rPr>
          <w:rFonts w:ascii="Arial" w:hAnsi="Arial" w:cs="Arial"/>
        </w:rPr>
        <w:t>Schellekes</w:t>
      </w:r>
      <w:proofErr w:type="spellEnd"/>
      <w:r w:rsidRPr="00E246A9">
        <w:rPr>
          <w:rFonts w:ascii="Arial" w:hAnsi="Arial" w:cs="Arial"/>
        </w:rPr>
        <w:t xml:space="preserve"> et al. found that patients under 70 with superficially located single lesions and a postoperative KPS &gt;70 benefited significantly from resection.</w:t>
      </w:r>
      <w:r w:rsidRPr="00E246A9">
        <w:rPr>
          <w:rFonts w:ascii="Arial" w:hAnsi="Arial" w:cs="Arial"/>
          <w:vertAlign w:val="superscript"/>
        </w:rPr>
        <w:t>[11]</w:t>
      </w:r>
      <w:r w:rsidRPr="00E246A9">
        <w:rPr>
          <w:rFonts w:ascii="Arial" w:hAnsi="Arial" w:cs="Arial"/>
        </w:rPr>
        <w:t xml:space="preserve"> Often, </w:t>
      </w:r>
      <w:r w:rsidRPr="00E246A9">
        <w:rPr>
          <w:rFonts w:ascii="Arial" w:hAnsi="Arial" w:cs="Arial"/>
          <w:shd w:val="clear" w:color="auto" w:fill="FFFFFF"/>
        </w:rPr>
        <w:t>patients selected for biopsy are those that have multiple or deep-seated lesions; they are older and not fit for surgery.</w:t>
      </w:r>
      <w:r w:rsidRPr="00E246A9">
        <w:rPr>
          <w:rFonts w:ascii="Arial" w:hAnsi="Arial" w:cs="Arial"/>
          <w:shd w:val="clear" w:color="auto" w:fill="FFFFFF"/>
          <w:vertAlign w:val="superscript"/>
        </w:rPr>
        <w:t>[10]</w:t>
      </w:r>
      <w:r w:rsidRPr="00E246A9">
        <w:rPr>
          <w:rFonts w:ascii="Arial" w:hAnsi="Arial" w:cs="Arial"/>
          <w:shd w:val="clear" w:color="auto" w:fill="FFFFFF"/>
        </w:rPr>
        <w:t xml:space="preserve"> In a separate study, surgical resection is important for management of PCNSL especially when in combination with chemotherapy and radiotherapy.</w:t>
      </w:r>
      <w:r w:rsidRPr="00E246A9">
        <w:rPr>
          <w:rFonts w:ascii="Arial" w:hAnsi="Arial" w:cs="Arial"/>
          <w:shd w:val="clear" w:color="auto" w:fill="FFFFFF"/>
          <w:vertAlign w:val="superscript"/>
        </w:rPr>
        <w:t xml:space="preserve">[6] </w:t>
      </w:r>
      <w:r w:rsidRPr="00E246A9">
        <w:rPr>
          <w:rFonts w:ascii="Arial" w:hAnsi="Arial" w:cs="Arial"/>
          <w:shd w:val="clear" w:color="auto" w:fill="FFFFFF"/>
        </w:rPr>
        <w:t>Complications from both either surgical resection and biopsy includes surgical site infection, meningitis, cerebrospinal fluid leak, intracranial bleeding, seizure, focal deficit and brain infarction. In a study by Morell et al, showed that biopsy have low rate of complications.</w:t>
      </w:r>
      <w:r w:rsidRPr="00E246A9">
        <w:rPr>
          <w:rFonts w:ascii="Arial" w:hAnsi="Arial" w:cs="Arial"/>
          <w:shd w:val="clear" w:color="auto" w:fill="FFFFFF"/>
          <w:vertAlign w:val="superscript"/>
        </w:rPr>
        <w:t>[12]</w:t>
      </w:r>
      <w:r w:rsidRPr="00E246A9">
        <w:rPr>
          <w:rFonts w:ascii="Arial" w:hAnsi="Arial" w:cs="Arial"/>
          <w:shd w:val="clear" w:color="auto" w:fill="FFFFFF"/>
        </w:rPr>
        <w:t xml:space="preserve"> On the other hand, study by </w:t>
      </w:r>
      <w:proofErr w:type="spellStart"/>
      <w:r w:rsidRPr="00E246A9">
        <w:rPr>
          <w:rFonts w:ascii="Arial" w:hAnsi="Arial" w:cs="Arial"/>
          <w:shd w:val="clear" w:color="auto" w:fill="FFFFFF"/>
        </w:rPr>
        <w:t>Chojak</w:t>
      </w:r>
      <w:proofErr w:type="spellEnd"/>
      <w:r w:rsidRPr="00E246A9">
        <w:rPr>
          <w:rFonts w:ascii="Arial" w:hAnsi="Arial" w:cs="Arial"/>
          <w:shd w:val="clear" w:color="auto" w:fill="FFFFFF"/>
        </w:rPr>
        <w:t xml:space="preserve"> et al showed there are no significant difference of complications between surgery and biopsy.</w:t>
      </w:r>
      <w:r w:rsidRPr="00E246A9">
        <w:rPr>
          <w:rFonts w:ascii="Arial" w:hAnsi="Arial" w:cs="Arial"/>
          <w:shd w:val="clear" w:color="auto" w:fill="FFFFFF"/>
          <w:vertAlign w:val="superscript"/>
        </w:rPr>
        <w:t>[10]</w:t>
      </w:r>
    </w:p>
    <w:p w14:paraId="4B6E11C9" w14:textId="179E555D" w:rsidR="00F754FA" w:rsidRPr="00E246A9" w:rsidRDefault="00F754FA" w:rsidP="00F754FA">
      <w:pPr>
        <w:spacing w:before="100" w:beforeAutospacing="1" w:after="100" w:afterAutospacing="1" w:line="360" w:lineRule="auto"/>
        <w:ind w:firstLine="720"/>
        <w:jc w:val="both"/>
        <w:rPr>
          <w:rFonts w:ascii="Arial" w:hAnsi="Arial" w:cs="Arial"/>
        </w:rPr>
      </w:pPr>
      <w:r w:rsidRPr="00E246A9">
        <w:rPr>
          <w:rFonts w:ascii="Arial" w:hAnsi="Arial" w:cs="Arial"/>
          <w:lang w:eastAsia="en-MY"/>
        </w:rPr>
        <w:t>Primary central nervous system lymphoma (PCNSL) is highly sensitive to both chemotherapy and radiation, which can improve patient survival. High-dose methotrexate (HD-MTX)-based chemotherapy is the recommended first-line treatment.</w:t>
      </w:r>
      <w:r w:rsidRPr="00E246A9">
        <w:rPr>
          <w:rFonts w:ascii="Arial" w:hAnsi="Arial" w:cs="Arial"/>
          <w:vertAlign w:val="superscript"/>
          <w:lang w:eastAsia="en-MY"/>
        </w:rPr>
        <w:t xml:space="preserve">[10][13] </w:t>
      </w:r>
      <w:r w:rsidRPr="00E246A9">
        <w:rPr>
          <w:rFonts w:ascii="Arial" w:hAnsi="Arial" w:cs="Arial"/>
          <w:lang w:eastAsia="en-MY"/>
        </w:rPr>
        <w:t xml:space="preserve">However, while effective, relapse is common. </w:t>
      </w:r>
      <w:r w:rsidRPr="00E246A9">
        <w:rPr>
          <w:rFonts w:ascii="Arial" w:hAnsi="Arial" w:cs="Arial"/>
        </w:rPr>
        <w:t>Up to half of patients may have relapse and 10% to 15% have primary refractory disease</w:t>
      </w:r>
      <w:r w:rsidRPr="00E246A9">
        <w:rPr>
          <w:rFonts w:ascii="Arial" w:hAnsi="Arial" w:cs="Arial"/>
          <w:lang w:eastAsia="en-MY"/>
        </w:rPr>
        <w:t>.</w:t>
      </w:r>
      <w:r w:rsidRPr="00E246A9">
        <w:rPr>
          <w:rFonts w:ascii="Arial" w:hAnsi="Arial" w:cs="Arial"/>
          <w:vertAlign w:val="superscript"/>
          <w:lang w:eastAsia="en-MY"/>
        </w:rPr>
        <w:t xml:space="preserve">[14] </w:t>
      </w:r>
      <w:r w:rsidRPr="00E246A9">
        <w:rPr>
          <w:rFonts w:ascii="Arial" w:hAnsi="Arial" w:cs="Arial"/>
          <w:lang w:eastAsia="en-MY"/>
        </w:rPr>
        <w:t xml:space="preserve">In our case, </w:t>
      </w:r>
      <w:proofErr w:type="spellStart"/>
      <w:r w:rsidRPr="00E246A9">
        <w:rPr>
          <w:rFonts w:ascii="Arial" w:hAnsi="Arial" w:cs="Arial"/>
          <w:lang w:eastAsia="en-MY"/>
        </w:rPr>
        <w:t>haematology</w:t>
      </w:r>
      <w:proofErr w:type="spellEnd"/>
      <w:r w:rsidRPr="00E246A9">
        <w:rPr>
          <w:rFonts w:ascii="Arial" w:hAnsi="Arial" w:cs="Arial"/>
          <w:lang w:eastAsia="en-MY"/>
        </w:rPr>
        <w:t xml:space="preserve"> team started her on a chemotherapy regimen of rituximab, methotrexate, procarbazine, and vincristine (R-MPV).</w:t>
      </w:r>
      <w:r w:rsidRPr="00E246A9">
        <w:rPr>
          <w:rFonts w:ascii="Arial" w:hAnsi="Arial" w:cs="Arial"/>
          <w:shd w:val="clear" w:color="auto" w:fill="FFFFFF"/>
        </w:rPr>
        <w:t> In a trial involving treatment with R-MPV, there is a complete response rate of 47-79% in patient receiving 5-7 cycles of chemotherapy respectively.</w:t>
      </w:r>
      <w:r w:rsidRPr="00E246A9">
        <w:rPr>
          <w:rFonts w:ascii="Arial" w:hAnsi="Arial" w:cs="Arial"/>
          <w:shd w:val="clear" w:color="auto" w:fill="FFFFFF"/>
          <w:vertAlign w:val="superscript"/>
        </w:rPr>
        <w:t xml:space="preserve">[1] </w:t>
      </w:r>
      <w:r w:rsidRPr="00E246A9">
        <w:rPr>
          <w:rFonts w:ascii="Arial" w:hAnsi="Arial" w:cs="Arial"/>
          <w:lang w:eastAsia="en-MY"/>
        </w:rPr>
        <w:t>Standard treatments for other lymphomas, like diffuse large B-cell lymphoma (DLBCL), are ineffective for PCNSL due to poor penetration across the blood-brain barrier (BBB).</w:t>
      </w:r>
      <w:r w:rsidRPr="00E246A9">
        <w:rPr>
          <w:rFonts w:ascii="Arial" w:hAnsi="Arial" w:cs="Arial"/>
          <w:vertAlign w:val="superscript"/>
          <w:lang w:eastAsia="en-MY"/>
        </w:rPr>
        <w:t xml:space="preserve">[14] </w:t>
      </w:r>
      <w:r w:rsidRPr="00E246A9">
        <w:rPr>
          <w:rFonts w:ascii="Arial" w:hAnsi="Arial" w:cs="Arial"/>
          <w:lang w:eastAsia="en-MY"/>
        </w:rPr>
        <w:t>Some studies report a 90% response rate and a median survival of 60 months with combinations like HD-MTX and procarbazine. Meanwhile, temozolomide, which crosses the BBB, has also shown effectiveness and may be used in refractory cases.</w:t>
      </w:r>
      <w:r w:rsidRPr="00E246A9">
        <w:rPr>
          <w:rFonts w:ascii="Arial" w:hAnsi="Arial" w:cs="Arial"/>
          <w:vertAlign w:val="superscript"/>
          <w:lang w:eastAsia="en-MY"/>
        </w:rPr>
        <w:t>[6]</w:t>
      </w:r>
      <w:r w:rsidRPr="00E246A9">
        <w:rPr>
          <w:rFonts w:ascii="Arial" w:hAnsi="Arial" w:cs="Arial"/>
          <w:lang w:eastAsia="en-MY"/>
        </w:rPr>
        <w:t xml:space="preserve"> Stem cell transplant (ASCT) can help address chemoresistance and in cases of relapse or refractory.</w:t>
      </w:r>
      <w:r w:rsidRPr="00E246A9">
        <w:rPr>
          <w:rFonts w:ascii="Arial" w:hAnsi="Arial" w:cs="Arial"/>
          <w:vertAlign w:val="superscript"/>
          <w:lang w:eastAsia="en-MY"/>
        </w:rPr>
        <w:t xml:space="preserve">[13][14] </w:t>
      </w:r>
      <w:r w:rsidRPr="00E246A9">
        <w:rPr>
          <w:rFonts w:ascii="Arial" w:hAnsi="Arial" w:cs="Arial"/>
          <w:lang w:eastAsia="en-MY"/>
        </w:rPr>
        <w:t xml:space="preserve">As for </w:t>
      </w:r>
      <w:r w:rsidRPr="00E246A9">
        <w:rPr>
          <w:rFonts w:ascii="Arial" w:hAnsi="Arial" w:cs="Arial"/>
          <w:shd w:val="clear" w:color="auto" w:fill="FFFFFF"/>
        </w:rPr>
        <w:t xml:space="preserve">radiation therapy, whole brain irradiation of 40–50 </w:t>
      </w:r>
      <w:proofErr w:type="spellStart"/>
      <w:r w:rsidRPr="00E246A9">
        <w:rPr>
          <w:rFonts w:ascii="Arial" w:hAnsi="Arial" w:cs="Arial"/>
          <w:shd w:val="clear" w:color="auto" w:fill="FFFFFF"/>
        </w:rPr>
        <w:t>Gy</w:t>
      </w:r>
      <w:proofErr w:type="spellEnd"/>
      <w:r w:rsidRPr="00E246A9">
        <w:rPr>
          <w:rFonts w:ascii="Arial" w:hAnsi="Arial" w:cs="Arial"/>
          <w:shd w:val="clear" w:color="auto" w:fill="FFFFFF"/>
        </w:rPr>
        <w:t xml:space="preserve"> followed by localized irradiation of 60 </w:t>
      </w:r>
      <w:proofErr w:type="spellStart"/>
      <w:r w:rsidRPr="00E246A9">
        <w:rPr>
          <w:rFonts w:ascii="Arial" w:hAnsi="Arial" w:cs="Arial"/>
          <w:shd w:val="clear" w:color="auto" w:fill="FFFFFF"/>
        </w:rPr>
        <w:t>Gy</w:t>
      </w:r>
      <w:proofErr w:type="spellEnd"/>
      <w:r w:rsidRPr="00E246A9">
        <w:rPr>
          <w:rFonts w:ascii="Arial" w:hAnsi="Arial" w:cs="Arial"/>
          <w:shd w:val="clear" w:color="auto" w:fill="FFFFFF"/>
        </w:rPr>
        <w:t xml:space="preserve"> on regions of </w:t>
      </w:r>
      <w:proofErr w:type="spellStart"/>
      <w:r w:rsidRPr="00E246A9">
        <w:rPr>
          <w:rFonts w:ascii="Arial" w:hAnsi="Arial" w:cs="Arial"/>
          <w:shd w:val="clear" w:color="auto" w:fill="FFFFFF"/>
        </w:rPr>
        <w:t>oedema</w:t>
      </w:r>
      <w:proofErr w:type="spellEnd"/>
      <w:r w:rsidRPr="00E246A9">
        <w:rPr>
          <w:rFonts w:ascii="Arial" w:hAnsi="Arial" w:cs="Arial"/>
          <w:shd w:val="clear" w:color="auto" w:fill="FFFFFF"/>
        </w:rPr>
        <w:t xml:space="preserve"> is recommended as the best regimen.</w:t>
      </w:r>
      <w:r w:rsidRPr="00E246A9">
        <w:rPr>
          <w:rFonts w:ascii="Arial" w:hAnsi="Arial" w:cs="Arial"/>
          <w:shd w:val="clear" w:color="auto" w:fill="FFFFFF"/>
          <w:vertAlign w:val="superscript"/>
        </w:rPr>
        <w:t xml:space="preserve">[6] </w:t>
      </w:r>
      <w:r w:rsidRPr="00E246A9">
        <w:rPr>
          <w:rFonts w:ascii="Arial" w:hAnsi="Arial" w:cs="Arial"/>
          <w:shd w:val="clear" w:color="auto" w:fill="FFFFFF"/>
        </w:rPr>
        <w:t xml:space="preserve">Previously </w:t>
      </w:r>
      <w:r w:rsidRPr="00E246A9">
        <w:rPr>
          <w:rFonts w:ascii="Arial" w:hAnsi="Arial" w:cs="Arial"/>
        </w:rPr>
        <w:t>whole-brain radiotherapy (WBRT) has been used to treat newly diagnosed PCNSL. Overall response rates (ORRs) reached 90%, but overall survival (OS) was limited to 12 to 18 months. When it is added to the HD-MTX treatment, it enhanced and prolonged survival in PCNSL.</w:t>
      </w:r>
      <w:r w:rsidRPr="00E246A9">
        <w:rPr>
          <w:rFonts w:ascii="Arial" w:hAnsi="Arial" w:cs="Arial"/>
          <w:vertAlign w:val="superscript"/>
        </w:rPr>
        <w:t xml:space="preserve">[14] </w:t>
      </w:r>
    </w:p>
    <w:p w14:paraId="3EC3A982" w14:textId="77777777" w:rsidR="00F754FA" w:rsidRDefault="00F754FA" w:rsidP="00F754FA">
      <w:pPr>
        <w:pStyle w:val="ConcHead"/>
        <w:spacing w:after="0"/>
        <w:jc w:val="both"/>
        <w:rPr>
          <w:rFonts w:ascii="Arial" w:hAnsi="Arial" w:cs="Arial"/>
        </w:rPr>
      </w:pPr>
    </w:p>
    <w:p w14:paraId="28887769" w14:textId="77777777" w:rsidR="00A75A77" w:rsidRDefault="00A75A77" w:rsidP="00F754FA">
      <w:pPr>
        <w:pStyle w:val="ConcHead"/>
        <w:spacing w:after="0"/>
        <w:jc w:val="both"/>
        <w:rPr>
          <w:rFonts w:ascii="Arial" w:hAnsi="Arial" w:cs="Arial"/>
        </w:rPr>
      </w:pPr>
      <w:r>
        <w:rPr>
          <w:rFonts w:ascii="Arial" w:hAnsi="Arial" w:cs="Arial"/>
        </w:rPr>
        <w:t>LIMITATION</w:t>
      </w:r>
    </w:p>
    <w:p w14:paraId="0B54CC05" w14:textId="0F8B651A" w:rsidR="00A75A77" w:rsidRDefault="00A75A77" w:rsidP="00F754FA">
      <w:pPr>
        <w:pStyle w:val="ConcHead"/>
        <w:spacing w:after="0"/>
        <w:jc w:val="both"/>
        <w:rPr>
          <w:rFonts w:ascii="Arial" w:hAnsi="Arial" w:cs="Arial"/>
        </w:rPr>
      </w:pPr>
    </w:p>
    <w:p w14:paraId="71B243C6" w14:textId="77777777" w:rsidR="002B4AF2" w:rsidRDefault="002B4AF2" w:rsidP="00F754FA">
      <w:pPr>
        <w:pStyle w:val="ConcHead"/>
        <w:spacing w:after="0"/>
        <w:jc w:val="both"/>
        <w:rPr>
          <w:rFonts w:ascii="Arial" w:hAnsi="Arial" w:cs="Arial"/>
        </w:rPr>
      </w:pPr>
    </w:p>
    <w:p w14:paraId="237933B2" w14:textId="05099CE0" w:rsidR="00A75A77" w:rsidRPr="00A75A77" w:rsidRDefault="00A75A77" w:rsidP="00F754FA">
      <w:pPr>
        <w:pStyle w:val="ConcHead"/>
        <w:spacing w:after="0"/>
        <w:jc w:val="both"/>
        <w:rPr>
          <w:rFonts w:ascii="Arial" w:hAnsi="Arial" w:cs="Arial"/>
          <w:b w:val="0"/>
          <w:bCs/>
          <w:caps w:val="0"/>
          <w:sz w:val="20"/>
        </w:rPr>
      </w:pPr>
      <w:r>
        <w:rPr>
          <w:rFonts w:ascii="Arial" w:hAnsi="Arial" w:cs="Arial"/>
          <w:caps w:val="0"/>
        </w:rPr>
        <w:tab/>
      </w:r>
      <w:r w:rsidRPr="00A75A77">
        <w:rPr>
          <w:rFonts w:ascii="Arial" w:hAnsi="Arial" w:cs="Arial"/>
          <w:b w:val="0"/>
          <w:bCs/>
          <w:caps w:val="0"/>
          <w:sz w:val="20"/>
        </w:rPr>
        <w:t>This case report is limited by its single-patient design and short follow-up period, which restrict generalizability and long-term outcome assessment. In addition to this, we did not proceed with any molecular studies which may be valuable in providing further prognostic insights.</w:t>
      </w:r>
    </w:p>
    <w:p w14:paraId="5CD40322" w14:textId="197D81EC" w:rsidR="00A75A77" w:rsidRDefault="00A75A77" w:rsidP="00F754FA">
      <w:pPr>
        <w:pStyle w:val="ConcHead"/>
        <w:spacing w:after="0"/>
        <w:jc w:val="both"/>
        <w:rPr>
          <w:rFonts w:ascii="Arial" w:hAnsi="Arial" w:cs="Arial"/>
        </w:rPr>
      </w:pPr>
    </w:p>
    <w:p w14:paraId="1446EF50" w14:textId="77777777" w:rsidR="00A75A77" w:rsidRPr="00A75A77" w:rsidRDefault="00A75A77" w:rsidP="00F754FA">
      <w:pPr>
        <w:pStyle w:val="ConcHead"/>
        <w:spacing w:after="0"/>
        <w:jc w:val="both"/>
        <w:rPr>
          <w:rFonts w:ascii="Arial" w:hAnsi="Arial" w:cs="Arial"/>
          <w:b w:val="0"/>
          <w:bCs/>
        </w:rPr>
      </w:pPr>
    </w:p>
    <w:p w14:paraId="7B0002AA" w14:textId="77777777" w:rsidR="00A75A77" w:rsidRDefault="00A75A77" w:rsidP="00F754FA">
      <w:pPr>
        <w:pStyle w:val="ConcHead"/>
        <w:spacing w:after="0"/>
        <w:jc w:val="both"/>
        <w:rPr>
          <w:rFonts w:ascii="Arial" w:hAnsi="Arial" w:cs="Arial"/>
        </w:rPr>
      </w:pPr>
    </w:p>
    <w:p w14:paraId="6D67BAF2" w14:textId="1659BA82" w:rsidR="00F754FA" w:rsidRPr="00E246A9" w:rsidRDefault="00F754FA" w:rsidP="00F754FA">
      <w:pPr>
        <w:pStyle w:val="ConcHead"/>
        <w:spacing w:after="0"/>
        <w:jc w:val="both"/>
        <w:rPr>
          <w:rFonts w:ascii="Arial" w:hAnsi="Arial" w:cs="Arial"/>
        </w:rPr>
      </w:pPr>
      <w:r w:rsidRPr="00E246A9">
        <w:rPr>
          <w:rFonts w:ascii="Arial" w:hAnsi="Arial" w:cs="Arial"/>
        </w:rPr>
        <w:t>Conclusion</w:t>
      </w:r>
    </w:p>
    <w:p w14:paraId="0A2BAD2B" w14:textId="075A462A" w:rsidR="00F754FA" w:rsidRDefault="00F754FA" w:rsidP="00F754FA">
      <w:pPr>
        <w:pStyle w:val="Body"/>
        <w:spacing w:after="0"/>
        <w:rPr>
          <w:rFonts w:ascii="Arial" w:hAnsi="Arial" w:cs="Arial"/>
        </w:rPr>
      </w:pPr>
    </w:p>
    <w:p w14:paraId="2D4273A1" w14:textId="77777777" w:rsidR="002B4AF2" w:rsidRPr="00E246A9" w:rsidRDefault="002B4AF2" w:rsidP="00F754FA">
      <w:pPr>
        <w:pStyle w:val="Body"/>
        <w:spacing w:after="0"/>
        <w:rPr>
          <w:rFonts w:ascii="Arial" w:hAnsi="Arial" w:cs="Arial"/>
        </w:rPr>
      </w:pPr>
    </w:p>
    <w:p w14:paraId="489F121A" w14:textId="5FD623D5" w:rsidR="00F754FA" w:rsidRDefault="00F754FA" w:rsidP="00F754FA">
      <w:pPr>
        <w:spacing w:line="360" w:lineRule="auto"/>
        <w:ind w:firstLine="720"/>
        <w:jc w:val="both"/>
        <w:rPr>
          <w:rFonts w:ascii="Arial" w:hAnsi="Arial" w:cs="Arial"/>
        </w:rPr>
      </w:pPr>
      <w:r w:rsidRPr="00E246A9">
        <w:rPr>
          <w:rFonts w:ascii="Arial" w:hAnsi="Arial" w:cs="Arial"/>
        </w:rPr>
        <w:t>In conclusion, primary central nervous system lymphoma (PCNSL) is a rare but aggressive form of diffuse large B-cell lymphoma, with a challenging diagnosis due to its nonspecific clinical presentation. While advancements in neuroimaging, biopsy techniques, and treatments, including chemotherapy and radiotherapy, have improved management, PCNSL remains a difficult disease to treat, especially due to frequent relapses and its resistance to conventional systemic therapies. This case underscores the importance of early diagnosis and a multidisciplinary approach to optimize outcomes, though the prognosis for PCNSL continues to be poor despite evolving therapeutic options.</w:t>
      </w:r>
    </w:p>
    <w:p w14:paraId="352988E2" w14:textId="15750C2A" w:rsidR="00CF6BF6" w:rsidRDefault="00CF6BF6" w:rsidP="00F754FA">
      <w:pPr>
        <w:spacing w:line="360" w:lineRule="auto"/>
        <w:ind w:firstLine="720"/>
        <w:jc w:val="both"/>
        <w:rPr>
          <w:rFonts w:ascii="Arial" w:hAnsi="Arial" w:cs="Arial"/>
        </w:rPr>
      </w:pPr>
    </w:p>
    <w:p w14:paraId="4633C9D3" w14:textId="77777777" w:rsidR="00CF6BF6" w:rsidRPr="00CF6BF6" w:rsidRDefault="00CF6BF6" w:rsidP="00CF6BF6">
      <w:pPr>
        <w:spacing w:line="360" w:lineRule="auto"/>
        <w:ind w:firstLine="720"/>
        <w:jc w:val="both"/>
        <w:rPr>
          <w:rFonts w:ascii="Arial" w:hAnsi="Arial" w:cs="Arial"/>
        </w:rPr>
      </w:pPr>
      <w:r w:rsidRPr="00CF6BF6">
        <w:rPr>
          <w:rFonts w:ascii="Arial" w:hAnsi="Arial" w:cs="Arial"/>
        </w:rPr>
        <w:t xml:space="preserve">Consent </w:t>
      </w:r>
    </w:p>
    <w:p w14:paraId="4660545D" w14:textId="4BD27ACB" w:rsidR="00CF6BF6" w:rsidRDefault="00CF6BF6" w:rsidP="00CF6BF6">
      <w:pPr>
        <w:spacing w:line="360" w:lineRule="auto"/>
        <w:ind w:firstLine="720"/>
        <w:jc w:val="both"/>
        <w:rPr>
          <w:rFonts w:ascii="Arial" w:hAnsi="Arial" w:cs="Arial"/>
        </w:rPr>
      </w:pPr>
      <w:r w:rsidRPr="00CF6BF6">
        <w:rPr>
          <w:rFonts w:ascii="Arial" w:hAnsi="Arial" w:cs="Arial"/>
        </w:rPr>
        <w:t>As per international standards or university standards, patient(s) written consent has been collected and preserved by the author(s).</w:t>
      </w:r>
    </w:p>
    <w:p w14:paraId="1986543A" w14:textId="77777777" w:rsidR="00F754FA" w:rsidRPr="00E246A9" w:rsidRDefault="00F754FA" w:rsidP="00F754FA">
      <w:pPr>
        <w:spacing w:line="360" w:lineRule="auto"/>
        <w:ind w:firstLine="720"/>
        <w:jc w:val="both"/>
        <w:rPr>
          <w:rFonts w:ascii="Arial" w:hAnsi="Arial" w:cs="Arial"/>
          <w:b/>
        </w:rPr>
      </w:pPr>
    </w:p>
    <w:p w14:paraId="5159F44F" w14:textId="77777777" w:rsidR="00F754FA" w:rsidRPr="00E246A9" w:rsidRDefault="00F754FA" w:rsidP="00F754FA">
      <w:pPr>
        <w:pStyle w:val="Body"/>
        <w:spacing w:after="0"/>
        <w:rPr>
          <w:rFonts w:ascii="Arial" w:hAnsi="Arial" w:cs="Arial"/>
        </w:rPr>
      </w:pPr>
    </w:p>
    <w:p w14:paraId="02FE603B" w14:textId="77777777" w:rsidR="00F754FA" w:rsidRPr="00E246A9" w:rsidRDefault="00F754FA" w:rsidP="00F754FA">
      <w:pPr>
        <w:pStyle w:val="NoSpacing"/>
        <w:rPr>
          <w:rFonts w:ascii="Arial" w:hAnsi="Arial" w:cs="Arial"/>
          <w:b/>
          <w:bCs/>
        </w:rPr>
      </w:pPr>
      <w:bookmarkStart w:id="1" w:name="_Hlk198031404"/>
      <w:bookmarkStart w:id="2" w:name="_Hlk221094604"/>
      <w:r w:rsidRPr="00E246A9">
        <w:rPr>
          <w:rFonts w:ascii="Arial" w:hAnsi="Arial" w:cs="Arial"/>
          <w:b/>
          <w:bCs/>
        </w:rPr>
        <w:t>DISCLAIMER (Artificial intelligence)</w:t>
      </w:r>
    </w:p>
    <w:p w14:paraId="73BE6FA1" w14:textId="695AAE12" w:rsidR="00F754FA" w:rsidRDefault="00F754FA" w:rsidP="00F754FA">
      <w:pPr>
        <w:pStyle w:val="NoSpacing"/>
        <w:rPr>
          <w:rFonts w:ascii="Arial" w:hAnsi="Arial" w:cs="Arial"/>
        </w:rPr>
      </w:pPr>
    </w:p>
    <w:p w14:paraId="56D4C66C" w14:textId="77777777" w:rsidR="002B4AF2" w:rsidRPr="00E246A9" w:rsidRDefault="002B4AF2" w:rsidP="00F754FA">
      <w:pPr>
        <w:pStyle w:val="NoSpacing"/>
        <w:rPr>
          <w:rFonts w:ascii="Arial" w:hAnsi="Arial" w:cs="Arial"/>
        </w:rPr>
      </w:pPr>
    </w:p>
    <w:p w14:paraId="6BCD562B" w14:textId="77777777" w:rsidR="00F754FA" w:rsidRPr="00E246A9" w:rsidRDefault="00F754FA" w:rsidP="002B4AF2">
      <w:pPr>
        <w:pStyle w:val="NoSpacing"/>
        <w:ind w:firstLine="720"/>
        <w:jc w:val="both"/>
        <w:rPr>
          <w:rFonts w:ascii="Arial" w:hAnsi="Arial" w:cs="Arial"/>
        </w:rPr>
      </w:pPr>
      <w:r w:rsidRPr="00E246A9">
        <w:rPr>
          <w:rFonts w:ascii="Arial" w:hAnsi="Arial" w:cs="Arial"/>
        </w:rPr>
        <w:t>Author(s) hereby declare that NO generative AI technologies such as Large Language Models (</w:t>
      </w:r>
      <w:proofErr w:type="spellStart"/>
      <w:r w:rsidRPr="00E246A9">
        <w:rPr>
          <w:rFonts w:ascii="Arial" w:hAnsi="Arial" w:cs="Arial"/>
        </w:rPr>
        <w:t>ChatGPT</w:t>
      </w:r>
      <w:proofErr w:type="spellEnd"/>
      <w:r w:rsidRPr="00E246A9">
        <w:rPr>
          <w:rFonts w:ascii="Arial" w:hAnsi="Arial" w:cs="Arial"/>
        </w:rPr>
        <w:t xml:space="preserve">, COPILOT, etc.) and text-to-image generators have been used during the writing or editing of this manuscript. </w:t>
      </w:r>
    </w:p>
    <w:bookmarkEnd w:id="1"/>
    <w:p w14:paraId="3F6FA8EE" w14:textId="1AE5B156" w:rsidR="00F754FA" w:rsidRDefault="00F754FA" w:rsidP="00F754FA">
      <w:pPr>
        <w:pStyle w:val="NoSpacing"/>
        <w:rPr>
          <w:rFonts w:ascii="Arial" w:hAnsi="Arial" w:cs="Arial"/>
        </w:rPr>
      </w:pPr>
    </w:p>
    <w:p w14:paraId="4C4F23E4" w14:textId="5EB9D06B" w:rsidR="00A75A77" w:rsidRPr="00A75A77" w:rsidRDefault="00A75A77" w:rsidP="00F754FA">
      <w:pPr>
        <w:pStyle w:val="NoSpacing"/>
        <w:rPr>
          <w:rFonts w:ascii="Arial" w:hAnsi="Arial" w:cs="Arial"/>
          <w:b/>
          <w:bCs/>
        </w:rPr>
      </w:pPr>
    </w:p>
    <w:bookmarkEnd w:id="2"/>
    <w:p w14:paraId="39B08F4C" w14:textId="77777777" w:rsidR="00F754FA" w:rsidRPr="00E246A9" w:rsidRDefault="00F754FA" w:rsidP="00F754FA">
      <w:pPr>
        <w:pStyle w:val="Body"/>
        <w:spacing w:after="0"/>
        <w:rPr>
          <w:rFonts w:ascii="Arial" w:hAnsi="Arial" w:cs="Arial"/>
        </w:rPr>
      </w:pPr>
    </w:p>
    <w:p w14:paraId="45763279" w14:textId="77777777" w:rsidR="00F754FA" w:rsidRPr="00E246A9" w:rsidRDefault="00F754FA" w:rsidP="00F754FA">
      <w:pPr>
        <w:rPr>
          <w:rFonts w:ascii="Arial" w:hAnsi="Arial" w:cs="Arial"/>
        </w:rPr>
      </w:pPr>
    </w:p>
    <w:p w14:paraId="627B19F5" w14:textId="77777777" w:rsidR="00F754FA" w:rsidRPr="00E246A9" w:rsidRDefault="00F754FA" w:rsidP="00F754FA">
      <w:pPr>
        <w:pStyle w:val="ReferHead"/>
        <w:spacing w:after="0"/>
        <w:jc w:val="both"/>
        <w:rPr>
          <w:rFonts w:ascii="Arial" w:hAnsi="Arial" w:cs="Arial"/>
        </w:rPr>
      </w:pPr>
      <w:r w:rsidRPr="00E246A9">
        <w:rPr>
          <w:rFonts w:ascii="Arial" w:hAnsi="Arial" w:cs="Arial"/>
        </w:rPr>
        <w:t>References</w:t>
      </w:r>
    </w:p>
    <w:p w14:paraId="279FA937" w14:textId="77777777" w:rsidR="00F754FA" w:rsidRPr="00E246A9" w:rsidRDefault="00F754FA" w:rsidP="00F754FA">
      <w:pPr>
        <w:pStyle w:val="ReferHead"/>
        <w:spacing w:after="0"/>
        <w:jc w:val="both"/>
        <w:rPr>
          <w:rFonts w:ascii="Arial" w:hAnsi="Arial" w:cs="Arial"/>
          <w:sz w:val="20"/>
        </w:rPr>
      </w:pPr>
    </w:p>
    <w:p w14:paraId="332B7B52" w14:textId="77777777" w:rsidR="00F754FA" w:rsidRPr="00E246A9" w:rsidRDefault="00F754FA" w:rsidP="00F754FA">
      <w:pPr>
        <w:pStyle w:val="ListParagraph"/>
        <w:numPr>
          <w:ilvl w:val="0"/>
          <w:numId w:val="31"/>
        </w:numPr>
        <w:spacing w:line="360" w:lineRule="auto"/>
        <w:jc w:val="both"/>
        <w:rPr>
          <w:rFonts w:ascii="Arial" w:hAnsi="Arial" w:cs="Arial"/>
          <w:bCs/>
          <w:sz w:val="20"/>
          <w:szCs w:val="20"/>
          <w:shd w:val="clear" w:color="auto" w:fill="FFFFFF"/>
        </w:rPr>
      </w:pPr>
      <w:r w:rsidRPr="00E246A9">
        <w:rPr>
          <w:rFonts w:ascii="Arial" w:hAnsi="Arial" w:cs="Arial"/>
          <w:bCs/>
          <w:sz w:val="20"/>
          <w:szCs w:val="20"/>
          <w:shd w:val="clear" w:color="auto" w:fill="FFFFFF"/>
        </w:rPr>
        <w:t xml:space="preserve">Phillips, E. H., Fox, C. P., &amp; </w:t>
      </w:r>
      <w:proofErr w:type="spellStart"/>
      <w:r w:rsidRPr="00E246A9">
        <w:rPr>
          <w:rFonts w:ascii="Arial" w:hAnsi="Arial" w:cs="Arial"/>
          <w:bCs/>
          <w:sz w:val="20"/>
          <w:szCs w:val="20"/>
          <w:shd w:val="clear" w:color="auto" w:fill="FFFFFF"/>
        </w:rPr>
        <w:t>Cwynarski</w:t>
      </w:r>
      <w:proofErr w:type="spellEnd"/>
      <w:r w:rsidRPr="00E246A9">
        <w:rPr>
          <w:rFonts w:ascii="Arial" w:hAnsi="Arial" w:cs="Arial"/>
          <w:bCs/>
          <w:sz w:val="20"/>
          <w:szCs w:val="20"/>
          <w:shd w:val="clear" w:color="auto" w:fill="FFFFFF"/>
        </w:rPr>
        <w:t>, K. (2014). Primary CNS Lymphoma. Current Hematologic Malignancy Reports, 9(3), 243–253. doi:10.1007/s11899-014-0217-2</w:t>
      </w:r>
    </w:p>
    <w:p w14:paraId="2626D88D" w14:textId="77777777" w:rsidR="00F754FA" w:rsidRPr="00E246A9" w:rsidRDefault="00F754FA" w:rsidP="00F754FA">
      <w:pPr>
        <w:pStyle w:val="ListParagraph"/>
        <w:numPr>
          <w:ilvl w:val="0"/>
          <w:numId w:val="31"/>
        </w:numPr>
        <w:spacing w:line="360" w:lineRule="auto"/>
        <w:jc w:val="both"/>
        <w:rPr>
          <w:rStyle w:val="bkciteavail"/>
          <w:rFonts w:ascii="Arial" w:hAnsi="Arial" w:cs="Arial"/>
          <w:bCs/>
          <w:sz w:val="20"/>
          <w:szCs w:val="20"/>
          <w:shd w:val="clear" w:color="auto" w:fill="FFFFFF"/>
        </w:rPr>
      </w:pPr>
      <w:r w:rsidRPr="00E246A9">
        <w:rPr>
          <w:rFonts w:ascii="Arial" w:hAnsi="Arial" w:cs="Arial"/>
          <w:bCs/>
          <w:sz w:val="20"/>
          <w:szCs w:val="20"/>
          <w:shd w:val="clear" w:color="auto" w:fill="FFFFFF"/>
        </w:rPr>
        <w:lastRenderedPageBreak/>
        <w:t xml:space="preserve">Green K, </w:t>
      </w:r>
      <w:proofErr w:type="spellStart"/>
      <w:r w:rsidRPr="00E246A9">
        <w:rPr>
          <w:rFonts w:ascii="Arial" w:hAnsi="Arial" w:cs="Arial"/>
          <w:bCs/>
          <w:sz w:val="20"/>
          <w:szCs w:val="20"/>
          <w:shd w:val="clear" w:color="auto" w:fill="FFFFFF"/>
        </w:rPr>
        <w:t>Munakomi</w:t>
      </w:r>
      <w:proofErr w:type="spellEnd"/>
      <w:r w:rsidRPr="00E246A9">
        <w:rPr>
          <w:rFonts w:ascii="Arial" w:hAnsi="Arial" w:cs="Arial"/>
          <w:bCs/>
          <w:sz w:val="20"/>
          <w:szCs w:val="20"/>
          <w:shd w:val="clear" w:color="auto" w:fill="FFFFFF"/>
        </w:rPr>
        <w:t xml:space="preserve"> S, Hogg JP. Central Nervous System Lymphoma. [Updated 2024 May 28]. In: </w:t>
      </w:r>
      <w:proofErr w:type="spellStart"/>
      <w:r w:rsidRPr="00E246A9">
        <w:rPr>
          <w:rFonts w:ascii="Arial" w:hAnsi="Arial" w:cs="Arial"/>
          <w:bCs/>
          <w:sz w:val="20"/>
          <w:szCs w:val="20"/>
          <w:shd w:val="clear" w:color="auto" w:fill="FFFFFF"/>
        </w:rPr>
        <w:t>StatPearls</w:t>
      </w:r>
      <w:proofErr w:type="spellEnd"/>
      <w:r w:rsidRPr="00E246A9">
        <w:rPr>
          <w:rFonts w:ascii="Arial" w:hAnsi="Arial" w:cs="Arial"/>
          <w:bCs/>
          <w:sz w:val="20"/>
          <w:szCs w:val="20"/>
          <w:shd w:val="clear" w:color="auto" w:fill="FFFFFF"/>
        </w:rPr>
        <w:t xml:space="preserve"> [Internet]. Treasure Island (FL): </w:t>
      </w:r>
      <w:proofErr w:type="spellStart"/>
      <w:r w:rsidRPr="00E246A9">
        <w:rPr>
          <w:rFonts w:ascii="Arial" w:hAnsi="Arial" w:cs="Arial"/>
          <w:bCs/>
          <w:sz w:val="20"/>
          <w:szCs w:val="20"/>
          <w:shd w:val="clear" w:color="auto" w:fill="FFFFFF"/>
        </w:rPr>
        <w:t>StatPearls</w:t>
      </w:r>
      <w:proofErr w:type="spellEnd"/>
      <w:r w:rsidRPr="00E246A9">
        <w:rPr>
          <w:rFonts w:ascii="Arial" w:hAnsi="Arial" w:cs="Arial"/>
          <w:bCs/>
          <w:sz w:val="20"/>
          <w:szCs w:val="20"/>
          <w:shd w:val="clear" w:color="auto" w:fill="FFFFFF"/>
        </w:rPr>
        <w:t xml:space="preserve"> Publishing; 2024 Jan-. </w:t>
      </w:r>
      <w:r w:rsidRPr="00E246A9">
        <w:rPr>
          <w:rStyle w:val="bkciteavail"/>
          <w:rFonts w:ascii="Arial" w:hAnsi="Arial" w:cs="Arial"/>
          <w:bCs/>
          <w:sz w:val="20"/>
          <w:szCs w:val="20"/>
          <w:shd w:val="clear" w:color="auto" w:fill="FFFFFF"/>
        </w:rPr>
        <w:t xml:space="preserve">Available from: </w:t>
      </w:r>
      <w:hyperlink r:id="rId19" w:history="1">
        <w:r w:rsidRPr="00E246A9">
          <w:rPr>
            <w:rStyle w:val="Hyperlink"/>
            <w:rFonts w:ascii="Arial" w:hAnsi="Arial" w:cs="Arial"/>
            <w:bCs/>
            <w:color w:val="auto"/>
            <w:sz w:val="20"/>
            <w:szCs w:val="20"/>
            <w:shd w:val="clear" w:color="auto" w:fill="FFFFFF"/>
          </w:rPr>
          <w:t>https://www.ncbi.nlm.nih.gov/books/NBK545145/</w:t>
        </w:r>
      </w:hyperlink>
    </w:p>
    <w:p w14:paraId="3B4E51F2" w14:textId="77777777" w:rsidR="00F754FA" w:rsidRPr="00E246A9" w:rsidRDefault="00F754FA" w:rsidP="00F754FA">
      <w:pPr>
        <w:pStyle w:val="ListParagraph"/>
        <w:numPr>
          <w:ilvl w:val="0"/>
          <w:numId w:val="31"/>
        </w:numPr>
        <w:spacing w:line="360" w:lineRule="auto"/>
        <w:jc w:val="both"/>
        <w:rPr>
          <w:rFonts w:ascii="Arial" w:hAnsi="Arial" w:cs="Arial"/>
          <w:bCs/>
          <w:sz w:val="20"/>
          <w:szCs w:val="20"/>
        </w:rPr>
      </w:pPr>
      <w:proofErr w:type="spellStart"/>
      <w:r w:rsidRPr="00E246A9">
        <w:rPr>
          <w:rFonts w:ascii="Arial" w:hAnsi="Arial" w:cs="Arial"/>
          <w:bCs/>
          <w:sz w:val="20"/>
          <w:szCs w:val="20"/>
          <w:shd w:val="clear" w:color="auto" w:fill="FFFFFF"/>
        </w:rPr>
        <w:t>Chiavazza</w:t>
      </w:r>
      <w:proofErr w:type="spellEnd"/>
      <w:r w:rsidRPr="00E246A9">
        <w:rPr>
          <w:rFonts w:ascii="Arial" w:hAnsi="Arial" w:cs="Arial"/>
          <w:bCs/>
          <w:sz w:val="20"/>
          <w:szCs w:val="20"/>
          <w:shd w:val="clear" w:color="auto" w:fill="FFFFFF"/>
        </w:rPr>
        <w:t xml:space="preserve"> C, </w:t>
      </w:r>
      <w:proofErr w:type="spellStart"/>
      <w:r w:rsidRPr="00E246A9">
        <w:rPr>
          <w:rFonts w:ascii="Arial" w:hAnsi="Arial" w:cs="Arial"/>
          <w:bCs/>
          <w:sz w:val="20"/>
          <w:szCs w:val="20"/>
          <w:shd w:val="clear" w:color="auto" w:fill="FFFFFF"/>
        </w:rPr>
        <w:t>Pellerino</w:t>
      </w:r>
      <w:proofErr w:type="spellEnd"/>
      <w:r w:rsidRPr="00E246A9">
        <w:rPr>
          <w:rFonts w:ascii="Arial" w:hAnsi="Arial" w:cs="Arial"/>
          <w:bCs/>
          <w:sz w:val="20"/>
          <w:szCs w:val="20"/>
          <w:shd w:val="clear" w:color="auto" w:fill="FFFFFF"/>
        </w:rPr>
        <w:t xml:space="preserve"> A, </w:t>
      </w:r>
      <w:proofErr w:type="spellStart"/>
      <w:r w:rsidRPr="00E246A9">
        <w:rPr>
          <w:rFonts w:ascii="Arial" w:hAnsi="Arial" w:cs="Arial"/>
          <w:bCs/>
          <w:sz w:val="20"/>
          <w:szCs w:val="20"/>
          <w:shd w:val="clear" w:color="auto" w:fill="FFFFFF"/>
        </w:rPr>
        <w:t>Ferrio</w:t>
      </w:r>
      <w:proofErr w:type="spellEnd"/>
      <w:r w:rsidRPr="00E246A9">
        <w:rPr>
          <w:rFonts w:ascii="Arial" w:hAnsi="Arial" w:cs="Arial"/>
          <w:bCs/>
          <w:sz w:val="20"/>
          <w:szCs w:val="20"/>
          <w:shd w:val="clear" w:color="auto" w:fill="FFFFFF"/>
        </w:rPr>
        <w:t xml:space="preserve"> F, </w:t>
      </w:r>
      <w:proofErr w:type="spellStart"/>
      <w:r w:rsidRPr="00E246A9">
        <w:rPr>
          <w:rFonts w:ascii="Arial" w:hAnsi="Arial" w:cs="Arial"/>
          <w:bCs/>
          <w:sz w:val="20"/>
          <w:szCs w:val="20"/>
          <w:shd w:val="clear" w:color="auto" w:fill="FFFFFF"/>
        </w:rPr>
        <w:t>Cistaro</w:t>
      </w:r>
      <w:proofErr w:type="spellEnd"/>
      <w:r w:rsidRPr="00E246A9">
        <w:rPr>
          <w:rFonts w:ascii="Arial" w:hAnsi="Arial" w:cs="Arial"/>
          <w:bCs/>
          <w:sz w:val="20"/>
          <w:szCs w:val="20"/>
          <w:shd w:val="clear" w:color="auto" w:fill="FFFFFF"/>
        </w:rPr>
        <w:t xml:space="preserve"> A, </w:t>
      </w:r>
      <w:proofErr w:type="spellStart"/>
      <w:r w:rsidRPr="00E246A9">
        <w:rPr>
          <w:rFonts w:ascii="Arial" w:hAnsi="Arial" w:cs="Arial"/>
          <w:bCs/>
          <w:sz w:val="20"/>
          <w:szCs w:val="20"/>
          <w:shd w:val="clear" w:color="auto" w:fill="FFFFFF"/>
        </w:rPr>
        <w:t>Soffietti</w:t>
      </w:r>
      <w:proofErr w:type="spellEnd"/>
      <w:r w:rsidRPr="00E246A9">
        <w:rPr>
          <w:rFonts w:ascii="Arial" w:hAnsi="Arial" w:cs="Arial"/>
          <w:bCs/>
          <w:sz w:val="20"/>
          <w:szCs w:val="20"/>
          <w:shd w:val="clear" w:color="auto" w:fill="FFFFFF"/>
        </w:rPr>
        <w:t xml:space="preserve"> R, </w:t>
      </w:r>
      <w:proofErr w:type="spellStart"/>
      <w:r w:rsidRPr="00E246A9">
        <w:rPr>
          <w:rFonts w:ascii="Arial" w:hAnsi="Arial" w:cs="Arial"/>
          <w:bCs/>
          <w:sz w:val="20"/>
          <w:szCs w:val="20"/>
          <w:shd w:val="clear" w:color="auto" w:fill="FFFFFF"/>
        </w:rPr>
        <w:t>Rudà</w:t>
      </w:r>
      <w:proofErr w:type="spellEnd"/>
      <w:r w:rsidRPr="00E246A9">
        <w:rPr>
          <w:rFonts w:ascii="Arial" w:hAnsi="Arial" w:cs="Arial"/>
          <w:bCs/>
          <w:sz w:val="20"/>
          <w:szCs w:val="20"/>
          <w:shd w:val="clear" w:color="auto" w:fill="FFFFFF"/>
        </w:rPr>
        <w:t xml:space="preserve"> R. Primary CNS Lymphomas: Challenges in Diagnosis and Monitoring. Biomed Res Int. 2018 Jun </w:t>
      </w:r>
      <w:proofErr w:type="gramStart"/>
      <w:r w:rsidRPr="00E246A9">
        <w:rPr>
          <w:rFonts w:ascii="Arial" w:hAnsi="Arial" w:cs="Arial"/>
          <w:bCs/>
          <w:sz w:val="20"/>
          <w:szCs w:val="20"/>
          <w:shd w:val="clear" w:color="auto" w:fill="FFFFFF"/>
        </w:rPr>
        <w:t>21;2018:3606970</w:t>
      </w:r>
      <w:proofErr w:type="gramEnd"/>
      <w:r w:rsidRPr="00E246A9">
        <w:rPr>
          <w:rFonts w:ascii="Arial" w:hAnsi="Arial" w:cs="Arial"/>
          <w:bCs/>
          <w:sz w:val="20"/>
          <w:szCs w:val="20"/>
          <w:shd w:val="clear" w:color="auto" w:fill="FFFFFF"/>
        </w:rPr>
        <w:t xml:space="preserve">. </w:t>
      </w:r>
      <w:proofErr w:type="spellStart"/>
      <w:r w:rsidRPr="00E246A9">
        <w:rPr>
          <w:rFonts w:ascii="Arial" w:hAnsi="Arial" w:cs="Arial"/>
          <w:bCs/>
          <w:sz w:val="20"/>
          <w:szCs w:val="20"/>
          <w:shd w:val="clear" w:color="auto" w:fill="FFFFFF"/>
        </w:rPr>
        <w:t>doi</w:t>
      </w:r>
      <w:proofErr w:type="spellEnd"/>
      <w:r w:rsidRPr="00E246A9">
        <w:rPr>
          <w:rFonts w:ascii="Arial" w:hAnsi="Arial" w:cs="Arial"/>
          <w:bCs/>
          <w:sz w:val="20"/>
          <w:szCs w:val="20"/>
          <w:shd w:val="clear" w:color="auto" w:fill="FFFFFF"/>
        </w:rPr>
        <w:t>: 10.1155/2018/3606970. PMID: 30035121; PMCID: PMC6033255.</w:t>
      </w:r>
    </w:p>
    <w:p w14:paraId="46AA77A5" w14:textId="77777777" w:rsidR="00F754FA" w:rsidRPr="00E246A9" w:rsidRDefault="00F754FA" w:rsidP="00F754FA">
      <w:pPr>
        <w:pStyle w:val="ListParagraph"/>
        <w:numPr>
          <w:ilvl w:val="0"/>
          <w:numId w:val="31"/>
        </w:numPr>
        <w:spacing w:line="360" w:lineRule="auto"/>
        <w:jc w:val="both"/>
        <w:rPr>
          <w:rFonts w:ascii="Arial" w:hAnsi="Arial" w:cs="Arial"/>
          <w:bCs/>
          <w:sz w:val="20"/>
          <w:szCs w:val="20"/>
        </w:rPr>
      </w:pPr>
      <w:proofErr w:type="spellStart"/>
      <w:r w:rsidRPr="00E246A9">
        <w:rPr>
          <w:rFonts w:ascii="Arial" w:hAnsi="Arial" w:cs="Arial"/>
          <w:bCs/>
          <w:sz w:val="20"/>
          <w:szCs w:val="20"/>
          <w:shd w:val="clear" w:color="auto" w:fill="FFFFFF"/>
        </w:rPr>
        <w:t>Deckert</w:t>
      </w:r>
      <w:proofErr w:type="spellEnd"/>
      <w:r w:rsidRPr="00E246A9">
        <w:rPr>
          <w:rFonts w:ascii="Arial" w:hAnsi="Arial" w:cs="Arial"/>
          <w:bCs/>
          <w:sz w:val="20"/>
          <w:szCs w:val="20"/>
          <w:shd w:val="clear" w:color="auto" w:fill="FFFFFF"/>
        </w:rPr>
        <w:t xml:space="preserve"> M, </w:t>
      </w:r>
      <w:proofErr w:type="spellStart"/>
      <w:r w:rsidRPr="00E246A9">
        <w:rPr>
          <w:rFonts w:ascii="Arial" w:hAnsi="Arial" w:cs="Arial"/>
          <w:bCs/>
          <w:sz w:val="20"/>
          <w:szCs w:val="20"/>
          <w:shd w:val="clear" w:color="auto" w:fill="FFFFFF"/>
        </w:rPr>
        <w:t>Engert</w:t>
      </w:r>
      <w:proofErr w:type="spellEnd"/>
      <w:r w:rsidRPr="00E246A9">
        <w:rPr>
          <w:rFonts w:ascii="Arial" w:hAnsi="Arial" w:cs="Arial"/>
          <w:bCs/>
          <w:sz w:val="20"/>
          <w:szCs w:val="20"/>
          <w:shd w:val="clear" w:color="auto" w:fill="FFFFFF"/>
        </w:rPr>
        <w:t xml:space="preserve"> A, </w:t>
      </w:r>
      <w:proofErr w:type="spellStart"/>
      <w:r w:rsidRPr="00E246A9">
        <w:rPr>
          <w:rFonts w:ascii="Arial" w:hAnsi="Arial" w:cs="Arial"/>
          <w:bCs/>
          <w:sz w:val="20"/>
          <w:szCs w:val="20"/>
          <w:shd w:val="clear" w:color="auto" w:fill="FFFFFF"/>
        </w:rPr>
        <w:t>Brück</w:t>
      </w:r>
      <w:proofErr w:type="spellEnd"/>
      <w:r w:rsidRPr="00E246A9">
        <w:rPr>
          <w:rFonts w:ascii="Arial" w:hAnsi="Arial" w:cs="Arial"/>
          <w:bCs/>
          <w:sz w:val="20"/>
          <w:szCs w:val="20"/>
          <w:shd w:val="clear" w:color="auto" w:fill="FFFFFF"/>
        </w:rPr>
        <w:t xml:space="preserve"> W, </w:t>
      </w:r>
      <w:proofErr w:type="spellStart"/>
      <w:r w:rsidRPr="00E246A9">
        <w:rPr>
          <w:rFonts w:ascii="Arial" w:hAnsi="Arial" w:cs="Arial"/>
          <w:bCs/>
          <w:sz w:val="20"/>
          <w:szCs w:val="20"/>
          <w:shd w:val="clear" w:color="auto" w:fill="FFFFFF"/>
        </w:rPr>
        <w:t>Ferreri</w:t>
      </w:r>
      <w:proofErr w:type="spellEnd"/>
      <w:r w:rsidRPr="00E246A9">
        <w:rPr>
          <w:rFonts w:ascii="Arial" w:hAnsi="Arial" w:cs="Arial"/>
          <w:bCs/>
          <w:sz w:val="20"/>
          <w:szCs w:val="20"/>
          <w:shd w:val="clear" w:color="auto" w:fill="FFFFFF"/>
        </w:rPr>
        <w:t xml:space="preserve"> AJ, Finke J, </w:t>
      </w:r>
      <w:proofErr w:type="spellStart"/>
      <w:r w:rsidRPr="00E246A9">
        <w:rPr>
          <w:rFonts w:ascii="Arial" w:hAnsi="Arial" w:cs="Arial"/>
          <w:bCs/>
          <w:sz w:val="20"/>
          <w:szCs w:val="20"/>
          <w:shd w:val="clear" w:color="auto" w:fill="FFFFFF"/>
        </w:rPr>
        <w:t>Illerhaus</w:t>
      </w:r>
      <w:proofErr w:type="spellEnd"/>
      <w:r w:rsidRPr="00E246A9">
        <w:rPr>
          <w:rFonts w:ascii="Arial" w:hAnsi="Arial" w:cs="Arial"/>
          <w:bCs/>
          <w:sz w:val="20"/>
          <w:szCs w:val="20"/>
          <w:shd w:val="clear" w:color="auto" w:fill="FFFFFF"/>
        </w:rPr>
        <w:t xml:space="preserve"> G, </w:t>
      </w:r>
      <w:proofErr w:type="spellStart"/>
      <w:r w:rsidRPr="00E246A9">
        <w:rPr>
          <w:rFonts w:ascii="Arial" w:hAnsi="Arial" w:cs="Arial"/>
          <w:bCs/>
          <w:sz w:val="20"/>
          <w:szCs w:val="20"/>
          <w:shd w:val="clear" w:color="auto" w:fill="FFFFFF"/>
        </w:rPr>
        <w:t>Klapper</w:t>
      </w:r>
      <w:proofErr w:type="spellEnd"/>
      <w:r w:rsidRPr="00E246A9">
        <w:rPr>
          <w:rFonts w:ascii="Arial" w:hAnsi="Arial" w:cs="Arial"/>
          <w:bCs/>
          <w:sz w:val="20"/>
          <w:szCs w:val="20"/>
          <w:shd w:val="clear" w:color="auto" w:fill="FFFFFF"/>
        </w:rPr>
        <w:t xml:space="preserve"> W, </w:t>
      </w:r>
      <w:proofErr w:type="spellStart"/>
      <w:r w:rsidRPr="00E246A9">
        <w:rPr>
          <w:rFonts w:ascii="Arial" w:hAnsi="Arial" w:cs="Arial"/>
          <w:bCs/>
          <w:sz w:val="20"/>
          <w:szCs w:val="20"/>
          <w:shd w:val="clear" w:color="auto" w:fill="FFFFFF"/>
        </w:rPr>
        <w:t>Korfel</w:t>
      </w:r>
      <w:proofErr w:type="spellEnd"/>
      <w:r w:rsidRPr="00E246A9">
        <w:rPr>
          <w:rFonts w:ascii="Arial" w:hAnsi="Arial" w:cs="Arial"/>
          <w:bCs/>
          <w:sz w:val="20"/>
          <w:szCs w:val="20"/>
          <w:shd w:val="clear" w:color="auto" w:fill="FFFFFF"/>
        </w:rPr>
        <w:t xml:space="preserve"> A, </w:t>
      </w:r>
      <w:proofErr w:type="spellStart"/>
      <w:r w:rsidRPr="00E246A9">
        <w:rPr>
          <w:rFonts w:ascii="Arial" w:hAnsi="Arial" w:cs="Arial"/>
          <w:bCs/>
          <w:sz w:val="20"/>
          <w:szCs w:val="20"/>
          <w:shd w:val="clear" w:color="auto" w:fill="FFFFFF"/>
        </w:rPr>
        <w:t>Küppers</w:t>
      </w:r>
      <w:proofErr w:type="spellEnd"/>
      <w:r w:rsidRPr="00E246A9">
        <w:rPr>
          <w:rFonts w:ascii="Arial" w:hAnsi="Arial" w:cs="Arial"/>
          <w:bCs/>
          <w:sz w:val="20"/>
          <w:szCs w:val="20"/>
          <w:shd w:val="clear" w:color="auto" w:fill="FFFFFF"/>
        </w:rPr>
        <w:t xml:space="preserve"> R, </w:t>
      </w:r>
      <w:proofErr w:type="spellStart"/>
      <w:r w:rsidRPr="00E246A9">
        <w:rPr>
          <w:rFonts w:ascii="Arial" w:hAnsi="Arial" w:cs="Arial"/>
          <w:bCs/>
          <w:sz w:val="20"/>
          <w:szCs w:val="20"/>
          <w:shd w:val="clear" w:color="auto" w:fill="FFFFFF"/>
        </w:rPr>
        <w:t>Maarouf</w:t>
      </w:r>
      <w:proofErr w:type="spellEnd"/>
      <w:r w:rsidRPr="00E246A9">
        <w:rPr>
          <w:rFonts w:ascii="Arial" w:hAnsi="Arial" w:cs="Arial"/>
          <w:bCs/>
          <w:sz w:val="20"/>
          <w:szCs w:val="20"/>
          <w:shd w:val="clear" w:color="auto" w:fill="FFFFFF"/>
        </w:rPr>
        <w:t xml:space="preserve"> M, Montesinos-</w:t>
      </w:r>
      <w:proofErr w:type="spellStart"/>
      <w:r w:rsidRPr="00E246A9">
        <w:rPr>
          <w:rFonts w:ascii="Arial" w:hAnsi="Arial" w:cs="Arial"/>
          <w:bCs/>
          <w:sz w:val="20"/>
          <w:szCs w:val="20"/>
          <w:shd w:val="clear" w:color="auto" w:fill="FFFFFF"/>
        </w:rPr>
        <w:t>Rongen</w:t>
      </w:r>
      <w:proofErr w:type="spellEnd"/>
      <w:r w:rsidRPr="00E246A9">
        <w:rPr>
          <w:rFonts w:ascii="Arial" w:hAnsi="Arial" w:cs="Arial"/>
          <w:bCs/>
          <w:sz w:val="20"/>
          <w:szCs w:val="20"/>
          <w:shd w:val="clear" w:color="auto" w:fill="FFFFFF"/>
        </w:rPr>
        <w:t xml:space="preserve"> M, Paulus W, Schlegel U, </w:t>
      </w:r>
      <w:proofErr w:type="spellStart"/>
      <w:r w:rsidRPr="00E246A9">
        <w:rPr>
          <w:rFonts w:ascii="Arial" w:hAnsi="Arial" w:cs="Arial"/>
          <w:bCs/>
          <w:sz w:val="20"/>
          <w:szCs w:val="20"/>
          <w:shd w:val="clear" w:color="auto" w:fill="FFFFFF"/>
        </w:rPr>
        <w:t>Lassmann</w:t>
      </w:r>
      <w:proofErr w:type="spellEnd"/>
      <w:r w:rsidRPr="00E246A9">
        <w:rPr>
          <w:rFonts w:ascii="Arial" w:hAnsi="Arial" w:cs="Arial"/>
          <w:bCs/>
          <w:sz w:val="20"/>
          <w:szCs w:val="20"/>
          <w:shd w:val="clear" w:color="auto" w:fill="FFFFFF"/>
        </w:rPr>
        <w:t xml:space="preserve"> H, </w:t>
      </w:r>
      <w:proofErr w:type="spellStart"/>
      <w:r w:rsidRPr="00E246A9">
        <w:rPr>
          <w:rFonts w:ascii="Arial" w:hAnsi="Arial" w:cs="Arial"/>
          <w:bCs/>
          <w:sz w:val="20"/>
          <w:szCs w:val="20"/>
          <w:shd w:val="clear" w:color="auto" w:fill="FFFFFF"/>
        </w:rPr>
        <w:t>Wiestler</w:t>
      </w:r>
      <w:proofErr w:type="spellEnd"/>
      <w:r w:rsidRPr="00E246A9">
        <w:rPr>
          <w:rFonts w:ascii="Arial" w:hAnsi="Arial" w:cs="Arial"/>
          <w:bCs/>
          <w:sz w:val="20"/>
          <w:szCs w:val="20"/>
          <w:shd w:val="clear" w:color="auto" w:fill="FFFFFF"/>
        </w:rPr>
        <w:t xml:space="preserve"> OD, Siebert R, DeAngelis LM. Modern concepts in the biology, diagnosis, differential diagnosis and treatment of primary central nervous system lymphoma. </w:t>
      </w:r>
      <w:proofErr w:type="spellStart"/>
      <w:r w:rsidRPr="00E246A9">
        <w:rPr>
          <w:rFonts w:ascii="Arial" w:hAnsi="Arial" w:cs="Arial"/>
          <w:bCs/>
          <w:sz w:val="20"/>
          <w:szCs w:val="20"/>
          <w:shd w:val="clear" w:color="auto" w:fill="FFFFFF"/>
        </w:rPr>
        <w:t>Leukemia</w:t>
      </w:r>
      <w:proofErr w:type="spellEnd"/>
      <w:r w:rsidRPr="00E246A9">
        <w:rPr>
          <w:rFonts w:ascii="Arial" w:hAnsi="Arial" w:cs="Arial"/>
          <w:bCs/>
          <w:sz w:val="20"/>
          <w:szCs w:val="20"/>
          <w:shd w:val="clear" w:color="auto" w:fill="FFFFFF"/>
        </w:rPr>
        <w:t xml:space="preserve">. 2011 Dec;25(12):1797-807. </w:t>
      </w:r>
      <w:proofErr w:type="spellStart"/>
      <w:r w:rsidRPr="00E246A9">
        <w:rPr>
          <w:rFonts w:ascii="Arial" w:hAnsi="Arial" w:cs="Arial"/>
          <w:bCs/>
          <w:sz w:val="20"/>
          <w:szCs w:val="20"/>
          <w:shd w:val="clear" w:color="auto" w:fill="FFFFFF"/>
        </w:rPr>
        <w:t>doi</w:t>
      </w:r>
      <w:proofErr w:type="spellEnd"/>
      <w:r w:rsidRPr="00E246A9">
        <w:rPr>
          <w:rFonts w:ascii="Arial" w:hAnsi="Arial" w:cs="Arial"/>
          <w:bCs/>
          <w:sz w:val="20"/>
          <w:szCs w:val="20"/>
          <w:shd w:val="clear" w:color="auto" w:fill="FFFFFF"/>
        </w:rPr>
        <w:t xml:space="preserve">: 10.1038/leu.2011.169. </w:t>
      </w:r>
      <w:proofErr w:type="spellStart"/>
      <w:r w:rsidRPr="00E246A9">
        <w:rPr>
          <w:rFonts w:ascii="Arial" w:hAnsi="Arial" w:cs="Arial"/>
          <w:bCs/>
          <w:sz w:val="20"/>
          <w:szCs w:val="20"/>
          <w:shd w:val="clear" w:color="auto" w:fill="FFFFFF"/>
        </w:rPr>
        <w:t>Epub</w:t>
      </w:r>
      <w:proofErr w:type="spellEnd"/>
      <w:r w:rsidRPr="00E246A9">
        <w:rPr>
          <w:rFonts w:ascii="Arial" w:hAnsi="Arial" w:cs="Arial"/>
          <w:bCs/>
          <w:sz w:val="20"/>
          <w:szCs w:val="20"/>
          <w:shd w:val="clear" w:color="auto" w:fill="FFFFFF"/>
        </w:rPr>
        <w:t xml:space="preserve"> 2011 Aug 5. PMID: 21818113.</w:t>
      </w:r>
    </w:p>
    <w:p w14:paraId="14BCE0C4" w14:textId="77777777" w:rsidR="00F754FA" w:rsidRPr="00E246A9" w:rsidRDefault="00F754FA" w:rsidP="00F754FA">
      <w:pPr>
        <w:pStyle w:val="ListParagraph"/>
        <w:numPr>
          <w:ilvl w:val="0"/>
          <w:numId w:val="31"/>
        </w:numPr>
        <w:spacing w:line="360" w:lineRule="auto"/>
        <w:jc w:val="both"/>
        <w:rPr>
          <w:rFonts w:ascii="Arial" w:hAnsi="Arial" w:cs="Arial"/>
          <w:bCs/>
          <w:sz w:val="20"/>
          <w:szCs w:val="20"/>
        </w:rPr>
      </w:pPr>
      <w:r w:rsidRPr="00E246A9">
        <w:rPr>
          <w:rFonts w:ascii="Arial" w:hAnsi="Arial" w:cs="Arial"/>
          <w:bCs/>
          <w:sz w:val="20"/>
          <w:szCs w:val="20"/>
          <w:shd w:val="clear" w:color="auto" w:fill="FFFFFF"/>
        </w:rPr>
        <w:t xml:space="preserve">Van </w:t>
      </w:r>
      <w:proofErr w:type="spellStart"/>
      <w:r w:rsidRPr="00E246A9">
        <w:rPr>
          <w:rFonts w:ascii="Arial" w:hAnsi="Arial" w:cs="Arial"/>
          <w:bCs/>
          <w:sz w:val="20"/>
          <w:szCs w:val="20"/>
          <w:shd w:val="clear" w:color="auto" w:fill="FFFFFF"/>
        </w:rPr>
        <w:t>Westrhenen</w:t>
      </w:r>
      <w:proofErr w:type="spellEnd"/>
      <w:r w:rsidRPr="00E246A9">
        <w:rPr>
          <w:rFonts w:ascii="Arial" w:hAnsi="Arial" w:cs="Arial"/>
          <w:bCs/>
          <w:sz w:val="20"/>
          <w:szCs w:val="20"/>
          <w:shd w:val="clear" w:color="auto" w:fill="FFFFFF"/>
        </w:rPr>
        <w:t xml:space="preserve"> A, Smidt LCA, </w:t>
      </w:r>
      <w:proofErr w:type="spellStart"/>
      <w:r w:rsidRPr="00E246A9">
        <w:rPr>
          <w:rFonts w:ascii="Arial" w:hAnsi="Arial" w:cs="Arial"/>
          <w:bCs/>
          <w:sz w:val="20"/>
          <w:szCs w:val="20"/>
          <w:shd w:val="clear" w:color="auto" w:fill="FFFFFF"/>
        </w:rPr>
        <w:t>Seute</w:t>
      </w:r>
      <w:proofErr w:type="spellEnd"/>
      <w:r w:rsidRPr="00E246A9">
        <w:rPr>
          <w:rFonts w:ascii="Arial" w:hAnsi="Arial" w:cs="Arial"/>
          <w:bCs/>
          <w:sz w:val="20"/>
          <w:szCs w:val="20"/>
          <w:shd w:val="clear" w:color="auto" w:fill="FFFFFF"/>
        </w:rPr>
        <w:t xml:space="preserve"> T, </w:t>
      </w:r>
      <w:proofErr w:type="spellStart"/>
      <w:r w:rsidRPr="00E246A9">
        <w:rPr>
          <w:rFonts w:ascii="Arial" w:hAnsi="Arial" w:cs="Arial"/>
          <w:bCs/>
          <w:sz w:val="20"/>
          <w:szCs w:val="20"/>
          <w:shd w:val="clear" w:color="auto" w:fill="FFFFFF"/>
        </w:rPr>
        <w:t>Nierkens</w:t>
      </w:r>
      <w:proofErr w:type="spellEnd"/>
      <w:r w:rsidRPr="00E246A9">
        <w:rPr>
          <w:rFonts w:ascii="Arial" w:hAnsi="Arial" w:cs="Arial"/>
          <w:bCs/>
          <w:sz w:val="20"/>
          <w:szCs w:val="20"/>
          <w:shd w:val="clear" w:color="auto" w:fill="FFFFFF"/>
        </w:rPr>
        <w:t xml:space="preserve"> S, Stork ACJ, </w:t>
      </w:r>
      <w:proofErr w:type="spellStart"/>
      <w:r w:rsidRPr="00E246A9">
        <w:rPr>
          <w:rFonts w:ascii="Arial" w:hAnsi="Arial" w:cs="Arial"/>
          <w:bCs/>
          <w:sz w:val="20"/>
          <w:szCs w:val="20"/>
          <w:shd w:val="clear" w:color="auto" w:fill="FFFFFF"/>
        </w:rPr>
        <w:t>Minnema</w:t>
      </w:r>
      <w:proofErr w:type="spellEnd"/>
      <w:r w:rsidRPr="00E246A9">
        <w:rPr>
          <w:rFonts w:ascii="Arial" w:hAnsi="Arial" w:cs="Arial"/>
          <w:bCs/>
          <w:sz w:val="20"/>
          <w:szCs w:val="20"/>
          <w:shd w:val="clear" w:color="auto" w:fill="FFFFFF"/>
        </w:rPr>
        <w:t xml:space="preserve"> MC, </w:t>
      </w:r>
      <w:proofErr w:type="spellStart"/>
      <w:r w:rsidRPr="00E246A9">
        <w:rPr>
          <w:rFonts w:ascii="Arial" w:hAnsi="Arial" w:cs="Arial"/>
          <w:bCs/>
          <w:sz w:val="20"/>
          <w:szCs w:val="20"/>
          <w:shd w:val="clear" w:color="auto" w:fill="FFFFFF"/>
        </w:rPr>
        <w:t>Snijders</w:t>
      </w:r>
      <w:proofErr w:type="spellEnd"/>
      <w:r w:rsidRPr="00E246A9">
        <w:rPr>
          <w:rFonts w:ascii="Arial" w:hAnsi="Arial" w:cs="Arial"/>
          <w:bCs/>
          <w:sz w:val="20"/>
          <w:szCs w:val="20"/>
          <w:shd w:val="clear" w:color="auto" w:fill="FFFFFF"/>
        </w:rPr>
        <w:t xml:space="preserve"> TJ. Diagnostic markers for CNS lymphoma in blood and cerebrospinal fluid: a systematic review. Br J </w:t>
      </w:r>
      <w:proofErr w:type="spellStart"/>
      <w:r w:rsidRPr="00E246A9">
        <w:rPr>
          <w:rFonts w:ascii="Arial" w:hAnsi="Arial" w:cs="Arial"/>
          <w:bCs/>
          <w:sz w:val="20"/>
          <w:szCs w:val="20"/>
          <w:shd w:val="clear" w:color="auto" w:fill="FFFFFF"/>
        </w:rPr>
        <w:t>Haematol</w:t>
      </w:r>
      <w:proofErr w:type="spellEnd"/>
      <w:r w:rsidRPr="00E246A9">
        <w:rPr>
          <w:rFonts w:ascii="Arial" w:hAnsi="Arial" w:cs="Arial"/>
          <w:bCs/>
          <w:sz w:val="20"/>
          <w:szCs w:val="20"/>
          <w:shd w:val="clear" w:color="auto" w:fill="FFFFFF"/>
        </w:rPr>
        <w:t xml:space="preserve">. 2018 Aug;182(3):384-403. </w:t>
      </w:r>
      <w:proofErr w:type="spellStart"/>
      <w:r w:rsidRPr="00E246A9">
        <w:rPr>
          <w:rFonts w:ascii="Arial" w:hAnsi="Arial" w:cs="Arial"/>
          <w:bCs/>
          <w:sz w:val="20"/>
          <w:szCs w:val="20"/>
          <w:shd w:val="clear" w:color="auto" w:fill="FFFFFF"/>
        </w:rPr>
        <w:t>doi</w:t>
      </w:r>
      <w:proofErr w:type="spellEnd"/>
      <w:r w:rsidRPr="00E246A9">
        <w:rPr>
          <w:rFonts w:ascii="Arial" w:hAnsi="Arial" w:cs="Arial"/>
          <w:bCs/>
          <w:sz w:val="20"/>
          <w:szCs w:val="20"/>
          <w:shd w:val="clear" w:color="auto" w:fill="FFFFFF"/>
        </w:rPr>
        <w:t xml:space="preserve">: 10.1111/bjh.15410. </w:t>
      </w:r>
      <w:proofErr w:type="spellStart"/>
      <w:r w:rsidRPr="00E246A9">
        <w:rPr>
          <w:rFonts w:ascii="Arial" w:hAnsi="Arial" w:cs="Arial"/>
          <w:bCs/>
          <w:sz w:val="20"/>
          <w:szCs w:val="20"/>
          <w:shd w:val="clear" w:color="auto" w:fill="FFFFFF"/>
        </w:rPr>
        <w:t>Epub</w:t>
      </w:r>
      <w:proofErr w:type="spellEnd"/>
      <w:r w:rsidRPr="00E246A9">
        <w:rPr>
          <w:rFonts w:ascii="Arial" w:hAnsi="Arial" w:cs="Arial"/>
          <w:bCs/>
          <w:sz w:val="20"/>
          <w:szCs w:val="20"/>
          <w:shd w:val="clear" w:color="auto" w:fill="FFFFFF"/>
        </w:rPr>
        <w:t xml:space="preserve"> 2018 May 29. PMID: 29808930; PMCID: PMC6099264.</w:t>
      </w:r>
    </w:p>
    <w:p w14:paraId="2D07814B" w14:textId="77777777" w:rsidR="00F754FA" w:rsidRPr="00E246A9" w:rsidRDefault="00F754FA" w:rsidP="00F754FA">
      <w:pPr>
        <w:pStyle w:val="ListParagraph"/>
        <w:numPr>
          <w:ilvl w:val="0"/>
          <w:numId w:val="31"/>
        </w:numPr>
        <w:spacing w:line="360" w:lineRule="auto"/>
        <w:jc w:val="both"/>
        <w:rPr>
          <w:rFonts w:ascii="Arial" w:hAnsi="Arial" w:cs="Arial"/>
          <w:bCs/>
          <w:sz w:val="20"/>
          <w:szCs w:val="20"/>
          <w:shd w:val="clear" w:color="auto" w:fill="FFFFFF"/>
        </w:rPr>
      </w:pPr>
      <w:r w:rsidRPr="00E246A9">
        <w:rPr>
          <w:rFonts w:ascii="Arial" w:hAnsi="Arial" w:cs="Arial"/>
          <w:bCs/>
          <w:sz w:val="20"/>
          <w:szCs w:val="20"/>
          <w:shd w:val="clear" w:color="auto" w:fill="FFFFFF"/>
        </w:rPr>
        <w:t xml:space="preserve">Chen D, Gu W, Li W, Liu X, Yang X. Primary diffuse large B-cell lymphoma of the central nervous system: A case report and literature review. Oncol Lett. 2016 May;11(5):3085-3090. </w:t>
      </w:r>
      <w:proofErr w:type="spellStart"/>
      <w:r w:rsidRPr="00E246A9">
        <w:rPr>
          <w:rFonts w:ascii="Arial" w:hAnsi="Arial" w:cs="Arial"/>
          <w:bCs/>
          <w:sz w:val="20"/>
          <w:szCs w:val="20"/>
          <w:shd w:val="clear" w:color="auto" w:fill="FFFFFF"/>
        </w:rPr>
        <w:t>doi</w:t>
      </w:r>
      <w:proofErr w:type="spellEnd"/>
      <w:r w:rsidRPr="00E246A9">
        <w:rPr>
          <w:rFonts w:ascii="Arial" w:hAnsi="Arial" w:cs="Arial"/>
          <w:bCs/>
          <w:sz w:val="20"/>
          <w:szCs w:val="20"/>
          <w:shd w:val="clear" w:color="auto" w:fill="FFFFFF"/>
        </w:rPr>
        <w:t xml:space="preserve">: 10.3892/ol.2016.4365. </w:t>
      </w:r>
      <w:proofErr w:type="spellStart"/>
      <w:r w:rsidRPr="00E246A9">
        <w:rPr>
          <w:rFonts w:ascii="Arial" w:hAnsi="Arial" w:cs="Arial"/>
          <w:bCs/>
          <w:sz w:val="20"/>
          <w:szCs w:val="20"/>
          <w:shd w:val="clear" w:color="auto" w:fill="FFFFFF"/>
        </w:rPr>
        <w:t>Epub</w:t>
      </w:r>
      <w:proofErr w:type="spellEnd"/>
      <w:r w:rsidRPr="00E246A9">
        <w:rPr>
          <w:rFonts w:ascii="Arial" w:hAnsi="Arial" w:cs="Arial"/>
          <w:bCs/>
          <w:sz w:val="20"/>
          <w:szCs w:val="20"/>
          <w:shd w:val="clear" w:color="auto" w:fill="FFFFFF"/>
        </w:rPr>
        <w:t xml:space="preserve"> 2016 Mar 22. PMID: 27123068; PMCID: PMC4840863. </w:t>
      </w:r>
    </w:p>
    <w:p w14:paraId="13F7D5AB" w14:textId="77777777" w:rsidR="00F754FA" w:rsidRPr="00E246A9" w:rsidRDefault="00F754FA" w:rsidP="00F754FA">
      <w:pPr>
        <w:pStyle w:val="ListParagraph"/>
        <w:numPr>
          <w:ilvl w:val="0"/>
          <w:numId w:val="31"/>
        </w:numPr>
        <w:spacing w:line="360" w:lineRule="auto"/>
        <w:jc w:val="both"/>
        <w:rPr>
          <w:rStyle w:val="Hyperlink"/>
          <w:rFonts w:ascii="Arial" w:hAnsi="Arial" w:cs="Arial"/>
          <w:bCs/>
          <w:color w:val="auto"/>
          <w:sz w:val="20"/>
          <w:szCs w:val="20"/>
          <w:shd w:val="clear" w:color="auto" w:fill="FFFFFF"/>
        </w:rPr>
      </w:pPr>
      <w:r w:rsidRPr="00E246A9">
        <w:rPr>
          <w:rFonts w:ascii="Arial" w:hAnsi="Arial" w:cs="Arial"/>
          <w:bCs/>
          <w:sz w:val="20"/>
          <w:szCs w:val="20"/>
          <w:shd w:val="clear" w:color="auto" w:fill="FFFFFF"/>
        </w:rPr>
        <w:t xml:space="preserve">Mandal S, Shah S, </w:t>
      </w:r>
      <w:proofErr w:type="spellStart"/>
      <w:r w:rsidRPr="00E246A9">
        <w:rPr>
          <w:rFonts w:ascii="Arial" w:hAnsi="Arial" w:cs="Arial"/>
          <w:bCs/>
          <w:sz w:val="20"/>
          <w:szCs w:val="20"/>
          <w:shd w:val="clear" w:color="auto" w:fill="FFFFFF"/>
        </w:rPr>
        <w:t>Gami</w:t>
      </w:r>
      <w:proofErr w:type="spellEnd"/>
      <w:r w:rsidRPr="00E246A9">
        <w:rPr>
          <w:rFonts w:ascii="Arial" w:hAnsi="Arial" w:cs="Arial"/>
          <w:bCs/>
          <w:sz w:val="20"/>
          <w:szCs w:val="20"/>
          <w:shd w:val="clear" w:color="auto" w:fill="FFFFFF"/>
        </w:rPr>
        <w:t xml:space="preserve"> S, Ray B, </w:t>
      </w:r>
      <w:proofErr w:type="spellStart"/>
      <w:r w:rsidRPr="00E246A9">
        <w:rPr>
          <w:rFonts w:ascii="Arial" w:hAnsi="Arial" w:cs="Arial"/>
          <w:bCs/>
          <w:sz w:val="20"/>
          <w:szCs w:val="20"/>
          <w:shd w:val="clear" w:color="auto" w:fill="FFFFFF"/>
        </w:rPr>
        <w:t>Poulose</w:t>
      </w:r>
      <w:proofErr w:type="spellEnd"/>
      <w:r w:rsidRPr="00E246A9">
        <w:rPr>
          <w:rFonts w:ascii="Arial" w:hAnsi="Arial" w:cs="Arial"/>
          <w:bCs/>
          <w:sz w:val="20"/>
          <w:szCs w:val="20"/>
          <w:shd w:val="clear" w:color="auto" w:fill="FFFFFF"/>
        </w:rPr>
        <w:t xml:space="preserve"> J. A Case Report on Primary Central Nervous System Lymphoma in Immunocompetent Individual. </w:t>
      </w:r>
      <w:proofErr w:type="spellStart"/>
      <w:r w:rsidRPr="00E246A9">
        <w:rPr>
          <w:rFonts w:ascii="Arial" w:hAnsi="Arial" w:cs="Arial"/>
          <w:bCs/>
          <w:sz w:val="20"/>
          <w:szCs w:val="20"/>
          <w:shd w:val="clear" w:color="auto" w:fill="FFFFFF"/>
        </w:rPr>
        <w:t>Cureus</w:t>
      </w:r>
      <w:proofErr w:type="spellEnd"/>
      <w:r w:rsidRPr="00E246A9">
        <w:rPr>
          <w:rFonts w:ascii="Arial" w:hAnsi="Arial" w:cs="Arial"/>
          <w:bCs/>
          <w:sz w:val="20"/>
          <w:szCs w:val="20"/>
          <w:shd w:val="clear" w:color="auto" w:fill="FFFFFF"/>
        </w:rPr>
        <w:t>. 2021 Jun 28;13(6</w:t>
      </w:r>
      <w:proofErr w:type="gramStart"/>
      <w:r w:rsidRPr="00E246A9">
        <w:rPr>
          <w:rFonts w:ascii="Arial" w:hAnsi="Arial" w:cs="Arial"/>
          <w:bCs/>
          <w:sz w:val="20"/>
          <w:szCs w:val="20"/>
          <w:shd w:val="clear" w:color="auto" w:fill="FFFFFF"/>
        </w:rPr>
        <w:t>):e</w:t>
      </w:r>
      <w:proofErr w:type="gramEnd"/>
      <w:r w:rsidRPr="00E246A9">
        <w:rPr>
          <w:rFonts w:ascii="Arial" w:hAnsi="Arial" w:cs="Arial"/>
          <w:bCs/>
          <w:sz w:val="20"/>
          <w:szCs w:val="20"/>
          <w:shd w:val="clear" w:color="auto" w:fill="FFFFFF"/>
        </w:rPr>
        <w:t xml:space="preserve">15990. </w:t>
      </w:r>
      <w:proofErr w:type="spellStart"/>
      <w:r w:rsidRPr="00E246A9">
        <w:rPr>
          <w:rFonts w:ascii="Arial" w:hAnsi="Arial" w:cs="Arial"/>
          <w:bCs/>
          <w:sz w:val="20"/>
          <w:szCs w:val="20"/>
          <w:shd w:val="clear" w:color="auto" w:fill="FFFFFF"/>
        </w:rPr>
        <w:t>doi</w:t>
      </w:r>
      <w:proofErr w:type="spellEnd"/>
      <w:r w:rsidRPr="00E246A9">
        <w:rPr>
          <w:rFonts w:ascii="Arial" w:hAnsi="Arial" w:cs="Arial"/>
          <w:bCs/>
          <w:sz w:val="20"/>
          <w:szCs w:val="20"/>
          <w:shd w:val="clear" w:color="auto" w:fill="FFFFFF"/>
        </w:rPr>
        <w:t>: 10.7759/cureus.15990. PMID: 34336481; PMCID: PMC8318614.</w:t>
      </w:r>
    </w:p>
    <w:p w14:paraId="25CCB62C" w14:textId="77777777" w:rsidR="00F754FA" w:rsidRPr="00E246A9" w:rsidRDefault="00F754FA" w:rsidP="00F754FA">
      <w:pPr>
        <w:pStyle w:val="ListParagraph"/>
        <w:numPr>
          <w:ilvl w:val="0"/>
          <w:numId w:val="31"/>
        </w:numPr>
        <w:spacing w:line="360" w:lineRule="auto"/>
        <w:jc w:val="both"/>
        <w:rPr>
          <w:rFonts w:ascii="Arial" w:hAnsi="Arial" w:cs="Arial"/>
          <w:bCs/>
          <w:sz w:val="20"/>
          <w:szCs w:val="20"/>
          <w:shd w:val="clear" w:color="auto" w:fill="FFFFFF"/>
        </w:rPr>
      </w:pPr>
      <w:proofErr w:type="spellStart"/>
      <w:r w:rsidRPr="00E246A9">
        <w:rPr>
          <w:rFonts w:ascii="Arial" w:hAnsi="Arial" w:cs="Arial"/>
          <w:bCs/>
          <w:sz w:val="20"/>
          <w:szCs w:val="20"/>
          <w:shd w:val="clear" w:color="auto" w:fill="FFFFFF"/>
        </w:rPr>
        <w:t>Haldorsen</w:t>
      </w:r>
      <w:proofErr w:type="spellEnd"/>
      <w:r w:rsidRPr="00E246A9">
        <w:rPr>
          <w:rFonts w:ascii="Arial" w:hAnsi="Arial" w:cs="Arial"/>
          <w:bCs/>
          <w:sz w:val="20"/>
          <w:szCs w:val="20"/>
          <w:shd w:val="clear" w:color="auto" w:fill="FFFFFF"/>
        </w:rPr>
        <w:t xml:space="preserve">, I. S., </w:t>
      </w:r>
      <w:proofErr w:type="spellStart"/>
      <w:r w:rsidRPr="00E246A9">
        <w:rPr>
          <w:rFonts w:ascii="Arial" w:hAnsi="Arial" w:cs="Arial"/>
          <w:bCs/>
          <w:sz w:val="20"/>
          <w:szCs w:val="20"/>
          <w:shd w:val="clear" w:color="auto" w:fill="FFFFFF"/>
        </w:rPr>
        <w:t>Kråkenes</w:t>
      </w:r>
      <w:proofErr w:type="spellEnd"/>
      <w:r w:rsidRPr="00E246A9">
        <w:rPr>
          <w:rFonts w:ascii="Arial" w:hAnsi="Arial" w:cs="Arial"/>
          <w:bCs/>
          <w:sz w:val="20"/>
          <w:szCs w:val="20"/>
          <w:shd w:val="clear" w:color="auto" w:fill="FFFFFF"/>
        </w:rPr>
        <w:t xml:space="preserve">, J., </w:t>
      </w:r>
      <w:proofErr w:type="spellStart"/>
      <w:r w:rsidRPr="00E246A9">
        <w:rPr>
          <w:rFonts w:ascii="Arial" w:hAnsi="Arial" w:cs="Arial"/>
          <w:bCs/>
          <w:sz w:val="20"/>
          <w:szCs w:val="20"/>
          <w:shd w:val="clear" w:color="auto" w:fill="FFFFFF"/>
        </w:rPr>
        <w:t>Krossnes</w:t>
      </w:r>
      <w:proofErr w:type="spellEnd"/>
      <w:r w:rsidRPr="00E246A9">
        <w:rPr>
          <w:rFonts w:ascii="Arial" w:hAnsi="Arial" w:cs="Arial"/>
          <w:bCs/>
          <w:sz w:val="20"/>
          <w:szCs w:val="20"/>
          <w:shd w:val="clear" w:color="auto" w:fill="FFFFFF"/>
        </w:rPr>
        <w:t xml:space="preserve">, B. K., </w:t>
      </w:r>
      <w:proofErr w:type="spellStart"/>
      <w:r w:rsidRPr="00E246A9">
        <w:rPr>
          <w:rFonts w:ascii="Arial" w:hAnsi="Arial" w:cs="Arial"/>
          <w:bCs/>
          <w:sz w:val="20"/>
          <w:szCs w:val="20"/>
          <w:shd w:val="clear" w:color="auto" w:fill="FFFFFF"/>
        </w:rPr>
        <w:t>Mella</w:t>
      </w:r>
      <w:proofErr w:type="spellEnd"/>
      <w:r w:rsidRPr="00E246A9">
        <w:rPr>
          <w:rFonts w:ascii="Arial" w:hAnsi="Arial" w:cs="Arial"/>
          <w:bCs/>
          <w:sz w:val="20"/>
          <w:szCs w:val="20"/>
          <w:shd w:val="clear" w:color="auto" w:fill="FFFFFF"/>
        </w:rPr>
        <w:t xml:space="preserve">, O., &amp; </w:t>
      </w:r>
      <w:proofErr w:type="spellStart"/>
      <w:r w:rsidRPr="00E246A9">
        <w:rPr>
          <w:rFonts w:ascii="Arial" w:hAnsi="Arial" w:cs="Arial"/>
          <w:bCs/>
          <w:sz w:val="20"/>
          <w:szCs w:val="20"/>
          <w:shd w:val="clear" w:color="auto" w:fill="FFFFFF"/>
        </w:rPr>
        <w:t>Espeland</w:t>
      </w:r>
      <w:proofErr w:type="spellEnd"/>
      <w:r w:rsidRPr="00E246A9">
        <w:rPr>
          <w:rFonts w:ascii="Arial" w:hAnsi="Arial" w:cs="Arial"/>
          <w:bCs/>
          <w:sz w:val="20"/>
          <w:szCs w:val="20"/>
          <w:shd w:val="clear" w:color="auto" w:fill="FFFFFF"/>
        </w:rPr>
        <w:t>, A. (2009). CT and MR Imaging Features of Primary Central Nervous System Lymphoma in Norway, 1989–2003. American Journal of Neuroradiology, 30(4), 744–751. doi:10.3174/</w:t>
      </w:r>
      <w:proofErr w:type="gramStart"/>
      <w:r w:rsidRPr="00E246A9">
        <w:rPr>
          <w:rFonts w:ascii="Arial" w:hAnsi="Arial" w:cs="Arial"/>
          <w:bCs/>
          <w:sz w:val="20"/>
          <w:szCs w:val="20"/>
          <w:shd w:val="clear" w:color="auto" w:fill="FFFFFF"/>
        </w:rPr>
        <w:t>ajnr.a</w:t>
      </w:r>
      <w:proofErr w:type="gramEnd"/>
      <w:r w:rsidRPr="00E246A9">
        <w:rPr>
          <w:rFonts w:ascii="Arial" w:hAnsi="Arial" w:cs="Arial"/>
          <w:bCs/>
          <w:sz w:val="20"/>
          <w:szCs w:val="20"/>
          <w:shd w:val="clear" w:color="auto" w:fill="FFFFFF"/>
        </w:rPr>
        <w:t>1447</w:t>
      </w:r>
    </w:p>
    <w:p w14:paraId="3975808A" w14:textId="77777777" w:rsidR="00F754FA" w:rsidRPr="00E246A9" w:rsidRDefault="00F754FA" w:rsidP="00F754FA">
      <w:pPr>
        <w:pStyle w:val="ListParagraph"/>
        <w:numPr>
          <w:ilvl w:val="0"/>
          <w:numId w:val="31"/>
        </w:numPr>
        <w:spacing w:line="360" w:lineRule="auto"/>
        <w:jc w:val="both"/>
        <w:rPr>
          <w:rFonts w:ascii="Arial" w:hAnsi="Arial" w:cs="Arial"/>
          <w:bCs/>
          <w:sz w:val="20"/>
          <w:szCs w:val="20"/>
          <w:shd w:val="clear" w:color="auto" w:fill="FFFFFF"/>
        </w:rPr>
      </w:pPr>
      <w:proofErr w:type="spellStart"/>
      <w:r w:rsidRPr="00E246A9">
        <w:rPr>
          <w:rFonts w:ascii="Arial" w:hAnsi="Arial" w:cs="Arial"/>
          <w:color w:val="212121"/>
          <w:sz w:val="20"/>
          <w:szCs w:val="20"/>
          <w:shd w:val="clear" w:color="auto" w:fill="FFFFFF"/>
        </w:rPr>
        <w:t>Mohile</w:t>
      </w:r>
      <w:proofErr w:type="spellEnd"/>
      <w:r w:rsidRPr="00E246A9">
        <w:rPr>
          <w:rFonts w:ascii="Arial" w:hAnsi="Arial" w:cs="Arial"/>
          <w:color w:val="212121"/>
          <w:sz w:val="20"/>
          <w:szCs w:val="20"/>
          <w:shd w:val="clear" w:color="auto" w:fill="FFFFFF"/>
        </w:rPr>
        <w:t xml:space="preserve"> NA, </w:t>
      </w:r>
      <w:proofErr w:type="spellStart"/>
      <w:r w:rsidRPr="00E246A9">
        <w:rPr>
          <w:rFonts w:ascii="Arial" w:hAnsi="Arial" w:cs="Arial"/>
          <w:color w:val="212121"/>
          <w:sz w:val="20"/>
          <w:szCs w:val="20"/>
          <w:shd w:val="clear" w:color="auto" w:fill="FFFFFF"/>
        </w:rPr>
        <w:t>Deangelis</w:t>
      </w:r>
      <w:proofErr w:type="spellEnd"/>
      <w:r w:rsidRPr="00E246A9">
        <w:rPr>
          <w:rFonts w:ascii="Arial" w:hAnsi="Arial" w:cs="Arial"/>
          <w:color w:val="212121"/>
          <w:sz w:val="20"/>
          <w:szCs w:val="20"/>
          <w:shd w:val="clear" w:color="auto" w:fill="FFFFFF"/>
        </w:rPr>
        <w:t xml:space="preserve"> LM, </w:t>
      </w:r>
      <w:proofErr w:type="spellStart"/>
      <w:r w:rsidRPr="00E246A9">
        <w:rPr>
          <w:rFonts w:ascii="Arial" w:hAnsi="Arial" w:cs="Arial"/>
          <w:color w:val="212121"/>
          <w:sz w:val="20"/>
          <w:szCs w:val="20"/>
          <w:shd w:val="clear" w:color="auto" w:fill="FFFFFF"/>
        </w:rPr>
        <w:t>Abrey</w:t>
      </w:r>
      <w:proofErr w:type="spellEnd"/>
      <w:r w:rsidRPr="00E246A9">
        <w:rPr>
          <w:rFonts w:ascii="Arial" w:hAnsi="Arial" w:cs="Arial"/>
          <w:color w:val="212121"/>
          <w:sz w:val="20"/>
          <w:szCs w:val="20"/>
          <w:shd w:val="clear" w:color="auto" w:fill="FFFFFF"/>
        </w:rPr>
        <w:t xml:space="preserve"> LE. The utility of body FDG PET in staging primary central nervous system lymphoma. Neuro Oncol. 2008 Apr;10(2):223-8. </w:t>
      </w:r>
      <w:proofErr w:type="spellStart"/>
      <w:r w:rsidRPr="00E246A9">
        <w:rPr>
          <w:rFonts w:ascii="Arial" w:hAnsi="Arial" w:cs="Arial"/>
          <w:color w:val="212121"/>
          <w:sz w:val="20"/>
          <w:szCs w:val="20"/>
          <w:shd w:val="clear" w:color="auto" w:fill="FFFFFF"/>
        </w:rPr>
        <w:t>doi</w:t>
      </w:r>
      <w:proofErr w:type="spellEnd"/>
      <w:r w:rsidRPr="00E246A9">
        <w:rPr>
          <w:rFonts w:ascii="Arial" w:hAnsi="Arial" w:cs="Arial"/>
          <w:color w:val="212121"/>
          <w:sz w:val="20"/>
          <w:szCs w:val="20"/>
          <w:shd w:val="clear" w:color="auto" w:fill="FFFFFF"/>
        </w:rPr>
        <w:t xml:space="preserve">: 10.1215/15228517-2007-061. </w:t>
      </w:r>
      <w:proofErr w:type="spellStart"/>
      <w:r w:rsidRPr="00E246A9">
        <w:rPr>
          <w:rFonts w:ascii="Arial" w:hAnsi="Arial" w:cs="Arial"/>
          <w:color w:val="212121"/>
          <w:sz w:val="20"/>
          <w:szCs w:val="20"/>
          <w:shd w:val="clear" w:color="auto" w:fill="FFFFFF"/>
        </w:rPr>
        <w:t>Epub</w:t>
      </w:r>
      <w:proofErr w:type="spellEnd"/>
      <w:r w:rsidRPr="00E246A9">
        <w:rPr>
          <w:rFonts w:ascii="Arial" w:hAnsi="Arial" w:cs="Arial"/>
          <w:color w:val="212121"/>
          <w:sz w:val="20"/>
          <w:szCs w:val="20"/>
          <w:shd w:val="clear" w:color="auto" w:fill="FFFFFF"/>
        </w:rPr>
        <w:t xml:space="preserve"> 2008 Feb 20. PMID: 18287338; PMCID: PMC2613825.</w:t>
      </w:r>
    </w:p>
    <w:p w14:paraId="6BD0FDB4" w14:textId="77777777" w:rsidR="00F754FA" w:rsidRPr="00E246A9" w:rsidRDefault="00F754FA" w:rsidP="00F754FA">
      <w:pPr>
        <w:pStyle w:val="ListParagraph"/>
        <w:numPr>
          <w:ilvl w:val="0"/>
          <w:numId w:val="31"/>
        </w:numPr>
        <w:spacing w:line="360" w:lineRule="auto"/>
        <w:jc w:val="both"/>
        <w:rPr>
          <w:rFonts w:ascii="Arial" w:hAnsi="Arial" w:cs="Arial"/>
          <w:bCs/>
          <w:sz w:val="20"/>
          <w:szCs w:val="20"/>
          <w:shd w:val="clear" w:color="auto" w:fill="FFFFFF"/>
        </w:rPr>
      </w:pPr>
      <w:proofErr w:type="spellStart"/>
      <w:r w:rsidRPr="00E246A9">
        <w:rPr>
          <w:rFonts w:ascii="Arial" w:hAnsi="Arial" w:cs="Arial"/>
          <w:bCs/>
          <w:sz w:val="20"/>
          <w:szCs w:val="20"/>
          <w:shd w:val="clear" w:color="auto" w:fill="FFFFFF"/>
        </w:rPr>
        <w:t>Chojak</w:t>
      </w:r>
      <w:proofErr w:type="spellEnd"/>
      <w:r w:rsidRPr="00E246A9">
        <w:rPr>
          <w:rFonts w:ascii="Arial" w:hAnsi="Arial" w:cs="Arial"/>
          <w:bCs/>
          <w:sz w:val="20"/>
          <w:szCs w:val="20"/>
          <w:shd w:val="clear" w:color="auto" w:fill="FFFFFF"/>
        </w:rPr>
        <w:t xml:space="preserve"> R, </w:t>
      </w:r>
      <w:proofErr w:type="spellStart"/>
      <w:r w:rsidRPr="00E246A9">
        <w:rPr>
          <w:rFonts w:ascii="Arial" w:hAnsi="Arial" w:cs="Arial"/>
          <w:bCs/>
          <w:sz w:val="20"/>
          <w:szCs w:val="20"/>
          <w:shd w:val="clear" w:color="auto" w:fill="FFFFFF"/>
        </w:rPr>
        <w:t>Koźba-Gosztyła</w:t>
      </w:r>
      <w:proofErr w:type="spellEnd"/>
      <w:r w:rsidRPr="00E246A9">
        <w:rPr>
          <w:rFonts w:ascii="Arial" w:hAnsi="Arial" w:cs="Arial"/>
          <w:bCs/>
          <w:sz w:val="20"/>
          <w:szCs w:val="20"/>
          <w:shd w:val="clear" w:color="auto" w:fill="FFFFFF"/>
        </w:rPr>
        <w:t xml:space="preserve"> M, </w:t>
      </w:r>
      <w:proofErr w:type="spellStart"/>
      <w:r w:rsidRPr="00E246A9">
        <w:rPr>
          <w:rFonts w:ascii="Arial" w:hAnsi="Arial" w:cs="Arial"/>
          <w:bCs/>
          <w:sz w:val="20"/>
          <w:szCs w:val="20"/>
          <w:shd w:val="clear" w:color="auto" w:fill="FFFFFF"/>
        </w:rPr>
        <w:t>Polańska</w:t>
      </w:r>
      <w:proofErr w:type="spellEnd"/>
      <w:r w:rsidRPr="00E246A9">
        <w:rPr>
          <w:rFonts w:ascii="Arial" w:hAnsi="Arial" w:cs="Arial"/>
          <w:bCs/>
          <w:sz w:val="20"/>
          <w:szCs w:val="20"/>
          <w:shd w:val="clear" w:color="auto" w:fill="FFFFFF"/>
        </w:rPr>
        <w:t xml:space="preserve"> K, </w:t>
      </w:r>
      <w:proofErr w:type="spellStart"/>
      <w:r w:rsidRPr="00E246A9">
        <w:rPr>
          <w:rFonts w:ascii="Arial" w:hAnsi="Arial" w:cs="Arial"/>
          <w:bCs/>
          <w:sz w:val="20"/>
          <w:szCs w:val="20"/>
          <w:shd w:val="clear" w:color="auto" w:fill="FFFFFF"/>
        </w:rPr>
        <w:t>Rojek</w:t>
      </w:r>
      <w:proofErr w:type="spellEnd"/>
      <w:r w:rsidRPr="00E246A9">
        <w:rPr>
          <w:rFonts w:ascii="Arial" w:hAnsi="Arial" w:cs="Arial"/>
          <w:bCs/>
          <w:sz w:val="20"/>
          <w:szCs w:val="20"/>
          <w:shd w:val="clear" w:color="auto" w:fill="FFFFFF"/>
        </w:rPr>
        <w:t xml:space="preserve"> M, </w:t>
      </w:r>
      <w:proofErr w:type="spellStart"/>
      <w:r w:rsidRPr="00E246A9">
        <w:rPr>
          <w:rFonts w:ascii="Arial" w:hAnsi="Arial" w:cs="Arial"/>
          <w:bCs/>
          <w:sz w:val="20"/>
          <w:szCs w:val="20"/>
          <w:shd w:val="clear" w:color="auto" w:fill="FFFFFF"/>
        </w:rPr>
        <w:t>Chojko</w:t>
      </w:r>
      <w:proofErr w:type="spellEnd"/>
      <w:r w:rsidRPr="00E246A9">
        <w:rPr>
          <w:rFonts w:ascii="Arial" w:hAnsi="Arial" w:cs="Arial"/>
          <w:bCs/>
          <w:sz w:val="20"/>
          <w:szCs w:val="20"/>
          <w:shd w:val="clear" w:color="auto" w:fill="FFFFFF"/>
        </w:rPr>
        <w:t xml:space="preserve"> A, </w:t>
      </w:r>
      <w:proofErr w:type="spellStart"/>
      <w:r w:rsidRPr="00E246A9">
        <w:rPr>
          <w:rFonts w:ascii="Arial" w:hAnsi="Arial" w:cs="Arial"/>
          <w:bCs/>
          <w:sz w:val="20"/>
          <w:szCs w:val="20"/>
          <w:shd w:val="clear" w:color="auto" w:fill="FFFFFF"/>
        </w:rPr>
        <w:t>Bogacz</w:t>
      </w:r>
      <w:proofErr w:type="spellEnd"/>
      <w:r w:rsidRPr="00E246A9">
        <w:rPr>
          <w:rFonts w:ascii="Arial" w:hAnsi="Arial" w:cs="Arial"/>
          <w:bCs/>
          <w:sz w:val="20"/>
          <w:szCs w:val="20"/>
          <w:shd w:val="clear" w:color="auto" w:fill="FFFFFF"/>
        </w:rPr>
        <w:t xml:space="preserve"> R, </w:t>
      </w:r>
      <w:proofErr w:type="spellStart"/>
      <w:r w:rsidRPr="00E246A9">
        <w:rPr>
          <w:rFonts w:ascii="Arial" w:hAnsi="Arial" w:cs="Arial"/>
          <w:bCs/>
          <w:sz w:val="20"/>
          <w:szCs w:val="20"/>
          <w:shd w:val="clear" w:color="auto" w:fill="FFFFFF"/>
        </w:rPr>
        <w:t>Skorupa</w:t>
      </w:r>
      <w:proofErr w:type="spellEnd"/>
      <w:r w:rsidRPr="00E246A9">
        <w:rPr>
          <w:rFonts w:ascii="Arial" w:hAnsi="Arial" w:cs="Arial"/>
          <w:bCs/>
          <w:sz w:val="20"/>
          <w:szCs w:val="20"/>
          <w:shd w:val="clear" w:color="auto" w:fill="FFFFFF"/>
        </w:rPr>
        <w:t xml:space="preserve"> N, </w:t>
      </w:r>
      <w:proofErr w:type="spellStart"/>
      <w:r w:rsidRPr="00E246A9">
        <w:rPr>
          <w:rFonts w:ascii="Arial" w:hAnsi="Arial" w:cs="Arial"/>
          <w:bCs/>
          <w:sz w:val="20"/>
          <w:szCs w:val="20"/>
          <w:shd w:val="clear" w:color="auto" w:fill="FFFFFF"/>
        </w:rPr>
        <w:t>Więcław</w:t>
      </w:r>
      <w:proofErr w:type="spellEnd"/>
      <w:r w:rsidRPr="00E246A9">
        <w:rPr>
          <w:rFonts w:ascii="Arial" w:hAnsi="Arial" w:cs="Arial"/>
          <w:bCs/>
          <w:sz w:val="20"/>
          <w:szCs w:val="20"/>
          <w:shd w:val="clear" w:color="auto" w:fill="FFFFFF"/>
        </w:rPr>
        <w:t xml:space="preserve"> J, </w:t>
      </w:r>
      <w:proofErr w:type="spellStart"/>
      <w:r w:rsidRPr="00E246A9">
        <w:rPr>
          <w:rFonts w:ascii="Arial" w:hAnsi="Arial" w:cs="Arial"/>
          <w:bCs/>
          <w:sz w:val="20"/>
          <w:szCs w:val="20"/>
          <w:shd w:val="clear" w:color="auto" w:fill="FFFFFF"/>
        </w:rPr>
        <w:t>Czapiga</w:t>
      </w:r>
      <w:proofErr w:type="spellEnd"/>
      <w:r w:rsidRPr="00E246A9">
        <w:rPr>
          <w:rFonts w:ascii="Arial" w:hAnsi="Arial" w:cs="Arial"/>
          <w:bCs/>
          <w:sz w:val="20"/>
          <w:szCs w:val="20"/>
          <w:shd w:val="clear" w:color="auto" w:fill="FFFFFF"/>
        </w:rPr>
        <w:t xml:space="preserve"> B. Surgical resection versus biopsy in the treatment of primary </w:t>
      </w:r>
      <w:r w:rsidRPr="00E246A9">
        <w:rPr>
          <w:rFonts w:ascii="Arial" w:hAnsi="Arial" w:cs="Arial"/>
          <w:bCs/>
          <w:sz w:val="20"/>
          <w:szCs w:val="20"/>
          <w:shd w:val="clear" w:color="auto" w:fill="FFFFFF"/>
        </w:rPr>
        <w:lastRenderedPageBreak/>
        <w:t xml:space="preserve">central nervous system lymphoma: a systematic review and meta-analysis. J </w:t>
      </w:r>
      <w:proofErr w:type="spellStart"/>
      <w:r w:rsidRPr="00E246A9">
        <w:rPr>
          <w:rFonts w:ascii="Arial" w:hAnsi="Arial" w:cs="Arial"/>
          <w:bCs/>
          <w:sz w:val="20"/>
          <w:szCs w:val="20"/>
          <w:shd w:val="clear" w:color="auto" w:fill="FFFFFF"/>
        </w:rPr>
        <w:t>Neurooncol</w:t>
      </w:r>
      <w:proofErr w:type="spellEnd"/>
      <w:r w:rsidRPr="00E246A9">
        <w:rPr>
          <w:rFonts w:ascii="Arial" w:hAnsi="Arial" w:cs="Arial"/>
          <w:bCs/>
          <w:sz w:val="20"/>
          <w:szCs w:val="20"/>
          <w:shd w:val="clear" w:color="auto" w:fill="FFFFFF"/>
        </w:rPr>
        <w:t xml:space="preserve">. 2022 Dec;160(3):753-761. </w:t>
      </w:r>
      <w:proofErr w:type="spellStart"/>
      <w:r w:rsidRPr="00E246A9">
        <w:rPr>
          <w:rFonts w:ascii="Arial" w:hAnsi="Arial" w:cs="Arial"/>
          <w:bCs/>
          <w:sz w:val="20"/>
          <w:szCs w:val="20"/>
          <w:shd w:val="clear" w:color="auto" w:fill="FFFFFF"/>
        </w:rPr>
        <w:t>doi</w:t>
      </w:r>
      <w:proofErr w:type="spellEnd"/>
      <w:r w:rsidRPr="00E246A9">
        <w:rPr>
          <w:rFonts w:ascii="Arial" w:hAnsi="Arial" w:cs="Arial"/>
          <w:bCs/>
          <w:sz w:val="20"/>
          <w:szCs w:val="20"/>
          <w:shd w:val="clear" w:color="auto" w:fill="FFFFFF"/>
        </w:rPr>
        <w:t xml:space="preserve">: </w:t>
      </w:r>
    </w:p>
    <w:p w14:paraId="4BA1DED9" w14:textId="77777777" w:rsidR="00F754FA" w:rsidRPr="00E246A9" w:rsidRDefault="00F754FA" w:rsidP="00F754FA">
      <w:pPr>
        <w:pStyle w:val="ListParagraph"/>
        <w:numPr>
          <w:ilvl w:val="0"/>
          <w:numId w:val="31"/>
        </w:numPr>
        <w:spacing w:line="360" w:lineRule="auto"/>
        <w:jc w:val="both"/>
        <w:rPr>
          <w:rFonts w:ascii="Arial" w:hAnsi="Arial" w:cs="Arial"/>
          <w:bCs/>
          <w:sz w:val="20"/>
          <w:szCs w:val="20"/>
          <w:shd w:val="clear" w:color="auto" w:fill="FFFFFF"/>
        </w:rPr>
      </w:pPr>
      <w:proofErr w:type="spellStart"/>
      <w:r w:rsidRPr="00E246A9">
        <w:rPr>
          <w:rFonts w:ascii="Arial" w:hAnsi="Arial" w:cs="Arial"/>
          <w:color w:val="212121"/>
          <w:sz w:val="20"/>
          <w:szCs w:val="20"/>
          <w:shd w:val="clear" w:color="auto" w:fill="FFFFFF"/>
        </w:rPr>
        <w:t>Schellekes</w:t>
      </w:r>
      <w:proofErr w:type="spellEnd"/>
      <w:r w:rsidRPr="00E246A9">
        <w:rPr>
          <w:rFonts w:ascii="Arial" w:hAnsi="Arial" w:cs="Arial"/>
          <w:color w:val="212121"/>
          <w:sz w:val="20"/>
          <w:szCs w:val="20"/>
          <w:shd w:val="clear" w:color="auto" w:fill="FFFFFF"/>
        </w:rPr>
        <w:t xml:space="preserve"> N, </w:t>
      </w:r>
      <w:proofErr w:type="spellStart"/>
      <w:r w:rsidRPr="00E246A9">
        <w:rPr>
          <w:rFonts w:ascii="Arial" w:hAnsi="Arial" w:cs="Arial"/>
          <w:color w:val="212121"/>
          <w:sz w:val="20"/>
          <w:szCs w:val="20"/>
          <w:shd w:val="clear" w:color="auto" w:fill="FFFFFF"/>
        </w:rPr>
        <w:t>Barbotti</w:t>
      </w:r>
      <w:proofErr w:type="spellEnd"/>
      <w:r w:rsidRPr="00E246A9">
        <w:rPr>
          <w:rFonts w:ascii="Arial" w:hAnsi="Arial" w:cs="Arial"/>
          <w:color w:val="212121"/>
          <w:sz w:val="20"/>
          <w:szCs w:val="20"/>
          <w:shd w:val="clear" w:color="auto" w:fill="FFFFFF"/>
        </w:rPr>
        <w:t xml:space="preserve"> A, Abramov Y, </w:t>
      </w:r>
      <w:proofErr w:type="spellStart"/>
      <w:r w:rsidRPr="00E246A9">
        <w:rPr>
          <w:rFonts w:ascii="Arial" w:hAnsi="Arial" w:cs="Arial"/>
          <w:color w:val="212121"/>
          <w:sz w:val="20"/>
          <w:szCs w:val="20"/>
          <w:shd w:val="clear" w:color="auto" w:fill="FFFFFF"/>
        </w:rPr>
        <w:t>Sitt</w:t>
      </w:r>
      <w:proofErr w:type="spellEnd"/>
      <w:r w:rsidRPr="00E246A9">
        <w:rPr>
          <w:rFonts w:ascii="Arial" w:hAnsi="Arial" w:cs="Arial"/>
          <w:color w:val="212121"/>
          <w:sz w:val="20"/>
          <w:szCs w:val="20"/>
          <w:shd w:val="clear" w:color="auto" w:fill="FFFFFF"/>
        </w:rPr>
        <w:t xml:space="preserve"> R, Di </w:t>
      </w:r>
      <w:proofErr w:type="spellStart"/>
      <w:r w:rsidRPr="00E246A9">
        <w:rPr>
          <w:rFonts w:ascii="Arial" w:hAnsi="Arial" w:cs="Arial"/>
          <w:color w:val="212121"/>
          <w:sz w:val="20"/>
          <w:szCs w:val="20"/>
          <w:shd w:val="clear" w:color="auto" w:fill="FFFFFF"/>
        </w:rPr>
        <w:t>Meco</w:t>
      </w:r>
      <w:proofErr w:type="spellEnd"/>
      <w:r w:rsidRPr="00E246A9">
        <w:rPr>
          <w:rFonts w:ascii="Arial" w:hAnsi="Arial" w:cs="Arial"/>
          <w:color w:val="212121"/>
          <w:sz w:val="20"/>
          <w:szCs w:val="20"/>
          <w:shd w:val="clear" w:color="auto" w:fill="FFFFFF"/>
        </w:rPr>
        <w:t xml:space="preserve"> F, Ram Z, Grossman R. Resection of primary central nervous system lymphoma: impact of patient selection on overall survival. J </w:t>
      </w:r>
      <w:proofErr w:type="spellStart"/>
      <w:r w:rsidRPr="00E246A9">
        <w:rPr>
          <w:rFonts w:ascii="Arial" w:hAnsi="Arial" w:cs="Arial"/>
          <w:color w:val="212121"/>
          <w:sz w:val="20"/>
          <w:szCs w:val="20"/>
          <w:shd w:val="clear" w:color="auto" w:fill="FFFFFF"/>
        </w:rPr>
        <w:t>Neurosurg</w:t>
      </w:r>
      <w:proofErr w:type="spellEnd"/>
      <w:r w:rsidRPr="00E246A9">
        <w:rPr>
          <w:rFonts w:ascii="Arial" w:hAnsi="Arial" w:cs="Arial"/>
          <w:color w:val="212121"/>
          <w:sz w:val="20"/>
          <w:szCs w:val="20"/>
          <w:shd w:val="clear" w:color="auto" w:fill="FFFFFF"/>
        </w:rPr>
        <w:t xml:space="preserve">. 2021 Feb 26;135(4):1016-1025. </w:t>
      </w:r>
      <w:proofErr w:type="spellStart"/>
      <w:r w:rsidRPr="00E246A9">
        <w:rPr>
          <w:rFonts w:ascii="Arial" w:hAnsi="Arial" w:cs="Arial"/>
          <w:color w:val="212121"/>
          <w:sz w:val="20"/>
          <w:szCs w:val="20"/>
          <w:shd w:val="clear" w:color="auto" w:fill="FFFFFF"/>
        </w:rPr>
        <w:t>doi</w:t>
      </w:r>
      <w:proofErr w:type="spellEnd"/>
      <w:r w:rsidRPr="00E246A9">
        <w:rPr>
          <w:rFonts w:ascii="Arial" w:hAnsi="Arial" w:cs="Arial"/>
          <w:color w:val="212121"/>
          <w:sz w:val="20"/>
          <w:szCs w:val="20"/>
          <w:shd w:val="clear" w:color="auto" w:fill="FFFFFF"/>
        </w:rPr>
        <w:t>: 10.3171/2020.</w:t>
      </w:r>
      <w:proofErr w:type="gramStart"/>
      <w:r w:rsidRPr="00E246A9">
        <w:rPr>
          <w:rFonts w:ascii="Arial" w:hAnsi="Arial" w:cs="Arial"/>
          <w:color w:val="212121"/>
          <w:sz w:val="20"/>
          <w:szCs w:val="20"/>
          <w:shd w:val="clear" w:color="auto" w:fill="FFFFFF"/>
        </w:rPr>
        <w:t>9.JNS</w:t>
      </w:r>
      <w:proofErr w:type="gramEnd"/>
      <w:r w:rsidRPr="00E246A9">
        <w:rPr>
          <w:rFonts w:ascii="Arial" w:hAnsi="Arial" w:cs="Arial"/>
          <w:color w:val="212121"/>
          <w:sz w:val="20"/>
          <w:szCs w:val="20"/>
          <w:shd w:val="clear" w:color="auto" w:fill="FFFFFF"/>
        </w:rPr>
        <w:t>201980. PMID: 33636699.</w:t>
      </w:r>
    </w:p>
    <w:p w14:paraId="1BEEF96F" w14:textId="77777777" w:rsidR="00F754FA" w:rsidRPr="00E246A9" w:rsidRDefault="00F754FA" w:rsidP="00F754FA">
      <w:pPr>
        <w:pStyle w:val="ListParagraph"/>
        <w:numPr>
          <w:ilvl w:val="0"/>
          <w:numId w:val="31"/>
        </w:numPr>
        <w:spacing w:line="360" w:lineRule="auto"/>
        <w:jc w:val="both"/>
        <w:rPr>
          <w:rFonts w:ascii="Arial" w:hAnsi="Arial" w:cs="Arial"/>
          <w:bCs/>
          <w:sz w:val="20"/>
          <w:szCs w:val="20"/>
          <w:shd w:val="clear" w:color="auto" w:fill="FFFFFF"/>
        </w:rPr>
      </w:pPr>
      <w:r w:rsidRPr="00E246A9">
        <w:rPr>
          <w:rFonts w:ascii="Arial" w:hAnsi="Arial" w:cs="Arial"/>
          <w:color w:val="1B1B1B"/>
          <w:sz w:val="20"/>
          <w:szCs w:val="20"/>
          <w:shd w:val="clear" w:color="auto" w:fill="FFFFFF"/>
        </w:rPr>
        <w:t xml:space="preserve">Morell AA, Shah AH, Cavallo C, </w:t>
      </w:r>
      <w:proofErr w:type="spellStart"/>
      <w:r w:rsidRPr="00E246A9">
        <w:rPr>
          <w:rFonts w:ascii="Arial" w:hAnsi="Arial" w:cs="Arial"/>
          <w:color w:val="1B1B1B"/>
          <w:sz w:val="20"/>
          <w:szCs w:val="20"/>
          <w:shd w:val="clear" w:color="auto" w:fill="FFFFFF"/>
        </w:rPr>
        <w:t>Eichberg</w:t>
      </w:r>
      <w:proofErr w:type="spellEnd"/>
      <w:r w:rsidRPr="00E246A9">
        <w:rPr>
          <w:rFonts w:ascii="Arial" w:hAnsi="Arial" w:cs="Arial"/>
          <w:color w:val="1B1B1B"/>
          <w:sz w:val="20"/>
          <w:szCs w:val="20"/>
          <w:shd w:val="clear" w:color="auto" w:fill="FFFFFF"/>
        </w:rPr>
        <w:t xml:space="preserve"> DG, </w:t>
      </w:r>
      <w:proofErr w:type="spellStart"/>
      <w:r w:rsidRPr="00E246A9">
        <w:rPr>
          <w:rFonts w:ascii="Arial" w:hAnsi="Arial" w:cs="Arial"/>
          <w:color w:val="1B1B1B"/>
          <w:sz w:val="20"/>
          <w:szCs w:val="20"/>
          <w:shd w:val="clear" w:color="auto" w:fill="FFFFFF"/>
        </w:rPr>
        <w:t>Sarkiss</w:t>
      </w:r>
      <w:proofErr w:type="spellEnd"/>
      <w:r w:rsidRPr="00E246A9">
        <w:rPr>
          <w:rFonts w:ascii="Arial" w:hAnsi="Arial" w:cs="Arial"/>
          <w:color w:val="1B1B1B"/>
          <w:sz w:val="20"/>
          <w:szCs w:val="20"/>
          <w:shd w:val="clear" w:color="auto" w:fill="FFFFFF"/>
        </w:rPr>
        <w:t xml:space="preserve"> CA, </w:t>
      </w:r>
      <w:proofErr w:type="spellStart"/>
      <w:r w:rsidRPr="00E246A9">
        <w:rPr>
          <w:rFonts w:ascii="Arial" w:hAnsi="Arial" w:cs="Arial"/>
          <w:color w:val="1B1B1B"/>
          <w:sz w:val="20"/>
          <w:szCs w:val="20"/>
          <w:shd w:val="clear" w:color="auto" w:fill="FFFFFF"/>
        </w:rPr>
        <w:t>Benveniste</w:t>
      </w:r>
      <w:proofErr w:type="spellEnd"/>
      <w:r w:rsidRPr="00E246A9">
        <w:rPr>
          <w:rFonts w:ascii="Arial" w:hAnsi="Arial" w:cs="Arial"/>
          <w:color w:val="1B1B1B"/>
          <w:sz w:val="20"/>
          <w:szCs w:val="20"/>
          <w:shd w:val="clear" w:color="auto" w:fill="FFFFFF"/>
        </w:rPr>
        <w:t xml:space="preserve"> R, Ivan ME, </w:t>
      </w:r>
      <w:proofErr w:type="spellStart"/>
      <w:r w:rsidRPr="00E246A9">
        <w:rPr>
          <w:rFonts w:ascii="Arial" w:hAnsi="Arial" w:cs="Arial"/>
          <w:color w:val="1B1B1B"/>
          <w:sz w:val="20"/>
          <w:szCs w:val="20"/>
          <w:shd w:val="clear" w:color="auto" w:fill="FFFFFF"/>
        </w:rPr>
        <w:t>Komotar</w:t>
      </w:r>
      <w:proofErr w:type="spellEnd"/>
      <w:r w:rsidRPr="00E246A9">
        <w:rPr>
          <w:rFonts w:ascii="Arial" w:hAnsi="Arial" w:cs="Arial"/>
          <w:color w:val="1B1B1B"/>
          <w:sz w:val="20"/>
          <w:szCs w:val="20"/>
          <w:shd w:val="clear" w:color="auto" w:fill="FFFFFF"/>
        </w:rPr>
        <w:t xml:space="preserve"> RJ. Diagnosis of primary central nervous system lymphoma: a systematic review of the utility of CSF screening and the role of early brain biopsy. </w:t>
      </w:r>
      <w:proofErr w:type="spellStart"/>
      <w:r w:rsidRPr="00E246A9">
        <w:rPr>
          <w:rFonts w:ascii="Arial" w:hAnsi="Arial" w:cs="Arial"/>
          <w:color w:val="1B1B1B"/>
          <w:sz w:val="20"/>
          <w:szCs w:val="20"/>
          <w:shd w:val="clear" w:color="auto" w:fill="FFFFFF"/>
        </w:rPr>
        <w:t>Neurooncol</w:t>
      </w:r>
      <w:proofErr w:type="spellEnd"/>
      <w:r w:rsidRPr="00E246A9">
        <w:rPr>
          <w:rFonts w:ascii="Arial" w:hAnsi="Arial" w:cs="Arial"/>
          <w:color w:val="1B1B1B"/>
          <w:sz w:val="20"/>
          <w:szCs w:val="20"/>
          <w:shd w:val="clear" w:color="auto" w:fill="FFFFFF"/>
        </w:rPr>
        <w:t xml:space="preserve"> </w:t>
      </w:r>
      <w:proofErr w:type="spellStart"/>
      <w:r w:rsidRPr="00E246A9">
        <w:rPr>
          <w:rFonts w:ascii="Arial" w:hAnsi="Arial" w:cs="Arial"/>
          <w:color w:val="1B1B1B"/>
          <w:sz w:val="20"/>
          <w:szCs w:val="20"/>
          <w:shd w:val="clear" w:color="auto" w:fill="FFFFFF"/>
        </w:rPr>
        <w:t>Pract</w:t>
      </w:r>
      <w:proofErr w:type="spellEnd"/>
      <w:r w:rsidRPr="00E246A9">
        <w:rPr>
          <w:rFonts w:ascii="Arial" w:hAnsi="Arial" w:cs="Arial"/>
          <w:color w:val="1B1B1B"/>
          <w:sz w:val="20"/>
          <w:szCs w:val="20"/>
          <w:shd w:val="clear" w:color="auto" w:fill="FFFFFF"/>
        </w:rPr>
        <w:t xml:space="preserve">. 2019 Dec;6(6):415-423. </w:t>
      </w:r>
      <w:proofErr w:type="spellStart"/>
      <w:r w:rsidRPr="00E246A9">
        <w:rPr>
          <w:rFonts w:ascii="Arial" w:hAnsi="Arial" w:cs="Arial"/>
          <w:color w:val="1B1B1B"/>
          <w:sz w:val="20"/>
          <w:szCs w:val="20"/>
          <w:shd w:val="clear" w:color="auto" w:fill="FFFFFF"/>
        </w:rPr>
        <w:t>doi</w:t>
      </w:r>
      <w:proofErr w:type="spellEnd"/>
      <w:r w:rsidRPr="00E246A9">
        <w:rPr>
          <w:rFonts w:ascii="Arial" w:hAnsi="Arial" w:cs="Arial"/>
          <w:color w:val="1B1B1B"/>
          <w:sz w:val="20"/>
          <w:szCs w:val="20"/>
          <w:shd w:val="clear" w:color="auto" w:fill="FFFFFF"/>
        </w:rPr>
        <w:t>: 10.1093/</w:t>
      </w:r>
      <w:proofErr w:type="spellStart"/>
      <w:r w:rsidRPr="00E246A9">
        <w:rPr>
          <w:rFonts w:ascii="Arial" w:hAnsi="Arial" w:cs="Arial"/>
          <w:color w:val="1B1B1B"/>
          <w:sz w:val="20"/>
          <w:szCs w:val="20"/>
          <w:shd w:val="clear" w:color="auto" w:fill="FFFFFF"/>
        </w:rPr>
        <w:t>nop</w:t>
      </w:r>
      <w:proofErr w:type="spellEnd"/>
      <w:r w:rsidRPr="00E246A9">
        <w:rPr>
          <w:rFonts w:ascii="Arial" w:hAnsi="Arial" w:cs="Arial"/>
          <w:color w:val="1B1B1B"/>
          <w:sz w:val="20"/>
          <w:szCs w:val="20"/>
          <w:shd w:val="clear" w:color="auto" w:fill="FFFFFF"/>
        </w:rPr>
        <w:t xml:space="preserve">/npz015. </w:t>
      </w:r>
      <w:proofErr w:type="spellStart"/>
      <w:r w:rsidRPr="00E246A9">
        <w:rPr>
          <w:rFonts w:ascii="Arial" w:hAnsi="Arial" w:cs="Arial"/>
          <w:color w:val="1B1B1B"/>
          <w:sz w:val="20"/>
          <w:szCs w:val="20"/>
          <w:shd w:val="clear" w:color="auto" w:fill="FFFFFF"/>
        </w:rPr>
        <w:t>Epub</w:t>
      </w:r>
      <w:proofErr w:type="spellEnd"/>
      <w:r w:rsidRPr="00E246A9">
        <w:rPr>
          <w:rFonts w:ascii="Arial" w:hAnsi="Arial" w:cs="Arial"/>
          <w:color w:val="1B1B1B"/>
          <w:sz w:val="20"/>
          <w:szCs w:val="20"/>
          <w:shd w:val="clear" w:color="auto" w:fill="FFFFFF"/>
        </w:rPr>
        <w:t xml:space="preserve"> 2019 Apr 27. PMID: 31832211; PMCID: PMC6899047.</w:t>
      </w:r>
    </w:p>
    <w:p w14:paraId="39E3DF8E" w14:textId="77777777" w:rsidR="00F754FA" w:rsidRPr="00E246A9" w:rsidRDefault="00F754FA" w:rsidP="00F754FA">
      <w:pPr>
        <w:pStyle w:val="ListParagraph"/>
        <w:numPr>
          <w:ilvl w:val="0"/>
          <w:numId w:val="31"/>
        </w:numPr>
        <w:spacing w:line="360" w:lineRule="auto"/>
        <w:jc w:val="both"/>
        <w:rPr>
          <w:rFonts w:ascii="Arial" w:hAnsi="Arial" w:cs="Arial"/>
          <w:bCs/>
          <w:sz w:val="20"/>
          <w:szCs w:val="20"/>
          <w:shd w:val="clear" w:color="auto" w:fill="FFFFFF"/>
        </w:rPr>
      </w:pPr>
      <w:proofErr w:type="spellStart"/>
      <w:r w:rsidRPr="00E246A9">
        <w:rPr>
          <w:rFonts w:ascii="Arial" w:hAnsi="Arial" w:cs="Arial"/>
          <w:bCs/>
          <w:sz w:val="20"/>
          <w:szCs w:val="20"/>
          <w:shd w:val="clear" w:color="auto" w:fill="FFFFFF"/>
        </w:rPr>
        <w:t>Steffanoni</w:t>
      </w:r>
      <w:proofErr w:type="spellEnd"/>
      <w:r w:rsidRPr="00E246A9">
        <w:rPr>
          <w:rFonts w:ascii="Arial" w:hAnsi="Arial" w:cs="Arial"/>
          <w:bCs/>
          <w:sz w:val="20"/>
          <w:szCs w:val="20"/>
          <w:shd w:val="clear" w:color="auto" w:fill="FFFFFF"/>
        </w:rPr>
        <w:t xml:space="preserve"> S, </w:t>
      </w:r>
      <w:proofErr w:type="spellStart"/>
      <w:r w:rsidRPr="00E246A9">
        <w:rPr>
          <w:rFonts w:ascii="Arial" w:hAnsi="Arial" w:cs="Arial"/>
          <w:bCs/>
          <w:sz w:val="20"/>
          <w:szCs w:val="20"/>
          <w:shd w:val="clear" w:color="auto" w:fill="FFFFFF"/>
        </w:rPr>
        <w:t>Calimeri</w:t>
      </w:r>
      <w:proofErr w:type="spellEnd"/>
      <w:r w:rsidRPr="00E246A9">
        <w:rPr>
          <w:rFonts w:ascii="Arial" w:hAnsi="Arial" w:cs="Arial"/>
          <w:bCs/>
          <w:sz w:val="20"/>
          <w:szCs w:val="20"/>
          <w:shd w:val="clear" w:color="auto" w:fill="FFFFFF"/>
        </w:rPr>
        <w:t xml:space="preserve"> T, </w:t>
      </w:r>
      <w:proofErr w:type="spellStart"/>
      <w:r w:rsidRPr="00E246A9">
        <w:rPr>
          <w:rFonts w:ascii="Arial" w:hAnsi="Arial" w:cs="Arial"/>
          <w:bCs/>
          <w:sz w:val="20"/>
          <w:szCs w:val="20"/>
          <w:shd w:val="clear" w:color="auto" w:fill="FFFFFF"/>
        </w:rPr>
        <w:t>Marktel</w:t>
      </w:r>
      <w:proofErr w:type="spellEnd"/>
      <w:r w:rsidRPr="00E246A9">
        <w:rPr>
          <w:rFonts w:ascii="Arial" w:hAnsi="Arial" w:cs="Arial"/>
          <w:bCs/>
          <w:sz w:val="20"/>
          <w:szCs w:val="20"/>
          <w:shd w:val="clear" w:color="auto" w:fill="FFFFFF"/>
        </w:rPr>
        <w:t xml:space="preserve"> S, Nitti R, </w:t>
      </w:r>
      <w:proofErr w:type="spellStart"/>
      <w:r w:rsidRPr="00E246A9">
        <w:rPr>
          <w:rFonts w:ascii="Arial" w:hAnsi="Arial" w:cs="Arial"/>
          <w:bCs/>
          <w:sz w:val="20"/>
          <w:szCs w:val="20"/>
          <w:shd w:val="clear" w:color="auto" w:fill="FFFFFF"/>
        </w:rPr>
        <w:t>Foppoli</w:t>
      </w:r>
      <w:proofErr w:type="spellEnd"/>
      <w:r w:rsidRPr="00E246A9">
        <w:rPr>
          <w:rFonts w:ascii="Arial" w:hAnsi="Arial" w:cs="Arial"/>
          <w:bCs/>
          <w:sz w:val="20"/>
          <w:szCs w:val="20"/>
          <w:shd w:val="clear" w:color="auto" w:fill="FFFFFF"/>
        </w:rPr>
        <w:t xml:space="preserve"> M, </w:t>
      </w:r>
      <w:proofErr w:type="spellStart"/>
      <w:r w:rsidRPr="00E246A9">
        <w:rPr>
          <w:rFonts w:ascii="Arial" w:hAnsi="Arial" w:cs="Arial"/>
          <w:bCs/>
          <w:sz w:val="20"/>
          <w:szCs w:val="20"/>
          <w:shd w:val="clear" w:color="auto" w:fill="FFFFFF"/>
        </w:rPr>
        <w:t>Ferreri</w:t>
      </w:r>
      <w:proofErr w:type="spellEnd"/>
      <w:r w:rsidRPr="00E246A9">
        <w:rPr>
          <w:rFonts w:ascii="Arial" w:hAnsi="Arial" w:cs="Arial"/>
          <w:bCs/>
          <w:sz w:val="20"/>
          <w:szCs w:val="20"/>
          <w:shd w:val="clear" w:color="auto" w:fill="FFFFFF"/>
        </w:rPr>
        <w:t xml:space="preserve"> AJM. Diagnosis and Treatment Using Autologous Stem-Cell Transplantation in Primary Central Nervous System Lymphoma: A Systematic Review. Cancers (Basel). 2023 Jan 15;15(2):526. </w:t>
      </w:r>
      <w:proofErr w:type="spellStart"/>
      <w:r w:rsidRPr="00E246A9">
        <w:rPr>
          <w:rFonts w:ascii="Arial" w:hAnsi="Arial" w:cs="Arial"/>
          <w:bCs/>
          <w:sz w:val="20"/>
          <w:szCs w:val="20"/>
          <w:shd w:val="clear" w:color="auto" w:fill="FFFFFF"/>
        </w:rPr>
        <w:t>doi</w:t>
      </w:r>
      <w:proofErr w:type="spellEnd"/>
      <w:r w:rsidRPr="00E246A9">
        <w:rPr>
          <w:rFonts w:ascii="Arial" w:hAnsi="Arial" w:cs="Arial"/>
          <w:bCs/>
          <w:sz w:val="20"/>
          <w:szCs w:val="20"/>
          <w:shd w:val="clear" w:color="auto" w:fill="FFFFFF"/>
        </w:rPr>
        <w:t>: 10.3390/cancers15020526. PMID: 36672475; PMCID: PMC9856418.</w:t>
      </w:r>
    </w:p>
    <w:p w14:paraId="76042851" w14:textId="77777777" w:rsidR="00F754FA" w:rsidRPr="00E246A9" w:rsidRDefault="00F754FA" w:rsidP="00F754FA">
      <w:pPr>
        <w:pStyle w:val="ListParagraph"/>
        <w:numPr>
          <w:ilvl w:val="0"/>
          <w:numId w:val="31"/>
        </w:numPr>
        <w:spacing w:line="360" w:lineRule="auto"/>
        <w:jc w:val="both"/>
        <w:rPr>
          <w:rFonts w:ascii="Arial" w:hAnsi="Arial" w:cs="Arial"/>
          <w:bCs/>
          <w:sz w:val="20"/>
          <w:szCs w:val="20"/>
        </w:rPr>
      </w:pPr>
      <w:proofErr w:type="spellStart"/>
      <w:r w:rsidRPr="00E246A9">
        <w:rPr>
          <w:rFonts w:ascii="Arial" w:hAnsi="Arial" w:cs="Arial"/>
          <w:bCs/>
          <w:sz w:val="20"/>
          <w:szCs w:val="20"/>
          <w:shd w:val="clear" w:color="auto" w:fill="FFFFFF"/>
        </w:rPr>
        <w:t>Grommes</w:t>
      </w:r>
      <w:proofErr w:type="spellEnd"/>
      <w:r w:rsidRPr="00E246A9">
        <w:rPr>
          <w:rFonts w:ascii="Arial" w:hAnsi="Arial" w:cs="Arial"/>
          <w:bCs/>
          <w:sz w:val="20"/>
          <w:szCs w:val="20"/>
          <w:shd w:val="clear" w:color="auto" w:fill="FFFFFF"/>
        </w:rPr>
        <w:t xml:space="preserve"> C, DeAngelis LM. Primary CNS Lymphoma. J Clin Oncol. 2017 Jul 20;35(21):2410-2418. </w:t>
      </w:r>
      <w:proofErr w:type="spellStart"/>
      <w:r w:rsidRPr="00E246A9">
        <w:rPr>
          <w:rFonts w:ascii="Arial" w:hAnsi="Arial" w:cs="Arial"/>
          <w:bCs/>
          <w:sz w:val="20"/>
          <w:szCs w:val="20"/>
          <w:shd w:val="clear" w:color="auto" w:fill="FFFFFF"/>
        </w:rPr>
        <w:t>doi</w:t>
      </w:r>
      <w:proofErr w:type="spellEnd"/>
      <w:r w:rsidRPr="00E246A9">
        <w:rPr>
          <w:rFonts w:ascii="Arial" w:hAnsi="Arial" w:cs="Arial"/>
          <w:bCs/>
          <w:sz w:val="20"/>
          <w:szCs w:val="20"/>
          <w:shd w:val="clear" w:color="auto" w:fill="FFFFFF"/>
        </w:rPr>
        <w:t xml:space="preserve">: 10.1200/JCO.2017.72.7602. </w:t>
      </w:r>
      <w:proofErr w:type="spellStart"/>
      <w:r w:rsidRPr="00E246A9">
        <w:rPr>
          <w:rFonts w:ascii="Arial" w:hAnsi="Arial" w:cs="Arial"/>
          <w:bCs/>
          <w:sz w:val="20"/>
          <w:szCs w:val="20"/>
          <w:shd w:val="clear" w:color="auto" w:fill="FFFFFF"/>
        </w:rPr>
        <w:t>Epub</w:t>
      </w:r>
      <w:proofErr w:type="spellEnd"/>
      <w:r w:rsidRPr="00E246A9">
        <w:rPr>
          <w:rFonts w:ascii="Arial" w:hAnsi="Arial" w:cs="Arial"/>
          <w:bCs/>
          <w:sz w:val="20"/>
          <w:szCs w:val="20"/>
          <w:shd w:val="clear" w:color="auto" w:fill="FFFFFF"/>
        </w:rPr>
        <w:t xml:space="preserve"> 2017 Jun 22. PMID: 28640701; PMCID: PMC5516483.</w:t>
      </w:r>
    </w:p>
    <w:p w14:paraId="429A21EC" w14:textId="77777777" w:rsidR="00F754FA" w:rsidRPr="00E246A9" w:rsidRDefault="00F754FA" w:rsidP="00F754FA">
      <w:pPr>
        <w:pStyle w:val="ReferHead"/>
        <w:spacing w:after="0"/>
        <w:jc w:val="both"/>
        <w:rPr>
          <w:rFonts w:ascii="Arial" w:hAnsi="Arial" w:cs="Arial"/>
          <w:sz w:val="20"/>
        </w:rPr>
      </w:pPr>
    </w:p>
    <w:p w14:paraId="398B6E03" w14:textId="77777777" w:rsidR="00C936FA" w:rsidRPr="00F754FA" w:rsidRDefault="00C936FA" w:rsidP="00F754FA"/>
    <w:sectPr w:rsidR="00C936FA" w:rsidRPr="00F754FA" w:rsidSect="008F59DE">
      <w:headerReference w:type="even" r:id="rId20"/>
      <w:headerReference w:type="default" r:id="rId21"/>
      <w:footerReference w:type="even" r:id="rId22"/>
      <w:footerReference w:type="default" r:id="rId23"/>
      <w:headerReference w:type="first" r:id="rId24"/>
      <w:footerReference w:type="first" r:id="rId2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6BCA0" w14:textId="77777777" w:rsidR="004B2FDF" w:rsidRDefault="004B2FDF" w:rsidP="00C37E61">
      <w:r>
        <w:separator/>
      </w:r>
    </w:p>
  </w:endnote>
  <w:endnote w:type="continuationSeparator" w:id="0">
    <w:p w14:paraId="60C0F655" w14:textId="77777777" w:rsidR="004B2FDF" w:rsidRDefault="004B2F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A2D0" w14:textId="77777777" w:rsidR="00F754FA" w:rsidRDefault="00F75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F53C" w14:textId="77777777" w:rsidR="00F754FA" w:rsidRPr="00EF786D" w:rsidRDefault="00F754FA" w:rsidP="00EF786D">
    <w:pPr>
      <w:pStyle w:val="Footer"/>
    </w:pPr>
    <w:r w:rsidRPr="00EF786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1237D" w14:textId="77777777" w:rsidR="00F754FA" w:rsidRDefault="00F754FA">
    <w:pPr>
      <w:pStyle w:val="Footer"/>
      <w:rPr>
        <w:rFonts w:ascii="Arial" w:hAnsi="Arial" w:cs="Arial"/>
        <w:sz w:val="16"/>
      </w:rPr>
    </w:pPr>
  </w:p>
  <w:p w14:paraId="732B4C65" w14:textId="77777777" w:rsidR="00F754FA" w:rsidRDefault="00F754F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F1EC4A9" w14:textId="77777777" w:rsidR="00F754FA" w:rsidRDefault="00F754FA">
    <w:pPr>
      <w:pStyle w:val="Footer"/>
      <w:rPr>
        <w:rFonts w:ascii="Arial" w:hAnsi="Arial" w:cs="Arial"/>
        <w:sz w:val="16"/>
      </w:rPr>
    </w:pPr>
  </w:p>
  <w:p w14:paraId="3A6B7EE8" w14:textId="77777777" w:rsidR="00F754FA" w:rsidRPr="009E048A" w:rsidRDefault="00F754F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C2D49" w14:textId="77777777" w:rsidR="008F59DE" w:rsidRDefault="008F59D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5922F" w14:textId="2DC90B68" w:rsidR="00C37E61" w:rsidRPr="00EF786D" w:rsidRDefault="00CC4228" w:rsidP="00EF786D">
    <w:pPr>
      <w:pStyle w:val="Footer"/>
    </w:pPr>
    <w:r w:rsidRPr="00EF786D">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0C1A6" w14:textId="77777777" w:rsidR="009E048A" w:rsidRDefault="009E048A">
    <w:pPr>
      <w:pStyle w:val="Footer"/>
      <w:rPr>
        <w:rFonts w:ascii="Arial" w:hAnsi="Arial" w:cs="Arial"/>
        <w:sz w:val="16"/>
      </w:rPr>
    </w:pPr>
  </w:p>
  <w:p w14:paraId="2B61F5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810C3F0" w14:textId="77777777" w:rsidR="009E048A" w:rsidRDefault="009E048A">
    <w:pPr>
      <w:pStyle w:val="Footer"/>
      <w:rPr>
        <w:rFonts w:ascii="Arial" w:hAnsi="Arial" w:cs="Arial"/>
        <w:sz w:val="16"/>
      </w:rPr>
    </w:pPr>
  </w:p>
  <w:p w14:paraId="6639C59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97010" w14:textId="77777777" w:rsidR="004B2FDF" w:rsidRDefault="004B2FDF" w:rsidP="00C37E61">
      <w:r>
        <w:separator/>
      </w:r>
    </w:p>
  </w:footnote>
  <w:footnote w:type="continuationSeparator" w:id="0">
    <w:p w14:paraId="1DFE1A45" w14:textId="77777777" w:rsidR="004B2FDF" w:rsidRDefault="004B2FD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48320" w14:textId="77777777" w:rsidR="00F754FA" w:rsidRDefault="004B2FDF">
    <w:pPr>
      <w:pStyle w:val="Header"/>
    </w:pPr>
    <w:r>
      <w:rPr>
        <w:noProof/>
      </w:rPr>
      <w:pict w14:anchorId="76CC2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19.9pt;height:58.65pt;rotation:315;z-index:-2516500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F4985" w14:textId="77777777" w:rsidR="00F754FA" w:rsidRDefault="004B2FDF">
    <w:pPr>
      <w:pStyle w:val="Header"/>
    </w:pPr>
    <w:r>
      <w:rPr>
        <w:noProof/>
      </w:rPr>
      <w:pict w14:anchorId="1225D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0390" w14:textId="77777777" w:rsidR="00F754FA" w:rsidRPr="00296529" w:rsidRDefault="004B2FDF" w:rsidP="00296529">
    <w:pPr>
      <w:ind w:left="2160"/>
      <w:jc w:val="center"/>
      <w:rPr>
        <w:rFonts w:ascii="Times New Roman" w:eastAsia="Calibri" w:hAnsi="Times New Roman"/>
        <w:i/>
        <w:sz w:val="18"/>
        <w:szCs w:val="22"/>
      </w:rPr>
    </w:pPr>
    <w:r>
      <w:rPr>
        <w:noProof/>
      </w:rPr>
      <w:pict w14:anchorId="51DAC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7A7291" w14:textId="77777777" w:rsidR="00F754FA" w:rsidRPr="00296529" w:rsidRDefault="00F754F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C8A1AEB" w14:textId="77777777" w:rsidR="00F754FA" w:rsidRPr="00296529" w:rsidRDefault="00F754F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374EC3" w14:textId="77777777" w:rsidR="00F754FA" w:rsidRPr="00296529" w:rsidRDefault="00F754F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D55AD1" w14:textId="77777777" w:rsidR="00F754FA" w:rsidRDefault="00F754F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09E4D0" w14:textId="77777777" w:rsidR="00F754FA" w:rsidRDefault="00F754F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9BADB8" w14:textId="77777777" w:rsidR="00F754FA" w:rsidRDefault="00F754F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B6FE" w14:textId="173CA474" w:rsidR="008F59DE" w:rsidRDefault="004B2FDF">
    <w:pPr>
      <w:pStyle w:val="Header"/>
    </w:pPr>
    <w:r>
      <w:rPr>
        <w:noProof/>
      </w:rPr>
      <w:pict w14:anchorId="36027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1865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4E485" w14:textId="513DFD0F" w:rsidR="008F59DE" w:rsidRDefault="004B2FDF">
    <w:pPr>
      <w:pStyle w:val="Header"/>
    </w:pPr>
    <w:r>
      <w:rPr>
        <w:noProof/>
      </w:rPr>
      <w:pict w14:anchorId="71367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1865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61550" w14:textId="3C51066F" w:rsidR="00296529" w:rsidRPr="00296529" w:rsidRDefault="004B2FDF" w:rsidP="00296529">
    <w:pPr>
      <w:ind w:left="2160"/>
      <w:jc w:val="center"/>
      <w:rPr>
        <w:rFonts w:ascii="Times New Roman" w:eastAsia="Calibri" w:hAnsi="Times New Roman"/>
        <w:i/>
        <w:sz w:val="18"/>
        <w:szCs w:val="22"/>
      </w:rPr>
    </w:pPr>
    <w:r>
      <w:rPr>
        <w:noProof/>
      </w:rPr>
      <w:pict w14:anchorId="465B6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31865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4CA5C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7FDB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15413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7331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2F51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5243D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5B2326"/>
    <w:multiLevelType w:val="hybridMultilevel"/>
    <w:tmpl w:val="3B70A05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0MzQ3NjQwNDQyNLdU0lEKTi0uzszPAykwrAUAoefZ0iwAAAA="/>
  </w:docVars>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6D0B"/>
    <w:rsid w:val="00200595"/>
    <w:rsid w:val="00204835"/>
    <w:rsid w:val="00231920"/>
    <w:rsid w:val="0023195C"/>
    <w:rsid w:val="0024282C"/>
    <w:rsid w:val="002460DC"/>
    <w:rsid w:val="00250985"/>
    <w:rsid w:val="002556F6"/>
    <w:rsid w:val="00283105"/>
    <w:rsid w:val="00284C4C"/>
    <w:rsid w:val="00287E68"/>
    <w:rsid w:val="00296529"/>
    <w:rsid w:val="002B27FB"/>
    <w:rsid w:val="002B4AF2"/>
    <w:rsid w:val="002B685A"/>
    <w:rsid w:val="002C57D2"/>
    <w:rsid w:val="002E0D56"/>
    <w:rsid w:val="002F002B"/>
    <w:rsid w:val="00315186"/>
    <w:rsid w:val="0033343E"/>
    <w:rsid w:val="003512C2"/>
    <w:rsid w:val="00361D6B"/>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2187"/>
    <w:rsid w:val="004539DB"/>
    <w:rsid w:val="00471A80"/>
    <w:rsid w:val="004B2FDF"/>
    <w:rsid w:val="004D305E"/>
    <w:rsid w:val="004D4277"/>
    <w:rsid w:val="00502516"/>
    <w:rsid w:val="00505F06"/>
    <w:rsid w:val="00506828"/>
    <w:rsid w:val="0053056E"/>
    <w:rsid w:val="0053565C"/>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549E"/>
    <w:rsid w:val="007D2288"/>
    <w:rsid w:val="007E088F"/>
    <w:rsid w:val="007F7B32"/>
    <w:rsid w:val="00804BC2"/>
    <w:rsid w:val="0081431A"/>
    <w:rsid w:val="0083216F"/>
    <w:rsid w:val="008510ED"/>
    <w:rsid w:val="00860000"/>
    <w:rsid w:val="00863BD3"/>
    <w:rsid w:val="008641ED"/>
    <w:rsid w:val="00866D66"/>
    <w:rsid w:val="008671C6"/>
    <w:rsid w:val="00875803"/>
    <w:rsid w:val="00881E5A"/>
    <w:rsid w:val="008B459E"/>
    <w:rsid w:val="008E13AE"/>
    <w:rsid w:val="008E1506"/>
    <w:rsid w:val="008E710C"/>
    <w:rsid w:val="008F59DE"/>
    <w:rsid w:val="008F69D6"/>
    <w:rsid w:val="00902823"/>
    <w:rsid w:val="00915CA6"/>
    <w:rsid w:val="00927834"/>
    <w:rsid w:val="0093434D"/>
    <w:rsid w:val="009500A6"/>
    <w:rsid w:val="00957C18"/>
    <w:rsid w:val="009659BA"/>
    <w:rsid w:val="00983040"/>
    <w:rsid w:val="009B3FB9"/>
    <w:rsid w:val="009C2465"/>
    <w:rsid w:val="009D35A0"/>
    <w:rsid w:val="009D770D"/>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5A77"/>
    <w:rsid w:val="00A94063"/>
    <w:rsid w:val="00AA6219"/>
    <w:rsid w:val="00AA74E0"/>
    <w:rsid w:val="00AB703F"/>
    <w:rsid w:val="00AC6BB8"/>
    <w:rsid w:val="00AE008F"/>
    <w:rsid w:val="00B01FCD"/>
    <w:rsid w:val="00B1776C"/>
    <w:rsid w:val="00B31657"/>
    <w:rsid w:val="00B52583"/>
    <w:rsid w:val="00B52896"/>
    <w:rsid w:val="00B95236"/>
    <w:rsid w:val="00B96BD9"/>
    <w:rsid w:val="00BA1B01"/>
    <w:rsid w:val="00BA2641"/>
    <w:rsid w:val="00BB37AA"/>
    <w:rsid w:val="00BB424D"/>
    <w:rsid w:val="00BC53A0"/>
    <w:rsid w:val="00BE62AD"/>
    <w:rsid w:val="00BF121F"/>
    <w:rsid w:val="00BF1F80"/>
    <w:rsid w:val="00C166EF"/>
    <w:rsid w:val="00C17EB0"/>
    <w:rsid w:val="00C27F5F"/>
    <w:rsid w:val="00C30A0F"/>
    <w:rsid w:val="00C37E61"/>
    <w:rsid w:val="00C70F1B"/>
    <w:rsid w:val="00C71A47"/>
    <w:rsid w:val="00C7464C"/>
    <w:rsid w:val="00C81062"/>
    <w:rsid w:val="00C85588"/>
    <w:rsid w:val="00C936FA"/>
    <w:rsid w:val="00CC4228"/>
    <w:rsid w:val="00CD6755"/>
    <w:rsid w:val="00CD6856"/>
    <w:rsid w:val="00CE0089"/>
    <w:rsid w:val="00CE793C"/>
    <w:rsid w:val="00CF193C"/>
    <w:rsid w:val="00CF6BF6"/>
    <w:rsid w:val="00D173F1"/>
    <w:rsid w:val="00D74CB0"/>
    <w:rsid w:val="00D8295D"/>
    <w:rsid w:val="00DC2A65"/>
    <w:rsid w:val="00DE15F0"/>
    <w:rsid w:val="00DE5663"/>
    <w:rsid w:val="00DE78AA"/>
    <w:rsid w:val="00E053D0"/>
    <w:rsid w:val="00E15994"/>
    <w:rsid w:val="00E3114E"/>
    <w:rsid w:val="00E31A70"/>
    <w:rsid w:val="00E35B02"/>
    <w:rsid w:val="00E50077"/>
    <w:rsid w:val="00E66496"/>
    <w:rsid w:val="00E66B35"/>
    <w:rsid w:val="00E66E10"/>
    <w:rsid w:val="00E769F6"/>
    <w:rsid w:val="00E8407C"/>
    <w:rsid w:val="00E84F3C"/>
    <w:rsid w:val="00EA012C"/>
    <w:rsid w:val="00EC6A55"/>
    <w:rsid w:val="00ED0288"/>
    <w:rsid w:val="00EE52CB"/>
    <w:rsid w:val="00EF581D"/>
    <w:rsid w:val="00EF786D"/>
    <w:rsid w:val="00EF7FD8"/>
    <w:rsid w:val="00F06F59"/>
    <w:rsid w:val="00F17988"/>
    <w:rsid w:val="00F324F0"/>
    <w:rsid w:val="00F469F0"/>
    <w:rsid w:val="00F53273"/>
    <w:rsid w:val="00F754FA"/>
    <w:rsid w:val="00F755E4"/>
    <w:rsid w:val="00F77D02"/>
    <w:rsid w:val="00F9571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48A19DF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C936FA"/>
    <w:pPr>
      <w:spacing w:after="200"/>
    </w:pPr>
    <w:rPr>
      <w:rFonts w:asciiTheme="minorHAnsi" w:eastAsiaTheme="minorHAnsi" w:hAnsiTheme="minorHAnsi" w:cstheme="minorBidi"/>
      <w:i/>
      <w:iCs/>
      <w:color w:val="1F497D" w:themeColor="text2"/>
      <w:sz w:val="18"/>
      <w:szCs w:val="18"/>
      <w:lang w:val="en-MY"/>
    </w:rPr>
  </w:style>
  <w:style w:type="paragraph" w:styleId="ListParagraph">
    <w:name w:val="List Paragraph"/>
    <w:basedOn w:val="Normal"/>
    <w:uiPriority w:val="34"/>
    <w:qFormat/>
    <w:rsid w:val="00C936FA"/>
    <w:pPr>
      <w:spacing w:after="160" w:line="259" w:lineRule="auto"/>
      <w:ind w:left="720"/>
      <w:contextualSpacing/>
    </w:pPr>
    <w:rPr>
      <w:rFonts w:asciiTheme="minorHAnsi" w:eastAsiaTheme="minorHAnsi" w:hAnsiTheme="minorHAnsi" w:cstheme="minorBidi"/>
      <w:sz w:val="22"/>
      <w:szCs w:val="22"/>
      <w:lang w:val="en-MY"/>
    </w:rPr>
  </w:style>
  <w:style w:type="character" w:customStyle="1" w:styleId="bkciteavail">
    <w:name w:val="bk_cite_avail"/>
    <w:basedOn w:val="DefaultParagraphFont"/>
    <w:rsid w:val="00C936FA"/>
  </w:style>
  <w:style w:type="paragraph" w:styleId="NoSpacing">
    <w:name w:val="No Spacing"/>
    <w:uiPriority w:val="1"/>
    <w:qFormat/>
    <w:rsid w:val="008510ED"/>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46266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633058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573266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2818930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www.ncbi.nlm.nih.gov/books/NBK5451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5EF45-5D3A-4FC0-A10A-1D15022C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TotalTime>
  <Pages>10</Pages>
  <Words>3151</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14</cp:revision>
  <cp:lastPrinted>1999-07-06T11:00:00Z</cp:lastPrinted>
  <dcterms:created xsi:type="dcterms:W3CDTF">2026-04-13T14:49:00Z</dcterms:created>
  <dcterms:modified xsi:type="dcterms:W3CDTF">2026-04-20T12:31:00Z</dcterms:modified>
</cp:coreProperties>
</file>