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6335" w:rsidRPr="00AF6335" w:rsidRDefault="00AF6335" w:rsidP="005A44DD">
      <w:pPr>
        <w:jc w:val="both"/>
        <w:rPr>
          <w:b/>
          <w:bCs/>
          <w:i/>
          <w:iCs/>
          <w:u w:val="single"/>
          <w:lang w:val="en-US"/>
        </w:rPr>
      </w:pPr>
      <w:r w:rsidRPr="00AF6335">
        <w:rPr>
          <w:b/>
          <w:bCs/>
          <w:i/>
          <w:iCs/>
          <w:u w:val="single"/>
          <w:lang w:val="en-US"/>
        </w:rPr>
        <w:t xml:space="preserve">Case report </w:t>
      </w:r>
    </w:p>
    <w:p w:rsidR="005F57DF" w:rsidRDefault="005F57DF" w:rsidP="005A44DD">
      <w:pPr>
        <w:jc w:val="both"/>
        <w:rPr>
          <w:b/>
          <w:bCs/>
        </w:rPr>
      </w:pPr>
      <w:r w:rsidRPr="005F57DF">
        <w:rPr>
          <w:b/>
          <w:bCs/>
        </w:rPr>
        <w:t>Double Cystic Artery Arising from the Right Hepatic Artery During Laparoscopic Cholecystectomy: A Case Report</w:t>
      </w:r>
    </w:p>
    <w:p w:rsidR="00AF6335" w:rsidRPr="005F57DF" w:rsidRDefault="00AF6335" w:rsidP="005A44DD">
      <w:pPr>
        <w:jc w:val="both"/>
        <w:rPr>
          <w:b/>
          <w:bCs/>
        </w:rPr>
      </w:pPr>
    </w:p>
    <w:p w:rsidR="005F57DF" w:rsidRPr="005F57DF" w:rsidRDefault="005F57DF" w:rsidP="005A44DD">
      <w:pPr>
        <w:jc w:val="both"/>
        <w:rPr>
          <w:b/>
          <w:bCs/>
        </w:rPr>
      </w:pPr>
      <w:r w:rsidRPr="005F57DF">
        <w:rPr>
          <w:b/>
          <w:bCs/>
        </w:rPr>
        <w:t>Abstract</w:t>
      </w:r>
    </w:p>
    <w:p w:rsidR="005F57DF" w:rsidRPr="005A44DD" w:rsidRDefault="005A44DD" w:rsidP="005A44DD">
      <w:pPr>
        <w:spacing w:before="100" w:beforeAutospacing="1" w:after="100" w:afterAutospacing="1" w:line="240" w:lineRule="auto"/>
        <w:jc w:val="both"/>
        <w:rPr>
          <w:rFonts w:ascii="Times New Roman" w:eastAsia="Times New Roman" w:hAnsi="Times New Roman" w:cs="Times New Roman"/>
          <w:sz w:val="24"/>
          <w:szCs w:val="24"/>
          <w:lang w:val="en-US"/>
        </w:rPr>
      </w:pPr>
      <w:r w:rsidRPr="005A44DD">
        <w:rPr>
          <w:rFonts w:ascii="Times New Roman" w:eastAsia="Times New Roman" w:hAnsi="Times New Roman" w:cs="Times New Roman"/>
          <w:sz w:val="24"/>
          <w:szCs w:val="24"/>
          <w:lang w:val="en-US"/>
        </w:rPr>
        <w:t>Anatomical variations of the cystic artery are frequently encountered during laparoscopic cholecystectomy and, if not properly identified, may increase the risk of intraoperative complications. Among these, the occurrence of a double cystic artery is an uncommon yet clinically significant variation that warrants careful recognition during surgical procedures.</w:t>
      </w:r>
      <w:r>
        <w:rPr>
          <w:rFonts w:ascii="Times New Roman" w:eastAsia="Times New Roman" w:hAnsi="Times New Roman" w:cs="Times New Roman"/>
          <w:sz w:val="24"/>
          <w:szCs w:val="24"/>
          <w:lang w:val="en-US"/>
        </w:rPr>
        <w:t xml:space="preserve"> </w:t>
      </w:r>
      <w:r w:rsidR="005F57DF" w:rsidRPr="005F57DF">
        <w:t>We report the case of a 52-year-old female patient who underwent elective laparoscopic cholecystectomy for symptomatic cholelithiasis. Preoperative ultrasonography revealed multiple millimetric gallstones within the gallbladder, and laboratory findings were within normal limits. During dissection of Calot’s triangle, two distinct cystic arteries originating from the right hepatic artery were identified. After achieving the critical view of safety, both arteries were individually clipped with two clips and divided. The procedure was completed laparoscopically without complications. The patient was discharged on postoperative day one, and histopathological examination revealed chronic cholecystitis. Awareness of cystic artery variations is essential to prevent intraoperative bleeding and ensure safe laparoscopic cholecystectomy.</w:t>
      </w:r>
    </w:p>
    <w:p w:rsidR="005F57DF" w:rsidRPr="005F57DF" w:rsidRDefault="005F57DF" w:rsidP="005A44DD">
      <w:pPr>
        <w:jc w:val="both"/>
      </w:pPr>
      <w:r w:rsidRPr="005F57DF">
        <w:rPr>
          <w:b/>
          <w:bCs/>
        </w:rPr>
        <w:t>Keywords:</w:t>
      </w:r>
      <w:r w:rsidRPr="005F57DF">
        <w:t xml:space="preserve"> cystic artery variation, double cystic artery, </w:t>
      </w:r>
      <w:r w:rsidR="00A86624">
        <w:t>right hepatic artery variation</w:t>
      </w:r>
      <w:r w:rsidRPr="005F57DF">
        <w:t xml:space="preserve">, Calot’s triangle, </w:t>
      </w:r>
      <w:r w:rsidR="00046613">
        <w:t>vascular anomaly</w:t>
      </w:r>
    </w:p>
    <w:p w:rsidR="005F57DF" w:rsidRPr="005F57DF" w:rsidRDefault="005A44DD" w:rsidP="005A44DD">
      <w:pPr>
        <w:jc w:val="both"/>
      </w:pPr>
      <w:r>
        <w:pict>
          <v:rect id="_x0000_i1025" style="width:0;height:1.5pt" o:hralign="center" o:hrstd="t" o:hr="t" fillcolor="#a0a0a0" stroked="f"/>
        </w:pict>
      </w:r>
    </w:p>
    <w:p w:rsidR="005F57DF" w:rsidRPr="005F57DF" w:rsidRDefault="005F57DF" w:rsidP="005A44DD">
      <w:pPr>
        <w:jc w:val="both"/>
        <w:rPr>
          <w:b/>
          <w:bCs/>
        </w:rPr>
      </w:pPr>
      <w:r w:rsidRPr="005F57DF">
        <w:rPr>
          <w:b/>
          <w:bCs/>
        </w:rPr>
        <w:t>Introduction</w:t>
      </w:r>
    </w:p>
    <w:p w:rsidR="009272BA" w:rsidRDefault="009272BA" w:rsidP="005A44DD">
      <w:pPr>
        <w:jc w:val="both"/>
      </w:pPr>
      <w:r w:rsidRPr="009272BA">
        <w:t>Laparoscopic cholecystectomy is widely recognised as the gold standard for the management of symptomatic gallstone disease and ranks among the most commonly performed surgical procedures globally (1). While generally considered safe, anatomical variations within Calot’s triangle can elevate the risk of vascular or biliary injury during the operation (2).</w:t>
      </w:r>
    </w:p>
    <w:p w:rsidR="005F57DF" w:rsidRPr="005F57DF" w:rsidRDefault="005F57DF" w:rsidP="005A44DD">
      <w:pPr>
        <w:jc w:val="both"/>
      </w:pPr>
      <w:r w:rsidRPr="005F57DF">
        <w:t>The cystic artery most commonly originates from the right hepatic artery and typically appears as a single branch supplying the gallbladder (3). However, several variations have been described, including aberrant origin, accessory arteries, and duplication of the cystic artery (4).</w:t>
      </w:r>
    </w:p>
    <w:p w:rsidR="005F57DF" w:rsidRPr="005F57DF" w:rsidRDefault="005F57DF" w:rsidP="005A44DD">
      <w:pPr>
        <w:jc w:val="both"/>
      </w:pPr>
      <w:r w:rsidRPr="005F57DF">
        <w:t>Duplication of the cystic artery, also known as double cystic artery, represents an important anatomical variation that may lead to unexpected intraoperative bleeding if one of the arterial branches is not recognized (5). Large clinical series evaluating laparoscopic visualization of Calot’s triangle have demonstrated considerable variability in the origin and course of the cystic artery (6,7).</w:t>
      </w:r>
    </w:p>
    <w:p w:rsidR="005F57DF" w:rsidRPr="005F57DF" w:rsidRDefault="005F57DF" w:rsidP="005A44DD">
      <w:pPr>
        <w:jc w:val="both"/>
      </w:pPr>
      <w:r w:rsidRPr="005F57DF">
        <w:t>Therefore, careful dissection of Calot’s triangle and strict adherence to the critical view of safety (CVS) technique remain essential for the safe identification of cystic structures during laparoscopic cholecystectomy (8).</w:t>
      </w:r>
    </w:p>
    <w:p w:rsidR="005F57DF" w:rsidRPr="005F57DF" w:rsidRDefault="005F57DF" w:rsidP="005A44DD">
      <w:pPr>
        <w:jc w:val="both"/>
      </w:pPr>
      <w:r w:rsidRPr="005F57DF">
        <w:t>In this report, we present a case of double cystic artery originating from the right hepatic artery encountered during elective laparoscopic cholecystectomy.</w:t>
      </w:r>
    </w:p>
    <w:p w:rsidR="005F57DF" w:rsidRPr="005F57DF" w:rsidRDefault="005A44DD" w:rsidP="005A44DD">
      <w:pPr>
        <w:jc w:val="both"/>
      </w:pPr>
      <w:r>
        <w:lastRenderedPageBreak/>
        <w:pict>
          <v:rect id="_x0000_i1026" style="width:0;height:1.5pt" o:hralign="center" o:hrstd="t" o:hr="t" fillcolor="#a0a0a0" stroked="f"/>
        </w:pict>
      </w:r>
    </w:p>
    <w:p w:rsidR="005F57DF" w:rsidRPr="005F57DF" w:rsidRDefault="005F57DF" w:rsidP="005A44DD">
      <w:pPr>
        <w:jc w:val="both"/>
        <w:rPr>
          <w:b/>
          <w:bCs/>
        </w:rPr>
      </w:pPr>
      <w:r w:rsidRPr="005F57DF">
        <w:rPr>
          <w:b/>
          <w:bCs/>
        </w:rPr>
        <w:t>Case Presentation</w:t>
      </w:r>
    </w:p>
    <w:p w:rsidR="005F57DF" w:rsidRDefault="005F57DF" w:rsidP="005A44DD">
      <w:pPr>
        <w:jc w:val="both"/>
      </w:pPr>
      <w:r w:rsidRPr="005F57DF">
        <w:t>A 52-year-old female patient presented with intermittent right upper quadrant abdominal pain. Abdominal ultrasonography demonstrated multiple millimetric gallstones within the gallbladder</w:t>
      </w:r>
      <w:r w:rsidR="00A90698">
        <w:t>(Figure 1)</w:t>
      </w:r>
      <w:r w:rsidRPr="005F57DF">
        <w:t>. There were no findings suggestive of acute cholecystitis. Laboratory parameters, including liver function tests and inflammatory markers, were within normal limits.</w:t>
      </w:r>
    </w:p>
    <w:p w:rsidR="00A90698" w:rsidRDefault="00A90698" w:rsidP="005A44DD">
      <w:pPr>
        <w:pStyle w:val="NormalWeb"/>
        <w:jc w:val="both"/>
      </w:pPr>
      <w:r>
        <w:rPr>
          <w:noProof/>
        </w:rPr>
        <w:drawing>
          <wp:inline distT="0" distB="0" distL="0" distR="0">
            <wp:extent cx="2053701" cy="1540276"/>
            <wp:effectExtent l="19050" t="0" r="3699" b="0"/>
            <wp:docPr id="12" name="Resim 12" descr="C:\Users\Bashekim\Desktop\YEDEK\Desktop\Ethem\Gallstone ileus\case\20260316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Bashekim\Desktop\YEDEK\Desktop\Ethem\Gallstone ileus\case\20260316_.jpg"/>
                    <pic:cNvPicPr>
                      <a:picLocks noChangeAspect="1" noChangeArrowheads="1"/>
                    </pic:cNvPicPr>
                  </pic:nvPicPr>
                  <pic:blipFill>
                    <a:blip r:embed="rId7" cstate="print"/>
                    <a:srcRect/>
                    <a:stretch>
                      <a:fillRect/>
                    </a:stretch>
                  </pic:blipFill>
                  <pic:spPr bwMode="auto">
                    <a:xfrm>
                      <a:off x="0" y="0"/>
                      <a:ext cx="2054848" cy="1541136"/>
                    </a:xfrm>
                    <a:prstGeom prst="rect">
                      <a:avLst/>
                    </a:prstGeom>
                    <a:noFill/>
                    <a:ln w="9525">
                      <a:noFill/>
                      <a:miter lim="800000"/>
                      <a:headEnd/>
                      <a:tailEnd/>
                    </a:ln>
                  </pic:spPr>
                </pic:pic>
              </a:graphicData>
            </a:graphic>
          </wp:inline>
        </w:drawing>
      </w:r>
    </w:p>
    <w:p w:rsidR="00A90698" w:rsidRPr="00A90698" w:rsidRDefault="00A90698" w:rsidP="005A44DD">
      <w:pPr>
        <w:jc w:val="both"/>
      </w:pPr>
      <w:r w:rsidRPr="00A90698">
        <w:rPr>
          <w:b/>
        </w:rPr>
        <w:t>Figure 1:</w:t>
      </w:r>
      <w:r>
        <w:rPr>
          <w:b/>
        </w:rPr>
        <w:t xml:space="preserve"> </w:t>
      </w:r>
      <w:r w:rsidRPr="00A90698">
        <w:t>Abdominal ultrasonography demonstrating multiple millimetric gallstones within the gallbladder lumen with posterior acoustic shadowing.</w:t>
      </w:r>
    </w:p>
    <w:p w:rsidR="009272BA" w:rsidRDefault="009272BA" w:rsidP="005A44DD">
      <w:pPr>
        <w:jc w:val="both"/>
      </w:pPr>
      <w:r w:rsidRPr="009272BA">
        <w:t>On the basis of a confirmed diagnosis of symptomatic cholelithiasis, the patient was planned for an elective laparoscopic cholecystectomy.</w:t>
      </w:r>
    </w:p>
    <w:p w:rsidR="009272BA" w:rsidRDefault="009272BA" w:rsidP="005A44DD">
      <w:pPr>
        <w:jc w:val="both"/>
      </w:pPr>
      <w:r w:rsidRPr="009272BA">
        <w:t>The procedure was conducted under general anaesthesia using a conventional four-port laparoscopic technique. After appropriate retraction of the gallbladder, meticulous dissection of Calot’s triangle was undertaken.</w:t>
      </w:r>
    </w:p>
    <w:p w:rsidR="005F57DF" w:rsidRPr="005F57DF" w:rsidRDefault="005F57DF" w:rsidP="005A44DD">
      <w:pPr>
        <w:jc w:val="both"/>
      </w:pPr>
      <w:r w:rsidRPr="005F57DF">
        <w:t>During the dissection, two separate cystic arteries originating from the right hepatic artery were identified supplying the gallbladder. After obtaining the critical view of safety, both arterial branches were</w:t>
      </w:r>
      <w:r w:rsidR="00A90698">
        <w:t xml:space="preserve"> individually isolated (Figure 2</w:t>
      </w:r>
      <w:r w:rsidRPr="005F57DF">
        <w:t>).</w:t>
      </w:r>
    </w:p>
    <w:p w:rsidR="009272BA" w:rsidRDefault="009272BA" w:rsidP="005A44DD">
      <w:pPr>
        <w:pStyle w:val="NormalWeb"/>
        <w:jc w:val="both"/>
        <w:rPr>
          <w:rFonts w:asciiTheme="minorHAnsi" w:eastAsiaTheme="minorHAnsi" w:hAnsiTheme="minorHAnsi" w:cstheme="minorBidi"/>
          <w:sz w:val="22"/>
          <w:szCs w:val="22"/>
          <w:lang w:eastAsia="en-US"/>
        </w:rPr>
      </w:pPr>
      <w:r w:rsidRPr="009272BA">
        <w:rPr>
          <w:rFonts w:asciiTheme="minorHAnsi" w:eastAsiaTheme="minorHAnsi" w:hAnsiTheme="minorHAnsi" w:cstheme="minorBidi"/>
          <w:sz w:val="22"/>
          <w:szCs w:val="22"/>
          <w:lang w:eastAsia="en-US"/>
        </w:rPr>
        <w:t>Each cystic artery was ligated with two surgical clips prior to division. The cystic duct was similarly clipped and transected in accordance with standard practice. The gallbladder was then carefully separated from the hepatic bed and retrieved laparoscopically.</w:t>
      </w:r>
    </w:p>
    <w:p w:rsidR="005F57DF" w:rsidRPr="005F57DF" w:rsidRDefault="00A90698" w:rsidP="005A44DD">
      <w:pPr>
        <w:pStyle w:val="NormalWeb"/>
        <w:jc w:val="both"/>
      </w:pPr>
      <w:r w:rsidRPr="00A90698">
        <w:t xml:space="preserve"> </w:t>
      </w:r>
      <w:r>
        <w:rPr>
          <w:noProof/>
        </w:rPr>
        <w:drawing>
          <wp:inline distT="0" distB="0" distL="0" distR="0">
            <wp:extent cx="2016484" cy="1133915"/>
            <wp:effectExtent l="19050" t="0" r="2816" b="0"/>
            <wp:docPr id="7" name="Resim 7" descr="C:\Users\Bashekim\Desktop\YEDEK\Desktop\Ethem\Gallstone ileus\case\WhatsApp Image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ashekim\Desktop\YEDEK\Desktop\Ethem\Gallstone ileus\case\WhatsApp Image .JPG"/>
                    <pic:cNvPicPr>
                      <a:picLocks noChangeAspect="1" noChangeArrowheads="1"/>
                    </pic:cNvPicPr>
                  </pic:nvPicPr>
                  <pic:blipFill>
                    <a:blip r:embed="rId8" cstate="print"/>
                    <a:srcRect/>
                    <a:stretch>
                      <a:fillRect/>
                    </a:stretch>
                  </pic:blipFill>
                  <pic:spPr bwMode="auto">
                    <a:xfrm>
                      <a:off x="0" y="0"/>
                      <a:ext cx="2016887" cy="1134142"/>
                    </a:xfrm>
                    <a:prstGeom prst="rect">
                      <a:avLst/>
                    </a:prstGeom>
                    <a:noFill/>
                    <a:ln w="9525">
                      <a:noFill/>
                      <a:miter lim="800000"/>
                      <a:headEnd/>
                      <a:tailEnd/>
                    </a:ln>
                  </pic:spPr>
                </pic:pic>
              </a:graphicData>
            </a:graphic>
          </wp:inline>
        </w:drawing>
      </w:r>
    </w:p>
    <w:p w:rsidR="005F57DF" w:rsidRDefault="00A90698" w:rsidP="005A44DD">
      <w:pPr>
        <w:jc w:val="both"/>
      </w:pPr>
      <w:r>
        <w:rPr>
          <w:b/>
          <w:bCs/>
        </w:rPr>
        <w:t>Figure 2</w:t>
      </w:r>
      <w:r w:rsidR="005F57DF" w:rsidRPr="005F57DF">
        <w:rPr>
          <w:b/>
          <w:bCs/>
        </w:rPr>
        <w:t>:</w:t>
      </w:r>
      <w:r w:rsidRPr="00A90698">
        <w:t xml:space="preserve"> Intraoperative laparoscopic image demonstrating two cystic arteries arising from the right hepatic artery during dissection of Calot’s triangle. The blue arrow indicates the superficial cystic artery, while the yellow arrow indicates the deep cystic artery</w:t>
      </w:r>
      <w:r>
        <w:t xml:space="preserve"> </w:t>
      </w:r>
      <w:r w:rsidR="005F57DF" w:rsidRPr="005F57DF">
        <w:t>.</w:t>
      </w:r>
    </w:p>
    <w:p w:rsidR="005F57DF" w:rsidRPr="005F57DF" w:rsidRDefault="009272BA" w:rsidP="005A44DD">
      <w:pPr>
        <w:jc w:val="both"/>
      </w:pPr>
      <w:r w:rsidRPr="009272BA">
        <w:lastRenderedPageBreak/>
        <w:t>The operation was concluded without any intraoperative complications. The postoperative course was unremarkable, and the patient was discharged on the first postoperative day. Histopathological analysis demonstrated features consistent with chronic cholecystitis.</w:t>
      </w:r>
      <w:r w:rsidR="005A44DD">
        <w:pict>
          <v:rect id="_x0000_i1027" style="width:0;height:1.5pt" o:hralign="center" o:hrstd="t" o:hr="t" fillcolor="#a0a0a0" stroked="f"/>
        </w:pict>
      </w:r>
    </w:p>
    <w:p w:rsidR="005F57DF" w:rsidRPr="005F57DF" w:rsidRDefault="005F57DF" w:rsidP="005A44DD">
      <w:pPr>
        <w:jc w:val="both"/>
        <w:rPr>
          <w:b/>
          <w:bCs/>
        </w:rPr>
      </w:pPr>
      <w:r w:rsidRPr="005F57DF">
        <w:rPr>
          <w:b/>
          <w:bCs/>
        </w:rPr>
        <w:t>Discussion</w:t>
      </w:r>
    </w:p>
    <w:p w:rsidR="005F57DF" w:rsidRPr="005F57DF" w:rsidRDefault="005F57DF" w:rsidP="005A44DD">
      <w:pPr>
        <w:jc w:val="both"/>
      </w:pPr>
      <w:r w:rsidRPr="005F57DF">
        <w:t>A detailed understanding of hepatobiliary anatomy is essential for surgeons performing laparoscopic cholecystectomy. Although the cystic artery typically arises as a single branch from the right hepatic artery, numerous anatomical variations have been reported in the literature (3,4).</w:t>
      </w:r>
    </w:p>
    <w:p w:rsidR="005F57DF" w:rsidRPr="005F57DF" w:rsidRDefault="005F57DF" w:rsidP="005A44DD">
      <w:pPr>
        <w:jc w:val="both"/>
      </w:pPr>
      <w:r w:rsidRPr="005F57DF">
        <w:t>Several clinical and anatomical studies have demonstrated that the cystic artery may present with variations in origin, number, and course within Calot’s triangle (6). Recent studies evaluating intraoperative laparoscopic visualization have confirmed considerable variability in the position of the cystic artery relative to the cystic duct and gallbladder (7).</w:t>
      </w:r>
    </w:p>
    <w:p w:rsidR="005F57DF" w:rsidRDefault="005F57DF" w:rsidP="005A44DD">
      <w:pPr>
        <w:jc w:val="both"/>
      </w:pPr>
      <w:r w:rsidRPr="005F57DF">
        <w:t>Duplication of the cystic artery is a less common but clinically important variation. In such cases, two arterial branches may supply the gallbladder, typically providing vascular supply to the superficial and deep surfaces of the gallbladder wall (4). Failure to recognize the accessory branch may lead to unexpected bleeding during surgery (5).</w:t>
      </w:r>
    </w:p>
    <w:p w:rsidR="005A44DD" w:rsidRPr="005A44DD" w:rsidRDefault="005A44DD" w:rsidP="005A44DD">
      <w:pPr>
        <w:spacing w:before="100" w:beforeAutospacing="1" w:after="100" w:afterAutospacing="1" w:line="240" w:lineRule="auto"/>
        <w:jc w:val="both"/>
        <w:rPr>
          <w:rFonts w:ascii="Times New Roman" w:eastAsia="Times New Roman" w:hAnsi="Times New Roman" w:cs="Times New Roman"/>
          <w:szCs w:val="24"/>
          <w:lang w:val="en-US"/>
        </w:rPr>
      </w:pPr>
      <w:bookmarkStart w:id="0" w:name="_GoBack"/>
      <w:r w:rsidRPr="005A44DD">
        <w:rPr>
          <w:rFonts w:ascii="Times New Roman" w:eastAsia="Times New Roman" w:hAnsi="Times New Roman" w:cs="Times New Roman"/>
          <w:szCs w:val="24"/>
          <w:lang w:val="en-US"/>
        </w:rPr>
        <w:t xml:space="preserve">According to published studies, the reported incidence of a double cystic artery ranges from approximately 1% to 15%, depending on the study population and the method of detection. Various classification systems, including the </w:t>
      </w:r>
      <w:proofErr w:type="spellStart"/>
      <w:r w:rsidRPr="005A44DD">
        <w:rPr>
          <w:rFonts w:ascii="Times New Roman" w:eastAsia="Times New Roman" w:hAnsi="Times New Roman" w:cs="Times New Roman"/>
          <w:szCs w:val="24"/>
          <w:lang w:val="en-US"/>
        </w:rPr>
        <w:t>Michels</w:t>
      </w:r>
      <w:proofErr w:type="spellEnd"/>
      <w:r w:rsidRPr="005A44DD">
        <w:rPr>
          <w:rFonts w:ascii="Times New Roman" w:eastAsia="Times New Roman" w:hAnsi="Times New Roman" w:cs="Times New Roman"/>
          <w:szCs w:val="24"/>
          <w:lang w:val="en-US"/>
        </w:rPr>
        <w:t xml:space="preserve"> classification and other hepatobiliary vascular variation frameworks, have been developed to </w:t>
      </w:r>
      <w:proofErr w:type="spellStart"/>
      <w:r w:rsidRPr="005A44DD">
        <w:rPr>
          <w:rFonts w:ascii="Times New Roman" w:eastAsia="Times New Roman" w:hAnsi="Times New Roman" w:cs="Times New Roman"/>
          <w:szCs w:val="24"/>
          <w:lang w:val="en-US"/>
        </w:rPr>
        <w:t>categorise</w:t>
      </w:r>
      <w:proofErr w:type="spellEnd"/>
      <w:r w:rsidRPr="005A44DD">
        <w:rPr>
          <w:rFonts w:ascii="Times New Roman" w:eastAsia="Times New Roman" w:hAnsi="Times New Roman" w:cs="Times New Roman"/>
          <w:szCs w:val="24"/>
          <w:lang w:val="en-US"/>
        </w:rPr>
        <w:t xml:space="preserve"> these anomalies and assist in preoperative assessment and surgical planning.</w:t>
      </w:r>
    </w:p>
    <w:bookmarkEnd w:id="0"/>
    <w:p w:rsidR="005F57DF" w:rsidRPr="005F57DF" w:rsidRDefault="005F57DF" w:rsidP="005A44DD">
      <w:pPr>
        <w:jc w:val="both"/>
      </w:pPr>
      <w:r w:rsidRPr="005F57DF">
        <w:t xml:space="preserve">Large observational studies have emphasized that careful identification of all structures within Calot’s triangle is crucial to prevent vascular injury during laparoscopic cholecystectomy (6,7). </w:t>
      </w:r>
      <w:r w:rsidR="00111F8A">
        <w:t xml:space="preserve">Intraoperative imaging techniques, including cholangiography and laparoscopic ultrasound, can assist in identifying cystic artery variations and reduce the risk of inadvertent vascular or bile duct injury (8-10). </w:t>
      </w:r>
      <w:r w:rsidRPr="005F57DF">
        <w:t>Previous anatomical studies have also demonstrated a wide spectrum of cystic artery variations, highlighting the importance of recognizing these vascular anomalies during hepatobiliary surgery (9–12).</w:t>
      </w:r>
    </w:p>
    <w:p w:rsidR="005F57DF" w:rsidRPr="005F57DF" w:rsidRDefault="005F57DF" w:rsidP="005A44DD">
      <w:pPr>
        <w:jc w:val="both"/>
      </w:pPr>
      <w:r w:rsidRPr="005F57DF">
        <w:t>The critical view of safety, first described to reduce bile duct injuries, also facilitates recognition of vascular variations by ensuring that only the cystic duct and cystic artery are entering the gallbladder before division (8).</w:t>
      </w:r>
    </w:p>
    <w:p w:rsidR="009272BA" w:rsidRDefault="009272BA" w:rsidP="005A44DD">
      <w:pPr>
        <w:jc w:val="both"/>
      </w:pPr>
      <w:r w:rsidRPr="009272BA">
        <w:t>In the present case, meticulous dissection of Calot’s triangle facilitated the identification of two cystic arteries arising from the right hepatic artery. Following attainment of the critical view of safety, each artery was individually clipped, thereby permitting the safe completion of the procedure without intraoperative complications.</w:t>
      </w:r>
    </w:p>
    <w:p w:rsidR="00F339ED" w:rsidRPr="005F57DF" w:rsidRDefault="00F339ED" w:rsidP="005A44DD">
      <w:pPr>
        <w:jc w:val="both"/>
      </w:pPr>
      <w:r w:rsidRPr="00F339ED">
        <w:t xml:space="preserve">From a scientific perspective, reporting rare vascular anomalies such as double cystic artery contributes to the cumulative anatomical knowledge in hepatobiliary surgery. Each additional case provides further evidence of the variability of cystic artery anatomy and supports the need for continuous awareness among surgeons. Moreover, such case reports serve as valuable educational resources, particularly for less experienced surgeons, by highlighting potential intraoperative </w:t>
      </w:r>
      <w:r w:rsidRPr="00F339ED">
        <w:lastRenderedPageBreak/>
        <w:t>challenges. Therefore, documenting these variations plays an important role in improving surgical safety and outcomes.</w:t>
      </w:r>
    </w:p>
    <w:p w:rsidR="005F57DF" w:rsidRPr="005F57DF" w:rsidRDefault="005F57DF" w:rsidP="005A44DD">
      <w:pPr>
        <w:jc w:val="both"/>
      </w:pPr>
      <w:r w:rsidRPr="005F57DF">
        <w:t>This case highlights the importance of awareness of anatomical variations of the cystic artery during laparoscopic cholecystectomy and reinforces the role of meticulous dissection in preventing vascular injury (13–15).</w:t>
      </w:r>
    </w:p>
    <w:p w:rsidR="005F57DF" w:rsidRPr="005F57DF" w:rsidRDefault="005A44DD" w:rsidP="005A44DD">
      <w:pPr>
        <w:jc w:val="both"/>
      </w:pPr>
      <w:r>
        <w:pict>
          <v:rect id="_x0000_i1028" style="width:0;height:1.5pt" o:hralign="center" o:hrstd="t" o:hr="t" fillcolor="#a0a0a0" stroked="f"/>
        </w:pict>
      </w:r>
    </w:p>
    <w:p w:rsidR="005F57DF" w:rsidRPr="005F57DF" w:rsidRDefault="005F57DF" w:rsidP="005A44DD">
      <w:pPr>
        <w:jc w:val="both"/>
        <w:rPr>
          <w:b/>
          <w:bCs/>
        </w:rPr>
      </w:pPr>
      <w:r w:rsidRPr="005F57DF">
        <w:rPr>
          <w:b/>
          <w:bCs/>
        </w:rPr>
        <w:t>Conclusion</w:t>
      </w:r>
    </w:p>
    <w:p w:rsidR="005F57DF" w:rsidRPr="005F57DF" w:rsidRDefault="009272BA" w:rsidP="005A44DD">
      <w:pPr>
        <w:jc w:val="both"/>
      </w:pPr>
      <w:r w:rsidRPr="009272BA">
        <w:t>The presence of a double cystic artery represents an infrequent yet clinically important anatomical variation that may be encountered during laparoscopic cholecystectomy. Failure to identify this anomaly can increase the risk of intraoperative haemorrhage. Meticulous dissection of Calot’s triangle, together with strict adherence to the critical view of safety, remains fundamental to the safe management of vascular variations during gallbladder surgery.</w:t>
      </w:r>
      <w:r w:rsidR="005A44DD">
        <w:pict>
          <v:rect id="_x0000_i1029" style="width:0;height:1.5pt" o:hralign="center" o:hrstd="t" o:hr="t" fillcolor="#a0a0a0" stroked="f"/>
        </w:pict>
      </w:r>
    </w:p>
    <w:p w:rsidR="005F57DF" w:rsidRPr="005F57DF" w:rsidRDefault="005F57DF" w:rsidP="005A44DD">
      <w:pPr>
        <w:jc w:val="both"/>
        <w:rPr>
          <w:b/>
          <w:bCs/>
        </w:rPr>
      </w:pPr>
      <w:r w:rsidRPr="005F57DF">
        <w:rPr>
          <w:b/>
          <w:bCs/>
        </w:rPr>
        <w:t>Consent</w:t>
      </w:r>
    </w:p>
    <w:p w:rsidR="005F57DF" w:rsidRPr="005F57DF" w:rsidRDefault="005F57DF" w:rsidP="005A44DD">
      <w:pPr>
        <w:jc w:val="both"/>
      </w:pPr>
      <w:r w:rsidRPr="005F57DF">
        <w:t>Written informed consent was obtained from the patient for this case report and accompanying images.</w:t>
      </w:r>
    </w:p>
    <w:p w:rsidR="005F57DF" w:rsidRPr="005F57DF" w:rsidRDefault="005F57DF" w:rsidP="005A44DD">
      <w:pPr>
        <w:jc w:val="both"/>
        <w:rPr>
          <w:b/>
          <w:bCs/>
        </w:rPr>
      </w:pPr>
      <w:r w:rsidRPr="005F57DF">
        <w:rPr>
          <w:b/>
          <w:bCs/>
        </w:rPr>
        <w:t>Conflict of Interest</w:t>
      </w:r>
    </w:p>
    <w:p w:rsidR="005F57DF" w:rsidRPr="005F57DF" w:rsidRDefault="005F57DF" w:rsidP="005A44DD">
      <w:pPr>
        <w:jc w:val="both"/>
      </w:pPr>
      <w:r w:rsidRPr="005F57DF">
        <w:t>The authors declare no conflicts of interest.</w:t>
      </w:r>
    </w:p>
    <w:p w:rsidR="005F57DF" w:rsidRPr="005F57DF" w:rsidRDefault="005A44DD" w:rsidP="005A44DD">
      <w:pPr>
        <w:jc w:val="both"/>
      </w:pPr>
      <w:r>
        <w:pict>
          <v:rect id="_x0000_i1030" style="width:0;height:1.5pt" o:hralign="center" o:hrstd="t" o:hr="t" fillcolor="#a0a0a0" stroked="f"/>
        </w:pict>
      </w:r>
    </w:p>
    <w:p w:rsidR="00C82FD7" w:rsidRPr="00A90698" w:rsidRDefault="00C82FD7" w:rsidP="005A44DD">
      <w:pPr>
        <w:jc w:val="both"/>
        <w:rPr>
          <w:rFonts w:eastAsia="Calibri" w:cstheme="minorHAnsi"/>
          <w:kern w:val="2"/>
          <w:lang w:val="en-US"/>
        </w:rPr>
      </w:pPr>
      <w:bookmarkStart w:id="1" w:name="_Hlk219125673"/>
      <w:r w:rsidRPr="00A90698">
        <w:rPr>
          <w:rFonts w:eastAsia="Calibri" w:cstheme="minorHAnsi"/>
          <w:b/>
          <w:kern w:val="2"/>
          <w:lang w:val="en-US"/>
        </w:rPr>
        <w:t>Discl</w:t>
      </w:r>
      <w:r w:rsidR="00A90698" w:rsidRPr="00A90698">
        <w:rPr>
          <w:rFonts w:eastAsia="Calibri" w:cstheme="minorHAnsi"/>
          <w:b/>
          <w:kern w:val="2"/>
          <w:lang w:val="en-US"/>
        </w:rPr>
        <w:t>aimer</w:t>
      </w:r>
      <w:r w:rsidR="00A90698">
        <w:rPr>
          <w:rFonts w:eastAsia="Calibri" w:cstheme="minorHAnsi"/>
          <w:kern w:val="2"/>
          <w:lang w:val="en-US"/>
        </w:rPr>
        <w:t xml:space="preserve"> (Artificial Intelligence)</w:t>
      </w:r>
    </w:p>
    <w:p w:rsidR="0013689B" w:rsidRPr="00A90698" w:rsidRDefault="00C82FD7" w:rsidP="005A44DD">
      <w:pPr>
        <w:jc w:val="both"/>
        <w:rPr>
          <w:rFonts w:cstheme="minorHAnsi"/>
          <w:sz w:val="28"/>
          <w:lang w:val="en-US"/>
        </w:rPr>
      </w:pPr>
      <w:r w:rsidRPr="00A90698">
        <w:rPr>
          <w:rFonts w:eastAsia="Calibri" w:cstheme="minorHAnsi"/>
          <w:kern w:val="2"/>
          <w:lang w:val="en-US"/>
        </w:rPr>
        <w:t xml:space="preserve">The author(s) hereby declare that no generative AI technologies, such as Large Language Models (e.g., </w:t>
      </w:r>
      <w:proofErr w:type="spellStart"/>
      <w:r w:rsidRPr="00A90698">
        <w:rPr>
          <w:rFonts w:eastAsia="Calibri" w:cstheme="minorHAnsi"/>
          <w:kern w:val="2"/>
          <w:lang w:val="en-US"/>
        </w:rPr>
        <w:t>ChatGPT</w:t>
      </w:r>
      <w:proofErr w:type="spellEnd"/>
      <w:r w:rsidRPr="00A90698">
        <w:rPr>
          <w:rFonts w:eastAsia="Calibri" w:cstheme="minorHAnsi"/>
          <w:kern w:val="2"/>
          <w:lang w:val="en-US"/>
        </w:rPr>
        <w:t>, Copilot) or text-to-image generators, were used in the writing or editing of this manuscript.</w:t>
      </w:r>
    </w:p>
    <w:bookmarkEnd w:id="1"/>
    <w:p w:rsidR="0013689B" w:rsidRPr="0013689B" w:rsidRDefault="0013689B" w:rsidP="005A44DD">
      <w:pPr>
        <w:jc w:val="both"/>
        <w:rPr>
          <w:b/>
          <w:bCs/>
          <w:lang w:val="en-US"/>
        </w:rPr>
      </w:pPr>
    </w:p>
    <w:p w:rsidR="005F57DF" w:rsidRPr="005F57DF" w:rsidRDefault="005F57DF" w:rsidP="005A44DD">
      <w:pPr>
        <w:jc w:val="both"/>
        <w:rPr>
          <w:b/>
          <w:bCs/>
        </w:rPr>
      </w:pPr>
      <w:r w:rsidRPr="005F57DF">
        <w:rPr>
          <w:b/>
          <w:bCs/>
        </w:rPr>
        <w:t>References</w:t>
      </w:r>
    </w:p>
    <w:p w:rsidR="00A6023B" w:rsidRDefault="00A6023B" w:rsidP="005A44DD">
      <w:pPr>
        <w:jc w:val="both"/>
      </w:pPr>
    </w:p>
    <w:p w:rsidR="0096785C" w:rsidRPr="00434991" w:rsidRDefault="0096785C" w:rsidP="005A44DD">
      <w:pPr>
        <w:pStyle w:val="ListParagraph"/>
        <w:numPr>
          <w:ilvl w:val="0"/>
          <w:numId w:val="18"/>
        </w:numPr>
        <w:jc w:val="both"/>
        <w:rPr>
          <w:rFonts w:ascii="Times New Roman" w:hAnsi="Times New Roman" w:cs="Times New Roman"/>
        </w:rPr>
      </w:pPr>
      <w:r w:rsidRPr="00434991">
        <w:rPr>
          <w:rFonts w:ascii="Times New Roman" w:hAnsi="Times New Roman" w:cs="Times New Roman"/>
          <w:color w:val="212121"/>
          <w:shd w:val="clear" w:color="auto" w:fill="FFFFFF"/>
        </w:rPr>
        <w:t>Reynolds W Jr. The first laparoscopic cholecystectomy. JSLS. 2001 Jan-Mar;5(1):89-94. PMID: 11304004; PMCID: PMC3015420.</w:t>
      </w:r>
    </w:p>
    <w:p w:rsidR="00095B54" w:rsidRPr="00434991" w:rsidRDefault="0096785C" w:rsidP="005A44DD">
      <w:pPr>
        <w:pStyle w:val="ListParagraph"/>
        <w:numPr>
          <w:ilvl w:val="0"/>
          <w:numId w:val="18"/>
        </w:numPr>
        <w:jc w:val="both"/>
        <w:rPr>
          <w:rFonts w:ascii="Times New Roman" w:hAnsi="Times New Roman" w:cs="Times New Roman"/>
        </w:rPr>
      </w:pPr>
      <w:r w:rsidRPr="00434991">
        <w:rPr>
          <w:rFonts w:ascii="Times New Roman" w:hAnsi="Times New Roman" w:cs="Times New Roman"/>
        </w:rPr>
        <w:t>Zhu AY, Seyfi D, Sandroussi C, Abeysinghe JD. Aberrant Vascular Anatomy During Laparoscopic Cholecystectomy: A Case Report of Double Cystic Artery. CRSLS. 2023 Nov 6;10(4):e2023.00038. doi: 10.4293/CRSLS.2023.00038. PMID: 37942207; PMCID: PMC10629475.</w:t>
      </w:r>
    </w:p>
    <w:p w:rsidR="00A42398" w:rsidRPr="00434991" w:rsidRDefault="00A42398" w:rsidP="005A44DD">
      <w:pPr>
        <w:pStyle w:val="ListParagraph"/>
        <w:numPr>
          <w:ilvl w:val="0"/>
          <w:numId w:val="18"/>
        </w:numPr>
        <w:jc w:val="both"/>
        <w:rPr>
          <w:rFonts w:ascii="Times New Roman" w:hAnsi="Times New Roman" w:cs="Times New Roman"/>
        </w:rPr>
      </w:pPr>
      <w:r w:rsidRPr="00434991">
        <w:rPr>
          <w:rFonts w:ascii="Times New Roman" w:hAnsi="Times New Roman" w:cs="Times New Roman"/>
          <w:color w:val="212121"/>
          <w:shd w:val="clear" w:color="auto" w:fill="FFFFFF"/>
        </w:rPr>
        <w:t>Edye M, Dalvi A, Canin-Endres J, Baskin-Bey E, Salky B. Intraoperative cholangiography is still indicated after preoperative endoscopic cholangiography for gallstone disease. Surg Endosc. 2002 May;16(5):799-802. doi: 10.1007/s00464-001-8244-1. Epub 2002 Feb 8. PMID: 11997825.</w:t>
      </w:r>
    </w:p>
    <w:p w:rsidR="00A42398" w:rsidRPr="00434991" w:rsidRDefault="00095B54" w:rsidP="005A44DD">
      <w:pPr>
        <w:pStyle w:val="ListParagraph"/>
        <w:numPr>
          <w:ilvl w:val="0"/>
          <w:numId w:val="18"/>
        </w:numPr>
        <w:jc w:val="both"/>
        <w:rPr>
          <w:rFonts w:ascii="Times New Roman" w:hAnsi="Times New Roman" w:cs="Times New Roman"/>
        </w:rPr>
      </w:pPr>
      <w:r w:rsidRPr="00434991">
        <w:rPr>
          <w:rFonts w:ascii="Times New Roman" w:hAnsi="Times New Roman" w:cs="Times New Roman"/>
        </w:rPr>
        <w:lastRenderedPageBreak/>
        <w:t xml:space="preserve">Ding YM, Wang B, Wang WX, Wang P, Yan JS. New classification of the anatomic variations of cystic artery during laparoscopic cholecystectomy. World J Gastroenterol. 2007;13(42):5629-5634. DOI: </w:t>
      </w:r>
      <w:hyperlink r:id="rId9" w:history="1">
        <w:r w:rsidRPr="00434991">
          <w:rPr>
            <w:rStyle w:val="Hyperlink"/>
            <w:rFonts w:ascii="Times New Roman" w:hAnsi="Times New Roman" w:cs="Times New Roman"/>
          </w:rPr>
          <w:t>https://doi.org/10.3748/wjg.v13.i42.5629</w:t>
        </w:r>
      </w:hyperlink>
    </w:p>
    <w:p w:rsidR="003D229C" w:rsidRPr="00434991" w:rsidRDefault="003D229C" w:rsidP="005A44DD">
      <w:pPr>
        <w:pStyle w:val="ListParagraph"/>
        <w:numPr>
          <w:ilvl w:val="0"/>
          <w:numId w:val="18"/>
        </w:numPr>
        <w:jc w:val="both"/>
        <w:rPr>
          <w:rFonts w:ascii="Times New Roman" w:hAnsi="Times New Roman" w:cs="Times New Roman"/>
        </w:rPr>
      </w:pPr>
      <w:r w:rsidRPr="00434991">
        <w:rPr>
          <w:rFonts w:ascii="Times New Roman" w:hAnsi="Times New Roman" w:cs="Times New Roman"/>
        </w:rPr>
        <w:t>Loukas M, Ferguson A, Louis RG Jr, Colborn GL. Multiple variations of the hepatobiliary vasculature including double cystic arteries, accessory left hepatic artery and hepatosplenic trunk: a case report. Surg Radiol Anat. 2006 Oct;28(5):525-528. doi: 10.1007/s00276-006-0138-4. PMID: 17006621.</w:t>
      </w:r>
    </w:p>
    <w:p w:rsidR="00095B54" w:rsidRPr="00434991" w:rsidRDefault="00095B54" w:rsidP="005A44DD">
      <w:pPr>
        <w:pStyle w:val="ListParagraph"/>
        <w:numPr>
          <w:ilvl w:val="0"/>
          <w:numId w:val="18"/>
        </w:numPr>
        <w:jc w:val="both"/>
        <w:rPr>
          <w:rFonts w:ascii="Times New Roman" w:hAnsi="Times New Roman" w:cs="Times New Roman"/>
        </w:rPr>
      </w:pPr>
      <w:r w:rsidRPr="00434991">
        <w:rPr>
          <w:rFonts w:ascii="Times New Roman" w:hAnsi="Times New Roman" w:cs="Times New Roman"/>
        </w:rPr>
        <w:t>Perdikakis M, Liapi A, Kiriakopoulos A, Schizas D, Menenakos E, Lyros O. Anatomical variations of the cystic artery and laparoscopic cholecystectomy: a persisting surgical challenge. Cureus. 2024;16:e67948. DOI: https</w:t>
      </w:r>
      <w:r w:rsidR="00434991">
        <w:rPr>
          <w:rFonts w:ascii="Times New Roman" w:hAnsi="Times New Roman" w:cs="Times New Roman"/>
        </w:rPr>
        <w:t>://doi.org/10.7759/cureus.67948</w:t>
      </w:r>
    </w:p>
    <w:p w:rsidR="00095B54" w:rsidRPr="00434991" w:rsidRDefault="00095B54" w:rsidP="005A44DD">
      <w:pPr>
        <w:pStyle w:val="ListParagraph"/>
        <w:numPr>
          <w:ilvl w:val="0"/>
          <w:numId w:val="18"/>
        </w:numPr>
        <w:jc w:val="both"/>
        <w:rPr>
          <w:rFonts w:ascii="Times New Roman" w:hAnsi="Times New Roman" w:cs="Times New Roman"/>
        </w:rPr>
      </w:pPr>
      <w:r w:rsidRPr="00434991">
        <w:rPr>
          <w:rFonts w:ascii="Times New Roman" w:hAnsi="Times New Roman" w:cs="Times New Roman"/>
        </w:rPr>
        <w:t>Fateh O, Wasi MSI, Bukhari SA, et al. Anatomical variability in the position of cystic artery during laparoscopic visualization. BMC Surg. 2021;21:270. DOI: https://doi</w:t>
      </w:r>
      <w:r w:rsidR="00434991">
        <w:rPr>
          <w:rFonts w:ascii="Times New Roman" w:hAnsi="Times New Roman" w:cs="Times New Roman"/>
        </w:rPr>
        <w:t>.org/10.1186/s12893-021-01270-8</w:t>
      </w:r>
    </w:p>
    <w:p w:rsidR="00095B54" w:rsidRPr="00434991" w:rsidRDefault="00095B54" w:rsidP="005A44DD">
      <w:pPr>
        <w:pStyle w:val="ListParagraph"/>
        <w:numPr>
          <w:ilvl w:val="0"/>
          <w:numId w:val="18"/>
        </w:numPr>
        <w:jc w:val="both"/>
        <w:rPr>
          <w:rFonts w:ascii="Times New Roman" w:hAnsi="Times New Roman" w:cs="Times New Roman"/>
        </w:rPr>
      </w:pPr>
      <w:r w:rsidRPr="00434991">
        <w:rPr>
          <w:rFonts w:ascii="Times New Roman" w:hAnsi="Times New Roman" w:cs="Times New Roman"/>
        </w:rPr>
        <w:t>Sudhir M, Nitish S, Galani N, et al. Anatomical variability in the position of the cystic artery during laparoscopic visualization at a tertiary care hospital. Cureus. 2025;17:e85159. DOI: https</w:t>
      </w:r>
      <w:r w:rsidR="00434991">
        <w:rPr>
          <w:rFonts w:ascii="Times New Roman" w:hAnsi="Times New Roman" w:cs="Times New Roman"/>
        </w:rPr>
        <w:t>://doi.org/10.7759/cureus.85159</w:t>
      </w:r>
    </w:p>
    <w:p w:rsidR="00095B54" w:rsidRPr="00434991" w:rsidRDefault="00095B54" w:rsidP="005A44DD">
      <w:pPr>
        <w:pStyle w:val="ListParagraph"/>
        <w:numPr>
          <w:ilvl w:val="0"/>
          <w:numId w:val="18"/>
        </w:numPr>
        <w:jc w:val="both"/>
        <w:rPr>
          <w:rFonts w:ascii="Times New Roman" w:hAnsi="Times New Roman" w:cs="Times New Roman"/>
        </w:rPr>
      </w:pPr>
      <w:r w:rsidRPr="00434991">
        <w:rPr>
          <w:rFonts w:ascii="Times New Roman" w:hAnsi="Times New Roman" w:cs="Times New Roman"/>
        </w:rPr>
        <w:t xml:space="preserve">Strasberg SM, Hertl M, Soper NJ. An analysis of the problem of biliary injury during laparoscopic cholecystectomy. J Am Coll Surg. 1995;180(1):101-125. </w:t>
      </w:r>
      <w:hyperlink r:id="rId10" w:history="1">
        <w:r w:rsidR="003D229C" w:rsidRPr="00434991">
          <w:rPr>
            <w:rStyle w:val="Hyperlink"/>
            <w:rFonts w:ascii="Times New Roman" w:hAnsi="Times New Roman" w:cs="Times New Roman"/>
          </w:rPr>
          <w:t>URL:https://pubmed.ncbi.nlm.nih.gov/8000648/</w:t>
        </w:r>
      </w:hyperlink>
    </w:p>
    <w:p w:rsidR="003D229C" w:rsidRPr="00434991" w:rsidRDefault="003D229C" w:rsidP="005A44DD">
      <w:pPr>
        <w:pStyle w:val="ListParagraph"/>
        <w:numPr>
          <w:ilvl w:val="0"/>
          <w:numId w:val="18"/>
        </w:numPr>
        <w:jc w:val="both"/>
        <w:rPr>
          <w:rFonts w:ascii="Times New Roman" w:hAnsi="Times New Roman" w:cs="Times New Roman"/>
        </w:rPr>
      </w:pPr>
      <w:r w:rsidRPr="00434991">
        <w:rPr>
          <w:rFonts w:ascii="Times New Roman" w:hAnsi="Times New Roman" w:cs="Times New Roman"/>
        </w:rPr>
        <w:t>B KK. Dual cystic arteries in association with caterpillar hump of right hepatic artery: a case report and its surgical relevance. J Clin Diagn Res. 2015 Jul;9(7):AD01-AD02. doi: 10.7860/JCDR/2015/13089.6156. PMID: 26393113.</w:t>
      </w:r>
    </w:p>
    <w:p w:rsidR="003D229C" w:rsidRPr="00434991" w:rsidRDefault="003D229C" w:rsidP="005A44DD">
      <w:pPr>
        <w:pStyle w:val="ListParagraph"/>
        <w:numPr>
          <w:ilvl w:val="0"/>
          <w:numId w:val="18"/>
        </w:numPr>
        <w:jc w:val="both"/>
        <w:rPr>
          <w:rFonts w:ascii="Times New Roman" w:hAnsi="Times New Roman" w:cs="Times New Roman"/>
        </w:rPr>
      </w:pPr>
      <w:r w:rsidRPr="00434991">
        <w:rPr>
          <w:rFonts w:ascii="Times New Roman" w:hAnsi="Times New Roman" w:cs="Times New Roman"/>
        </w:rPr>
        <w:t xml:space="preserve"> Triantafyllou G, Belimezakis N, Lyros O, Tsakotos G, Botis G, Piagkou M. Surgical anatomy of the cystic artery: a systematic review with meta-analysis. Ann Anat. 2025 Jan;257:152343. doi: 10.1016/j.aanat.2024.152343. PMID: 39369802.</w:t>
      </w:r>
    </w:p>
    <w:p w:rsidR="0096785C" w:rsidRPr="00434991" w:rsidRDefault="0096785C" w:rsidP="005A44DD">
      <w:pPr>
        <w:pStyle w:val="ListParagraph"/>
        <w:numPr>
          <w:ilvl w:val="0"/>
          <w:numId w:val="18"/>
        </w:numPr>
        <w:jc w:val="both"/>
        <w:rPr>
          <w:rFonts w:ascii="Times New Roman" w:hAnsi="Times New Roman" w:cs="Times New Roman"/>
        </w:rPr>
      </w:pPr>
      <w:r w:rsidRPr="00434991">
        <w:rPr>
          <w:rFonts w:ascii="Times New Roman" w:hAnsi="Times New Roman" w:cs="Times New Roman"/>
        </w:rPr>
        <w:t>Rao T, Saini SK, Ranaweera C, Dissabandara L. Double Cystic Artery Originating From the Superior Mesenteric Artery and Right Hepatic Artery: A Case Report. Cureus. 2024 Dec 28;16(12):e76536. doi: 10.7759/cureus.76536. PMID: 39872573; PMCID: PMC11772042.</w:t>
      </w:r>
    </w:p>
    <w:p w:rsidR="0096785C" w:rsidRPr="00434991" w:rsidRDefault="0096785C" w:rsidP="005A44DD">
      <w:pPr>
        <w:pStyle w:val="ListParagraph"/>
        <w:numPr>
          <w:ilvl w:val="0"/>
          <w:numId w:val="18"/>
        </w:numPr>
        <w:jc w:val="both"/>
        <w:rPr>
          <w:rFonts w:ascii="Times New Roman" w:hAnsi="Times New Roman" w:cs="Times New Roman"/>
        </w:rPr>
      </w:pPr>
      <w:r w:rsidRPr="00434991">
        <w:rPr>
          <w:rFonts w:ascii="Times New Roman" w:hAnsi="Times New Roman" w:cs="Times New Roman"/>
          <w:color w:val="212121"/>
          <w:shd w:val="clear" w:color="auto" w:fill="FFFFFF"/>
        </w:rPr>
        <w:t>Polguj M, Podgórski M, Hogendorf P, Topol M. Variations of the hepatobiliary vasculature including coexistence of accessory right hepatic artery with unusually arising double cystic arteries: case report and literature review. Anat Sci Int. 2014 Jun;89(3):195-8. doi: 10.1007/s12565-013-0219-5. Epub 2013 Dec 6. PMID: 24310410; PMCID: PMC4015057.</w:t>
      </w:r>
    </w:p>
    <w:p w:rsidR="0096785C" w:rsidRPr="00434991" w:rsidRDefault="0096785C" w:rsidP="005A44DD">
      <w:pPr>
        <w:pStyle w:val="ListParagraph"/>
        <w:numPr>
          <w:ilvl w:val="0"/>
          <w:numId w:val="18"/>
        </w:numPr>
        <w:jc w:val="both"/>
        <w:rPr>
          <w:rFonts w:ascii="Times New Roman" w:hAnsi="Times New Roman" w:cs="Times New Roman"/>
        </w:rPr>
      </w:pPr>
      <w:r w:rsidRPr="00434991">
        <w:rPr>
          <w:rFonts w:ascii="Times New Roman" w:hAnsi="Times New Roman" w:cs="Times New Roman"/>
        </w:rPr>
        <w:t>Hugh TB, Kelly MD, Li B. Laparoscopic anatomy of the cystic artery. Am J Surg. 1992 Jun;163(6):593-5. doi: 10.1016/0002-9610(92)90564-8. PMID: 1534464.</w:t>
      </w:r>
    </w:p>
    <w:p w:rsidR="0096785C" w:rsidRPr="00434991" w:rsidRDefault="0096785C" w:rsidP="005A44DD">
      <w:pPr>
        <w:pStyle w:val="ListParagraph"/>
        <w:numPr>
          <w:ilvl w:val="0"/>
          <w:numId w:val="18"/>
        </w:numPr>
        <w:jc w:val="both"/>
        <w:rPr>
          <w:rFonts w:ascii="Times New Roman" w:hAnsi="Times New Roman" w:cs="Times New Roman"/>
        </w:rPr>
      </w:pPr>
      <w:r w:rsidRPr="00434991">
        <w:rPr>
          <w:rFonts w:ascii="Times New Roman" w:hAnsi="Times New Roman" w:cs="Times New Roman"/>
          <w:color w:val="212121"/>
          <w:shd w:val="clear" w:color="auto" w:fill="FFFFFF"/>
        </w:rPr>
        <w:t>Andall RG, Matusz P, du Plessis M, Ward R, Tubbs RS, Loukas M. The clinical anatomy of cystic artery variations: a review of over 9800 cases. Surg Radiol Anat. 2016 Jul;38(5):529-39. doi: 10.1007/s00276-015-1600-y. Epub 2015 Dec 23. PMID: 26698600.</w:t>
      </w:r>
    </w:p>
    <w:sectPr w:rsidR="0096785C" w:rsidRPr="00434991" w:rsidSect="009C3EF4">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3413" w:rsidRDefault="00913413" w:rsidP="00517C94">
      <w:pPr>
        <w:spacing w:after="0" w:line="240" w:lineRule="auto"/>
      </w:pPr>
      <w:r>
        <w:separator/>
      </w:r>
    </w:p>
  </w:endnote>
  <w:endnote w:type="continuationSeparator" w:id="0">
    <w:p w:rsidR="00913413" w:rsidRDefault="00913413" w:rsidP="00517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C94" w:rsidRDefault="00517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C94" w:rsidRDefault="00517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C94" w:rsidRDefault="00517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3413" w:rsidRDefault="00913413" w:rsidP="00517C94">
      <w:pPr>
        <w:spacing w:after="0" w:line="240" w:lineRule="auto"/>
      </w:pPr>
      <w:r>
        <w:separator/>
      </w:r>
    </w:p>
  </w:footnote>
  <w:footnote w:type="continuationSeparator" w:id="0">
    <w:p w:rsidR="00913413" w:rsidRDefault="00913413" w:rsidP="00517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C94" w:rsidRDefault="005A44D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298266"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C94" w:rsidRDefault="005A44D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298267"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C94" w:rsidRDefault="005A44D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298265"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478C5"/>
    <w:multiLevelType w:val="multilevel"/>
    <w:tmpl w:val="E732F3B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B3479C"/>
    <w:multiLevelType w:val="multilevel"/>
    <w:tmpl w:val="E488F8D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82594A"/>
    <w:multiLevelType w:val="multilevel"/>
    <w:tmpl w:val="7EBA3A7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DC30DB"/>
    <w:multiLevelType w:val="multilevel"/>
    <w:tmpl w:val="DFD6C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EB1D97"/>
    <w:multiLevelType w:val="multilevel"/>
    <w:tmpl w:val="AED4A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B77FB5"/>
    <w:multiLevelType w:val="multilevel"/>
    <w:tmpl w:val="31945A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AF06F8"/>
    <w:multiLevelType w:val="multilevel"/>
    <w:tmpl w:val="F84657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CA4AC5"/>
    <w:multiLevelType w:val="hybridMultilevel"/>
    <w:tmpl w:val="50D20C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6F6493A"/>
    <w:multiLevelType w:val="hybridMultilevel"/>
    <w:tmpl w:val="90745E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F684551"/>
    <w:multiLevelType w:val="multilevel"/>
    <w:tmpl w:val="FD401C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4904A6"/>
    <w:multiLevelType w:val="multilevel"/>
    <w:tmpl w:val="26889F5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853D43"/>
    <w:multiLevelType w:val="multilevel"/>
    <w:tmpl w:val="06B4974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6D30ED"/>
    <w:multiLevelType w:val="multilevel"/>
    <w:tmpl w:val="65B67C0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D73733"/>
    <w:multiLevelType w:val="multilevel"/>
    <w:tmpl w:val="D16479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7A3E16"/>
    <w:multiLevelType w:val="multilevel"/>
    <w:tmpl w:val="2E4444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7D04C3"/>
    <w:multiLevelType w:val="multilevel"/>
    <w:tmpl w:val="CDEC65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787D88"/>
    <w:multiLevelType w:val="multilevel"/>
    <w:tmpl w:val="188C34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4B21D3"/>
    <w:multiLevelType w:val="multilevel"/>
    <w:tmpl w:val="B29C963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66188D"/>
    <w:multiLevelType w:val="hybridMultilevel"/>
    <w:tmpl w:val="99CE16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4"/>
  </w:num>
  <w:num w:numId="3">
    <w:abstractNumId w:val="15"/>
  </w:num>
  <w:num w:numId="4">
    <w:abstractNumId w:val="13"/>
  </w:num>
  <w:num w:numId="5">
    <w:abstractNumId w:val="5"/>
  </w:num>
  <w:num w:numId="6">
    <w:abstractNumId w:val="14"/>
  </w:num>
  <w:num w:numId="7">
    <w:abstractNumId w:val="9"/>
  </w:num>
  <w:num w:numId="8">
    <w:abstractNumId w:val="16"/>
  </w:num>
  <w:num w:numId="9">
    <w:abstractNumId w:val="2"/>
  </w:num>
  <w:num w:numId="10">
    <w:abstractNumId w:val="0"/>
  </w:num>
  <w:num w:numId="11">
    <w:abstractNumId w:val="6"/>
  </w:num>
  <w:num w:numId="12">
    <w:abstractNumId w:val="1"/>
  </w:num>
  <w:num w:numId="13">
    <w:abstractNumId w:val="10"/>
  </w:num>
  <w:num w:numId="14">
    <w:abstractNumId w:val="11"/>
  </w:num>
  <w:num w:numId="15">
    <w:abstractNumId w:val="12"/>
  </w:num>
  <w:num w:numId="16">
    <w:abstractNumId w:val="17"/>
  </w:num>
  <w:num w:numId="17">
    <w:abstractNumId w:val="7"/>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342E3"/>
    <w:rsid w:val="000205E2"/>
    <w:rsid w:val="00046613"/>
    <w:rsid w:val="00080179"/>
    <w:rsid w:val="00095B54"/>
    <w:rsid w:val="000E566F"/>
    <w:rsid w:val="00111F8A"/>
    <w:rsid w:val="0013689B"/>
    <w:rsid w:val="00256027"/>
    <w:rsid w:val="003744A1"/>
    <w:rsid w:val="003A5D30"/>
    <w:rsid w:val="003D229C"/>
    <w:rsid w:val="00434991"/>
    <w:rsid w:val="00447A70"/>
    <w:rsid w:val="00461383"/>
    <w:rsid w:val="004E4BD6"/>
    <w:rsid w:val="004E674C"/>
    <w:rsid w:val="00517C94"/>
    <w:rsid w:val="005A44DD"/>
    <w:rsid w:val="005B3A6C"/>
    <w:rsid w:val="005B5344"/>
    <w:rsid w:val="005D0589"/>
    <w:rsid w:val="005D4717"/>
    <w:rsid w:val="005E7B02"/>
    <w:rsid w:val="005F57DF"/>
    <w:rsid w:val="00613929"/>
    <w:rsid w:val="00685B90"/>
    <w:rsid w:val="00794413"/>
    <w:rsid w:val="007C1965"/>
    <w:rsid w:val="00816E0E"/>
    <w:rsid w:val="00834B13"/>
    <w:rsid w:val="008F48DB"/>
    <w:rsid w:val="00900F97"/>
    <w:rsid w:val="00913413"/>
    <w:rsid w:val="009272BA"/>
    <w:rsid w:val="0096785C"/>
    <w:rsid w:val="00994B95"/>
    <w:rsid w:val="009C3EF4"/>
    <w:rsid w:val="00A42398"/>
    <w:rsid w:val="00A6023B"/>
    <w:rsid w:val="00A70044"/>
    <w:rsid w:val="00A86624"/>
    <w:rsid w:val="00A90698"/>
    <w:rsid w:val="00AF6335"/>
    <w:rsid w:val="00B95568"/>
    <w:rsid w:val="00BE7458"/>
    <w:rsid w:val="00C82FD7"/>
    <w:rsid w:val="00CB50D7"/>
    <w:rsid w:val="00D9676C"/>
    <w:rsid w:val="00E819BE"/>
    <w:rsid w:val="00EB5C4D"/>
    <w:rsid w:val="00EE2633"/>
    <w:rsid w:val="00F24C0E"/>
    <w:rsid w:val="00F339ED"/>
    <w:rsid w:val="00F342E3"/>
    <w:rsid w:val="00F608F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521BB2"/>
  <w15:docId w15:val="{282E73C9-24BE-4E77-B09C-21BE00DE1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3E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57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7DF"/>
    <w:rPr>
      <w:rFonts w:ascii="Tahoma" w:hAnsi="Tahoma" w:cs="Tahoma"/>
      <w:sz w:val="16"/>
      <w:szCs w:val="16"/>
    </w:rPr>
  </w:style>
  <w:style w:type="character" w:styleId="Hyperlink">
    <w:name w:val="Hyperlink"/>
    <w:basedOn w:val="DefaultParagraphFont"/>
    <w:uiPriority w:val="99"/>
    <w:unhideWhenUsed/>
    <w:rsid w:val="000205E2"/>
    <w:rPr>
      <w:color w:val="0000FF" w:themeColor="hyperlink"/>
      <w:u w:val="single"/>
    </w:rPr>
  </w:style>
  <w:style w:type="paragraph" w:styleId="ListParagraph">
    <w:name w:val="List Paragraph"/>
    <w:basedOn w:val="Normal"/>
    <w:uiPriority w:val="34"/>
    <w:qFormat/>
    <w:rsid w:val="00EE2633"/>
    <w:pPr>
      <w:ind w:left="720"/>
      <w:contextualSpacing/>
    </w:pPr>
  </w:style>
  <w:style w:type="paragraph" w:styleId="Header">
    <w:name w:val="header"/>
    <w:basedOn w:val="Normal"/>
    <w:link w:val="HeaderChar"/>
    <w:uiPriority w:val="99"/>
    <w:unhideWhenUsed/>
    <w:rsid w:val="00517C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C94"/>
  </w:style>
  <w:style w:type="paragraph" w:styleId="Footer">
    <w:name w:val="footer"/>
    <w:basedOn w:val="Normal"/>
    <w:link w:val="FooterChar"/>
    <w:uiPriority w:val="99"/>
    <w:unhideWhenUsed/>
    <w:rsid w:val="00517C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C94"/>
  </w:style>
  <w:style w:type="paragraph" w:styleId="NormalWeb">
    <w:name w:val="Normal (Web)"/>
    <w:basedOn w:val="Normal"/>
    <w:uiPriority w:val="99"/>
    <w:unhideWhenUsed/>
    <w:rsid w:val="00A9069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18775">
      <w:bodyDiv w:val="1"/>
      <w:marLeft w:val="0"/>
      <w:marRight w:val="0"/>
      <w:marTop w:val="0"/>
      <w:marBottom w:val="0"/>
      <w:divBdr>
        <w:top w:val="none" w:sz="0" w:space="0" w:color="auto"/>
        <w:left w:val="none" w:sz="0" w:space="0" w:color="auto"/>
        <w:bottom w:val="none" w:sz="0" w:space="0" w:color="auto"/>
        <w:right w:val="none" w:sz="0" w:space="0" w:color="auto"/>
      </w:divBdr>
    </w:div>
    <w:div w:id="389309468">
      <w:bodyDiv w:val="1"/>
      <w:marLeft w:val="0"/>
      <w:marRight w:val="0"/>
      <w:marTop w:val="0"/>
      <w:marBottom w:val="0"/>
      <w:divBdr>
        <w:top w:val="none" w:sz="0" w:space="0" w:color="auto"/>
        <w:left w:val="none" w:sz="0" w:space="0" w:color="auto"/>
        <w:bottom w:val="none" w:sz="0" w:space="0" w:color="auto"/>
        <w:right w:val="none" w:sz="0" w:space="0" w:color="auto"/>
      </w:divBdr>
    </w:div>
    <w:div w:id="603001707">
      <w:bodyDiv w:val="1"/>
      <w:marLeft w:val="0"/>
      <w:marRight w:val="0"/>
      <w:marTop w:val="0"/>
      <w:marBottom w:val="0"/>
      <w:divBdr>
        <w:top w:val="none" w:sz="0" w:space="0" w:color="auto"/>
        <w:left w:val="none" w:sz="0" w:space="0" w:color="auto"/>
        <w:bottom w:val="none" w:sz="0" w:space="0" w:color="auto"/>
        <w:right w:val="none" w:sz="0" w:space="0" w:color="auto"/>
      </w:divBdr>
    </w:div>
    <w:div w:id="628241891">
      <w:bodyDiv w:val="1"/>
      <w:marLeft w:val="0"/>
      <w:marRight w:val="0"/>
      <w:marTop w:val="0"/>
      <w:marBottom w:val="0"/>
      <w:divBdr>
        <w:top w:val="none" w:sz="0" w:space="0" w:color="auto"/>
        <w:left w:val="none" w:sz="0" w:space="0" w:color="auto"/>
        <w:bottom w:val="none" w:sz="0" w:space="0" w:color="auto"/>
        <w:right w:val="none" w:sz="0" w:space="0" w:color="auto"/>
      </w:divBdr>
    </w:div>
    <w:div w:id="674845135">
      <w:bodyDiv w:val="1"/>
      <w:marLeft w:val="0"/>
      <w:marRight w:val="0"/>
      <w:marTop w:val="0"/>
      <w:marBottom w:val="0"/>
      <w:divBdr>
        <w:top w:val="none" w:sz="0" w:space="0" w:color="auto"/>
        <w:left w:val="none" w:sz="0" w:space="0" w:color="auto"/>
        <w:bottom w:val="none" w:sz="0" w:space="0" w:color="auto"/>
        <w:right w:val="none" w:sz="0" w:space="0" w:color="auto"/>
      </w:divBdr>
    </w:div>
    <w:div w:id="851453776">
      <w:bodyDiv w:val="1"/>
      <w:marLeft w:val="0"/>
      <w:marRight w:val="0"/>
      <w:marTop w:val="0"/>
      <w:marBottom w:val="0"/>
      <w:divBdr>
        <w:top w:val="none" w:sz="0" w:space="0" w:color="auto"/>
        <w:left w:val="none" w:sz="0" w:space="0" w:color="auto"/>
        <w:bottom w:val="none" w:sz="0" w:space="0" w:color="auto"/>
        <w:right w:val="none" w:sz="0" w:space="0" w:color="auto"/>
      </w:divBdr>
      <w:divsChild>
        <w:div w:id="1811098081">
          <w:marLeft w:val="0"/>
          <w:marRight w:val="0"/>
          <w:marTop w:val="0"/>
          <w:marBottom w:val="0"/>
          <w:divBdr>
            <w:top w:val="none" w:sz="0" w:space="0" w:color="auto"/>
            <w:left w:val="none" w:sz="0" w:space="0" w:color="auto"/>
            <w:bottom w:val="none" w:sz="0" w:space="0" w:color="auto"/>
            <w:right w:val="none" w:sz="0" w:space="0" w:color="auto"/>
          </w:divBdr>
          <w:divsChild>
            <w:div w:id="1478765377">
              <w:marLeft w:val="0"/>
              <w:marRight w:val="0"/>
              <w:marTop w:val="0"/>
              <w:marBottom w:val="0"/>
              <w:divBdr>
                <w:top w:val="none" w:sz="0" w:space="0" w:color="auto"/>
                <w:left w:val="none" w:sz="0" w:space="0" w:color="auto"/>
                <w:bottom w:val="none" w:sz="0" w:space="0" w:color="auto"/>
                <w:right w:val="none" w:sz="0" w:space="0" w:color="auto"/>
              </w:divBdr>
              <w:divsChild>
                <w:div w:id="495221901">
                  <w:marLeft w:val="0"/>
                  <w:marRight w:val="0"/>
                  <w:marTop w:val="0"/>
                  <w:marBottom w:val="0"/>
                  <w:divBdr>
                    <w:top w:val="none" w:sz="0" w:space="0" w:color="auto"/>
                    <w:left w:val="none" w:sz="0" w:space="0" w:color="auto"/>
                    <w:bottom w:val="none" w:sz="0" w:space="0" w:color="auto"/>
                    <w:right w:val="none" w:sz="0" w:space="0" w:color="auto"/>
                  </w:divBdr>
                  <w:divsChild>
                    <w:div w:id="1628853798">
                      <w:marLeft w:val="0"/>
                      <w:marRight w:val="0"/>
                      <w:marTop w:val="0"/>
                      <w:marBottom w:val="0"/>
                      <w:divBdr>
                        <w:top w:val="none" w:sz="0" w:space="0" w:color="auto"/>
                        <w:left w:val="none" w:sz="0" w:space="0" w:color="auto"/>
                        <w:bottom w:val="none" w:sz="0" w:space="0" w:color="auto"/>
                        <w:right w:val="none" w:sz="0" w:space="0" w:color="auto"/>
                      </w:divBdr>
                      <w:divsChild>
                        <w:div w:id="1683124238">
                          <w:marLeft w:val="0"/>
                          <w:marRight w:val="0"/>
                          <w:marTop w:val="0"/>
                          <w:marBottom w:val="0"/>
                          <w:divBdr>
                            <w:top w:val="none" w:sz="0" w:space="0" w:color="auto"/>
                            <w:left w:val="none" w:sz="0" w:space="0" w:color="auto"/>
                            <w:bottom w:val="none" w:sz="0" w:space="0" w:color="auto"/>
                            <w:right w:val="none" w:sz="0" w:space="0" w:color="auto"/>
                          </w:divBdr>
                          <w:divsChild>
                            <w:div w:id="1602569156">
                              <w:marLeft w:val="0"/>
                              <w:marRight w:val="0"/>
                              <w:marTop w:val="0"/>
                              <w:marBottom w:val="0"/>
                              <w:divBdr>
                                <w:top w:val="none" w:sz="0" w:space="0" w:color="auto"/>
                                <w:left w:val="none" w:sz="0" w:space="0" w:color="auto"/>
                                <w:bottom w:val="none" w:sz="0" w:space="0" w:color="auto"/>
                                <w:right w:val="none" w:sz="0" w:space="0" w:color="auto"/>
                              </w:divBdr>
                              <w:divsChild>
                                <w:div w:id="44678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448554">
      <w:bodyDiv w:val="1"/>
      <w:marLeft w:val="0"/>
      <w:marRight w:val="0"/>
      <w:marTop w:val="0"/>
      <w:marBottom w:val="0"/>
      <w:divBdr>
        <w:top w:val="none" w:sz="0" w:space="0" w:color="auto"/>
        <w:left w:val="none" w:sz="0" w:space="0" w:color="auto"/>
        <w:bottom w:val="none" w:sz="0" w:space="0" w:color="auto"/>
        <w:right w:val="none" w:sz="0" w:space="0" w:color="auto"/>
      </w:divBdr>
    </w:div>
    <w:div w:id="1058279846">
      <w:bodyDiv w:val="1"/>
      <w:marLeft w:val="0"/>
      <w:marRight w:val="0"/>
      <w:marTop w:val="0"/>
      <w:marBottom w:val="0"/>
      <w:divBdr>
        <w:top w:val="none" w:sz="0" w:space="0" w:color="auto"/>
        <w:left w:val="none" w:sz="0" w:space="0" w:color="auto"/>
        <w:bottom w:val="none" w:sz="0" w:space="0" w:color="auto"/>
        <w:right w:val="none" w:sz="0" w:space="0" w:color="auto"/>
      </w:divBdr>
    </w:div>
    <w:div w:id="1070421936">
      <w:bodyDiv w:val="1"/>
      <w:marLeft w:val="0"/>
      <w:marRight w:val="0"/>
      <w:marTop w:val="0"/>
      <w:marBottom w:val="0"/>
      <w:divBdr>
        <w:top w:val="none" w:sz="0" w:space="0" w:color="auto"/>
        <w:left w:val="none" w:sz="0" w:space="0" w:color="auto"/>
        <w:bottom w:val="none" w:sz="0" w:space="0" w:color="auto"/>
        <w:right w:val="none" w:sz="0" w:space="0" w:color="auto"/>
      </w:divBdr>
    </w:div>
    <w:div w:id="1356807931">
      <w:bodyDiv w:val="1"/>
      <w:marLeft w:val="0"/>
      <w:marRight w:val="0"/>
      <w:marTop w:val="0"/>
      <w:marBottom w:val="0"/>
      <w:divBdr>
        <w:top w:val="none" w:sz="0" w:space="0" w:color="auto"/>
        <w:left w:val="none" w:sz="0" w:space="0" w:color="auto"/>
        <w:bottom w:val="none" w:sz="0" w:space="0" w:color="auto"/>
        <w:right w:val="none" w:sz="0" w:space="0" w:color="auto"/>
      </w:divBdr>
    </w:div>
    <w:div w:id="1511213911">
      <w:bodyDiv w:val="1"/>
      <w:marLeft w:val="0"/>
      <w:marRight w:val="0"/>
      <w:marTop w:val="0"/>
      <w:marBottom w:val="0"/>
      <w:divBdr>
        <w:top w:val="none" w:sz="0" w:space="0" w:color="auto"/>
        <w:left w:val="none" w:sz="0" w:space="0" w:color="auto"/>
        <w:bottom w:val="none" w:sz="0" w:space="0" w:color="auto"/>
        <w:right w:val="none" w:sz="0" w:space="0" w:color="auto"/>
      </w:divBdr>
      <w:divsChild>
        <w:div w:id="1577014247">
          <w:marLeft w:val="0"/>
          <w:marRight w:val="0"/>
          <w:marTop w:val="0"/>
          <w:marBottom w:val="0"/>
          <w:divBdr>
            <w:top w:val="none" w:sz="0" w:space="0" w:color="auto"/>
            <w:left w:val="none" w:sz="0" w:space="0" w:color="auto"/>
            <w:bottom w:val="none" w:sz="0" w:space="0" w:color="auto"/>
            <w:right w:val="none" w:sz="0" w:space="0" w:color="auto"/>
          </w:divBdr>
          <w:divsChild>
            <w:div w:id="1385056280">
              <w:marLeft w:val="0"/>
              <w:marRight w:val="0"/>
              <w:marTop w:val="0"/>
              <w:marBottom w:val="0"/>
              <w:divBdr>
                <w:top w:val="none" w:sz="0" w:space="0" w:color="auto"/>
                <w:left w:val="none" w:sz="0" w:space="0" w:color="auto"/>
                <w:bottom w:val="none" w:sz="0" w:space="0" w:color="auto"/>
                <w:right w:val="none" w:sz="0" w:space="0" w:color="auto"/>
              </w:divBdr>
              <w:divsChild>
                <w:div w:id="152919279">
                  <w:marLeft w:val="0"/>
                  <w:marRight w:val="0"/>
                  <w:marTop w:val="0"/>
                  <w:marBottom w:val="0"/>
                  <w:divBdr>
                    <w:top w:val="none" w:sz="0" w:space="0" w:color="auto"/>
                    <w:left w:val="none" w:sz="0" w:space="0" w:color="auto"/>
                    <w:bottom w:val="none" w:sz="0" w:space="0" w:color="auto"/>
                    <w:right w:val="none" w:sz="0" w:space="0" w:color="auto"/>
                  </w:divBdr>
                  <w:divsChild>
                    <w:div w:id="93093804">
                      <w:marLeft w:val="0"/>
                      <w:marRight w:val="0"/>
                      <w:marTop w:val="0"/>
                      <w:marBottom w:val="0"/>
                      <w:divBdr>
                        <w:top w:val="none" w:sz="0" w:space="0" w:color="auto"/>
                        <w:left w:val="none" w:sz="0" w:space="0" w:color="auto"/>
                        <w:bottom w:val="none" w:sz="0" w:space="0" w:color="auto"/>
                        <w:right w:val="none" w:sz="0" w:space="0" w:color="auto"/>
                      </w:divBdr>
                      <w:divsChild>
                        <w:div w:id="1277249391">
                          <w:marLeft w:val="0"/>
                          <w:marRight w:val="0"/>
                          <w:marTop w:val="0"/>
                          <w:marBottom w:val="0"/>
                          <w:divBdr>
                            <w:top w:val="none" w:sz="0" w:space="0" w:color="auto"/>
                            <w:left w:val="none" w:sz="0" w:space="0" w:color="auto"/>
                            <w:bottom w:val="none" w:sz="0" w:space="0" w:color="auto"/>
                            <w:right w:val="none" w:sz="0" w:space="0" w:color="auto"/>
                          </w:divBdr>
                          <w:divsChild>
                            <w:div w:id="1281768247">
                              <w:marLeft w:val="0"/>
                              <w:marRight w:val="0"/>
                              <w:marTop w:val="0"/>
                              <w:marBottom w:val="0"/>
                              <w:divBdr>
                                <w:top w:val="none" w:sz="0" w:space="0" w:color="auto"/>
                                <w:left w:val="none" w:sz="0" w:space="0" w:color="auto"/>
                                <w:bottom w:val="none" w:sz="0" w:space="0" w:color="auto"/>
                                <w:right w:val="none" w:sz="0" w:space="0" w:color="auto"/>
                              </w:divBdr>
                              <w:divsChild>
                                <w:div w:id="182589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4903589">
      <w:bodyDiv w:val="1"/>
      <w:marLeft w:val="0"/>
      <w:marRight w:val="0"/>
      <w:marTop w:val="0"/>
      <w:marBottom w:val="0"/>
      <w:divBdr>
        <w:top w:val="none" w:sz="0" w:space="0" w:color="auto"/>
        <w:left w:val="none" w:sz="0" w:space="0" w:color="auto"/>
        <w:bottom w:val="none" w:sz="0" w:space="0" w:color="auto"/>
        <w:right w:val="none" w:sz="0" w:space="0" w:color="auto"/>
      </w:divBdr>
    </w:div>
    <w:div w:id="1643264898">
      <w:bodyDiv w:val="1"/>
      <w:marLeft w:val="0"/>
      <w:marRight w:val="0"/>
      <w:marTop w:val="0"/>
      <w:marBottom w:val="0"/>
      <w:divBdr>
        <w:top w:val="none" w:sz="0" w:space="0" w:color="auto"/>
        <w:left w:val="none" w:sz="0" w:space="0" w:color="auto"/>
        <w:bottom w:val="none" w:sz="0" w:space="0" w:color="auto"/>
        <w:right w:val="none" w:sz="0" w:space="0" w:color="auto"/>
      </w:divBdr>
    </w:div>
    <w:div w:id="1656254823">
      <w:bodyDiv w:val="1"/>
      <w:marLeft w:val="0"/>
      <w:marRight w:val="0"/>
      <w:marTop w:val="0"/>
      <w:marBottom w:val="0"/>
      <w:divBdr>
        <w:top w:val="none" w:sz="0" w:space="0" w:color="auto"/>
        <w:left w:val="none" w:sz="0" w:space="0" w:color="auto"/>
        <w:bottom w:val="none" w:sz="0" w:space="0" w:color="auto"/>
        <w:right w:val="none" w:sz="0" w:space="0" w:color="auto"/>
      </w:divBdr>
    </w:div>
    <w:div w:id="1668900885">
      <w:bodyDiv w:val="1"/>
      <w:marLeft w:val="0"/>
      <w:marRight w:val="0"/>
      <w:marTop w:val="0"/>
      <w:marBottom w:val="0"/>
      <w:divBdr>
        <w:top w:val="none" w:sz="0" w:space="0" w:color="auto"/>
        <w:left w:val="none" w:sz="0" w:space="0" w:color="auto"/>
        <w:bottom w:val="none" w:sz="0" w:space="0" w:color="auto"/>
        <w:right w:val="none" w:sz="0" w:space="0" w:color="auto"/>
      </w:divBdr>
    </w:div>
    <w:div w:id="1763187382">
      <w:bodyDiv w:val="1"/>
      <w:marLeft w:val="0"/>
      <w:marRight w:val="0"/>
      <w:marTop w:val="0"/>
      <w:marBottom w:val="0"/>
      <w:divBdr>
        <w:top w:val="none" w:sz="0" w:space="0" w:color="auto"/>
        <w:left w:val="none" w:sz="0" w:space="0" w:color="auto"/>
        <w:bottom w:val="none" w:sz="0" w:space="0" w:color="auto"/>
        <w:right w:val="none" w:sz="0" w:space="0" w:color="auto"/>
      </w:divBdr>
    </w:div>
    <w:div w:id="1805657898">
      <w:bodyDiv w:val="1"/>
      <w:marLeft w:val="0"/>
      <w:marRight w:val="0"/>
      <w:marTop w:val="0"/>
      <w:marBottom w:val="0"/>
      <w:divBdr>
        <w:top w:val="none" w:sz="0" w:space="0" w:color="auto"/>
        <w:left w:val="none" w:sz="0" w:space="0" w:color="auto"/>
        <w:bottom w:val="none" w:sz="0" w:space="0" w:color="auto"/>
        <w:right w:val="none" w:sz="0" w:space="0" w:color="auto"/>
      </w:divBdr>
    </w:div>
    <w:div w:id="1847817201">
      <w:bodyDiv w:val="1"/>
      <w:marLeft w:val="0"/>
      <w:marRight w:val="0"/>
      <w:marTop w:val="0"/>
      <w:marBottom w:val="0"/>
      <w:divBdr>
        <w:top w:val="none" w:sz="0" w:space="0" w:color="auto"/>
        <w:left w:val="none" w:sz="0" w:space="0" w:color="auto"/>
        <w:bottom w:val="none" w:sz="0" w:space="0" w:color="auto"/>
        <w:right w:val="none" w:sz="0" w:space="0" w:color="auto"/>
      </w:divBdr>
    </w:div>
    <w:div w:id="1949269754">
      <w:bodyDiv w:val="1"/>
      <w:marLeft w:val="0"/>
      <w:marRight w:val="0"/>
      <w:marTop w:val="0"/>
      <w:marBottom w:val="0"/>
      <w:divBdr>
        <w:top w:val="none" w:sz="0" w:space="0" w:color="auto"/>
        <w:left w:val="none" w:sz="0" w:space="0" w:color="auto"/>
        <w:bottom w:val="none" w:sz="0" w:space="0" w:color="auto"/>
        <w:right w:val="none" w:sz="0" w:space="0" w:color="auto"/>
      </w:divBdr>
    </w:div>
    <w:div w:id="212090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URL:https://pubmed.ncbi.nlm.nih.gov/8000648/" TargetMode="External"/><Relationship Id="rId4" Type="http://schemas.openxmlformats.org/officeDocument/2006/relationships/webSettings" Target="webSettings.xml"/><Relationship Id="rId9" Type="http://schemas.openxmlformats.org/officeDocument/2006/relationships/hyperlink" Target="https://doi.org/10.3748/wjg.v13.i42.5629" TargetMode="External"/><Relationship Id="rId14"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1907</Words>
  <Characters>10873</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ethem.bilgic</dc:creator>
  <cp:lastModifiedBy>SDI PC New 16</cp:lastModifiedBy>
  <cp:revision>7</cp:revision>
  <dcterms:created xsi:type="dcterms:W3CDTF">2026-04-02T08:39:00Z</dcterms:created>
  <dcterms:modified xsi:type="dcterms:W3CDTF">2026-04-03T10:19:00Z</dcterms:modified>
</cp:coreProperties>
</file>