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3F8B5" w14:textId="7A3A4051" w:rsidR="003A1EF2" w:rsidRPr="00691C75" w:rsidRDefault="00691C75" w:rsidP="003A1EF2">
      <w:pPr>
        <w:spacing w:before="360" w:after="120"/>
        <w:rPr>
          <w:b/>
          <w:bCs/>
          <w:color w:val="000000"/>
          <w:sz w:val="28"/>
          <w:szCs w:val="28"/>
        </w:rPr>
      </w:pPr>
      <w:r w:rsidRPr="00691C75">
        <w:rPr>
          <w:b/>
          <w:bCs/>
          <w:color w:val="000000"/>
          <w:sz w:val="28"/>
          <w:szCs w:val="28"/>
          <w:highlight w:val="yellow"/>
        </w:rPr>
        <w:t>Mobility-Based Intraoperative Decision-Making in Reconstruction After Lateral Oral Tongue Resection: A Prospective Case Series</w:t>
      </w:r>
    </w:p>
    <w:p w14:paraId="42F919D6" w14:textId="77777777" w:rsidR="003A1EF2" w:rsidRDefault="003A1EF2" w:rsidP="003A1EF2">
      <w:pPr>
        <w:spacing w:before="360" w:after="120"/>
        <w:rPr>
          <w:b/>
          <w:bCs/>
          <w:color w:val="000000"/>
          <w:sz w:val="26"/>
          <w:szCs w:val="26"/>
        </w:rPr>
      </w:pPr>
    </w:p>
    <w:p w14:paraId="480A1531" w14:textId="77777777" w:rsidR="003A1EF2" w:rsidRDefault="003A1EF2" w:rsidP="003A1EF2">
      <w:pPr>
        <w:spacing w:before="360" w:after="120"/>
      </w:pPr>
      <w:r>
        <w:rPr>
          <w:b/>
          <w:bCs/>
          <w:color w:val="000000"/>
          <w:sz w:val="26"/>
          <w:szCs w:val="26"/>
        </w:rPr>
        <w:t>ABSTRACT</w:t>
      </w:r>
    </w:p>
    <w:p w14:paraId="45DBC9E0" w14:textId="77777777" w:rsidR="003A1EF2" w:rsidRDefault="003A1EF2" w:rsidP="003A1EF2">
      <w:pPr>
        <w:spacing w:after="200" w:line="360" w:lineRule="atLeast"/>
        <w:jc w:val="both"/>
      </w:pPr>
      <w:r>
        <w:rPr>
          <w:b/>
          <w:bCs/>
          <w:color w:val="000000"/>
        </w:rPr>
        <w:t>Background: </w:t>
      </w:r>
      <w:r>
        <w:rPr>
          <w:color w:val="000000"/>
        </w:rPr>
        <w:t>Oral tongue squamous cell carcinoma (OTSCC) demands a reconstructive approach that prioritises functional recovery over geometric defect restoration. Traditional algorithms based on percentage of tongue resected or defect size may inadequately account for the single most important functional predictor: residual tongue mobility. This case series prospectively documents a mobility-first reconstructive philosophy applied over three consecutive years.</w:t>
      </w:r>
    </w:p>
    <w:p w14:paraId="1BDC5E62" w14:textId="77777777" w:rsidR="003A1EF2" w:rsidRDefault="003A1EF2" w:rsidP="003A1EF2">
      <w:pPr>
        <w:spacing w:after="200" w:line="360" w:lineRule="atLeast"/>
        <w:jc w:val="both"/>
      </w:pPr>
      <w:r>
        <w:rPr>
          <w:b/>
          <w:bCs/>
          <w:color w:val="000000"/>
        </w:rPr>
        <w:t>Methods: </w:t>
      </w:r>
      <w:r>
        <w:rPr>
          <w:color w:val="000000"/>
        </w:rPr>
        <w:t>Twenty-nine consecutive patients undergoing lateral oral tongue resection for OTSCC at a single tertiary oncology unit were included. All were assessed intraoperatively for residual tongue mobility following resection. The choice between primary longitudinal closure and microvascular free flap reconstruction was determined by a defined, reproducible, on-table mobility test. All patients provided written informed consent. No validated scoring instruments were applied; the primary functional endpoint was clinical assessment of the three core domains — speech intelligibility, swallowing progression, and oral clearance — collectively termed the "3S" framework.</w:t>
      </w:r>
    </w:p>
    <w:p w14:paraId="701D9E6E" w14:textId="77777777" w:rsidR="003A1EF2" w:rsidRDefault="003A1EF2" w:rsidP="003A1EF2">
      <w:pPr>
        <w:spacing w:after="200" w:line="360" w:lineRule="atLeast"/>
        <w:jc w:val="both"/>
      </w:pPr>
      <w:r>
        <w:rPr>
          <w:b/>
          <w:bCs/>
          <w:color w:val="000000"/>
        </w:rPr>
        <w:t>Results: </w:t>
      </w:r>
      <w:r>
        <w:rPr>
          <w:color w:val="000000"/>
        </w:rPr>
        <w:t>Eleven patients (37.9%) achieved satisfactory 3S outcomes with primary longitudinal closure alone. Eighteen patients (62.1%) required microvascular reconstruction on account of floor-of-mouth resection (planned or margin-driven) or intraoperative tethering on trial closure. Of the reconstructed cohort, three patients received a radial forearm free flap (RFFF) and fifteen a thin anterolateral thigh (ALT) free flap. Flap survival was 100%. Two ALT donor sites developed superficial wound infections managed conservatively. No major donor-site morbidity was recorded. Functional recovery of 3S domains was achieved in all patients before discharge from the surgical unit.</w:t>
      </w:r>
    </w:p>
    <w:p w14:paraId="29B9C2FC" w14:textId="5679F73E" w:rsidR="00240282" w:rsidRDefault="003A1EF2" w:rsidP="003A1EF2">
      <w:pPr>
        <w:spacing w:after="200" w:line="360" w:lineRule="atLeast"/>
        <w:jc w:val="both"/>
        <w:rPr>
          <w:color w:val="000000"/>
        </w:rPr>
      </w:pPr>
      <w:r>
        <w:rPr>
          <w:b/>
          <w:bCs/>
          <w:color w:val="000000"/>
        </w:rPr>
        <w:t>Conclusion: </w:t>
      </w:r>
      <w:r w:rsidR="00240282" w:rsidRPr="00240282">
        <w:rPr>
          <w:color w:val="000000"/>
        </w:rPr>
        <w:t>This prospective case series suggests that a mobility-based intraoperative assessment may be a useful aid in reconstructive decision-making after lateral tongue resection. Primary closure was feasible in selected patients with preserved tongue mobility, while thin ALT free flap reconstruction provided acceptable early functional outcomes in patients with floor-of-mouth tethering or restricted mobility. These findings are clinically encouraging but should be interpreted cautiously given the small sample size, single-centre design, non-validated outcome assessment, and limited follow-up</w:t>
      </w:r>
      <w:r w:rsidR="00240282">
        <w:rPr>
          <w:color w:val="000000"/>
        </w:rPr>
        <w:t>.</w:t>
      </w:r>
    </w:p>
    <w:p w14:paraId="1988D47E" w14:textId="567F7AAD" w:rsidR="003A1EF2" w:rsidRDefault="003A1EF2" w:rsidP="003A1EF2">
      <w:pPr>
        <w:spacing w:after="200" w:line="360" w:lineRule="atLeast"/>
        <w:jc w:val="both"/>
      </w:pPr>
      <w:r>
        <w:rPr>
          <w:b/>
          <w:bCs/>
          <w:i/>
          <w:iCs/>
          <w:color w:val="000000"/>
        </w:rPr>
        <w:lastRenderedPageBreak/>
        <w:t>Keywords: </w:t>
      </w:r>
      <w:r>
        <w:rPr>
          <w:i/>
          <w:iCs/>
          <w:color w:val="000000"/>
        </w:rPr>
        <w:t xml:space="preserve"> squamous cell carcinoma; partial glossectomy; tongue reconstruction; primary closure; anterolateral thigh free flap; radial forearm free flap; tongue mobility; floor-of-mouth tethering; 3S framework.</w:t>
      </w:r>
    </w:p>
    <w:p w14:paraId="314CB2A7" w14:textId="77777777" w:rsidR="003A1EF2" w:rsidRDefault="003A1EF2" w:rsidP="003A1EF2">
      <w:r>
        <w:rPr>
          <w:color w:val="000000"/>
        </w:rPr>
        <w:t> </w:t>
      </w:r>
    </w:p>
    <w:p w14:paraId="666E7214" w14:textId="77777777" w:rsidR="003A1EF2" w:rsidRDefault="003A1EF2" w:rsidP="003A1EF2">
      <w:pPr>
        <w:spacing w:before="360" w:after="120"/>
      </w:pPr>
      <w:r>
        <w:rPr>
          <w:b/>
          <w:bCs/>
          <w:color w:val="000000"/>
          <w:sz w:val="26"/>
          <w:szCs w:val="26"/>
        </w:rPr>
        <w:t>1. INTRODUCTION</w:t>
      </w:r>
    </w:p>
    <w:p w14:paraId="361B590F" w14:textId="77777777" w:rsidR="003A1EF2" w:rsidRDefault="003A1EF2" w:rsidP="003A1EF2">
      <w:pPr>
        <w:spacing w:after="200" w:line="360" w:lineRule="atLeast"/>
        <w:ind w:firstLine="720"/>
        <w:jc w:val="both"/>
      </w:pPr>
      <w:r>
        <w:rPr>
          <w:color w:val="000000"/>
        </w:rPr>
        <w:t>Oral tongue squamous cell carcinoma (OTSCC) is one of the most commonly encountered intraoral malignancies worldwide, with an incidence that continues to rise, particularly among tobacco and areca nut users in South and Southeast Asia. [1] Surgical resection remains the cornerstone of treatment, but the challenge extends well beyond oncologic clearance: the tongue is the principal organ of articulation, bolus formation, and oral hygiene, and even modest anatomical disruption can produce lasting deficits in speech, swallowing, and quality of life.</w:t>
      </w:r>
    </w:p>
    <w:p w14:paraId="52346E96" w14:textId="77777777" w:rsidR="003A1EF2" w:rsidRDefault="003A1EF2" w:rsidP="003A1EF2">
      <w:pPr>
        <w:spacing w:after="200" w:line="360" w:lineRule="atLeast"/>
        <w:ind w:firstLine="720"/>
        <w:jc w:val="both"/>
        <w:rPr>
          <w:color w:val="000000"/>
        </w:rPr>
      </w:pPr>
      <w:r>
        <w:rPr>
          <w:color w:val="000000"/>
        </w:rPr>
        <w:t xml:space="preserve">Contemporary reconstructive algorithms have traditionally categorised tongue defects by the proportion of tongue removed — recommending primary closure for resections under one-third, local or pedicled flaps for intermediate defects, and free tissue transfer for </w:t>
      </w:r>
      <w:proofErr w:type="spellStart"/>
      <w:r>
        <w:rPr>
          <w:color w:val="000000"/>
        </w:rPr>
        <w:t>hemiglossectomy</w:t>
      </w:r>
      <w:proofErr w:type="spellEnd"/>
      <w:r>
        <w:rPr>
          <w:color w:val="000000"/>
        </w:rPr>
        <w:t xml:space="preserve"> or greater. [2] While useful as a starting framework, this percentage-based approach has been repeatedly challenged by functional outcome studies demonstrating that the volume of tissue transferred is less predictive of recovery than the preservation of native tongue mobility, particularly at the tip. Classic data from McConnell et al. showed that primary closure, when it preserves a freely mobile tongue, can yield swallowing efficiency and speech intelligibility superior to flap reconstruction in matched patients. [3] More recent systematic reviews of free flap reconstruction confirm that outcomes are strongly modulated by flap bulk, inset design, and the degree of floor-of-mouth tethering — findings that converge on mobility as the key functional determinant. [4,5]</w:t>
      </w:r>
    </w:p>
    <w:p w14:paraId="16DA4464" w14:textId="77777777" w:rsidR="00691C75" w:rsidRDefault="00691C75" w:rsidP="003A1EF2">
      <w:pPr>
        <w:spacing w:after="200" w:line="360" w:lineRule="atLeast"/>
        <w:ind w:firstLine="720"/>
        <w:jc w:val="both"/>
      </w:pPr>
      <w:r w:rsidRPr="00691C75">
        <w:rPr>
          <w:highlight w:val="yellow"/>
        </w:rPr>
        <w:t xml:space="preserve">Recent literature has further challenged purely defect-size-based reconstructive algorithms. In a systematic review focused specifically on oral tongue cancer, Cortina et al. reported that smaller defects may achieve favourable functional outcomes without flap reconstruction, whereas larger defects are more likely to benefit from flap repair, with intermediate defects remaining less clearly defined (Cortina et al., 2023). </w:t>
      </w:r>
      <w:proofErr w:type="spellStart"/>
      <w:r w:rsidRPr="00691C75">
        <w:rPr>
          <w:highlight w:val="yellow"/>
        </w:rPr>
        <w:t>Jamin</w:t>
      </w:r>
      <w:proofErr w:type="spellEnd"/>
      <w:r w:rsidRPr="00691C75">
        <w:rPr>
          <w:highlight w:val="yellow"/>
        </w:rPr>
        <w:t xml:space="preserve"> et al. similarly observed that reconstruction after tongue and floor-of-mouth resection should be tailored to anticipated functional outcomes rather than determined solely by defect size (</w:t>
      </w:r>
      <w:proofErr w:type="spellStart"/>
      <w:r w:rsidRPr="00691C75">
        <w:rPr>
          <w:highlight w:val="yellow"/>
        </w:rPr>
        <w:t>Jamin</w:t>
      </w:r>
      <w:proofErr w:type="spellEnd"/>
      <w:r w:rsidRPr="00691C75">
        <w:rPr>
          <w:highlight w:val="yellow"/>
        </w:rPr>
        <w:t xml:space="preserve"> et al., 2024). More recently, </w:t>
      </w:r>
      <w:proofErr w:type="spellStart"/>
      <w:r w:rsidRPr="00691C75">
        <w:rPr>
          <w:highlight w:val="yellow"/>
        </w:rPr>
        <w:t>Tundealao</w:t>
      </w:r>
      <w:proofErr w:type="spellEnd"/>
      <w:r w:rsidRPr="00691C75">
        <w:rPr>
          <w:highlight w:val="yellow"/>
        </w:rPr>
        <w:t xml:space="preserve"> et al. showed that postoperative quality of life was generally better after less extensive glossectomy, reinforcing the value of function-preserving approaches in appropriately selected patients (</w:t>
      </w:r>
      <w:proofErr w:type="spellStart"/>
      <w:r w:rsidRPr="00691C75">
        <w:rPr>
          <w:highlight w:val="yellow"/>
        </w:rPr>
        <w:t>Tundealao</w:t>
      </w:r>
      <w:proofErr w:type="spellEnd"/>
      <w:r w:rsidRPr="00691C75">
        <w:rPr>
          <w:highlight w:val="yellow"/>
        </w:rPr>
        <w:t xml:space="preserve"> et al., 2025). Collectively, these studies support a more function-oriented view of tongue reconstruction in which the quality of residual mobility and the prevention of floor-of-mouth tethering may be more clinically relevant than </w:t>
      </w:r>
      <w:r w:rsidRPr="00691C75">
        <w:rPr>
          <w:highlight w:val="yellow"/>
        </w:rPr>
        <w:lastRenderedPageBreak/>
        <w:t>defect dimensions alone. Nevertheless, a practical intraoperative method for applying these principles consistently in reconstructive decision-making has not yet been clearly established.</w:t>
      </w:r>
    </w:p>
    <w:p w14:paraId="40835E0A" w14:textId="45D1A601" w:rsidR="003A1EF2" w:rsidRDefault="003A1EF2" w:rsidP="003A1EF2">
      <w:pPr>
        <w:spacing w:after="200" w:line="360" w:lineRule="atLeast"/>
        <w:ind w:firstLine="720"/>
        <w:jc w:val="both"/>
      </w:pPr>
      <w:r>
        <w:rPr>
          <w:color w:val="000000"/>
        </w:rPr>
        <w:t>Despite this evidence, no standardised intraoperative decision framework based explicitly on mobility has been widely adopted. Surgeons continue to rely on preoperative imaging estimates of defect extent, or on individual experience, to make reconstruction decisions that are often irreversible once the flap team is committed. This paper presents a prospective institutional series of 29 consecutive lateral oral tongue resections managed according to a defined, reproducible, mobility-first reconstructive principle, and situates the outcomes within the framework of contemporary literature.</w:t>
      </w:r>
    </w:p>
    <w:p w14:paraId="0ABB6E8B" w14:textId="77777777" w:rsidR="004F0B17" w:rsidRDefault="004F0B17" w:rsidP="003A1EF2">
      <w:pPr>
        <w:spacing w:before="360" w:after="120"/>
        <w:rPr>
          <w:b/>
          <w:bCs/>
          <w:color w:val="000000"/>
          <w:sz w:val="26"/>
          <w:szCs w:val="26"/>
        </w:rPr>
      </w:pPr>
    </w:p>
    <w:p w14:paraId="538C73DB" w14:textId="77777777" w:rsidR="003A1EF2" w:rsidRDefault="003A1EF2" w:rsidP="003A1EF2">
      <w:pPr>
        <w:spacing w:before="360" w:after="120"/>
      </w:pPr>
      <w:r>
        <w:rPr>
          <w:b/>
          <w:bCs/>
          <w:color w:val="000000"/>
          <w:sz w:val="26"/>
          <w:szCs w:val="26"/>
        </w:rPr>
        <w:t>2. PATIENTS AND METHODS</w:t>
      </w:r>
    </w:p>
    <w:p w14:paraId="4E457C96" w14:textId="77777777" w:rsidR="003A1EF2" w:rsidRDefault="003A1EF2" w:rsidP="003A1EF2">
      <w:pPr>
        <w:spacing w:before="280" w:after="100"/>
      </w:pPr>
      <w:r>
        <w:rPr>
          <w:b/>
          <w:bCs/>
          <w:color w:val="000000"/>
        </w:rPr>
        <w:t>2.1 Study Design</w:t>
      </w:r>
    </w:p>
    <w:p w14:paraId="5AC97323" w14:textId="77777777" w:rsidR="003A1EF2" w:rsidRDefault="003A1EF2" w:rsidP="003A1EF2">
      <w:pPr>
        <w:spacing w:after="200" w:line="360" w:lineRule="atLeast"/>
        <w:ind w:firstLine="720"/>
        <w:jc w:val="both"/>
      </w:pPr>
      <w:r>
        <w:rPr>
          <w:color w:val="000000"/>
        </w:rPr>
        <w:t>This is a prospective institutional case series of consecutive patients undergoing lateral oral tongue resection for OTSCC at the Department of Surgical Oncology, Fortis Hospital, Mohali, India, over a three-year period (2020–2023). Written informed consent was obtained from all patients preoperatively, encompassing both the oncologic resection and the possibility of microvascular reconstruction, as determined intraoperatively by the on-table mobility assessment.</w:t>
      </w:r>
    </w:p>
    <w:p w14:paraId="7D52EE16" w14:textId="77777777" w:rsidR="003A1EF2" w:rsidRDefault="003A1EF2" w:rsidP="003A1EF2">
      <w:pPr>
        <w:spacing w:before="280" w:after="100"/>
      </w:pPr>
      <w:r>
        <w:rPr>
          <w:b/>
          <w:bCs/>
          <w:color w:val="000000"/>
        </w:rPr>
        <w:t>2.2 Inclusion and Exclusion Criteria</w:t>
      </w:r>
    </w:p>
    <w:p w14:paraId="7184C32A" w14:textId="77777777" w:rsidR="003A1EF2" w:rsidRDefault="003A1EF2" w:rsidP="003A1EF2">
      <w:pPr>
        <w:spacing w:after="200" w:line="360" w:lineRule="atLeast"/>
        <w:ind w:firstLine="720"/>
        <w:jc w:val="both"/>
      </w:pPr>
      <w:r>
        <w:rPr>
          <w:color w:val="000000"/>
        </w:rPr>
        <w:t>All adult patients (≥18 years) with histologically confirmed lateral oral tongue SCC who underwent curative-intent resection were included. Patients with prior tongue surgery, previous ipsilateral neck dissection, unresectable disease, or distant metastases were excluded. Patients requiring total glossectomy were analysed separately and are not included in this series.</w:t>
      </w:r>
    </w:p>
    <w:p w14:paraId="0D402828" w14:textId="77777777" w:rsidR="003A1EF2" w:rsidRDefault="003A1EF2" w:rsidP="003A1EF2">
      <w:pPr>
        <w:spacing w:before="280" w:after="100"/>
      </w:pPr>
      <w:r>
        <w:rPr>
          <w:b/>
          <w:bCs/>
          <w:color w:val="000000"/>
        </w:rPr>
        <w:t>2.3 Operative Protocol and Decision Framework</w:t>
      </w:r>
    </w:p>
    <w:p w14:paraId="715150C8" w14:textId="77777777" w:rsidR="003A1EF2" w:rsidRDefault="003A1EF2" w:rsidP="003A1EF2">
      <w:pPr>
        <w:spacing w:after="200" w:line="360" w:lineRule="atLeast"/>
        <w:ind w:firstLine="720"/>
        <w:jc w:val="both"/>
      </w:pPr>
      <w:r>
        <w:rPr>
          <w:color w:val="000000"/>
        </w:rPr>
        <w:t>All resections were performed under general anaesthesia with hypotensive technique. Oncologic resection — with the goal of ≥1 cm clear mucosal and deep margins — took absolute precedence over reconstructive considerations. Frozen-section analysis of representative margins was performed in all cases. When margin revision was required, the specimen and corresponding wound margins were re-excised before any reconstructive step.</w:t>
      </w:r>
    </w:p>
    <w:p w14:paraId="57950915" w14:textId="77777777" w:rsidR="003A1EF2" w:rsidRDefault="003A1EF2" w:rsidP="003A1EF2">
      <w:pPr>
        <w:spacing w:after="200" w:line="360" w:lineRule="atLeast"/>
        <w:ind w:firstLine="720"/>
        <w:jc w:val="both"/>
      </w:pPr>
      <w:r>
        <w:rPr>
          <w:color w:val="000000"/>
        </w:rPr>
        <w:t xml:space="preserve">Following resection and margin clearance, the surgeon performed a standardised on-table mobility assessment: the residual tongue was evaluated for (a) freedom of tip protrusion to the vermilion border, (b) full lateral excursion to the ipsilateral and contralateral dentition, </w:t>
      </w:r>
      <w:r>
        <w:rPr>
          <w:color w:val="000000"/>
        </w:rPr>
        <w:lastRenderedPageBreak/>
        <w:t>and (c) absence of visible or palpable tethering to the floor of mouth. A trial primary closure was then performed with absorbable sutures. If all three mobility criteria were met on trial closure, longitudinal primary closure was confirmed. If any criterion was not met — most commonly due to floor-of-mouth resection or post-margin-revision tethering — the trial sutures were removed and microvascular free flap reconstruction was undertaken.</w:t>
      </w:r>
    </w:p>
    <w:p w14:paraId="0B8A515C" w14:textId="77777777" w:rsidR="003A1EF2" w:rsidRDefault="003A1EF2" w:rsidP="003A1EF2">
      <w:pPr>
        <w:spacing w:after="200" w:line="360" w:lineRule="atLeast"/>
        <w:ind w:firstLine="720"/>
        <w:jc w:val="both"/>
      </w:pPr>
      <w:r>
        <w:rPr>
          <w:color w:val="000000"/>
        </w:rPr>
        <w:t>The reconstructive flap of choice evolved over the series: the radial forearm free flap (RFFF) was employed in the first three microvascular cases, after which the thin anterolateral thigh (ALT) free flap was adopted as the institutional default based on perceived donor-site morbidity differences. ALT flaps were thinned to approximately 5–8 mm by excising the deep layer of subcutaneous fat and were inset to bridge the floor-of-mouth defect, restoring pliable mucosal lining without adding excess bulk.</w:t>
      </w:r>
    </w:p>
    <w:p w14:paraId="545FEB05" w14:textId="77777777" w:rsidR="003A1EF2" w:rsidRDefault="003A1EF2" w:rsidP="003A1EF2">
      <w:pPr>
        <w:spacing w:before="280" w:after="100"/>
      </w:pPr>
      <w:r>
        <w:rPr>
          <w:b/>
          <w:bCs/>
          <w:color w:val="000000"/>
        </w:rPr>
        <w:t>2.4 Outcome Assessment</w:t>
      </w:r>
    </w:p>
    <w:p w14:paraId="7EC80C48" w14:textId="77777777" w:rsidR="003A1EF2" w:rsidRDefault="003A1EF2" w:rsidP="003A1EF2">
      <w:pPr>
        <w:spacing w:after="200" w:line="360" w:lineRule="atLeast"/>
        <w:ind w:firstLine="720"/>
        <w:jc w:val="both"/>
      </w:pPr>
      <w:r>
        <w:rPr>
          <w:color w:val="000000"/>
        </w:rPr>
        <w:t>Patients were assessed at discharge and at one- and three-month follow-up visits. Outcomes were evaluated clinically across the three 3S domains: speech intelligibility (assessed by conversational exchange with a trained speech therapist), swallowing progression (time to resume oral soft diet), and oral clearance (ability to sweep food residue from the buccal sulcus and dentition). Donor-site morbidity was recorded separately. No formal validated scoring instruments (e.g., MDADI, PSS-HN) were employed in this series; this is acknowledged as a limitation.</w:t>
      </w:r>
    </w:p>
    <w:p w14:paraId="5B8C34D1" w14:textId="77777777" w:rsidR="003A1EF2" w:rsidRDefault="003A1EF2" w:rsidP="003A1EF2">
      <w:pPr>
        <w:spacing w:before="360" w:after="120"/>
      </w:pPr>
      <w:r>
        <w:rPr>
          <w:b/>
          <w:bCs/>
          <w:color w:val="000000"/>
          <w:sz w:val="26"/>
          <w:szCs w:val="26"/>
        </w:rPr>
        <w:t>3. RESULTS</w:t>
      </w:r>
    </w:p>
    <w:p w14:paraId="2CD33023" w14:textId="77777777" w:rsidR="003A1EF2" w:rsidRDefault="003A1EF2" w:rsidP="003A1EF2">
      <w:pPr>
        <w:spacing w:before="280" w:after="100"/>
      </w:pPr>
      <w:r>
        <w:rPr>
          <w:b/>
          <w:bCs/>
          <w:color w:val="000000"/>
        </w:rPr>
        <w:t>3.1 Patient Demographics</w:t>
      </w:r>
    </w:p>
    <w:p w14:paraId="3CEA6C02" w14:textId="77777777" w:rsidR="003A1EF2" w:rsidRDefault="003A1EF2" w:rsidP="003A1EF2">
      <w:pPr>
        <w:spacing w:after="200" w:line="360" w:lineRule="atLeast"/>
        <w:ind w:firstLine="720"/>
        <w:jc w:val="both"/>
      </w:pPr>
      <w:r>
        <w:rPr>
          <w:color w:val="000000"/>
        </w:rPr>
        <w:t>Twenty-nine patients (26 male, 3 female) with a median age of 54 years (range 38–72 years) were included. All patients were chronic tobacco users; eighteen reported combined tobacco chewing and smoking. All tumours arose from the lateral oral tongue. Tumour staging by AJCC 8th edition: T2 — 11 patients; T3 — 14 patients; T4a — 4 patients. All patients had clinically or pathologically node-positive disease managed by concurrent neck dissection.</w:t>
      </w:r>
    </w:p>
    <w:p w14:paraId="083E5289" w14:textId="77777777" w:rsidR="003A1EF2" w:rsidRDefault="003A1EF2" w:rsidP="003A1EF2">
      <w:pPr>
        <w:spacing w:before="280" w:after="100"/>
      </w:pPr>
      <w:r>
        <w:rPr>
          <w:b/>
          <w:bCs/>
          <w:color w:val="000000"/>
        </w:rPr>
        <w:t>3.2 Reconstructive Decisions and Outcomes</w:t>
      </w:r>
    </w:p>
    <w:p w14:paraId="59F10206" w14:textId="77777777" w:rsidR="003A1EF2" w:rsidRDefault="003A1EF2" w:rsidP="003A1EF2">
      <w:pPr>
        <w:spacing w:after="200" w:line="360" w:lineRule="atLeast"/>
        <w:ind w:firstLine="720"/>
        <w:jc w:val="both"/>
      </w:pPr>
      <w:r>
        <w:rPr>
          <w:color w:val="000000"/>
        </w:rPr>
        <w:t>Eleven patients (37.9%) were managed by primary longitudinal closure following confirmation of satisfactory residual mobility on the intraoperative assessment. All eleven achieved early resumption of oral diet (median time to soft diet: 5 days, range 3–9 days) and demonstrated adequate speech intelligibility at one-month follow-up.</w:t>
      </w:r>
    </w:p>
    <w:p w14:paraId="0DE7791F" w14:textId="77777777" w:rsidR="003A1EF2" w:rsidRDefault="003A1EF2" w:rsidP="003A1EF2">
      <w:pPr>
        <w:spacing w:after="200" w:line="360" w:lineRule="atLeast"/>
        <w:ind w:firstLine="720"/>
        <w:jc w:val="both"/>
      </w:pPr>
      <w:r>
        <w:rPr>
          <w:color w:val="000000"/>
        </w:rPr>
        <w:t xml:space="preserve">Eighteen patients (62.1%) required microvascular free flap reconstruction. The indication was primary floor-of-mouth resection due to tumour extent in eleven cases, and intraoperative margin revision extending to the floor of mouth with consequent tethering in </w:t>
      </w:r>
      <w:r>
        <w:rPr>
          <w:color w:val="000000"/>
        </w:rPr>
        <w:lastRenderedPageBreak/>
        <w:t>seven cases. Of these eighteen, three received RFFF and fifteen received thin ALT free flap. Flap survival was 100% across the entire series. Two ALT donor sites developed superficial wound infections managed with wound care and oral antibiotics; no further intervention was required and both resolved fully. No RFFF donor site complications were recorded in the three cases. Functional 3S recovery was documented in all eighteen reconstructed patients before discharge, with speech and swallowing rehabilitation ongoing at the one-month mark.</w:t>
      </w:r>
    </w:p>
    <w:p w14:paraId="041E650B" w14:textId="77777777" w:rsidR="004F0B17" w:rsidRDefault="004F0B17" w:rsidP="003A1EF2">
      <w:pPr>
        <w:spacing w:before="280" w:after="100"/>
        <w:rPr>
          <w:b/>
          <w:bCs/>
          <w:color w:val="000000"/>
        </w:rPr>
      </w:pPr>
    </w:p>
    <w:p w14:paraId="1D17151D" w14:textId="77777777" w:rsidR="004F0B17" w:rsidRDefault="004F0B17" w:rsidP="003A1EF2">
      <w:pPr>
        <w:spacing w:before="280" w:after="100"/>
        <w:rPr>
          <w:b/>
          <w:bCs/>
          <w:color w:val="000000"/>
        </w:rPr>
      </w:pPr>
    </w:p>
    <w:p w14:paraId="1991C344" w14:textId="77777777" w:rsidR="004F0B17" w:rsidRDefault="004F0B17" w:rsidP="003A1EF2">
      <w:pPr>
        <w:spacing w:before="280" w:after="100"/>
        <w:rPr>
          <w:b/>
          <w:bCs/>
          <w:color w:val="000000"/>
        </w:rPr>
      </w:pPr>
    </w:p>
    <w:p w14:paraId="07FCD75B" w14:textId="77777777" w:rsidR="004F0B17" w:rsidRDefault="004F0B17" w:rsidP="003A1EF2">
      <w:pPr>
        <w:spacing w:before="280" w:after="100"/>
        <w:rPr>
          <w:b/>
          <w:bCs/>
          <w:color w:val="000000"/>
        </w:rPr>
      </w:pPr>
    </w:p>
    <w:p w14:paraId="09DE74C3" w14:textId="77777777" w:rsidR="003A1EF2" w:rsidRDefault="003A1EF2" w:rsidP="003A1EF2">
      <w:pPr>
        <w:spacing w:before="280" w:after="100"/>
      </w:pPr>
      <w:r>
        <w:rPr>
          <w:b/>
          <w:bCs/>
          <w:color w:val="000000"/>
        </w:rPr>
        <w:t>Table 1. Summary of Reconstructive Choices and Outcomes — 29 Cases</w:t>
      </w:r>
    </w:p>
    <w:tbl>
      <w:tblPr>
        <w:tblW w:w="9360" w:type="dxa"/>
        <w:tblCellMar>
          <w:left w:w="0" w:type="dxa"/>
          <w:right w:w="0" w:type="dxa"/>
        </w:tblCellMar>
        <w:tblLook w:val="04A0" w:firstRow="1" w:lastRow="0" w:firstColumn="1" w:lastColumn="0" w:noHBand="0" w:noVBand="1"/>
      </w:tblPr>
      <w:tblGrid>
        <w:gridCol w:w="2600"/>
        <w:gridCol w:w="2600"/>
        <w:gridCol w:w="2080"/>
        <w:gridCol w:w="2080"/>
      </w:tblGrid>
      <w:tr w:rsidR="003A1EF2" w14:paraId="78F6E9CF" w14:textId="77777777" w:rsidTr="003A1EF2">
        <w:tc>
          <w:tcPr>
            <w:tcW w:w="2600" w:type="dxa"/>
            <w:tcBorders>
              <w:top w:val="single" w:sz="8" w:space="0" w:color="444444"/>
              <w:left w:val="single" w:sz="8" w:space="0" w:color="444444"/>
              <w:bottom w:val="single" w:sz="8" w:space="0" w:color="444444"/>
              <w:right w:val="single" w:sz="8" w:space="0" w:color="444444"/>
            </w:tcBorders>
            <w:shd w:val="clear" w:color="auto" w:fill="D0E4F0"/>
            <w:tcMar>
              <w:top w:w="80" w:type="dxa"/>
              <w:left w:w="120" w:type="dxa"/>
              <w:bottom w:w="80" w:type="dxa"/>
              <w:right w:w="120" w:type="dxa"/>
            </w:tcMar>
            <w:hideMark/>
          </w:tcPr>
          <w:p w14:paraId="363200E2" w14:textId="77777777" w:rsidR="003A1EF2" w:rsidRDefault="003A1EF2">
            <w:pPr>
              <w:spacing w:before="60" w:after="60"/>
              <w:jc w:val="center"/>
              <w:rPr>
                <w:color w:val="000000"/>
              </w:rPr>
            </w:pPr>
            <w:r>
              <w:rPr>
                <w:b/>
                <w:bCs/>
                <w:color w:val="000000"/>
                <w:sz w:val="20"/>
                <w:szCs w:val="20"/>
              </w:rPr>
              <w:t>Parameter</w:t>
            </w:r>
          </w:p>
        </w:tc>
        <w:tc>
          <w:tcPr>
            <w:tcW w:w="2600" w:type="dxa"/>
            <w:tcBorders>
              <w:top w:val="single" w:sz="8" w:space="0" w:color="auto"/>
              <w:left w:val="nil"/>
              <w:bottom w:val="single" w:sz="8" w:space="0" w:color="auto"/>
              <w:right w:val="single" w:sz="8" w:space="0" w:color="auto"/>
            </w:tcBorders>
            <w:shd w:val="clear" w:color="auto" w:fill="D0E4F0"/>
            <w:tcMar>
              <w:top w:w="80" w:type="dxa"/>
              <w:left w:w="120" w:type="dxa"/>
              <w:bottom w:w="80" w:type="dxa"/>
              <w:right w:w="120" w:type="dxa"/>
            </w:tcMar>
            <w:hideMark/>
          </w:tcPr>
          <w:p w14:paraId="37589FBD" w14:textId="77777777" w:rsidR="003A1EF2" w:rsidRDefault="003A1EF2">
            <w:pPr>
              <w:spacing w:before="60" w:after="60"/>
              <w:jc w:val="center"/>
              <w:rPr>
                <w:color w:val="000000"/>
              </w:rPr>
            </w:pPr>
            <w:r>
              <w:rPr>
                <w:b/>
                <w:bCs/>
                <w:color w:val="000000"/>
                <w:sz w:val="20"/>
                <w:szCs w:val="20"/>
              </w:rPr>
              <w:t>Primary Closure (n=11)</w:t>
            </w:r>
          </w:p>
        </w:tc>
        <w:tc>
          <w:tcPr>
            <w:tcW w:w="2080" w:type="dxa"/>
            <w:tcBorders>
              <w:top w:val="single" w:sz="8" w:space="0" w:color="auto"/>
              <w:left w:val="nil"/>
              <w:bottom w:val="single" w:sz="8" w:space="0" w:color="auto"/>
              <w:right w:val="single" w:sz="8" w:space="0" w:color="auto"/>
            </w:tcBorders>
            <w:shd w:val="clear" w:color="auto" w:fill="D0E4F0"/>
            <w:tcMar>
              <w:top w:w="80" w:type="dxa"/>
              <w:left w:w="120" w:type="dxa"/>
              <w:bottom w:w="80" w:type="dxa"/>
              <w:right w:w="120" w:type="dxa"/>
            </w:tcMar>
            <w:hideMark/>
          </w:tcPr>
          <w:p w14:paraId="5DF4F3FE" w14:textId="77777777" w:rsidR="003A1EF2" w:rsidRDefault="003A1EF2">
            <w:pPr>
              <w:spacing w:before="60" w:after="60"/>
              <w:jc w:val="center"/>
              <w:rPr>
                <w:color w:val="000000"/>
              </w:rPr>
            </w:pPr>
            <w:r>
              <w:rPr>
                <w:b/>
                <w:bCs/>
                <w:color w:val="000000"/>
                <w:sz w:val="20"/>
                <w:szCs w:val="20"/>
              </w:rPr>
              <w:t>RFFF (n=3)</w:t>
            </w:r>
          </w:p>
        </w:tc>
        <w:tc>
          <w:tcPr>
            <w:tcW w:w="2080" w:type="dxa"/>
            <w:tcBorders>
              <w:top w:val="single" w:sz="8" w:space="0" w:color="auto"/>
              <w:left w:val="nil"/>
              <w:bottom w:val="single" w:sz="8" w:space="0" w:color="auto"/>
              <w:right w:val="single" w:sz="8" w:space="0" w:color="auto"/>
            </w:tcBorders>
            <w:shd w:val="clear" w:color="auto" w:fill="D0E4F0"/>
            <w:tcMar>
              <w:top w:w="80" w:type="dxa"/>
              <w:left w:w="120" w:type="dxa"/>
              <w:bottom w:w="80" w:type="dxa"/>
              <w:right w:w="120" w:type="dxa"/>
            </w:tcMar>
            <w:hideMark/>
          </w:tcPr>
          <w:p w14:paraId="19414B6A" w14:textId="77777777" w:rsidR="003A1EF2" w:rsidRDefault="003A1EF2">
            <w:pPr>
              <w:spacing w:before="60" w:after="60"/>
              <w:jc w:val="center"/>
              <w:rPr>
                <w:color w:val="000000"/>
              </w:rPr>
            </w:pPr>
            <w:r>
              <w:rPr>
                <w:b/>
                <w:bCs/>
                <w:color w:val="000000"/>
                <w:sz w:val="20"/>
                <w:szCs w:val="20"/>
              </w:rPr>
              <w:t>Thin ALT (n=15)</w:t>
            </w:r>
          </w:p>
        </w:tc>
      </w:tr>
      <w:tr w:rsidR="003A1EF2" w14:paraId="7C9CDA5D" w14:textId="77777777" w:rsidTr="003A1EF2">
        <w:tc>
          <w:tcPr>
            <w:tcW w:w="2600" w:type="dxa"/>
            <w:tcBorders>
              <w:top w:val="nil"/>
              <w:left w:val="single" w:sz="8" w:space="0" w:color="auto"/>
              <w:bottom w:val="single" w:sz="8" w:space="0" w:color="auto"/>
              <w:right w:val="single" w:sz="8" w:space="0" w:color="auto"/>
            </w:tcBorders>
            <w:tcMar>
              <w:top w:w="80" w:type="dxa"/>
              <w:left w:w="120" w:type="dxa"/>
              <w:bottom w:w="80" w:type="dxa"/>
              <w:right w:w="120" w:type="dxa"/>
            </w:tcMar>
            <w:hideMark/>
          </w:tcPr>
          <w:p w14:paraId="3374B544" w14:textId="77777777" w:rsidR="003A1EF2" w:rsidRDefault="003A1EF2">
            <w:pPr>
              <w:spacing w:before="60" w:after="60"/>
              <w:jc w:val="center"/>
              <w:rPr>
                <w:color w:val="000000"/>
              </w:rPr>
            </w:pPr>
            <w:r>
              <w:rPr>
                <w:color w:val="000000"/>
                <w:sz w:val="20"/>
                <w:szCs w:val="20"/>
              </w:rPr>
              <w:t>Main Indication</w:t>
            </w:r>
          </w:p>
        </w:tc>
        <w:tc>
          <w:tcPr>
            <w:tcW w:w="2600" w:type="dxa"/>
            <w:tcBorders>
              <w:top w:val="nil"/>
              <w:left w:val="nil"/>
              <w:bottom w:val="single" w:sz="8" w:space="0" w:color="auto"/>
              <w:right w:val="single" w:sz="8" w:space="0" w:color="auto"/>
            </w:tcBorders>
            <w:tcMar>
              <w:top w:w="80" w:type="dxa"/>
              <w:left w:w="120" w:type="dxa"/>
              <w:bottom w:w="80" w:type="dxa"/>
              <w:right w:w="120" w:type="dxa"/>
            </w:tcMar>
            <w:hideMark/>
          </w:tcPr>
          <w:p w14:paraId="1F5AD057" w14:textId="77777777" w:rsidR="003A1EF2" w:rsidRDefault="003A1EF2">
            <w:pPr>
              <w:spacing w:before="60" w:after="60"/>
              <w:jc w:val="center"/>
              <w:rPr>
                <w:color w:val="000000"/>
              </w:rPr>
            </w:pPr>
            <w:r>
              <w:rPr>
                <w:color w:val="000000"/>
                <w:sz w:val="20"/>
                <w:szCs w:val="20"/>
              </w:rPr>
              <w:t>Intact FOM + no tethering on trial closure</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79F75CE3" w14:textId="77777777" w:rsidR="003A1EF2" w:rsidRDefault="003A1EF2">
            <w:pPr>
              <w:spacing w:before="60" w:after="60"/>
              <w:jc w:val="center"/>
              <w:rPr>
                <w:color w:val="000000"/>
              </w:rPr>
            </w:pPr>
            <w:r>
              <w:rPr>
                <w:color w:val="000000"/>
                <w:sz w:val="20"/>
                <w:szCs w:val="20"/>
              </w:rPr>
              <w:t>FOM resection / tethering (early experience)</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21B37504" w14:textId="77777777" w:rsidR="003A1EF2" w:rsidRDefault="003A1EF2">
            <w:pPr>
              <w:spacing w:before="60" w:after="60"/>
              <w:jc w:val="center"/>
              <w:rPr>
                <w:color w:val="000000"/>
              </w:rPr>
            </w:pPr>
            <w:r>
              <w:rPr>
                <w:color w:val="000000"/>
                <w:sz w:val="20"/>
                <w:szCs w:val="20"/>
              </w:rPr>
              <w:t>FOM resection / tethering (standard)</w:t>
            </w:r>
          </w:p>
        </w:tc>
      </w:tr>
      <w:tr w:rsidR="003A1EF2" w14:paraId="39D4C4CF" w14:textId="77777777" w:rsidTr="003A1EF2">
        <w:tc>
          <w:tcPr>
            <w:tcW w:w="2600" w:type="dxa"/>
            <w:tcBorders>
              <w:top w:val="nil"/>
              <w:left w:val="single" w:sz="8" w:space="0" w:color="auto"/>
              <w:bottom w:val="single" w:sz="8" w:space="0" w:color="auto"/>
              <w:right w:val="single" w:sz="8" w:space="0" w:color="auto"/>
            </w:tcBorders>
            <w:tcMar>
              <w:top w:w="80" w:type="dxa"/>
              <w:left w:w="120" w:type="dxa"/>
              <w:bottom w:w="80" w:type="dxa"/>
              <w:right w:w="120" w:type="dxa"/>
            </w:tcMar>
            <w:hideMark/>
          </w:tcPr>
          <w:p w14:paraId="28721FAB" w14:textId="77777777" w:rsidR="003A1EF2" w:rsidRDefault="003A1EF2">
            <w:pPr>
              <w:spacing w:before="60" w:after="60"/>
              <w:jc w:val="center"/>
              <w:rPr>
                <w:color w:val="000000"/>
              </w:rPr>
            </w:pPr>
            <w:r>
              <w:rPr>
                <w:color w:val="000000"/>
                <w:sz w:val="20"/>
                <w:szCs w:val="20"/>
              </w:rPr>
              <w:t>Closure Type</w:t>
            </w:r>
          </w:p>
        </w:tc>
        <w:tc>
          <w:tcPr>
            <w:tcW w:w="2600" w:type="dxa"/>
            <w:tcBorders>
              <w:top w:val="nil"/>
              <w:left w:val="nil"/>
              <w:bottom w:val="single" w:sz="8" w:space="0" w:color="auto"/>
              <w:right w:val="single" w:sz="8" w:space="0" w:color="auto"/>
            </w:tcBorders>
            <w:tcMar>
              <w:top w:w="80" w:type="dxa"/>
              <w:left w:w="120" w:type="dxa"/>
              <w:bottom w:w="80" w:type="dxa"/>
              <w:right w:w="120" w:type="dxa"/>
            </w:tcMar>
            <w:hideMark/>
          </w:tcPr>
          <w:p w14:paraId="3D359C97" w14:textId="77777777" w:rsidR="003A1EF2" w:rsidRDefault="003A1EF2">
            <w:pPr>
              <w:spacing w:before="60" w:after="60"/>
              <w:jc w:val="center"/>
              <w:rPr>
                <w:color w:val="000000"/>
              </w:rPr>
            </w:pPr>
            <w:r>
              <w:rPr>
                <w:color w:val="000000"/>
                <w:sz w:val="20"/>
                <w:szCs w:val="20"/>
              </w:rPr>
              <w:t>Longitudinal (vertical/oblique longitudinal)</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4CC532E8" w14:textId="77777777" w:rsidR="003A1EF2" w:rsidRDefault="003A1EF2">
            <w:pPr>
              <w:spacing w:before="60" w:after="60"/>
              <w:jc w:val="center"/>
              <w:rPr>
                <w:color w:val="000000"/>
              </w:rPr>
            </w:pPr>
            <w:r>
              <w:rPr>
                <w:color w:val="000000"/>
                <w:sz w:val="20"/>
                <w:szCs w:val="20"/>
              </w:rPr>
              <w:t>Free flap bridging</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443ED741" w14:textId="77777777" w:rsidR="003A1EF2" w:rsidRDefault="003A1EF2">
            <w:pPr>
              <w:spacing w:before="60" w:after="60"/>
              <w:jc w:val="center"/>
              <w:rPr>
                <w:color w:val="000000"/>
              </w:rPr>
            </w:pPr>
            <w:r>
              <w:rPr>
                <w:color w:val="000000"/>
                <w:sz w:val="20"/>
                <w:szCs w:val="20"/>
              </w:rPr>
              <w:t>Free flap bridging</w:t>
            </w:r>
          </w:p>
        </w:tc>
      </w:tr>
      <w:tr w:rsidR="003A1EF2" w14:paraId="2308627A" w14:textId="77777777" w:rsidTr="003A1EF2">
        <w:tc>
          <w:tcPr>
            <w:tcW w:w="2600" w:type="dxa"/>
            <w:tcBorders>
              <w:top w:val="nil"/>
              <w:left w:val="single" w:sz="8" w:space="0" w:color="auto"/>
              <w:bottom w:val="single" w:sz="8" w:space="0" w:color="auto"/>
              <w:right w:val="single" w:sz="8" w:space="0" w:color="auto"/>
            </w:tcBorders>
            <w:tcMar>
              <w:top w:w="80" w:type="dxa"/>
              <w:left w:w="120" w:type="dxa"/>
              <w:bottom w:w="80" w:type="dxa"/>
              <w:right w:w="120" w:type="dxa"/>
            </w:tcMar>
            <w:hideMark/>
          </w:tcPr>
          <w:p w14:paraId="328F1E21" w14:textId="77777777" w:rsidR="003A1EF2" w:rsidRDefault="003A1EF2">
            <w:pPr>
              <w:spacing w:before="60" w:after="60"/>
              <w:jc w:val="center"/>
              <w:rPr>
                <w:color w:val="000000"/>
              </w:rPr>
            </w:pPr>
            <w:r>
              <w:rPr>
                <w:color w:val="000000"/>
                <w:sz w:val="20"/>
                <w:szCs w:val="20"/>
              </w:rPr>
              <w:t>Flap Survival</w:t>
            </w:r>
          </w:p>
        </w:tc>
        <w:tc>
          <w:tcPr>
            <w:tcW w:w="2600" w:type="dxa"/>
            <w:tcBorders>
              <w:top w:val="nil"/>
              <w:left w:val="nil"/>
              <w:bottom w:val="single" w:sz="8" w:space="0" w:color="auto"/>
              <w:right w:val="single" w:sz="8" w:space="0" w:color="auto"/>
            </w:tcBorders>
            <w:tcMar>
              <w:top w:w="80" w:type="dxa"/>
              <w:left w:w="120" w:type="dxa"/>
              <w:bottom w:w="80" w:type="dxa"/>
              <w:right w:w="120" w:type="dxa"/>
            </w:tcMar>
            <w:hideMark/>
          </w:tcPr>
          <w:p w14:paraId="3783A52A" w14:textId="77777777" w:rsidR="003A1EF2" w:rsidRDefault="003A1EF2">
            <w:pPr>
              <w:spacing w:before="60" w:after="60"/>
              <w:jc w:val="center"/>
              <w:rPr>
                <w:color w:val="000000"/>
              </w:rPr>
            </w:pPr>
            <w:r>
              <w:rPr>
                <w:color w:val="000000"/>
                <w:sz w:val="20"/>
                <w:szCs w:val="20"/>
              </w:rPr>
              <w:t>N/A</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5064198B" w14:textId="77777777" w:rsidR="003A1EF2" w:rsidRDefault="003A1EF2">
            <w:pPr>
              <w:spacing w:before="60" w:after="60"/>
              <w:jc w:val="center"/>
              <w:rPr>
                <w:color w:val="000000"/>
              </w:rPr>
            </w:pPr>
            <w:r>
              <w:rPr>
                <w:color w:val="000000"/>
                <w:sz w:val="20"/>
                <w:szCs w:val="20"/>
              </w:rPr>
              <w:t>100%</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2B34C8CE" w14:textId="77777777" w:rsidR="003A1EF2" w:rsidRDefault="003A1EF2">
            <w:pPr>
              <w:spacing w:before="60" w:after="60"/>
              <w:jc w:val="center"/>
              <w:rPr>
                <w:color w:val="000000"/>
              </w:rPr>
            </w:pPr>
            <w:r>
              <w:rPr>
                <w:color w:val="000000"/>
                <w:sz w:val="20"/>
                <w:szCs w:val="20"/>
              </w:rPr>
              <w:t>100%</w:t>
            </w:r>
          </w:p>
        </w:tc>
      </w:tr>
      <w:tr w:rsidR="003A1EF2" w14:paraId="5F48C6EB" w14:textId="77777777" w:rsidTr="003A1EF2">
        <w:tc>
          <w:tcPr>
            <w:tcW w:w="2600" w:type="dxa"/>
            <w:tcBorders>
              <w:top w:val="nil"/>
              <w:left w:val="single" w:sz="8" w:space="0" w:color="auto"/>
              <w:bottom w:val="single" w:sz="8" w:space="0" w:color="auto"/>
              <w:right w:val="single" w:sz="8" w:space="0" w:color="auto"/>
            </w:tcBorders>
            <w:tcMar>
              <w:top w:w="80" w:type="dxa"/>
              <w:left w:w="120" w:type="dxa"/>
              <w:bottom w:w="80" w:type="dxa"/>
              <w:right w:w="120" w:type="dxa"/>
            </w:tcMar>
            <w:hideMark/>
          </w:tcPr>
          <w:p w14:paraId="13B69B6B" w14:textId="77777777" w:rsidR="003A1EF2" w:rsidRDefault="003A1EF2">
            <w:pPr>
              <w:spacing w:before="60" w:after="60"/>
              <w:jc w:val="center"/>
              <w:rPr>
                <w:color w:val="000000"/>
              </w:rPr>
            </w:pPr>
            <w:r>
              <w:rPr>
                <w:color w:val="000000"/>
                <w:sz w:val="20"/>
                <w:szCs w:val="20"/>
              </w:rPr>
              <w:t>Donor-site Complications</w:t>
            </w:r>
          </w:p>
        </w:tc>
        <w:tc>
          <w:tcPr>
            <w:tcW w:w="2600" w:type="dxa"/>
            <w:tcBorders>
              <w:top w:val="nil"/>
              <w:left w:val="nil"/>
              <w:bottom w:val="single" w:sz="8" w:space="0" w:color="auto"/>
              <w:right w:val="single" w:sz="8" w:space="0" w:color="auto"/>
            </w:tcBorders>
            <w:tcMar>
              <w:top w:w="80" w:type="dxa"/>
              <w:left w:w="120" w:type="dxa"/>
              <w:bottom w:w="80" w:type="dxa"/>
              <w:right w:w="120" w:type="dxa"/>
            </w:tcMar>
            <w:hideMark/>
          </w:tcPr>
          <w:p w14:paraId="5F751B15" w14:textId="77777777" w:rsidR="003A1EF2" w:rsidRDefault="003A1EF2">
            <w:pPr>
              <w:spacing w:before="60" w:after="60"/>
              <w:jc w:val="center"/>
              <w:rPr>
                <w:color w:val="000000"/>
              </w:rPr>
            </w:pPr>
            <w:r>
              <w:rPr>
                <w:color w:val="000000"/>
                <w:sz w:val="20"/>
                <w:szCs w:val="20"/>
              </w:rPr>
              <w:t>N/A</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2A9CCBD9" w14:textId="77777777" w:rsidR="003A1EF2" w:rsidRDefault="003A1EF2">
            <w:pPr>
              <w:spacing w:before="60" w:after="60"/>
              <w:jc w:val="center"/>
              <w:rPr>
                <w:color w:val="000000"/>
              </w:rPr>
            </w:pPr>
            <w:r>
              <w:rPr>
                <w:color w:val="000000"/>
                <w:sz w:val="20"/>
                <w:szCs w:val="20"/>
              </w:rPr>
              <w:t>None</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5C4507CA" w14:textId="77777777" w:rsidR="003A1EF2" w:rsidRDefault="003A1EF2">
            <w:pPr>
              <w:spacing w:before="60" w:after="60"/>
              <w:jc w:val="center"/>
              <w:rPr>
                <w:color w:val="000000"/>
              </w:rPr>
            </w:pPr>
            <w:r>
              <w:rPr>
                <w:color w:val="000000"/>
                <w:sz w:val="20"/>
                <w:szCs w:val="20"/>
              </w:rPr>
              <w:t>2 superficial infections (conservative)</w:t>
            </w:r>
          </w:p>
        </w:tc>
      </w:tr>
      <w:tr w:rsidR="003A1EF2" w14:paraId="6D5F80F0" w14:textId="77777777" w:rsidTr="003A1EF2">
        <w:tc>
          <w:tcPr>
            <w:tcW w:w="2600" w:type="dxa"/>
            <w:tcBorders>
              <w:top w:val="nil"/>
              <w:left w:val="single" w:sz="8" w:space="0" w:color="auto"/>
              <w:bottom w:val="single" w:sz="8" w:space="0" w:color="auto"/>
              <w:right w:val="single" w:sz="8" w:space="0" w:color="auto"/>
            </w:tcBorders>
            <w:tcMar>
              <w:top w:w="80" w:type="dxa"/>
              <w:left w:w="120" w:type="dxa"/>
              <w:bottom w:w="80" w:type="dxa"/>
              <w:right w:w="120" w:type="dxa"/>
            </w:tcMar>
            <w:hideMark/>
          </w:tcPr>
          <w:p w14:paraId="06040CDA" w14:textId="77777777" w:rsidR="003A1EF2" w:rsidRDefault="003A1EF2">
            <w:pPr>
              <w:spacing w:before="60" w:after="60"/>
              <w:jc w:val="center"/>
              <w:rPr>
                <w:color w:val="000000"/>
              </w:rPr>
            </w:pPr>
            <w:r>
              <w:rPr>
                <w:color w:val="000000"/>
                <w:sz w:val="20"/>
                <w:szCs w:val="20"/>
              </w:rPr>
              <w:t>Functional Endpoint (3S)</w:t>
            </w:r>
          </w:p>
        </w:tc>
        <w:tc>
          <w:tcPr>
            <w:tcW w:w="2600" w:type="dxa"/>
            <w:tcBorders>
              <w:top w:val="nil"/>
              <w:left w:val="nil"/>
              <w:bottom w:val="single" w:sz="8" w:space="0" w:color="auto"/>
              <w:right w:val="single" w:sz="8" w:space="0" w:color="auto"/>
            </w:tcBorders>
            <w:tcMar>
              <w:top w:w="80" w:type="dxa"/>
              <w:left w:w="120" w:type="dxa"/>
              <w:bottom w:w="80" w:type="dxa"/>
              <w:right w:w="120" w:type="dxa"/>
            </w:tcMar>
            <w:hideMark/>
          </w:tcPr>
          <w:p w14:paraId="646DB4C0" w14:textId="77777777" w:rsidR="003A1EF2" w:rsidRDefault="003A1EF2">
            <w:pPr>
              <w:spacing w:before="60" w:after="60"/>
              <w:jc w:val="center"/>
              <w:rPr>
                <w:color w:val="000000"/>
              </w:rPr>
            </w:pPr>
            <w:r>
              <w:rPr>
                <w:color w:val="000000"/>
                <w:sz w:val="20"/>
                <w:szCs w:val="20"/>
              </w:rPr>
              <w:t>3S preserved by maintained mobility</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5FBC145F" w14:textId="77777777" w:rsidR="003A1EF2" w:rsidRDefault="003A1EF2">
            <w:pPr>
              <w:spacing w:before="60" w:after="60"/>
              <w:jc w:val="center"/>
              <w:rPr>
                <w:color w:val="000000"/>
              </w:rPr>
            </w:pPr>
            <w:r>
              <w:rPr>
                <w:color w:val="000000"/>
                <w:sz w:val="20"/>
                <w:szCs w:val="20"/>
              </w:rPr>
              <w:t>3S restored by tethering prevention</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4D666C8F" w14:textId="77777777" w:rsidR="003A1EF2" w:rsidRDefault="003A1EF2">
            <w:pPr>
              <w:spacing w:before="60" w:after="60"/>
              <w:jc w:val="center"/>
              <w:rPr>
                <w:color w:val="000000"/>
              </w:rPr>
            </w:pPr>
            <w:r>
              <w:rPr>
                <w:color w:val="000000"/>
                <w:sz w:val="20"/>
                <w:szCs w:val="20"/>
              </w:rPr>
              <w:t>3S restored by tethering prevention</w:t>
            </w:r>
          </w:p>
        </w:tc>
      </w:tr>
      <w:tr w:rsidR="003A1EF2" w14:paraId="61AF6091" w14:textId="77777777" w:rsidTr="003A1EF2">
        <w:tc>
          <w:tcPr>
            <w:tcW w:w="2600" w:type="dxa"/>
            <w:tcBorders>
              <w:top w:val="nil"/>
              <w:left w:val="single" w:sz="8" w:space="0" w:color="auto"/>
              <w:bottom w:val="single" w:sz="8" w:space="0" w:color="auto"/>
              <w:right w:val="single" w:sz="8" w:space="0" w:color="auto"/>
            </w:tcBorders>
            <w:tcMar>
              <w:top w:w="80" w:type="dxa"/>
              <w:left w:w="120" w:type="dxa"/>
              <w:bottom w:w="80" w:type="dxa"/>
              <w:right w:w="120" w:type="dxa"/>
            </w:tcMar>
            <w:hideMark/>
          </w:tcPr>
          <w:p w14:paraId="03E272F9" w14:textId="77777777" w:rsidR="003A1EF2" w:rsidRDefault="003A1EF2">
            <w:pPr>
              <w:spacing w:before="60" w:after="60"/>
              <w:jc w:val="center"/>
              <w:rPr>
                <w:color w:val="000000"/>
              </w:rPr>
            </w:pPr>
            <w:r>
              <w:rPr>
                <w:color w:val="000000"/>
                <w:sz w:val="20"/>
                <w:szCs w:val="20"/>
              </w:rPr>
              <w:t>Median Time to Soft Diet</w:t>
            </w:r>
          </w:p>
        </w:tc>
        <w:tc>
          <w:tcPr>
            <w:tcW w:w="2600" w:type="dxa"/>
            <w:tcBorders>
              <w:top w:val="nil"/>
              <w:left w:val="nil"/>
              <w:bottom w:val="single" w:sz="8" w:space="0" w:color="auto"/>
              <w:right w:val="single" w:sz="8" w:space="0" w:color="auto"/>
            </w:tcBorders>
            <w:tcMar>
              <w:top w:w="80" w:type="dxa"/>
              <w:left w:w="120" w:type="dxa"/>
              <w:bottom w:w="80" w:type="dxa"/>
              <w:right w:w="120" w:type="dxa"/>
            </w:tcMar>
            <w:hideMark/>
          </w:tcPr>
          <w:p w14:paraId="216170A2" w14:textId="77777777" w:rsidR="003A1EF2" w:rsidRDefault="003A1EF2">
            <w:pPr>
              <w:spacing w:before="60" w:after="60"/>
              <w:jc w:val="center"/>
              <w:rPr>
                <w:color w:val="000000"/>
              </w:rPr>
            </w:pPr>
            <w:r>
              <w:rPr>
                <w:color w:val="000000"/>
                <w:sz w:val="20"/>
                <w:szCs w:val="20"/>
              </w:rPr>
              <w:t>5 days (range 3–9)</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322AB6D7" w14:textId="77777777" w:rsidR="003A1EF2" w:rsidRDefault="003A1EF2">
            <w:pPr>
              <w:spacing w:before="60" w:after="60"/>
              <w:jc w:val="center"/>
              <w:rPr>
                <w:color w:val="000000"/>
              </w:rPr>
            </w:pPr>
            <w:r>
              <w:rPr>
                <w:color w:val="000000"/>
                <w:sz w:val="20"/>
                <w:szCs w:val="20"/>
              </w:rPr>
              <w:t>9 days (range 7–12)</w:t>
            </w:r>
          </w:p>
        </w:tc>
        <w:tc>
          <w:tcPr>
            <w:tcW w:w="2080" w:type="dxa"/>
            <w:tcBorders>
              <w:top w:val="nil"/>
              <w:left w:val="nil"/>
              <w:bottom w:val="single" w:sz="8" w:space="0" w:color="auto"/>
              <w:right w:val="single" w:sz="8" w:space="0" w:color="auto"/>
            </w:tcBorders>
            <w:tcMar>
              <w:top w:w="80" w:type="dxa"/>
              <w:left w:w="120" w:type="dxa"/>
              <w:bottom w:w="80" w:type="dxa"/>
              <w:right w:w="120" w:type="dxa"/>
            </w:tcMar>
            <w:hideMark/>
          </w:tcPr>
          <w:p w14:paraId="2BB53497" w14:textId="77777777" w:rsidR="003A1EF2" w:rsidRDefault="003A1EF2">
            <w:pPr>
              <w:spacing w:before="60" w:after="60"/>
              <w:jc w:val="center"/>
              <w:rPr>
                <w:color w:val="000000"/>
              </w:rPr>
            </w:pPr>
            <w:r>
              <w:rPr>
                <w:color w:val="000000"/>
                <w:sz w:val="20"/>
                <w:szCs w:val="20"/>
              </w:rPr>
              <w:t>8 days (range 6–12)</w:t>
            </w:r>
          </w:p>
        </w:tc>
      </w:tr>
    </w:tbl>
    <w:p w14:paraId="2018811B" w14:textId="77777777" w:rsidR="003A1EF2" w:rsidRDefault="003A1EF2" w:rsidP="003A1EF2">
      <w:r>
        <w:rPr>
          <w:color w:val="000000"/>
        </w:rPr>
        <w:t> </w:t>
      </w:r>
    </w:p>
    <w:p w14:paraId="671DA7E5" w14:textId="77777777" w:rsidR="003A1EF2" w:rsidRDefault="003A1EF2" w:rsidP="003A1EF2">
      <w:pPr>
        <w:spacing w:before="80" w:after="240"/>
      </w:pPr>
      <w:r>
        <w:rPr>
          <w:i/>
          <w:iCs/>
          <w:color w:val="000000"/>
          <w:sz w:val="20"/>
          <w:szCs w:val="20"/>
        </w:rPr>
        <w:t>FOM = floor of mouth; RFFF = radial forearm free flap; ALT = anterolateral thigh free flap; 3S = Speech, Swallowing, and Sweeping (oral clearance).</w:t>
      </w:r>
    </w:p>
    <w:p w14:paraId="77BEFA25" w14:textId="77777777" w:rsidR="003A1EF2" w:rsidRDefault="003A1EF2" w:rsidP="003A1EF2">
      <w:pPr>
        <w:spacing w:before="360" w:after="120"/>
      </w:pPr>
      <w:r>
        <w:rPr>
          <w:b/>
          <w:bCs/>
          <w:color w:val="000000"/>
          <w:sz w:val="26"/>
          <w:szCs w:val="26"/>
        </w:rPr>
        <w:t>4. CASE ILLUSTRATION: THE INTRAOPERATIVE DECISION PIVOT</w:t>
      </w:r>
    </w:p>
    <w:p w14:paraId="748F443D" w14:textId="77777777" w:rsidR="003A1EF2" w:rsidRDefault="003A1EF2" w:rsidP="003A1EF2">
      <w:pPr>
        <w:spacing w:after="200" w:line="360" w:lineRule="atLeast"/>
        <w:ind w:firstLine="720"/>
        <w:jc w:val="both"/>
      </w:pPr>
      <w:r>
        <w:rPr>
          <w:color w:val="000000"/>
        </w:rPr>
        <w:t>The following case illustrates the critical decision pivot that characterises the mobility-first framework and occurs in a subset of patients where preoperative planning anticipated primary closure but intraoperative findings necessitated conversion to free flap reconstruction.</w:t>
      </w:r>
    </w:p>
    <w:p w14:paraId="3739E075" w14:textId="77777777" w:rsidR="003A1EF2" w:rsidRDefault="003A1EF2" w:rsidP="003A1EF2">
      <w:pPr>
        <w:spacing w:after="200" w:line="360" w:lineRule="atLeast"/>
        <w:ind w:firstLine="720"/>
        <w:jc w:val="both"/>
      </w:pPr>
      <w:r>
        <w:rPr>
          <w:color w:val="000000"/>
        </w:rPr>
        <w:t xml:space="preserve">A 55-year-old gentleman with a long history of chronic tobacco chewing presented with an endophytic, triangular lateral oral tongue lesion exceeding 4 cm in its greatest dimension. </w:t>
      </w:r>
      <w:r>
        <w:rPr>
          <w:color w:val="000000"/>
        </w:rPr>
        <w:lastRenderedPageBreak/>
        <w:t>The superficial ulcer was laterally situated; preoperative MRI demonstrated deep extension toward the midline but did not clearly implicate the floor of mouth. Following multidisciplinary team discussion, the planned approach was wide local excision with primary closure. Preoperative counselling explicitly included the possibility of intraoperative conversion to microvascular reconstruction should the on-table mobility assessment indicate tethering.</w:t>
      </w:r>
    </w:p>
    <w:p w14:paraId="4264AB91" w14:textId="77777777" w:rsidR="003A1EF2" w:rsidRDefault="003A1EF2" w:rsidP="003A1EF2">
      <w:pPr>
        <w:spacing w:after="200" w:line="360" w:lineRule="atLeast"/>
        <w:ind w:firstLine="720"/>
        <w:jc w:val="both"/>
      </w:pPr>
      <w:r>
        <w:rPr>
          <w:color w:val="000000"/>
        </w:rPr>
        <w:t>Intraoperatively, mucosal and deep resection with adequate macroscopic margins was achieved; however, frozen-section analysis returned a close lateral margin, necessitating re-excision that extended into the floor of mouth. Trial longitudinal primary closure was performed, at which point clear tethering of the residual tongue to the floor of mouth was demonstrated: the tongue tip could not be protruded to the vermilion border and lateral excursion was restricted. The trial sutures were removed.</w:t>
      </w:r>
    </w:p>
    <w:p w14:paraId="2B16A2F5" w14:textId="021301EA" w:rsidR="003A1EF2" w:rsidRDefault="00295223" w:rsidP="003A1EF2">
      <w:pPr>
        <w:spacing w:after="200" w:line="360" w:lineRule="atLeast"/>
        <w:ind w:firstLine="720"/>
        <w:jc w:val="both"/>
      </w:pPr>
      <w:r w:rsidRPr="00295223">
        <w:rPr>
          <w:color w:val="000000"/>
        </w:rPr>
        <w:t>The operative conversion was consistent with the preoperative consent framework and was communicated to the patient’s family</w:t>
      </w:r>
      <w:r w:rsidR="003A1EF2">
        <w:rPr>
          <w:color w:val="000000"/>
        </w:rPr>
        <w:t>. Microvascular reconstruction was performed using a thin ALT free flap (approximately 6 mm deep following thinning) harvested from the right thigh. The flap was inset to bridge the floor-of-mouth defect and restore pliable mucosal continuity without restricting residual tongue excursion. The patient recovered uneventfully, regained adequate swallow and speech, and proceeded to adjuvant chemoradiation based on final histopathological risk stratification.</w:t>
      </w:r>
    </w:p>
    <w:p w14:paraId="1E765D35" w14:textId="77777777" w:rsidR="003A1EF2" w:rsidRDefault="003A1EF2" w:rsidP="003A1EF2">
      <w:pPr>
        <w:spacing w:after="200" w:line="360" w:lineRule="atLeast"/>
        <w:ind w:firstLine="720"/>
        <w:jc w:val="both"/>
      </w:pPr>
      <w:r>
        <w:rPr>
          <w:color w:val="000000"/>
        </w:rPr>
        <w:t>This case illustrates that in as many as 24% of our series (7 of 29 cases), the intraoperative finding of close or involved margins — and the consequent margin re-excision — was the proximate cause of the conversion to free flap reconstruction, a scenario that cannot be reliably predicted preoperatively. It underscores the importance of the on-table mobility test as a reproducible decision tool, and of obtaining preoperative consent for both approaches.</w:t>
      </w:r>
    </w:p>
    <w:p w14:paraId="3DE289AE" w14:textId="77777777" w:rsidR="003A1EF2" w:rsidRDefault="003A1EF2" w:rsidP="003A1EF2">
      <w:pPr>
        <w:spacing w:before="360" w:after="120"/>
      </w:pPr>
      <w:r>
        <w:rPr>
          <w:b/>
          <w:bCs/>
          <w:color w:val="000000"/>
          <w:sz w:val="26"/>
          <w:szCs w:val="26"/>
        </w:rPr>
        <w:t>5. DISCUSSION</w:t>
      </w:r>
    </w:p>
    <w:p w14:paraId="36C8A05E" w14:textId="77777777" w:rsidR="003A1EF2" w:rsidRDefault="003A1EF2" w:rsidP="003A1EF2">
      <w:pPr>
        <w:spacing w:before="280" w:after="100"/>
      </w:pPr>
      <w:r>
        <w:rPr>
          <w:b/>
          <w:bCs/>
          <w:color w:val="000000"/>
        </w:rPr>
        <w:t>5.1 Mobility as the Central Functional Determinant</w:t>
      </w:r>
    </w:p>
    <w:p w14:paraId="49BD0CEA" w14:textId="6FCE4AC3" w:rsidR="003A1EF2" w:rsidRDefault="003A1EF2" w:rsidP="003A1EF2">
      <w:pPr>
        <w:spacing w:after="200" w:line="360" w:lineRule="atLeast"/>
        <w:ind w:firstLine="720"/>
        <w:jc w:val="both"/>
      </w:pPr>
      <w:r>
        <w:rPr>
          <w:color w:val="000000"/>
        </w:rPr>
        <w:t>The principal finding of this series — that 37.9% of lateral oral tongue resections can be successfully managed by primary closure provided a standardised mobility test is passed — aligns with and extends the functional literature. The landmark data of McConnell et al. demonstrated superior swallowing efficiency and conversational intelligibility with primary closure in selected patients; our series operationalises this finding through a reproducible intraoperative protocol rather than retrospective case selection. [3] More recent comparative systematic reviews have confirmed that functional outcomes after tongue reconstruction depend less on the volume of tissue replaced and more on the preservation of residual tongue excursion and the prevention of scar contracture anchoring the tongue to the floor of mouth. [4,5]</w:t>
      </w:r>
      <w:r w:rsidR="003C531B">
        <w:rPr>
          <w:color w:val="000000"/>
        </w:rPr>
        <w:t>. R</w:t>
      </w:r>
      <w:r w:rsidR="003C531B" w:rsidRPr="003C531B">
        <w:rPr>
          <w:color w:val="000000"/>
          <w:highlight w:val="yellow"/>
        </w:rPr>
        <w:t xml:space="preserve">ecent literature further supports the view that functional outcome after tongue resection </w:t>
      </w:r>
      <w:r w:rsidR="003C531B" w:rsidRPr="003C531B">
        <w:rPr>
          <w:color w:val="000000"/>
          <w:highlight w:val="yellow"/>
        </w:rPr>
        <w:lastRenderedPageBreak/>
        <w:t xml:space="preserve">is shaped not only by defect size, but also by the quality of residual tongue movement, defect configuration, and the way reconstruction restores oral cavity dynamics. In a systematic review focused specifically on oral tongue cancer, Cortina et al. found that the relationship between flap and non-flap reconstruction is closely linked to the extent of resection, with smaller defects often favouring non-flap approaches and larger defects more often benefiting from reconstruction (Cortina et al., 2023). </w:t>
      </w:r>
      <w:proofErr w:type="spellStart"/>
      <w:r w:rsidR="003C531B" w:rsidRPr="003C531B">
        <w:rPr>
          <w:color w:val="000000"/>
          <w:highlight w:val="yellow"/>
        </w:rPr>
        <w:t>Chepeha</w:t>
      </w:r>
      <w:proofErr w:type="spellEnd"/>
      <w:r w:rsidR="003C531B" w:rsidRPr="003C531B">
        <w:rPr>
          <w:color w:val="000000"/>
          <w:highlight w:val="yellow"/>
        </w:rPr>
        <w:t xml:space="preserve"> et al. similarly showed that quantitatively and functionally distinct glossectomy defect groups differ in speech, swallowing, and patient-reported dysphagia outcomes, suggesting that reconstructive decision-making should be guided by more than a simple percentage-based classification (</w:t>
      </w:r>
      <w:proofErr w:type="spellStart"/>
      <w:r w:rsidR="003C531B" w:rsidRPr="003C531B">
        <w:rPr>
          <w:color w:val="000000"/>
          <w:highlight w:val="yellow"/>
        </w:rPr>
        <w:t>Chepeha</w:t>
      </w:r>
      <w:proofErr w:type="spellEnd"/>
      <w:r w:rsidR="003C531B" w:rsidRPr="003C531B">
        <w:rPr>
          <w:color w:val="000000"/>
          <w:highlight w:val="yellow"/>
        </w:rPr>
        <w:t xml:space="preserve"> et al., 2023). In a prospective single-centre cohort of major glossectomy patients, Mitra et al. observed serial improvement in swallowing-related outcomes over time, although important quality-of-life deficits persisted, especially in social and functional well-being domains (Mitra et al., 2024). Heft Neal et al. further reported that oral cavity obliteration, measured objectively, correlated with speech intelligibility and swallowing outcomes after glossectomy reconstruction, reinforcing the importance of functional oral cavity restoration rather than volume replacement alone (Heft Neal et al., 2024). More recently, a systematic review and meta-analysis by </w:t>
      </w:r>
      <w:proofErr w:type="spellStart"/>
      <w:r w:rsidR="003C531B" w:rsidRPr="003C531B">
        <w:rPr>
          <w:color w:val="000000"/>
          <w:highlight w:val="yellow"/>
        </w:rPr>
        <w:t>Tundealao</w:t>
      </w:r>
      <w:proofErr w:type="spellEnd"/>
      <w:r w:rsidR="003C531B" w:rsidRPr="003C531B">
        <w:rPr>
          <w:color w:val="000000"/>
          <w:highlight w:val="yellow"/>
        </w:rPr>
        <w:t xml:space="preserve"> et al. found higher postoperative quality-of-life scores after partial/hemi-glossectomy than after more extensive resections, with subgroup analyses also favouring primary closure over flap reconstruction in selected cases (</w:t>
      </w:r>
      <w:proofErr w:type="spellStart"/>
      <w:r w:rsidR="003C531B" w:rsidRPr="003C531B">
        <w:rPr>
          <w:color w:val="000000"/>
          <w:highlight w:val="yellow"/>
        </w:rPr>
        <w:t>Tundealao</w:t>
      </w:r>
      <w:proofErr w:type="spellEnd"/>
      <w:r w:rsidR="003C531B" w:rsidRPr="003C531B">
        <w:rPr>
          <w:color w:val="000000"/>
          <w:highlight w:val="yellow"/>
        </w:rPr>
        <w:t xml:space="preserve"> et al., 2025). In addition, Wu et al. demonstrated that tumour fraction, resection volume fraction, and tongue volume restoration were quantitatively associated with speech and swallowing outcomes, highlighting the value of integrating functional assessment with objective volumetric measures when planning reconstruction (Wu et al., 2026).</w:t>
      </w:r>
    </w:p>
    <w:p w14:paraId="74A553E2" w14:textId="77777777" w:rsidR="003A1EF2" w:rsidRDefault="003A1EF2" w:rsidP="003A1EF2">
      <w:pPr>
        <w:spacing w:before="280" w:after="100"/>
      </w:pPr>
      <w:r>
        <w:rPr>
          <w:b/>
          <w:bCs/>
          <w:color w:val="000000"/>
        </w:rPr>
        <w:t>5.2 The Floor-of-Mouth Tethering Threshold</w:t>
      </w:r>
    </w:p>
    <w:p w14:paraId="058FEE01" w14:textId="77777777" w:rsidR="003A1EF2" w:rsidRDefault="003A1EF2" w:rsidP="003A1EF2">
      <w:pPr>
        <w:spacing w:after="200" w:line="360" w:lineRule="atLeast"/>
        <w:ind w:firstLine="720"/>
        <w:jc w:val="both"/>
      </w:pPr>
      <w:r>
        <w:rPr>
          <w:color w:val="000000"/>
        </w:rPr>
        <w:t>In our series, floor-of-mouth resection — whether planned preoperatively or necessitated by intraoperative margin revision — was the single most common trigger for microvascular reconstruction (18/29 cases; 62.1%). This finding mirrors the reconstructive literature, where floor-of-mouth involvement is consistently identified as the anatomical factor that most reliably predicts the need for free tissue transfer. [6] The implication is that preoperative imaging must specifically interrogate floor-of-mouth extension, and patients with any radiological involvement should be consented for free flap reconstruction as the primary plan, rather than as a contingency.</w:t>
      </w:r>
    </w:p>
    <w:p w14:paraId="0B7AA920" w14:textId="77777777" w:rsidR="003A1EF2" w:rsidRDefault="003A1EF2" w:rsidP="003A1EF2">
      <w:pPr>
        <w:spacing w:before="280" w:after="100"/>
      </w:pPr>
      <w:r>
        <w:rPr>
          <w:b/>
          <w:bCs/>
          <w:color w:val="000000"/>
        </w:rPr>
        <w:t>5.3 Primary Closure Should Be the Default Attempt — Not a Compromise</w:t>
      </w:r>
    </w:p>
    <w:p w14:paraId="7BB6D736" w14:textId="77777777" w:rsidR="003A1EF2" w:rsidRDefault="003A1EF2" w:rsidP="003A1EF2">
      <w:pPr>
        <w:spacing w:after="200" w:line="360" w:lineRule="atLeast"/>
        <w:ind w:firstLine="720"/>
        <w:jc w:val="both"/>
      </w:pPr>
      <w:r>
        <w:rPr>
          <w:color w:val="000000"/>
        </w:rPr>
        <w:t xml:space="preserve">A persistent misperception in tongue cancer surgery is that primary closure represents a "lesser" option — a concession made when the flap team is unavailable or when resources are limited. Our series contests this framing directly. When the on-table mobility test is passed, primary longitudinal closure consistently produced earlier resumption of oral diet (median 5 </w:t>
      </w:r>
      <w:r>
        <w:rPr>
          <w:color w:val="000000"/>
        </w:rPr>
        <w:lastRenderedPageBreak/>
        <w:t>days versus 8–9 days for free flap cases) and avoided the additional four to six hours of operative time, the possibility of overnight ventilation, and the donor-site exposure inherent to any free flap. These are meaningful advantages that improve patient experience and reduce resource utilisation, without any sacrifice of functional outcome. This is consistent with prospective functional studies demonstrating that in appropriately selected patients, primary closure achieves superior early functional metrics compared with flap reconstruction. [3,7]</w:t>
      </w:r>
    </w:p>
    <w:p w14:paraId="306B215D" w14:textId="77777777" w:rsidR="003A1EF2" w:rsidRDefault="003A1EF2" w:rsidP="003A1EF2">
      <w:pPr>
        <w:spacing w:before="280" w:after="100"/>
      </w:pPr>
      <w:r>
        <w:rPr>
          <w:b/>
          <w:bCs/>
          <w:color w:val="000000"/>
        </w:rPr>
        <w:t>5.4 ALT Versus RFFF: Evidence and Institutional Experience</w:t>
      </w:r>
    </w:p>
    <w:p w14:paraId="18EBB23F" w14:textId="77777777" w:rsidR="003A1EF2" w:rsidRDefault="003A1EF2" w:rsidP="003A1EF2">
      <w:pPr>
        <w:spacing w:after="200" w:line="360" w:lineRule="atLeast"/>
        <w:ind w:firstLine="720"/>
        <w:jc w:val="both"/>
      </w:pPr>
      <w:r>
        <w:rPr>
          <w:color w:val="000000"/>
        </w:rPr>
        <w:t xml:space="preserve">The choice between ALT and RFFF for tongue reconstruction remains debated in the literature. Lu et al. reported comparable functional outcomes between thin ALT and RFFF in a prospective series of </w:t>
      </w:r>
      <w:proofErr w:type="spellStart"/>
      <w:r>
        <w:rPr>
          <w:color w:val="000000"/>
        </w:rPr>
        <w:t>hemiglossectomy</w:t>
      </w:r>
      <w:proofErr w:type="spellEnd"/>
      <w:r>
        <w:rPr>
          <w:color w:val="000000"/>
        </w:rPr>
        <w:t xml:space="preserve"> defects, with ALT demonstrating advantages in donor-site aesthetics and sensory preservation. [6] Zhang et al. found broadly similar quality of life scores between the two flaps, with subgroup analysis favouring RFFF in patients requiring particularly thin coverage. [7] De Vicente et al. and Cai et al. demonstrated similar reconstructive efficacy in direct comparisons, with variable functional differences largely attributable to flap thickness and patient selection. [8,9]</w:t>
      </w:r>
    </w:p>
    <w:p w14:paraId="2521DCFA" w14:textId="77777777" w:rsidR="003A1EF2" w:rsidRDefault="003A1EF2" w:rsidP="003A1EF2">
      <w:pPr>
        <w:spacing w:after="200" w:line="360" w:lineRule="atLeast"/>
        <w:ind w:firstLine="720"/>
        <w:jc w:val="both"/>
      </w:pPr>
      <w:r>
        <w:rPr>
          <w:color w:val="000000"/>
        </w:rPr>
        <w:t>In our institutional practice, the perception of greater donor-site morbidity with RFFF — particularly aesthetic deformity, sensory loss in the radial territory, and sacrifice of a forearm artery — led to the adoption of thin ALT as the standard. Our outcomes, including 100% flap survival and minimal donor-site morbidity, support this choice. The key technical principle with ALT in this context is aggressive thinning to approximately 5–8 mm: the goal is a pliable mucosal bridge, not a bulky tongue surrogate. This aligns with the concept that free flaps in tongue reconstruction function primarily to prevent tethering and restore mobile lining, not to replace tongue volume. [4,10]</w:t>
      </w:r>
    </w:p>
    <w:p w14:paraId="1F271E3E" w14:textId="77777777" w:rsidR="003A1EF2" w:rsidRDefault="003A1EF2" w:rsidP="003A1EF2">
      <w:pPr>
        <w:spacing w:before="280" w:after="100"/>
      </w:pPr>
      <w:r>
        <w:rPr>
          <w:b/>
          <w:bCs/>
          <w:color w:val="000000"/>
        </w:rPr>
        <w:t>5.5 Tip Preservation as an Operative Principle</w:t>
      </w:r>
    </w:p>
    <w:p w14:paraId="3ABFE593" w14:textId="77777777" w:rsidR="003A1EF2" w:rsidRDefault="003A1EF2" w:rsidP="003A1EF2">
      <w:pPr>
        <w:spacing w:after="200" w:line="360" w:lineRule="atLeast"/>
        <w:ind w:firstLine="720"/>
        <w:jc w:val="both"/>
      </w:pPr>
      <w:r>
        <w:rPr>
          <w:color w:val="000000"/>
        </w:rPr>
        <w:t xml:space="preserve">A corollary of the mobility-first framework is the explicit protection of the tongue tip whenever </w:t>
      </w:r>
      <w:proofErr w:type="spellStart"/>
      <w:r>
        <w:rPr>
          <w:color w:val="000000"/>
        </w:rPr>
        <w:t>oncologically</w:t>
      </w:r>
      <w:proofErr w:type="spellEnd"/>
      <w:r>
        <w:rPr>
          <w:color w:val="000000"/>
        </w:rPr>
        <w:t xml:space="preserve"> feasible. The tip is the primary articulatory contact point for a large proportion of consonants in most spoken languages; its mobility and native orientation are critical to intelligibility. The temptation to rotate the tip posteriorly to "complete" the tongue contour after a lateral resection must be resisted unless tip rotation is necessary to achieve adequate mucosal coverage. Our practice is to preserve and stabilise the tip in its anatomical orientation, accepting a less cosmetically symmetric result in favour of functional tip independence. Recent studies of tongue kinematics during speech have confirmed that tip mobility is the single strongest anatomical predictor of postoperative articulation. [11]</w:t>
      </w:r>
    </w:p>
    <w:p w14:paraId="6ED702F4" w14:textId="77777777" w:rsidR="003A1EF2" w:rsidRDefault="003A1EF2" w:rsidP="003A1EF2">
      <w:pPr>
        <w:spacing w:before="280" w:after="100"/>
      </w:pPr>
      <w:r>
        <w:rPr>
          <w:b/>
          <w:bCs/>
          <w:color w:val="000000"/>
        </w:rPr>
        <w:t>5.6 Innervated Flaps</w:t>
      </w:r>
    </w:p>
    <w:p w14:paraId="49994094" w14:textId="77777777" w:rsidR="003A1EF2" w:rsidRDefault="003A1EF2" w:rsidP="003A1EF2">
      <w:pPr>
        <w:spacing w:after="200" w:line="360" w:lineRule="atLeast"/>
        <w:ind w:firstLine="720"/>
        <w:jc w:val="both"/>
      </w:pPr>
      <w:r>
        <w:rPr>
          <w:color w:val="000000"/>
        </w:rPr>
        <w:lastRenderedPageBreak/>
        <w:t>Reinnervated free flaps — most commonly the RFFF with anastomosis of the lateral antebrachial cutaneous nerve to a lingual nerve branch — have been explored as a means of improving sensory recovery and reflex swallowing in tongue reconstruction. [12,13] Comparative data remain mixed: some series report improved two-point discrimination and earlier swallowing recovery; others show no clinically meaningful functional difference in medium-term follow-up. In our series, reinnervation was not performed; all ALT flaps were sensate only through non-specific cortical adaptation over time. This represents a potential area for future development in our unit but was not a determinant of the functional outcomes reported here.</w:t>
      </w:r>
    </w:p>
    <w:p w14:paraId="174F4403" w14:textId="77777777" w:rsidR="003A1EF2" w:rsidRDefault="003A1EF2" w:rsidP="003A1EF2">
      <w:pPr>
        <w:spacing w:before="360" w:after="120"/>
      </w:pPr>
      <w:r>
        <w:rPr>
          <w:b/>
          <w:bCs/>
          <w:color w:val="000000"/>
          <w:sz w:val="26"/>
          <w:szCs w:val="26"/>
        </w:rPr>
        <w:t>6. LIMITATIONS</w:t>
      </w:r>
    </w:p>
    <w:p w14:paraId="50DE12E1" w14:textId="0BDE74EA" w:rsidR="003C531B" w:rsidRDefault="003C531B" w:rsidP="003A1EF2">
      <w:pPr>
        <w:spacing w:before="360" w:after="120"/>
        <w:rPr>
          <w:color w:val="000000"/>
        </w:rPr>
      </w:pPr>
      <w:r>
        <w:rPr>
          <w:color w:val="000000"/>
          <w:highlight w:val="yellow"/>
        </w:rPr>
        <w:t xml:space="preserve">The </w:t>
      </w:r>
      <w:r w:rsidRPr="003C531B">
        <w:rPr>
          <w:color w:val="000000"/>
          <w:highlight w:val="yellow"/>
        </w:rPr>
        <w:t>limitations of this study should be acknowledged. First, this was a single-centre, single-surgeon prospective case series with a small sample size and no parallel control group; accordingly, the findings should be interpreted as hypothesis-generating rather than definitive, and their generalisability may be limited. Second, functional outcomes were assessed clinically using the authors’ pragmatic 3S framework rather than validated instruments for speech and swallowing, which introduces observer dependence and limits comparability with other published series. In addition, outcome assessment was not blinded, no independent assessor was used, and baseline preoperative functional measures were not systematically recorded, making the magnitude of postoperative change difficult to quantify. Third, the intraoperative mobility test, although clinically practical, was not externally validated and remains partly subjective in the absence of instrumental or inter-rater assessment. Fourth, the reconstructive strategy evolved during the study period, with early use of RFFF followed by adoption of thin ALT flaps; therefore, comparisons between flap types within this cohort should be interpreted with caution. Fifth, follow-up in this report was limited to three months, so later functional outcomes, especially those influenced by adjuvant radiotherapy or chemoradiotherapy, are not captured. Finally, the study focuses primarily on early reconstructive and functional outcomes and does not provide oncologic endpoints such as local control, disease-free survival, or overall survival. Future studies should incorporate validated functional scoring systems, baseline and longitudinal assessments, independent outcome evaluation, longer follow-up, oncologic outcome reporting, and prospective external validation of the mobility-based decision framework.</w:t>
      </w:r>
    </w:p>
    <w:p w14:paraId="716259D2" w14:textId="67660BC3" w:rsidR="003A1EF2" w:rsidRDefault="003A1EF2" w:rsidP="003A1EF2">
      <w:pPr>
        <w:spacing w:before="360" w:after="120"/>
      </w:pPr>
      <w:r>
        <w:rPr>
          <w:b/>
          <w:bCs/>
          <w:color w:val="000000"/>
          <w:sz w:val="26"/>
          <w:szCs w:val="26"/>
        </w:rPr>
        <w:t>7. CONCLUSION</w:t>
      </w:r>
    </w:p>
    <w:p w14:paraId="651CAFE5" w14:textId="3534DBDC" w:rsidR="003A1EF2" w:rsidRDefault="00240282" w:rsidP="003A1EF2">
      <w:pPr>
        <w:spacing w:after="200" w:line="360" w:lineRule="atLeast"/>
        <w:ind w:firstLine="720"/>
        <w:jc w:val="both"/>
      </w:pPr>
      <w:r w:rsidRPr="00240282">
        <w:rPr>
          <w:highlight w:val="yellow"/>
        </w:rPr>
        <w:t xml:space="preserve">In this prospective single-centre case series of 29 consecutive patients undergoing lateral oral tongue resection, a mobility-based intraoperative assessment appeared to be a practical framework for guiding the choice between primary closure and free flap reconstruction. In this cohort, primary longitudinal closure was feasible in a subset of patients with preserved residual tongue mobility, while patients with floor-of-mouth tethering or mobility restriction were more likely to require microvascular reconstruction. Thin ALT free flap reconstruction was associated with favourable early functional recovery and low donor-site morbidity in the reconstructed group. These findings support the clinical relevance of </w:t>
      </w:r>
      <w:r w:rsidRPr="00240282">
        <w:rPr>
          <w:highlight w:val="yellow"/>
        </w:rPr>
        <w:lastRenderedPageBreak/>
        <w:t>residual tongue mobility as an important consideration in reconstructive decision-making after lateral tongue resection. However, given the small sample size, lack of a control group, use of non-validated functional assessments, and limited follow-up, the results should be interpreted with caution. Further prospective studies with standardised functional outcome measures, longer follow-up, and external validation are needed before broader recommendations can be made.</w:t>
      </w:r>
      <w:r>
        <w:t xml:space="preserve"> </w:t>
      </w:r>
    </w:p>
    <w:p w14:paraId="1D8487FE" w14:textId="77777777" w:rsidR="003A1EF2" w:rsidRDefault="003A1EF2" w:rsidP="003A1EF2">
      <w:pPr>
        <w:spacing w:before="360" w:after="120"/>
      </w:pPr>
      <w:r>
        <w:rPr>
          <w:b/>
          <w:bCs/>
          <w:color w:val="000000"/>
          <w:sz w:val="26"/>
          <w:szCs w:val="26"/>
        </w:rPr>
        <w:t>DECLARATIONS</w:t>
      </w:r>
    </w:p>
    <w:p w14:paraId="68A985BA" w14:textId="77777777" w:rsidR="008A4F47" w:rsidRPr="00985D7A" w:rsidRDefault="003A1EF2" w:rsidP="008A4F47">
      <w:pPr>
        <w:rPr>
          <w:b/>
          <w:bCs/>
          <w:highlight w:val="yellow"/>
        </w:rPr>
      </w:pPr>
      <w:r w:rsidRPr="00985D7A">
        <w:rPr>
          <w:b/>
          <w:bCs/>
          <w:highlight w:val="yellow"/>
        </w:rPr>
        <w:t>Ethics approval</w:t>
      </w:r>
    </w:p>
    <w:p w14:paraId="2B80AC6A" w14:textId="17CCE019" w:rsidR="003C531B" w:rsidRPr="00985D7A" w:rsidRDefault="008A4F47" w:rsidP="008A4F47">
      <w:pPr>
        <w:rPr>
          <w:highlight w:val="yellow"/>
        </w:rPr>
      </w:pPr>
      <w:r w:rsidRPr="00985D7A">
        <w:rPr>
          <w:highlight w:val="yellow"/>
        </w:rPr>
        <w:t>This prospective case series was conducted in accordance with institutional ethical standards and the principles of the Declaration of Helsinki. Approval was obtained from the Institutional Ethics Committee of the institution. Written informed consent was obtained from all participants prior to surgery and inclusion in the study.</w:t>
      </w:r>
    </w:p>
    <w:p w14:paraId="74461278" w14:textId="77777777" w:rsidR="008A4F47" w:rsidRPr="00985D7A" w:rsidRDefault="008A4F47" w:rsidP="008A4F47">
      <w:pPr>
        <w:rPr>
          <w:rFonts w:eastAsia="Times New Roman"/>
          <w:highlight w:val="yellow"/>
        </w:rPr>
      </w:pPr>
    </w:p>
    <w:p w14:paraId="6DE9ACDB" w14:textId="77777777" w:rsidR="003E44DC" w:rsidRDefault="008A4F47" w:rsidP="008A4F47">
      <w:pPr>
        <w:pStyle w:val="NormalWeb"/>
        <w:spacing w:before="0" w:beforeAutospacing="0" w:after="0" w:afterAutospacing="0"/>
        <w:rPr>
          <w:color w:val="444444"/>
          <w:highlight w:val="yellow"/>
          <w:shd w:val="clear" w:color="auto" w:fill="FFFFFF"/>
        </w:rPr>
      </w:pPr>
      <w:r w:rsidRPr="00985D7A">
        <w:rPr>
          <w:b/>
          <w:bCs/>
          <w:color w:val="444444"/>
          <w:highlight w:val="yellow"/>
          <w:shd w:val="clear" w:color="auto" w:fill="FFFFFF"/>
        </w:rPr>
        <w:t>Consent</w:t>
      </w:r>
      <w:r w:rsidRPr="00985D7A">
        <w:rPr>
          <w:color w:val="444444"/>
          <w:highlight w:val="yellow"/>
          <w:shd w:val="clear" w:color="auto" w:fill="FFFFFF"/>
        </w:rPr>
        <w:t xml:space="preserve">: </w:t>
      </w:r>
    </w:p>
    <w:p w14:paraId="6A63B625" w14:textId="77777777" w:rsidR="003E44DC" w:rsidRDefault="003E44DC" w:rsidP="008A4F47">
      <w:pPr>
        <w:pStyle w:val="NormalWeb"/>
        <w:spacing w:before="0" w:beforeAutospacing="0" w:after="0" w:afterAutospacing="0"/>
        <w:rPr>
          <w:color w:val="444444"/>
          <w:shd w:val="clear" w:color="auto" w:fill="FFFFFF"/>
        </w:rPr>
      </w:pPr>
      <w:r w:rsidRPr="003E44DC">
        <w:rPr>
          <w:color w:val="444444"/>
          <w:shd w:val="clear" w:color="auto" w:fill="FFFFFF"/>
        </w:rPr>
        <w:t>As per international standards or university standards, patient(s) written consent has been collected and preserved by the author(s).</w:t>
      </w:r>
    </w:p>
    <w:p w14:paraId="1FFB3E53" w14:textId="77777777" w:rsidR="003E44DC" w:rsidRDefault="003E44DC" w:rsidP="008A4F47">
      <w:pPr>
        <w:pStyle w:val="NormalWeb"/>
        <w:spacing w:before="0" w:beforeAutospacing="0" w:after="0" w:afterAutospacing="0"/>
        <w:rPr>
          <w:color w:val="444444"/>
          <w:highlight w:val="yellow"/>
          <w:shd w:val="clear" w:color="auto" w:fill="FFFFFF"/>
        </w:rPr>
      </w:pPr>
    </w:p>
    <w:p w14:paraId="019B24B1" w14:textId="77777777" w:rsidR="008A4F47" w:rsidRPr="00985D7A" w:rsidRDefault="008A4F47" w:rsidP="008A4F47">
      <w:pPr>
        <w:pStyle w:val="NormalWeb"/>
        <w:spacing w:before="0" w:beforeAutospacing="0" w:after="0" w:afterAutospacing="0"/>
        <w:rPr>
          <w:color w:val="444444"/>
          <w:highlight w:val="yellow"/>
          <w:shd w:val="clear" w:color="auto" w:fill="FFFFFF"/>
        </w:rPr>
      </w:pPr>
    </w:p>
    <w:p w14:paraId="72582A16" w14:textId="77777777" w:rsidR="008A4F47" w:rsidRPr="00985D7A" w:rsidRDefault="008A4F47" w:rsidP="008A4F47">
      <w:pPr>
        <w:pStyle w:val="NormalWeb"/>
        <w:spacing w:before="0" w:beforeAutospacing="0" w:after="0" w:afterAutospacing="0"/>
        <w:rPr>
          <w:highlight w:val="yellow"/>
        </w:rPr>
      </w:pPr>
    </w:p>
    <w:p w14:paraId="22D12989" w14:textId="4CF0EB73" w:rsidR="003A1EF2" w:rsidRDefault="003A1EF2" w:rsidP="008A4F47">
      <w:pPr>
        <w:pStyle w:val="NormalWeb"/>
        <w:spacing w:before="0" w:beforeAutospacing="0" w:after="0" w:afterAutospacing="0"/>
        <w:rPr>
          <w:b/>
          <w:color w:val="000000"/>
          <w:highlight w:val="yellow"/>
        </w:rPr>
      </w:pPr>
      <w:r w:rsidRPr="00985D7A">
        <w:rPr>
          <w:b/>
          <w:color w:val="000000"/>
          <w:highlight w:val="yellow"/>
        </w:rPr>
        <w:t xml:space="preserve">Disclaimer </w:t>
      </w:r>
    </w:p>
    <w:p w14:paraId="7CEF1870" w14:textId="77777777" w:rsidR="003E44DC" w:rsidRPr="00985D7A" w:rsidRDefault="003E44DC" w:rsidP="003E44DC">
      <w:pPr>
        <w:pStyle w:val="NormalWeb"/>
        <w:spacing w:before="0" w:beforeAutospacing="0" w:after="0" w:afterAutospacing="0"/>
        <w:rPr>
          <w:b/>
          <w:color w:val="000000"/>
          <w:highlight w:val="yellow"/>
        </w:rPr>
      </w:pPr>
    </w:p>
    <w:p w14:paraId="381607A9" w14:textId="7C9F8A8E" w:rsidR="008A4F47" w:rsidRDefault="008A4F47" w:rsidP="008A4F47">
      <w:r w:rsidRPr="00985D7A">
        <w:rPr>
          <w:highlight w:val="yellow"/>
        </w:rPr>
        <w:t>This manuscript was prepared with the assistance of a generative AI tool (</w:t>
      </w:r>
      <w:proofErr w:type="spellStart"/>
      <w:r w:rsidRPr="00985D7A">
        <w:rPr>
          <w:highlight w:val="yellow"/>
        </w:rPr>
        <w:t>ChatGPT</w:t>
      </w:r>
      <w:proofErr w:type="spellEnd"/>
      <w:r w:rsidRPr="00985D7A">
        <w:rPr>
          <w:highlight w:val="yellow"/>
        </w:rPr>
        <w:t xml:space="preserve">, </w:t>
      </w:r>
      <w:proofErr w:type="spellStart"/>
      <w:r w:rsidRPr="00985D7A">
        <w:rPr>
          <w:highlight w:val="yellow"/>
        </w:rPr>
        <w:t>OpenAI</w:t>
      </w:r>
      <w:proofErr w:type="spellEnd"/>
      <w:r w:rsidRPr="00985D7A">
        <w:rPr>
          <w:highlight w:val="yellow"/>
        </w:rPr>
        <w:t xml:space="preserve">, 2024) limited to language editing and structural refinement. All clinical content, surgical details, data interpretation, and final decisions are the authors’ own. </w:t>
      </w:r>
    </w:p>
    <w:p w14:paraId="24E28C75" w14:textId="77777777" w:rsidR="008A4F47" w:rsidRDefault="008A4F47" w:rsidP="003A1EF2">
      <w:pPr>
        <w:spacing w:before="360" w:after="120"/>
      </w:pPr>
      <w:bookmarkStart w:id="0" w:name="_GoBack"/>
      <w:bookmarkEnd w:id="0"/>
    </w:p>
    <w:p w14:paraId="3DB95EF0" w14:textId="4030A2CE" w:rsidR="003A1EF2" w:rsidRDefault="003A1EF2" w:rsidP="003A1EF2">
      <w:pPr>
        <w:spacing w:before="360" w:after="120"/>
      </w:pPr>
      <w:r>
        <w:rPr>
          <w:b/>
          <w:bCs/>
          <w:color w:val="000000"/>
          <w:sz w:val="26"/>
          <w:szCs w:val="26"/>
        </w:rPr>
        <w:t>REFERENCES</w:t>
      </w:r>
    </w:p>
    <w:p w14:paraId="0B7BF648" w14:textId="77777777" w:rsidR="003A1EF2" w:rsidRDefault="003A1EF2" w:rsidP="003A1EF2">
      <w:pPr>
        <w:spacing w:after="140" w:line="278" w:lineRule="atLeast"/>
        <w:ind w:left="720" w:hanging="720"/>
        <w:jc w:val="both"/>
      </w:pPr>
      <w:r>
        <w:rPr>
          <w:color w:val="000000"/>
          <w:sz w:val="22"/>
          <w:szCs w:val="22"/>
        </w:rPr>
        <w:t xml:space="preserve">1.         Sharma M, </w:t>
      </w:r>
      <w:proofErr w:type="spellStart"/>
      <w:r>
        <w:rPr>
          <w:color w:val="000000"/>
          <w:sz w:val="22"/>
          <w:szCs w:val="22"/>
        </w:rPr>
        <w:t>Sathyan</w:t>
      </w:r>
      <w:proofErr w:type="spellEnd"/>
      <w:r>
        <w:rPr>
          <w:color w:val="000000"/>
          <w:sz w:val="22"/>
          <w:szCs w:val="22"/>
        </w:rPr>
        <w:t xml:space="preserve"> S, Kumar A. Trends in oral cavity cancer incidence and patterns in India: a systematic review. Oral Oncol. </w:t>
      </w:r>
      <w:proofErr w:type="gramStart"/>
      <w:r>
        <w:rPr>
          <w:color w:val="000000"/>
          <w:sz w:val="22"/>
          <w:szCs w:val="22"/>
        </w:rPr>
        <w:t>2022;130:105944</w:t>
      </w:r>
      <w:proofErr w:type="gramEnd"/>
      <w:r>
        <w:rPr>
          <w:color w:val="000000"/>
          <w:sz w:val="22"/>
          <w:szCs w:val="22"/>
        </w:rPr>
        <w:t xml:space="preserve">. </w:t>
      </w:r>
      <w:proofErr w:type="gramStart"/>
      <w:r>
        <w:rPr>
          <w:color w:val="000000"/>
          <w:sz w:val="22"/>
          <w:szCs w:val="22"/>
        </w:rPr>
        <w:t>doi:10.1016/j.oraloncology</w:t>
      </w:r>
      <w:proofErr w:type="gramEnd"/>
      <w:r>
        <w:rPr>
          <w:color w:val="000000"/>
          <w:sz w:val="22"/>
          <w:szCs w:val="22"/>
        </w:rPr>
        <w:t>.2022.105944</w:t>
      </w:r>
    </w:p>
    <w:p w14:paraId="2DA3DA82" w14:textId="77777777" w:rsidR="003A1EF2" w:rsidRDefault="003A1EF2" w:rsidP="003A1EF2">
      <w:pPr>
        <w:spacing w:after="140" w:line="278" w:lineRule="atLeast"/>
        <w:ind w:left="720" w:hanging="720"/>
        <w:jc w:val="both"/>
      </w:pPr>
      <w:r>
        <w:rPr>
          <w:color w:val="000000"/>
          <w:sz w:val="22"/>
          <w:szCs w:val="22"/>
        </w:rPr>
        <w:t xml:space="preserve">2.         Vincent A, </w:t>
      </w:r>
      <w:proofErr w:type="spellStart"/>
      <w:r>
        <w:rPr>
          <w:color w:val="000000"/>
          <w:sz w:val="22"/>
          <w:szCs w:val="22"/>
        </w:rPr>
        <w:t>Kohlert</w:t>
      </w:r>
      <w:proofErr w:type="spellEnd"/>
      <w:r>
        <w:rPr>
          <w:color w:val="000000"/>
          <w:sz w:val="22"/>
          <w:szCs w:val="22"/>
        </w:rPr>
        <w:t xml:space="preserve"> S, Lee TS, Inman J, </w:t>
      </w:r>
      <w:proofErr w:type="spellStart"/>
      <w:r>
        <w:rPr>
          <w:color w:val="000000"/>
          <w:sz w:val="22"/>
          <w:szCs w:val="22"/>
        </w:rPr>
        <w:t>Ducic</w:t>
      </w:r>
      <w:proofErr w:type="spellEnd"/>
      <w:r>
        <w:rPr>
          <w:color w:val="000000"/>
          <w:sz w:val="22"/>
          <w:szCs w:val="22"/>
        </w:rPr>
        <w:t xml:space="preserve"> Y. Free-flap reconstruction of the tongue: outcomes and considerations. </w:t>
      </w:r>
      <w:proofErr w:type="spellStart"/>
      <w:r>
        <w:rPr>
          <w:color w:val="000000"/>
          <w:sz w:val="22"/>
          <w:szCs w:val="22"/>
        </w:rPr>
        <w:t>Semin</w:t>
      </w:r>
      <w:proofErr w:type="spellEnd"/>
      <w:r>
        <w:rPr>
          <w:color w:val="000000"/>
          <w:sz w:val="22"/>
          <w:szCs w:val="22"/>
        </w:rPr>
        <w:t xml:space="preserve"> </w:t>
      </w:r>
      <w:proofErr w:type="spellStart"/>
      <w:r>
        <w:rPr>
          <w:color w:val="000000"/>
          <w:sz w:val="22"/>
          <w:szCs w:val="22"/>
        </w:rPr>
        <w:t>Plast</w:t>
      </w:r>
      <w:proofErr w:type="spellEnd"/>
      <w:r>
        <w:rPr>
          <w:color w:val="000000"/>
          <w:sz w:val="22"/>
          <w:szCs w:val="22"/>
        </w:rPr>
        <w:t xml:space="preserve"> Surg. 2019;33(1):38–45. doi:10.1055/s-0039-1677789</w:t>
      </w:r>
    </w:p>
    <w:p w14:paraId="02028978" w14:textId="77777777" w:rsidR="003A1EF2" w:rsidRDefault="003A1EF2" w:rsidP="003A1EF2">
      <w:pPr>
        <w:spacing w:after="140" w:line="278" w:lineRule="atLeast"/>
        <w:ind w:left="720" w:hanging="720"/>
        <w:jc w:val="both"/>
      </w:pPr>
      <w:r>
        <w:rPr>
          <w:color w:val="000000"/>
          <w:sz w:val="22"/>
          <w:szCs w:val="22"/>
        </w:rPr>
        <w:t xml:space="preserve">3.         McConnell FM, </w:t>
      </w:r>
      <w:proofErr w:type="spellStart"/>
      <w:r>
        <w:rPr>
          <w:color w:val="000000"/>
          <w:sz w:val="22"/>
          <w:szCs w:val="22"/>
        </w:rPr>
        <w:t>Pauloski</w:t>
      </w:r>
      <w:proofErr w:type="spellEnd"/>
      <w:r>
        <w:rPr>
          <w:color w:val="000000"/>
          <w:sz w:val="22"/>
          <w:szCs w:val="22"/>
        </w:rPr>
        <w:t xml:space="preserve"> BR, </w:t>
      </w:r>
      <w:proofErr w:type="spellStart"/>
      <w:r>
        <w:rPr>
          <w:color w:val="000000"/>
          <w:sz w:val="22"/>
          <w:szCs w:val="22"/>
        </w:rPr>
        <w:t>Logemann</w:t>
      </w:r>
      <w:proofErr w:type="spellEnd"/>
      <w:r>
        <w:rPr>
          <w:color w:val="000000"/>
          <w:sz w:val="22"/>
          <w:szCs w:val="22"/>
        </w:rPr>
        <w:t xml:space="preserve"> JA, et al. Functional results of primary closure versus flaps in oral tongue surgery: swallowing and speech comparisons. Arch </w:t>
      </w:r>
      <w:proofErr w:type="spellStart"/>
      <w:r>
        <w:rPr>
          <w:color w:val="000000"/>
          <w:sz w:val="22"/>
          <w:szCs w:val="22"/>
        </w:rPr>
        <w:t>Otolaryngol</w:t>
      </w:r>
      <w:proofErr w:type="spellEnd"/>
      <w:r>
        <w:rPr>
          <w:color w:val="000000"/>
          <w:sz w:val="22"/>
          <w:szCs w:val="22"/>
        </w:rPr>
        <w:t xml:space="preserve"> Head Neck Surg. 1998;124(6):625–630. doi:10.1001/archotol.124.6.625</w:t>
      </w:r>
    </w:p>
    <w:p w14:paraId="366064B6" w14:textId="77777777" w:rsidR="003A1EF2" w:rsidRDefault="003A1EF2" w:rsidP="003A1EF2">
      <w:pPr>
        <w:spacing w:after="140" w:line="278" w:lineRule="atLeast"/>
        <w:ind w:left="720" w:hanging="720"/>
        <w:jc w:val="both"/>
      </w:pPr>
      <w:r>
        <w:rPr>
          <w:color w:val="000000"/>
          <w:sz w:val="22"/>
          <w:szCs w:val="22"/>
        </w:rPr>
        <w:t xml:space="preserve">4.         Lam L, </w:t>
      </w:r>
      <w:proofErr w:type="spellStart"/>
      <w:r>
        <w:rPr>
          <w:color w:val="000000"/>
          <w:sz w:val="22"/>
          <w:szCs w:val="22"/>
        </w:rPr>
        <w:t>Samman</w:t>
      </w:r>
      <w:proofErr w:type="spellEnd"/>
      <w:r>
        <w:rPr>
          <w:color w:val="000000"/>
          <w:sz w:val="22"/>
          <w:szCs w:val="22"/>
        </w:rPr>
        <w:t xml:space="preserve"> N. Speech and swallowing following tongue cancer surgery and free flap reconstruction: a systematic review. Oral Oncol. 2013;49(6):507–524. </w:t>
      </w:r>
      <w:proofErr w:type="gramStart"/>
      <w:r>
        <w:rPr>
          <w:color w:val="000000"/>
          <w:sz w:val="22"/>
          <w:szCs w:val="22"/>
        </w:rPr>
        <w:t>doi:10.1016/j.oraloncology</w:t>
      </w:r>
      <w:proofErr w:type="gramEnd"/>
      <w:r>
        <w:rPr>
          <w:color w:val="000000"/>
          <w:sz w:val="22"/>
          <w:szCs w:val="22"/>
        </w:rPr>
        <w:t>.2013.03.001</w:t>
      </w:r>
    </w:p>
    <w:p w14:paraId="2B0462BA" w14:textId="77777777" w:rsidR="003A1EF2" w:rsidRDefault="003A1EF2" w:rsidP="003A1EF2">
      <w:pPr>
        <w:spacing w:after="140" w:line="278" w:lineRule="atLeast"/>
        <w:ind w:left="720" w:hanging="720"/>
        <w:jc w:val="both"/>
      </w:pPr>
      <w:r>
        <w:rPr>
          <w:color w:val="000000"/>
          <w:sz w:val="22"/>
          <w:szCs w:val="22"/>
        </w:rPr>
        <w:t xml:space="preserve">5.         Rieger JM, </w:t>
      </w:r>
      <w:proofErr w:type="spellStart"/>
      <w:r>
        <w:rPr>
          <w:color w:val="000000"/>
          <w:sz w:val="22"/>
          <w:szCs w:val="22"/>
        </w:rPr>
        <w:t>Zalmanowitz</w:t>
      </w:r>
      <w:proofErr w:type="spellEnd"/>
      <w:r>
        <w:rPr>
          <w:color w:val="000000"/>
          <w:sz w:val="22"/>
          <w:szCs w:val="22"/>
        </w:rPr>
        <w:t xml:space="preserve"> JG, </w:t>
      </w:r>
      <w:proofErr w:type="spellStart"/>
      <w:r>
        <w:rPr>
          <w:color w:val="000000"/>
          <w:sz w:val="22"/>
          <w:szCs w:val="22"/>
        </w:rPr>
        <w:t>Wolfaardt</w:t>
      </w:r>
      <w:proofErr w:type="spellEnd"/>
      <w:r>
        <w:rPr>
          <w:color w:val="000000"/>
          <w:sz w:val="22"/>
          <w:szCs w:val="22"/>
        </w:rPr>
        <w:t xml:space="preserve"> JF. Functional outcomes after oral and oropharyngeal reconstruction with the radial forearm free flap: a systematic review of the literature. Int J Oral </w:t>
      </w:r>
      <w:proofErr w:type="spellStart"/>
      <w:r>
        <w:rPr>
          <w:color w:val="000000"/>
          <w:sz w:val="22"/>
          <w:szCs w:val="22"/>
        </w:rPr>
        <w:t>Maxillofac</w:t>
      </w:r>
      <w:proofErr w:type="spellEnd"/>
      <w:r>
        <w:rPr>
          <w:color w:val="000000"/>
          <w:sz w:val="22"/>
          <w:szCs w:val="22"/>
        </w:rPr>
        <w:t xml:space="preserve"> Surg. 2006;35(7):581–587.</w:t>
      </w:r>
    </w:p>
    <w:p w14:paraId="624C446C" w14:textId="77777777" w:rsidR="003A1EF2" w:rsidRDefault="003A1EF2" w:rsidP="003A1EF2">
      <w:pPr>
        <w:spacing w:after="140" w:line="278" w:lineRule="atLeast"/>
        <w:ind w:left="720" w:hanging="720"/>
        <w:jc w:val="both"/>
      </w:pPr>
      <w:r>
        <w:rPr>
          <w:color w:val="000000"/>
          <w:sz w:val="22"/>
          <w:szCs w:val="22"/>
        </w:rPr>
        <w:lastRenderedPageBreak/>
        <w:t xml:space="preserve">6.         Lu M, Sun G, Zhang C, et al. Functional assessment: free thin anterolateral thigh flap versus free radial forearm reconstruction for </w:t>
      </w:r>
      <w:proofErr w:type="spellStart"/>
      <w:r>
        <w:rPr>
          <w:color w:val="000000"/>
          <w:sz w:val="22"/>
          <w:szCs w:val="22"/>
        </w:rPr>
        <w:t>hemiglossectomy</w:t>
      </w:r>
      <w:proofErr w:type="spellEnd"/>
      <w:r>
        <w:rPr>
          <w:color w:val="000000"/>
          <w:sz w:val="22"/>
          <w:szCs w:val="22"/>
        </w:rPr>
        <w:t xml:space="preserve"> defects. </w:t>
      </w:r>
      <w:proofErr w:type="spellStart"/>
      <w:r>
        <w:rPr>
          <w:color w:val="000000"/>
          <w:sz w:val="22"/>
          <w:szCs w:val="22"/>
        </w:rPr>
        <w:t>PLoS</w:t>
      </w:r>
      <w:proofErr w:type="spellEnd"/>
      <w:r>
        <w:rPr>
          <w:color w:val="000000"/>
          <w:sz w:val="22"/>
          <w:szCs w:val="22"/>
        </w:rPr>
        <w:t xml:space="preserve"> One. 2015;10(5</w:t>
      </w:r>
      <w:proofErr w:type="gramStart"/>
      <w:r>
        <w:rPr>
          <w:color w:val="000000"/>
          <w:sz w:val="22"/>
          <w:szCs w:val="22"/>
        </w:rPr>
        <w:t>):e</w:t>
      </w:r>
      <w:proofErr w:type="gramEnd"/>
      <w:r>
        <w:rPr>
          <w:color w:val="000000"/>
          <w:sz w:val="22"/>
          <w:szCs w:val="22"/>
        </w:rPr>
        <w:t xml:space="preserve">0126874. </w:t>
      </w:r>
      <w:proofErr w:type="gramStart"/>
      <w:r>
        <w:rPr>
          <w:color w:val="000000"/>
          <w:sz w:val="22"/>
          <w:szCs w:val="22"/>
        </w:rPr>
        <w:t>doi:10.1371/journal.pone</w:t>
      </w:r>
      <w:proofErr w:type="gramEnd"/>
      <w:r>
        <w:rPr>
          <w:color w:val="000000"/>
          <w:sz w:val="22"/>
          <w:szCs w:val="22"/>
        </w:rPr>
        <w:t>.0126874</w:t>
      </w:r>
    </w:p>
    <w:p w14:paraId="22E9CEAF" w14:textId="77777777" w:rsidR="003A1EF2" w:rsidRDefault="003A1EF2" w:rsidP="003A1EF2">
      <w:pPr>
        <w:spacing w:after="140" w:line="278" w:lineRule="atLeast"/>
        <w:ind w:left="720" w:hanging="720"/>
        <w:jc w:val="both"/>
      </w:pPr>
      <w:r>
        <w:rPr>
          <w:color w:val="000000"/>
          <w:sz w:val="22"/>
          <w:szCs w:val="22"/>
        </w:rPr>
        <w:t xml:space="preserve">7.         Zhang PP, Meng L, Shen J, et al. Free radial forearm flap and anterolateral thigh flap for reconstruction of </w:t>
      </w:r>
      <w:proofErr w:type="spellStart"/>
      <w:r>
        <w:rPr>
          <w:color w:val="000000"/>
          <w:sz w:val="22"/>
          <w:szCs w:val="22"/>
        </w:rPr>
        <w:t>hemiglossectomy</w:t>
      </w:r>
      <w:proofErr w:type="spellEnd"/>
      <w:r>
        <w:rPr>
          <w:color w:val="000000"/>
          <w:sz w:val="22"/>
          <w:szCs w:val="22"/>
        </w:rPr>
        <w:t xml:space="preserve"> defects: comparison of quality of life. J </w:t>
      </w:r>
      <w:proofErr w:type="spellStart"/>
      <w:r>
        <w:rPr>
          <w:color w:val="000000"/>
          <w:sz w:val="22"/>
          <w:szCs w:val="22"/>
        </w:rPr>
        <w:t>Craniomaxillofac</w:t>
      </w:r>
      <w:proofErr w:type="spellEnd"/>
      <w:r>
        <w:rPr>
          <w:color w:val="000000"/>
          <w:sz w:val="22"/>
          <w:szCs w:val="22"/>
        </w:rPr>
        <w:t xml:space="preserve"> Surg. 2018;46(12):2157–2163. </w:t>
      </w:r>
      <w:proofErr w:type="gramStart"/>
      <w:r>
        <w:rPr>
          <w:color w:val="000000"/>
          <w:sz w:val="22"/>
          <w:szCs w:val="22"/>
        </w:rPr>
        <w:t>doi:10.1016/j.jcms</w:t>
      </w:r>
      <w:proofErr w:type="gramEnd"/>
      <w:r>
        <w:rPr>
          <w:color w:val="000000"/>
          <w:sz w:val="22"/>
          <w:szCs w:val="22"/>
        </w:rPr>
        <w:t>.2018.10.006</w:t>
      </w:r>
    </w:p>
    <w:p w14:paraId="7EAAD52E" w14:textId="77777777" w:rsidR="003A1EF2" w:rsidRDefault="003A1EF2" w:rsidP="003A1EF2">
      <w:pPr>
        <w:spacing w:after="140" w:line="278" w:lineRule="atLeast"/>
        <w:ind w:left="720" w:hanging="720"/>
        <w:jc w:val="both"/>
      </w:pPr>
      <w:r>
        <w:rPr>
          <w:color w:val="000000"/>
          <w:sz w:val="22"/>
          <w:szCs w:val="22"/>
        </w:rPr>
        <w:t xml:space="preserve">8.         de Vicente JC, de </w:t>
      </w:r>
      <w:proofErr w:type="spellStart"/>
      <w:r>
        <w:rPr>
          <w:color w:val="000000"/>
          <w:sz w:val="22"/>
          <w:szCs w:val="22"/>
        </w:rPr>
        <w:t>Villalaín</w:t>
      </w:r>
      <w:proofErr w:type="spellEnd"/>
      <w:r>
        <w:rPr>
          <w:color w:val="000000"/>
          <w:sz w:val="22"/>
          <w:szCs w:val="22"/>
        </w:rPr>
        <w:t xml:space="preserve"> L, Torre A, Peña I. Microvascular free tissue </w:t>
      </w:r>
      <w:proofErr w:type="gramStart"/>
      <w:r>
        <w:rPr>
          <w:color w:val="000000"/>
          <w:sz w:val="22"/>
          <w:szCs w:val="22"/>
        </w:rPr>
        <w:t>transfer</w:t>
      </w:r>
      <w:proofErr w:type="gramEnd"/>
      <w:r>
        <w:rPr>
          <w:color w:val="000000"/>
          <w:sz w:val="22"/>
          <w:szCs w:val="22"/>
        </w:rPr>
        <w:t xml:space="preserve"> for tongue reconstruction after </w:t>
      </w:r>
      <w:proofErr w:type="spellStart"/>
      <w:r>
        <w:rPr>
          <w:color w:val="000000"/>
          <w:sz w:val="22"/>
          <w:szCs w:val="22"/>
        </w:rPr>
        <w:t>hemiglossectomy</w:t>
      </w:r>
      <w:proofErr w:type="spellEnd"/>
      <w:r>
        <w:rPr>
          <w:color w:val="000000"/>
          <w:sz w:val="22"/>
          <w:szCs w:val="22"/>
        </w:rPr>
        <w:t xml:space="preserve">: functional assessment of radial forearm versus anterolateral thigh flap. J Oral </w:t>
      </w:r>
      <w:proofErr w:type="spellStart"/>
      <w:r>
        <w:rPr>
          <w:color w:val="000000"/>
          <w:sz w:val="22"/>
          <w:szCs w:val="22"/>
        </w:rPr>
        <w:t>Maxillofac</w:t>
      </w:r>
      <w:proofErr w:type="spellEnd"/>
      <w:r>
        <w:rPr>
          <w:color w:val="000000"/>
          <w:sz w:val="22"/>
          <w:szCs w:val="22"/>
        </w:rPr>
        <w:t xml:space="preserve"> Surg. 2008;66(11):2270–2275. </w:t>
      </w:r>
      <w:proofErr w:type="gramStart"/>
      <w:r>
        <w:rPr>
          <w:color w:val="000000"/>
          <w:sz w:val="22"/>
          <w:szCs w:val="22"/>
        </w:rPr>
        <w:t>doi:10.1016/j.joms</w:t>
      </w:r>
      <w:proofErr w:type="gramEnd"/>
      <w:r>
        <w:rPr>
          <w:color w:val="000000"/>
          <w:sz w:val="22"/>
          <w:szCs w:val="22"/>
        </w:rPr>
        <w:t>.2008.01.018</w:t>
      </w:r>
    </w:p>
    <w:p w14:paraId="7AC13C18" w14:textId="77777777" w:rsidR="003A1EF2" w:rsidRDefault="003A1EF2" w:rsidP="003A1EF2">
      <w:pPr>
        <w:spacing w:after="140" w:line="278" w:lineRule="atLeast"/>
        <w:ind w:left="720" w:hanging="720"/>
        <w:jc w:val="both"/>
      </w:pPr>
      <w:r>
        <w:rPr>
          <w:color w:val="000000"/>
          <w:sz w:val="22"/>
          <w:szCs w:val="22"/>
        </w:rPr>
        <w:t xml:space="preserve">9.         Cai YC, Li C, Zeng DF, et al. Comparative analysis of radial forearm free flap and anterolateral thigh flap in tongue reconstruction after radical resection of tongue cancer. ORL J </w:t>
      </w:r>
      <w:proofErr w:type="spellStart"/>
      <w:r>
        <w:rPr>
          <w:color w:val="000000"/>
          <w:sz w:val="22"/>
          <w:szCs w:val="22"/>
        </w:rPr>
        <w:t>Otorhinolaryngol</w:t>
      </w:r>
      <w:proofErr w:type="spellEnd"/>
      <w:r>
        <w:rPr>
          <w:color w:val="000000"/>
          <w:sz w:val="22"/>
          <w:szCs w:val="22"/>
        </w:rPr>
        <w:t xml:space="preserve"> </w:t>
      </w:r>
      <w:proofErr w:type="spellStart"/>
      <w:r>
        <w:rPr>
          <w:color w:val="000000"/>
          <w:sz w:val="22"/>
          <w:szCs w:val="22"/>
        </w:rPr>
        <w:t>Relat</w:t>
      </w:r>
      <w:proofErr w:type="spellEnd"/>
      <w:r>
        <w:rPr>
          <w:color w:val="000000"/>
          <w:sz w:val="22"/>
          <w:szCs w:val="22"/>
        </w:rPr>
        <w:t xml:space="preserve"> Spec. 2019;81(5–6):252–264. doi:10.1159/000502151</w:t>
      </w:r>
    </w:p>
    <w:p w14:paraId="622B649F" w14:textId="77777777" w:rsidR="003A1EF2" w:rsidRDefault="003A1EF2" w:rsidP="003A1EF2">
      <w:pPr>
        <w:spacing w:after="140" w:line="278" w:lineRule="atLeast"/>
        <w:ind w:left="720" w:hanging="720"/>
        <w:jc w:val="both"/>
      </w:pPr>
      <w:r>
        <w:rPr>
          <w:color w:val="000000"/>
          <w:sz w:val="22"/>
          <w:szCs w:val="22"/>
        </w:rPr>
        <w:t xml:space="preserve">10.       Huang CH, Chen HC, Huang YL, Mardini S, Feng GM. Comparison of the radial forearm flap and the thinned anterolateral thigh cutaneous flap for reconstruction of tongue defects: donor-site morbidity evaluation. </w:t>
      </w:r>
      <w:proofErr w:type="spellStart"/>
      <w:r>
        <w:rPr>
          <w:color w:val="000000"/>
          <w:sz w:val="22"/>
          <w:szCs w:val="22"/>
        </w:rPr>
        <w:t>Plast</w:t>
      </w:r>
      <w:proofErr w:type="spellEnd"/>
      <w:r>
        <w:rPr>
          <w:color w:val="000000"/>
          <w:sz w:val="22"/>
          <w:szCs w:val="22"/>
        </w:rPr>
        <w:t xml:space="preserve"> </w:t>
      </w:r>
      <w:proofErr w:type="spellStart"/>
      <w:r>
        <w:rPr>
          <w:color w:val="000000"/>
          <w:sz w:val="22"/>
          <w:szCs w:val="22"/>
        </w:rPr>
        <w:t>Reconstr</w:t>
      </w:r>
      <w:proofErr w:type="spellEnd"/>
      <w:r>
        <w:rPr>
          <w:color w:val="000000"/>
          <w:sz w:val="22"/>
          <w:szCs w:val="22"/>
        </w:rPr>
        <w:t xml:space="preserve"> Surg. 2004;114(7):1704–1710. </w:t>
      </w:r>
      <w:proofErr w:type="gramStart"/>
      <w:r>
        <w:rPr>
          <w:color w:val="000000"/>
          <w:sz w:val="22"/>
          <w:szCs w:val="22"/>
        </w:rPr>
        <w:t>doi:10.1097/01.PRS</w:t>
      </w:r>
      <w:proofErr w:type="gramEnd"/>
      <w:r>
        <w:rPr>
          <w:color w:val="000000"/>
          <w:sz w:val="22"/>
          <w:szCs w:val="22"/>
        </w:rPr>
        <w:t>.0000142476.36975.07</w:t>
      </w:r>
    </w:p>
    <w:p w14:paraId="35C00400" w14:textId="77777777" w:rsidR="003A1EF2" w:rsidRDefault="003A1EF2" w:rsidP="003A1EF2">
      <w:pPr>
        <w:spacing w:after="140" w:line="278" w:lineRule="atLeast"/>
        <w:ind w:left="720" w:hanging="720"/>
        <w:jc w:val="both"/>
      </w:pPr>
      <w:r>
        <w:rPr>
          <w:color w:val="000000"/>
          <w:sz w:val="22"/>
          <w:szCs w:val="22"/>
        </w:rPr>
        <w:t xml:space="preserve">11.       Khan Z, et al. Functional outcomes of tongue reconstruction after glossectomy: a systematic review. Oral Oncol. </w:t>
      </w:r>
      <w:proofErr w:type="gramStart"/>
      <w:r>
        <w:rPr>
          <w:color w:val="000000"/>
          <w:sz w:val="22"/>
          <w:szCs w:val="22"/>
        </w:rPr>
        <w:t>2023;141:106236</w:t>
      </w:r>
      <w:proofErr w:type="gramEnd"/>
      <w:r>
        <w:rPr>
          <w:color w:val="000000"/>
          <w:sz w:val="22"/>
          <w:szCs w:val="22"/>
        </w:rPr>
        <w:t xml:space="preserve">. </w:t>
      </w:r>
      <w:proofErr w:type="gramStart"/>
      <w:r>
        <w:rPr>
          <w:color w:val="000000"/>
          <w:sz w:val="22"/>
          <w:szCs w:val="22"/>
        </w:rPr>
        <w:t>doi:10.1016/j.oraloncology</w:t>
      </w:r>
      <w:proofErr w:type="gramEnd"/>
      <w:r>
        <w:rPr>
          <w:color w:val="000000"/>
          <w:sz w:val="22"/>
          <w:szCs w:val="22"/>
        </w:rPr>
        <w:t>.2023.106236</w:t>
      </w:r>
    </w:p>
    <w:p w14:paraId="22663E7B" w14:textId="77777777" w:rsidR="003A1EF2" w:rsidRDefault="003A1EF2" w:rsidP="003A1EF2">
      <w:pPr>
        <w:spacing w:after="140" w:line="278" w:lineRule="atLeast"/>
        <w:ind w:left="720" w:hanging="720"/>
        <w:jc w:val="both"/>
      </w:pPr>
      <w:r>
        <w:rPr>
          <w:color w:val="000000"/>
          <w:sz w:val="22"/>
          <w:szCs w:val="22"/>
        </w:rPr>
        <w:t>12.       </w:t>
      </w:r>
      <w:proofErr w:type="spellStart"/>
      <w:r>
        <w:rPr>
          <w:color w:val="000000"/>
          <w:sz w:val="22"/>
          <w:szCs w:val="22"/>
        </w:rPr>
        <w:t>Yoleri</w:t>
      </w:r>
      <w:proofErr w:type="spellEnd"/>
      <w:r>
        <w:rPr>
          <w:color w:val="000000"/>
          <w:sz w:val="22"/>
          <w:szCs w:val="22"/>
        </w:rPr>
        <w:t xml:space="preserve"> L, </w:t>
      </w:r>
      <w:proofErr w:type="spellStart"/>
      <w:r>
        <w:rPr>
          <w:color w:val="000000"/>
          <w:sz w:val="22"/>
          <w:szCs w:val="22"/>
        </w:rPr>
        <w:t>Mavioglu</w:t>
      </w:r>
      <w:proofErr w:type="spellEnd"/>
      <w:r>
        <w:rPr>
          <w:color w:val="000000"/>
          <w:sz w:val="22"/>
          <w:szCs w:val="22"/>
        </w:rPr>
        <w:t xml:space="preserve"> H. Total tongue reconstruction with free functional </w:t>
      </w:r>
      <w:proofErr w:type="spellStart"/>
      <w:r>
        <w:rPr>
          <w:color w:val="000000"/>
          <w:sz w:val="22"/>
          <w:szCs w:val="22"/>
        </w:rPr>
        <w:t>gracilis</w:t>
      </w:r>
      <w:proofErr w:type="spellEnd"/>
      <w:r>
        <w:rPr>
          <w:color w:val="000000"/>
          <w:sz w:val="22"/>
          <w:szCs w:val="22"/>
        </w:rPr>
        <w:t xml:space="preserve"> muscle transplantation: a technical note and review of the literature. Ann </w:t>
      </w:r>
      <w:proofErr w:type="spellStart"/>
      <w:r>
        <w:rPr>
          <w:color w:val="000000"/>
          <w:sz w:val="22"/>
          <w:szCs w:val="22"/>
        </w:rPr>
        <w:t>Plast</w:t>
      </w:r>
      <w:proofErr w:type="spellEnd"/>
      <w:r>
        <w:rPr>
          <w:color w:val="000000"/>
          <w:sz w:val="22"/>
          <w:szCs w:val="22"/>
        </w:rPr>
        <w:t xml:space="preserve"> Surg. 2000;45(2):181–186.</w:t>
      </w:r>
    </w:p>
    <w:p w14:paraId="4777BD4A" w14:textId="77777777" w:rsidR="003A1EF2" w:rsidRDefault="003A1EF2" w:rsidP="003A1EF2">
      <w:pPr>
        <w:spacing w:after="140" w:line="278" w:lineRule="atLeast"/>
        <w:ind w:left="720" w:hanging="720"/>
        <w:jc w:val="both"/>
      </w:pPr>
      <w:r>
        <w:rPr>
          <w:color w:val="000000"/>
          <w:sz w:val="22"/>
          <w:szCs w:val="22"/>
        </w:rPr>
        <w:t>13.       </w:t>
      </w:r>
      <w:proofErr w:type="spellStart"/>
      <w:r>
        <w:rPr>
          <w:color w:val="000000"/>
          <w:sz w:val="22"/>
          <w:szCs w:val="22"/>
        </w:rPr>
        <w:t>Guérin-Lebailly</w:t>
      </w:r>
      <w:proofErr w:type="spellEnd"/>
      <w:r>
        <w:rPr>
          <w:color w:val="000000"/>
          <w:sz w:val="22"/>
          <w:szCs w:val="22"/>
        </w:rPr>
        <w:t xml:space="preserve"> C, </w:t>
      </w:r>
      <w:proofErr w:type="spellStart"/>
      <w:r>
        <w:rPr>
          <w:color w:val="000000"/>
          <w:sz w:val="22"/>
          <w:szCs w:val="22"/>
        </w:rPr>
        <w:t>Malard</w:t>
      </w:r>
      <w:proofErr w:type="spellEnd"/>
      <w:r>
        <w:rPr>
          <w:color w:val="000000"/>
          <w:sz w:val="22"/>
          <w:szCs w:val="22"/>
        </w:rPr>
        <w:t xml:space="preserve"> O, </w:t>
      </w:r>
      <w:proofErr w:type="spellStart"/>
      <w:r>
        <w:rPr>
          <w:color w:val="000000"/>
          <w:sz w:val="22"/>
          <w:szCs w:val="22"/>
        </w:rPr>
        <w:t>Corre</w:t>
      </w:r>
      <w:proofErr w:type="spellEnd"/>
      <w:r>
        <w:rPr>
          <w:color w:val="000000"/>
          <w:sz w:val="22"/>
          <w:szCs w:val="22"/>
        </w:rPr>
        <w:t xml:space="preserve"> P, et al. Functional and sensitive outcomes after tongue reconstruction with free and pedicled flaps. Oral Oncol. 2012;48(3):276–282. </w:t>
      </w:r>
      <w:proofErr w:type="gramStart"/>
      <w:r>
        <w:rPr>
          <w:color w:val="000000"/>
          <w:sz w:val="22"/>
          <w:szCs w:val="22"/>
        </w:rPr>
        <w:t>doi:10.1016/j.oraloncology</w:t>
      </w:r>
      <w:proofErr w:type="gramEnd"/>
      <w:r>
        <w:rPr>
          <w:color w:val="000000"/>
          <w:sz w:val="22"/>
          <w:szCs w:val="22"/>
        </w:rPr>
        <w:t>.2011.10.012</w:t>
      </w:r>
    </w:p>
    <w:p w14:paraId="57A59A18" w14:textId="77777777" w:rsidR="003A1EF2" w:rsidRDefault="003A1EF2" w:rsidP="003A1EF2">
      <w:pPr>
        <w:spacing w:after="140" w:line="278" w:lineRule="atLeast"/>
        <w:ind w:left="720" w:hanging="720"/>
        <w:jc w:val="both"/>
      </w:pPr>
      <w:r>
        <w:rPr>
          <w:color w:val="000000"/>
          <w:sz w:val="22"/>
          <w:szCs w:val="22"/>
        </w:rPr>
        <w:t xml:space="preserve">14.       Vincent A, </w:t>
      </w:r>
      <w:proofErr w:type="spellStart"/>
      <w:r>
        <w:rPr>
          <w:color w:val="000000"/>
          <w:sz w:val="22"/>
          <w:szCs w:val="22"/>
        </w:rPr>
        <w:t>Ducic</w:t>
      </w:r>
      <w:proofErr w:type="spellEnd"/>
      <w:r>
        <w:rPr>
          <w:color w:val="000000"/>
          <w:sz w:val="22"/>
          <w:szCs w:val="22"/>
        </w:rPr>
        <w:t xml:space="preserve"> Y. Treatment algorithm for tongue defects. </w:t>
      </w:r>
      <w:proofErr w:type="spellStart"/>
      <w:r>
        <w:rPr>
          <w:color w:val="000000"/>
          <w:sz w:val="22"/>
          <w:szCs w:val="22"/>
        </w:rPr>
        <w:t>Semin</w:t>
      </w:r>
      <w:proofErr w:type="spellEnd"/>
      <w:r>
        <w:rPr>
          <w:color w:val="000000"/>
          <w:sz w:val="22"/>
          <w:szCs w:val="22"/>
        </w:rPr>
        <w:t xml:space="preserve"> </w:t>
      </w:r>
      <w:proofErr w:type="spellStart"/>
      <w:r>
        <w:rPr>
          <w:color w:val="000000"/>
          <w:sz w:val="22"/>
          <w:szCs w:val="22"/>
        </w:rPr>
        <w:t>Plast</w:t>
      </w:r>
      <w:proofErr w:type="spellEnd"/>
      <w:r>
        <w:rPr>
          <w:color w:val="000000"/>
          <w:sz w:val="22"/>
          <w:szCs w:val="22"/>
        </w:rPr>
        <w:t xml:space="preserve"> Surg. 2019;33(1):46–52. doi:10.1055/s-0039-1677790</w:t>
      </w:r>
    </w:p>
    <w:p w14:paraId="07157F3C" w14:textId="77777777" w:rsidR="003A1EF2" w:rsidRDefault="003A1EF2" w:rsidP="003A1EF2">
      <w:pPr>
        <w:spacing w:after="140" w:line="278" w:lineRule="atLeast"/>
        <w:ind w:left="720" w:hanging="720"/>
        <w:jc w:val="both"/>
        <w:rPr>
          <w:color w:val="000000"/>
          <w:sz w:val="22"/>
          <w:szCs w:val="22"/>
        </w:rPr>
      </w:pPr>
      <w:r>
        <w:rPr>
          <w:color w:val="000000"/>
          <w:sz w:val="22"/>
          <w:szCs w:val="22"/>
        </w:rPr>
        <w:t xml:space="preserve">15.       Hsiao HT, Leu YS, Liu CJ, Tung KY, Lin CC. Radial forearm versus anterolateral thigh flap reconstruction after </w:t>
      </w:r>
      <w:proofErr w:type="spellStart"/>
      <w:r>
        <w:rPr>
          <w:color w:val="000000"/>
          <w:sz w:val="22"/>
          <w:szCs w:val="22"/>
        </w:rPr>
        <w:t>hemiglossectomy</w:t>
      </w:r>
      <w:proofErr w:type="spellEnd"/>
      <w:r>
        <w:rPr>
          <w:color w:val="000000"/>
          <w:sz w:val="22"/>
          <w:szCs w:val="22"/>
        </w:rPr>
        <w:t xml:space="preserve">: functional assessment of swallowing and speech. J </w:t>
      </w:r>
      <w:proofErr w:type="spellStart"/>
      <w:r>
        <w:rPr>
          <w:color w:val="000000"/>
          <w:sz w:val="22"/>
          <w:szCs w:val="22"/>
        </w:rPr>
        <w:t>Reconstr</w:t>
      </w:r>
      <w:proofErr w:type="spellEnd"/>
      <w:r>
        <w:rPr>
          <w:color w:val="000000"/>
          <w:sz w:val="22"/>
          <w:szCs w:val="22"/>
        </w:rPr>
        <w:t xml:space="preserve"> </w:t>
      </w:r>
      <w:proofErr w:type="spellStart"/>
      <w:r>
        <w:rPr>
          <w:color w:val="000000"/>
          <w:sz w:val="22"/>
          <w:szCs w:val="22"/>
        </w:rPr>
        <w:t>Microsurg</w:t>
      </w:r>
      <w:proofErr w:type="spellEnd"/>
      <w:r>
        <w:rPr>
          <w:color w:val="000000"/>
          <w:sz w:val="22"/>
          <w:szCs w:val="22"/>
        </w:rPr>
        <w:t>. 2008;24(2):85–88.</w:t>
      </w:r>
    </w:p>
    <w:p w14:paraId="62684736" w14:textId="77777777" w:rsidR="003C531B" w:rsidRDefault="003C531B" w:rsidP="003A1EF2">
      <w:pPr>
        <w:spacing w:after="140" w:line="278" w:lineRule="atLeast"/>
        <w:ind w:left="720" w:hanging="720"/>
        <w:jc w:val="both"/>
        <w:rPr>
          <w:color w:val="000000"/>
          <w:sz w:val="22"/>
          <w:szCs w:val="22"/>
        </w:rPr>
      </w:pPr>
    </w:p>
    <w:p w14:paraId="74E99A96" w14:textId="77777777" w:rsidR="003C531B" w:rsidRPr="003C531B" w:rsidRDefault="003C531B" w:rsidP="003C531B">
      <w:pPr>
        <w:spacing w:before="100" w:beforeAutospacing="1" w:after="100" w:afterAutospacing="1"/>
        <w:rPr>
          <w:rFonts w:eastAsia="Times New Roman"/>
          <w:highlight w:val="yellow"/>
        </w:rPr>
      </w:pPr>
      <w:r w:rsidRPr="003C531B">
        <w:rPr>
          <w:rFonts w:eastAsia="Times New Roman"/>
          <w:highlight w:val="yellow"/>
        </w:rPr>
        <w:t xml:space="preserve">Cortina, L. E., </w:t>
      </w:r>
      <w:proofErr w:type="spellStart"/>
      <w:r w:rsidRPr="003C531B">
        <w:rPr>
          <w:rFonts w:eastAsia="Times New Roman"/>
          <w:highlight w:val="yellow"/>
        </w:rPr>
        <w:t>Moverman</w:t>
      </w:r>
      <w:proofErr w:type="spellEnd"/>
      <w:r w:rsidRPr="003C531B">
        <w:rPr>
          <w:rFonts w:eastAsia="Times New Roman"/>
          <w:highlight w:val="yellow"/>
        </w:rPr>
        <w:t xml:space="preserve">, D. J., Zhao, Y., Goss, D., </w:t>
      </w:r>
      <w:proofErr w:type="spellStart"/>
      <w:r w:rsidRPr="003C531B">
        <w:rPr>
          <w:rFonts w:eastAsia="Times New Roman"/>
          <w:highlight w:val="yellow"/>
        </w:rPr>
        <w:t>Zenga</w:t>
      </w:r>
      <w:proofErr w:type="spellEnd"/>
      <w:r w:rsidRPr="003C531B">
        <w:rPr>
          <w:rFonts w:eastAsia="Times New Roman"/>
          <w:highlight w:val="yellow"/>
        </w:rPr>
        <w:t xml:space="preserve">, J., Puram, S. V., &amp; </w:t>
      </w:r>
      <w:proofErr w:type="spellStart"/>
      <w:r w:rsidRPr="003C531B">
        <w:rPr>
          <w:rFonts w:eastAsia="Times New Roman"/>
          <w:highlight w:val="yellow"/>
        </w:rPr>
        <w:t>Varvares</w:t>
      </w:r>
      <w:proofErr w:type="spellEnd"/>
      <w:r w:rsidRPr="003C531B">
        <w:rPr>
          <w:rFonts w:eastAsia="Times New Roman"/>
          <w:highlight w:val="yellow"/>
        </w:rPr>
        <w:t xml:space="preserve">, M. A. (2023). Functional considerations between flap and non-flap reconstruction in oral tongue cancer: A systematic review. </w:t>
      </w:r>
      <w:r w:rsidRPr="003C531B">
        <w:rPr>
          <w:rFonts w:eastAsia="Times New Roman"/>
          <w:i/>
          <w:iCs/>
          <w:highlight w:val="yellow"/>
        </w:rPr>
        <w:t>Oral Oncology, 147</w:t>
      </w:r>
      <w:r w:rsidRPr="003C531B">
        <w:rPr>
          <w:rFonts w:eastAsia="Times New Roman"/>
          <w:highlight w:val="yellow"/>
        </w:rPr>
        <w:t xml:space="preserve">, 106596. https://doi.org/10.1016/j.oraloncology.2023.106596 </w:t>
      </w:r>
    </w:p>
    <w:p w14:paraId="40DC643A" w14:textId="77777777" w:rsidR="003C531B" w:rsidRPr="003C531B" w:rsidRDefault="003C531B" w:rsidP="003C531B">
      <w:pPr>
        <w:spacing w:before="100" w:beforeAutospacing="1" w:after="100" w:afterAutospacing="1"/>
        <w:rPr>
          <w:rFonts w:eastAsia="Times New Roman"/>
          <w:highlight w:val="yellow"/>
        </w:rPr>
      </w:pPr>
      <w:proofErr w:type="spellStart"/>
      <w:r w:rsidRPr="003C531B">
        <w:rPr>
          <w:rFonts w:eastAsia="Times New Roman"/>
          <w:highlight w:val="yellow"/>
        </w:rPr>
        <w:t>Chepeha</w:t>
      </w:r>
      <w:proofErr w:type="spellEnd"/>
      <w:r w:rsidRPr="003C531B">
        <w:rPr>
          <w:rFonts w:eastAsia="Times New Roman"/>
          <w:highlight w:val="yellow"/>
        </w:rPr>
        <w:t xml:space="preserve">, D. B., </w:t>
      </w:r>
      <w:proofErr w:type="spellStart"/>
      <w:r w:rsidRPr="003C531B">
        <w:rPr>
          <w:rFonts w:eastAsia="Times New Roman"/>
          <w:highlight w:val="yellow"/>
        </w:rPr>
        <w:t>Esemezie</w:t>
      </w:r>
      <w:proofErr w:type="spellEnd"/>
      <w:r w:rsidRPr="003C531B">
        <w:rPr>
          <w:rFonts w:eastAsia="Times New Roman"/>
          <w:highlight w:val="yellow"/>
        </w:rPr>
        <w:t xml:space="preserve">, A. O., </w:t>
      </w:r>
      <w:proofErr w:type="spellStart"/>
      <w:r w:rsidRPr="003C531B">
        <w:rPr>
          <w:rFonts w:eastAsia="Times New Roman"/>
          <w:highlight w:val="yellow"/>
        </w:rPr>
        <w:t>Philteos</w:t>
      </w:r>
      <w:proofErr w:type="spellEnd"/>
      <w:r w:rsidRPr="003C531B">
        <w:rPr>
          <w:rFonts w:eastAsia="Times New Roman"/>
          <w:highlight w:val="yellow"/>
        </w:rPr>
        <w:t xml:space="preserve">, J., Brown, D. H., de Almeida, J. R., Gilbert, R. W., Goldstein, D. P., </w:t>
      </w:r>
      <w:proofErr w:type="spellStart"/>
      <w:r w:rsidRPr="003C531B">
        <w:rPr>
          <w:rFonts w:eastAsia="Times New Roman"/>
          <w:highlight w:val="yellow"/>
        </w:rPr>
        <w:t>Gullane</w:t>
      </w:r>
      <w:proofErr w:type="spellEnd"/>
      <w:r w:rsidRPr="003C531B">
        <w:rPr>
          <w:rFonts w:eastAsia="Times New Roman"/>
          <w:highlight w:val="yellow"/>
        </w:rPr>
        <w:t xml:space="preserve">, P. J., Irish, J. C., Yao, C. M. K. L., &amp; </w:t>
      </w:r>
      <w:proofErr w:type="spellStart"/>
      <w:r w:rsidRPr="003C531B">
        <w:rPr>
          <w:rFonts w:eastAsia="Times New Roman"/>
          <w:highlight w:val="yellow"/>
        </w:rPr>
        <w:t>Barbon</w:t>
      </w:r>
      <w:proofErr w:type="spellEnd"/>
      <w:r w:rsidRPr="003C531B">
        <w:rPr>
          <w:rFonts w:eastAsia="Times New Roman"/>
          <w:highlight w:val="yellow"/>
        </w:rPr>
        <w:t xml:space="preserve">, C. E. A. (2023). Glossectomy for the treatment of oral cavity carcinoma: Quantitative, functional and patient-reported quality of life outcomes differ by four glossectomy defects. </w:t>
      </w:r>
      <w:r w:rsidRPr="003C531B">
        <w:rPr>
          <w:rFonts w:eastAsia="Times New Roman"/>
          <w:i/>
          <w:iCs/>
          <w:highlight w:val="yellow"/>
        </w:rPr>
        <w:t>Oral Oncology, 142</w:t>
      </w:r>
      <w:r w:rsidRPr="003C531B">
        <w:rPr>
          <w:rFonts w:eastAsia="Times New Roman"/>
          <w:highlight w:val="yellow"/>
        </w:rPr>
        <w:t xml:space="preserve">, 106431. https://doi.org/10.1016/j.oraloncology.2023.106431 </w:t>
      </w:r>
    </w:p>
    <w:p w14:paraId="61FDE919" w14:textId="77777777" w:rsidR="003C531B" w:rsidRPr="003C531B" w:rsidRDefault="003C531B" w:rsidP="003C531B">
      <w:pPr>
        <w:spacing w:before="100" w:beforeAutospacing="1" w:after="100" w:afterAutospacing="1"/>
        <w:rPr>
          <w:rFonts w:eastAsia="Times New Roman"/>
          <w:highlight w:val="yellow"/>
        </w:rPr>
      </w:pPr>
      <w:r w:rsidRPr="003C531B">
        <w:rPr>
          <w:rFonts w:eastAsia="Times New Roman"/>
          <w:highlight w:val="yellow"/>
        </w:rPr>
        <w:t xml:space="preserve">Mitra, S., Panda, S., </w:t>
      </w:r>
      <w:proofErr w:type="spellStart"/>
      <w:r w:rsidRPr="003C531B">
        <w:rPr>
          <w:rFonts w:eastAsia="Times New Roman"/>
          <w:highlight w:val="yellow"/>
        </w:rPr>
        <w:t>Thakar</w:t>
      </w:r>
      <w:proofErr w:type="spellEnd"/>
      <w:r w:rsidRPr="003C531B">
        <w:rPr>
          <w:rFonts w:eastAsia="Times New Roman"/>
          <w:highlight w:val="yellow"/>
        </w:rPr>
        <w:t xml:space="preserve">, A., Gautam, V., Talukdar, K. M., Mani, S., Singh, C. A., Sikka, K., Kumar, R., Das, S. K., &amp; Singh, A. (2024). Quality of life and swallowing outcomes </w:t>
      </w:r>
      <w:r w:rsidRPr="003C531B">
        <w:rPr>
          <w:rFonts w:eastAsia="Times New Roman"/>
          <w:highlight w:val="yellow"/>
        </w:rPr>
        <w:lastRenderedPageBreak/>
        <w:t>following major glossectomy: A prospective single-</w:t>
      </w:r>
      <w:proofErr w:type="spellStart"/>
      <w:r w:rsidRPr="003C531B">
        <w:rPr>
          <w:rFonts w:eastAsia="Times New Roman"/>
          <w:highlight w:val="yellow"/>
        </w:rPr>
        <w:t>center</w:t>
      </w:r>
      <w:proofErr w:type="spellEnd"/>
      <w:r w:rsidRPr="003C531B">
        <w:rPr>
          <w:rFonts w:eastAsia="Times New Roman"/>
          <w:highlight w:val="yellow"/>
        </w:rPr>
        <w:t xml:space="preserve"> experience. </w:t>
      </w:r>
      <w:r w:rsidRPr="003C531B">
        <w:rPr>
          <w:rFonts w:eastAsia="Times New Roman"/>
          <w:i/>
          <w:iCs/>
          <w:highlight w:val="yellow"/>
        </w:rPr>
        <w:t>Head &amp; Neck, 46</w:t>
      </w:r>
      <w:r w:rsidRPr="003C531B">
        <w:rPr>
          <w:rFonts w:eastAsia="Times New Roman"/>
          <w:highlight w:val="yellow"/>
        </w:rPr>
        <w:t xml:space="preserve">(3), 599–608. https://doi.org/10.1002/hed.27612 </w:t>
      </w:r>
    </w:p>
    <w:p w14:paraId="64E450BA" w14:textId="77777777" w:rsidR="003C531B" w:rsidRPr="003C531B" w:rsidRDefault="003C531B" w:rsidP="003C531B">
      <w:pPr>
        <w:spacing w:before="100" w:beforeAutospacing="1" w:after="100" w:afterAutospacing="1"/>
        <w:rPr>
          <w:rFonts w:eastAsia="Times New Roman"/>
          <w:highlight w:val="yellow"/>
        </w:rPr>
      </w:pPr>
      <w:r w:rsidRPr="003C531B">
        <w:rPr>
          <w:rFonts w:eastAsia="Times New Roman"/>
          <w:highlight w:val="yellow"/>
        </w:rPr>
        <w:t xml:space="preserve">Heft Neal, M. E., Smith, J. D., </w:t>
      </w:r>
      <w:proofErr w:type="spellStart"/>
      <w:r w:rsidRPr="003C531B">
        <w:rPr>
          <w:rFonts w:eastAsia="Times New Roman"/>
          <w:highlight w:val="yellow"/>
        </w:rPr>
        <w:t>Lyden</w:t>
      </w:r>
      <w:proofErr w:type="spellEnd"/>
      <w:r w:rsidRPr="003C531B">
        <w:rPr>
          <w:rFonts w:eastAsia="Times New Roman"/>
          <w:highlight w:val="yellow"/>
        </w:rPr>
        <w:t xml:space="preserve">, T. H., </w:t>
      </w:r>
      <w:proofErr w:type="spellStart"/>
      <w:r w:rsidRPr="003C531B">
        <w:rPr>
          <w:rFonts w:eastAsia="Times New Roman"/>
          <w:highlight w:val="yellow"/>
        </w:rPr>
        <w:t>Chanowski</w:t>
      </w:r>
      <w:proofErr w:type="spellEnd"/>
      <w:r w:rsidRPr="003C531B">
        <w:rPr>
          <w:rFonts w:eastAsia="Times New Roman"/>
          <w:highlight w:val="yellow"/>
        </w:rPr>
        <w:t xml:space="preserve">, E. J. P., Morrison, R. J., </w:t>
      </w:r>
      <w:proofErr w:type="spellStart"/>
      <w:r w:rsidRPr="003C531B">
        <w:rPr>
          <w:rFonts w:eastAsia="Times New Roman"/>
          <w:highlight w:val="yellow"/>
        </w:rPr>
        <w:t>Contrera</w:t>
      </w:r>
      <w:proofErr w:type="spellEnd"/>
      <w:r w:rsidRPr="003C531B">
        <w:rPr>
          <w:rFonts w:eastAsia="Times New Roman"/>
          <w:highlight w:val="yellow"/>
        </w:rPr>
        <w:t xml:space="preserve">, K., Sridharan, S., Chinn, S. B., </w:t>
      </w:r>
      <w:proofErr w:type="spellStart"/>
      <w:r w:rsidRPr="003C531B">
        <w:rPr>
          <w:rFonts w:eastAsia="Times New Roman"/>
          <w:highlight w:val="yellow"/>
        </w:rPr>
        <w:t>Chepeha</w:t>
      </w:r>
      <w:proofErr w:type="spellEnd"/>
      <w:r w:rsidRPr="003C531B">
        <w:rPr>
          <w:rFonts w:eastAsia="Times New Roman"/>
          <w:highlight w:val="yellow"/>
        </w:rPr>
        <w:t xml:space="preserve">, D. B., &amp; Spector, M. E. (2024). Oral cavity obliteration is a novel predictor of functional outcomes after glossectomy reconstruction. </w:t>
      </w:r>
      <w:r w:rsidRPr="003C531B">
        <w:rPr>
          <w:rFonts w:eastAsia="Times New Roman"/>
          <w:i/>
          <w:iCs/>
          <w:highlight w:val="yellow"/>
        </w:rPr>
        <w:t>Oral Oncology, 159</w:t>
      </w:r>
      <w:r w:rsidRPr="003C531B">
        <w:rPr>
          <w:rFonts w:eastAsia="Times New Roman"/>
          <w:highlight w:val="yellow"/>
        </w:rPr>
        <w:t xml:space="preserve">, 107058. https://doi.org/10.1016/j.oraloncology.2024.107058 </w:t>
      </w:r>
    </w:p>
    <w:p w14:paraId="25F9D7F3" w14:textId="77777777" w:rsidR="003C531B" w:rsidRPr="003C531B" w:rsidRDefault="003C531B" w:rsidP="003C531B">
      <w:pPr>
        <w:spacing w:before="100" w:beforeAutospacing="1" w:after="100" w:afterAutospacing="1"/>
        <w:rPr>
          <w:rFonts w:eastAsia="Times New Roman"/>
          <w:highlight w:val="yellow"/>
        </w:rPr>
      </w:pPr>
      <w:proofErr w:type="spellStart"/>
      <w:r w:rsidRPr="003C531B">
        <w:rPr>
          <w:rFonts w:eastAsia="Times New Roman"/>
          <w:highlight w:val="yellow"/>
        </w:rPr>
        <w:t>Tundealao</w:t>
      </w:r>
      <w:proofErr w:type="spellEnd"/>
      <w:r w:rsidRPr="003C531B">
        <w:rPr>
          <w:rFonts w:eastAsia="Times New Roman"/>
          <w:highlight w:val="yellow"/>
        </w:rPr>
        <w:t xml:space="preserve">, S., </w:t>
      </w:r>
      <w:proofErr w:type="spellStart"/>
      <w:r w:rsidRPr="003C531B">
        <w:rPr>
          <w:rFonts w:eastAsia="Times New Roman"/>
          <w:highlight w:val="yellow"/>
        </w:rPr>
        <w:t>Okunlola</w:t>
      </w:r>
      <w:proofErr w:type="spellEnd"/>
      <w:r w:rsidRPr="003C531B">
        <w:rPr>
          <w:rFonts w:eastAsia="Times New Roman"/>
          <w:highlight w:val="yellow"/>
        </w:rPr>
        <w:t xml:space="preserve">, P., </w:t>
      </w:r>
      <w:proofErr w:type="spellStart"/>
      <w:r w:rsidRPr="003C531B">
        <w:rPr>
          <w:rFonts w:eastAsia="Times New Roman"/>
          <w:highlight w:val="yellow"/>
        </w:rPr>
        <w:t>Alabaku</w:t>
      </w:r>
      <w:proofErr w:type="spellEnd"/>
      <w:r w:rsidRPr="003C531B">
        <w:rPr>
          <w:rFonts w:eastAsia="Times New Roman"/>
          <w:highlight w:val="yellow"/>
        </w:rPr>
        <w:t xml:space="preserve">, O., Noah, O., </w:t>
      </w:r>
      <w:proofErr w:type="spellStart"/>
      <w:r w:rsidRPr="003C531B">
        <w:rPr>
          <w:rFonts w:eastAsia="Times New Roman"/>
          <w:highlight w:val="yellow"/>
        </w:rPr>
        <w:t>Alufa</w:t>
      </w:r>
      <w:proofErr w:type="spellEnd"/>
      <w:r w:rsidRPr="003C531B">
        <w:rPr>
          <w:rFonts w:eastAsia="Times New Roman"/>
          <w:highlight w:val="yellow"/>
        </w:rPr>
        <w:t xml:space="preserve">, O., &amp; </w:t>
      </w:r>
      <w:proofErr w:type="spellStart"/>
      <w:r w:rsidRPr="003C531B">
        <w:rPr>
          <w:rFonts w:eastAsia="Times New Roman"/>
          <w:highlight w:val="yellow"/>
        </w:rPr>
        <w:t>Titiloye</w:t>
      </w:r>
      <w:proofErr w:type="spellEnd"/>
      <w:r w:rsidRPr="003C531B">
        <w:rPr>
          <w:rFonts w:eastAsia="Times New Roman"/>
          <w:highlight w:val="yellow"/>
        </w:rPr>
        <w:t xml:space="preserve">, T. (2025). Head and neck related quality of life following glossectomy among tongue cancer patients: A systematic review and meta-analysis. </w:t>
      </w:r>
      <w:r w:rsidRPr="003C531B">
        <w:rPr>
          <w:rFonts w:eastAsia="Times New Roman"/>
          <w:i/>
          <w:iCs/>
          <w:highlight w:val="yellow"/>
        </w:rPr>
        <w:t>Oral and Maxillofacial Surgery, 29</w:t>
      </w:r>
      <w:r w:rsidRPr="003C531B">
        <w:rPr>
          <w:rFonts w:eastAsia="Times New Roman"/>
          <w:highlight w:val="yellow"/>
        </w:rPr>
        <w:t xml:space="preserve">, 164. https://doi.org/10.1007/s10006-025-01471-y </w:t>
      </w:r>
    </w:p>
    <w:p w14:paraId="7CDE39B9" w14:textId="3B2AE410" w:rsidR="003C531B" w:rsidRDefault="003C531B" w:rsidP="003C531B">
      <w:pPr>
        <w:spacing w:before="100" w:beforeAutospacing="1" w:after="100" w:afterAutospacing="1"/>
        <w:rPr>
          <w:rFonts w:eastAsia="Times New Roman"/>
        </w:rPr>
      </w:pPr>
      <w:r w:rsidRPr="003C531B">
        <w:rPr>
          <w:rFonts w:eastAsia="Times New Roman"/>
          <w:highlight w:val="yellow"/>
        </w:rPr>
        <w:t xml:space="preserve">Wu, S. S., </w:t>
      </w:r>
      <w:proofErr w:type="spellStart"/>
      <w:r w:rsidRPr="003C531B">
        <w:rPr>
          <w:rFonts w:eastAsia="Times New Roman"/>
          <w:highlight w:val="yellow"/>
        </w:rPr>
        <w:t>Jetly</w:t>
      </w:r>
      <w:proofErr w:type="spellEnd"/>
      <w:r w:rsidRPr="003C531B">
        <w:rPr>
          <w:rFonts w:eastAsia="Times New Roman"/>
          <w:highlight w:val="yellow"/>
        </w:rPr>
        <w:t xml:space="preserve">, A. S., </w:t>
      </w:r>
      <w:proofErr w:type="spellStart"/>
      <w:r w:rsidRPr="003C531B">
        <w:rPr>
          <w:rFonts w:eastAsia="Times New Roman"/>
          <w:highlight w:val="yellow"/>
        </w:rPr>
        <w:t>Starmer</w:t>
      </w:r>
      <w:proofErr w:type="spellEnd"/>
      <w:r w:rsidRPr="003C531B">
        <w:rPr>
          <w:rFonts w:eastAsia="Times New Roman"/>
          <w:highlight w:val="yellow"/>
        </w:rPr>
        <w:t xml:space="preserve">, H. M., </w:t>
      </w:r>
      <w:proofErr w:type="spellStart"/>
      <w:r w:rsidRPr="003C531B">
        <w:rPr>
          <w:rFonts w:eastAsia="Times New Roman"/>
          <w:highlight w:val="yellow"/>
        </w:rPr>
        <w:t>Finegersh</w:t>
      </w:r>
      <w:proofErr w:type="spellEnd"/>
      <w:r w:rsidRPr="003C531B">
        <w:rPr>
          <w:rFonts w:eastAsia="Times New Roman"/>
          <w:highlight w:val="yellow"/>
        </w:rPr>
        <w:t xml:space="preserve">, A., Holsinger, F. C., Chen, M. M., </w:t>
      </w:r>
      <w:proofErr w:type="spellStart"/>
      <w:r w:rsidRPr="003C531B">
        <w:rPr>
          <w:rFonts w:eastAsia="Times New Roman"/>
          <w:highlight w:val="yellow"/>
        </w:rPr>
        <w:t>Divi</w:t>
      </w:r>
      <w:proofErr w:type="spellEnd"/>
      <w:r w:rsidRPr="003C531B">
        <w:rPr>
          <w:rFonts w:eastAsia="Times New Roman"/>
          <w:highlight w:val="yellow"/>
        </w:rPr>
        <w:t xml:space="preserve">, V., Pham, N., &amp; </w:t>
      </w:r>
      <w:proofErr w:type="spellStart"/>
      <w:r w:rsidRPr="003C531B">
        <w:rPr>
          <w:rFonts w:eastAsia="Times New Roman"/>
          <w:highlight w:val="yellow"/>
        </w:rPr>
        <w:t>Baik</w:t>
      </w:r>
      <w:proofErr w:type="spellEnd"/>
      <w:r w:rsidRPr="003C531B">
        <w:rPr>
          <w:rFonts w:eastAsia="Times New Roman"/>
          <w:highlight w:val="yellow"/>
        </w:rPr>
        <w:t xml:space="preserve">, F. M. (2026). </w:t>
      </w:r>
      <w:proofErr w:type="spellStart"/>
      <w:r w:rsidRPr="003C531B">
        <w:rPr>
          <w:rFonts w:eastAsia="Times New Roman"/>
          <w:highlight w:val="yellow"/>
        </w:rPr>
        <w:t>Tumor</w:t>
      </w:r>
      <w:proofErr w:type="spellEnd"/>
      <w:r w:rsidRPr="003C531B">
        <w:rPr>
          <w:rFonts w:eastAsia="Times New Roman"/>
          <w:highlight w:val="yellow"/>
        </w:rPr>
        <w:t xml:space="preserve"> and flap reconstruction volumes and functional outcomes after glossectomy. </w:t>
      </w:r>
      <w:r w:rsidRPr="003C531B">
        <w:rPr>
          <w:rFonts w:eastAsia="Times New Roman"/>
          <w:i/>
          <w:iCs/>
          <w:highlight w:val="yellow"/>
        </w:rPr>
        <w:t>JAMA Otolaryngology–Head &amp; Neck Surgery</w:t>
      </w:r>
      <w:r w:rsidRPr="003C531B">
        <w:rPr>
          <w:rFonts w:eastAsia="Times New Roman"/>
          <w:highlight w:val="yellow"/>
        </w:rPr>
        <w:t xml:space="preserve">. Advance online publication. </w:t>
      </w:r>
      <w:hyperlink r:id="rId4" w:history="1">
        <w:r w:rsidR="00B269CF" w:rsidRPr="003C531B">
          <w:rPr>
            <w:rStyle w:val="Hyperlink"/>
            <w:rFonts w:eastAsia="Times New Roman"/>
            <w:highlight w:val="yellow"/>
          </w:rPr>
          <w:t>https://doi.org/10.1001/jamaoto.2026.0099</w:t>
        </w:r>
      </w:hyperlink>
    </w:p>
    <w:p w14:paraId="09355513" w14:textId="23381873" w:rsidR="00B269CF" w:rsidRDefault="00B269CF" w:rsidP="003C531B">
      <w:pPr>
        <w:spacing w:before="100" w:beforeAutospacing="1" w:after="100" w:afterAutospacing="1"/>
        <w:rPr>
          <w:rFonts w:eastAsia="Times New Roman"/>
        </w:rPr>
      </w:pPr>
      <w:proofErr w:type="spellStart"/>
      <w:r w:rsidRPr="00691C75">
        <w:rPr>
          <w:rFonts w:eastAsia="Times New Roman"/>
          <w:highlight w:val="yellow"/>
        </w:rPr>
        <w:t>Jamin</w:t>
      </w:r>
      <w:proofErr w:type="spellEnd"/>
      <w:r w:rsidRPr="00691C75">
        <w:rPr>
          <w:rFonts w:eastAsia="Times New Roman"/>
          <w:highlight w:val="yellow"/>
        </w:rPr>
        <w:t xml:space="preserve">, C., Karam, E., </w:t>
      </w:r>
      <w:proofErr w:type="spellStart"/>
      <w:r w:rsidRPr="00691C75">
        <w:rPr>
          <w:rFonts w:eastAsia="Times New Roman"/>
          <w:highlight w:val="yellow"/>
        </w:rPr>
        <w:t>Marmouset</w:t>
      </w:r>
      <w:proofErr w:type="spellEnd"/>
      <w:r w:rsidRPr="00691C75">
        <w:rPr>
          <w:rFonts w:eastAsia="Times New Roman"/>
          <w:highlight w:val="yellow"/>
        </w:rPr>
        <w:t xml:space="preserve">, F., Laure, B., </w:t>
      </w:r>
      <w:proofErr w:type="spellStart"/>
      <w:r w:rsidRPr="00691C75">
        <w:rPr>
          <w:rFonts w:eastAsia="Times New Roman"/>
          <w:highlight w:val="yellow"/>
        </w:rPr>
        <w:t>Moriniere</w:t>
      </w:r>
      <w:proofErr w:type="spellEnd"/>
      <w:r w:rsidRPr="00691C75">
        <w:rPr>
          <w:rFonts w:eastAsia="Times New Roman"/>
          <w:highlight w:val="yellow"/>
        </w:rPr>
        <w:t xml:space="preserve">, S., &amp; Pare, A. (2024). Tongue reconstruction after oncological resection: Analysis of the functional outcomes. Journal of Stomatology, Oral and Maxillofacial Surgery, 125(3), 101707. </w:t>
      </w:r>
      <w:hyperlink r:id="rId5" w:history="1">
        <w:r w:rsidRPr="00691C75">
          <w:rPr>
            <w:rStyle w:val="Hyperlink"/>
            <w:rFonts w:eastAsia="Times New Roman"/>
            <w:highlight w:val="yellow"/>
          </w:rPr>
          <w:t>https://doi.org/10.1016/j.jormas.2023.101707</w:t>
        </w:r>
      </w:hyperlink>
    </w:p>
    <w:p w14:paraId="5B7E0E10" w14:textId="77777777" w:rsidR="00B269CF" w:rsidRPr="003C531B" w:rsidRDefault="00B269CF" w:rsidP="003C531B">
      <w:pPr>
        <w:spacing w:before="100" w:beforeAutospacing="1" w:after="100" w:afterAutospacing="1"/>
        <w:rPr>
          <w:rFonts w:eastAsia="Times New Roman"/>
        </w:rPr>
      </w:pPr>
    </w:p>
    <w:p w14:paraId="5EBEE594" w14:textId="77777777" w:rsidR="006518EA" w:rsidRDefault="006518EA"/>
    <w:sectPr w:rsidR="00651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1sTA1MTYxNDc3MTRV0lEKTi0uzszPAykwrgUA52WgXiwAAAA="/>
  </w:docVars>
  <w:rsids>
    <w:rsidRoot w:val="003A1EF2"/>
    <w:rsid w:val="00122CBF"/>
    <w:rsid w:val="00240282"/>
    <w:rsid w:val="00295223"/>
    <w:rsid w:val="003A1EF2"/>
    <w:rsid w:val="003C531B"/>
    <w:rsid w:val="003E44DC"/>
    <w:rsid w:val="004F0B17"/>
    <w:rsid w:val="005A23D1"/>
    <w:rsid w:val="00625D91"/>
    <w:rsid w:val="006518EA"/>
    <w:rsid w:val="00691C75"/>
    <w:rsid w:val="008A4F47"/>
    <w:rsid w:val="00901672"/>
    <w:rsid w:val="00985D7A"/>
    <w:rsid w:val="00B269CF"/>
    <w:rsid w:val="00BE6B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1C15"/>
  <w15:chartTrackingRefBased/>
  <w15:docId w15:val="{B25CCEC8-93B0-417D-8F00-BD85AA47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EF2"/>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1EF2"/>
    <w:pPr>
      <w:spacing w:before="100" w:beforeAutospacing="1" w:after="100" w:afterAutospacing="1"/>
    </w:pPr>
  </w:style>
  <w:style w:type="character" w:styleId="Emphasis">
    <w:name w:val="Emphasis"/>
    <w:basedOn w:val="DefaultParagraphFont"/>
    <w:uiPriority w:val="20"/>
    <w:qFormat/>
    <w:rsid w:val="003C531B"/>
    <w:rPr>
      <w:i/>
      <w:iCs/>
    </w:rPr>
  </w:style>
  <w:style w:type="character" w:styleId="Hyperlink">
    <w:name w:val="Hyperlink"/>
    <w:basedOn w:val="DefaultParagraphFont"/>
    <w:uiPriority w:val="99"/>
    <w:unhideWhenUsed/>
    <w:rsid w:val="00B269CF"/>
    <w:rPr>
      <w:color w:val="0563C1" w:themeColor="hyperlink"/>
      <w:u w:val="single"/>
    </w:rPr>
  </w:style>
  <w:style w:type="character" w:styleId="UnresolvedMention">
    <w:name w:val="Unresolved Mention"/>
    <w:basedOn w:val="DefaultParagraphFont"/>
    <w:uiPriority w:val="99"/>
    <w:semiHidden/>
    <w:unhideWhenUsed/>
    <w:rsid w:val="00B26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6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j.jormas.2023.101707" TargetMode="External"/><Relationship Id="rId4" Type="http://schemas.openxmlformats.org/officeDocument/2006/relationships/hyperlink" Target="https://doi.org/10.1001/jamaoto.2026.0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4775</Words>
  <Characters>27220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Rajnish Talwar</dc:creator>
  <cp:keywords/>
  <dc:description/>
  <cp:lastModifiedBy>SDI PC New 16</cp:lastModifiedBy>
  <cp:revision>10</cp:revision>
  <dcterms:created xsi:type="dcterms:W3CDTF">2026-04-06T04:47:00Z</dcterms:created>
  <dcterms:modified xsi:type="dcterms:W3CDTF">2026-04-13T13:08:00Z</dcterms:modified>
</cp:coreProperties>
</file>