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52E" w:rsidRPr="003960C0" w:rsidRDefault="00B9352E" w:rsidP="003960C0">
      <w:pPr>
        <w:keepNext/>
        <w:keepLines/>
        <w:spacing w:before="40" w:after="40" w:line="276" w:lineRule="auto"/>
        <w:jc w:val="center"/>
        <w:outlineLvl w:val="1"/>
        <w:rPr>
          <w:rFonts w:ascii="Times New Roman" w:eastAsia="MS Gothic" w:hAnsi="Times New Roman" w:cs="Times New Roman"/>
          <w:b/>
          <w:bCs/>
          <w:color w:val="000000"/>
          <w:sz w:val="24"/>
          <w:szCs w:val="24"/>
          <w:lang w:val="en-US"/>
        </w:rPr>
      </w:pPr>
      <w:r w:rsidRPr="003960C0">
        <w:rPr>
          <w:rFonts w:ascii="Times New Roman" w:eastAsia="MS Gothic" w:hAnsi="Times New Roman" w:cs="Times New Roman"/>
          <w:b/>
          <w:bCs/>
          <w:color w:val="000000"/>
          <w:sz w:val="24"/>
          <w:szCs w:val="24"/>
          <w:lang w:val="en-US"/>
        </w:rPr>
        <w:t>Femoral and Popliteal Nerve Block for Left Foot Amputation: A Case Report in a Patient with Low Ejection Fraction and Recent Clopidogrel Use</w:t>
      </w:r>
    </w:p>
    <w:p w:rsidR="00AB1675" w:rsidRPr="003960C0" w:rsidRDefault="00AB1675" w:rsidP="00B9352E">
      <w:pPr>
        <w:keepNext/>
        <w:keepLines/>
        <w:spacing w:before="40" w:after="40" w:line="276" w:lineRule="auto"/>
        <w:jc w:val="both"/>
        <w:outlineLvl w:val="1"/>
        <w:rPr>
          <w:rFonts w:ascii="Times New Roman" w:eastAsia="MS Gothic" w:hAnsi="Times New Roman" w:cs="Times New Roman"/>
          <w:bCs/>
          <w:color w:val="000000"/>
          <w:sz w:val="24"/>
          <w:szCs w:val="24"/>
          <w:lang w:val="en-US"/>
        </w:rPr>
      </w:pPr>
    </w:p>
    <w:p w:rsidR="006433D0" w:rsidRPr="003960C0" w:rsidRDefault="006433D0" w:rsidP="00B9352E">
      <w:pPr>
        <w:keepNext/>
        <w:keepLines/>
        <w:spacing w:before="40" w:after="40" w:line="276" w:lineRule="auto"/>
        <w:jc w:val="both"/>
        <w:outlineLvl w:val="1"/>
        <w:rPr>
          <w:rFonts w:ascii="Times New Roman" w:eastAsia="MS Gothic" w:hAnsi="Times New Roman" w:cs="Times New Roman"/>
          <w:bCs/>
          <w:color w:val="000000"/>
          <w:sz w:val="24"/>
          <w:szCs w:val="24"/>
          <w:lang w:val="en-US"/>
        </w:rPr>
      </w:pPr>
    </w:p>
    <w:p w:rsidR="00B9352E" w:rsidRPr="003960C0" w:rsidRDefault="00B9352E" w:rsidP="00B9352E">
      <w:pPr>
        <w:keepNext/>
        <w:keepLines/>
        <w:spacing w:before="40" w:after="40" w:line="276" w:lineRule="auto"/>
        <w:jc w:val="both"/>
        <w:outlineLvl w:val="1"/>
        <w:rPr>
          <w:rFonts w:ascii="Times New Roman" w:eastAsia="MS Gothic" w:hAnsi="Times New Roman" w:cs="Times New Roman"/>
          <w:bCs/>
          <w:color w:val="000000"/>
          <w:sz w:val="24"/>
          <w:szCs w:val="24"/>
          <w:lang w:val="en-US"/>
        </w:rPr>
      </w:pPr>
    </w:p>
    <w:p w:rsidR="00B9352E" w:rsidRPr="003960C0" w:rsidRDefault="00B9352E"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r w:rsidRPr="003960C0">
        <w:rPr>
          <w:rFonts w:ascii="Times New Roman" w:eastAsia="MS Gothic" w:hAnsi="Times New Roman" w:cs="Times New Roman"/>
          <w:b/>
          <w:bCs/>
          <w:color w:val="000000"/>
          <w:sz w:val="24"/>
          <w:szCs w:val="24"/>
          <w:lang w:val="en-US"/>
        </w:rPr>
        <w:t>Abstract</w:t>
      </w:r>
    </w:p>
    <w:p w:rsidR="00D3704D" w:rsidRPr="003960C0" w:rsidRDefault="004D1F92" w:rsidP="00D3704D">
      <w:pPr>
        <w:spacing w:before="40" w:after="40" w:line="276" w:lineRule="auto"/>
        <w:jc w:val="both"/>
        <w:rPr>
          <w:rFonts w:ascii="Times New Roman" w:eastAsia="MS Mincho" w:hAnsi="Times New Roman" w:cs="Times New Roman"/>
          <w:color w:val="000000"/>
          <w:sz w:val="24"/>
          <w:szCs w:val="24"/>
        </w:rPr>
      </w:pPr>
      <w:proofErr w:type="gramStart"/>
      <w:r w:rsidRPr="003960C0">
        <w:rPr>
          <w:rFonts w:ascii="Times New Roman" w:eastAsia="MS Mincho" w:hAnsi="Times New Roman" w:cs="Times New Roman"/>
          <w:b/>
          <w:color w:val="000000"/>
          <w:sz w:val="24"/>
          <w:szCs w:val="24"/>
          <w:lang w:val="en-US"/>
        </w:rPr>
        <w:t xml:space="preserve">Introduction </w:t>
      </w:r>
      <w:r w:rsidR="00D3704D" w:rsidRPr="003960C0">
        <w:rPr>
          <w:rFonts w:ascii="Times New Roman" w:eastAsia="MS Mincho" w:hAnsi="Times New Roman" w:cs="Times New Roman"/>
          <w:color w:val="000000"/>
          <w:sz w:val="24"/>
          <w:szCs w:val="24"/>
          <w:lang w:val="en-US"/>
        </w:rPr>
        <w:t>:</w:t>
      </w:r>
      <w:proofErr w:type="gramEnd"/>
      <w:r w:rsidR="00D3704D" w:rsidRPr="003960C0">
        <w:rPr>
          <w:rFonts w:ascii="Times New Roman" w:eastAsia="Times New Roman" w:hAnsi="Times New Roman" w:cs="Times New Roman"/>
          <w:bCs/>
          <w:color w:val="2B2D38"/>
          <w:sz w:val="24"/>
          <w:szCs w:val="24"/>
          <w:lang w:eastAsia="tr-TR"/>
        </w:rPr>
        <w:t xml:space="preserve"> </w:t>
      </w:r>
      <w:r w:rsidR="00D3704D" w:rsidRPr="003960C0">
        <w:rPr>
          <w:rFonts w:ascii="Times New Roman" w:eastAsia="MS Mincho" w:hAnsi="Times New Roman" w:cs="Times New Roman"/>
          <w:color w:val="000000"/>
          <w:sz w:val="24"/>
          <w:szCs w:val="24"/>
        </w:rPr>
        <w:t>Patients with heart problems are very hard to give anesthesia to especially when they need surgery on their legs. Giving them anesthesia can be really risky because it can make their blood pressure go up and down a lot. This is because their heart is not strong enough and cannot handle the stress of the surgery(1).</w:t>
      </w:r>
    </w:p>
    <w:p w:rsidR="00D3704D" w:rsidRPr="003960C0" w:rsidRDefault="00D3704D" w:rsidP="00D3704D">
      <w:pPr>
        <w:spacing w:before="40" w:after="40" w:line="276" w:lineRule="auto"/>
        <w:jc w:val="both"/>
        <w:rPr>
          <w:rFonts w:ascii="Times New Roman" w:eastAsia="MS Mincho" w:hAnsi="Times New Roman" w:cs="Times New Roman"/>
          <w:color w:val="000000"/>
          <w:sz w:val="24"/>
          <w:szCs w:val="24"/>
        </w:rPr>
      </w:pPr>
      <w:r w:rsidRPr="003960C0">
        <w:rPr>
          <w:rFonts w:ascii="Times New Roman" w:eastAsia="MS Mincho" w:hAnsi="Times New Roman" w:cs="Times New Roman"/>
          <w:color w:val="000000"/>
          <w:sz w:val="24"/>
          <w:szCs w:val="24"/>
        </w:rPr>
        <w:t>There is another way to give anesthesia called anesthesia which is used for leg surgery. However this method can be dangerous for patients who are taking medications, such as clopidogrel because it can cause bleeding in the spine. The American Society of Regional Anesthesia and Pain Medicine says that doctors should be very careful when using this method on patients who are taking these kinds of medications(2).</w:t>
      </w:r>
    </w:p>
    <w:p w:rsidR="00D3704D" w:rsidRPr="003960C0" w:rsidRDefault="00D3704D" w:rsidP="00D3704D">
      <w:pPr>
        <w:spacing w:before="40" w:after="40" w:line="276" w:lineRule="auto"/>
        <w:jc w:val="both"/>
        <w:rPr>
          <w:rFonts w:ascii="Times New Roman" w:eastAsia="MS Mincho" w:hAnsi="Times New Roman" w:cs="Times New Roman"/>
          <w:color w:val="000000"/>
          <w:sz w:val="24"/>
          <w:szCs w:val="24"/>
        </w:rPr>
      </w:pPr>
      <w:r w:rsidRPr="003960C0">
        <w:rPr>
          <w:rFonts w:ascii="Times New Roman" w:eastAsia="MS Mincho" w:hAnsi="Times New Roman" w:cs="Times New Roman"/>
          <w:color w:val="000000"/>
          <w:sz w:val="24"/>
          <w:szCs w:val="24"/>
        </w:rPr>
        <w:t>Some doctors are now using a method, called peripheral nerve blocks, which can be safer for high-risk patients. This method involves numbing the nerves in the leg which can help the patient avoid feeling pain during surgery without affecting their blood pressure(3). Using ultrasound to guide the needle makes this method even safer and more effective (4).</w:t>
      </w:r>
    </w:p>
    <w:p w:rsidR="004D1F92" w:rsidRPr="003960C0" w:rsidRDefault="00D3704D" w:rsidP="00D3704D">
      <w:pPr>
        <w:spacing w:before="40" w:after="40" w:line="276" w:lineRule="auto"/>
        <w:jc w:val="both"/>
        <w:rPr>
          <w:rFonts w:ascii="Times New Roman" w:eastAsia="MS Mincho" w:hAnsi="Times New Roman" w:cs="Times New Roman"/>
          <w:color w:val="000000"/>
          <w:sz w:val="24"/>
          <w:szCs w:val="24"/>
        </w:rPr>
      </w:pPr>
      <w:r w:rsidRPr="003960C0">
        <w:rPr>
          <w:rFonts w:ascii="Times New Roman" w:eastAsia="MS Mincho" w:hAnsi="Times New Roman" w:cs="Times New Roman"/>
          <w:color w:val="000000"/>
          <w:sz w:val="24"/>
          <w:szCs w:val="24"/>
        </w:rPr>
        <w:t>There are not many reports about using peripheral nerve blocks for emergency leg amputations on patients with very bad heart problems who are also taking antiplatelet medications. So we want to share a story, about a patient who had a surgery using this method. The patient had a low ejection fraction and had recently taken clopidogrel but they were still able to have a safe and successful foot amputation using ultrasound-guided femoral and popliteal nerve blocks.</w:t>
      </w:r>
    </w:p>
    <w:p w:rsidR="00D3704D" w:rsidRPr="003960C0" w:rsidRDefault="00D3704D" w:rsidP="00D3704D">
      <w:pPr>
        <w:spacing w:before="40" w:after="40" w:line="276" w:lineRule="auto"/>
        <w:jc w:val="both"/>
        <w:rPr>
          <w:rFonts w:ascii="Times New Roman" w:eastAsia="MS Mincho" w:hAnsi="Times New Roman" w:cs="Times New Roman"/>
          <w:color w:val="000000"/>
          <w:sz w:val="24"/>
          <w:szCs w:val="24"/>
        </w:rPr>
      </w:pPr>
    </w:p>
    <w:p w:rsidR="00BD0C9E" w:rsidRPr="003960C0" w:rsidRDefault="004D1F92" w:rsidP="004D1F92">
      <w:pPr>
        <w:spacing w:before="40" w:after="40" w:line="276" w:lineRule="auto"/>
        <w:jc w:val="both"/>
        <w:rPr>
          <w:rFonts w:ascii="Times New Roman" w:hAnsi="Times New Roman" w:cs="Times New Roman"/>
          <w:sz w:val="24"/>
          <w:szCs w:val="24"/>
        </w:rPr>
      </w:pPr>
      <w:r w:rsidRPr="003960C0">
        <w:rPr>
          <w:rFonts w:ascii="Times New Roman" w:eastAsia="MS Mincho" w:hAnsi="Times New Roman" w:cs="Times New Roman"/>
          <w:b/>
          <w:color w:val="000000"/>
          <w:sz w:val="24"/>
          <w:szCs w:val="24"/>
          <w:lang w:val="en-US"/>
        </w:rPr>
        <w:t>Case Presentation:</w:t>
      </w:r>
      <w:r w:rsidR="00722D35" w:rsidRPr="003960C0">
        <w:rPr>
          <w:rFonts w:ascii="Times New Roman" w:hAnsi="Times New Roman" w:cs="Times New Roman"/>
          <w:sz w:val="24"/>
          <w:szCs w:val="24"/>
        </w:rPr>
        <w:t xml:space="preserve"> </w:t>
      </w:r>
      <w:r w:rsidR="00BD0C9E" w:rsidRPr="003960C0">
        <w:rPr>
          <w:rFonts w:ascii="Times New Roman" w:hAnsi="Times New Roman" w:cs="Times New Roman"/>
          <w:sz w:val="24"/>
          <w:szCs w:val="24"/>
        </w:rPr>
        <w:t xml:space="preserve">A 57-year-old </w:t>
      </w:r>
      <w:r w:rsidR="00BD0C9E" w:rsidRPr="003960C0">
        <w:rPr>
          <w:rFonts w:ascii="Times New Roman" w:hAnsi="Times New Roman" w:cs="Times New Roman"/>
          <w:bCs/>
          <w:sz w:val="24"/>
          <w:szCs w:val="24"/>
        </w:rPr>
        <w:t>90-kg</w:t>
      </w:r>
      <w:r w:rsidR="00BD0C9E" w:rsidRPr="003960C0">
        <w:rPr>
          <w:rFonts w:ascii="Times New Roman" w:hAnsi="Times New Roman" w:cs="Times New Roman"/>
          <w:sz w:val="24"/>
          <w:szCs w:val="24"/>
        </w:rPr>
        <w:t xml:space="preserve"> male</w:t>
      </w:r>
      <w:r w:rsidR="00505AC1" w:rsidRPr="003960C0">
        <w:rPr>
          <w:rFonts w:ascii="Times New Roman" w:hAnsi="Times New Roman" w:cs="Times New Roman"/>
          <w:sz w:val="24"/>
          <w:szCs w:val="24"/>
        </w:rPr>
        <w:t xml:space="preserve"> ASA IV, NYHA Class III</w:t>
      </w:r>
      <w:r w:rsidR="00BD0C9E" w:rsidRPr="003960C0">
        <w:rPr>
          <w:rFonts w:ascii="Times New Roman" w:hAnsi="Times New Roman" w:cs="Times New Roman"/>
          <w:sz w:val="24"/>
          <w:szCs w:val="24"/>
        </w:rPr>
        <w:t xml:space="preserve"> with coronary artery disease, hypertension, diabetes, and chronic heart failure (ejection fraction 20%) presented for left foot amputation. He had taken clopidogrel 24 hours prior to surgery, contraindicating neuraxial anesthesia (3). Ultrasound-guided femoral and popliteal nerve blocks were performed using </w:t>
      </w:r>
      <w:r w:rsidR="00BD0C9E" w:rsidRPr="003960C0">
        <w:rPr>
          <w:rFonts w:ascii="Times New Roman" w:hAnsi="Times New Roman" w:cs="Times New Roman"/>
          <w:bCs/>
          <w:sz w:val="24"/>
          <w:szCs w:val="24"/>
        </w:rPr>
        <w:t>45 mL of 0.5% bupivacaine (total dose 225 mg, approximately 2.5 mg/kg), which was within the recommended safe dose range for the patient’s body weight</w:t>
      </w:r>
      <w:r w:rsidR="00BD0C9E" w:rsidRPr="003960C0">
        <w:rPr>
          <w:rFonts w:ascii="Times New Roman" w:hAnsi="Times New Roman" w:cs="Times New Roman"/>
          <w:sz w:val="24"/>
          <w:szCs w:val="24"/>
        </w:rPr>
        <w:t>. The procedure was completed successfully with stable hemodynamics throughout.</w:t>
      </w:r>
    </w:p>
    <w:p w:rsidR="004D1F92" w:rsidRPr="003960C0" w:rsidRDefault="004D1F92" w:rsidP="004D1F92">
      <w:pPr>
        <w:spacing w:before="40" w:after="40" w:line="276" w:lineRule="auto"/>
        <w:jc w:val="both"/>
        <w:rPr>
          <w:rFonts w:ascii="Times New Roman" w:eastAsia="MS Mincho" w:hAnsi="Times New Roman" w:cs="Times New Roman"/>
          <w:color w:val="000000"/>
          <w:sz w:val="24"/>
          <w:szCs w:val="24"/>
          <w:lang w:val="en-US"/>
        </w:rPr>
      </w:pPr>
    </w:p>
    <w:p w:rsidR="004D1F92" w:rsidRPr="003960C0" w:rsidRDefault="004D1F92" w:rsidP="004D1F92">
      <w:pPr>
        <w:spacing w:before="40" w:after="40" w:line="276" w:lineRule="auto"/>
        <w:jc w:val="both"/>
        <w:rPr>
          <w:rFonts w:ascii="Times New Roman" w:eastAsia="MS Mincho" w:hAnsi="Times New Roman" w:cs="Times New Roman"/>
          <w:color w:val="000000"/>
          <w:sz w:val="24"/>
          <w:szCs w:val="24"/>
          <w:lang w:val="en-US"/>
        </w:rPr>
      </w:pPr>
    </w:p>
    <w:p w:rsidR="004D1F92" w:rsidRPr="003960C0" w:rsidRDefault="004D1F92" w:rsidP="004D1F92">
      <w:pPr>
        <w:spacing w:before="40" w:after="40" w:line="276" w:lineRule="auto"/>
        <w:jc w:val="both"/>
        <w:rPr>
          <w:rFonts w:ascii="Times New Roman" w:eastAsia="MS Mincho" w:hAnsi="Times New Roman" w:cs="Times New Roman"/>
          <w:color w:val="000000"/>
          <w:sz w:val="24"/>
          <w:szCs w:val="24"/>
          <w:lang w:val="en-US"/>
        </w:rPr>
      </w:pPr>
      <w:r w:rsidRPr="003960C0">
        <w:rPr>
          <w:rFonts w:ascii="Times New Roman" w:eastAsia="MS Mincho" w:hAnsi="Times New Roman" w:cs="Times New Roman"/>
          <w:b/>
          <w:color w:val="000000"/>
          <w:sz w:val="24"/>
          <w:szCs w:val="24"/>
          <w:lang w:val="en-US"/>
        </w:rPr>
        <w:t>Conclusion:</w:t>
      </w:r>
      <w:r w:rsidRPr="003960C0">
        <w:rPr>
          <w:rFonts w:ascii="Times New Roman" w:eastAsia="MS Mincho" w:hAnsi="Times New Roman" w:cs="Times New Roman"/>
          <w:color w:val="000000"/>
          <w:sz w:val="24"/>
          <w:szCs w:val="24"/>
          <w:lang w:val="en-US"/>
        </w:rPr>
        <w:t xml:space="preserve"> Ultrasound-guided femoral and popliteal nerve blocks are a safe, effective option for lower limb amputations in patients with severely reduced cardiac function and recent clopidogrel use (4). This approach avoids risks of neuraxial blockade while preserving hemodynamic stability.</w:t>
      </w:r>
    </w:p>
    <w:p w:rsidR="004D1F92" w:rsidRPr="003960C0" w:rsidRDefault="004D1F92" w:rsidP="004D1F92">
      <w:pPr>
        <w:spacing w:before="40" w:after="40" w:line="276" w:lineRule="auto"/>
        <w:jc w:val="both"/>
        <w:rPr>
          <w:rFonts w:ascii="Times New Roman" w:eastAsia="MS Mincho" w:hAnsi="Times New Roman" w:cs="Times New Roman"/>
          <w:color w:val="000000"/>
          <w:sz w:val="24"/>
          <w:szCs w:val="24"/>
          <w:lang w:val="en-US"/>
        </w:rPr>
      </w:pPr>
    </w:p>
    <w:p w:rsidR="00B9352E" w:rsidRPr="003960C0" w:rsidRDefault="004D1F92" w:rsidP="004D1F92">
      <w:pPr>
        <w:spacing w:before="40" w:after="40" w:line="276" w:lineRule="auto"/>
        <w:jc w:val="both"/>
        <w:rPr>
          <w:rFonts w:ascii="Times New Roman" w:eastAsia="MS Mincho" w:hAnsi="Times New Roman" w:cs="Times New Roman"/>
          <w:color w:val="000000"/>
          <w:sz w:val="24"/>
          <w:szCs w:val="24"/>
          <w:lang w:val="en-US"/>
        </w:rPr>
      </w:pPr>
      <w:r w:rsidRPr="003960C0">
        <w:rPr>
          <w:rFonts w:ascii="Times New Roman" w:eastAsia="MS Mincho" w:hAnsi="Times New Roman" w:cs="Times New Roman"/>
          <w:b/>
          <w:color w:val="000000"/>
          <w:sz w:val="24"/>
          <w:szCs w:val="24"/>
          <w:lang w:val="en-US"/>
        </w:rPr>
        <w:t>Keywords:</w:t>
      </w:r>
      <w:r w:rsidRPr="003960C0">
        <w:rPr>
          <w:rFonts w:ascii="Times New Roman" w:eastAsia="MS Mincho" w:hAnsi="Times New Roman" w:cs="Times New Roman"/>
          <w:color w:val="000000"/>
          <w:sz w:val="24"/>
          <w:szCs w:val="24"/>
          <w:lang w:val="en-US"/>
        </w:rPr>
        <w:t xml:space="preserve"> femoral block, popliteal block, clopidogrel, amputation, regional anesthesia, </w:t>
      </w:r>
    </w:p>
    <w:p w:rsidR="00B9352E" w:rsidRPr="003960C0"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3960C0">
        <w:rPr>
          <w:rFonts w:ascii="Times New Roman" w:eastAsia="Times New Roman" w:hAnsi="Times New Roman" w:cs="Times New Roman"/>
          <w:b/>
          <w:bCs/>
          <w:sz w:val="24"/>
          <w:szCs w:val="24"/>
          <w:lang w:eastAsia="tr-TR"/>
        </w:rPr>
        <w:t>Introduction</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lastRenderedPageBreak/>
        <w:t>Perioperative management of patients on antiplatelet therapy remains challenging (1,5). Clopidogrel irreversibly inhibits the P2Y12 receptor on platelets, preventing aggregation for 7-10 days (6,7). Discontinuing therapy in patients with cardiovascular disease risks thrombotic events (8), while continuing it increases bleeding complications, particularly with neuraxial techniques (3).</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ASRA guidelines recommend discontinuing clopidogrel for 5-7 days before neuraxial anesthesia (3). This waiting period is not always feasible when surgical urgency is dictated by progressive tissue ischemia (9).</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In patients with severely reduced cardiac function (EF 20%), the stakes are higher. General anesthesia risks myocardial depression and vasodilation (10). Neuraxial techniques can cause sympathectomy with hypotension poorly tolerated in low cardiac output states (11).</w:t>
      </w:r>
    </w:p>
    <w:p w:rsidR="004D1F92" w:rsidRPr="003960C0" w:rsidRDefault="00D418E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Peripheral nerve blocks offer an alternative by anesthetizing only the surgical field while preserving central hemodynamic regulation (4). This case highlights the potential role of ultrasound-guided peripheral nerve blocks as an alternative anesthetic strategy in patients with severe cardiac dysfunction and recent antiplatelet therapy. Managing anesthesia in patients with low ejection fraction who cannot discontinue clopidogrel represents a significant clinical challenge due to the competing risks of bleeding and hemodynamic instability. This report contributes to the limited literature demonstrating that femoral and popliteal nerve blocks may provide effective surgical anesthesia while preserving cardiovascular stability. Although evidence from a single case is limited, this experience may help guide anesthetic decision-making in similar high-risk patients requiring urgent lower extremity surgery.Ultrasound guidance enables direct visualization of neural structures and vessels, minimizing vascular puncture risk in patients with impaired hemostasis (12,13).This report describes ultrasound-guided femoral and popliteal nerve blocks for left foot amputation in a patient with EF 20% who took clopidogrel within 24 hours of surgery.</w:t>
      </w:r>
    </w:p>
    <w:p w:rsidR="00B9352E" w:rsidRPr="003960C0"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Pr="003960C0"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3960C0">
        <w:rPr>
          <w:rFonts w:ascii="Times New Roman" w:eastAsia="Times New Roman" w:hAnsi="Times New Roman" w:cs="Times New Roman"/>
          <w:b/>
          <w:bCs/>
          <w:sz w:val="24"/>
          <w:szCs w:val="24"/>
          <w:lang w:eastAsia="tr-TR"/>
        </w:rPr>
        <w:t>Case Presentation</w:t>
      </w:r>
    </w:p>
    <w:p w:rsidR="004D1F92" w:rsidRPr="003960C0" w:rsidRDefault="004D1F92" w:rsidP="00B9352E">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after="0"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 xml:space="preserve">A 57-year-old male presented with worsening pain and non-healing ulceration of his left foot. His medical history included coronary artery disease with prior </w:t>
      </w:r>
      <w:r w:rsidR="00293D5F" w:rsidRPr="003960C0">
        <w:rPr>
          <w:rFonts w:ascii="Times New Roman" w:eastAsia="Times New Roman" w:hAnsi="Times New Roman" w:cs="Times New Roman"/>
          <w:bCs/>
          <w:sz w:val="24"/>
          <w:szCs w:val="24"/>
          <w:lang w:eastAsia="tr-TR"/>
        </w:rPr>
        <w:t>Coronary Artery Bypass Grafting</w:t>
      </w:r>
      <w:r w:rsidRPr="003960C0">
        <w:rPr>
          <w:rFonts w:ascii="Times New Roman" w:eastAsia="Times New Roman" w:hAnsi="Times New Roman" w:cs="Times New Roman"/>
          <w:bCs/>
          <w:sz w:val="24"/>
          <w:szCs w:val="24"/>
          <w:lang w:eastAsia="tr-TR"/>
        </w:rPr>
        <w:t>, chronic heart failure (EF 20%), type 2 diabetes, hypertension, and peripheral arterial disease.</w:t>
      </w:r>
    </w:p>
    <w:p w:rsidR="004D1F92" w:rsidRPr="003960C0" w:rsidRDefault="004D1F92" w:rsidP="004D1F92">
      <w:pPr>
        <w:spacing w:after="0"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after="0"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Home Medications:</w:t>
      </w:r>
    </w:p>
    <w:p w:rsidR="004D1F92" w:rsidRPr="003960C0" w:rsidRDefault="004D1F92" w:rsidP="004D1F92">
      <w:pPr>
        <w:spacing w:after="0"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after="0"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Clopidogrel 75 mg daily</w:t>
      </w:r>
    </w:p>
    <w:p w:rsidR="004D1F92" w:rsidRPr="003960C0" w:rsidRDefault="004D1F92" w:rsidP="004D1F92">
      <w:pPr>
        <w:spacing w:after="0"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Atorvastatin 40 mg Daily</w:t>
      </w:r>
    </w:p>
    <w:p w:rsidR="004D1F92" w:rsidRPr="003960C0" w:rsidRDefault="004D1F92" w:rsidP="004D1F92">
      <w:pPr>
        <w:spacing w:after="0"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Amlodipine 10 mg daily</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Metoprolol succinate 100 mg daily</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Insulin</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Preoperative Assessment:</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Physical examination revealed a non-ambulatory patient in distress. The left foot appeared dusky with poor capillary refill, absent distal pulses, and necrotic ulceration of the fourth and fifth toes.</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Vital signs: BP 145/85 mmHg, HR 98 bpm, RR 18/min, SpO2 94% on room air. Laboratory studies: Hb 11.2 g/dL, platelets 210,000/μL, normal coagulation parameters, creatinine 1.4 mg/dL.</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Echocardiography showed severe left ventricular dilation with global hypokinesis and EF 20% (2).</w:t>
      </w:r>
    </w:p>
    <w:p w:rsidR="00F6433F" w:rsidRPr="003960C0" w:rsidRDefault="00F6433F"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This case report highlights the clinical importance of peripheral nerve blocks in high-risk cardiac patients requiring urgent lower limb surgery. In patients with severely reduced ejection fraction and ongoing antiplatelet therapy, both general and neuraxial anesthesia may carry significant risks. Ultrasound-guided peripheral nerve blocks may provide effective anesthesia while maintaining hemodynamic stability and minimizing bleeding risk. Therefore, this case contributes practical insight into anesthetic decision-making in complex cardiovascular patients.</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3960C0">
        <w:rPr>
          <w:rFonts w:ascii="Times New Roman" w:eastAsia="Times New Roman" w:hAnsi="Times New Roman" w:cs="Times New Roman"/>
          <w:b/>
          <w:bCs/>
          <w:sz w:val="24"/>
          <w:szCs w:val="24"/>
          <w:lang w:eastAsia="tr-TR"/>
        </w:rPr>
        <w:t>Surgical Indication:</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Left foot amputation was indicated for critical limb ischemia with wet gangrene. Surgical delay was inadvisable due to infection risk (9). The patient had taken clopidogrel 24 hours prior.</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3960C0">
        <w:rPr>
          <w:rFonts w:ascii="Times New Roman" w:eastAsia="Times New Roman" w:hAnsi="Times New Roman" w:cs="Times New Roman"/>
          <w:b/>
          <w:bCs/>
          <w:sz w:val="24"/>
          <w:szCs w:val="24"/>
          <w:lang w:eastAsia="tr-TR"/>
        </w:rPr>
        <w:t>Anesthetic Decision-Making:</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Several factors were considered:</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lastRenderedPageBreak/>
        <w:t>Bleeding Risk: Recent clopidogrel use contraindicated neuraxial anesthesia per ASRA guidelines (3).</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Cardiac Risk: General anesthesia posed significant risk in this patient with EF 20% (10).</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Thrombotic Risk: Discontinuing clopidogrel raised concerns about thrombotic events, but surgery could not be delayed 5-7 days (8).</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Surgical Requirements: Forefoot amputation could be performed with peripheral nerve blocks (4).</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After discussion, informed consent was obtained for ultrasound-guided femoral and popliteal nerve blocks.</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3960C0">
        <w:rPr>
          <w:rFonts w:ascii="Times New Roman" w:eastAsia="Times New Roman" w:hAnsi="Times New Roman" w:cs="Times New Roman"/>
          <w:b/>
          <w:bCs/>
          <w:sz w:val="24"/>
          <w:szCs w:val="24"/>
          <w:lang w:eastAsia="tr-TR"/>
        </w:rPr>
        <w:t>Block Procedure:</w:t>
      </w:r>
    </w:p>
    <w:p w:rsidR="004D1F92" w:rsidRPr="003960C0" w:rsidRDefault="004D1F92" w:rsidP="004D1F92">
      <w:pPr>
        <w:spacing w:after="0"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after="0"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Standard monitors were applied. Mild sedation with midazolam 1 mg IV was administered.</w:t>
      </w:r>
    </w:p>
    <w:p w:rsidR="004D1F92" w:rsidRPr="003960C0" w:rsidRDefault="004D1F92" w:rsidP="004D1F92">
      <w:pPr>
        <w:spacing w:after="0"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Femoral Nerve Block: With the patient supine, a high-frequency linear ultrasound probe was placed in the inguinal crease. The femoral nerve was visualized lateral to the femoral artery. Using an in-plane technique, a 22-gauge needle was positioned adjacent to the nerve. After negative aspiration, 20 mL of 0.5% bupivacaine was injected with observation of circumferential spread (12).</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Popliteal Nerve Block: The patient was positioned laterally. The ultrasound probe was placed transversely proximal to the popliteal crease to identify the tibial and common peroneal nerves. Using an in-plane technique, the needle tip was positioned between the nerves. After negative aspiration, 25 mL of 0.5% bupivacaine was injected (13).</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3960C0">
        <w:rPr>
          <w:rFonts w:ascii="Times New Roman" w:eastAsia="Times New Roman" w:hAnsi="Times New Roman" w:cs="Times New Roman"/>
          <w:b/>
          <w:bCs/>
          <w:sz w:val="24"/>
          <w:szCs w:val="24"/>
          <w:lang w:eastAsia="tr-TR"/>
        </w:rPr>
        <w:t>Intraoperative Course:</w:t>
      </w:r>
    </w:p>
    <w:p w:rsidR="004D1F92" w:rsidRPr="003960C0" w:rsidRDefault="002B69B6" w:rsidP="004D1F92">
      <w:pPr>
        <w:spacing w:before="100" w:beforeAutospacing="1" w:after="100" w:afterAutospacing="1" w:line="240"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Fifteen minutes after completion of the blocks, complete sensory and motor blockade in the femoral and sciatic nerve distributions was confirmed. Motor block was complete, and the patient reported a pain score of 0 on the numeric rating scale (NRS) prior to surgical incision.</w:t>
      </w:r>
    </w:p>
    <w:p w:rsidR="004D1F92" w:rsidRPr="003960C0" w:rsidRDefault="004D1F92" w:rsidP="004D1F92">
      <w:pPr>
        <w:spacing w:before="100" w:beforeAutospacing="1" w:after="100" w:afterAutospacing="1" w:line="240"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lastRenderedPageBreak/>
        <w:t>The 75-minute procedure proceeded without incident. The patient remained awake and comfortable. Hemodynamics were stable: BP within 15% of baseline, HR 85-100 bpm, SpO2 &gt;93% on room air. No additional analgesics or sedatives were required. Surgical hemostasis was unremarkable.</w:t>
      </w: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3960C0" w:rsidRDefault="004D1F92" w:rsidP="004D1F92">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3960C0">
        <w:rPr>
          <w:rFonts w:ascii="Times New Roman" w:eastAsia="Times New Roman" w:hAnsi="Times New Roman" w:cs="Times New Roman"/>
          <w:b/>
          <w:bCs/>
          <w:sz w:val="24"/>
          <w:szCs w:val="24"/>
          <w:lang w:eastAsia="tr-TR"/>
        </w:rPr>
        <w:t>Postoperative Course:</w:t>
      </w:r>
    </w:p>
    <w:p w:rsidR="004D1F92" w:rsidRPr="003960C0" w:rsidRDefault="00700DF9"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 xml:space="preserve">The patient was transferred to the Post-Anesthesia Care Unit </w:t>
      </w:r>
      <w:r w:rsidR="004D1F92" w:rsidRPr="003960C0">
        <w:rPr>
          <w:rFonts w:ascii="Times New Roman" w:eastAsia="Times New Roman" w:hAnsi="Times New Roman" w:cs="Times New Roman"/>
          <w:bCs/>
          <w:sz w:val="24"/>
          <w:szCs w:val="24"/>
          <w:lang w:eastAsia="tr-TR"/>
        </w:rPr>
        <w:t>in stable condition. Pain scores remained 0-2 for 8 hours postoperatively. No bleeding complications or hematoma occurred at block sites or surgical incision. Clopidogrel was resumed on postoperative day one. The patient was discharged to rehabilitation on postoperative day five.</w:t>
      </w:r>
    </w:p>
    <w:p w:rsidR="004D1F92" w:rsidRPr="003960C0" w:rsidRDefault="004D1F92"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rsidR="00B9352E" w:rsidRPr="003960C0"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3960C0">
        <w:rPr>
          <w:rFonts w:ascii="Times New Roman" w:eastAsia="Times New Roman" w:hAnsi="Times New Roman" w:cs="Times New Roman"/>
          <w:b/>
          <w:bCs/>
          <w:sz w:val="24"/>
          <w:szCs w:val="24"/>
          <w:lang w:eastAsia="tr-TR"/>
        </w:rPr>
        <w:t>Discussion</w:t>
      </w:r>
    </w:p>
    <w:p w:rsidR="00353422" w:rsidRPr="003960C0"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This case highlights important considerations in managing complex surgical patients with competing medical risks (4,12).</w:t>
      </w:r>
    </w:p>
    <w:p w:rsidR="00353422" w:rsidRPr="003960C0"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Regional Anesthesia in Reduced Cardiac Function:</w:t>
      </w:r>
    </w:p>
    <w:p w:rsidR="00353422" w:rsidRPr="003960C0"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Patients with low ejection fraction present unique challenges. The failing heart relies on compensatory mechanisms to maintain cardiac output (2). General anesthetics can depress myocardial contractility and cause vasodilation (10). Neuraxial anesthesia produces sympathectomy with venodilation and reduced preload, which can be catastrophic in diastolic dysfunction (11).</w:t>
      </w:r>
    </w:p>
    <w:p w:rsidR="00353422" w:rsidRPr="003960C0"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Peripheral nerve blocks preserve central sympathetic tone and venous return by confining anesthesia to the surgical extremity (4). The femoral and popliteal blocks provided complete surgical anesthesia without hemodynamic compromise.</w:t>
      </w:r>
    </w:p>
    <w:p w:rsidR="00353422" w:rsidRPr="003960C0"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Antiplatelet Therapy and Regional Anesthesia:</w:t>
      </w:r>
    </w:p>
    <w:p w:rsidR="005C71B1" w:rsidRPr="003960C0" w:rsidRDefault="005C71B1"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Clopidogrel should be stopped for 5 to 7 days prior to neuraxial procedures in order to allow platelet function to recover, according to the American Society of Regional Anesthesia and Pain Medicine (ASRA) guidelines (3).</w:t>
      </w:r>
    </w:p>
    <w:p w:rsidR="00353422" w:rsidRPr="003960C0"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For peripheral nerve blocks, particularly with ultrasound guidance, the risk-benefit calculus differs. While all regional techniques carry bleeding risk, consequences of peripheral bleeding are less severe than spinal hematoma (4). Ultrasound enables direct visualization of vascular structures and real-time needle observation, reducing vascular puncture risk (12,13).</w:t>
      </w:r>
    </w:p>
    <w:p w:rsidR="000277E0" w:rsidRPr="003960C0" w:rsidRDefault="000277E0" w:rsidP="000277E0">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 xml:space="preserve">Recent reviews and international guidelines say that doctors can consider using ultrasound to help with nerve blocks in some patients who are taking antiplatelet therapy. This is because </w:t>
      </w:r>
      <w:r w:rsidRPr="003960C0">
        <w:rPr>
          <w:rFonts w:ascii="Times New Roman" w:eastAsia="Times New Roman" w:hAnsi="Times New Roman" w:cs="Times New Roman"/>
          <w:bCs/>
          <w:sz w:val="24"/>
          <w:szCs w:val="24"/>
          <w:lang w:eastAsia="tr-TR"/>
        </w:rPr>
        <w:lastRenderedPageBreak/>
        <w:t>the benefits of the treatment may be more important than the risk of bleeding. Peripheral nerve blocks are generally safer than types of anesthesia like neuraxial techniques because they are less likely to cause serious bleeding problems. This is especially true when the block is done in a place that's easy to compress like near the surface of the skin. Using ultrasound to guide the needle makes it even safer because the doctor can see the blood vessels and avoid them (5,12)</w:t>
      </w:r>
    </w:p>
    <w:p w:rsidR="000277E0" w:rsidRPr="003960C0" w:rsidRDefault="000277E0" w:rsidP="000277E0">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European and international guidelines also say that doctors should carefully think about the risks and benefits of anesthesia when patients are taking antithrombotic therapy. If a patient is taking this kind of medication peripheral nerve blocks might be an option for anesthesia especially if other types of anesthesia are not a good choice. For example if a patient cannot have techniques and general anesthesia would be too risky, for their heart peripheral nerve blocks might be a good alternative.</w:t>
      </w:r>
    </w:p>
    <w:p w:rsidR="000277E0" w:rsidRPr="003960C0" w:rsidRDefault="000277E0"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353422" w:rsidRPr="003960C0"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Superficial blocks in compressible locations like femoral and popliteal sites carry minimal risk, while deep blocks in non-compressible locations warrant greater caution (1,5).</w:t>
      </w:r>
    </w:p>
    <w:p w:rsidR="00353422" w:rsidRPr="003960C0"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In this case, proceeding with peripheral blocks despite recent clopidogrel use was based on: (1) surgical urgency precluding a 7-day wait (9), (2) ultrasound guidance to minimize vascular trauma (12), (3) compressible block sites, and (4) availability of surgical hemostasis.</w:t>
      </w:r>
    </w:p>
    <w:p w:rsidR="00353422" w:rsidRPr="003960C0"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Ultrasound Guidance and Safety:</w:t>
      </w:r>
    </w:p>
    <w:p w:rsidR="00353422" w:rsidRPr="003960C0"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Ultrasound has transformed regional anesthesia by improving success rates and enabling visualization of vascular structures, needle tip position, and local anesthetic spread (12,13). In patients with elevated bleeding risk, these features provide protection unavailable with traditional nerve stimulation techniques.</w:t>
      </w:r>
    </w:p>
    <w:p w:rsidR="00353422" w:rsidRPr="003960C0"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Alternative Approaches Considered:</w:t>
      </w:r>
    </w:p>
    <w:p w:rsidR="00353422" w:rsidRPr="003960C0"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General anesthesia: High-risk due to low EF (10)</w:t>
      </w:r>
    </w:p>
    <w:p w:rsidR="00353422" w:rsidRPr="003960C0"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Spinal anesthesia: Contraindicated due to recent clopidogrel use (3)</w:t>
      </w:r>
    </w:p>
    <w:p w:rsidR="00353422" w:rsidRPr="003960C0"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Monitored care with local infiltration: Inadequate for amputation</w:t>
      </w:r>
    </w:p>
    <w:p w:rsidR="00353422" w:rsidRPr="003960C0"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Peripheral nerve blocks: Optimal approach (4)</w:t>
      </w:r>
    </w:p>
    <w:p w:rsidR="00353422" w:rsidRPr="003960C0"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Limitations:</w:t>
      </w:r>
    </w:p>
    <w:p w:rsidR="00353422" w:rsidRPr="003960C0"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As a single case, findings cannot be generalized. Success depends on operator expertise in ultrasound-guided regional anesthesia. Absence of bleeding complications does not guarantee safety in all patients receiving clopidogrel (7).</w:t>
      </w:r>
    </w:p>
    <w:p w:rsidR="00353422" w:rsidRPr="003960C0" w:rsidRDefault="00353422"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rsidR="00B9352E" w:rsidRPr="003960C0"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3960C0">
        <w:rPr>
          <w:rFonts w:ascii="Times New Roman" w:eastAsia="Times New Roman" w:hAnsi="Times New Roman" w:cs="Times New Roman"/>
          <w:b/>
          <w:bCs/>
          <w:sz w:val="24"/>
          <w:szCs w:val="24"/>
          <w:lang w:eastAsia="tr-TR"/>
        </w:rPr>
        <w:lastRenderedPageBreak/>
        <w:t>Conclusion</w:t>
      </w:r>
    </w:p>
    <w:p w:rsidR="005E563F" w:rsidRPr="003960C0" w:rsidRDefault="005E563F" w:rsidP="005E563F">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960C0">
        <w:rPr>
          <w:rFonts w:ascii="Times New Roman" w:eastAsia="Times New Roman" w:hAnsi="Times New Roman" w:cs="Times New Roman"/>
          <w:bCs/>
          <w:sz w:val="24"/>
          <w:szCs w:val="24"/>
          <w:lang w:eastAsia="tr-TR"/>
        </w:rPr>
        <w:t>This case suggests that ultrasound-guided femoral and popliteal nerve blocks may represent a feasible anesthetic option for lower extremity amputation in patients with severely reduced cardiac function and recent clopidogrel use. In high-risk patients where both neuraxial and general anesthesia carry significant limitations, peripheral nerve blocks performed under ultrasound guidance may help maintain hemodynamic stability while providing adequate surgical anesthesia. However, conclusions from a single case remain limited, and further studies are needed to confirm the safety and effectiveness of this approach in broader patient populations.</w:t>
      </w:r>
    </w:p>
    <w:p w:rsidR="00353422" w:rsidRDefault="00353422" w:rsidP="005E563F">
      <w:pPr>
        <w:spacing w:before="100" w:beforeAutospacing="1" w:after="100" w:afterAutospacing="1" w:line="276" w:lineRule="auto"/>
        <w:outlineLvl w:val="1"/>
        <w:rPr>
          <w:rFonts w:ascii="Times New Roman" w:eastAsia="Times New Roman" w:hAnsi="Times New Roman" w:cs="Times New Roman"/>
          <w:sz w:val="24"/>
          <w:szCs w:val="24"/>
          <w:lang w:eastAsia="tr-TR"/>
        </w:rPr>
      </w:pPr>
      <w:r w:rsidRPr="003960C0">
        <w:rPr>
          <w:rFonts w:ascii="Times New Roman" w:eastAsia="Times New Roman" w:hAnsi="Times New Roman" w:cs="Times New Roman"/>
          <w:sz w:val="24"/>
          <w:szCs w:val="24"/>
          <w:lang w:eastAsia="tr-TR"/>
        </w:rPr>
        <w:t>For patients with low EF requiring urgent lower extremity surgery who cannot discontinue antiplatelet therapy, peripheral nerve blocks under ultrasound guidance represent a valuable alternative (2,4). The technique preserves hemodynamic stability while avoiding risks of neuraxial blockade in anticoagulated patients (3).</w:t>
      </w:r>
    </w:p>
    <w:p w:rsidR="00E4083F" w:rsidRPr="00E4083F" w:rsidRDefault="00E4083F" w:rsidP="00E4083F">
      <w:pPr>
        <w:spacing w:before="100" w:beforeAutospacing="1" w:after="100" w:afterAutospacing="1" w:line="276" w:lineRule="auto"/>
        <w:outlineLvl w:val="1"/>
        <w:rPr>
          <w:rFonts w:ascii="Times New Roman" w:eastAsia="Times New Roman" w:hAnsi="Times New Roman" w:cs="Times New Roman"/>
          <w:sz w:val="24"/>
          <w:szCs w:val="24"/>
          <w:lang w:eastAsia="tr-TR"/>
        </w:rPr>
      </w:pPr>
      <w:r w:rsidRPr="00E4083F">
        <w:rPr>
          <w:rFonts w:ascii="Times New Roman" w:eastAsia="Times New Roman" w:hAnsi="Times New Roman" w:cs="Times New Roman"/>
          <w:sz w:val="24"/>
          <w:szCs w:val="24"/>
          <w:lang w:eastAsia="tr-TR"/>
        </w:rPr>
        <w:t xml:space="preserve">Consent </w:t>
      </w:r>
    </w:p>
    <w:p w:rsidR="00E4083F" w:rsidRDefault="00E4083F" w:rsidP="00E4083F">
      <w:pPr>
        <w:spacing w:before="100" w:beforeAutospacing="1" w:after="100" w:afterAutospacing="1" w:line="276" w:lineRule="auto"/>
        <w:outlineLvl w:val="1"/>
        <w:rPr>
          <w:rFonts w:ascii="Times New Roman" w:eastAsia="Times New Roman" w:hAnsi="Times New Roman" w:cs="Times New Roman"/>
          <w:sz w:val="24"/>
          <w:szCs w:val="24"/>
          <w:lang w:eastAsia="tr-TR"/>
        </w:rPr>
      </w:pPr>
      <w:r w:rsidRPr="00E4083F">
        <w:rPr>
          <w:rFonts w:ascii="Times New Roman" w:eastAsia="Times New Roman" w:hAnsi="Times New Roman" w:cs="Times New Roman"/>
          <w:sz w:val="24"/>
          <w:szCs w:val="24"/>
          <w:lang w:eastAsia="tr-TR"/>
        </w:rPr>
        <w:t>As per international standards or university standards, patient(s) written consent has been collected and preserved by the author(s).</w:t>
      </w:r>
    </w:p>
    <w:p w:rsidR="00E4083F" w:rsidRPr="00E4083F" w:rsidRDefault="00E4083F" w:rsidP="00E4083F">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E4083F">
        <w:rPr>
          <w:rFonts w:ascii="Times New Roman" w:eastAsia="Times New Roman" w:hAnsi="Times New Roman" w:cs="Times New Roman"/>
          <w:bCs/>
          <w:sz w:val="24"/>
          <w:szCs w:val="24"/>
          <w:lang w:eastAsia="tr-TR"/>
        </w:rPr>
        <w:t>Ethical Approval:</w:t>
      </w:r>
    </w:p>
    <w:p w:rsidR="00E4083F" w:rsidRPr="00E4083F" w:rsidRDefault="00E4083F" w:rsidP="00E4083F">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E4083F" w:rsidRDefault="00E4083F" w:rsidP="00E4083F">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E4083F">
        <w:rPr>
          <w:rFonts w:ascii="Times New Roman" w:eastAsia="Times New Roman" w:hAnsi="Times New Roman" w:cs="Times New Roman"/>
          <w:bCs/>
          <w:sz w:val="24"/>
          <w:szCs w:val="24"/>
          <w:lang w:eastAsia="tr-TR"/>
        </w:rPr>
        <w:t>As per international standards or university standards written ethical approval has been collected and preserved by the author(s).</w:t>
      </w:r>
    </w:p>
    <w:p w:rsidR="00E4083F" w:rsidRPr="003960C0" w:rsidRDefault="00E4083F" w:rsidP="005E563F">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1A4F88" w:rsidRPr="003960C0" w:rsidRDefault="001A4F88" w:rsidP="001A4F88">
      <w:pPr>
        <w:rPr>
          <w:rFonts w:ascii="Times New Roman" w:hAnsi="Times New Roman" w:cs="Times New Roman"/>
          <w:sz w:val="24"/>
          <w:szCs w:val="24"/>
        </w:rPr>
      </w:pPr>
      <w:r w:rsidRPr="003960C0">
        <w:rPr>
          <w:rFonts w:ascii="Times New Roman" w:hAnsi="Times New Roman" w:cs="Times New Roman"/>
          <w:sz w:val="24"/>
          <w:szCs w:val="24"/>
        </w:rPr>
        <w:t>Disclaimer (Artificial intelligence)</w:t>
      </w:r>
    </w:p>
    <w:p w:rsidR="001A4F88" w:rsidRPr="003960C0" w:rsidRDefault="001A4F88" w:rsidP="001A4F88">
      <w:pPr>
        <w:rPr>
          <w:rFonts w:ascii="Times New Roman" w:hAnsi="Times New Roman" w:cs="Times New Roman"/>
          <w:sz w:val="24"/>
          <w:szCs w:val="24"/>
        </w:rPr>
      </w:pPr>
      <w:r w:rsidRPr="003960C0">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rsidR="00BD16A9" w:rsidRPr="003960C0" w:rsidRDefault="00BD16A9" w:rsidP="00B9352E">
      <w:pPr>
        <w:pStyle w:val="Heading2"/>
        <w:spacing w:before="40" w:after="40"/>
        <w:jc w:val="both"/>
        <w:rPr>
          <w:rFonts w:ascii="Times New Roman" w:eastAsia="Times New Roman" w:hAnsi="Times New Roman" w:cs="Times New Roman"/>
          <w:b w:val="0"/>
          <w:bCs w:val="0"/>
          <w:color w:val="auto"/>
          <w:sz w:val="24"/>
          <w:szCs w:val="24"/>
          <w:lang w:val="tr-TR" w:eastAsia="tr-TR"/>
        </w:rPr>
      </w:pPr>
    </w:p>
    <w:p w:rsidR="00B9352E" w:rsidRPr="003960C0" w:rsidRDefault="00B9352E" w:rsidP="00B9352E">
      <w:pPr>
        <w:pStyle w:val="Heading2"/>
        <w:spacing w:before="40" w:after="40"/>
        <w:jc w:val="both"/>
        <w:rPr>
          <w:rFonts w:ascii="Times New Roman" w:hAnsi="Times New Roman" w:cs="Times New Roman"/>
          <w:color w:val="000000" w:themeColor="text1"/>
          <w:sz w:val="24"/>
          <w:szCs w:val="24"/>
        </w:rPr>
      </w:pPr>
      <w:r w:rsidRPr="003960C0">
        <w:rPr>
          <w:rFonts w:ascii="Times New Roman" w:hAnsi="Times New Roman" w:cs="Times New Roman"/>
          <w:color w:val="000000" w:themeColor="text1"/>
          <w:sz w:val="24"/>
          <w:szCs w:val="24"/>
        </w:rPr>
        <w:t>References</w:t>
      </w:r>
    </w:p>
    <w:p w:rsidR="00353422" w:rsidRPr="003960C0" w:rsidRDefault="00353422" w:rsidP="00353422">
      <w:pPr>
        <w:rPr>
          <w:rFonts w:ascii="Times New Roman" w:hAnsi="Times New Roman" w:cs="Times New Roman"/>
          <w:sz w:val="24"/>
          <w:szCs w:val="24"/>
          <w:lang w:val="en-US"/>
        </w:rPr>
      </w:pPr>
    </w:p>
    <w:p w:rsidR="00353422" w:rsidRPr="003960C0" w:rsidRDefault="00353422"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Gritsenko K, Williams D. Regional anesthesia in patients receiving anticoagulant or antiplatelet therapy. J Clin Anesth. 2021;74:110426.</w:t>
      </w:r>
    </w:p>
    <w:p w:rsidR="00353422" w:rsidRPr="003960C0" w:rsidRDefault="00353422"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Reddy P, Karthikeyan V. Anesthetic management of patients with low ejection fraction. J Cardiothorac Vasc Anesth. 2020;34(8):2178-87.</w:t>
      </w:r>
    </w:p>
    <w:p w:rsidR="008B6CF9" w:rsidRPr="003960C0" w:rsidRDefault="008B6CF9"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 xml:space="preserve">Kopp, S. L., Vandermeulen, E., McBane, R. D., Perlas, A., Leffert, L., Horlocker, T., et al. (2025). Regional anesthesia in the patient receiving antithrombotic or </w:t>
      </w:r>
      <w:r w:rsidRPr="003960C0">
        <w:rPr>
          <w:rFonts w:ascii="Times New Roman" w:hAnsi="Times New Roman" w:cs="Times New Roman"/>
          <w:sz w:val="24"/>
          <w:szCs w:val="24"/>
        </w:rPr>
        <w:lastRenderedPageBreak/>
        <w:t xml:space="preserve">thrombolytic therapy: American Society of Regional Anesthesia and Pain Medicine evidence-based guidelines (fifth edition). </w:t>
      </w:r>
      <w:r w:rsidRPr="003960C0">
        <w:rPr>
          <w:rFonts w:ascii="Times New Roman" w:hAnsi="Times New Roman" w:cs="Times New Roman"/>
          <w:i/>
          <w:iCs/>
          <w:sz w:val="24"/>
          <w:szCs w:val="24"/>
        </w:rPr>
        <w:t>Regional Anesthesia &amp; Pain Medicine</w:t>
      </w:r>
      <w:r w:rsidRPr="003960C0">
        <w:rPr>
          <w:rFonts w:ascii="Times New Roman" w:hAnsi="Times New Roman" w:cs="Times New Roman"/>
          <w:sz w:val="24"/>
          <w:szCs w:val="24"/>
        </w:rPr>
        <w:t>.</w:t>
      </w:r>
    </w:p>
    <w:p w:rsidR="00353422" w:rsidRPr="003960C0" w:rsidRDefault="00353422"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Joubert F, Duchalais A. Peripheral nerve blocks in lower limb surgery. Anesth Analg. 2022;134(3):512-24.</w:t>
      </w:r>
    </w:p>
    <w:p w:rsidR="00353422" w:rsidRPr="003960C0" w:rsidRDefault="00353422"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Kietaibl S, Ferrandis R, Godier A, et al. Regional anaesthesia in patients on antithrombotic drugs: ESAIC/ESRA guidelines. Eur J Anaesthesiol. 2022;39(2):100-132.</w:t>
      </w:r>
    </w:p>
    <w:p w:rsidR="00353422" w:rsidRPr="003960C0" w:rsidRDefault="00353422"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Wallentin L. P2Y12 inhibitors: Differences in properties. Eur Heart J. 2019;40(38):3154-62.</w:t>
      </w:r>
    </w:p>
    <w:p w:rsidR="00353422" w:rsidRPr="003960C0" w:rsidRDefault="00353422"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Price MJ, Teirs</w:t>
      </w:r>
      <w:bookmarkStart w:id="0" w:name="_GoBack"/>
      <w:bookmarkEnd w:id="0"/>
      <w:r w:rsidRPr="003960C0">
        <w:rPr>
          <w:rFonts w:ascii="Times New Roman" w:hAnsi="Times New Roman" w:cs="Times New Roman"/>
          <w:sz w:val="24"/>
          <w:szCs w:val="24"/>
        </w:rPr>
        <w:t>tein PS. Dynamics of platelet function recovery following P2Y12 inhibitor discontinuation. J Am Coll Cardiol. 2020;75(15):1756-65.</w:t>
      </w:r>
    </w:p>
    <w:p w:rsidR="00353422" w:rsidRPr="003960C0" w:rsidRDefault="00353422"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Douketis JD, Spyropoulos AC, Murad MH, et al. Perioperative management of antithrombotic therapy: CHEST guideline. Chest. 2022;162(5):e207-43.</w:t>
      </w:r>
    </w:p>
    <w:p w:rsidR="00353422" w:rsidRPr="003960C0" w:rsidRDefault="00353422"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Tangel V, White RS. Timing of urgent surgery in patients on antiplatelet therapy. Br J Anaesth. 2021;127(3):345-53.</w:t>
      </w:r>
    </w:p>
    <w:p w:rsidR="00353422" w:rsidRPr="003960C0" w:rsidRDefault="00353422"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Lonjaret L, Lairez O, Minville V. Anesthesia and the patient with heart failure. Anesthesiol Clin. 2020;38(1):121-35.</w:t>
      </w:r>
    </w:p>
    <w:p w:rsidR="00353422" w:rsidRPr="003960C0" w:rsidRDefault="00353422"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Butterworth JF, Mackey DC. Hemodynamic effects of neuraxial anesthesia. In: Morgan &amp; Mikhail's Clinical Anesthesiology. 7th ed. McGraw-Hill; 2021. p. 345-62.</w:t>
      </w:r>
    </w:p>
    <w:p w:rsidR="00353422" w:rsidRPr="003960C0" w:rsidRDefault="00353422"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Lau J, Sharpe P, Gadsden J. Ultrasound-guided peripheral nerve blocks in anticoagulated patients. Reg Anesth Pain Med. 2020;45(6):437-45.</w:t>
      </w:r>
    </w:p>
    <w:p w:rsidR="00353422" w:rsidRPr="003960C0" w:rsidRDefault="00353422"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Sites BD, Neal JM, Chan VW. Ultrasound in regional anesthesia. Reg Anesth Pain Med. 2019;44(1):1-3.</w:t>
      </w:r>
    </w:p>
    <w:p w:rsidR="00353422" w:rsidRPr="003960C0" w:rsidRDefault="00353422" w:rsidP="00353422">
      <w:pPr>
        <w:numPr>
          <w:ilvl w:val="0"/>
          <w:numId w:val="5"/>
        </w:numPr>
        <w:rPr>
          <w:rFonts w:ascii="Times New Roman" w:hAnsi="Times New Roman" w:cs="Times New Roman"/>
          <w:sz w:val="24"/>
          <w:szCs w:val="24"/>
        </w:rPr>
      </w:pPr>
      <w:r w:rsidRPr="003960C0">
        <w:rPr>
          <w:rFonts w:ascii="Times New Roman" w:hAnsi="Times New Roman" w:cs="Times New Roman"/>
          <w:sz w:val="24"/>
          <w:szCs w:val="24"/>
        </w:rPr>
        <w:t>Horlocker TT, Vandermeuelen E, Kopp SL, et al. Regional anesthesia in the patient receiving antithrombotic therapy: ASRA guidelines. Reg Anesth Pain Med. 2018;43(3):263-309.</w:t>
      </w:r>
    </w:p>
    <w:p w:rsidR="00353422" w:rsidRPr="003960C0" w:rsidRDefault="00353422" w:rsidP="00353422">
      <w:pPr>
        <w:rPr>
          <w:rFonts w:ascii="Times New Roman" w:hAnsi="Times New Roman" w:cs="Times New Roman"/>
          <w:sz w:val="24"/>
          <w:szCs w:val="24"/>
          <w:lang w:val="en-US"/>
        </w:rPr>
      </w:pPr>
    </w:p>
    <w:p w:rsidR="00B9352E" w:rsidRPr="003960C0" w:rsidRDefault="00B9352E" w:rsidP="00B9352E">
      <w:pPr>
        <w:spacing w:before="40" w:after="40" w:line="276" w:lineRule="auto"/>
        <w:jc w:val="both"/>
        <w:rPr>
          <w:rFonts w:ascii="Times New Roman" w:hAnsi="Times New Roman" w:cs="Times New Roman"/>
          <w:color w:val="000000" w:themeColor="text1"/>
          <w:sz w:val="24"/>
          <w:szCs w:val="24"/>
        </w:rPr>
      </w:pPr>
    </w:p>
    <w:p w:rsidR="00B9352E" w:rsidRPr="003960C0"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Pr="003960C0"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Pr="003960C0"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Pr="003960C0"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Pr="003960C0"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Pr="003960C0" w:rsidRDefault="00B9352E" w:rsidP="00B9352E">
      <w:pPr>
        <w:spacing w:line="276" w:lineRule="auto"/>
        <w:rPr>
          <w:rFonts w:ascii="Times New Roman" w:hAnsi="Times New Roman" w:cs="Times New Roman"/>
          <w:sz w:val="24"/>
          <w:szCs w:val="24"/>
        </w:rPr>
      </w:pPr>
    </w:p>
    <w:sectPr w:rsidR="00B9352E" w:rsidRPr="003960C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F4F" w:rsidRDefault="004F3F4F" w:rsidP="00C10DF0">
      <w:pPr>
        <w:spacing w:after="0" w:line="240" w:lineRule="auto"/>
      </w:pPr>
      <w:r>
        <w:separator/>
      </w:r>
    </w:p>
  </w:endnote>
  <w:endnote w:type="continuationSeparator" w:id="0">
    <w:p w:rsidR="004F3F4F" w:rsidRDefault="004F3F4F" w:rsidP="00C1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C10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C10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C1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F4F" w:rsidRDefault="004F3F4F" w:rsidP="00C10DF0">
      <w:pPr>
        <w:spacing w:after="0" w:line="240" w:lineRule="auto"/>
      </w:pPr>
      <w:r>
        <w:separator/>
      </w:r>
    </w:p>
  </w:footnote>
  <w:footnote w:type="continuationSeparator" w:id="0">
    <w:p w:rsidR="004F3F4F" w:rsidRDefault="004F3F4F" w:rsidP="00C10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4F3F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003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4F3F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003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4F3F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003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5A6"/>
    <w:multiLevelType w:val="multilevel"/>
    <w:tmpl w:val="6F4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501EA"/>
    <w:multiLevelType w:val="multilevel"/>
    <w:tmpl w:val="4BC66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2E7425"/>
    <w:multiLevelType w:val="hybridMultilevel"/>
    <w:tmpl w:val="0BCCED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6F96237"/>
    <w:multiLevelType w:val="hybridMultilevel"/>
    <w:tmpl w:val="5A70F1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6F28E7"/>
    <w:multiLevelType w:val="multilevel"/>
    <w:tmpl w:val="C7BE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AD"/>
    <w:rsid w:val="000277E0"/>
    <w:rsid w:val="000C5C7D"/>
    <w:rsid w:val="001A4F88"/>
    <w:rsid w:val="00221436"/>
    <w:rsid w:val="002575DD"/>
    <w:rsid w:val="00293D5F"/>
    <w:rsid w:val="002B69B6"/>
    <w:rsid w:val="00353422"/>
    <w:rsid w:val="00364070"/>
    <w:rsid w:val="003960C0"/>
    <w:rsid w:val="003C097E"/>
    <w:rsid w:val="003C7DCB"/>
    <w:rsid w:val="003E6456"/>
    <w:rsid w:val="004D1F92"/>
    <w:rsid w:val="004F3F4F"/>
    <w:rsid w:val="00505AC1"/>
    <w:rsid w:val="005376CC"/>
    <w:rsid w:val="005A1B6F"/>
    <w:rsid w:val="005C71B1"/>
    <w:rsid w:val="005E563F"/>
    <w:rsid w:val="006433D0"/>
    <w:rsid w:val="00700DF9"/>
    <w:rsid w:val="00722D35"/>
    <w:rsid w:val="00860A2A"/>
    <w:rsid w:val="00864E16"/>
    <w:rsid w:val="008B6CF9"/>
    <w:rsid w:val="009C5E31"/>
    <w:rsid w:val="00AB1675"/>
    <w:rsid w:val="00B9352E"/>
    <w:rsid w:val="00BD0C9E"/>
    <w:rsid w:val="00BD16A9"/>
    <w:rsid w:val="00BD60AD"/>
    <w:rsid w:val="00C10DF0"/>
    <w:rsid w:val="00C3185E"/>
    <w:rsid w:val="00C523F2"/>
    <w:rsid w:val="00D3704D"/>
    <w:rsid w:val="00D418E2"/>
    <w:rsid w:val="00E4083F"/>
    <w:rsid w:val="00E607C3"/>
    <w:rsid w:val="00E610C4"/>
    <w:rsid w:val="00F6433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FA3F02"/>
  <w15:chartTrackingRefBased/>
  <w15:docId w15:val="{A707953D-AB3D-4233-889E-D9FEC5B5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97E"/>
  </w:style>
  <w:style w:type="paragraph" w:styleId="Heading2">
    <w:name w:val="heading 2"/>
    <w:basedOn w:val="Normal"/>
    <w:next w:val="Normal"/>
    <w:link w:val="Heading2Char"/>
    <w:uiPriority w:val="9"/>
    <w:unhideWhenUsed/>
    <w:qFormat/>
    <w:rsid w:val="00B9352E"/>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
    <w:name w:val="D1"/>
    <w:basedOn w:val="Normal"/>
    <w:link w:val="D1Char"/>
    <w:autoRedefine/>
    <w:qFormat/>
    <w:rsid w:val="003C097E"/>
    <w:pPr>
      <w:autoSpaceDE w:val="0"/>
      <w:autoSpaceDN w:val="0"/>
      <w:adjustRightInd w:val="0"/>
      <w:spacing w:after="240" w:line="360" w:lineRule="auto"/>
      <w:ind w:firstLine="708"/>
      <w:jc w:val="center"/>
    </w:pPr>
    <w:rPr>
      <w:rFonts w:ascii="Times New Roman" w:hAnsi="Times New Roman" w:cs="Times New Roman"/>
      <w:b/>
      <w:bCs/>
      <w:color w:val="000000"/>
      <w:sz w:val="24"/>
      <w:szCs w:val="24"/>
    </w:rPr>
  </w:style>
  <w:style w:type="character" w:customStyle="1" w:styleId="D1Char">
    <w:name w:val="D1 Char"/>
    <w:basedOn w:val="DefaultParagraphFont"/>
    <w:link w:val="D1"/>
    <w:rsid w:val="003C097E"/>
    <w:rPr>
      <w:rFonts w:ascii="Times New Roman" w:hAnsi="Times New Roman" w:cs="Times New Roman"/>
      <w:b/>
      <w:bCs/>
      <w:color w:val="000000"/>
      <w:sz w:val="24"/>
      <w:szCs w:val="24"/>
    </w:rPr>
  </w:style>
  <w:style w:type="character" w:customStyle="1" w:styleId="Heading2Char">
    <w:name w:val="Heading 2 Char"/>
    <w:basedOn w:val="DefaultParagraphFont"/>
    <w:link w:val="Heading2"/>
    <w:uiPriority w:val="9"/>
    <w:rsid w:val="00B9352E"/>
    <w:rPr>
      <w:rFonts w:asciiTheme="majorHAnsi" w:eastAsiaTheme="majorEastAsia" w:hAnsiTheme="majorHAnsi" w:cstheme="majorBidi"/>
      <w:b/>
      <w:bCs/>
      <w:color w:val="4472C4" w:themeColor="accent1"/>
      <w:sz w:val="26"/>
      <w:szCs w:val="26"/>
      <w:lang w:val="en-US"/>
    </w:rPr>
  </w:style>
  <w:style w:type="character" w:styleId="Emphasis">
    <w:name w:val="Emphasis"/>
    <w:basedOn w:val="DefaultParagraphFont"/>
    <w:uiPriority w:val="20"/>
    <w:qFormat/>
    <w:rsid w:val="00B9352E"/>
    <w:rPr>
      <w:i/>
      <w:iCs/>
    </w:rPr>
  </w:style>
  <w:style w:type="paragraph" w:styleId="NormalWeb">
    <w:name w:val="Normal (Web)"/>
    <w:basedOn w:val="Normal"/>
    <w:uiPriority w:val="99"/>
    <w:semiHidden/>
    <w:unhideWhenUsed/>
    <w:rsid w:val="00B935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6433D0"/>
    <w:rPr>
      <w:color w:val="0000FF"/>
      <w:u w:val="single"/>
    </w:rPr>
  </w:style>
  <w:style w:type="character" w:customStyle="1" w:styleId="UnresolvedMention1">
    <w:name w:val="Unresolved Mention1"/>
    <w:basedOn w:val="DefaultParagraphFont"/>
    <w:uiPriority w:val="99"/>
    <w:semiHidden/>
    <w:unhideWhenUsed/>
    <w:rsid w:val="00C3185E"/>
    <w:rPr>
      <w:color w:val="605E5C"/>
      <w:shd w:val="clear" w:color="auto" w:fill="E1DFDD"/>
    </w:rPr>
  </w:style>
  <w:style w:type="paragraph" w:styleId="Header">
    <w:name w:val="header"/>
    <w:basedOn w:val="Normal"/>
    <w:link w:val="HeaderChar"/>
    <w:uiPriority w:val="99"/>
    <w:unhideWhenUsed/>
    <w:rsid w:val="00C10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DF0"/>
  </w:style>
  <w:style w:type="paragraph" w:styleId="Footer">
    <w:name w:val="footer"/>
    <w:basedOn w:val="Normal"/>
    <w:link w:val="FooterChar"/>
    <w:uiPriority w:val="99"/>
    <w:unhideWhenUsed/>
    <w:rsid w:val="00C10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0848">
      <w:bodyDiv w:val="1"/>
      <w:marLeft w:val="0"/>
      <w:marRight w:val="0"/>
      <w:marTop w:val="0"/>
      <w:marBottom w:val="0"/>
      <w:divBdr>
        <w:top w:val="none" w:sz="0" w:space="0" w:color="auto"/>
        <w:left w:val="none" w:sz="0" w:space="0" w:color="auto"/>
        <w:bottom w:val="none" w:sz="0" w:space="0" w:color="auto"/>
        <w:right w:val="none" w:sz="0" w:space="0" w:color="auto"/>
      </w:divBdr>
      <w:divsChild>
        <w:div w:id="411974114">
          <w:marLeft w:val="0"/>
          <w:marRight w:val="0"/>
          <w:marTop w:val="0"/>
          <w:marBottom w:val="0"/>
          <w:divBdr>
            <w:top w:val="none" w:sz="0" w:space="0" w:color="auto"/>
            <w:left w:val="none" w:sz="0" w:space="0" w:color="auto"/>
            <w:bottom w:val="none" w:sz="0" w:space="0" w:color="auto"/>
            <w:right w:val="none" w:sz="0" w:space="0" w:color="auto"/>
          </w:divBdr>
        </w:div>
        <w:div w:id="878198638">
          <w:marLeft w:val="0"/>
          <w:marRight w:val="0"/>
          <w:marTop w:val="240"/>
          <w:marBottom w:val="0"/>
          <w:divBdr>
            <w:top w:val="single" w:sz="6" w:space="12" w:color="DFE5ED"/>
            <w:left w:val="none" w:sz="0" w:space="0" w:color="auto"/>
            <w:bottom w:val="none" w:sz="0" w:space="0" w:color="auto"/>
            <w:right w:val="none" w:sz="0" w:space="0" w:color="auto"/>
          </w:divBdr>
          <w:divsChild>
            <w:div w:id="1748847249">
              <w:marLeft w:val="0"/>
              <w:marRight w:val="0"/>
              <w:marTop w:val="0"/>
              <w:marBottom w:val="0"/>
              <w:divBdr>
                <w:top w:val="none" w:sz="0" w:space="0" w:color="auto"/>
                <w:left w:val="none" w:sz="0" w:space="0" w:color="auto"/>
                <w:bottom w:val="none" w:sz="0" w:space="0" w:color="auto"/>
                <w:right w:val="none" w:sz="0" w:space="0" w:color="auto"/>
              </w:divBdr>
              <w:divsChild>
                <w:div w:id="716930078">
                  <w:marLeft w:val="0"/>
                  <w:marRight w:val="0"/>
                  <w:marTop w:val="0"/>
                  <w:marBottom w:val="0"/>
                  <w:divBdr>
                    <w:top w:val="none" w:sz="0" w:space="0" w:color="auto"/>
                    <w:left w:val="none" w:sz="0" w:space="0" w:color="auto"/>
                    <w:bottom w:val="none" w:sz="0" w:space="0" w:color="auto"/>
                    <w:right w:val="none" w:sz="0" w:space="0" w:color="auto"/>
                  </w:divBdr>
                </w:div>
                <w:div w:id="10896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5787">
      <w:bodyDiv w:val="1"/>
      <w:marLeft w:val="0"/>
      <w:marRight w:val="0"/>
      <w:marTop w:val="0"/>
      <w:marBottom w:val="0"/>
      <w:divBdr>
        <w:top w:val="none" w:sz="0" w:space="0" w:color="auto"/>
        <w:left w:val="none" w:sz="0" w:space="0" w:color="auto"/>
        <w:bottom w:val="none" w:sz="0" w:space="0" w:color="auto"/>
        <w:right w:val="none" w:sz="0" w:space="0" w:color="auto"/>
      </w:divBdr>
    </w:div>
    <w:div w:id="271741184">
      <w:bodyDiv w:val="1"/>
      <w:marLeft w:val="0"/>
      <w:marRight w:val="0"/>
      <w:marTop w:val="0"/>
      <w:marBottom w:val="0"/>
      <w:divBdr>
        <w:top w:val="none" w:sz="0" w:space="0" w:color="auto"/>
        <w:left w:val="none" w:sz="0" w:space="0" w:color="auto"/>
        <w:bottom w:val="none" w:sz="0" w:space="0" w:color="auto"/>
        <w:right w:val="none" w:sz="0" w:space="0" w:color="auto"/>
      </w:divBdr>
    </w:div>
    <w:div w:id="306053624">
      <w:bodyDiv w:val="1"/>
      <w:marLeft w:val="0"/>
      <w:marRight w:val="0"/>
      <w:marTop w:val="0"/>
      <w:marBottom w:val="0"/>
      <w:divBdr>
        <w:top w:val="none" w:sz="0" w:space="0" w:color="auto"/>
        <w:left w:val="none" w:sz="0" w:space="0" w:color="auto"/>
        <w:bottom w:val="none" w:sz="0" w:space="0" w:color="auto"/>
        <w:right w:val="none" w:sz="0" w:space="0" w:color="auto"/>
      </w:divBdr>
    </w:div>
    <w:div w:id="401870548">
      <w:bodyDiv w:val="1"/>
      <w:marLeft w:val="0"/>
      <w:marRight w:val="0"/>
      <w:marTop w:val="0"/>
      <w:marBottom w:val="0"/>
      <w:divBdr>
        <w:top w:val="none" w:sz="0" w:space="0" w:color="auto"/>
        <w:left w:val="none" w:sz="0" w:space="0" w:color="auto"/>
        <w:bottom w:val="none" w:sz="0" w:space="0" w:color="auto"/>
        <w:right w:val="none" w:sz="0" w:space="0" w:color="auto"/>
      </w:divBdr>
    </w:div>
    <w:div w:id="598172733">
      <w:bodyDiv w:val="1"/>
      <w:marLeft w:val="0"/>
      <w:marRight w:val="0"/>
      <w:marTop w:val="0"/>
      <w:marBottom w:val="0"/>
      <w:divBdr>
        <w:top w:val="none" w:sz="0" w:space="0" w:color="auto"/>
        <w:left w:val="none" w:sz="0" w:space="0" w:color="auto"/>
        <w:bottom w:val="none" w:sz="0" w:space="0" w:color="auto"/>
        <w:right w:val="none" w:sz="0" w:space="0" w:color="auto"/>
      </w:divBdr>
    </w:div>
    <w:div w:id="972373066">
      <w:bodyDiv w:val="1"/>
      <w:marLeft w:val="0"/>
      <w:marRight w:val="0"/>
      <w:marTop w:val="0"/>
      <w:marBottom w:val="0"/>
      <w:divBdr>
        <w:top w:val="none" w:sz="0" w:space="0" w:color="auto"/>
        <w:left w:val="none" w:sz="0" w:space="0" w:color="auto"/>
        <w:bottom w:val="none" w:sz="0" w:space="0" w:color="auto"/>
        <w:right w:val="none" w:sz="0" w:space="0" w:color="auto"/>
      </w:divBdr>
    </w:div>
    <w:div w:id="1284339888">
      <w:bodyDiv w:val="1"/>
      <w:marLeft w:val="0"/>
      <w:marRight w:val="0"/>
      <w:marTop w:val="0"/>
      <w:marBottom w:val="0"/>
      <w:divBdr>
        <w:top w:val="none" w:sz="0" w:space="0" w:color="auto"/>
        <w:left w:val="none" w:sz="0" w:space="0" w:color="auto"/>
        <w:bottom w:val="none" w:sz="0" w:space="0" w:color="auto"/>
        <w:right w:val="none" w:sz="0" w:space="0" w:color="auto"/>
      </w:divBdr>
    </w:div>
    <w:div w:id="1446995132">
      <w:bodyDiv w:val="1"/>
      <w:marLeft w:val="0"/>
      <w:marRight w:val="0"/>
      <w:marTop w:val="0"/>
      <w:marBottom w:val="0"/>
      <w:divBdr>
        <w:top w:val="none" w:sz="0" w:space="0" w:color="auto"/>
        <w:left w:val="none" w:sz="0" w:space="0" w:color="auto"/>
        <w:bottom w:val="none" w:sz="0" w:space="0" w:color="auto"/>
        <w:right w:val="none" w:sz="0" w:space="0" w:color="auto"/>
      </w:divBdr>
    </w:div>
    <w:div w:id="1751148465">
      <w:bodyDiv w:val="1"/>
      <w:marLeft w:val="0"/>
      <w:marRight w:val="0"/>
      <w:marTop w:val="0"/>
      <w:marBottom w:val="0"/>
      <w:divBdr>
        <w:top w:val="none" w:sz="0" w:space="0" w:color="auto"/>
        <w:left w:val="none" w:sz="0" w:space="0" w:color="auto"/>
        <w:bottom w:val="none" w:sz="0" w:space="0" w:color="auto"/>
        <w:right w:val="none" w:sz="0" w:space="0" w:color="auto"/>
      </w:divBdr>
    </w:div>
    <w:div w:id="185592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2453</Words>
  <Characters>13984</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esen</dc:creator>
  <cp:keywords/>
  <dc:description/>
  <cp:lastModifiedBy>SDI 1089</cp:lastModifiedBy>
  <cp:revision>3</cp:revision>
  <dcterms:created xsi:type="dcterms:W3CDTF">2026-03-13T11:18:00Z</dcterms:created>
  <dcterms:modified xsi:type="dcterms:W3CDTF">2026-03-14T06:48:00Z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71e30a73-a761-448b-99ad-10d93717b4df</vt:lpwstr>
  </property>
</Properties>
</file>