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BD63C">
      <w:pPr>
        <w:spacing w:line="360" w:lineRule="auto"/>
        <w:rPr>
          <w:rFonts w:ascii="Arial" w:hAnsi="Arial" w:cs="Arial"/>
          <w:b/>
          <w:bCs/>
          <w:u w:val="single"/>
        </w:rPr>
      </w:pPr>
      <w:r>
        <w:rPr>
          <w:rFonts w:ascii="Arial" w:hAnsi="Arial" w:cs="Arial"/>
          <w:b/>
          <w:bCs/>
          <w:u w:val="single"/>
        </w:rPr>
        <w:t>Original Research Article</w:t>
      </w:r>
    </w:p>
    <w:p w14:paraId="403D76A6">
      <w:pPr>
        <w:spacing w:line="360" w:lineRule="auto"/>
        <w:rPr>
          <w:rFonts w:ascii="Arial" w:hAnsi="Arial" w:cs="Arial"/>
          <w:b/>
          <w:bCs/>
        </w:rPr>
      </w:pPr>
    </w:p>
    <w:p w14:paraId="114FF3D7">
      <w:pPr>
        <w:spacing w:line="360" w:lineRule="auto"/>
        <w:rPr>
          <w:rFonts w:ascii="Arial" w:hAnsi="Arial" w:cs="Arial"/>
          <w:b/>
          <w:bCs/>
        </w:rPr>
      </w:pPr>
      <w:r>
        <w:rPr>
          <w:rFonts w:ascii="Arial" w:hAnsi="Arial" w:cs="Arial"/>
          <w:b/>
          <w:bCs/>
        </w:rPr>
        <w:t xml:space="preserve">Evaluation of the Nutritional and Bioactive Components in </w:t>
      </w:r>
      <w:r>
        <w:rPr>
          <w:rFonts w:ascii="Arial" w:hAnsi="Arial" w:cs="Arial"/>
          <w:b/>
          <w:bCs/>
          <w:i/>
          <w:iCs/>
        </w:rPr>
        <w:t xml:space="preserve">Dialium guineense </w:t>
      </w:r>
      <w:r>
        <w:rPr>
          <w:rFonts w:ascii="Arial" w:hAnsi="Arial" w:cs="Arial"/>
          <w:b/>
          <w:bCs/>
        </w:rPr>
        <w:t>Ethanol Seed Extract</w:t>
      </w:r>
    </w:p>
    <w:p w14:paraId="434A397A">
      <w:pPr>
        <w:spacing w:line="360" w:lineRule="auto"/>
        <w:rPr>
          <w:rFonts w:ascii="Arial" w:hAnsi="Arial" w:cs="Arial"/>
        </w:rPr>
      </w:pPr>
    </w:p>
    <w:p w14:paraId="61384069">
      <w:pPr>
        <w:spacing w:line="360" w:lineRule="auto"/>
        <w:rPr>
          <w:rFonts w:ascii="Arial" w:hAnsi="Arial" w:cs="Arial"/>
        </w:rPr>
      </w:pPr>
    </w:p>
    <w:p w14:paraId="460BF6E1">
      <w:pPr>
        <w:spacing w:line="360" w:lineRule="auto"/>
        <w:rPr>
          <w:rFonts w:ascii="Arial" w:hAnsi="Arial" w:cs="Arial"/>
        </w:rPr>
      </w:pPr>
    </w:p>
    <w:p w14:paraId="540ADD72">
      <w:pPr>
        <w:spacing w:line="360" w:lineRule="auto"/>
        <w:rPr>
          <w:rFonts w:ascii="Arial" w:hAnsi="Arial" w:cs="Arial"/>
          <w:b/>
          <w:bCs/>
          <w:sz w:val="22"/>
          <w:szCs w:val="22"/>
        </w:rPr>
      </w:pPr>
      <w:r>
        <w:rPr>
          <w:rFonts w:ascii="Arial" w:hAnsi="Arial" w:cs="Arial"/>
          <w:b/>
          <w:bCs/>
          <w:sz w:val="22"/>
          <w:szCs w:val="22"/>
        </w:rPr>
        <w:t>ABSTRACT</w:t>
      </w:r>
    </w:p>
    <w:p w14:paraId="3FDE31BC">
      <w:pPr>
        <w:spacing w:line="360" w:lineRule="auto"/>
        <w:rPr>
          <w:rFonts w:ascii="Arial" w:hAnsi="Arial" w:cs="Arial"/>
        </w:rPr>
      </w:pPr>
    </w:p>
    <w:p w14:paraId="4A26D289">
      <w:pPr>
        <w:spacing w:line="360" w:lineRule="auto"/>
        <w:jc w:val="both"/>
        <w:rPr>
          <w:rFonts w:ascii="Arial" w:hAnsi="Arial" w:cs="Arial"/>
          <w:i/>
          <w:iCs/>
        </w:rPr>
      </w:pPr>
      <w:r>
        <w:rPr>
          <w:rFonts w:ascii="Arial" w:hAnsi="Arial" w:eastAsia="Segoe UI" w:cs="Arial"/>
          <w:b/>
          <w:bCs/>
          <w:spacing w:val="-2"/>
          <w:shd w:val="clear" w:color="auto" w:fill="FFFFFF"/>
        </w:rPr>
        <w:t>Aim:</w:t>
      </w:r>
      <w:r>
        <w:rPr>
          <w:rFonts w:ascii="Arial" w:hAnsi="Arial" w:eastAsia="Segoe UI" w:cs="Arial"/>
          <w:spacing w:val="-2"/>
          <w:shd w:val="clear" w:color="auto" w:fill="FFFFFF"/>
        </w:rPr>
        <w:t xml:space="preserve"> The seeds of </w:t>
      </w:r>
      <w:r>
        <w:rPr>
          <w:rFonts w:ascii="Arial" w:hAnsi="Arial" w:cs="Arial"/>
          <w:i/>
          <w:iCs/>
        </w:rPr>
        <w:t>Dialium guineense</w:t>
      </w:r>
      <w:r>
        <w:rPr>
          <w:rFonts w:ascii="Arial" w:hAnsi="Arial" w:cs="Arial"/>
        </w:rPr>
        <w:t xml:space="preserve"> are usually discarded after consuming the fruits and are understudied. However, p</w:t>
      </w:r>
      <w:r>
        <w:rPr>
          <w:rFonts w:ascii="Arial" w:hAnsi="Arial" w:eastAsia="Segoe UI" w:cs="Arial"/>
          <w:spacing w:val="-2"/>
          <w:shd w:val="clear" w:color="auto" w:fill="FFFFFF"/>
        </w:rPr>
        <w:t>lant seeds are</w:t>
      </w:r>
      <w:r>
        <w:rPr>
          <w:rFonts w:ascii="Arial" w:hAnsi="Arial" w:eastAsia="Segoe UI" w:cs="Arial"/>
          <w:color w:val="FF0000"/>
          <w:spacing w:val="-2"/>
          <w:shd w:val="clear" w:color="auto" w:fill="FFFFFF"/>
        </w:rPr>
        <w:t xml:space="preserve"> </w:t>
      </w:r>
      <w:r>
        <w:rPr>
          <w:rFonts w:ascii="Arial" w:hAnsi="Arial" w:eastAsia="Segoe UI" w:cs="Arial"/>
          <w:spacing w:val="-2"/>
          <w:shd w:val="clear" w:color="auto" w:fill="FFFFFF"/>
        </w:rPr>
        <w:t xml:space="preserve">a great source of nutrients and bioactive compounds with great health benefits. Hence, this study examines nutrient and bioactive compounds present in the seeds of </w:t>
      </w:r>
      <w:r>
        <w:rPr>
          <w:rFonts w:ascii="Arial" w:hAnsi="Arial" w:cs="Arial"/>
          <w:i/>
          <w:iCs/>
        </w:rPr>
        <w:t>D. guineense.</w:t>
      </w:r>
    </w:p>
    <w:p w14:paraId="4E67B86C">
      <w:pPr>
        <w:spacing w:line="360" w:lineRule="auto"/>
        <w:jc w:val="both"/>
        <w:rPr>
          <w:rFonts w:ascii="Arial" w:hAnsi="Arial" w:eastAsia="Arial" w:cs="Arial"/>
        </w:rPr>
      </w:pPr>
      <w:r>
        <w:rPr>
          <w:rFonts w:ascii="Arial" w:hAnsi="Arial" w:eastAsia="Arial" w:cs="Arial"/>
          <w:b/>
          <w:bCs/>
        </w:rPr>
        <w:t>Place and Duration of Study:</w:t>
      </w:r>
      <w:r>
        <w:rPr>
          <w:rFonts w:ascii="Arial" w:hAnsi="Arial" w:eastAsia="Arial" w:cs="Arial"/>
        </w:rPr>
        <w:t xml:space="preserve"> This research was</w:t>
      </w:r>
      <w:r>
        <w:rPr>
          <w:rFonts w:ascii="Arial" w:hAnsi="Arial" w:eastAsia="Arial" w:cs="Arial"/>
          <w:color w:val="FF0000"/>
        </w:rPr>
        <w:t xml:space="preserve"> </w:t>
      </w:r>
      <w:r>
        <w:rPr>
          <w:rFonts w:ascii="Arial" w:hAnsi="Arial" w:eastAsia="Arial" w:cs="Arial"/>
        </w:rPr>
        <w:t>done in the biochemistry department of Southern Delta University, Ozoro, Delta State, Nigeria between April and September, 2025.</w:t>
      </w:r>
    </w:p>
    <w:p w14:paraId="7C1ADB3A">
      <w:pPr>
        <w:spacing w:line="360" w:lineRule="auto"/>
        <w:jc w:val="both"/>
        <w:rPr>
          <w:rFonts w:ascii="Arial" w:hAnsi="Arial" w:eastAsia="Arial" w:cs="Arial"/>
        </w:rPr>
      </w:pPr>
      <w:bookmarkStart w:id="0" w:name="_4px5gqrn631z" w:colFirst="0" w:colLast="0"/>
      <w:bookmarkEnd w:id="0"/>
      <w:r>
        <w:rPr>
          <w:rFonts w:ascii="Arial" w:hAnsi="Arial" w:eastAsia="Arial" w:cs="Arial"/>
          <w:b/>
          <w:bCs/>
        </w:rPr>
        <w:t>Methodology:</w:t>
      </w:r>
      <w:r>
        <w:rPr>
          <w:rFonts w:ascii="Arial" w:hAnsi="Arial" w:eastAsia="Arial" w:cs="Arial"/>
        </w:rPr>
        <w:t xml:space="preserve"> Ethanol seed extract of </w:t>
      </w:r>
      <w:r>
        <w:rPr>
          <w:rFonts w:ascii="Arial" w:hAnsi="Arial" w:cs="Arial"/>
          <w:i/>
          <w:iCs/>
        </w:rPr>
        <w:t>D. guineense</w:t>
      </w:r>
      <w:r>
        <w:rPr>
          <w:rFonts w:ascii="Arial" w:hAnsi="Arial" w:eastAsia="Arial" w:cs="Arial"/>
        </w:rPr>
        <w:t xml:space="preserve"> was prepared with air dried seed using the cold extraction method. Nutrient content was evaluated with proximate analysis of </w:t>
      </w:r>
      <w:r>
        <w:rPr>
          <w:rFonts w:ascii="Arial" w:hAnsi="Arial" w:cs="Arial"/>
          <w:i/>
          <w:iCs/>
        </w:rPr>
        <w:t>D. guineense</w:t>
      </w:r>
      <w:r>
        <w:rPr>
          <w:rFonts w:ascii="Arial" w:hAnsi="Arial" w:cs="Arial"/>
        </w:rPr>
        <w:t xml:space="preserve"> seed powder using AOAC (</w:t>
      </w:r>
      <w:r>
        <w:rPr>
          <w:rFonts w:ascii="Arial" w:hAnsi="Arial" w:eastAsia="Arial" w:cs="Arial"/>
          <w:shd w:val="clear" w:color="auto" w:fill="FFFFFF"/>
        </w:rPr>
        <w:t>Association of Official Analytical Chemists) approved methods</w:t>
      </w:r>
      <w:r>
        <w:rPr>
          <w:rFonts w:ascii="Arial" w:hAnsi="Arial" w:eastAsia="Arial" w:cs="Arial"/>
        </w:rPr>
        <w:t xml:space="preserve">. Bioactive components in </w:t>
      </w:r>
      <w:r>
        <w:rPr>
          <w:rFonts w:ascii="Arial" w:hAnsi="Arial" w:cs="Arial"/>
          <w:i/>
          <w:iCs/>
        </w:rPr>
        <w:t>D. guineense</w:t>
      </w:r>
      <w:r>
        <w:rPr>
          <w:rFonts w:ascii="Arial" w:hAnsi="Arial" w:cs="Arial"/>
        </w:rPr>
        <w:t xml:space="preserve"> seed extract was evaluated with standard procedures for phytochemical detection. </w:t>
      </w:r>
      <w:r>
        <w:rPr>
          <w:rFonts w:ascii="Arial" w:hAnsi="Arial" w:eastAsia="Arial" w:cs="Arial"/>
        </w:rPr>
        <w:t xml:space="preserve"> </w:t>
      </w:r>
    </w:p>
    <w:p w14:paraId="2D5931AA">
      <w:pPr>
        <w:spacing w:line="360" w:lineRule="auto"/>
        <w:jc w:val="both"/>
        <w:rPr>
          <w:rFonts w:ascii="Arial" w:hAnsi="Arial" w:eastAsia="Arial" w:cs="Arial"/>
          <w:highlight w:val="white"/>
        </w:rPr>
      </w:pPr>
      <w:r>
        <w:rPr>
          <w:rFonts w:ascii="Arial" w:hAnsi="Arial" w:eastAsia="Arial" w:cs="Arial"/>
        </w:rPr>
        <w:t xml:space="preserve"> </w:t>
      </w:r>
      <w:r>
        <w:rPr>
          <w:rFonts w:ascii="Arial" w:hAnsi="Arial" w:eastAsia="Arial" w:cs="Arial"/>
          <w:b/>
          <w:bCs/>
        </w:rPr>
        <w:t>Results:</w:t>
      </w:r>
      <w:r>
        <w:rPr>
          <w:rFonts w:ascii="Arial" w:hAnsi="Arial" w:eastAsia="Arial" w:cs="Arial"/>
        </w:rPr>
        <w:t xml:space="preserve"> The seed of </w:t>
      </w:r>
      <w:r>
        <w:rPr>
          <w:rFonts w:ascii="Arial" w:hAnsi="Arial" w:cs="Arial"/>
          <w:i/>
          <w:iCs/>
        </w:rPr>
        <w:t xml:space="preserve">D. guineense </w:t>
      </w:r>
      <w:r>
        <w:rPr>
          <w:rFonts w:ascii="Arial" w:hAnsi="Arial" w:cs="Arial"/>
        </w:rPr>
        <w:t>seed is composed of 62.88% carbohydrate, 18.40% protein, 13.30% moisture, 2.6% crude fat, 2.1% ash</w:t>
      </w:r>
      <w:r>
        <w:rPr>
          <w:rFonts w:ascii="Arial" w:hAnsi="Arial" w:cs="Arial"/>
          <w:color w:val="FF0000"/>
        </w:rPr>
        <w:t>,</w:t>
      </w:r>
      <w:r>
        <w:rPr>
          <w:rFonts w:ascii="Arial" w:hAnsi="Arial" w:cs="Arial"/>
        </w:rPr>
        <w:t xml:space="preserve"> and 0.72% crude fibre. </w:t>
      </w:r>
      <w:r>
        <w:rPr>
          <w:rFonts w:ascii="Arial" w:hAnsi="Arial" w:eastAsia="Arial" w:cs="Arial"/>
        </w:rPr>
        <w:t xml:space="preserve">Bioactive compounds detected in the seeds of </w:t>
      </w:r>
      <w:r>
        <w:rPr>
          <w:rFonts w:ascii="Arial" w:hAnsi="Arial" w:cs="Arial"/>
          <w:i/>
          <w:iCs/>
        </w:rPr>
        <w:t xml:space="preserve">D. guineense </w:t>
      </w:r>
      <w:r>
        <w:rPr>
          <w:rFonts w:ascii="Arial" w:hAnsi="Arial" w:cs="Arial"/>
        </w:rPr>
        <w:t>includes</w:t>
      </w:r>
      <w:r>
        <w:rPr>
          <w:rFonts w:ascii="Arial" w:hAnsi="Arial" w:eastAsia="Arial" w:cs="Arial"/>
          <w:highlight w:val="white"/>
        </w:rPr>
        <w:t xml:space="preserve"> Phenol, Saponins, Tannin, Alkaloids, Flavonoid, Reducing sugar, Cardiac glycosides</w:t>
      </w:r>
      <w:r>
        <w:rPr>
          <w:rFonts w:ascii="Arial" w:hAnsi="Arial" w:eastAsia="Arial" w:cs="Arial"/>
          <w:color w:val="FF0000"/>
          <w:highlight w:val="white"/>
        </w:rPr>
        <w:t xml:space="preserve">, </w:t>
      </w:r>
      <w:r>
        <w:rPr>
          <w:rFonts w:ascii="Arial" w:hAnsi="Arial" w:eastAsia="Arial" w:cs="Arial"/>
          <w:highlight w:val="white"/>
        </w:rPr>
        <w:t xml:space="preserve">and </w:t>
      </w:r>
      <w:r>
        <w:rPr>
          <w:rFonts w:ascii="Arial" w:hAnsi="Arial" w:eastAsia="Arial" w:cs="Arial"/>
          <w:shd w:val="clear" w:color="auto" w:fill="FFFFFF"/>
        </w:rPr>
        <w:t>sterols</w:t>
      </w:r>
      <w:r>
        <w:rPr>
          <w:rFonts w:ascii="Arial" w:hAnsi="Arial" w:eastAsia="Arial" w:cs="Arial"/>
          <w:highlight w:val="white"/>
        </w:rPr>
        <w:t xml:space="preserve">. Anthroquinone glycoside and Anthocyanins were not detected.  </w:t>
      </w:r>
    </w:p>
    <w:p w14:paraId="51D30852">
      <w:pPr>
        <w:spacing w:line="360" w:lineRule="auto"/>
        <w:jc w:val="both"/>
        <w:rPr>
          <w:rFonts w:ascii="Arial" w:hAnsi="Arial" w:cs="Arial"/>
        </w:rPr>
      </w:pPr>
      <w:r>
        <w:rPr>
          <w:rFonts w:ascii="Arial" w:hAnsi="Arial" w:eastAsia="Arial" w:cs="Arial"/>
          <w:b/>
          <w:bCs/>
        </w:rPr>
        <w:t>Conclusion:</w:t>
      </w:r>
      <w:r>
        <w:rPr>
          <w:rFonts w:ascii="Arial" w:hAnsi="Arial" w:eastAsia="Arial" w:cs="Arial"/>
        </w:rPr>
        <w:t xml:space="preserve"> The seeds of </w:t>
      </w:r>
      <w:r>
        <w:rPr>
          <w:rFonts w:ascii="Arial" w:hAnsi="Arial" w:cs="Arial"/>
          <w:i/>
          <w:iCs/>
        </w:rPr>
        <w:t>D. guineense are</w:t>
      </w:r>
      <w:r>
        <w:rPr>
          <w:rFonts w:ascii="Arial" w:hAnsi="Arial" w:cs="Arial"/>
        </w:rPr>
        <w:t xml:space="preserve"> rich in nutrients which can be used to nourish the human system. It also contains bioactive compounds which have health benefits and should be incorporated into human diet rather than thrown away as waste. </w:t>
      </w:r>
    </w:p>
    <w:p w14:paraId="27F30928">
      <w:pPr>
        <w:spacing w:line="360" w:lineRule="auto"/>
        <w:rPr>
          <w:rFonts w:ascii="Arial" w:hAnsi="Arial" w:cs="Arial"/>
        </w:rPr>
      </w:pPr>
    </w:p>
    <w:p w14:paraId="31B3156E">
      <w:pPr>
        <w:pStyle w:val="15"/>
        <w:spacing w:after="0" w:line="360" w:lineRule="auto"/>
        <w:rPr>
          <w:rFonts w:ascii="Arial" w:hAnsi="Arial" w:cs="Arial"/>
        </w:rPr>
      </w:pPr>
      <w:r>
        <w:rPr>
          <w:rFonts w:ascii="Arial" w:hAnsi="Arial" w:eastAsia="Calibri" w:cs="Arial"/>
        </w:rPr>
        <w:t xml:space="preserve">Keywords: </w:t>
      </w:r>
      <w:r>
        <w:rPr>
          <w:rFonts w:ascii="Arial" w:hAnsi="Arial" w:cs="Arial"/>
          <w:i/>
          <w:iCs/>
        </w:rPr>
        <w:t xml:space="preserve">D. guineense, bioactive compounds, </w:t>
      </w:r>
      <w:r>
        <w:rPr>
          <w:rFonts w:ascii="Arial" w:hAnsi="Arial" w:cs="Arial"/>
        </w:rPr>
        <w:t xml:space="preserve">proximate analysis, </w:t>
      </w:r>
      <w:r>
        <w:rPr>
          <w:rFonts w:ascii="Arial" w:hAnsi="Arial" w:eastAsia="Arial" w:cs="Arial"/>
          <w:highlight w:val="white"/>
        </w:rPr>
        <w:t xml:space="preserve">Cardiac glycosides, </w:t>
      </w:r>
      <w:r>
        <w:rPr>
          <w:rFonts w:ascii="Arial" w:hAnsi="Arial" w:cs="Arial"/>
        </w:rPr>
        <w:t>phytochemicals, flavonoid, alkaloid, nutritional seeds, phyto</w:t>
      </w:r>
      <w:r>
        <w:rPr>
          <w:rFonts w:ascii="Arial" w:hAnsi="Arial" w:eastAsia="Arial" w:cs="Arial"/>
          <w:shd w:val="clear" w:color="auto" w:fill="FFFFFF"/>
        </w:rPr>
        <w:t>sterols</w:t>
      </w:r>
    </w:p>
    <w:p w14:paraId="3E49E4E4">
      <w:pPr>
        <w:spacing w:line="360" w:lineRule="auto"/>
        <w:rPr>
          <w:rFonts w:ascii="Arial" w:hAnsi="Arial" w:cs="Arial"/>
        </w:rPr>
      </w:pPr>
    </w:p>
    <w:p w14:paraId="33DEE70E">
      <w:pPr>
        <w:spacing w:line="360" w:lineRule="auto"/>
        <w:rPr>
          <w:rFonts w:ascii="Arial" w:hAnsi="Arial" w:cs="Arial"/>
          <w:b/>
          <w:bCs/>
          <w:sz w:val="22"/>
          <w:szCs w:val="22"/>
        </w:rPr>
      </w:pPr>
      <w:r>
        <w:rPr>
          <w:rFonts w:ascii="Arial" w:hAnsi="Arial" w:cs="Arial"/>
          <w:b/>
          <w:bCs/>
          <w:sz w:val="22"/>
          <w:szCs w:val="22"/>
        </w:rPr>
        <w:t>1. INTRODUCTION</w:t>
      </w:r>
    </w:p>
    <w:p w14:paraId="0952D0F7">
      <w:pPr>
        <w:spacing w:line="360" w:lineRule="auto"/>
        <w:jc w:val="both"/>
        <w:rPr>
          <w:rFonts w:ascii="Arial" w:hAnsi="Arial" w:eastAsia="Cambria" w:cs="Arial"/>
          <w:shd w:val="clear" w:color="auto" w:fill="FFFFFF"/>
        </w:rPr>
      </w:pPr>
    </w:p>
    <w:p w14:paraId="49275525">
      <w:pPr>
        <w:spacing w:line="360" w:lineRule="auto"/>
        <w:jc w:val="both"/>
        <w:rPr>
          <w:rFonts w:ascii="Arial" w:hAnsi="Arial" w:eastAsia="Cambria" w:cs="Arial"/>
          <w:shd w:val="clear" w:color="auto" w:fill="FFFFFF"/>
        </w:rPr>
      </w:pPr>
      <w:r>
        <w:rPr>
          <w:rFonts w:ascii="Arial" w:hAnsi="Arial" w:eastAsia="Cambria" w:cs="Arial"/>
          <w:shd w:val="clear" w:color="auto" w:fill="FFFFFF"/>
        </w:rPr>
        <w:t>Metabolic syndrome which are a cluster of metabolic abnormalities such as insulin resistance, obesity, hypercholesterolemia, hypertriglyceridemia, low concentrations of high-density lipoprotein (HDL)-cholesterol and hypertension are considered as the leading risk factors for the incidence of</w:t>
      </w:r>
      <w:r>
        <w:rPr>
          <w:rFonts w:ascii="Arial" w:hAnsi="Arial" w:eastAsia="Cambria" w:cs="Arial"/>
          <w:color w:val="FF0000"/>
          <w:shd w:val="clear" w:color="auto" w:fill="FFFFFF"/>
        </w:rPr>
        <w:t xml:space="preserve"> </w:t>
      </w:r>
      <w:r>
        <w:rPr>
          <w:rFonts w:ascii="Arial" w:hAnsi="Arial" w:eastAsia="Cambria" w:cs="Arial"/>
          <w:shd w:val="clear" w:color="auto" w:fill="FFFFFF"/>
        </w:rPr>
        <w:t>cardiovascular diseases and diabetes in this century (</w:t>
      </w:r>
      <w:r>
        <w:rPr>
          <w:rFonts w:ascii="Arial" w:hAnsi="Arial" w:eastAsia="SimSun" w:cs="Arial"/>
          <w:shd w:val="clear" w:color="auto" w:fill="FFFFFF"/>
        </w:rPr>
        <w:t xml:space="preserve">Dommermuth and Ewing, 2018; Wang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2020). </w:t>
      </w:r>
      <w:r>
        <w:rPr>
          <w:rFonts w:ascii="Arial" w:hAnsi="Arial" w:eastAsia="Cambria" w:cs="Arial"/>
          <w:shd w:val="clear" w:color="auto" w:fill="FFFFFF"/>
        </w:rPr>
        <w:t>A healthy lifestyle has been recommended as a way to reduce the incidence of these metabolic syndrome (</w:t>
      </w:r>
      <w:r>
        <w:rPr>
          <w:rFonts w:ascii="Arial" w:hAnsi="Arial" w:eastAsia="SimSun" w:cs="Arial"/>
          <w:shd w:val="clear" w:color="auto" w:fill="FFFFFF"/>
        </w:rPr>
        <w:t xml:space="preserve">Nilsson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2019; Castro-Barquero </w:t>
      </w:r>
      <w:r>
        <w:rPr>
          <w:rFonts w:ascii="Arial" w:hAnsi="Arial" w:eastAsia="SimSun" w:cs="Arial"/>
          <w:i/>
          <w:iCs/>
          <w:shd w:val="clear" w:color="auto" w:fill="FFFFFF"/>
          <w:lang w:val="en-US"/>
        </w:rPr>
        <w:t>et a</w:t>
      </w:r>
      <w:r>
        <w:rPr>
          <w:rFonts w:ascii="Arial" w:hAnsi="Arial" w:eastAsia="SimSun" w:cs="Arial"/>
          <w:shd w:val="clear" w:color="auto" w:fill="FFFFFF"/>
          <w:lang w:val="en-US"/>
        </w:rPr>
        <w:t>l</w:t>
      </w:r>
      <w:r>
        <w:rPr>
          <w:rFonts w:ascii="Arial" w:hAnsi="Arial" w:eastAsia="SimSun" w:cs="Arial"/>
          <w:shd w:val="clear" w:color="auto" w:fill="FFFFFF"/>
        </w:rPr>
        <w:t>., 2020</w:t>
      </w:r>
      <w:r>
        <w:rPr>
          <w:rFonts w:ascii="Arial" w:hAnsi="Arial" w:eastAsia="Cambria" w:cs="Arial"/>
          <w:shd w:val="clear" w:color="auto" w:fill="FFFFFF"/>
        </w:rPr>
        <w:t>). The consumption of diets rich in the nutrients required by the body in the appropriate amount is part of a healthy lifestyle (</w:t>
      </w:r>
      <w:r>
        <w:rPr>
          <w:rFonts w:ascii="Arial" w:hAnsi="Arial" w:eastAsia="SimSun" w:cs="Arial"/>
          <w:shd w:val="clear" w:color="auto" w:fill="FFFFFF"/>
        </w:rPr>
        <w:t xml:space="preserve">Cena and Calder,2020; Rasmussen </w:t>
      </w:r>
      <w:r>
        <w:rPr>
          <w:rFonts w:ascii="Arial" w:hAnsi="Arial" w:eastAsia="SimSun" w:cs="Arial"/>
          <w:i/>
          <w:iCs/>
          <w:shd w:val="clear" w:color="auto" w:fill="FFFFFF"/>
        </w:rPr>
        <w:t>et al</w:t>
      </w:r>
      <w:r>
        <w:rPr>
          <w:rFonts w:ascii="Arial" w:hAnsi="Arial" w:eastAsia="SimSun" w:cs="Arial"/>
          <w:shd w:val="clear" w:color="auto" w:fill="FFFFFF"/>
        </w:rPr>
        <w:t>., 2020</w:t>
      </w:r>
      <w:r>
        <w:rPr>
          <w:rFonts w:ascii="Arial" w:hAnsi="Arial" w:eastAsia="Cambria" w:cs="Arial"/>
          <w:shd w:val="clear" w:color="auto" w:fill="FFFFFF"/>
        </w:rPr>
        <w:t>). The demand for nutritional food to meet the recommended daily allowance (RDA) for both macro and micro nutrients is on the increase due to the desire for a healthy lifestyle (</w:t>
      </w:r>
      <w:r>
        <w:rPr>
          <w:rFonts w:ascii="Arial" w:hAnsi="Arial" w:eastAsia="SimSun" w:cs="Arial"/>
          <w:shd w:val="clear" w:color="auto" w:fill="FFFFFF"/>
        </w:rPr>
        <w:t xml:space="preserve">Raza </w:t>
      </w:r>
      <w:r>
        <w:rPr>
          <w:rFonts w:ascii="Arial" w:hAnsi="Arial" w:eastAsia="SimSun" w:cs="Arial"/>
          <w:i/>
          <w:iCs/>
          <w:shd w:val="clear" w:color="auto" w:fill="FFFFFF"/>
        </w:rPr>
        <w:t>et al</w:t>
      </w:r>
      <w:r>
        <w:rPr>
          <w:rFonts w:ascii="Arial" w:hAnsi="Arial" w:eastAsia="SimSun" w:cs="Arial"/>
          <w:shd w:val="clear" w:color="auto" w:fill="FFFFFF"/>
        </w:rPr>
        <w:t>., 2026</w:t>
      </w:r>
      <w:r>
        <w:rPr>
          <w:rFonts w:ascii="Arial" w:hAnsi="Arial" w:eastAsia="Cambria" w:cs="Arial"/>
          <w:shd w:val="clear" w:color="auto" w:fill="FFFFFF"/>
        </w:rPr>
        <w:t>). Diets which are rich in unsaturated fat, fibre, complex carbohydrates with low cholesterol, sodium and unsaturated fat is the first step for stopping the development of</w:t>
      </w:r>
      <w:r>
        <w:rPr>
          <w:rFonts w:ascii="Arial" w:hAnsi="Arial" w:eastAsia="Cambria" w:cs="Arial"/>
          <w:color w:val="FF0000"/>
          <w:shd w:val="clear" w:color="auto" w:fill="FFFFFF"/>
        </w:rPr>
        <w:t xml:space="preserve"> </w:t>
      </w:r>
      <w:r>
        <w:rPr>
          <w:rFonts w:ascii="Arial" w:hAnsi="Arial" w:eastAsia="Cambria" w:cs="Arial"/>
          <w:shd w:val="clear" w:color="auto" w:fill="FFFFFF"/>
        </w:rPr>
        <w:t>metabolic disorders such as diabetes, atherosclerosis</w:t>
      </w:r>
      <w:r>
        <w:rPr>
          <w:rFonts w:ascii="Arial" w:hAnsi="Arial" w:eastAsia="Cambria" w:cs="Arial"/>
          <w:color w:val="FF0000"/>
          <w:shd w:val="clear" w:color="auto" w:fill="FFFFFF"/>
        </w:rPr>
        <w:t>,</w:t>
      </w:r>
      <w:r>
        <w:rPr>
          <w:rFonts w:ascii="Arial" w:hAnsi="Arial" w:eastAsia="Cambria" w:cs="Arial"/>
          <w:shd w:val="clear" w:color="auto" w:fill="FFFFFF"/>
        </w:rPr>
        <w:t xml:space="preserve"> and other cardiovascular diseases from metabolic syndromes (</w:t>
      </w:r>
      <w:r>
        <w:rPr>
          <w:rFonts w:ascii="Arial" w:hAnsi="Arial" w:eastAsia="SimSun" w:cs="Arial"/>
          <w:shd w:val="clear" w:color="auto" w:fill="FFFFFF"/>
        </w:rPr>
        <w:t xml:space="preserve">Awuchi </w:t>
      </w:r>
      <w:r>
        <w:rPr>
          <w:rFonts w:ascii="Arial" w:hAnsi="Arial" w:eastAsia="SimSun" w:cs="Arial"/>
          <w:i/>
          <w:iCs/>
          <w:shd w:val="clear" w:color="auto" w:fill="FFFFFF"/>
        </w:rPr>
        <w:t>et al</w:t>
      </w:r>
      <w:r>
        <w:rPr>
          <w:rFonts w:ascii="Arial" w:hAnsi="Arial" w:eastAsia="SimSun" w:cs="Arial"/>
          <w:shd w:val="clear" w:color="auto" w:fill="FFFFFF"/>
        </w:rPr>
        <w:t xml:space="preserve">., 2020; Angelico </w:t>
      </w:r>
      <w:r>
        <w:rPr>
          <w:rFonts w:ascii="Arial" w:hAnsi="Arial" w:eastAsia="SimSun" w:cs="Arial"/>
          <w:i/>
          <w:iCs/>
          <w:shd w:val="clear" w:color="auto" w:fill="FFFFFF"/>
        </w:rPr>
        <w:t>et al</w:t>
      </w:r>
      <w:r>
        <w:rPr>
          <w:rFonts w:ascii="Arial" w:hAnsi="Arial" w:eastAsia="SimSun" w:cs="Arial"/>
          <w:shd w:val="clear" w:color="auto" w:fill="FFFFFF"/>
        </w:rPr>
        <w:t>., 2023</w:t>
      </w:r>
      <w:r>
        <w:rPr>
          <w:rFonts w:ascii="Arial" w:hAnsi="Arial" w:eastAsia="Cambria" w:cs="Arial"/>
          <w:shd w:val="clear" w:color="auto" w:fill="FFFFFF"/>
        </w:rPr>
        <w:t xml:space="preserve">). </w:t>
      </w:r>
    </w:p>
    <w:p w14:paraId="04FA35E0">
      <w:pPr>
        <w:spacing w:line="360" w:lineRule="auto"/>
        <w:jc w:val="both"/>
        <w:rPr>
          <w:rFonts w:ascii="Arial" w:hAnsi="Arial" w:eastAsia="Cambria" w:cs="Arial"/>
          <w:shd w:val="clear" w:color="auto" w:fill="FFFFFF"/>
        </w:rPr>
      </w:pPr>
    </w:p>
    <w:p w14:paraId="0DF18627">
      <w:pPr>
        <w:spacing w:line="360" w:lineRule="auto"/>
        <w:jc w:val="both"/>
        <w:rPr>
          <w:rFonts w:ascii="Arial" w:hAnsi="Arial" w:eastAsia="serif" w:cs="Arial"/>
          <w:shd w:val="clear" w:color="auto" w:fill="FFFFFF"/>
        </w:rPr>
      </w:pPr>
      <w:r>
        <w:rPr>
          <w:rFonts w:ascii="Arial" w:hAnsi="Arial" w:eastAsia="SimSun" w:cs="Arial"/>
        </w:rPr>
        <w:t>Plants are a rich source of complex carbohydrates such as starch and fibre (</w:t>
      </w:r>
      <w:r>
        <w:rPr>
          <w:rFonts w:ascii="Arial" w:hAnsi="Arial" w:eastAsia="SimSun" w:cs="Arial"/>
          <w:shd w:val="clear" w:color="auto" w:fill="FFFFFF"/>
        </w:rPr>
        <w:t xml:space="preserve">Li </w:t>
      </w:r>
      <w:r>
        <w:rPr>
          <w:rFonts w:ascii="Arial" w:hAnsi="Arial" w:eastAsia="SimSun" w:cs="Arial"/>
          <w:i/>
          <w:iCs/>
          <w:shd w:val="clear" w:color="auto" w:fill="FFFFFF"/>
        </w:rPr>
        <w:t>et al</w:t>
      </w:r>
      <w:r>
        <w:rPr>
          <w:rFonts w:ascii="Arial" w:hAnsi="Arial" w:eastAsia="SimSun" w:cs="Arial"/>
          <w:shd w:val="clear" w:color="auto" w:fill="FFFFFF"/>
        </w:rPr>
        <w:t>., 2020; Wang and Guo, 2020)</w:t>
      </w:r>
      <w:r>
        <w:rPr>
          <w:rFonts w:ascii="Arial" w:hAnsi="Arial" w:eastAsia="SimSun" w:cs="Arial"/>
        </w:rPr>
        <w:t>. Over the years, plant seeds have been identified as a fundamental unit which contains nutrients which forms building blocks on which plant life is based (</w:t>
      </w:r>
      <w:r>
        <w:rPr>
          <w:rFonts w:ascii="Arial" w:hAnsi="Arial" w:eastAsia="SimSun" w:cs="Arial"/>
          <w:shd w:val="clear" w:color="auto" w:fill="FFFFFF"/>
        </w:rPr>
        <w:t xml:space="preserve">Cervera-Mata </w:t>
      </w:r>
      <w:r>
        <w:rPr>
          <w:rFonts w:ascii="Arial" w:hAnsi="Arial" w:eastAsia="SimSun" w:cs="Arial"/>
          <w:i/>
          <w:iCs/>
          <w:shd w:val="clear" w:color="auto" w:fill="FFFFFF"/>
        </w:rPr>
        <w:t>et al</w:t>
      </w:r>
      <w:r>
        <w:rPr>
          <w:rFonts w:ascii="Arial" w:hAnsi="Arial" w:eastAsia="SimSun" w:cs="Arial"/>
          <w:shd w:val="clear" w:color="auto" w:fill="FFFFFF"/>
        </w:rPr>
        <w:t>., 2022</w:t>
      </w:r>
      <w:r>
        <w:rPr>
          <w:rFonts w:ascii="Arial" w:hAnsi="Arial" w:eastAsia="SimSun" w:cs="Arial"/>
        </w:rPr>
        <w:t>). In plants, energy is stored as starch in the seed. Plant seeds are rich in macronutrients including carbohydrates, lipids and protein and micronutrients such as vitamins (</w:t>
      </w:r>
      <w:r>
        <w:rPr>
          <w:rFonts w:ascii="Arial" w:hAnsi="Arial" w:eastAsia="SimSun" w:cs="Arial"/>
          <w:shd w:val="clear" w:color="auto" w:fill="FFFFFF"/>
        </w:rPr>
        <w:t xml:space="preserve">Li </w:t>
      </w:r>
      <w:r>
        <w:rPr>
          <w:rFonts w:ascii="Arial" w:hAnsi="Arial" w:eastAsia="SimSun" w:cs="Arial"/>
          <w:i/>
          <w:iCs/>
          <w:shd w:val="clear" w:color="auto" w:fill="FFFFFF"/>
        </w:rPr>
        <w:t>et al</w:t>
      </w:r>
      <w:r>
        <w:rPr>
          <w:rFonts w:ascii="Arial" w:hAnsi="Arial" w:eastAsia="SimSun" w:cs="Arial"/>
          <w:shd w:val="clear" w:color="auto" w:fill="FFFFFF"/>
        </w:rPr>
        <w:t xml:space="preserve">., 2021; Cervera-Mata </w:t>
      </w:r>
      <w:r>
        <w:rPr>
          <w:rFonts w:ascii="Arial" w:hAnsi="Arial" w:eastAsia="SimSun" w:cs="Arial"/>
          <w:i/>
          <w:iCs/>
          <w:shd w:val="clear" w:color="auto" w:fill="FFFFFF"/>
        </w:rPr>
        <w:t>et al</w:t>
      </w:r>
      <w:r>
        <w:rPr>
          <w:rFonts w:ascii="Arial" w:hAnsi="Arial" w:eastAsia="SimSun" w:cs="Arial"/>
          <w:shd w:val="clear" w:color="auto" w:fill="FFFFFF"/>
        </w:rPr>
        <w:t>., 2022</w:t>
      </w:r>
      <w:r>
        <w:rPr>
          <w:rFonts w:ascii="Arial" w:hAnsi="Arial" w:eastAsia="SimSun" w:cs="Arial"/>
        </w:rPr>
        <w:t>). The best plant-based mineral, vitamins, oil, protein and fiber are gotten from the seeds of plants (</w:t>
      </w:r>
      <w:r>
        <w:rPr>
          <w:rFonts w:ascii="Arial" w:hAnsi="Arial" w:eastAsia="SimSun" w:cs="Arial"/>
          <w:shd w:val="clear" w:color="auto" w:fill="FFFFFF"/>
        </w:rPr>
        <w:t xml:space="preserve">Langyan </w:t>
      </w:r>
      <w:r>
        <w:rPr>
          <w:rFonts w:ascii="Arial" w:hAnsi="Arial" w:eastAsia="SimSun" w:cs="Arial"/>
          <w:i/>
          <w:iCs/>
          <w:shd w:val="clear" w:color="auto" w:fill="FFFFFF"/>
        </w:rPr>
        <w:t>et al</w:t>
      </w:r>
      <w:r>
        <w:rPr>
          <w:rFonts w:ascii="Arial" w:hAnsi="Arial" w:eastAsia="SimSun" w:cs="Arial"/>
          <w:shd w:val="clear" w:color="auto" w:fill="FFFFFF"/>
        </w:rPr>
        <w:t>., 2022</w:t>
      </w:r>
      <w:r>
        <w:rPr>
          <w:rFonts w:ascii="Arial" w:hAnsi="Arial" w:eastAsia="SimSun" w:cs="Arial"/>
        </w:rPr>
        <w:t>). Cereals including corn, barley, wheat, oats, millets, rye</w:t>
      </w:r>
      <w:r>
        <w:rPr>
          <w:rFonts w:ascii="Arial" w:hAnsi="Arial" w:eastAsia="SimSun" w:cs="Arial"/>
          <w:color w:val="FF0000"/>
        </w:rPr>
        <w:t>,</w:t>
      </w:r>
      <w:r>
        <w:rPr>
          <w:rFonts w:ascii="Arial" w:hAnsi="Arial" w:eastAsia="SimSun" w:cs="Arial"/>
        </w:rPr>
        <w:t xml:space="preserve"> and sorghum have been identified as the seeds with the highest amount of carbohydrates and are consumed as a source of carbohydrate and fiber (</w:t>
      </w:r>
      <w:r>
        <w:rPr>
          <w:rFonts w:ascii="Arial" w:hAnsi="Arial" w:eastAsia="SimSun" w:cs="Arial"/>
          <w:shd w:val="clear" w:color="auto" w:fill="FFFFFF"/>
        </w:rPr>
        <w:t xml:space="preserve">das Graças Costa </w:t>
      </w:r>
      <w:r>
        <w:rPr>
          <w:rFonts w:ascii="Arial" w:hAnsi="Arial" w:eastAsia="SimSun" w:cs="Arial"/>
          <w:i/>
          <w:iCs/>
          <w:shd w:val="clear" w:color="auto" w:fill="FFFFFF"/>
        </w:rPr>
        <w:t>et al</w:t>
      </w:r>
      <w:r>
        <w:rPr>
          <w:rFonts w:ascii="Arial" w:hAnsi="Arial" w:eastAsia="SimSun" w:cs="Arial"/>
          <w:shd w:val="clear" w:color="auto" w:fill="FFFFFF"/>
        </w:rPr>
        <w:t xml:space="preserve">., 2023). According to Esfandi </w:t>
      </w:r>
      <w:r>
        <w:rPr>
          <w:rFonts w:ascii="Arial" w:hAnsi="Arial" w:eastAsia="SimSun" w:cs="Arial"/>
          <w:i/>
          <w:iCs/>
          <w:shd w:val="clear" w:color="auto" w:fill="FFFFFF"/>
        </w:rPr>
        <w:t>et al</w:t>
      </w:r>
      <w:r>
        <w:rPr>
          <w:rFonts w:ascii="Arial" w:hAnsi="Arial" w:eastAsia="SimSun" w:cs="Arial"/>
          <w:shd w:val="clear" w:color="auto" w:fill="FFFFFF"/>
        </w:rPr>
        <w:t>. (2019) and Pal and Molnár (2021), not only do</w:t>
      </w:r>
      <w:r>
        <w:rPr>
          <w:rFonts w:ascii="Arial" w:hAnsi="Arial" w:eastAsia="SimSun" w:cs="Arial"/>
          <w:color w:val="FF0000"/>
          <w:shd w:val="clear" w:color="auto" w:fill="FFFFFF"/>
        </w:rPr>
        <w:t xml:space="preserve"> </w:t>
      </w:r>
      <w:r>
        <w:rPr>
          <w:rFonts w:ascii="Arial" w:hAnsi="Arial" w:eastAsia="SimSun" w:cs="Arial"/>
          <w:shd w:val="clear" w:color="auto" w:fill="FFFFFF"/>
        </w:rPr>
        <w:t>cereals</w:t>
      </w:r>
      <w:r>
        <w:rPr>
          <w:rFonts w:ascii="Arial" w:hAnsi="Arial" w:eastAsia="SimSun" w:cs="Arial"/>
          <w:color w:val="FF0000"/>
          <w:shd w:val="clear" w:color="auto" w:fill="FFFFFF"/>
        </w:rPr>
        <w:t xml:space="preserve"> </w:t>
      </w:r>
      <w:r>
        <w:rPr>
          <w:rFonts w:ascii="Arial" w:hAnsi="Arial" w:eastAsia="SimSun" w:cs="Arial"/>
          <w:shd w:val="clear" w:color="auto" w:fill="FFFFFF"/>
        </w:rPr>
        <w:t xml:space="preserve">play a role in enabling humans meet up with the RDA for carbohydrate, high quality cereals which are rich in antioxidants, fibre, proteins and vitamin B, such as wheat, rye, oat and barley are beneficial in the treatment of </w:t>
      </w:r>
      <w:r>
        <w:rPr>
          <w:rFonts w:ascii="Arial" w:hAnsi="Arial" w:eastAsia="Cambria" w:cs="Arial"/>
          <w:shd w:val="clear" w:color="auto" w:fill="FFFFFF"/>
        </w:rPr>
        <w:t>hypercholesterolemia</w:t>
      </w:r>
      <w:r>
        <w:rPr>
          <w:rFonts w:ascii="Arial" w:hAnsi="Arial" w:eastAsia="SimSun" w:cs="Arial"/>
          <w:shd w:val="clear" w:color="auto" w:fill="FFFFFF"/>
        </w:rPr>
        <w:t xml:space="preserve">, type 2 diabetes and obesity. </w:t>
      </w:r>
      <w:r>
        <w:rPr>
          <w:rFonts w:ascii="Arial" w:hAnsi="Arial" w:eastAsia="sans-serif" w:cs="Arial"/>
          <w:shd w:val="clear" w:color="auto" w:fill="FFFFFF"/>
        </w:rPr>
        <w:t>Legumes on the other hand are seeds which have been identified as one of the richest source of amino acids and proteins (</w:t>
      </w:r>
      <w:r>
        <w:rPr>
          <w:rFonts w:ascii="Arial" w:hAnsi="Arial" w:eastAsia="SimSun" w:cs="Arial"/>
          <w:shd w:val="clear" w:color="auto" w:fill="FFFFFF"/>
        </w:rPr>
        <w:t xml:space="preserve">Punia </w:t>
      </w:r>
      <w:r>
        <w:rPr>
          <w:rFonts w:ascii="Arial" w:hAnsi="Arial" w:eastAsia="SimSun" w:cs="Arial"/>
          <w:i/>
          <w:iCs/>
          <w:shd w:val="clear" w:color="auto" w:fill="FFFFFF"/>
        </w:rPr>
        <w:t>et al</w:t>
      </w:r>
      <w:r>
        <w:rPr>
          <w:rFonts w:ascii="Arial" w:hAnsi="Arial" w:eastAsia="SimSun" w:cs="Arial"/>
          <w:shd w:val="clear" w:color="auto" w:fill="FFFFFF"/>
        </w:rPr>
        <w:t>., 2020</w:t>
      </w:r>
      <w:r>
        <w:rPr>
          <w:rFonts w:ascii="Arial" w:hAnsi="Arial" w:eastAsia="sans-serif" w:cs="Arial"/>
          <w:shd w:val="clear" w:color="auto" w:fill="FFFFFF"/>
        </w:rPr>
        <w:t xml:space="preserve">). According to </w:t>
      </w:r>
      <w:r>
        <w:rPr>
          <w:rFonts w:ascii="Arial" w:hAnsi="Arial" w:eastAsia="SimSun" w:cs="Arial"/>
          <w:shd w:val="clear" w:color="auto" w:fill="FFFFFF"/>
        </w:rPr>
        <w:t xml:space="preserve">Punia </w:t>
      </w:r>
      <w:r>
        <w:rPr>
          <w:rFonts w:ascii="Arial" w:hAnsi="Arial" w:eastAsia="SimSun" w:cs="Arial"/>
          <w:i/>
          <w:iCs/>
          <w:shd w:val="clear" w:color="auto" w:fill="FFFFFF"/>
        </w:rPr>
        <w:t>et al</w:t>
      </w:r>
      <w:r>
        <w:rPr>
          <w:rFonts w:ascii="Arial" w:hAnsi="Arial" w:eastAsia="SimSun" w:cs="Arial"/>
          <w:shd w:val="clear" w:color="auto" w:fill="FFFFFF"/>
        </w:rPr>
        <w:t>. (2020), legumes also contain bioactive peptides, essential proteins which have functional properties. Legumes possess a carbohydrate fraction which consist of starch, identified to be slow digesting resistant starch, and dietary fibre. This combination of resistant starch and dietary fiber impact human health via its control role</w:t>
      </w:r>
      <w:r>
        <w:rPr>
          <w:rFonts w:ascii="Arial" w:hAnsi="Arial" w:eastAsia="SimSun" w:cs="Arial"/>
          <w:color w:val="FF0000"/>
          <w:shd w:val="clear" w:color="auto" w:fill="FFFFFF"/>
        </w:rPr>
        <w:t xml:space="preserve"> </w:t>
      </w:r>
      <w:r>
        <w:rPr>
          <w:rFonts w:ascii="Arial" w:hAnsi="Arial" w:eastAsia="SimSun" w:cs="Arial"/>
          <w:shd w:val="clear" w:color="auto" w:fill="FFFFFF"/>
        </w:rPr>
        <w:t xml:space="preserve">in insulin response and postprandial glucose level, improving satiety, influencing lipid metabolism and colonic health (Ghare </w:t>
      </w:r>
      <w:r>
        <w:rPr>
          <w:rFonts w:ascii="Arial" w:hAnsi="Arial" w:eastAsia="SimSun" w:cs="Arial"/>
          <w:i/>
          <w:iCs/>
          <w:shd w:val="clear" w:color="auto" w:fill="FFFFFF"/>
        </w:rPr>
        <w:t>et al</w:t>
      </w:r>
      <w:r>
        <w:rPr>
          <w:rFonts w:ascii="Arial" w:hAnsi="Arial" w:eastAsia="SimSun" w:cs="Arial"/>
          <w:shd w:val="clear" w:color="auto" w:fill="FFFFFF"/>
        </w:rPr>
        <w:t xml:space="preserve">., 2024). </w:t>
      </w:r>
      <w:r>
        <w:rPr>
          <w:rFonts w:ascii="Arial" w:hAnsi="Arial" w:eastAsia="serif" w:cs="Arial"/>
          <w:shd w:val="clear" w:color="auto" w:fill="FFFFFF"/>
        </w:rPr>
        <w:t>The high consumption of seeds such as pulses/ legumes, cereal grains, pseudo-cereals as well as other seeds has made seeds the number one source of dietary fiber to man (</w:t>
      </w:r>
      <w:r>
        <w:rPr>
          <w:rFonts w:ascii="Arial" w:hAnsi="Arial" w:eastAsia="SimSun" w:cs="Arial"/>
          <w:shd w:val="clear" w:color="auto" w:fill="FFFFFF"/>
        </w:rPr>
        <w:t>Serna Saldívar and Hernández, 2020</w:t>
      </w:r>
      <w:r>
        <w:rPr>
          <w:rFonts w:ascii="Arial" w:hAnsi="Arial" w:eastAsia="serif" w:cs="Arial"/>
          <w:shd w:val="clear" w:color="auto" w:fill="FFFFFF"/>
        </w:rPr>
        <w:t>).</w:t>
      </w:r>
    </w:p>
    <w:p w14:paraId="05B44D5B">
      <w:pPr>
        <w:spacing w:line="360" w:lineRule="auto"/>
        <w:jc w:val="both"/>
        <w:rPr>
          <w:rFonts w:ascii="Arial" w:hAnsi="Arial" w:eastAsia="serif" w:cs="Arial"/>
          <w:shd w:val="clear" w:color="auto" w:fill="FFFFFF"/>
        </w:rPr>
      </w:pPr>
    </w:p>
    <w:p w14:paraId="71083E99">
      <w:pPr>
        <w:spacing w:line="360" w:lineRule="auto"/>
        <w:jc w:val="both"/>
        <w:rPr>
          <w:rFonts w:ascii="Arial" w:hAnsi="Arial" w:eastAsia="serif" w:cs="Arial"/>
          <w:shd w:val="clear" w:color="auto" w:fill="FFFFFF"/>
        </w:rPr>
      </w:pPr>
      <w:r>
        <w:rPr>
          <w:rFonts w:ascii="Arial" w:hAnsi="Arial" w:eastAsia="Helvetica" w:cs="Arial"/>
          <w:shd w:val="clear" w:color="auto" w:fill="FFFFFF"/>
        </w:rPr>
        <w:t>In addition to the presence of essential nutrients, plant seeds contain numerous naturally occurring bioactive substances such as flavonoids, polyphenols, and phytosterols which have various health benefits for the</w:t>
      </w:r>
      <w:r>
        <w:rPr>
          <w:rFonts w:ascii="Arial" w:hAnsi="Arial" w:eastAsia="Helvetica" w:cs="Arial"/>
          <w:color w:val="FF0000"/>
          <w:shd w:val="clear" w:color="auto" w:fill="FFFFFF"/>
        </w:rPr>
        <w:t xml:space="preserve"> </w:t>
      </w:r>
      <w:r>
        <w:rPr>
          <w:rFonts w:ascii="Arial" w:hAnsi="Arial" w:eastAsia="Helvetica" w:cs="Arial"/>
          <w:shd w:val="clear" w:color="auto" w:fill="FFFFFF"/>
        </w:rPr>
        <w:t>human system (</w:t>
      </w:r>
      <w:r>
        <w:rPr>
          <w:rFonts w:ascii="Arial" w:hAnsi="Arial" w:eastAsia="SimSun" w:cs="Arial"/>
          <w:shd w:val="clear" w:color="auto" w:fill="FFFFFF"/>
        </w:rPr>
        <w:t xml:space="preserve">Sławińska and Olas, 2022; Rahaman </w:t>
      </w:r>
      <w:r>
        <w:rPr>
          <w:rFonts w:ascii="Arial" w:hAnsi="Arial" w:eastAsia="SimSun" w:cs="Arial"/>
          <w:i/>
          <w:iCs/>
          <w:shd w:val="clear" w:color="auto" w:fill="FFFFFF"/>
        </w:rPr>
        <w:t>et al</w:t>
      </w:r>
      <w:r>
        <w:rPr>
          <w:rFonts w:ascii="Arial" w:hAnsi="Arial" w:eastAsia="SimSun" w:cs="Arial"/>
          <w:shd w:val="clear" w:color="auto" w:fill="FFFFFF"/>
        </w:rPr>
        <w:t>., 2023</w:t>
      </w:r>
      <w:r>
        <w:rPr>
          <w:rFonts w:ascii="Arial" w:hAnsi="Arial" w:eastAsia="Helvetica" w:cs="Arial"/>
          <w:shd w:val="clear" w:color="auto" w:fill="FFFFFF"/>
        </w:rPr>
        <w:t xml:space="preserve">). The presence of phenol, steroid, flavonoid, tannin and alkaloid have been detected in seeds such as </w:t>
      </w:r>
      <w:r>
        <w:rPr>
          <w:rFonts w:ascii="Arial" w:hAnsi="Arial" w:eastAsia="SimSun" w:cs="Arial"/>
          <w:i/>
          <w:iCs/>
        </w:rPr>
        <w:t>Citrullus lanatus</w:t>
      </w:r>
      <w:r>
        <w:rPr>
          <w:rFonts w:ascii="Arial" w:hAnsi="Arial" w:eastAsia="SimSun" w:cs="Arial"/>
        </w:rPr>
        <w:t xml:space="preserve"> (</w:t>
      </w:r>
      <w:r>
        <w:rPr>
          <w:rFonts w:ascii="Arial" w:hAnsi="Arial" w:eastAsia="Helvetica" w:cs="Arial"/>
          <w:shd w:val="clear" w:color="auto" w:fill="FFFFFF"/>
        </w:rPr>
        <w:t>water melon) (</w:t>
      </w:r>
      <w:r>
        <w:rPr>
          <w:rFonts w:ascii="Arial" w:hAnsi="Arial" w:eastAsia="SimSun" w:cs="Arial"/>
          <w:shd w:val="clear" w:color="auto" w:fill="FFFFFF"/>
        </w:rPr>
        <w:t xml:space="preserve">Irabor </w:t>
      </w:r>
      <w:r>
        <w:rPr>
          <w:rFonts w:ascii="Arial" w:hAnsi="Arial" w:eastAsia="SimSun" w:cs="Arial"/>
          <w:i/>
          <w:iCs/>
          <w:shd w:val="clear" w:color="auto" w:fill="FFFFFF"/>
        </w:rPr>
        <w:t>et al</w:t>
      </w:r>
      <w:r>
        <w:rPr>
          <w:rFonts w:ascii="Arial" w:hAnsi="Arial" w:eastAsia="SimSun" w:cs="Arial"/>
          <w:shd w:val="clear" w:color="auto" w:fill="FFFFFF"/>
        </w:rPr>
        <w:t xml:space="preserve">., 2020), </w:t>
      </w:r>
      <w:r>
        <w:rPr>
          <w:rFonts w:ascii="Arial" w:hAnsi="Arial" w:eastAsia="SimSun" w:cs="Arial"/>
          <w:i/>
          <w:iCs/>
        </w:rPr>
        <w:t>Moringa oleifera</w:t>
      </w:r>
      <w:r>
        <w:rPr>
          <w:rFonts w:ascii="Arial" w:hAnsi="Arial" w:eastAsia="SimSun" w:cs="Arial"/>
        </w:rPr>
        <w:t xml:space="preserve"> </w:t>
      </w:r>
      <w:r>
        <w:rPr>
          <w:rFonts w:ascii="Arial" w:hAnsi="Arial" w:eastAsia="SimSun" w:cs="Arial"/>
          <w:shd w:val="clear" w:color="auto" w:fill="FFFFFF"/>
        </w:rPr>
        <w:t xml:space="preserve">(Omokpariola </w:t>
      </w:r>
      <w:r>
        <w:rPr>
          <w:rFonts w:ascii="Arial" w:hAnsi="Arial" w:eastAsia="SimSun" w:cs="Arial"/>
          <w:i/>
          <w:iCs/>
          <w:shd w:val="clear" w:color="auto" w:fill="FFFFFF"/>
        </w:rPr>
        <w:t>et al</w:t>
      </w:r>
      <w:r>
        <w:rPr>
          <w:rFonts w:ascii="Arial" w:hAnsi="Arial" w:eastAsia="SimSun" w:cs="Arial"/>
          <w:shd w:val="clear" w:color="auto" w:fill="FFFFFF"/>
        </w:rPr>
        <w:t xml:space="preserve">., 2021), </w:t>
      </w:r>
      <w:r>
        <w:rPr>
          <w:rStyle w:val="8"/>
          <w:rFonts w:ascii="Arial" w:hAnsi="Arial" w:eastAsia="Helvetica" w:cs="Arial"/>
          <w:shd w:val="clear" w:color="auto" w:fill="FFFFFF"/>
        </w:rPr>
        <w:t xml:space="preserve">Nigella sativa </w:t>
      </w:r>
      <w:r>
        <w:rPr>
          <w:rStyle w:val="8"/>
          <w:rFonts w:ascii="Arial" w:hAnsi="Arial" w:eastAsia="Helvetica" w:cs="Arial"/>
          <w:i w:val="0"/>
          <w:iCs w:val="0"/>
          <w:shd w:val="clear" w:color="auto" w:fill="FFFFFF"/>
        </w:rPr>
        <w:t>(</w:t>
      </w:r>
      <w:r>
        <w:rPr>
          <w:rStyle w:val="13"/>
          <w:rFonts w:ascii="Arial" w:hAnsi="Arial" w:eastAsia="Arial" w:cs="Arial"/>
          <w:b w:val="0"/>
          <w:bCs w:val="0"/>
          <w:shd w:val="clear" w:color="auto" w:fill="FFFFFF"/>
        </w:rPr>
        <w:t>black cumin) (</w:t>
      </w:r>
      <w:r>
        <w:rPr>
          <w:rFonts w:ascii="Arial" w:hAnsi="Arial" w:eastAsia="SimSun" w:cs="Arial"/>
          <w:shd w:val="clear" w:color="auto" w:fill="FFFFFF"/>
        </w:rPr>
        <w:t xml:space="preserve">Shafodino </w:t>
      </w:r>
      <w:r>
        <w:rPr>
          <w:rFonts w:ascii="Arial" w:hAnsi="Arial" w:eastAsia="SimSun" w:cs="Arial"/>
          <w:i/>
          <w:iCs/>
          <w:shd w:val="clear" w:color="auto" w:fill="FFFFFF"/>
        </w:rPr>
        <w:t>et al</w:t>
      </w:r>
      <w:r>
        <w:rPr>
          <w:rFonts w:ascii="Arial" w:hAnsi="Arial" w:eastAsia="SimSun" w:cs="Arial"/>
          <w:shd w:val="clear" w:color="auto" w:fill="FFFFFF"/>
        </w:rPr>
        <w:t>., 2022)</w:t>
      </w:r>
      <w:r>
        <w:rPr>
          <w:rFonts w:ascii="Arial" w:hAnsi="Arial" w:eastAsia="SimSun" w:cs="Arial"/>
          <w:color w:val="FF0000"/>
          <w:shd w:val="clear" w:color="auto" w:fill="FFFFFF"/>
        </w:rPr>
        <w:t>,</w:t>
      </w:r>
      <w:r>
        <w:rPr>
          <w:rFonts w:ascii="Arial" w:hAnsi="Arial" w:eastAsia="SimSun" w:cs="Arial"/>
          <w:shd w:val="clear" w:color="auto" w:fill="FFFFFF"/>
        </w:rPr>
        <w:t xml:space="preserve"> and </w:t>
      </w:r>
      <w:r>
        <w:rPr>
          <w:rFonts w:ascii="Arial" w:hAnsi="Arial" w:eastAsia="SimSun" w:cs="Arial"/>
          <w:i/>
          <w:iCs/>
        </w:rPr>
        <w:t>Cucumis metuliferus</w:t>
      </w:r>
      <w:r>
        <w:rPr>
          <w:rFonts w:ascii="Arial" w:hAnsi="Arial" w:eastAsia="SimSun" w:cs="Arial"/>
        </w:rPr>
        <w:t xml:space="preserve"> (African horned cucumber)</w:t>
      </w:r>
      <w:r>
        <w:rPr>
          <w:rFonts w:hint="default" w:ascii="Arial" w:hAnsi="Arial" w:eastAsia="SimSun" w:cs="Arial"/>
          <w:lang w:val="en-US"/>
        </w:rPr>
        <w:t xml:space="preserve"> </w:t>
      </w:r>
      <w:r>
        <w:rPr>
          <w:rFonts w:ascii="Arial" w:hAnsi="Arial" w:eastAsia="SimSun" w:cs="Arial"/>
        </w:rPr>
        <w:t>(</w:t>
      </w:r>
      <w:r>
        <w:rPr>
          <w:rFonts w:ascii="Arial" w:hAnsi="Arial" w:eastAsia="SimSun" w:cs="Arial"/>
          <w:shd w:val="clear" w:color="auto" w:fill="FFFFFF"/>
        </w:rPr>
        <w:t xml:space="preserve">Achikanu </w:t>
      </w:r>
      <w:r>
        <w:rPr>
          <w:rFonts w:ascii="Arial" w:hAnsi="Arial" w:eastAsia="SimSun" w:cs="Arial"/>
          <w:i/>
          <w:iCs/>
          <w:shd w:val="clear" w:color="auto" w:fill="FFFFFF"/>
        </w:rPr>
        <w:t>et al</w:t>
      </w:r>
      <w:r>
        <w:rPr>
          <w:rFonts w:ascii="Arial" w:hAnsi="Arial" w:eastAsia="SimSun" w:cs="Arial"/>
          <w:shd w:val="clear" w:color="auto" w:fill="FFFFFF"/>
        </w:rPr>
        <w:t xml:space="preserve">., 2020). </w:t>
      </w:r>
      <w:r>
        <w:rPr>
          <w:rFonts w:ascii="Arial" w:hAnsi="Arial" w:eastAsia="Helvetica" w:cs="Arial"/>
          <w:shd w:val="clear" w:color="auto" w:fill="FFFFFF"/>
        </w:rPr>
        <w:t xml:space="preserve">According to </w:t>
      </w:r>
      <w:r>
        <w:rPr>
          <w:rFonts w:ascii="Arial" w:hAnsi="Arial" w:eastAsia="SimSun" w:cs="Arial"/>
          <w:shd w:val="clear" w:color="auto" w:fill="FFFFFF"/>
        </w:rPr>
        <w:t xml:space="preserve">Cervera-Mata </w:t>
      </w:r>
      <w:r>
        <w:rPr>
          <w:rFonts w:ascii="Arial" w:hAnsi="Arial" w:eastAsia="SimSun" w:cs="Arial"/>
          <w:i/>
          <w:iCs/>
          <w:shd w:val="clear" w:color="auto" w:fill="FFFFFF"/>
          <w:lang w:val="en-US"/>
        </w:rPr>
        <w:t>et al</w:t>
      </w:r>
      <w:r>
        <w:rPr>
          <w:rFonts w:ascii="Arial" w:hAnsi="Arial" w:eastAsia="SimSun" w:cs="Arial"/>
          <w:shd w:val="clear" w:color="auto" w:fill="FFFFFF"/>
        </w:rPr>
        <w:t>. (2022)</w:t>
      </w:r>
      <w:r>
        <w:rPr>
          <w:rFonts w:ascii="Arial" w:hAnsi="Arial" w:eastAsia="Helvetica" w:cs="Arial"/>
          <w:shd w:val="clear" w:color="auto" w:fill="FFFFFF"/>
        </w:rPr>
        <w:t xml:space="preserve"> the presence of phytochemicals and fat soluble bioactives in seed has made them a valuable source of functional food and dietary supplements. </w:t>
      </w:r>
      <w:r>
        <w:rPr>
          <w:rFonts w:ascii="Arial" w:hAnsi="Arial" w:eastAsia="serif" w:cs="Arial"/>
          <w:shd w:val="clear" w:color="auto" w:fill="FFFFFF"/>
        </w:rPr>
        <w:t>The recognition of plant seeds as a powerhouse nutrient-dense food</w:t>
      </w:r>
      <w:r>
        <w:rPr>
          <w:rFonts w:ascii="Arial" w:hAnsi="Arial" w:eastAsia="serif" w:cs="Arial"/>
          <w:color w:val="FF0000"/>
          <w:shd w:val="clear" w:color="auto" w:fill="FFFFFF"/>
        </w:rPr>
        <w:t xml:space="preserve"> </w:t>
      </w:r>
      <w:r>
        <w:rPr>
          <w:rFonts w:ascii="Arial" w:hAnsi="Arial" w:eastAsia="serif" w:cs="Arial"/>
          <w:shd w:val="clear" w:color="auto" w:fill="FFFFFF"/>
        </w:rPr>
        <w:t>with health promoting benefits has facilitated the inclusion of seed in daily diet as well as the need to research local seed especially the under-utilized ones for their nutrient composition and the bioactive compounds present in them.</w:t>
      </w:r>
    </w:p>
    <w:p w14:paraId="645669AB">
      <w:pPr>
        <w:spacing w:line="360" w:lineRule="auto"/>
        <w:jc w:val="both"/>
        <w:rPr>
          <w:rFonts w:ascii="Arial" w:hAnsi="Arial" w:eastAsia="serif" w:cs="Arial"/>
          <w:shd w:val="clear" w:color="auto" w:fill="FFFFFF"/>
        </w:rPr>
      </w:pPr>
    </w:p>
    <w:p w14:paraId="6220A926">
      <w:pPr>
        <w:spacing w:line="360" w:lineRule="auto"/>
        <w:jc w:val="both"/>
        <w:rPr>
          <w:rFonts w:ascii="Arial" w:hAnsi="Arial" w:eastAsia="SimSun" w:cs="Arial"/>
        </w:rPr>
      </w:pPr>
      <w:r>
        <w:rPr>
          <w:rFonts w:ascii="Arial" w:hAnsi="Arial" w:eastAsia="sans-serif" w:cs="Arial"/>
          <w:i/>
          <w:iCs/>
          <w:shd w:val="clear" w:color="auto" w:fill="FFFFFF"/>
        </w:rPr>
        <w:t>Dialium guineense</w:t>
      </w:r>
      <w:r>
        <w:rPr>
          <w:rFonts w:ascii="Arial" w:hAnsi="Arial" w:eastAsia="sans-serif" w:cs="Arial"/>
          <w:shd w:val="clear" w:color="auto" w:fill="FFFFFF"/>
        </w:rPr>
        <w:t xml:space="preserve"> is a member of the Fabaceae family which are commonly known as “velvet tamarind” or “black velvet” (</w:t>
      </w:r>
      <w:r>
        <w:rPr>
          <w:rFonts w:ascii="Arial" w:hAnsi="Arial" w:eastAsia="SimSun" w:cs="Arial"/>
          <w:shd w:val="clear" w:color="auto" w:fill="FFFFFF"/>
        </w:rPr>
        <w:t xml:space="preserve">Ogbuewu </w:t>
      </w:r>
      <w:r>
        <w:rPr>
          <w:rFonts w:ascii="Arial" w:hAnsi="Arial" w:eastAsia="SimSun" w:cs="Arial"/>
          <w:i/>
          <w:iCs/>
          <w:shd w:val="clear" w:color="auto" w:fill="FFFFFF"/>
          <w:lang w:val="en-US"/>
        </w:rPr>
        <w:t>et al</w:t>
      </w:r>
      <w:r>
        <w:rPr>
          <w:rFonts w:ascii="Arial" w:hAnsi="Arial" w:eastAsia="SimSun" w:cs="Arial"/>
          <w:shd w:val="clear" w:color="auto" w:fill="FFFFFF"/>
        </w:rPr>
        <w:t>., 2023</w:t>
      </w:r>
      <w:r>
        <w:rPr>
          <w:rFonts w:ascii="Arial" w:hAnsi="Arial" w:eastAsia="sans-serif" w:cs="Arial"/>
          <w:shd w:val="clear" w:color="auto" w:fill="FFFFFF"/>
        </w:rPr>
        <w:t xml:space="preserve">). In Nigeria, the Yorubas call it “Awin,” the Igbos call it “Icheku,” and the Hausas call it ‘’Tsamiyarkurm’’ (Ajiboye </w:t>
      </w:r>
      <w:r>
        <w:rPr>
          <w:rFonts w:ascii="Arial" w:hAnsi="Arial" w:eastAsia="sans-serif" w:cs="Arial"/>
          <w:i/>
          <w:iCs/>
          <w:shd w:val="clear" w:color="auto" w:fill="FFFFFF"/>
          <w:lang w:val="en-US"/>
        </w:rPr>
        <w:t>et al</w:t>
      </w:r>
      <w:r>
        <w:rPr>
          <w:rFonts w:ascii="Arial" w:hAnsi="Arial" w:eastAsia="sans-serif" w:cs="Arial"/>
          <w:shd w:val="clear" w:color="auto" w:fill="FFFFFF"/>
        </w:rPr>
        <w:t>., 2018). The stem</w:t>
      </w:r>
      <w:r>
        <w:rPr>
          <w:rFonts w:ascii="Arial" w:hAnsi="Arial" w:eastAsia="sans-serif" w:cs="Arial"/>
          <w:color w:val="FF0000"/>
          <w:shd w:val="clear" w:color="auto" w:fill="FFFFFF"/>
        </w:rPr>
        <w:t>,</w:t>
      </w:r>
      <w:r>
        <w:rPr>
          <w:rFonts w:ascii="Arial" w:hAnsi="Arial" w:eastAsia="sans-serif" w:cs="Arial"/>
          <w:shd w:val="clear" w:color="auto" w:fill="FFFFFF"/>
        </w:rPr>
        <w:t xml:space="preserve"> bark</w:t>
      </w:r>
      <w:r>
        <w:rPr>
          <w:rFonts w:ascii="Arial" w:hAnsi="Arial" w:eastAsia="sans-serif" w:cs="Arial"/>
          <w:color w:val="FF0000"/>
          <w:shd w:val="clear" w:color="auto" w:fill="FFFFFF"/>
        </w:rPr>
        <w:t>,</w:t>
      </w:r>
      <w:r>
        <w:rPr>
          <w:rFonts w:ascii="Arial" w:hAnsi="Arial" w:eastAsia="sans-serif" w:cs="Arial"/>
          <w:shd w:val="clear" w:color="auto" w:fill="FFFFFF"/>
        </w:rPr>
        <w:t xml:space="preserve"> and leaves of </w:t>
      </w:r>
      <w:r>
        <w:rPr>
          <w:rFonts w:ascii="Arial" w:hAnsi="Arial" w:cs="Arial"/>
          <w:i/>
          <w:iCs/>
        </w:rPr>
        <w:t xml:space="preserve">D. guineense </w:t>
      </w:r>
      <w:r>
        <w:rPr>
          <w:rFonts w:ascii="Arial" w:hAnsi="Arial" w:cs="Arial"/>
        </w:rPr>
        <w:t>are used</w:t>
      </w:r>
      <w:r>
        <w:rPr>
          <w:rFonts w:ascii="Arial" w:hAnsi="Arial" w:cs="Arial"/>
          <w:i/>
          <w:iCs/>
        </w:rPr>
        <w:t xml:space="preserve"> </w:t>
      </w:r>
      <w:r>
        <w:rPr>
          <w:rFonts w:ascii="Arial" w:hAnsi="Arial" w:cs="Arial"/>
        </w:rPr>
        <w:t>in traditional medicine for treating bronchitis, jaundice, stomachaches, severe cough, hemorrhoids, and diarrhoea (</w:t>
      </w:r>
      <w:r>
        <w:rPr>
          <w:rFonts w:ascii="Arial" w:hAnsi="Arial" w:eastAsia="SimSun" w:cs="Arial"/>
          <w:shd w:val="clear" w:color="auto" w:fill="FFFFFF"/>
        </w:rPr>
        <w:t xml:space="preserve">Bibang Bengono </w:t>
      </w:r>
      <w:r>
        <w:rPr>
          <w:rFonts w:ascii="Arial" w:hAnsi="Arial" w:eastAsia="SimSun" w:cs="Arial"/>
          <w:i/>
          <w:iCs/>
          <w:shd w:val="clear" w:color="auto" w:fill="FFFFFF"/>
          <w:lang w:val="en-US"/>
        </w:rPr>
        <w:t>et al</w:t>
      </w:r>
      <w:r>
        <w:rPr>
          <w:rFonts w:ascii="Arial" w:hAnsi="Arial" w:eastAsia="SimSun" w:cs="Arial"/>
          <w:shd w:val="clear" w:color="auto" w:fill="FFFFFF"/>
        </w:rPr>
        <w:t>., 2021</w:t>
      </w:r>
      <w:r>
        <w:rPr>
          <w:rFonts w:ascii="Arial" w:hAnsi="Arial" w:cs="Arial"/>
        </w:rPr>
        <w:t xml:space="preserve">). The fruit of </w:t>
      </w:r>
      <w:r>
        <w:rPr>
          <w:rFonts w:ascii="Arial" w:hAnsi="Arial" w:cs="Arial"/>
          <w:i/>
          <w:iCs/>
        </w:rPr>
        <w:t>D. guineense</w:t>
      </w:r>
      <w:r>
        <w:rPr>
          <w:rFonts w:ascii="Arial" w:hAnsi="Arial" w:cs="Arial"/>
        </w:rPr>
        <w:t xml:space="preserve"> is made up of a shell, pulp</w:t>
      </w:r>
      <w:r>
        <w:rPr>
          <w:rFonts w:ascii="Arial" w:hAnsi="Arial" w:cs="Arial"/>
          <w:color w:val="FF0000"/>
        </w:rPr>
        <w:t>,</w:t>
      </w:r>
      <w:r>
        <w:rPr>
          <w:rFonts w:ascii="Arial" w:hAnsi="Arial" w:cs="Arial"/>
        </w:rPr>
        <w:t xml:space="preserve"> and seed </w:t>
      </w:r>
      <w:r>
        <w:rPr>
          <w:rFonts w:ascii="Arial" w:hAnsi="Arial" w:eastAsia="serif" w:cs="Arial"/>
          <w:shd w:val="clear" w:color="auto" w:fill="FFFFFF"/>
        </w:rPr>
        <w:t>(</w:t>
      </w:r>
      <w:r>
        <w:rPr>
          <w:rFonts w:ascii="Arial" w:hAnsi="Arial" w:eastAsia="SimSun" w:cs="Arial"/>
          <w:shd w:val="clear" w:color="auto" w:fill="FFFFFF"/>
        </w:rPr>
        <w:t xml:space="preserve">Bibang Bengono </w:t>
      </w:r>
      <w:r>
        <w:rPr>
          <w:rFonts w:ascii="Arial" w:hAnsi="Arial" w:eastAsia="SimSun" w:cs="Arial"/>
          <w:i/>
          <w:iCs/>
          <w:shd w:val="clear" w:color="auto" w:fill="FFFFFF"/>
        </w:rPr>
        <w:t>et al</w:t>
      </w:r>
      <w:r>
        <w:rPr>
          <w:rFonts w:ascii="Arial" w:hAnsi="Arial" w:eastAsia="SimSun" w:cs="Arial"/>
          <w:shd w:val="clear" w:color="auto" w:fill="FFFFFF"/>
        </w:rPr>
        <w:t>., 2021).</w:t>
      </w:r>
      <w:r>
        <w:rPr>
          <w:rFonts w:ascii="Arial" w:hAnsi="Arial" w:cs="Arial"/>
        </w:rPr>
        <w:t xml:space="preserve"> The pulp has a sweet-sour taste, is rich in vitamin C and </w:t>
      </w:r>
      <w:r>
        <w:rPr>
          <w:rFonts w:ascii="Arial" w:hAnsi="Arial" w:eastAsia="SimSun" w:cs="Arial"/>
          <w:shd w:val="clear" w:color="auto" w:fill="FFFFFF"/>
        </w:rPr>
        <w:t>is used to flavour snacks, soft drinks and beverages</w:t>
      </w:r>
      <w:r>
        <w:rPr>
          <w:rFonts w:ascii="Arial" w:hAnsi="Arial" w:cs="Arial"/>
        </w:rPr>
        <w:t xml:space="preserve"> (</w:t>
      </w:r>
      <w:r>
        <w:rPr>
          <w:rFonts w:ascii="Arial" w:hAnsi="Arial" w:eastAsia="SimSun" w:cs="Arial"/>
          <w:shd w:val="clear" w:color="auto" w:fill="FFFFFF"/>
        </w:rPr>
        <w:t xml:space="preserve">Assiki </w:t>
      </w:r>
      <w:r>
        <w:rPr>
          <w:rFonts w:ascii="Arial" w:hAnsi="Arial" w:eastAsia="SimSun" w:cs="Arial"/>
          <w:i/>
          <w:iCs/>
          <w:shd w:val="clear" w:color="auto" w:fill="FFFFFF"/>
        </w:rPr>
        <w:t>et al</w:t>
      </w:r>
      <w:r>
        <w:rPr>
          <w:rFonts w:ascii="Arial" w:hAnsi="Arial" w:eastAsia="SimSun" w:cs="Arial"/>
          <w:shd w:val="clear" w:color="auto" w:fill="FFFFFF"/>
        </w:rPr>
        <w:t xml:space="preserve">., 2022). According to Chitra and Parthiban (2023), in India, the seeds of </w:t>
      </w:r>
      <w:r>
        <w:rPr>
          <w:rFonts w:ascii="Arial" w:hAnsi="Arial" w:eastAsia="SimSun" w:cs="Arial"/>
          <w:i/>
          <w:iCs/>
        </w:rPr>
        <w:t>D. guineense</w:t>
      </w:r>
      <w:r>
        <w:rPr>
          <w:rFonts w:ascii="Arial" w:hAnsi="Arial" w:eastAsia="SimSun" w:cs="Arial"/>
        </w:rPr>
        <w:t xml:space="preserve"> are roasted, g</w:t>
      </w:r>
      <w:r>
        <w:rPr>
          <w:rFonts w:ascii="Arial" w:hAnsi="Arial" w:eastAsia="SimSun" w:cs="Arial"/>
          <w:shd w:val="clear" w:color="auto" w:fill="FFFFFF"/>
        </w:rPr>
        <w:t xml:space="preserve">round to powder and used as a substitute for coffee. Nagar </w:t>
      </w:r>
      <w:r>
        <w:rPr>
          <w:rFonts w:ascii="Arial" w:hAnsi="Arial" w:eastAsia="SimSun" w:cs="Arial"/>
          <w:i/>
          <w:iCs/>
          <w:shd w:val="clear" w:color="auto" w:fill="FFFFFF"/>
        </w:rPr>
        <w:t>et al</w:t>
      </w:r>
      <w:r>
        <w:rPr>
          <w:rFonts w:ascii="Arial" w:hAnsi="Arial" w:eastAsia="SimSun" w:cs="Arial"/>
          <w:shd w:val="clear" w:color="auto" w:fill="FFFFFF"/>
        </w:rPr>
        <w:t>. (2022) also added that in India, d</w:t>
      </w:r>
      <w:r>
        <w:rPr>
          <w:rFonts w:ascii="Arial" w:hAnsi="Arial" w:eastAsia="SimSun" w:cs="Arial"/>
        </w:rPr>
        <w:t xml:space="preserve">e-hulled seeds of </w:t>
      </w:r>
      <w:r>
        <w:rPr>
          <w:rFonts w:ascii="Arial" w:hAnsi="Arial" w:eastAsia="SimSun" w:cs="Arial"/>
          <w:i/>
          <w:iCs/>
        </w:rPr>
        <w:t>D. guineense</w:t>
      </w:r>
      <w:r>
        <w:rPr>
          <w:rFonts w:ascii="Arial" w:hAnsi="Arial" w:eastAsia="SimSun" w:cs="Arial"/>
        </w:rPr>
        <w:t xml:space="preserve"> are soaked in water overnight and consumed with salt and sugar. </w:t>
      </w:r>
      <w:r>
        <w:rPr>
          <w:rFonts w:ascii="Arial" w:hAnsi="Arial" w:eastAsia="serif" w:cs="Arial"/>
          <w:shd w:val="clear" w:color="auto" w:fill="FFFFFF"/>
        </w:rPr>
        <w:t>According to </w:t>
      </w:r>
      <w:r>
        <w:rPr>
          <w:rFonts w:ascii="Arial" w:hAnsi="Arial" w:eastAsia="SimSun" w:cs="Arial"/>
          <w:shd w:val="clear" w:color="auto" w:fill="FFFFFF"/>
        </w:rPr>
        <w:t xml:space="preserve">Sekou Ii </w:t>
      </w:r>
      <w:r>
        <w:rPr>
          <w:rFonts w:ascii="Arial" w:hAnsi="Arial" w:eastAsia="SimSun" w:cs="Arial"/>
          <w:i/>
          <w:iCs/>
          <w:shd w:val="clear" w:color="auto" w:fill="FFFFFF"/>
        </w:rPr>
        <w:t>et al</w:t>
      </w:r>
      <w:r>
        <w:rPr>
          <w:rFonts w:ascii="Arial" w:hAnsi="Arial" w:eastAsia="SimSun" w:cs="Arial"/>
          <w:shd w:val="clear" w:color="auto" w:fill="FFFFFF"/>
        </w:rPr>
        <w:t xml:space="preserve">. (2025) and Bibang Bengono </w:t>
      </w:r>
      <w:r>
        <w:rPr>
          <w:rFonts w:ascii="Arial" w:hAnsi="Arial" w:eastAsia="SimSun" w:cs="Arial"/>
          <w:i/>
          <w:iCs/>
          <w:shd w:val="clear" w:color="auto" w:fill="FFFFFF"/>
          <w:lang w:val="en-US"/>
        </w:rPr>
        <w:t>et al</w:t>
      </w:r>
      <w:r>
        <w:rPr>
          <w:rFonts w:ascii="Arial" w:hAnsi="Arial" w:eastAsia="SimSun" w:cs="Arial"/>
          <w:shd w:val="clear" w:color="auto" w:fill="FFFFFF"/>
        </w:rPr>
        <w:t>. (2021), in Guinea republic, the shell and seeds are discarded into nature unexploited. In Nigeria, the stem</w:t>
      </w:r>
      <w:r>
        <w:rPr>
          <w:rFonts w:ascii="Arial" w:hAnsi="Arial" w:eastAsia="SimSun" w:cs="Arial"/>
          <w:color w:val="FF0000"/>
          <w:shd w:val="clear" w:color="auto" w:fill="FFFFFF"/>
        </w:rPr>
        <w:t>,</w:t>
      </w:r>
      <w:r>
        <w:rPr>
          <w:rFonts w:ascii="Arial" w:hAnsi="Arial" w:eastAsia="SimSun" w:cs="Arial"/>
          <w:shd w:val="clear" w:color="auto" w:fill="FFFFFF"/>
        </w:rPr>
        <w:t xml:space="preserve"> bark</w:t>
      </w:r>
      <w:r>
        <w:rPr>
          <w:rFonts w:ascii="Arial" w:hAnsi="Arial" w:eastAsia="SimSun" w:cs="Arial"/>
          <w:color w:val="FF0000"/>
          <w:shd w:val="clear" w:color="auto" w:fill="FFFFFF"/>
        </w:rPr>
        <w:t>,</w:t>
      </w:r>
      <w:r>
        <w:rPr>
          <w:rFonts w:ascii="Arial" w:hAnsi="Arial" w:eastAsia="SimSun" w:cs="Arial"/>
          <w:shd w:val="clear" w:color="auto" w:fill="FFFFFF"/>
        </w:rPr>
        <w:t xml:space="preserve"> and leaves are used to treat malaria, wounds</w:t>
      </w:r>
      <w:r>
        <w:rPr>
          <w:rFonts w:ascii="Arial" w:hAnsi="Arial" w:eastAsia="SimSun" w:cs="Arial"/>
          <w:color w:val="FF0000"/>
          <w:shd w:val="clear" w:color="auto" w:fill="FFFFFF"/>
        </w:rPr>
        <w:t>,</w:t>
      </w:r>
      <w:r>
        <w:rPr>
          <w:rFonts w:ascii="Arial" w:hAnsi="Arial" w:eastAsia="SimSun" w:cs="Arial"/>
          <w:shd w:val="clear" w:color="auto" w:fill="FFFFFF"/>
        </w:rPr>
        <w:t xml:space="preserve"> and diarrhea. The fruits are chewed by women to prevent genital infection</w:t>
      </w:r>
      <w:r>
        <w:rPr>
          <w:rFonts w:ascii="Arial" w:hAnsi="Arial" w:eastAsia="SimSun" w:cs="Arial"/>
          <w:color w:val="FF0000"/>
          <w:shd w:val="clear" w:color="auto" w:fill="FFFFFF"/>
        </w:rPr>
        <w:t>,</w:t>
      </w:r>
      <w:r>
        <w:rPr>
          <w:rFonts w:ascii="Arial" w:hAnsi="Arial" w:eastAsia="SimSun" w:cs="Arial"/>
          <w:shd w:val="clear" w:color="auto" w:fill="FFFFFF"/>
        </w:rPr>
        <w:t xml:space="preserve"> and enhance lactation (Upeka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2024). However, the seeds are discarded as waste (Upeka </w:t>
      </w:r>
      <w:r>
        <w:rPr>
          <w:rFonts w:ascii="Arial" w:hAnsi="Arial" w:eastAsia="SimSun" w:cs="Arial"/>
          <w:i/>
          <w:iCs/>
          <w:shd w:val="clear" w:color="auto" w:fill="FFFFFF"/>
          <w:lang w:val="en-US"/>
        </w:rPr>
        <w:t>et al</w:t>
      </w:r>
      <w:r>
        <w:rPr>
          <w:rFonts w:ascii="Arial" w:hAnsi="Arial" w:eastAsia="SimSun" w:cs="Arial"/>
          <w:shd w:val="clear" w:color="auto" w:fill="FFFFFF"/>
        </w:rPr>
        <w:t>., 2024).</w:t>
      </w:r>
    </w:p>
    <w:p w14:paraId="1A060374">
      <w:pPr>
        <w:spacing w:line="360" w:lineRule="auto"/>
        <w:rPr>
          <w:rFonts w:ascii="Arial" w:hAnsi="Arial" w:cs="Arial"/>
        </w:rPr>
      </w:pPr>
    </w:p>
    <w:p w14:paraId="73BF3B26">
      <w:pPr>
        <w:spacing w:line="360" w:lineRule="auto"/>
        <w:jc w:val="both"/>
        <w:rPr>
          <w:rFonts w:ascii="Arial" w:hAnsi="Arial" w:cs="Arial"/>
        </w:rPr>
      </w:pPr>
      <w:r>
        <w:rPr>
          <w:rFonts w:ascii="Arial" w:hAnsi="Arial" w:eastAsia="serif" w:cs="Arial"/>
          <w:shd w:val="clear" w:color="auto" w:fill="FFFFFF"/>
        </w:rPr>
        <w:t>The recognition of plant seeds as a source of nutrients with health promoting benefits has facilitated its</w:t>
      </w:r>
      <w:r>
        <w:rPr>
          <w:rFonts w:ascii="Arial" w:hAnsi="Arial" w:eastAsia="serif" w:cs="Arial"/>
          <w:color w:val="FF0000"/>
          <w:shd w:val="clear" w:color="auto" w:fill="FFFFFF"/>
        </w:rPr>
        <w:t xml:space="preserve"> </w:t>
      </w:r>
      <w:r>
        <w:rPr>
          <w:rFonts w:ascii="Arial" w:hAnsi="Arial" w:eastAsia="serif" w:cs="Arial"/>
          <w:shd w:val="clear" w:color="auto" w:fill="FFFFFF"/>
        </w:rPr>
        <w:t>inclusion</w:t>
      </w:r>
      <w:r>
        <w:rPr>
          <w:rFonts w:ascii="Arial" w:hAnsi="Arial" w:eastAsia="serif" w:cs="Arial"/>
          <w:color w:val="FF0000"/>
          <w:shd w:val="clear" w:color="auto" w:fill="FFFFFF"/>
        </w:rPr>
        <w:t xml:space="preserve"> </w:t>
      </w:r>
      <w:r>
        <w:rPr>
          <w:rFonts w:ascii="Arial" w:hAnsi="Arial" w:eastAsia="serif" w:cs="Arial"/>
          <w:shd w:val="clear" w:color="auto" w:fill="FFFFFF"/>
        </w:rPr>
        <w:t>in daily diets, as well as emphasizing</w:t>
      </w:r>
      <w:r>
        <w:rPr>
          <w:rFonts w:ascii="Arial" w:hAnsi="Arial" w:eastAsia="serif" w:cs="Arial"/>
          <w:color w:val="FF0000"/>
          <w:shd w:val="clear" w:color="auto" w:fill="FFFFFF"/>
        </w:rPr>
        <w:t xml:space="preserve"> </w:t>
      </w:r>
      <w:r>
        <w:rPr>
          <w:rFonts w:ascii="Arial" w:hAnsi="Arial" w:eastAsia="serif" w:cs="Arial"/>
          <w:shd w:val="clear" w:color="auto" w:fill="FFFFFF"/>
        </w:rPr>
        <w:t>the need to research local seeds, especially the under-utilized ones</w:t>
      </w:r>
      <w:r>
        <w:rPr>
          <w:rFonts w:ascii="Arial" w:hAnsi="Arial" w:eastAsia="serif" w:cs="Arial"/>
          <w:color w:val="FF0000"/>
          <w:shd w:val="clear" w:color="auto" w:fill="FFFFFF"/>
        </w:rPr>
        <w:t>,</w:t>
      </w:r>
      <w:r>
        <w:rPr>
          <w:rFonts w:ascii="Arial" w:hAnsi="Arial" w:eastAsia="serif" w:cs="Arial"/>
          <w:shd w:val="clear" w:color="auto" w:fill="FFFFFF"/>
        </w:rPr>
        <w:t xml:space="preserve"> for their nutrient composition and the bioactive compounds present in them. While the fruit pulp has been analysed to detect the nutritional and bioactive compounds present (</w:t>
      </w:r>
      <w:r>
        <w:rPr>
          <w:rFonts w:ascii="Arial" w:hAnsi="Arial" w:eastAsia="SimSun" w:cs="Arial"/>
          <w:shd w:val="clear" w:color="auto" w:fill="FFFFFF"/>
        </w:rPr>
        <w:t xml:space="preserve">Gnansounou </w:t>
      </w:r>
      <w:r>
        <w:rPr>
          <w:rFonts w:ascii="Arial" w:hAnsi="Arial" w:eastAsia="SimSun" w:cs="Arial"/>
          <w:i/>
          <w:iCs/>
          <w:shd w:val="clear" w:color="auto" w:fill="FFFFFF"/>
        </w:rPr>
        <w:t>et al</w:t>
      </w:r>
      <w:r>
        <w:rPr>
          <w:rFonts w:ascii="Arial" w:hAnsi="Arial" w:eastAsia="SimSun" w:cs="Arial"/>
          <w:shd w:val="clear" w:color="auto" w:fill="FFFFFF"/>
        </w:rPr>
        <w:t xml:space="preserve">., 2014; Niyi, 2015; Airaodion </w:t>
      </w:r>
      <w:r>
        <w:rPr>
          <w:rFonts w:ascii="Arial" w:hAnsi="Arial" w:eastAsia="SimSun" w:cs="Arial"/>
          <w:i/>
          <w:iCs/>
          <w:shd w:val="clear" w:color="auto" w:fill="FFFFFF"/>
        </w:rPr>
        <w:t>et al</w:t>
      </w:r>
      <w:r>
        <w:rPr>
          <w:rFonts w:ascii="Arial" w:hAnsi="Arial" w:eastAsia="SimSun" w:cs="Arial"/>
          <w:shd w:val="clear" w:color="auto" w:fill="FFFFFF"/>
        </w:rPr>
        <w:t>., 2021</w:t>
      </w:r>
      <w:r>
        <w:rPr>
          <w:rFonts w:hint="default" w:ascii="Arial" w:hAnsi="Arial" w:eastAsia="SimSun" w:cs="Arial"/>
          <w:shd w:val="clear" w:color="auto" w:fill="FFFFFF"/>
          <w:lang w:val="en-US"/>
        </w:rPr>
        <w:t xml:space="preserve">; </w:t>
      </w:r>
      <w:r>
        <w:rPr>
          <w:rFonts w:ascii="Arial" w:hAnsi="Arial" w:eastAsia="SimSun" w:cs="Arial"/>
          <w:shd w:val="clear" w:color="auto" w:fill="FFFFFF"/>
        </w:rPr>
        <w:t xml:space="preserve">Onah </w:t>
      </w:r>
      <w:r>
        <w:rPr>
          <w:rFonts w:ascii="Arial" w:hAnsi="Arial" w:eastAsia="SimSun" w:cs="Arial"/>
          <w:i/>
          <w:iCs/>
          <w:shd w:val="clear" w:color="auto" w:fill="FFFFFF"/>
          <w:lang w:val="en-US"/>
        </w:rPr>
        <w:t>et al</w:t>
      </w:r>
      <w:r>
        <w:rPr>
          <w:rFonts w:ascii="Arial" w:hAnsi="Arial" w:eastAsia="SimSun" w:cs="Arial"/>
          <w:shd w:val="clear" w:color="auto" w:fill="FFFFFF"/>
        </w:rPr>
        <w:t>., 2022</w:t>
      </w:r>
      <w:r>
        <w:rPr>
          <w:rFonts w:ascii="Arial" w:hAnsi="Arial" w:eastAsia="serif" w:cs="Arial"/>
          <w:shd w:val="clear" w:color="auto" w:fill="FFFFFF"/>
        </w:rPr>
        <w:t>), t</w:t>
      </w:r>
      <w:r>
        <w:rPr>
          <w:rFonts w:ascii="Arial" w:hAnsi="Arial" w:cs="Arial"/>
        </w:rPr>
        <w:t xml:space="preserve">he seed of </w:t>
      </w:r>
      <w:r>
        <w:rPr>
          <w:rFonts w:ascii="Arial" w:hAnsi="Arial" w:eastAsia="SimSun" w:cs="Arial"/>
          <w:i/>
          <w:iCs/>
        </w:rPr>
        <w:t xml:space="preserve">D. guineense </w:t>
      </w:r>
      <w:r>
        <w:rPr>
          <w:rFonts w:ascii="Arial" w:hAnsi="Arial" w:eastAsia="SimSun" w:cs="Arial"/>
        </w:rPr>
        <w:t>are generally considered as waste and discarded with few research work having been</w:t>
      </w:r>
      <w:r>
        <w:rPr>
          <w:rFonts w:ascii="Arial" w:hAnsi="Arial" w:eastAsia="SimSun" w:cs="Arial"/>
          <w:color w:val="FF0000"/>
        </w:rPr>
        <w:t xml:space="preserve"> </w:t>
      </w:r>
      <w:r>
        <w:rPr>
          <w:rFonts w:ascii="Arial" w:hAnsi="Arial" w:eastAsia="SimSun" w:cs="Arial"/>
        </w:rPr>
        <w:t xml:space="preserve">done on it. Studies which have been done on the seed include the study of </w:t>
      </w:r>
      <w:r>
        <w:rPr>
          <w:rFonts w:ascii="Arial" w:hAnsi="Arial" w:eastAsia="sans-serif" w:cs="Arial"/>
          <w:shd w:val="clear" w:color="auto" w:fill="FFFFFF"/>
        </w:rPr>
        <w:t xml:space="preserve">Ajiboye </w:t>
      </w:r>
      <w:r>
        <w:rPr>
          <w:rFonts w:ascii="Arial" w:hAnsi="Arial" w:eastAsia="sans-serif" w:cs="Arial"/>
          <w:i/>
          <w:iCs/>
          <w:shd w:val="clear" w:color="auto" w:fill="FFFFFF"/>
          <w:lang w:val="en-US"/>
        </w:rPr>
        <w:t>et al</w:t>
      </w:r>
      <w:r>
        <w:rPr>
          <w:rFonts w:ascii="Arial" w:hAnsi="Arial" w:eastAsia="sans-serif" w:cs="Arial"/>
          <w:shd w:val="clear" w:color="auto" w:fill="FFFFFF"/>
        </w:rPr>
        <w:t xml:space="preserve">. (2018) and </w:t>
      </w:r>
      <w:r>
        <w:rPr>
          <w:rFonts w:ascii="Arial" w:hAnsi="Arial" w:eastAsia="SimSun" w:cs="Arial"/>
          <w:shd w:val="clear" w:color="auto" w:fill="FFFFFF"/>
        </w:rPr>
        <w:t>Oluwole-Banjo (2019)</w:t>
      </w:r>
      <w:r>
        <w:rPr>
          <w:rFonts w:ascii="Arial" w:hAnsi="Arial" w:eastAsia="SimSun" w:cs="Arial"/>
          <w:color w:val="FF0000"/>
          <w:shd w:val="clear" w:color="auto" w:fill="FFFFFF"/>
        </w:rPr>
        <w:t>,</w:t>
      </w:r>
      <w:r>
        <w:rPr>
          <w:rFonts w:ascii="Arial" w:hAnsi="Arial" w:eastAsia="SimSun" w:cs="Arial"/>
          <w:shd w:val="clear" w:color="auto" w:fill="FFFFFF"/>
        </w:rPr>
        <w:t xml:space="preserve"> which identified the phytochemicals present in the methanol seed extract</w:t>
      </w:r>
      <w:r>
        <w:rPr>
          <w:rFonts w:ascii="Arial" w:hAnsi="Arial" w:eastAsia="SimSun" w:cs="Arial"/>
          <w:color w:val="FF0000"/>
          <w:shd w:val="clear" w:color="auto" w:fill="FFFFFF"/>
        </w:rPr>
        <w:t>,</w:t>
      </w:r>
      <w:r>
        <w:rPr>
          <w:rFonts w:ascii="Arial" w:hAnsi="Arial" w:eastAsia="SimSun" w:cs="Arial"/>
          <w:shd w:val="clear" w:color="auto" w:fill="FFFFFF"/>
        </w:rPr>
        <w:t xml:space="preserve"> and the study of Utubaku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(2017) which evaluated the phytochemicals present in fermented and unfermented aqueous seed extract of </w:t>
      </w:r>
      <w:r>
        <w:rPr>
          <w:rFonts w:ascii="Arial" w:hAnsi="Arial" w:eastAsia="SimSun" w:cs="Arial"/>
          <w:i/>
          <w:iCs/>
        </w:rPr>
        <w:t xml:space="preserve">D. guineense </w:t>
      </w:r>
      <w:r>
        <w:rPr>
          <w:rFonts w:ascii="Arial" w:hAnsi="Arial" w:eastAsia="SimSun" w:cs="Arial"/>
        </w:rPr>
        <w:t>seeds</w:t>
      </w:r>
      <w:r>
        <w:rPr>
          <w:rFonts w:ascii="Arial" w:hAnsi="Arial" w:eastAsia="SimSun" w:cs="Arial"/>
          <w:i/>
          <w:iCs/>
        </w:rPr>
        <w:t xml:space="preserve">. </w:t>
      </w:r>
      <w:r>
        <w:rPr>
          <w:rFonts w:ascii="Arial" w:hAnsi="Arial" w:eastAsia="SimSun" w:cs="Arial"/>
        </w:rPr>
        <w:t xml:space="preserve">This study aims to evaluate the nutrient composition and bioactive compounds present in the ethanol seed extract of </w:t>
      </w:r>
      <w:r>
        <w:rPr>
          <w:rFonts w:ascii="Arial" w:hAnsi="Arial" w:eastAsia="SimSun" w:cs="Arial"/>
          <w:i/>
          <w:iCs/>
        </w:rPr>
        <w:t>D. guineense.</w:t>
      </w:r>
    </w:p>
    <w:p w14:paraId="0A4D21FC">
      <w:pPr>
        <w:spacing w:line="360" w:lineRule="auto"/>
        <w:jc w:val="both"/>
        <w:rPr>
          <w:rFonts w:ascii="Arial" w:hAnsi="Arial" w:cs="Arial"/>
        </w:rPr>
      </w:pPr>
    </w:p>
    <w:p w14:paraId="4C1D79B7">
      <w:pPr>
        <w:spacing w:line="360" w:lineRule="auto"/>
        <w:jc w:val="both"/>
        <w:rPr>
          <w:rFonts w:ascii="Arial" w:hAnsi="Arial" w:cs="Arial"/>
        </w:rPr>
      </w:pPr>
    </w:p>
    <w:p w14:paraId="21D35206">
      <w:pPr>
        <w:spacing w:line="360" w:lineRule="auto"/>
        <w:jc w:val="both"/>
        <w:rPr>
          <w:rFonts w:ascii="Arial" w:hAnsi="Arial" w:cs="Arial"/>
          <w:b/>
          <w:bCs/>
          <w:sz w:val="22"/>
          <w:szCs w:val="22"/>
        </w:rPr>
      </w:pPr>
      <w:r>
        <w:rPr>
          <w:rFonts w:ascii="Arial" w:hAnsi="Arial" w:cs="Arial"/>
          <w:b/>
          <w:bCs/>
          <w:sz w:val="22"/>
          <w:szCs w:val="22"/>
        </w:rPr>
        <w:t>2. METHODOLOGY</w:t>
      </w:r>
    </w:p>
    <w:p w14:paraId="42FE8346">
      <w:pPr>
        <w:spacing w:line="360" w:lineRule="auto"/>
        <w:jc w:val="both"/>
        <w:rPr>
          <w:rFonts w:ascii="Arial" w:hAnsi="Arial" w:eastAsia="SimSun" w:cs="Arial"/>
          <w:b/>
          <w:bCs/>
        </w:rPr>
      </w:pPr>
    </w:p>
    <w:p w14:paraId="38FEFF21">
      <w:pPr>
        <w:spacing w:line="360" w:lineRule="auto"/>
        <w:jc w:val="both"/>
        <w:rPr>
          <w:rFonts w:ascii="Arial" w:hAnsi="Arial" w:eastAsia="SimSun" w:cs="Arial"/>
          <w:b/>
          <w:bCs/>
        </w:rPr>
      </w:pPr>
      <w:r>
        <w:rPr>
          <w:rFonts w:ascii="Arial" w:hAnsi="Arial" w:eastAsia="SimSun" w:cs="Arial"/>
          <w:b/>
          <w:bCs/>
        </w:rPr>
        <w:t>2.1. Plant material</w:t>
      </w:r>
    </w:p>
    <w:p w14:paraId="298E61A4">
      <w:pPr>
        <w:spacing w:line="360" w:lineRule="auto"/>
        <w:jc w:val="both"/>
        <w:rPr>
          <w:rFonts w:ascii="Arial" w:hAnsi="Arial" w:eastAsia="SimSun" w:cs="Arial"/>
        </w:rPr>
      </w:pPr>
    </w:p>
    <w:p w14:paraId="5644A373">
      <w:pPr>
        <w:spacing w:line="360" w:lineRule="auto"/>
        <w:jc w:val="both"/>
        <w:rPr>
          <w:rFonts w:ascii="Arial" w:hAnsi="Arial" w:eastAsia="SimSun" w:cs="Arial"/>
        </w:rPr>
      </w:pPr>
      <w:r>
        <w:rPr>
          <w:rFonts w:ascii="Arial" w:hAnsi="Arial" w:eastAsia="SimSun" w:cs="Arial"/>
          <w:i/>
          <w:iCs/>
        </w:rPr>
        <w:t xml:space="preserve">D. Guineense </w:t>
      </w:r>
      <w:r>
        <w:rPr>
          <w:rFonts w:ascii="Arial" w:hAnsi="Arial" w:eastAsia="SimSun" w:cs="Arial"/>
        </w:rPr>
        <w:t>fruits were purchased from the market at Ozoro, Delta State, Nigeria. The fruits were identified at Southern Delta University, Ozoro. The fruits were washed, the shell was removed and the fruit pulp was cut open to remove the seeds. The seeds were washed to remove the fruit pulp which stuck to them. The seeds were air dried and milled into powder with an electric blender. The powdered seed was stored in an air tight container.</w:t>
      </w:r>
    </w:p>
    <w:p w14:paraId="223F4893">
      <w:pPr>
        <w:spacing w:line="360" w:lineRule="auto"/>
        <w:jc w:val="both"/>
        <w:rPr>
          <w:rFonts w:ascii="Arial" w:hAnsi="Arial" w:eastAsia="SimSun" w:cs="Arial"/>
        </w:rPr>
      </w:pPr>
    </w:p>
    <w:p w14:paraId="70CFE20D">
      <w:pPr>
        <w:spacing w:line="360" w:lineRule="auto"/>
        <w:jc w:val="both"/>
        <w:rPr>
          <w:rFonts w:ascii="Arial" w:hAnsi="Arial" w:eastAsia="SimSun" w:cs="Arial"/>
        </w:rPr>
      </w:pPr>
    </w:p>
    <w:p w14:paraId="722004D4">
      <w:pPr>
        <w:spacing w:line="360" w:lineRule="auto"/>
        <w:jc w:val="both"/>
        <w:rPr>
          <w:rFonts w:ascii="Arial" w:hAnsi="Arial" w:cs="Arial"/>
          <w:b/>
          <w:bCs/>
        </w:rPr>
      </w:pPr>
      <w:r>
        <w:rPr>
          <w:rFonts w:ascii="Arial" w:hAnsi="Arial" w:cs="Arial"/>
          <w:b/>
          <w:bCs/>
        </w:rPr>
        <w:t>2.2. Nutritional evaluation</w:t>
      </w:r>
    </w:p>
    <w:p w14:paraId="51663FD0">
      <w:pPr>
        <w:spacing w:line="360" w:lineRule="auto"/>
        <w:jc w:val="both"/>
        <w:rPr>
          <w:rFonts w:ascii="Arial" w:hAnsi="Arial" w:eastAsia="SimSun" w:cs="Arial"/>
        </w:rPr>
      </w:pPr>
    </w:p>
    <w:p w14:paraId="5AAADFB5">
      <w:pPr>
        <w:spacing w:line="360" w:lineRule="auto"/>
        <w:jc w:val="both"/>
        <w:rPr>
          <w:rFonts w:ascii="Arial" w:hAnsi="Arial" w:eastAsia="SimSun" w:cs="Arial"/>
        </w:rPr>
      </w:pPr>
      <w:r>
        <w:rPr>
          <w:rFonts w:ascii="Arial" w:hAnsi="Arial" w:eastAsia="SimSun" w:cs="Arial"/>
        </w:rPr>
        <w:t xml:space="preserve">Nutritional evaluation of </w:t>
      </w:r>
      <w:r>
        <w:rPr>
          <w:rFonts w:ascii="Arial" w:hAnsi="Arial" w:eastAsia="SimSun" w:cs="Arial"/>
          <w:i/>
          <w:iCs/>
        </w:rPr>
        <w:t xml:space="preserve">D. guineense </w:t>
      </w:r>
      <w:r>
        <w:rPr>
          <w:rFonts w:ascii="Arial" w:hAnsi="Arial" w:eastAsia="SimSun" w:cs="Arial"/>
        </w:rPr>
        <w:t xml:space="preserve">seed powder was done using proximate analysis in accordance with the AOAC methods (AOAC, 2006). Soxhlet extraction method with petroleum ether was used to determine fat content. The micro Kjeldahl method was used for determining protein content. Moisture was quantified gravimetrically. The content of crude fiber in </w:t>
      </w:r>
      <w:r>
        <w:rPr>
          <w:rFonts w:ascii="Arial" w:hAnsi="Arial" w:eastAsia="SimSun" w:cs="Arial"/>
          <w:i/>
          <w:iCs/>
        </w:rPr>
        <w:t xml:space="preserve">D. guineense </w:t>
      </w:r>
      <w:r>
        <w:rPr>
          <w:rFonts w:ascii="Arial" w:hAnsi="Arial" w:eastAsia="SimSun" w:cs="Arial"/>
        </w:rPr>
        <w:t xml:space="preserve">seed powder was determined with the acid - base method. Ash content was obtained by the incineration of the </w:t>
      </w:r>
      <w:r>
        <w:rPr>
          <w:rFonts w:ascii="Arial" w:hAnsi="Arial" w:eastAsia="SimSun" w:cs="Arial"/>
          <w:i/>
          <w:iCs/>
        </w:rPr>
        <w:t xml:space="preserve">D. guineense </w:t>
      </w:r>
      <w:r>
        <w:rPr>
          <w:rFonts w:ascii="Arial" w:hAnsi="Arial" w:eastAsia="SimSun" w:cs="Arial"/>
        </w:rPr>
        <w:t>seed powder in a chamber furnace at 600</w:t>
      </w:r>
      <w:r>
        <w:rPr>
          <w:rFonts w:ascii="Arial" w:hAnsi="Arial" w:eastAsia="SimSun" w:cs="Arial"/>
          <w:vertAlign w:val="superscript"/>
        </w:rPr>
        <w:t>0</w:t>
      </w:r>
      <w:r>
        <w:rPr>
          <w:rFonts w:ascii="Arial" w:hAnsi="Arial" w:eastAsia="SimSun" w:cs="Arial"/>
        </w:rPr>
        <w:t xml:space="preserve">C. The concentration of carbohydrate in </w:t>
      </w:r>
      <w:r>
        <w:rPr>
          <w:rFonts w:ascii="Arial" w:hAnsi="Arial" w:eastAsia="SimSun" w:cs="Arial"/>
          <w:i/>
          <w:iCs/>
        </w:rPr>
        <w:t xml:space="preserve">D. guineense </w:t>
      </w:r>
      <w:r>
        <w:rPr>
          <w:rFonts w:ascii="Arial" w:hAnsi="Arial" w:eastAsia="SimSun" w:cs="Arial"/>
        </w:rPr>
        <w:t>seeds was gotten by difference</w:t>
      </w:r>
      <w:r>
        <w:rPr>
          <w:rFonts w:ascii="Arial" w:hAnsi="Arial" w:eastAsia="SimSun" w:cs="Arial"/>
          <w:i/>
          <w:iCs/>
        </w:rPr>
        <w:t xml:space="preserve">. </w:t>
      </w:r>
      <w:r>
        <w:rPr>
          <w:rFonts w:ascii="Arial" w:hAnsi="Arial" w:eastAsia="SimSun" w:cs="Arial"/>
        </w:rPr>
        <w:t xml:space="preserve">Gross energy in Kcal per 100g was obtained with formula as used by </w:t>
      </w:r>
      <w:r>
        <w:rPr>
          <w:rFonts w:ascii="Arial" w:hAnsi="Arial" w:eastAsia="SimSun" w:cs="Arial"/>
          <w:shd w:val="clear" w:color="auto" w:fill="FFFFFF"/>
        </w:rPr>
        <w:t xml:space="preserve">Airaodion </w:t>
      </w:r>
      <w:r>
        <w:rPr>
          <w:rFonts w:ascii="Arial" w:hAnsi="Arial" w:eastAsia="SimSun" w:cs="Arial"/>
          <w:i/>
          <w:iCs/>
          <w:shd w:val="clear" w:color="auto" w:fill="FFFFFF"/>
          <w:lang w:val="en-US"/>
        </w:rPr>
        <w:t>et al</w:t>
      </w:r>
      <w:r>
        <w:rPr>
          <w:rFonts w:ascii="Arial" w:hAnsi="Arial" w:eastAsia="SimSun" w:cs="Arial"/>
          <w:shd w:val="clear" w:color="auto" w:fill="FFFFFF"/>
        </w:rPr>
        <w:t>. (2021)</w:t>
      </w:r>
    </w:p>
    <w:p w14:paraId="68551817">
      <w:pPr>
        <w:spacing w:line="360" w:lineRule="auto"/>
        <w:jc w:val="both"/>
        <w:rPr>
          <w:rFonts w:ascii="Arial" w:hAnsi="Arial" w:eastAsia="SimSun" w:cs="Arial"/>
        </w:rPr>
      </w:pPr>
    </w:p>
    <w:p w14:paraId="238A156E">
      <w:pPr>
        <w:spacing w:line="360" w:lineRule="auto"/>
        <w:jc w:val="both"/>
        <w:rPr>
          <w:rFonts w:ascii="Arial" w:hAnsi="Arial" w:eastAsia="SimSun" w:cs="Arial"/>
        </w:rPr>
      </w:pPr>
      <w:r>
        <w:rPr>
          <w:rFonts w:ascii="Arial" w:hAnsi="Arial" w:eastAsia="SimSun" w:cs="Arial"/>
        </w:rPr>
        <w:t>Energy = (% of carbohydrate x 4) + (% of crude protein x 4) + (% of crude fat x 9)</w:t>
      </w:r>
    </w:p>
    <w:p w14:paraId="0364E618">
      <w:pPr>
        <w:spacing w:line="360" w:lineRule="auto"/>
        <w:jc w:val="both"/>
        <w:rPr>
          <w:rFonts w:ascii="Arial" w:hAnsi="Arial" w:eastAsia="SimSun" w:cs="Arial"/>
        </w:rPr>
      </w:pPr>
    </w:p>
    <w:p w14:paraId="50DBE4FC">
      <w:pPr>
        <w:spacing w:line="360" w:lineRule="auto"/>
        <w:jc w:val="both"/>
        <w:rPr>
          <w:rFonts w:ascii="Arial" w:hAnsi="Arial" w:eastAsia="SimSun" w:cs="Arial"/>
        </w:rPr>
      </w:pPr>
    </w:p>
    <w:p w14:paraId="1EEC6F37">
      <w:pPr>
        <w:spacing w:line="360" w:lineRule="auto"/>
        <w:jc w:val="both"/>
        <w:rPr>
          <w:rFonts w:ascii="Arial" w:hAnsi="Arial" w:cs="Arial"/>
          <w:b/>
          <w:bCs/>
        </w:rPr>
      </w:pPr>
      <w:r>
        <w:rPr>
          <w:rFonts w:ascii="Arial" w:hAnsi="Arial" w:eastAsia="SimSun" w:cs="Arial"/>
          <w:b/>
          <w:bCs/>
        </w:rPr>
        <w:t>2.3. P</w:t>
      </w:r>
      <w:r>
        <w:rPr>
          <w:rFonts w:ascii="Arial" w:hAnsi="Arial" w:cs="Arial"/>
          <w:b/>
          <w:bCs/>
        </w:rPr>
        <w:t xml:space="preserve">reparation of </w:t>
      </w:r>
      <w:r>
        <w:rPr>
          <w:rFonts w:ascii="Arial" w:hAnsi="Arial" w:eastAsia="SimSun" w:cs="Arial"/>
          <w:b/>
          <w:bCs/>
          <w:i/>
          <w:iCs/>
        </w:rPr>
        <w:t xml:space="preserve">D. guineense ethanol </w:t>
      </w:r>
      <w:r>
        <w:rPr>
          <w:rFonts w:ascii="Arial" w:hAnsi="Arial" w:eastAsia="SimSun" w:cs="Arial"/>
          <w:b/>
          <w:bCs/>
        </w:rPr>
        <w:t>seed extract</w:t>
      </w:r>
    </w:p>
    <w:p w14:paraId="6F735862">
      <w:pPr>
        <w:spacing w:line="360" w:lineRule="auto"/>
        <w:jc w:val="both"/>
        <w:rPr>
          <w:rFonts w:ascii="Arial" w:hAnsi="Arial" w:eastAsia="SimSun" w:cs="Arial"/>
        </w:rPr>
      </w:pPr>
    </w:p>
    <w:p w14:paraId="3712ABC7">
      <w:pPr>
        <w:spacing w:line="360" w:lineRule="auto"/>
        <w:jc w:val="both"/>
        <w:rPr>
          <w:rFonts w:ascii="Arial" w:hAnsi="Arial" w:eastAsia="SimSun" w:cs="Arial"/>
        </w:rPr>
      </w:pPr>
      <w:r>
        <w:rPr>
          <w:rFonts w:ascii="Arial" w:hAnsi="Arial" w:eastAsia="SimSun" w:cs="Arial"/>
        </w:rPr>
        <w:t xml:space="preserve">50g of </w:t>
      </w:r>
      <w:r>
        <w:rPr>
          <w:rFonts w:ascii="Arial" w:hAnsi="Arial" w:eastAsia="SimSun" w:cs="Arial"/>
          <w:i/>
          <w:iCs/>
        </w:rPr>
        <w:t xml:space="preserve">D. guineense </w:t>
      </w:r>
      <w:r>
        <w:rPr>
          <w:rFonts w:ascii="Arial" w:hAnsi="Arial" w:eastAsia="SimSun" w:cs="Arial"/>
        </w:rPr>
        <w:t xml:space="preserve">seed powder was soaked in 500ml of 80% ethanol and stored at room temperature for 72hrs. The mixture was agitated daily. After 72 hours, the mixture was filtered, the extract was concentrated, </w:t>
      </w:r>
      <w:r>
        <w:rPr>
          <w:rFonts w:ascii="Arial" w:hAnsi="Arial" w:eastAsia="Arial" w:cs="Arial"/>
          <w:shd w:val="clear" w:color="auto" w:fill="FFFFFF"/>
        </w:rPr>
        <w:t>lyophilised and stored in an air tight container.</w:t>
      </w:r>
    </w:p>
    <w:p w14:paraId="6254B4A7">
      <w:pPr>
        <w:spacing w:line="360" w:lineRule="auto"/>
        <w:jc w:val="both"/>
        <w:rPr>
          <w:rFonts w:ascii="Arial" w:hAnsi="Arial" w:cs="Arial"/>
        </w:rPr>
      </w:pPr>
    </w:p>
    <w:p w14:paraId="66A34FD2">
      <w:pPr>
        <w:spacing w:line="360" w:lineRule="auto"/>
        <w:jc w:val="both"/>
        <w:rPr>
          <w:rFonts w:ascii="Arial" w:hAnsi="Arial" w:cs="Arial"/>
        </w:rPr>
      </w:pPr>
    </w:p>
    <w:p w14:paraId="223A0D5F">
      <w:pPr>
        <w:spacing w:line="360" w:lineRule="auto"/>
        <w:jc w:val="both"/>
        <w:rPr>
          <w:rFonts w:ascii="Arial" w:hAnsi="Arial" w:cs="Arial"/>
          <w:b/>
          <w:bCs/>
        </w:rPr>
      </w:pPr>
      <w:r>
        <w:rPr>
          <w:rFonts w:ascii="Arial" w:hAnsi="Arial" w:cs="Arial"/>
          <w:b/>
          <w:bCs/>
        </w:rPr>
        <w:t xml:space="preserve">2.4. Evaluation of bioactive compounds in </w:t>
      </w:r>
      <w:r>
        <w:rPr>
          <w:rFonts w:ascii="Arial" w:hAnsi="Arial" w:eastAsia="SimSun" w:cs="Arial"/>
          <w:b/>
          <w:bCs/>
          <w:i/>
          <w:iCs/>
        </w:rPr>
        <w:t xml:space="preserve">D. guineense ethanol </w:t>
      </w:r>
      <w:r>
        <w:rPr>
          <w:rFonts w:ascii="Arial" w:hAnsi="Arial" w:eastAsia="SimSun" w:cs="Arial"/>
          <w:b/>
          <w:bCs/>
        </w:rPr>
        <w:t>seed extract</w:t>
      </w:r>
    </w:p>
    <w:p w14:paraId="281FC670">
      <w:pPr>
        <w:spacing w:line="360" w:lineRule="auto"/>
        <w:jc w:val="both"/>
        <w:rPr>
          <w:rFonts w:ascii="Arial" w:hAnsi="Arial" w:cs="Arial"/>
        </w:rPr>
      </w:pPr>
    </w:p>
    <w:p w14:paraId="660C70C1">
      <w:pPr>
        <w:spacing w:line="360" w:lineRule="auto"/>
        <w:jc w:val="both"/>
        <w:rPr>
          <w:rFonts w:ascii="Arial" w:hAnsi="Arial" w:cs="Arial"/>
        </w:rPr>
      </w:pPr>
      <w:r>
        <w:rPr>
          <w:rFonts w:ascii="Arial" w:hAnsi="Arial" w:cs="Arial"/>
        </w:rPr>
        <w:t xml:space="preserve">Phytochemicals present in </w:t>
      </w:r>
      <w:r>
        <w:rPr>
          <w:rFonts w:ascii="Arial" w:hAnsi="Arial" w:eastAsia="SimSun" w:cs="Arial"/>
          <w:i/>
          <w:iCs/>
        </w:rPr>
        <w:t xml:space="preserve">D. guineense ethanol </w:t>
      </w:r>
      <w:r>
        <w:rPr>
          <w:rFonts w:ascii="Arial" w:hAnsi="Arial" w:eastAsia="SimSun" w:cs="Arial"/>
        </w:rPr>
        <w:t xml:space="preserve">seed extract was detected using the methods described by Trease and Evans (1989) and </w:t>
      </w:r>
      <w:r>
        <w:rPr>
          <w:rFonts w:ascii="Arial" w:hAnsi="Arial" w:eastAsia="Arial" w:cs="Arial"/>
          <w:shd w:val="clear" w:color="auto" w:fill="FFFFFF"/>
        </w:rPr>
        <w:t>Harborne (1996). Tannin was detected using the Ferric chloride test. Frothing test was used to detect the presence of saponins. Alkaloids were detected using Wangner’s, Mayer’s and Dragendorff's test. Flavonoids were detected using the Shinoda test. Salkowski test was used to detect the presence of sterols. Anthraquinones were detected using Bontrager’s test. While the Keller-Kiliani test was used to detect the presence of cardiac glycosides</w:t>
      </w:r>
    </w:p>
    <w:p w14:paraId="064E938E">
      <w:pPr>
        <w:shd w:val="clear" w:color="auto" w:fill="FFFFFF"/>
        <w:spacing w:line="360" w:lineRule="auto"/>
        <w:jc w:val="both"/>
        <w:rPr>
          <w:rFonts w:ascii="Arial" w:hAnsi="Arial" w:eastAsia="Arial" w:cs="Arial"/>
          <w:shd w:val="clear" w:color="auto" w:fill="FFFFFF"/>
          <w:lang w:bidi="ar"/>
        </w:rPr>
      </w:pPr>
      <w:r>
        <w:rPr>
          <w:rFonts w:ascii="Arial" w:hAnsi="Arial" w:eastAsia="Arial" w:cs="Arial"/>
          <w:shd w:val="clear" w:color="auto" w:fill="FFFFFF"/>
          <w:lang w:eastAsia="en-US"/>
        </w:rPr>
        <w:drawing>
          <wp:inline distT="0" distB="0" distL="114300" distR="114300">
            <wp:extent cx="9525" cy="9525"/>
            <wp:effectExtent l="0" t="0" r="0" b="0"/>
            <wp:docPr id="3"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8"/>
                    <pic:cNvPicPr>
                      <a:picLocks noChangeAspect="1"/>
                    </pic:cNvPicPr>
                  </pic:nvPicPr>
                  <pic:blipFill>
                    <a:blip r:embed="rId10"/>
                    <a:stretch>
                      <a:fillRect/>
                    </a:stretch>
                  </pic:blipFill>
                  <pic:spPr>
                    <a:xfrm>
                      <a:off x="0" y="0"/>
                      <a:ext cx="9525" cy="9525"/>
                    </a:xfrm>
                    <a:prstGeom prst="rect">
                      <a:avLst/>
                    </a:prstGeom>
                    <a:noFill/>
                    <a:ln w="9525">
                      <a:noFill/>
                    </a:ln>
                  </pic:spPr>
                </pic:pic>
              </a:graphicData>
            </a:graphic>
          </wp:inline>
        </w:drawing>
      </w:r>
    </w:p>
    <w:p w14:paraId="0F7F503B">
      <w:pPr>
        <w:shd w:val="clear" w:color="auto" w:fill="FFFFFF"/>
        <w:spacing w:line="360" w:lineRule="auto"/>
        <w:jc w:val="both"/>
        <w:rPr>
          <w:rFonts w:ascii="Arial" w:hAnsi="Arial" w:eastAsia="Arial" w:cs="Arial"/>
          <w:b/>
          <w:bCs/>
        </w:rPr>
      </w:pPr>
      <w:r>
        <w:rPr>
          <w:rFonts w:ascii="Arial" w:hAnsi="Arial" w:eastAsia="Arial" w:cs="Arial"/>
          <w:b/>
          <w:bCs/>
          <w:shd w:val="clear" w:color="auto" w:fill="FFFFFF"/>
          <w:lang w:bidi="ar"/>
        </w:rPr>
        <w:t>2.5. Statistical Analysis</w:t>
      </w:r>
    </w:p>
    <w:p w14:paraId="2235B044">
      <w:pPr>
        <w:spacing w:line="360" w:lineRule="auto"/>
        <w:jc w:val="both"/>
        <w:rPr>
          <w:rFonts w:ascii="Arial" w:hAnsi="Arial" w:eastAsia="SimSun" w:cs="Arial"/>
        </w:rPr>
      </w:pPr>
    </w:p>
    <w:p w14:paraId="00B7E976">
      <w:pPr>
        <w:spacing w:line="360" w:lineRule="auto"/>
        <w:jc w:val="both"/>
        <w:rPr>
          <w:rFonts w:ascii="Arial" w:hAnsi="Arial" w:eastAsia="SimSun" w:cs="Arial"/>
        </w:rPr>
      </w:pPr>
      <w:r>
        <w:rPr>
          <w:rFonts w:ascii="Arial" w:hAnsi="Arial" w:eastAsia="SimSun" w:cs="Arial"/>
        </w:rPr>
        <w:t xml:space="preserve">Analysis was done in triplicate for proximate analysis. Statistical analysis was done with SPSS and the results obtained from statistical analysis was expressed as mean ± standard deviation </w:t>
      </w:r>
    </w:p>
    <w:p w14:paraId="2A8415A8">
      <w:pPr>
        <w:spacing w:line="360" w:lineRule="auto"/>
        <w:rPr>
          <w:rFonts w:ascii="Arial" w:hAnsi="Arial" w:cs="Arial"/>
        </w:rPr>
      </w:pPr>
    </w:p>
    <w:p w14:paraId="283F93F1">
      <w:pPr>
        <w:spacing w:line="360" w:lineRule="auto"/>
        <w:rPr>
          <w:rFonts w:ascii="Arial" w:hAnsi="Arial" w:cs="Arial"/>
          <w:b/>
          <w:bCs/>
        </w:rPr>
      </w:pPr>
    </w:p>
    <w:p w14:paraId="2A1B5596">
      <w:pPr>
        <w:spacing w:line="360" w:lineRule="auto"/>
        <w:rPr>
          <w:rFonts w:ascii="Arial" w:hAnsi="Arial" w:cs="Arial"/>
          <w:b/>
          <w:bCs/>
        </w:rPr>
      </w:pPr>
      <w:r>
        <w:rPr>
          <w:rFonts w:ascii="Arial" w:hAnsi="Arial" w:cs="Arial"/>
          <w:b/>
          <w:bCs/>
        </w:rPr>
        <w:t>3. RESULT AND DISCUSSION</w:t>
      </w:r>
    </w:p>
    <w:p w14:paraId="75AF3331">
      <w:pPr>
        <w:spacing w:line="360" w:lineRule="auto"/>
        <w:rPr>
          <w:rFonts w:ascii="Arial" w:hAnsi="Arial" w:cs="Arial"/>
        </w:rPr>
      </w:pPr>
    </w:p>
    <w:p w14:paraId="435963C4">
      <w:pPr>
        <w:spacing w:line="360" w:lineRule="auto"/>
        <w:rPr>
          <w:rFonts w:ascii="Arial" w:hAnsi="Arial" w:cs="Arial"/>
        </w:rPr>
      </w:pPr>
    </w:p>
    <w:p w14:paraId="5755306A">
      <w:pPr>
        <w:spacing w:line="360" w:lineRule="auto"/>
        <w:rPr>
          <w:rFonts w:ascii="Arial" w:hAnsi="Arial" w:cs="Arial"/>
          <w:b/>
          <w:bCs/>
        </w:rPr>
      </w:pPr>
      <w:r>
        <w:rPr>
          <w:rFonts w:ascii="Arial" w:hAnsi="Arial" w:cs="Arial"/>
          <w:b/>
          <w:bCs/>
        </w:rPr>
        <w:t xml:space="preserve">3.1.1. Nutritional composition of </w:t>
      </w:r>
      <w:r>
        <w:rPr>
          <w:rFonts w:ascii="Arial" w:hAnsi="Arial" w:eastAsia="SimSun" w:cs="Arial"/>
          <w:b/>
          <w:bCs/>
          <w:i/>
          <w:iCs/>
        </w:rPr>
        <w:t xml:space="preserve">D. guineense </w:t>
      </w:r>
      <w:r>
        <w:rPr>
          <w:rFonts w:ascii="Arial" w:hAnsi="Arial" w:eastAsia="SimSun" w:cs="Arial"/>
          <w:b/>
          <w:bCs/>
        </w:rPr>
        <w:t>seed</w:t>
      </w:r>
    </w:p>
    <w:p w14:paraId="7A2F4705">
      <w:pPr>
        <w:spacing w:line="360" w:lineRule="auto"/>
        <w:rPr>
          <w:rFonts w:ascii="Arial" w:hAnsi="Arial" w:cs="Arial"/>
        </w:rPr>
      </w:pPr>
    </w:p>
    <w:p w14:paraId="02C475F8">
      <w:pPr>
        <w:spacing w:line="360" w:lineRule="auto"/>
        <w:jc w:val="both"/>
        <w:rPr>
          <w:rFonts w:ascii="Arial" w:hAnsi="Arial" w:cs="Arial"/>
        </w:rPr>
      </w:pPr>
      <w:r>
        <w:rPr>
          <w:rFonts w:ascii="Arial" w:hAnsi="Arial" w:cs="Arial"/>
        </w:rPr>
        <w:t>The percentage concentration of moisture, ash, crude fiber, crude protein, crude fat</w:t>
      </w:r>
      <w:r>
        <w:rPr>
          <w:rFonts w:ascii="Arial" w:hAnsi="Arial" w:cs="Arial"/>
          <w:color w:val="FF0000"/>
        </w:rPr>
        <w:t>,</w:t>
      </w:r>
      <w:r>
        <w:rPr>
          <w:rFonts w:ascii="Arial" w:hAnsi="Arial" w:cs="Arial"/>
        </w:rPr>
        <w:t xml:space="preserve"> and carbohydrate present in </w:t>
      </w:r>
      <w:r>
        <w:rPr>
          <w:rFonts w:ascii="Arial" w:hAnsi="Arial" w:eastAsia="SimSun" w:cs="Arial"/>
          <w:i/>
          <w:iCs/>
        </w:rPr>
        <w:t xml:space="preserve">D. guineense </w:t>
      </w:r>
      <w:r>
        <w:rPr>
          <w:rFonts w:ascii="Arial" w:hAnsi="Arial" w:eastAsia="SimSun" w:cs="Arial"/>
        </w:rPr>
        <w:t xml:space="preserve">seed is presented in table 1. The seeds of </w:t>
      </w:r>
      <w:r>
        <w:rPr>
          <w:rFonts w:ascii="Arial" w:hAnsi="Arial" w:eastAsia="SimSun" w:cs="Arial"/>
          <w:i/>
          <w:iCs/>
        </w:rPr>
        <w:t xml:space="preserve">D. guineense </w:t>
      </w:r>
      <w:r>
        <w:rPr>
          <w:rFonts w:ascii="Arial" w:hAnsi="Arial" w:eastAsia="SimSun" w:cs="Arial"/>
        </w:rPr>
        <w:t xml:space="preserve">contains 344.52 Kcal/ 100g of </w:t>
      </w:r>
      <w:r>
        <w:rPr>
          <w:rFonts w:ascii="Arial" w:hAnsi="Arial" w:eastAsia="SimSun" w:cs="Arial"/>
          <w:i/>
          <w:iCs/>
        </w:rPr>
        <w:t xml:space="preserve">D. guineense </w:t>
      </w:r>
      <w:r>
        <w:rPr>
          <w:rFonts w:ascii="Arial" w:hAnsi="Arial" w:eastAsia="SimSun" w:cs="Arial"/>
        </w:rPr>
        <w:t>seed powder.</w:t>
      </w:r>
    </w:p>
    <w:p w14:paraId="45EE54FB">
      <w:pPr>
        <w:spacing w:line="360" w:lineRule="auto"/>
        <w:rPr>
          <w:rFonts w:ascii="Arial" w:hAnsi="Arial" w:cs="Arial"/>
        </w:rPr>
      </w:pPr>
    </w:p>
    <w:p w14:paraId="633EE944">
      <w:pPr>
        <w:spacing w:line="360" w:lineRule="auto"/>
        <w:rPr>
          <w:rFonts w:ascii="Arial" w:hAnsi="Arial" w:cs="Arial"/>
        </w:rPr>
      </w:pPr>
      <w:r>
        <w:rPr>
          <w:rFonts w:ascii="Arial" w:hAnsi="Arial" w:cs="Arial"/>
          <w:b/>
          <w:bCs/>
        </w:rPr>
        <w:t>Table 1</w:t>
      </w:r>
      <w:r>
        <w:rPr>
          <w:rFonts w:ascii="Arial" w:hAnsi="Arial" w:cs="Arial"/>
        </w:rPr>
        <w:t xml:space="preserve">. Nutritional composition of </w:t>
      </w:r>
      <w:r>
        <w:rPr>
          <w:rFonts w:ascii="Arial" w:hAnsi="Arial" w:eastAsia="SimSun" w:cs="Arial"/>
          <w:i/>
          <w:iCs/>
        </w:rPr>
        <w:t xml:space="preserve">D. guineense </w:t>
      </w:r>
      <w:r>
        <w:rPr>
          <w:rFonts w:ascii="Arial" w:hAnsi="Arial" w:eastAsia="SimSun" w:cs="Arial"/>
        </w:rPr>
        <w:t>seed</w:t>
      </w:r>
    </w:p>
    <w:p w14:paraId="7F87BC80">
      <w:pPr>
        <w:spacing w:line="360" w:lineRule="auto"/>
        <w:rPr>
          <w:rFonts w:ascii="Arial" w:hAnsi="Arial" w:cs="Aria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3"/>
        <w:gridCol w:w="3096"/>
      </w:tblGrid>
      <w:tr w14:paraId="431E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Pr>
          <w:p w14:paraId="155782CC">
            <w:pPr>
              <w:widowControl w:val="0"/>
              <w:spacing w:line="360" w:lineRule="auto"/>
              <w:jc w:val="both"/>
              <w:rPr>
                <w:rFonts w:ascii="Arial" w:hAnsi="Arial" w:cs="Arial"/>
                <w:b/>
                <w:bCs/>
              </w:rPr>
            </w:pPr>
            <w:r>
              <w:rPr>
                <w:rFonts w:ascii="Arial" w:hAnsi="Arial" w:cs="Arial"/>
                <w:b/>
                <w:bCs/>
              </w:rPr>
              <w:t>Parameter (%)</w:t>
            </w:r>
          </w:p>
        </w:tc>
        <w:tc>
          <w:tcPr>
            <w:tcW w:w="3096" w:type="dxa"/>
          </w:tcPr>
          <w:p w14:paraId="59418F2B">
            <w:pPr>
              <w:widowControl w:val="0"/>
              <w:spacing w:line="360" w:lineRule="auto"/>
              <w:jc w:val="center"/>
              <w:rPr>
                <w:rFonts w:ascii="Arial" w:hAnsi="Arial" w:cs="Arial"/>
                <w:b/>
                <w:bCs/>
              </w:rPr>
            </w:pPr>
            <w:r>
              <w:rPr>
                <w:rFonts w:ascii="Arial" w:hAnsi="Arial" w:cs="Arial"/>
                <w:b/>
                <w:bCs/>
              </w:rPr>
              <w:t>Concentration</w:t>
            </w:r>
          </w:p>
        </w:tc>
      </w:tr>
      <w:tr w14:paraId="0991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Pr>
          <w:p w14:paraId="7D9380E7">
            <w:pPr>
              <w:widowControl w:val="0"/>
              <w:spacing w:line="360" w:lineRule="auto"/>
              <w:jc w:val="both"/>
              <w:rPr>
                <w:rFonts w:ascii="Arial" w:hAnsi="Arial" w:cs="Arial"/>
              </w:rPr>
            </w:pPr>
            <w:r>
              <w:rPr>
                <w:rFonts w:ascii="Arial" w:hAnsi="Arial" w:cs="Arial"/>
              </w:rPr>
              <w:t xml:space="preserve">Moisture </w:t>
            </w:r>
          </w:p>
        </w:tc>
        <w:tc>
          <w:tcPr>
            <w:tcW w:w="3096" w:type="dxa"/>
          </w:tcPr>
          <w:p w14:paraId="1EC513B5">
            <w:pPr>
              <w:widowControl w:val="0"/>
              <w:spacing w:line="360" w:lineRule="auto"/>
              <w:jc w:val="center"/>
              <w:rPr>
                <w:rFonts w:ascii="Arial" w:hAnsi="Arial" w:cs="Arial"/>
              </w:rPr>
            </w:pPr>
            <w:r>
              <w:rPr>
                <w:rFonts w:ascii="Arial" w:hAnsi="Arial" w:cs="Arial"/>
              </w:rPr>
              <w:t>8.30 ± 0.065</w:t>
            </w:r>
          </w:p>
        </w:tc>
      </w:tr>
      <w:tr w14:paraId="306B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Pr>
          <w:p w14:paraId="39BB976A">
            <w:pPr>
              <w:widowControl w:val="0"/>
              <w:spacing w:line="360" w:lineRule="auto"/>
              <w:jc w:val="both"/>
              <w:rPr>
                <w:rFonts w:ascii="Arial" w:hAnsi="Arial" w:cs="Arial"/>
              </w:rPr>
            </w:pPr>
            <w:r>
              <w:rPr>
                <w:rFonts w:ascii="Arial" w:hAnsi="Arial" w:cs="Arial"/>
              </w:rPr>
              <w:t xml:space="preserve">Ash </w:t>
            </w:r>
          </w:p>
        </w:tc>
        <w:tc>
          <w:tcPr>
            <w:tcW w:w="3096" w:type="dxa"/>
          </w:tcPr>
          <w:p w14:paraId="6CAC7E05">
            <w:pPr>
              <w:widowControl w:val="0"/>
              <w:spacing w:line="360" w:lineRule="auto"/>
              <w:jc w:val="center"/>
              <w:rPr>
                <w:rFonts w:ascii="Arial" w:hAnsi="Arial" w:cs="Arial"/>
              </w:rPr>
            </w:pPr>
            <w:r>
              <w:rPr>
                <w:rFonts w:ascii="Arial" w:hAnsi="Arial" w:cs="Arial"/>
              </w:rPr>
              <w:t>2.10 ± 0.011</w:t>
            </w:r>
          </w:p>
        </w:tc>
      </w:tr>
      <w:tr w14:paraId="7964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Pr>
          <w:p w14:paraId="248347B6">
            <w:pPr>
              <w:widowControl w:val="0"/>
              <w:spacing w:line="360" w:lineRule="auto"/>
              <w:jc w:val="both"/>
              <w:rPr>
                <w:rFonts w:ascii="Arial" w:hAnsi="Arial" w:cs="Arial"/>
              </w:rPr>
            </w:pPr>
            <w:r>
              <w:rPr>
                <w:rFonts w:ascii="Arial" w:hAnsi="Arial" w:cs="Arial"/>
              </w:rPr>
              <w:t>Crude fiber</w:t>
            </w:r>
          </w:p>
        </w:tc>
        <w:tc>
          <w:tcPr>
            <w:tcW w:w="3096" w:type="dxa"/>
          </w:tcPr>
          <w:p w14:paraId="5B62D3CD">
            <w:pPr>
              <w:widowControl w:val="0"/>
              <w:spacing w:line="360" w:lineRule="auto"/>
              <w:jc w:val="center"/>
              <w:rPr>
                <w:rFonts w:ascii="Arial" w:hAnsi="Arial" w:cs="Arial"/>
              </w:rPr>
            </w:pPr>
            <w:r>
              <w:rPr>
                <w:rFonts w:ascii="Arial" w:hAnsi="Arial" w:cs="Arial"/>
              </w:rPr>
              <w:t>6.72 ± 0.001</w:t>
            </w:r>
          </w:p>
        </w:tc>
      </w:tr>
      <w:tr w14:paraId="599A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Pr>
          <w:p w14:paraId="18C31806">
            <w:pPr>
              <w:widowControl w:val="0"/>
              <w:spacing w:line="360" w:lineRule="auto"/>
              <w:jc w:val="both"/>
              <w:rPr>
                <w:rFonts w:ascii="Arial" w:hAnsi="Arial" w:cs="Arial"/>
              </w:rPr>
            </w:pPr>
            <w:r>
              <w:rPr>
                <w:rFonts w:ascii="Arial" w:hAnsi="Arial" w:cs="Arial"/>
              </w:rPr>
              <w:t>Crude protein</w:t>
            </w:r>
          </w:p>
        </w:tc>
        <w:tc>
          <w:tcPr>
            <w:tcW w:w="3096" w:type="dxa"/>
          </w:tcPr>
          <w:p w14:paraId="0F7D6BBC">
            <w:pPr>
              <w:widowControl w:val="0"/>
              <w:spacing w:line="360" w:lineRule="auto"/>
              <w:jc w:val="center"/>
              <w:rPr>
                <w:rFonts w:ascii="Arial" w:hAnsi="Arial" w:cs="Arial"/>
              </w:rPr>
            </w:pPr>
            <w:r>
              <w:rPr>
                <w:rFonts w:ascii="Arial" w:hAnsi="Arial" w:cs="Arial"/>
              </w:rPr>
              <w:t>18.40 ± 0.002</w:t>
            </w:r>
          </w:p>
        </w:tc>
      </w:tr>
      <w:tr w14:paraId="7D23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Pr>
          <w:p w14:paraId="2092A3BC">
            <w:pPr>
              <w:widowControl w:val="0"/>
              <w:spacing w:line="360" w:lineRule="auto"/>
              <w:jc w:val="both"/>
              <w:rPr>
                <w:rFonts w:ascii="Arial" w:hAnsi="Arial" w:cs="Arial"/>
              </w:rPr>
            </w:pPr>
            <w:r>
              <w:rPr>
                <w:rFonts w:ascii="Arial" w:hAnsi="Arial" w:cs="Arial"/>
              </w:rPr>
              <w:t>Crude fat</w:t>
            </w:r>
          </w:p>
        </w:tc>
        <w:tc>
          <w:tcPr>
            <w:tcW w:w="3096" w:type="dxa"/>
          </w:tcPr>
          <w:p w14:paraId="34A01A72">
            <w:pPr>
              <w:widowControl w:val="0"/>
              <w:spacing w:line="360" w:lineRule="auto"/>
              <w:jc w:val="center"/>
              <w:rPr>
                <w:rFonts w:ascii="Arial" w:hAnsi="Arial" w:cs="Arial"/>
              </w:rPr>
            </w:pPr>
            <w:r>
              <w:rPr>
                <w:rFonts w:ascii="Arial" w:hAnsi="Arial" w:cs="Arial"/>
              </w:rPr>
              <w:t>2.60 ± 0.037</w:t>
            </w:r>
          </w:p>
        </w:tc>
      </w:tr>
      <w:tr w14:paraId="10BF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Pr>
          <w:p w14:paraId="4F8AE0FA">
            <w:pPr>
              <w:widowControl w:val="0"/>
              <w:spacing w:line="360" w:lineRule="auto"/>
              <w:jc w:val="both"/>
              <w:rPr>
                <w:rFonts w:ascii="Arial" w:hAnsi="Arial" w:cs="Arial"/>
              </w:rPr>
            </w:pPr>
            <w:r>
              <w:rPr>
                <w:rFonts w:ascii="Arial" w:hAnsi="Arial" w:cs="Arial"/>
              </w:rPr>
              <w:t>Carbohydrate</w:t>
            </w:r>
          </w:p>
        </w:tc>
        <w:tc>
          <w:tcPr>
            <w:tcW w:w="3096" w:type="dxa"/>
          </w:tcPr>
          <w:p w14:paraId="1DE5B78E">
            <w:pPr>
              <w:widowControl w:val="0"/>
              <w:spacing w:line="360" w:lineRule="auto"/>
              <w:jc w:val="center"/>
              <w:rPr>
                <w:rFonts w:ascii="Arial" w:hAnsi="Arial" w:cs="Arial"/>
              </w:rPr>
            </w:pPr>
            <w:r>
              <w:rPr>
                <w:rFonts w:ascii="Arial" w:hAnsi="Arial" w:cs="Arial"/>
              </w:rPr>
              <w:t>61.88 ± 0.417</w:t>
            </w:r>
          </w:p>
        </w:tc>
      </w:tr>
      <w:tr w14:paraId="165A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3" w:type="dxa"/>
          </w:tcPr>
          <w:p w14:paraId="1EFE1482">
            <w:pPr>
              <w:widowControl w:val="0"/>
              <w:spacing w:line="360" w:lineRule="auto"/>
              <w:jc w:val="both"/>
              <w:rPr>
                <w:rFonts w:ascii="Arial" w:hAnsi="Arial" w:cs="Arial"/>
              </w:rPr>
            </w:pPr>
            <w:r>
              <w:rPr>
                <w:rFonts w:ascii="Arial" w:hAnsi="Arial" w:cs="Arial"/>
              </w:rPr>
              <w:t>Energy (Kcal/ 100g)</w:t>
            </w:r>
          </w:p>
        </w:tc>
        <w:tc>
          <w:tcPr>
            <w:tcW w:w="3096" w:type="dxa"/>
          </w:tcPr>
          <w:p w14:paraId="1465898F">
            <w:pPr>
              <w:widowControl w:val="0"/>
              <w:spacing w:line="360" w:lineRule="auto"/>
              <w:jc w:val="center"/>
              <w:rPr>
                <w:rFonts w:ascii="Arial" w:hAnsi="Arial" w:cs="Arial"/>
              </w:rPr>
            </w:pPr>
            <w:r>
              <w:rPr>
                <w:rFonts w:ascii="Arial" w:hAnsi="Arial" w:cs="Arial"/>
              </w:rPr>
              <w:t>344.52 ± 10.04</w:t>
            </w:r>
          </w:p>
        </w:tc>
      </w:tr>
    </w:tbl>
    <w:p w14:paraId="395AA8DB">
      <w:pPr>
        <w:spacing w:line="360" w:lineRule="auto"/>
        <w:rPr>
          <w:rFonts w:hint="default" w:ascii="Arial" w:hAnsi="Arial" w:cs="Arial"/>
          <w:lang w:val="en-US"/>
        </w:rPr>
      </w:pPr>
      <w:r>
        <w:rPr>
          <w:rFonts w:hint="default" w:ascii="Arial" w:hAnsi="Arial" w:cs="Arial"/>
          <w:lang w:val="en-US"/>
        </w:rPr>
        <w:t xml:space="preserve">Data is presented as mean </w:t>
      </w:r>
      <w:r>
        <w:rPr>
          <w:rFonts w:ascii="Arial" w:hAnsi="Arial" w:cs="Arial"/>
        </w:rPr>
        <w:t>±</w:t>
      </w:r>
      <w:r>
        <w:rPr>
          <w:rFonts w:hint="default" w:ascii="Arial" w:hAnsi="Arial" w:cs="Arial"/>
          <w:lang w:val="en-US"/>
        </w:rPr>
        <w:t xml:space="preserve"> </w:t>
      </w:r>
      <w:r>
        <w:rPr>
          <w:rFonts w:ascii="Arial" w:hAnsi="Arial" w:eastAsia="SimSun" w:cs="Arial"/>
        </w:rPr>
        <w:t>standard deviation</w:t>
      </w:r>
    </w:p>
    <w:p w14:paraId="660CA6F5">
      <w:pPr>
        <w:spacing w:line="360" w:lineRule="auto"/>
        <w:rPr>
          <w:rFonts w:ascii="Arial" w:hAnsi="Arial" w:cs="Arial"/>
        </w:rPr>
      </w:pPr>
    </w:p>
    <w:p w14:paraId="0E6DF733">
      <w:pPr>
        <w:spacing w:line="360" w:lineRule="auto"/>
        <w:rPr>
          <w:rFonts w:ascii="Arial" w:hAnsi="Arial" w:cs="Arial"/>
          <w:b/>
          <w:bCs/>
        </w:rPr>
      </w:pPr>
      <w:r>
        <w:rPr>
          <w:rFonts w:ascii="Arial" w:hAnsi="Arial" w:cs="Arial"/>
          <w:b/>
          <w:bCs/>
        </w:rPr>
        <w:t xml:space="preserve">3.1.2. Bioactive compounds in </w:t>
      </w:r>
      <w:r>
        <w:rPr>
          <w:rFonts w:ascii="Arial" w:hAnsi="Arial" w:eastAsia="SimSun" w:cs="Arial"/>
          <w:b/>
          <w:bCs/>
          <w:i/>
          <w:iCs/>
        </w:rPr>
        <w:t xml:space="preserve">D. guineense </w:t>
      </w:r>
      <w:r>
        <w:rPr>
          <w:rFonts w:ascii="Arial" w:hAnsi="Arial" w:eastAsia="SimSun" w:cs="Arial"/>
          <w:b/>
          <w:bCs/>
        </w:rPr>
        <w:t>ethanol seed extract</w:t>
      </w:r>
    </w:p>
    <w:p w14:paraId="2BB10C1C">
      <w:pPr>
        <w:spacing w:line="360" w:lineRule="auto"/>
        <w:rPr>
          <w:rFonts w:ascii="Arial" w:hAnsi="Arial" w:cs="Arial"/>
        </w:rPr>
      </w:pPr>
    </w:p>
    <w:p w14:paraId="422A6AEF">
      <w:pPr>
        <w:spacing w:line="360" w:lineRule="auto"/>
        <w:jc w:val="both"/>
        <w:rPr>
          <w:rFonts w:ascii="Arial" w:hAnsi="Arial" w:cs="Arial"/>
        </w:rPr>
      </w:pPr>
      <w:r>
        <w:rPr>
          <w:rFonts w:ascii="Arial" w:hAnsi="Arial" w:cs="Arial"/>
        </w:rPr>
        <w:t xml:space="preserve">The phytochemicals detected in </w:t>
      </w:r>
      <w:r>
        <w:rPr>
          <w:rFonts w:ascii="Arial" w:hAnsi="Arial" w:eastAsia="SimSun" w:cs="Arial"/>
          <w:i/>
          <w:iCs/>
        </w:rPr>
        <w:t xml:space="preserve">D. guineense </w:t>
      </w:r>
      <w:r>
        <w:rPr>
          <w:rFonts w:ascii="Arial" w:hAnsi="Arial" w:eastAsia="SimSun" w:cs="Arial"/>
        </w:rPr>
        <w:t>ethanol seed extract is presented in table 2. The presence of c</w:t>
      </w:r>
      <w:r>
        <w:rPr>
          <w:rFonts w:ascii="Arial" w:hAnsi="Arial" w:cs="Arial"/>
        </w:rPr>
        <w:t xml:space="preserve">ardiac glycosides, flavonoid, tannin, saponins, alkaloids and steroids were detected but anthocyanin and anthraquinone glycoside was not detected. </w:t>
      </w:r>
    </w:p>
    <w:p w14:paraId="705527B7">
      <w:pPr>
        <w:spacing w:line="360" w:lineRule="auto"/>
        <w:rPr>
          <w:rFonts w:ascii="Arial" w:hAnsi="Arial" w:cs="Arial"/>
        </w:rPr>
      </w:pPr>
    </w:p>
    <w:p w14:paraId="0DE18FF8">
      <w:pPr>
        <w:spacing w:line="360" w:lineRule="auto"/>
        <w:rPr>
          <w:rFonts w:ascii="Arial" w:hAnsi="Arial" w:eastAsia="SimSun" w:cs="Arial"/>
        </w:rPr>
      </w:pPr>
      <w:r>
        <w:rPr>
          <w:rFonts w:ascii="Arial" w:hAnsi="Arial" w:cs="Arial"/>
        </w:rPr>
        <w:t xml:space="preserve">Table 2. Phytochemicals present in </w:t>
      </w:r>
      <w:r>
        <w:rPr>
          <w:rFonts w:ascii="Arial" w:hAnsi="Arial" w:eastAsia="SimSun" w:cs="Arial"/>
          <w:i/>
          <w:iCs/>
        </w:rPr>
        <w:t xml:space="preserve">D. guineense </w:t>
      </w:r>
      <w:r>
        <w:rPr>
          <w:rFonts w:ascii="Arial" w:hAnsi="Arial" w:eastAsia="SimSun" w:cs="Arial"/>
        </w:rPr>
        <w:t>ethanol seed extract</w:t>
      </w:r>
    </w:p>
    <w:p w14:paraId="215CD392">
      <w:pPr>
        <w:spacing w:line="360" w:lineRule="auto"/>
        <w:rPr>
          <w:rFonts w:ascii="Arial" w:hAnsi="Arial" w:eastAsia="SimSun" w:cs="Arial"/>
        </w:rPr>
      </w:pPr>
    </w:p>
    <w:tbl>
      <w:tblPr>
        <w:tblStyle w:val="14"/>
        <w:tblW w:w="7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1"/>
        <w:gridCol w:w="2946"/>
      </w:tblGrid>
      <w:tr w14:paraId="4431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1" w:type="dxa"/>
          </w:tcPr>
          <w:p w14:paraId="012D3D8B">
            <w:pPr>
              <w:widowControl w:val="0"/>
              <w:spacing w:line="360" w:lineRule="auto"/>
              <w:jc w:val="both"/>
              <w:rPr>
                <w:rFonts w:ascii="Arial" w:hAnsi="Arial" w:cs="Arial"/>
                <w:b/>
                <w:bCs/>
              </w:rPr>
            </w:pPr>
            <w:r>
              <w:rPr>
                <w:rFonts w:ascii="Arial" w:hAnsi="Arial" w:cs="Arial"/>
                <w:b/>
                <w:bCs/>
              </w:rPr>
              <w:t>Phytochemical</w:t>
            </w:r>
          </w:p>
        </w:tc>
        <w:tc>
          <w:tcPr>
            <w:tcW w:w="2946" w:type="dxa"/>
          </w:tcPr>
          <w:p w14:paraId="3F9EA522">
            <w:pPr>
              <w:widowControl w:val="0"/>
              <w:spacing w:line="360" w:lineRule="auto"/>
              <w:jc w:val="center"/>
              <w:rPr>
                <w:rFonts w:ascii="Arial" w:hAnsi="Arial" w:cs="Arial"/>
                <w:b/>
                <w:bCs/>
              </w:rPr>
            </w:pPr>
            <w:r>
              <w:rPr>
                <w:rFonts w:ascii="Arial" w:hAnsi="Arial" w:cs="Arial"/>
                <w:b/>
                <w:bCs/>
              </w:rPr>
              <w:t>Concentration</w:t>
            </w:r>
          </w:p>
        </w:tc>
      </w:tr>
      <w:tr w14:paraId="2E87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561" w:type="dxa"/>
          </w:tcPr>
          <w:p w14:paraId="4967061E">
            <w:pPr>
              <w:widowControl w:val="0"/>
              <w:spacing w:line="360" w:lineRule="auto"/>
              <w:jc w:val="both"/>
              <w:rPr>
                <w:rFonts w:ascii="Arial" w:hAnsi="Arial" w:cs="Arial"/>
              </w:rPr>
            </w:pPr>
            <w:r>
              <w:rPr>
                <w:rFonts w:ascii="Arial" w:hAnsi="Arial" w:cs="Arial"/>
              </w:rPr>
              <w:t>Alkaloids</w:t>
            </w:r>
          </w:p>
        </w:tc>
        <w:tc>
          <w:tcPr>
            <w:tcW w:w="2946" w:type="dxa"/>
          </w:tcPr>
          <w:p w14:paraId="106284A5">
            <w:pPr>
              <w:widowControl w:val="0"/>
              <w:spacing w:line="360" w:lineRule="auto"/>
              <w:jc w:val="center"/>
              <w:rPr>
                <w:rFonts w:ascii="Arial" w:hAnsi="Arial" w:cs="Arial"/>
              </w:rPr>
            </w:pPr>
            <w:r>
              <w:rPr>
                <w:rFonts w:ascii="Arial" w:hAnsi="Arial" w:cs="Arial"/>
              </w:rPr>
              <w:t>+</w:t>
            </w:r>
          </w:p>
        </w:tc>
      </w:tr>
      <w:tr w14:paraId="5982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1" w:type="dxa"/>
          </w:tcPr>
          <w:p w14:paraId="18F94B55">
            <w:pPr>
              <w:widowControl w:val="0"/>
              <w:spacing w:line="360" w:lineRule="auto"/>
              <w:jc w:val="both"/>
              <w:rPr>
                <w:rFonts w:ascii="Arial" w:hAnsi="Arial" w:cs="Arial"/>
              </w:rPr>
            </w:pPr>
            <w:r>
              <w:rPr>
                <w:rFonts w:ascii="Arial" w:hAnsi="Arial" w:cs="Arial"/>
              </w:rPr>
              <w:t>Saponins</w:t>
            </w:r>
          </w:p>
        </w:tc>
        <w:tc>
          <w:tcPr>
            <w:tcW w:w="2946" w:type="dxa"/>
          </w:tcPr>
          <w:p w14:paraId="2ECBBF9E">
            <w:pPr>
              <w:widowControl w:val="0"/>
              <w:spacing w:line="360" w:lineRule="auto"/>
              <w:jc w:val="center"/>
              <w:rPr>
                <w:rFonts w:ascii="Arial" w:hAnsi="Arial" w:cs="Arial"/>
              </w:rPr>
            </w:pPr>
            <w:r>
              <w:rPr>
                <w:rFonts w:ascii="Arial" w:hAnsi="Arial" w:cs="Arial"/>
              </w:rPr>
              <w:t>+</w:t>
            </w:r>
          </w:p>
        </w:tc>
      </w:tr>
      <w:tr w14:paraId="0762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1" w:type="dxa"/>
          </w:tcPr>
          <w:p w14:paraId="09CC2C9A">
            <w:pPr>
              <w:widowControl w:val="0"/>
              <w:spacing w:line="360" w:lineRule="auto"/>
              <w:jc w:val="both"/>
              <w:rPr>
                <w:rFonts w:ascii="Arial" w:hAnsi="Arial" w:cs="Arial"/>
              </w:rPr>
            </w:pPr>
            <w:r>
              <w:rPr>
                <w:rFonts w:ascii="Arial" w:hAnsi="Arial" w:cs="Arial"/>
              </w:rPr>
              <w:t>Tannin</w:t>
            </w:r>
          </w:p>
        </w:tc>
        <w:tc>
          <w:tcPr>
            <w:tcW w:w="2946" w:type="dxa"/>
          </w:tcPr>
          <w:p w14:paraId="78D7BC60">
            <w:pPr>
              <w:widowControl w:val="0"/>
              <w:spacing w:line="360" w:lineRule="auto"/>
              <w:jc w:val="center"/>
              <w:rPr>
                <w:rFonts w:ascii="Arial" w:hAnsi="Arial" w:cs="Arial"/>
              </w:rPr>
            </w:pPr>
            <w:r>
              <w:rPr>
                <w:rFonts w:ascii="Arial" w:hAnsi="Arial" w:cs="Arial"/>
              </w:rPr>
              <w:t>+</w:t>
            </w:r>
          </w:p>
        </w:tc>
      </w:tr>
      <w:tr w14:paraId="6C8C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1" w:type="dxa"/>
          </w:tcPr>
          <w:p w14:paraId="6E3CD6F2">
            <w:pPr>
              <w:widowControl w:val="0"/>
              <w:spacing w:line="360" w:lineRule="auto"/>
              <w:jc w:val="both"/>
              <w:rPr>
                <w:rFonts w:ascii="Arial" w:hAnsi="Arial" w:cs="Arial"/>
              </w:rPr>
            </w:pPr>
            <w:r>
              <w:rPr>
                <w:rFonts w:ascii="Arial" w:hAnsi="Arial" w:cs="Arial"/>
              </w:rPr>
              <w:t>Flavonoid</w:t>
            </w:r>
          </w:p>
        </w:tc>
        <w:tc>
          <w:tcPr>
            <w:tcW w:w="2946" w:type="dxa"/>
          </w:tcPr>
          <w:p w14:paraId="2F0EF9A7">
            <w:pPr>
              <w:widowControl w:val="0"/>
              <w:spacing w:line="360" w:lineRule="auto"/>
              <w:jc w:val="center"/>
              <w:rPr>
                <w:rFonts w:ascii="Arial" w:hAnsi="Arial" w:cs="Arial"/>
              </w:rPr>
            </w:pPr>
            <w:r>
              <w:rPr>
                <w:rFonts w:ascii="Arial" w:hAnsi="Arial" w:cs="Arial"/>
              </w:rPr>
              <w:t>++</w:t>
            </w:r>
          </w:p>
        </w:tc>
      </w:tr>
      <w:tr w14:paraId="51CE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1" w:type="dxa"/>
          </w:tcPr>
          <w:p w14:paraId="5A805E86">
            <w:pPr>
              <w:widowControl w:val="0"/>
              <w:spacing w:line="360" w:lineRule="auto"/>
              <w:jc w:val="both"/>
              <w:rPr>
                <w:rFonts w:ascii="Arial" w:hAnsi="Arial" w:cs="Arial"/>
              </w:rPr>
            </w:pPr>
            <w:r>
              <w:rPr>
                <w:rFonts w:ascii="Arial" w:hAnsi="Arial" w:cs="Arial"/>
              </w:rPr>
              <w:t>Cardiac glycosides</w:t>
            </w:r>
          </w:p>
        </w:tc>
        <w:tc>
          <w:tcPr>
            <w:tcW w:w="2946" w:type="dxa"/>
          </w:tcPr>
          <w:p w14:paraId="09B72335">
            <w:pPr>
              <w:widowControl w:val="0"/>
              <w:spacing w:line="360" w:lineRule="auto"/>
              <w:jc w:val="center"/>
              <w:rPr>
                <w:rFonts w:ascii="Arial" w:hAnsi="Arial" w:cs="Arial"/>
              </w:rPr>
            </w:pPr>
            <w:r>
              <w:rPr>
                <w:rFonts w:ascii="Arial" w:hAnsi="Arial" w:cs="Arial"/>
              </w:rPr>
              <w:t>++</w:t>
            </w:r>
          </w:p>
        </w:tc>
      </w:tr>
      <w:tr w14:paraId="1652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1" w:type="dxa"/>
          </w:tcPr>
          <w:p w14:paraId="76DDECDE">
            <w:pPr>
              <w:widowControl w:val="0"/>
              <w:spacing w:line="360" w:lineRule="auto"/>
              <w:jc w:val="both"/>
              <w:rPr>
                <w:rFonts w:ascii="Arial" w:hAnsi="Arial" w:cs="Arial"/>
              </w:rPr>
            </w:pPr>
            <w:r>
              <w:rPr>
                <w:rFonts w:ascii="Arial" w:hAnsi="Arial" w:cs="Arial"/>
              </w:rPr>
              <w:t>Reducing sugar</w:t>
            </w:r>
          </w:p>
        </w:tc>
        <w:tc>
          <w:tcPr>
            <w:tcW w:w="2946" w:type="dxa"/>
          </w:tcPr>
          <w:p w14:paraId="3AD4F1F1">
            <w:pPr>
              <w:widowControl w:val="0"/>
              <w:spacing w:line="360" w:lineRule="auto"/>
              <w:jc w:val="center"/>
              <w:rPr>
                <w:rFonts w:ascii="Arial" w:hAnsi="Arial" w:cs="Arial"/>
              </w:rPr>
            </w:pPr>
            <w:r>
              <w:rPr>
                <w:rFonts w:ascii="Arial" w:hAnsi="Arial" w:cs="Arial"/>
              </w:rPr>
              <w:t>+++</w:t>
            </w:r>
          </w:p>
        </w:tc>
      </w:tr>
      <w:tr w14:paraId="2CCA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1" w:type="dxa"/>
          </w:tcPr>
          <w:p w14:paraId="749CD9CB">
            <w:pPr>
              <w:widowControl w:val="0"/>
              <w:spacing w:line="360" w:lineRule="auto"/>
              <w:jc w:val="both"/>
              <w:rPr>
                <w:rFonts w:ascii="Arial" w:hAnsi="Arial" w:cs="Arial"/>
              </w:rPr>
            </w:pPr>
            <w:r>
              <w:rPr>
                <w:rFonts w:ascii="Arial" w:hAnsi="Arial" w:cs="Arial"/>
              </w:rPr>
              <w:t>Anthraquinone glycoside</w:t>
            </w:r>
          </w:p>
        </w:tc>
        <w:tc>
          <w:tcPr>
            <w:tcW w:w="2946" w:type="dxa"/>
          </w:tcPr>
          <w:p w14:paraId="405C3782">
            <w:pPr>
              <w:widowControl w:val="0"/>
              <w:spacing w:line="360" w:lineRule="auto"/>
              <w:jc w:val="center"/>
              <w:rPr>
                <w:rFonts w:ascii="Arial" w:hAnsi="Arial" w:cs="Arial"/>
              </w:rPr>
            </w:pPr>
            <w:r>
              <w:rPr>
                <w:rFonts w:ascii="Arial" w:hAnsi="Arial" w:cs="Arial"/>
              </w:rPr>
              <w:t>-</w:t>
            </w:r>
          </w:p>
        </w:tc>
      </w:tr>
      <w:tr w14:paraId="69C9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1" w:type="dxa"/>
          </w:tcPr>
          <w:p w14:paraId="67DEB450">
            <w:pPr>
              <w:widowControl w:val="0"/>
              <w:spacing w:line="360" w:lineRule="auto"/>
              <w:jc w:val="both"/>
              <w:rPr>
                <w:rFonts w:ascii="Arial" w:hAnsi="Arial" w:cs="Arial"/>
              </w:rPr>
            </w:pPr>
            <w:r>
              <w:rPr>
                <w:rFonts w:ascii="Arial" w:hAnsi="Arial" w:cs="Arial"/>
              </w:rPr>
              <w:t>Anthocyanin</w:t>
            </w:r>
          </w:p>
        </w:tc>
        <w:tc>
          <w:tcPr>
            <w:tcW w:w="2946" w:type="dxa"/>
          </w:tcPr>
          <w:p w14:paraId="65B848B0">
            <w:pPr>
              <w:widowControl w:val="0"/>
              <w:spacing w:line="360" w:lineRule="auto"/>
              <w:jc w:val="center"/>
              <w:rPr>
                <w:rFonts w:ascii="Arial" w:hAnsi="Arial" w:cs="Arial"/>
              </w:rPr>
            </w:pPr>
            <w:r>
              <w:rPr>
                <w:rFonts w:ascii="Arial" w:hAnsi="Arial" w:cs="Arial"/>
              </w:rPr>
              <w:t>-</w:t>
            </w:r>
          </w:p>
        </w:tc>
      </w:tr>
      <w:tr w14:paraId="076A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1" w:type="dxa"/>
          </w:tcPr>
          <w:p w14:paraId="6EEC7320">
            <w:pPr>
              <w:widowControl w:val="0"/>
              <w:spacing w:line="360" w:lineRule="auto"/>
              <w:jc w:val="both"/>
              <w:rPr>
                <w:rFonts w:ascii="Arial" w:hAnsi="Arial" w:cs="Arial"/>
              </w:rPr>
            </w:pPr>
            <w:r>
              <w:rPr>
                <w:rFonts w:ascii="Arial" w:hAnsi="Arial" w:eastAsia="Arial" w:cs="Arial"/>
                <w:shd w:val="clear" w:color="auto" w:fill="FFFFFF"/>
              </w:rPr>
              <w:t>Sterols</w:t>
            </w:r>
          </w:p>
        </w:tc>
        <w:tc>
          <w:tcPr>
            <w:tcW w:w="2946" w:type="dxa"/>
          </w:tcPr>
          <w:p w14:paraId="00097F6D">
            <w:pPr>
              <w:widowControl w:val="0"/>
              <w:spacing w:line="360" w:lineRule="auto"/>
              <w:jc w:val="center"/>
              <w:rPr>
                <w:rFonts w:ascii="Arial" w:hAnsi="Arial" w:cs="Arial"/>
              </w:rPr>
            </w:pPr>
            <w:r>
              <w:rPr>
                <w:rFonts w:ascii="Arial" w:hAnsi="Arial" w:cs="Arial"/>
              </w:rPr>
              <w:t>++</w:t>
            </w:r>
          </w:p>
        </w:tc>
      </w:tr>
    </w:tbl>
    <w:p w14:paraId="629CC747">
      <w:pPr>
        <w:spacing w:line="360" w:lineRule="auto"/>
        <w:jc w:val="both"/>
        <w:rPr>
          <w:rFonts w:hint="default" w:ascii="Arial" w:hAnsi="Arial" w:cs="Arial"/>
          <w:b w:val="0"/>
          <w:bCs w:val="0"/>
          <w:sz w:val="20"/>
          <w:szCs w:val="20"/>
        </w:rPr>
      </w:pPr>
      <w:r>
        <w:rPr>
          <w:rFonts w:hint="default" w:ascii="Arial" w:hAnsi="Arial" w:cs="Arial"/>
          <w:b w:val="0"/>
          <w:bCs w:val="0"/>
          <w:sz w:val="20"/>
          <w:szCs w:val="20"/>
          <w:lang w:val="en-US"/>
        </w:rPr>
        <w:t xml:space="preserve">- = Absence; </w:t>
      </w:r>
      <w:r>
        <w:rPr>
          <w:rStyle w:val="13"/>
          <w:rFonts w:hint="default" w:ascii="Arial" w:hAnsi="Arial" w:eastAsia="Arial" w:cs="Arial"/>
          <w:b w:val="0"/>
          <w:bCs w:val="0"/>
          <w:i w:val="0"/>
          <w:iCs w:val="0"/>
          <w:caps w:val="0"/>
          <w:color w:val="0A0A0A"/>
          <w:spacing w:val="0"/>
          <w:sz w:val="20"/>
          <w:szCs w:val="20"/>
          <w:bdr w:val="none" w:color="auto" w:sz="0" w:space="0"/>
          <w:shd w:val="clear" w:fill="FFFFFF"/>
        </w:rPr>
        <w:t>+</w:t>
      </w:r>
      <w:r>
        <w:rPr>
          <w:rStyle w:val="13"/>
          <w:rFonts w:hint="default" w:ascii="Arial" w:hAnsi="Arial" w:eastAsia="Arial" w:cs="Arial"/>
          <w:b w:val="0"/>
          <w:bCs w:val="0"/>
          <w:i w:val="0"/>
          <w:iCs w:val="0"/>
          <w:caps w:val="0"/>
          <w:color w:val="0A0A0A"/>
          <w:spacing w:val="0"/>
          <w:sz w:val="20"/>
          <w:szCs w:val="20"/>
          <w:bdr w:val="none" w:color="auto" w:sz="0" w:space="0"/>
          <w:shd w:val="clear" w:fill="FFFFFF"/>
          <w:lang w:val="en-US"/>
        </w:rPr>
        <w:t xml:space="preserve"> =</w:t>
      </w:r>
      <w:r>
        <w:rPr>
          <w:rFonts w:hint="default" w:ascii="Arial" w:hAnsi="Arial" w:eastAsia="Arial" w:cs="Arial"/>
          <w:b w:val="0"/>
          <w:bCs w:val="0"/>
          <w:i w:val="0"/>
          <w:iCs w:val="0"/>
          <w:caps w:val="0"/>
          <w:color w:val="0A0A0A"/>
          <w:spacing w:val="0"/>
          <w:sz w:val="20"/>
          <w:szCs w:val="20"/>
          <w:bdr w:val="none" w:color="auto" w:sz="0" w:space="0"/>
          <w:shd w:val="clear" w:fill="FFFFFF"/>
        </w:rPr>
        <w:t> Mild/weak presence</w:t>
      </w:r>
      <w:r>
        <w:rPr>
          <w:rFonts w:hint="default" w:ascii="Arial" w:hAnsi="Arial" w:eastAsia="Arial" w:cs="Arial"/>
          <w:b w:val="0"/>
          <w:bCs w:val="0"/>
          <w:i w:val="0"/>
          <w:iCs w:val="0"/>
          <w:caps w:val="0"/>
          <w:color w:val="0A0A0A"/>
          <w:spacing w:val="0"/>
          <w:sz w:val="20"/>
          <w:szCs w:val="20"/>
          <w:bdr w:val="none" w:color="auto" w:sz="0" w:space="0"/>
          <w:shd w:val="clear" w:fill="FFFFFF"/>
          <w:lang w:val="en-US"/>
        </w:rPr>
        <w:t xml:space="preserve">; </w:t>
      </w:r>
      <w:r>
        <w:rPr>
          <w:rStyle w:val="13"/>
          <w:rFonts w:hint="default" w:ascii="Arial" w:hAnsi="Arial" w:eastAsia="Arial" w:cs="Arial"/>
          <w:b w:val="0"/>
          <w:bCs w:val="0"/>
          <w:i w:val="0"/>
          <w:iCs w:val="0"/>
          <w:caps w:val="0"/>
          <w:color w:val="0A0A0A"/>
          <w:spacing w:val="0"/>
          <w:sz w:val="20"/>
          <w:szCs w:val="20"/>
          <w:bdr w:val="none" w:color="auto" w:sz="0" w:space="0"/>
          <w:shd w:val="clear" w:fill="FFFFFF"/>
        </w:rPr>
        <w:t>++</w:t>
      </w:r>
      <w:r>
        <w:rPr>
          <w:rStyle w:val="13"/>
          <w:rFonts w:hint="default" w:ascii="Arial" w:hAnsi="Arial" w:eastAsia="Arial" w:cs="Arial"/>
          <w:b w:val="0"/>
          <w:bCs w:val="0"/>
          <w:i w:val="0"/>
          <w:iCs w:val="0"/>
          <w:caps w:val="0"/>
          <w:color w:val="0A0A0A"/>
          <w:spacing w:val="0"/>
          <w:sz w:val="20"/>
          <w:szCs w:val="20"/>
          <w:bdr w:val="none" w:color="auto" w:sz="0" w:space="0"/>
          <w:shd w:val="clear" w:fill="FFFFFF"/>
          <w:lang w:val="en-US"/>
        </w:rPr>
        <w:t xml:space="preserve"> =</w:t>
      </w:r>
      <w:r>
        <w:rPr>
          <w:rFonts w:hint="default" w:ascii="Arial" w:hAnsi="Arial" w:eastAsia="Arial" w:cs="Arial"/>
          <w:b w:val="0"/>
          <w:bCs w:val="0"/>
          <w:i w:val="0"/>
          <w:iCs w:val="0"/>
          <w:caps w:val="0"/>
          <w:color w:val="0A0A0A"/>
          <w:spacing w:val="0"/>
          <w:sz w:val="20"/>
          <w:szCs w:val="20"/>
          <w:bdr w:val="none" w:color="auto" w:sz="0" w:space="0"/>
          <w:shd w:val="clear" w:fill="FFFFFF"/>
        </w:rPr>
        <w:t> Moderate presence</w:t>
      </w:r>
      <w:r>
        <w:rPr>
          <w:rFonts w:hint="default" w:ascii="Arial" w:hAnsi="Arial" w:eastAsia="Arial" w:cs="Arial"/>
          <w:b w:val="0"/>
          <w:bCs w:val="0"/>
          <w:i w:val="0"/>
          <w:iCs w:val="0"/>
          <w:caps w:val="0"/>
          <w:color w:val="0A0A0A"/>
          <w:spacing w:val="0"/>
          <w:sz w:val="20"/>
          <w:szCs w:val="20"/>
          <w:bdr w:val="none" w:color="auto" w:sz="0" w:space="0"/>
          <w:shd w:val="clear" w:fill="FFFFFF"/>
          <w:lang w:val="en-US"/>
        </w:rPr>
        <w:t xml:space="preserve">; </w:t>
      </w:r>
      <w:r>
        <w:rPr>
          <w:rStyle w:val="13"/>
          <w:rFonts w:hint="default" w:ascii="Arial" w:hAnsi="Arial" w:eastAsia="Arial" w:cs="Arial"/>
          <w:b w:val="0"/>
          <w:bCs w:val="0"/>
          <w:i w:val="0"/>
          <w:iCs w:val="0"/>
          <w:caps w:val="0"/>
          <w:color w:val="0A0A0A"/>
          <w:spacing w:val="0"/>
          <w:sz w:val="20"/>
          <w:szCs w:val="20"/>
          <w:bdr w:val="none" w:color="auto" w:sz="0" w:space="0"/>
          <w:shd w:val="clear" w:fill="FFFFFF"/>
        </w:rPr>
        <w:t>+++</w:t>
      </w:r>
      <w:r>
        <w:rPr>
          <w:rStyle w:val="13"/>
          <w:rFonts w:hint="default" w:ascii="Arial" w:hAnsi="Arial" w:eastAsia="Arial" w:cs="Arial"/>
          <w:b w:val="0"/>
          <w:bCs w:val="0"/>
          <w:i w:val="0"/>
          <w:iCs w:val="0"/>
          <w:caps w:val="0"/>
          <w:color w:val="0A0A0A"/>
          <w:spacing w:val="0"/>
          <w:sz w:val="20"/>
          <w:szCs w:val="20"/>
          <w:bdr w:val="none" w:color="auto" w:sz="0" w:space="0"/>
          <w:shd w:val="clear" w:fill="FFFFFF"/>
          <w:lang w:val="en-US"/>
        </w:rPr>
        <w:t xml:space="preserve"> =</w:t>
      </w:r>
      <w:r>
        <w:rPr>
          <w:rFonts w:hint="default" w:ascii="Arial" w:hAnsi="Arial" w:eastAsia="Arial" w:cs="Arial"/>
          <w:b w:val="0"/>
          <w:bCs w:val="0"/>
          <w:i w:val="0"/>
          <w:iCs w:val="0"/>
          <w:caps w:val="0"/>
          <w:color w:val="0A0A0A"/>
          <w:spacing w:val="0"/>
          <w:sz w:val="20"/>
          <w:szCs w:val="20"/>
          <w:bdr w:val="none" w:color="auto" w:sz="0" w:space="0"/>
          <w:shd w:val="clear" w:fill="FFFFFF"/>
        </w:rPr>
        <w:t xml:space="preserve"> Strong/maximum presence </w:t>
      </w:r>
    </w:p>
    <w:p w14:paraId="6837CC38">
      <w:pPr>
        <w:spacing w:line="360" w:lineRule="auto"/>
        <w:rPr>
          <w:rFonts w:hint="default" w:ascii="Arial" w:hAnsi="Arial" w:cs="Arial"/>
          <w:lang w:val="en-US"/>
        </w:rPr>
      </w:pPr>
    </w:p>
    <w:p w14:paraId="1F4D57C0">
      <w:pPr>
        <w:spacing w:line="360" w:lineRule="auto"/>
        <w:jc w:val="both"/>
        <w:rPr>
          <w:rFonts w:ascii="Arial" w:hAnsi="Arial" w:eastAsia="SimSun" w:cs="Arial"/>
          <w:shd w:val="clear" w:color="auto" w:fill="FFFFFF"/>
        </w:rPr>
      </w:pPr>
      <w:r>
        <w:rPr>
          <w:rFonts w:ascii="Arial" w:hAnsi="Arial" w:eastAsia="Segoe UI" w:cs="Arial"/>
          <w:spacing w:val="-2"/>
          <w:shd w:val="clear" w:color="auto" w:fill="FFFFFF"/>
        </w:rPr>
        <w:t>The value of food substances is a function of the composition of nutrients in them, that is, their nutritional quality (</w:t>
      </w:r>
      <w:r>
        <w:rPr>
          <w:rFonts w:ascii="Arial" w:hAnsi="Arial" w:eastAsia="SimSun" w:cs="Arial"/>
          <w:shd w:val="clear" w:color="auto" w:fill="FFFFFF"/>
        </w:rPr>
        <w:t xml:space="preserve">Delgado </w:t>
      </w:r>
      <w:r>
        <w:rPr>
          <w:rFonts w:ascii="Arial" w:hAnsi="Arial" w:eastAsia="SimSun" w:cs="Arial"/>
          <w:i/>
          <w:iCs/>
          <w:shd w:val="clear" w:color="auto" w:fill="FFFFFF"/>
          <w:lang w:val="en-US"/>
        </w:rPr>
        <w:t>et al</w:t>
      </w:r>
      <w:r>
        <w:rPr>
          <w:rFonts w:ascii="Arial" w:hAnsi="Arial" w:eastAsia="SimSun" w:cs="Arial"/>
          <w:shd w:val="clear" w:color="auto" w:fill="FFFFFF"/>
        </w:rPr>
        <w:t>., 2021</w:t>
      </w:r>
      <w:r>
        <w:rPr>
          <w:rFonts w:ascii="Arial" w:hAnsi="Arial" w:eastAsia="Segoe UI" w:cs="Arial"/>
          <w:spacing w:val="-2"/>
          <w:shd w:val="clear" w:color="auto" w:fill="FFFFFF"/>
        </w:rPr>
        <w:t>). Proximate analysis is used to quantify the nutrient composition of food substances (</w:t>
      </w:r>
      <w:r>
        <w:rPr>
          <w:rFonts w:ascii="Arial" w:hAnsi="Arial" w:eastAsia="SimSun" w:cs="Arial"/>
          <w:shd w:val="clear" w:color="auto" w:fill="FFFFFF"/>
        </w:rPr>
        <w:t xml:space="preserve">Md Noh </w:t>
      </w:r>
      <w:r>
        <w:rPr>
          <w:rFonts w:ascii="Arial" w:hAnsi="Arial" w:eastAsia="SimSun" w:cs="Arial"/>
          <w:i/>
          <w:iCs/>
          <w:shd w:val="clear" w:color="auto" w:fill="FFFFFF"/>
          <w:lang w:val="en-US"/>
        </w:rPr>
        <w:t>et al</w:t>
      </w:r>
      <w:r>
        <w:rPr>
          <w:rFonts w:ascii="Arial" w:hAnsi="Arial" w:eastAsia="SimSun" w:cs="Arial"/>
          <w:shd w:val="clear" w:color="auto" w:fill="FFFFFF"/>
        </w:rPr>
        <w:t>., 2020)</w:t>
      </w:r>
      <w:r>
        <w:rPr>
          <w:rFonts w:ascii="Arial" w:hAnsi="Arial" w:eastAsia="Segoe UI" w:cs="Arial"/>
          <w:spacing w:val="-2"/>
          <w:shd w:val="clear" w:color="auto" w:fill="FFFFFF"/>
        </w:rPr>
        <w:t>. In this study, t</w:t>
      </w:r>
      <w:r>
        <w:rPr>
          <w:rFonts w:ascii="Arial" w:hAnsi="Arial" w:cs="Arial"/>
        </w:rPr>
        <w:t xml:space="preserve">he percentage concentration of moisture was 8.30% which means 8.30g of water is present in 100g of </w:t>
      </w:r>
      <w:r>
        <w:rPr>
          <w:rFonts w:ascii="Arial" w:hAnsi="Arial" w:eastAsia="SimSun" w:cs="Arial"/>
          <w:i/>
          <w:iCs/>
        </w:rPr>
        <w:t xml:space="preserve">D. guineense </w:t>
      </w:r>
      <w:r>
        <w:rPr>
          <w:rFonts w:ascii="Arial" w:hAnsi="Arial" w:eastAsia="SimSun" w:cs="Arial"/>
        </w:rPr>
        <w:t xml:space="preserve">seed. This moisture content is considered as low when compared with other legumes such as cowpea (10.34%) and </w:t>
      </w:r>
      <w:r>
        <w:rPr>
          <w:rFonts w:ascii="Arial" w:hAnsi="Arial" w:eastAsia="Helvetica" w:cs="Arial"/>
          <w:shd w:val="clear" w:color="auto" w:fill="FFFFFF"/>
        </w:rPr>
        <w:t>velvet bean (</w:t>
      </w:r>
      <w:r>
        <w:rPr>
          <w:rFonts w:ascii="Arial" w:hAnsi="Arial" w:eastAsia="Helvetica" w:cs="Arial"/>
          <w:i/>
          <w:iCs/>
          <w:shd w:val="clear" w:color="auto" w:fill="FFFFFF"/>
        </w:rPr>
        <w:t>Mucuna pruriens)</w:t>
      </w:r>
      <w:r>
        <w:rPr>
          <w:rFonts w:ascii="Arial" w:hAnsi="Arial" w:eastAsia="Helvetica" w:cs="Arial"/>
          <w:shd w:val="clear" w:color="auto" w:fill="FFFFFF"/>
        </w:rPr>
        <w:t xml:space="preserve"> </w:t>
      </w:r>
      <w:r>
        <w:rPr>
          <w:rFonts w:ascii="Arial" w:hAnsi="Arial" w:eastAsia="SimSun" w:cs="Arial"/>
        </w:rPr>
        <w:t>(</w:t>
      </w:r>
      <w:r>
        <w:rPr>
          <w:rFonts w:ascii="Arial" w:hAnsi="Arial" w:eastAsia="Helvetica" w:cs="Arial"/>
          <w:shd w:val="clear" w:color="auto" w:fill="FFFFFF"/>
        </w:rPr>
        <w:t>10.99%)</w:t>
      </w:r>
      <w:r>
        <w:rPr>
          <w:rFonts w:ascii="Arial" w:hAnsi="Arial" w:eastAsia="SimSun" w:cs="Arial"/>
        </w:rPr>
        <w:t xml:space="preserve"> (</w:t>
      </w:r>
      <w:r>
        <w:rPr>
          <w:rFonts w:ascii="Arial" w:hAnsi="Arial" w:eastAsia="SimSun" w:cs="Arial"/>
          <w:shd w:val="clear" w:color="auto" w:fill="FFFFFF"/>
        </w:rPr>
        <w:t xml:space="preserve">Ezegbe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2023; Khan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2025). However, the moisture content of </w:t>
      </w:r>
      <w:r>
        <w:rPr>
          <w:rFonts w:ascii="Arial" w:hAnsi="Arial" w:eastAsia="SimSun" w:cs="Arial"/>
          <w:i/>
          <w:iCs/>
        </w:rPr>
        <w:t xml:space="preserve">D. guineense </w:t>
      </w:r>
      <w:r>
        <w:rPr>
          <w:rFonts w:ascii="Arial" w:hAnsi="Arial" w:eastAsia="SimSun" w:cs="Arial"/>
        </w:rPr>
        <w:t>seed was similar to the moisture content of popular legumes such as brown beans (</w:t>
      </w:r>
      <w:r>
        <w:rPr>
          <w:rStyle w:val="8"/>
          <w:rFonts w:ascii="Arial" w:hAnsi="Arial" w:eastAsia="Arial" w:cs="Arial"/>
          <w:shd w:val="clear" w:color="auto" w:fill="FFFFFF"/>
        </w:rPr>
        <w:t>Phaseolus vulgaris)</w:t>
      </w:r>
      <w:r>
        <w:rPr>
          <w:rFonts w:ascii="Arial" w:hAnsi="Arial" w:eastAsia="SimSun" w:cs="Arial"/>
        </w:rPr>
        <w:t xml:space="preserve"> (8.55%) and black-eyed beans (</w:t>
      </w:r>
      <w:r>
        <w:rPr>
          <w:rFonts w:ascii="Arial" w:hAnsi="Arial" w:eastAsia="Arial" w:cs="Arial"/>
        </w:rPr>
        <w:t xml:space="preserve">Vigna unguiculata) </w:t>
      </w:r>
      <w:r>
        <w:rPr>
          <w:rFonts w:ascii="Arial" w:hAnsi="Arial" w:eastAsia="SimSun" w:cs="Arial"/>
        </w:rPr>
        <w:t>(8.66%) which are locally consumed in Nigeria (</w:t>
      </w:r>
      <w:r>
        <w:rPr>
          <w:rFonts w:ascii="Arial" w:hAnsi="Arial" w:eastAsia="SimSun" w:cs="Arial"/>
          <w:shd w:val="clear" w:color="auto" w:fill="FFFFFF"/>
        </w:rPr>
        <w:t xml:space="preserve">Okechukwu-Ezike </w:t>
      </w:r>
      <w:r>
        <w:rPr>
          <w:rFonts w:ascii="Arial" w:hAnsi="Arial" w:eastAsia="SimSun" w:cs="Arial"/>
          <w:i/>
          <w:iCs/>
          <w:shd w:val="clear" w:color="auto" w:fill="FFFFFF"/>
          <w:lang w:val="en-US"/>
        </w:rPr>
        <w:t>et al</w:t>
      </w:r>
      <w:r>
        <w:rPr>
          <w:rFonts w:ascii="Arial" w:hAnsi="Arial" w:eastAsia="SimSun" w:cs="Arial"/>
          <w:shd w:val="clear" w:color="auto" w:fill="FFFFFF"/>
        </w:rPr>
        <w:t>., 2020).</w:t>
      </w:r>
      <w:r>
        <w:rPr>
          <w:rFonts w:ascii="Arial" w:hAnsi="Arial" w:eastAsia="SimSun" w:cs="Arial"/>
        </w:rPr>
        <w:t xml:space="preserve"> According to </w:t>
      </w:r>
      <w:r>
        <w:rPr>
          <w:rFonts w:ascii="Arial" w:hAnsi="Arial" w:eastAsia="SimSun" w:cs="Arial"/>
          <w:shd w:val="clear" w:color="auto" w:fill="FFFFFF"/>
        </w:rPr>
        <w:t xml:space="preserve">Odeyemi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(2020) and Quadri </w:t>
      </w:r>
      <w:r>
        <w:rPr>
          <w:rFonts w:ascii="Arial" w:hAnsi="Arial" w:eastAsia="SimSun" w:cs="Arial"/>
          <w:i/>
          <w:iCs/>
          <w:shd w:val="clear" w:color="auto" w:fill="FFFFFF"/>
          <w:lang w:val="en-US"/>
        </w:rPr>
        <w:t>et al</w:t>
      </w:r>
      <w:r>
        <w:rPr>
          <w:rFonts w:ascii="Arial" w:hAnsi="Arial" w:eastAsia="SimSun" w:cs="Arial"/>
          <w:shd w:val="clear" w:color="auto" w:fill="FFFFFF"/>
        </w:rPr>
        <w:t>. (2021</w:t>
      </w:r>
      <w:r>
        <w:rPr>
          <w:rFonts w:ascii="Arial" w:hAnsi="Arial" w:eastAsia="SimSun" w:cs="Arial"/>
        </w:rPr>
        <w:t xml:space="preserve">) when the moisture content of a food substance is low moisture (below 15%), the food substance is less prone to microbial spoilage. This implies that </w:t>
      </w:r>
      <w:r>
        <w:rPr>
          <w:rFonts w:ascii="Arial" w:hAnsi="Arial" w:eastAsia="SimSun" w:cs="Arial"/>
          <w:i/>
          <w:iCs/>
        </w:rPr>
        <w:t xml:space="preserve">D. guineense </w:t>
      </w:r>
      <w:r>
        <w:rPr>
          <w:rFonts w:ascii="Arial" w:hAnsi="Arial" w:eastAsia="SimSun" w:cs="Arial"/>
        </w:rPr>
        <w:t>seed powder may have a stable shelf-life. Ash content gives the composition of all the inorganic substances and mineral salts including Calcium, Sodium, Magnesium, Zinc, Potassium and Iron present in food substances (</w:t>
      </w:r>
      <w:r>
        <w:rPr>
          <w:rFonts w:ascii="Arial" w:hAnsi="Arial" w:eastAsia="SimSun" w:cs="Arial"/>
          <w:shd w:val="clear" w:color="auto" w:fill="FFFFFF"/>
        </w:rPr>
        <w:t xml:space="preserve">Quadri </w:t>
      </w:r>
      <w:r>
        <w:rPr>
          <w:rFonts w:ascii="Arial" w:hAnsi="Arial" w:eastAsia="SimSun" w:cs="Arial"/>
          <w:i/>
          <w:iCs/>
          <w:shd w:val="clear" w:color="auto" w:fill="FFFFFF"/>
          <w:lang w:val="en-US"/>
        </w:rPr>
        <w:t>et al</w:t>
      </w:r>
      <w:r>
        <w:rPr>
          <w:rFonts w:ascii="Arial" w:hAnsi="Arial" w:eastAsia="SimSun" w:cs="Arial"/>
          <w:shd w:val="clear" w:color="auto" w:fill="FFFFFF"/>
        </w:rPr>
        <w:t>., 2021</w:t>
      </w:r>
      <w:r>
        <w:rPr>
          <w:rFonts w:ascii="Arial" w:hAnsi="Arial" w:eastAsia="SimSun" w:cs="Arial"/>
        </w:rPr>
        <w:t xml:space="preserve">). The ash content of </w:t>
      </w:r>
      <w:r>
        <w:rPr>
          <w:rFonts w:ascii="Arial" w:hAnsi="Arial" w:eastAsia="SimSun" w:cs="Arial"/>
          <w:i/>
          <w:iCs/>
        </w:rPr>
        <w:t xml:space="preserve">D. guineense </w:t>
      </w:r>
      <w:r>
        <w:rPr>
          <w:rFonts w:ascii="Arial" w:hAnsi="Arial" w:eastAsia="SimSun" w:cs="Arial"/>
        </w:rPr>
        <w:t>seed (</w:t>
      </w:r>
      <w:r>
        <w:rPr>
          <w:rFonts w:ascii="Arial" w:hAnsi="Arial" w:cs="Arial"/>
        </w:rPr>
        <w:t>2.10%)</w:t>
      </w:r>
      <w:r>
        <w:rPr>
          <w:rFonts w:ascii="Arial" w:hAnsi="Arial" w:eastAsia="SimSun" w:cs="Arial"/>
        </w:rPr>
        <w:t xml:space="preserve"> was low when compared to the ash content of other legumes seeds such as </w:t>
      </w:r>
      <w:r>
        <w:rPr>
          <w:rFonts w:ascii="Arial" w:hAnsi="Arial" w:eastAsia="Helvetica" w:cs="Arial"/>
          <w:shd w:val="clear" w:color="auto" w:fill="FFFFFF"/>
        </w:rPr>
        <w:t xml:space="preserve">velvet bean (5.02%), </w:t>
      </w:r>
      <w:r>
        <w:rPr>
          <w:rFonts w:ascii="Arial" w:hAnsi="Arial" w:eastAsia="SimSun" w:cs="Arial"/>
        </w:rPr>
        <w:t>black-eyed beans (3.42%) and Cowpea (5.39%)</w:t>
      </w:r>
      <w:r>
        <w:rPr>
          <w:rFonts w:ascii="Arial" w:hAnsi="Arial" w:eastAsia="Helvetica" w:cs="Arial"/>
          <w:shd w:val="clear" w:color="auto" w:fill="FFFFFF"/>
        </w:rPr>
        <w:t xml:space="preserve"> (</w:t>
      </w:r>
      <w:r>
        <w:rPr>
          <w:rFonts w:ascii="Arial" w:hAnsi="Arial" w:eastAsia="SimSun" w:cs="Arial"/>
          <w:shd w:val="clear" w:color="auto" w:fill="FFFFFF"/>
        </w:rPr>
        <w:t xml:space="preserve">Khan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2025). Crude fiber estimates the composition of fiber in food substance accounting mostly for cellulose and a fraction of lignin (Serna Saldívar and Hernández, 2020). The crude fiber content of </w:t>
      </w:r>
      <w:r>
        <w:rPr>
          <w:rFonts w:ascii="Arial" w:hAnsi="Arial" w:eastAsia="SimSun" w:cs="Arial"/>
          <w:i/>
          <w:iCs/>
        </w:rPr>
        <w:t xml:space="preserve">D. guineense </w:t>
      </w:r>
      <w:r>
        <w:rPr>
          <w:rFonts w:ascii="Arial" w:hAnsi="Arial" w:eastAsia="SimSun" w:cs="Arial"/>
        </w:rPr>
        <w:t>seed (</w:t>
      </w:r>
      <w:r>
        <w:rPr>
          <w:rFonts w:ascii="Arial" w:hAnsi="Arial" w:cs="Arial"/>
        </w:rPr>
        <w:t xml:space="preserve">6.72%), was low when compared with other locally consumed legumes like </w:t>
      </w:r>
      <w:r>
        <w:rPr>
          <w:rFonts w:ascii="Arial" w:hAnsi="Arial" w:eastAsia="Helvetica" w:cs="Arial"/>
          <w:shd w:val="clear" w:color="auto" w:fill="FFFFFF"/>
        </w:rPr>
        <w:t xml:space="preserve">velvet bean (12.76%), </w:t>
      </w:r>
      <w:r>
        <w:rPr>
          <w:rFonts w:ascii="Arial" w:hAnsi="Arial" w:eastAsia="SimSun" w:cs="Arial"/>
        </w:rPr>
        <w:t>black-eyed beans (15.25%) and Cowpea (16.03%)</w:t>
      </w:r>
      <w:r>
        <w:rPr>
          <w:rFonts w:ascii="Arial" w:hAnsi="Arial" w:eastAsia="Helvetica" w:cs="Arial"/>
          <w:shd w:val="clear" w:color="auto" w:fill="FFFFFF"/>
        </w:rPr>
        <w:t xml:space="preserve"> (</w:t>
      </w:r>
      <w:r>
        <w:rPr>
          <w:rFonts w:ascii="Arial" w:hAnsi="Arial" w:eastAsia="SimSun" w:cs="Arial"/>
          <w:shd w:val="clear" w:color="auto" w:fill="FFFFFF"/>
        </w:rPr>
        <w:t xml:space="preserve">Khan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2025). On the other hand, </w:t>
      </w:r>
      <w:r>
        <w:rPr>
          <w:rFonts w:ascii="Arial" w:hAnsi="Arial" w:eastAsia="SimSun" w:cs="Arial"/>
          <w:i/>
          <w:iCs/>
        </w:rPr>
        <w:t xml:space="preserve">D. guineense </w:t>
      </w:r>
      <w:r>
        <w:rPr>
          <w:rFonts w:ascii="Arial" w:hAnsi="Arial" w:eastAsia="SimSun" w:cs="Arial"/>
        </w:rPr>
        <w:t xml:space="preserve">seeds had more </w:t>
      </w:r>
      <w:r>
        <w:rPr>
          <w:rFonts w:ascii="Arial" w:hAnsi="Arial" w:eastAsia="SimSun" w:cs="Arial"/>
          <w:shd w:val="clear" w:color="auto" w:fill="FFFFFF"/>
        </w:rPr>
        <w:t>crude fiber than locally consumed grains like soybeans (</w:t>
      </w:r>
      <w:r>
        <w:rPr>
          <w:rFonts w:ascii="Arial" w:hAnsi="Arial" w:eastAsia="SimSun" w:cs="Arial"/>
        </w:rPr>
        <w:t>5.44%) and maize (5.47%) (</w:t>
      </w:r>
      <w:r>
        <w:rPr>
          <w:rFonts w:ascii="Arial" w:hAnsi="Arial" w:eastAsia="SimSun" w:cs="Arial"/>
          <w:shd w:val="clear" w:color="auto" w:fill="FFFFFF"/>
        </w:rPr>
        <w:t xml:space="preserve">Etiosa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2017; Chauhan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2020). Crude protein measures the total protein composition of the food substance (Ganogpichayagra and Suksaard, 2020). The crude protein content of </w:t>
      </w:r>
      <w:r>
        <w:rPr>
          <w:rFonts w:ascii="Arial" w:hAnsi="Arial" w:eastAsia="SimSun" w:cs="Arial"/>
          <w:i/>
          <w:iCs/>
        </w:rPr>
        <w:t xml:space="preserve">D. guineense </w:t>
      </w:r>
      <w:r>
        <w:rPr>
          <w:rFonts w:ascii="Arial" w:hAnsi="Arial" w:eastAsia="SimSun" w:cs="Arial"/>
        </w:rPr>
        <w:t>seeds (</w:t>
      </w:r>
      <w:r>
        <w:rPr>
          <w:rFonts w:ascii="Arial" w:hAnsi="Arial" w:cs="Arial"/>
        </w:rPr>
        <w:t>18.40%)</w:t>
      </w:r>
      <w:r>
        <w:rPr>
          <w:rFonts w:ascii="Arial" w:hAnsi="Arial" w:eastAsia="SimSun" w:cs="Arial"/>
        </w:rPr>
        <w:t xml:space="preserve"> was lower when compared with the crude protein content of soybeans (37.69%), </w:t>
      </w:r>
      <w:r>
        <w:rPr>
          <w:rFonts w:ascii="Arial" w:hAnsi="Arial" w:eastAsia="Helvetica" w:cs="Arial"/>
          <w:shd w:val="clear" w:color="auto" w:fill="FFFFFF"/>
        </w:rPr>
        <w:t>velvet bean (</w:t>
      </w:r>
      <w:r>
        <w:rPr>
          <w:rFonts w:ascii="Arial" w:hAnsi="Arial" w:eastAsia="SimSun" w:cs="Arial"/>
          <w:shd w:val="clear" w:color="auto" w:fill="FFFFFF"/>
        </w:rPr>
        <w:t>22.80</w:t>
      </w:r>
      <w:r>
        <w:rPr>
          <w:rFonts w:ascii="Arial" w:hAnsi="Arial" w:eastAsia="Helvetica" w:cs="Arial"/>
          <w:shd w:val="clear" w:color="auto" w:fill="FFFFFF"/>
        </w:rPr>
        <w:t xml:space="preserve">%), </w:t>
      </w:r>
      <w:r>
        <w:rPr>
          <w:rFonts w:ascii="Arial" w:hAnsi="Arial" w:eastAsia="SimSun" w:cs="Arial"/>
        </w:rPr>
        <w:t>black-eyed beans (</w:t>
      </w:r>
      <w:r>
        <w:rPr>
          <w:rFonts w:ascii="Arial" w:hAnsi="Arial" w:eastAsia="SimSun" w:cs="Arial"/>
          <w:shd w:val="clear" w:color="auto" w:fill="FFFFFF"/>
        </w:rPr>
        <w:t>19.29</w:t>
      </w:r>
      <w:r>
        <w:rPr>
          <w:rFonts w:ascii="Arial" w:hAnsi="Arial" w:eastAsia="SimSun" w:cs="Arial"/>
        </w:rPr>
        <w:t>%) and Cowpea (</w:t>
      </w:r>
      <w:r>
        <w:rPr>
          <w:rFonts w:ascii="Arial" w:hAnsi="Arial" w:eastAsia="SimSun" w:cs="Arial"/>
          <w:shd w:val="clear" w:color="auto" w:fill="FFFFFF"/>
        </w:rPr>
        <w:t>23.87</w:t>
      </w:r>
      <w:r>
        <w:rPr>
          <w:rFonts w:ascii="Arial" w:hAnsi="Arial" w:eastAsia="SimSun" w:cs="Arial"/>
        </w:rPr>
        <w:t>%)</w:t>
      </w:r>
      <w:r>
        <w:rPr>
          <w:rFonts w:ascii="Arial" w:hAnsi="Arial" w:eastAsia="Helvetica" w:cs="Arial"/>
          <w:shd w:val="clear" w:color="auto" w:fill="FFFFFF"/>
        </w:rPr>
        <w:t xml:space="preserve"> (</w:t>
      </w:r>
      <w:r>
        <w:rPr>
          <w:rFonts w:ascii="Arial" w:hAnsi="Arial" w:eastAsia="SimSun" w:cs="Arial"/>
          <w:shd w:val="clear" w:color="auto" w:fill="FFFFFF"/>
        </w:rPr>
        <w:t xml:space="preserve">Khan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2025). However, the crude protein content of </w:t>
      </w:r>
      <w:r>
        <w:rPr>
          <w:rFonts w:ascii="Arial" w:hAnsi="Arial" w:eastAsia="SimSun" w:cs="Arial"/>
          <w:i/>
          <w:iCs/>
        </w:rPr>
        <w:t xml:space="preserve">D. guineense </w:t>
      </w:r>
      <w:r>
        <w:rPr>
          <w:rFonts w:ascii="Arial" w:hAnsi="Arial" w:eastAsia="SimSun" w:cs="Arial"/>
        </w:rPr>
        <w:t>seeds was higher when compared with maize (</w:t>
      </w:r>
      <w:r>
        <w:rPr>
          <w:rFonts w:ascii="Arial" w:hAnsi="Arial" w:eastAsia="SimSun" w:cs="Arial"/>
          <w:shd w:val="clear" w:color="auto" w:fill="FFFFFF"/>
        </w:rPr>
        <w:t xml:space="preserve">7.86%). Crude fat measures the fat soluble substances such as triglycerides, fat soluble vitamins, phospholipids, and fatty acids in food materials (Hait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2023). 2.6g of fat is present in 100g of </w:t>
      </w:r>
      <w:r>
        <w:rPr>
          <w:rFonts w:ascii="Arial" w:hAnsi="Arial" w:eastAsia="SimSun" w:cs="Arial"/>
          <w:i/>
          <w:iCs/>
        </w:rPr>
        <w:t xml:space="preserve">D. guineense </w:t>
      </w:r>
      <w:r>
        <w:rPr>
          <w:rFonts w:ascii="Arial" w:hAnsi="Arial" w:eastAsia="SimSun" w:cs="Arial"/>
        </w:rPr>
        <w:t xml:space="preserve">seed powder which is higher than the fat content of legumes such as </w:t>
      </w:r>
      <w:r>
        <w:rPr>
          <w:rFonts w:ascii="Arial" w:hAnsi="Arial" w:eastAsia="Helvetica" w:cs="Arial"/>
          <w:shd w:val="clear" w:color="auto" w:fill="FFFFFF"/>
        </w:rPr>
        <w:t>velvet bean (</w:t>
      </w:r>
      <w:r>
        <w:rPr>
          <w:rFonts w:ascii="Arial" w:hAnsi="Arial" w:eastAsia="SimSun" w:cs="Arial"/>
          <w:shd w:val="clear" w:color="auto" w:fill="FFFFFF"/>
        </w:rPr>
        <w:t>1.35</w:t>
      </w:r>
      <w:r>
        <w:rPr>
          <w:rFonts w:ascii="Arial" w:hAnsi="Arial" w:eastAsia="Helvetica" w:cs="Arial"/>
          <w:shd w:val="clear" w:color="auto" w:fill="FFFFFF"/>
        </w:rPr>
        <w:t xml:space="preserve">%), </w:t>
      </w:r>
      <w:r>
        <w:rPr>
          <w:rFonts w:ascii="Arial" w:hAnsi="Arial" w:eastAsia="SimSun" w:cs="Arial"/>
        </w:rPr>
        <w:t>black-eyed beans (</w:t>
      </w:r>
      <w:r>
        <w:rPr>
          <w:rFonts w:ascii="Arial" w:hAnsi="Arial" w:eastAsia="SimSun" w:cs="Arial"/>
          <w:shd w:val="clear" w:color="auto" w:fill="FFFFFF"/>
        </w:rPr>
        <w:t>0.86</w:t>
      </w:r>
      <w:r>
        <w:rPr>
          <w:rFonts w:ascii="Arial" w:hAnsi="Arial" w:eastAsia="SimSun" w:cs="Arial"/>
        </w:rPr>
        <w:t>%), and Cowpea (</w:t>
      </w:r>
      <w:r>
        <w:rPr>
          <w:rFonts w:ascii="Arial" w:hAnsi="Arial" w:eastAsia="SimSun" w:cs="Arial"/>
          <w:shd w:val="clear" w:color="auto" w:fill="FFFFFF"/>
        </w:rPr>
        <w:t>1.65</w:t>
      </w:r>
      <w:r>
        <w:rPr>
          <w:rFonts w:ascii="Arial" w:hAnsi="Arial" w:eastAsia="SimSun" w:cs="Arial"/>
        </w:rPr>
        <w:t>%)</w:t>
      </w:r>
      <w:r>
        <w:rPr>
          <w:rFonts w:ascii="Arial" w:hAnsi="Arial" w:eastAsia="Helvetica" w:cs="Arial"/>
          <w:shd w:val="clear" w:color="auto" w:fill="FFFFFF"/>
        </w:rPr>
        <w:t xml:space="preserve"> (</w:t>
      </w:r>
      <w:r>
        <w:rPr>
          <w:rFonts w:ascii="Arial" w:hAnsi="Arial" w:eastAsia="SimSun" w:cs="Arial"/>
          <w:shd w:val="clear" w:color="auto" w:fill="FFFFFF"/>
        </w:rPr>
        <w:t xml:space="preserve">Khan </w:t>
      </w:r>
      <w:r>
        <w:rPr>
          <w:rFonts w:ascii="Arial" w:hAnsi="Arial" w:eastAsia="SimSun" w:cs="Arial"/>
          <w:i/>
          <w:iCs/>
          <w:shd w:val="clear" w:color="auto" w:fill="FFFFFF"/>
          <w:lang w:val="en-US"/>
        </w:rPr>
        <w:t>et al</w:t>
      </w:r>
      <w:r>
        <w:rPr>
          <w:rFonts w:ascii="Arial" w:hAnsi="Arial" w:eastAsia="SimSun" w:cs="Arial"/>
          <w:shd w:val="clear" w:color="auto" w:fill="FFFFFF"/>
        </w:rPr>
        <w:t>., 2025)</w:t>
      </w:r>
      <w:r>
        <w:rPr>
          <w:rFonts w:ascii="Arial" w:hAnsi="Arial" w:eastAsia="SimSun" w:cs="Arial"/>
        </w:rPr>
        <w:t>. The recommended daily allowance (RDA) of carbohydrate for adults is 130g per day (</w:t>
      </w:r>
      <w:r>
        <w:rPr>
          <w:rFonts w:ascii="Arial" w:hAnsi="Arial" w:eastAsia="SimSun" w:cs="Arial"/>
          <w:shd w:val="clear" w:color="auto" w:fill="FFFFFF"/>
        </w:rPr>
        <w:t>Li, 2022)</w:t>
      </w:r>
      <w:r>
        <w:rPr>
          <w:rFonts w:ascii="Arial" w:hAnsi="Arial" w:eastAsia="SimSun" w:cs="Arial"/>
        </w:rPr>
        <w:t>. 61.88g</w:t>
      </w:r>
      <w:r>
        <w:rPr>
          <w:rFonts w:ascii="Arial" w:hAnsi="Arial" w:eastAsia="SimSun" w:cs="Arial"/>
          <w:shd w:val="clear" w:color="auto" w:fill="FFFFFF"/>
        </w:rPr>
        <w:t xml:space="preserve"> of carbohydrate is present in 100g of </w:t>
      </w:r>
      <w:r>
        <w:rPr>
          <w:rFonts w:ascii="Arial" w:hAnsi="Arial" w:eastAsia="SimSun" w:cs="Arial"/>
          <w:i/>
          <w:iCs/>
        </w:rPr>
        <w:t xml:space="preserve">D. guineense </w:t>
      </w:r>
      <w:r>
        <w:rPr>
          <w:rFonts w:ascii="Arial" w:hAnsi="Arial" w:eastAsia="SimSun" w:cs="Arial"/>
        </w:rPr>
        <w:t xml:space="preserve">seed powder. This means that 100g of </w:t>
      </w:r>
      <w:r>
        <w:rPr>
          <w:rFonts w:ascii="Arial" w:hAnsi="Arial" w:eastAsia="SimSun" w:cs="Arial"/>
          <w:i/>
          <w:iCs/>
        </w:rPr>
        <w:t xml:space="preserve">D. guineense </w:t>
      </w:r>
      <w:r>
        <w:rPr>
          <w:rFonts w:ascii="Arial" w:hAnsi="Arial" w:eastAsia="SimSun" w:cs="Arial"/>
        </w:rPr>
        <w:t xml:space="preserve">seed powder can provide almost half of the RDA of carbohydrate for adults. The carbohydrate content of </w:t>
      </w:r>
      <w:r>
        <w:rPr>
          <w:rFonts w:ascii="Arial" w:hAnsi="Arial" w:eastAsia="SimSun" w:cs="Arial"/>
          <w:i/>
          <w:iCs/>
        </w:rPr>
        <w:t xml:space="preserve">D. guineense </w:t>
      </w:r>
      <w:r>
        <w:rPr>
          <w:rFonts w:ascii="Arial" w:hAnsi="Arial" w:eastAsia="SimSun" w:cs="Arial"/>
        </w:rPr>
        <w:t>seed (</w:t>
      </w:r>
      <w:r>
        <w:rPr>
          <w:rFonts w:ascii="Arial" w:hAnsi="Arial" w:cs="Arial"/>
        </w:rPr>
        <w:t>61.88%) was higher than the carbohydrate content of soybeans (</w:t>
      </w:r>
      <w:r>
        <w:rPr>
          <w:rFonts w:ascii="Arial" w:hAnsi="Arial" w:eastAsia="SimSun" w:cs="Arial"/>
        </w:rPr>
        <w:t xml:space="preserve">16.31%), </w:t>
      </w:r>
      <w:r>
        <w:rPr>
          <w:rFonts w:ascii="Arial" w:hAnsi="Arial" w:eastAsia="Helvetica" w:cs="Arial"/>
          <w:shd w:val="clear" w:color="auto" w:fill="FFFFFF"/>
        </w:rPr>
        <w:t>velvet bean (</w:t>
      </w:r>
      <w:r>
        <w:rPr>
          <w:rFonts w:ascii="Arial" w:hAnsi="Arial" w:eastAsia="SimSun" w:cs="Arial"/>
          <w:shd w:val="clear" w:color="auto" w:fill="FFFFFF"/>
        </w:rPr>
        <w:t>49.72</w:t>
      </w:r>
      <w:r>
        <w:rPr>
          <w:rFonts w:ascii="Arial" w:hAnsi="Arial" w:eastAsia="Helvetica" w:cs="Arial"/>
          <w:shd w:val="clear" w:color="auto" w:fill="FFFFFF"/>
        </w:rPr>
        <w:t xml:space="preserve">%), </w:t>
      </w:r>
      <w:r>
        <w:rPr>
          <w:rFonts w:ascii="Arial" w:hAnsi="Arial" w:eastAsia="SimSun" w:cs="Arial"/>
        </w:rPr>
        <w:t>black-eyed beans (</w:t>
      </w:r>
      <w:r>
        <w:rPr>
          <w:rFonts w:ascii="Arial" w:hAnsi="Arial" w:eastAsia="SimSun" w:cs="Arial"/>
          <w:shd w:val="clear" w:color="auto" w:fill="FFFFFF"/>
        </w:rPr>
        <w:t>54.51</w:t>
      </w:r>
      <w:r>
        <w:rPr>
          <w:rFonts w:ascii="Arial" w:hAnsi="Arial" w:eastAsia="SimSun" w:cs="Arial"/>
        </w:rPr>
        <w:t>%) and Cowpea (</w:t>
      </w:r>
      <w:r>
        <w:rPr>
          <w:rFonts w:ascii="Arial" w:hAnsi="Arial" w:eastAsia="SimSun" w:cs="Arial"/>
          <w:shd w:val="clear" w:color="auto" w:fill="FFFFFF"/>
        </w:rPr>
        <w:t>45.53</w:t>
      </w:r>
      <w:r>
        <w:rPr>
          <w:rFonts w:ascii="Arial" w:hAnsi="Arial" w:eastAsia="SimSun" w:cs="Arial"/>
        </w:rPr>
        <w:t>%)</w:t>
      </w:r>
      <w:r>
        <w:rPr>
          <w:rFonts w:ascii="Arial" w:hAnsi="Arial" w:eastAsia="Helvetica" w:cs="Arial"/>
          <w:shd w:val="clear" w:color="auto" w:fill="FFFFFF"/>
        </w:rPr>
        <w:t xml:space="preserve"> (</w:t>
      </w:r>
      <w:r>
        <w:rPr>
          <w:rFonts w:ascii="Arial" w:hAnsi="Arial" w:eastAsia="SimSun" w:cs="Arial"/>
          <w:shd w:val="clear" w:color="auto" w:fill="FFFFFF"/>
        </w:rPr>
        <w:t xml:space="preserve">Khan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2025). The seed of </w:t>
      </w:r>
      <w:r>
        <w:rPr>
          <w:rFonts w:ascii="Arial" w:hAnsi="Arial" w:eastAsia="SimSun" w:cs="Arial"/>
          <w:i/>
          <w:iCs/>
        </w:rPr>
        <w:t xml:space="preserve">D. guineense </w:t>
      </w:r>
      <w:r>
        <w:rPr>
          <w:rFonts w:ascii="Arial" w:hAnsi="Arial" w:eastAsia="SimSun" w:cs="Arial"/>
        </w:rPr>
        <w:t>provides more energy (</w:t>
      </w:r>
      <w:r>
        <w:rPr>
          <w:rFonts w:ascii="Arial" w:hAnsi="Arial" w:cs="Arial"/>
        </w:rPr>
        <w:t xml:space="preserve">344.52 Kcal/ 100g) </w:t>
      </w:r>
      <w:r>
        <w:rPr>
          <w:rFonts w:ascii="Arial" w:hAnsi="Arial" w:eastAsia="SimSun" w:cs="Arial"/>
        </w:rPr>
        <w:t>when compared with other legumes</w:t>
      </w:r>
      <w:r>
        <w:rPr>
          <w:rFonts w:ascii="Arial" w:hAnsi="Arial" w:eastAsia="SimSun" w:cs="Arial"/>
          <w:i/>
          <w:iCs/>
        </w:rPr>
        <w:t xml:space="preserve"> </w:t>
      </w:r>
      <w:r>
        <w:rPr>
          <w:rFonts w:ascii="Arial" w:hAnsi="Arial" w:eastAsia="SimSun" w:cs="Arial"/>
          <w:iCs/>
        </w:rPr>
        <w:t>like</w:t>
      </w:r>
      <w:r>
        <w:rPr>
          <w:rFonts w:ascii="Arial" w:hAnsi="Arial" w:eastAsia="SimSun" w:cs="Arial"/>
          <w:iCs/>
          <w:color w:val="FF0000"/>
        </w:rPr>
        <w:t xml:space="preserve"> </w:t>
      </w:r>
      <w:r>
        <w:rPr>
          <w:rFonts w:ascii="Arial" w:hAnsi="Arial" w:eastAsia="Helvetica" w:cs="Arial"/>
          <w:shd w:val="clear" w:color="auto" w:fill="FFFFFF"/>
        </w:rPr>
        <w:t>velvet bean (</w:t>
      </w:r>
      <w:r>
        <w:rPr>
          <w:rFonts w:ascii="Arial" w:hAnsi="Arial" w:eastAsia="SimSun" w:cs="Arial"/>
          <w:shd w:val="clear" w:color="auto" w:fill="FFFFFF"/>
        </w:rPr>
        <w:t>287.36</w:t>
      </w:r>
      <w:r>
        <w:rPr>
          <w:rFonts w:ascii="Arial" w:hAnsi="Arial" w:cs="Arial"/>
        </w:rPr>
        <w:t>Kcal/ 100g</w:t>
      </w:r>
      <w:r>
        <w:rPr>
          <w:rFonts w:ascii="Arial" w:hAnsi="Arial" w:eastAsia="Helvetica" w:cs="Arial"/>
          <w:shd w:val="clear" w:color="auto" w:fill="FFFFFF"/>
        </w:rPr>
        <w:t xml:space="preserve">), </w:t>
      </w:r>
      <w:r>
        <w:rPr>
          <w:rFonts w:ascii="Arial" w:hAnsi="Arial" w:eastAsia="SimSun" w:cs="Arial"/>
        </w:rPr>
        <w:t>black-eyed beans (</w:t>
      </w:r>
      <w:r>
        <w:rPr>
          <w:rFonts w:ascii="Arial" w:hAnsi="Arial" w:eastAsia="SimSun" w:cs="Arial"/>
          <w:shd w:val="clear" w:color="auto" w:fill="FFFFFF"/>
        </w:rPr>
        <w:t>286.67</w:t>
      </w:r>
      <w:r>
        <w:rPr>
          <w:rFonts w:ascii="Arial" w:hAnsi="Arial" w:cs="Arial"/>
        </w:rPr>
        <w:t>Kcal/ 100g</w:t>
      </w:r>
      <w:r>
        <w:rPr>
          <w:rFonts w:ascii="Arial" w:hAnsi="Arial" w:eastAsia="SimSun" w:cs="Arial"/>
        </w:rPr>
        <w:t>)</w:t>
      </w:r>
      <w:r>
        <w:rPr>
          <w:rFonts w:ascii="Arial" w:hAnsi="Arial" w:eastAsia="SimSun" w:cs="Arial"/>
          <w:color w:val="FF0000"/>
        </w:rPr>
        <w:t>,</w:t>
      </w:r>
      <w:r>
        <w:rPr>
          <w:rFonts w:ascii="Arial" w:hAnsi="Arial" w:eastAsia="SimSun" w:cs="Arial"/>
        </w:rPr>
        <w:t xml:space="preserve"> and Cowpea (</w:t>
      </w:r>
      <w:r>
        <w:rPr>
          <w:rFonts w:ascii="Arial" w:hAnsi="Arial" w:eastAsia="SimSun" w:cs="Arial"/>
          <w:shd w:val="clear" w:color="auto" w:fill="FFFFFF"/>
        </w:rPr>
        <w:t>278.88</w:t>
      </w:r>
      <w:r>
        <w:rPr>
          <w:rFonts w:ascii="Arial" w:hAnsi="Arial" w:cs="Arial"/>
        </w:rPr>
        <w:t>Kcal/ 100g</w:t>
      </w:r>
      <w:r>
        <w:rPr>
          <w:rFonts w:ascii="Arial" w:hAnsi="Arial" w:eastAsia="SimSun" w:cs="Arial"/>
        </w:rPr>
        <w:t>)</w:t>
      </w:r>
      <w:r>
        <w:rPr>
          <w:rFonts w:ascii="Arial" w:hAnsi="Arial" w:eastAsia="Helvetica" w:cs="Arial"/>
          <w:shd w:val="clear" w:color="auto" w:fill="FFFFFF"/>
        </w:rPr>
        <w:t xml:space="preserve"> (</w:t>
      </w:r>
      <w:r>
        <w:rPr>
          <w:rFonts w:ascii="Arial" w:hAnsi="Arial" w:eastAsia="SimSun" w:cs="Arial"/>
          <w:shd w:val="clear" w:color="auto" w:fill="FFFFFF"/>
        </w:rPr>
        <w:t xml:space="preserve">Khan </w:t>
      </w:r>
      <w:r>
        <w:rPr>
          <w:rFonts w:ascii="Arial" w:hAnsi="Arial" w:eastAsia="SimSun" w:cs="Arial"/>
          <w:i/>
          <w:iCs/>
          <w:shd w:val="clear" w:color="auto" w:fill="FFFFFF"/>
          <w:lang w:val="en-US"/>
        </w:rPr>
        <w:t>et al</w:t>
      </w:r>
      <w:r>
        <w:rPr>
          <w:rFonts w:ascii="Arial" w:hAnsi="Arial" w:eastAsia="SimSun" w:cs="Arial"/>
          <w:shd w:val="clear" w:color="auto" w:fill="FFFFFF"/>
        </w:rPr>
        <w:t>., 2025). This may be because it contains higher amount of carbohydrate and fat when compared with other legumes.</w:t>
      </w:r>
    </w:p>
    <w:p w14:paraId="752C1DE3">
      <w:pPr>
        <w:spacing w:line="360" w:lineRule="auto"/>
        <w:jc w:val="both"/>
        <w:rPr>
          <w:rFonts w:ascii="Arial" w:hAnsi="Arial" w:eastAsia="SimSun" w:cs="Arial"/>
          <w:shd w:val="clear" w:color="auto" w:fill="FFFFFF"/>
        </w:rPr>
      </w:pPr>
    </w:p>
    <w:p w14:paraId="3883960F">
      <w:pPr>
        <w:spacing w:line="360" w:lineRule="auto"/>
        <w:jc w:val="both"/>
        <w:rPr>
          <w:rFonts w:ascii="Arial" w:hAnsi="Arial" w:eastAsia="Arial" w:cs="Arial"/>
          <w:shd w:val="clear" w:color="auto" w:fill="FFFFFF"/>
        </w:rPr>
      </w:pPr>
      <w:r>
        <w:rPr>
          <w:rFonts w:ascii="Arial" w:hAnsi="Arial" w:eastAsia="SimSun" w:cs="Arial"/>
          <w:shd w:val="clear" w:color="auto" w:fill="FFFFFF"/>
        </w:rPr>
        <w:t xml:space="preserve">Nutritional analysis of plant seeds to evaluate their macronutrient content is essential, however seeds from legumes, pulses, herbal plants and cereals contain other components like bioactive substances which have been receiving attentions recently for their therapeutic abilities (Samtiya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2021). </w:t>
      </w:r>
      <w:r>
        <w:rPr>
          <w:rFonts w:ascii="Arial" w:hAnsi="Arial" w:eastAsia="Georgia" w:cs="Arial"/>
        </w:rPr>
        <w:t>Phytochemicals and bioactive peptides have been identified as part of the bioactive substances found in plant seeds (</w:t>
      </w:r>
      <w:r>
        <w:rPr>
          <w:rFonts w:ascii="Arial" w:hAnsi="Arial" w:eastAsia="SimSun" w:cs="Arial"/>
          <w:shd w:val="clear" w:color="auto" w:fill="FFFFFF"/>
        </w:rPr>
        <w:t xml:space="preserve">Samtiya </w:t>
      </w:r>
      <w:r>
        <w:rPr>
          <w:rFonts w:ascii="Arial" w:hAnsi="Arial" w:eastAsia="SimSun" w:cs="Arial"/>
          <w:i/>
          <w:iCs/>
          <w:shd w:val="clear" w:color="auto" w:fill="FFFFFF"/>
          <w:lang w:val="en-US"/>
        </w:rPr>
        <w:t>et al</w:t>
      </w:r>
      <w:r>
        <w:rPr>
          <w:rFonts w:ascii="Arial" w:hAnsi="Arial" w:eastAsia="SimSun" w:cs="Arial"/>
          <w:shd w:val="clear" w:color="auto" w:fill="FFFFFF"/>
        </w:rPr>
        <w:t>., 2021</w:t>
      </w:r>
      <w:r>
        <w:rPr>
          <w:rFonts w:ascii="Arial" w:hAnsi="Arial" w:eastAsia="Georgia" w:cs="Arial"/>
        </w:rPr>
        <w:t xml:space="preserve">). The presence of phytochemicals including </w:t>
      </w:r>
      <w:r>
        <w:rPr>
          <w:rFonts w:ascii="Arial" w:hAnsi="Arial" w:cs="Arial"/>
        </w:rPr>
        <w:t>Alkaloids, Tannin, Saponins, Cardiac glycosides, flavonoid</w:t>
      </w:r>
      <w:r>
        <w:rPr>
          <w:rFonts w:ascii="Arial" w:hAnsi="Arial" w:cs="Arial"/>
          <w:color w:val="FF0000"/>
        </w:rPr>
        <w:t>,</w:t>
      </w:r>
      <w:r>
        <w:rPr>
          <w:rFonts w:ascii="Arial" w:hAnsi="Arial" w:cs="Arial"/>
        </w:rPr>
        <w:t xml:space="preserve"> and </w:t>
      </w:r>
      <w:r>
        <w:rPr>
          <w:rFonts w:ascii="Arial" w:hAnsi="Arial" w:eastAsia="Arial" w:cs="Arial"/>
          <w:shd w:val="clear" w:color="auto" w:fill="FFFFFF"/>
        </w:rPr>
        <w:t>sterols</w:t>
      </w:r>
      <w:r>
        <w:rPr>
          <w:rFonts w:ascii="Arial" w:hAnsi="Arial" w:cs="Arial"/>
        </w:rPr>
        <w:t xml:space="preserve"> were detected in </w:t>
      </w:r>
      <w:r>
        <w:rPr>
          <w:rFonts w:ascii="Arial" w:hAnsi="Arial" w:eastAsia="SimSun" w:cs="Arial"/>
          <w:i/>
          <w:iCs/>
        </w:rPr>
        <w:t xml:space="preserve">D. guineense </w:t>
      </w:r>
      <w:r>
        <w:rPr>
          <w:rFonts w:ascii="Arial" w:hAnsi="Arial" w:eastAsia="SimSun" w:cs="Arial"/>
        </w:rPr>
        <w:t>ethanol seed extract. Dietary consumption of these phytochemicals positively correlates with specific therapeutic response (</w:t>
      </w:r>
      <w:r>
        <w:rPr>
          <w:rFonts w:ascii="Arial" w:hAnsi="Arial" w:eastAsia="SimSun" w:cs="Arial"/>
          <w:shd w:val="clear" w:color="auto" w:fill="FFFFFF"/>
        </w:rPr>
        <w:t xml:space="preserve">Rodríguez-Negrete </w:t>
      </w:r>
      <w:r>
        <w:rPr>
          <w:rFonts w:ascii="Arial" w:hAnsi="Arial" w:eastAsia="SimSun" w:cs="Arial"/>
          <w:i/>
          <w:iCs/>
          <w:shd w:val="clear" w:color="auto" w:fill="FFFFFF"/>
          <w:lang w:val="en-US"/>
        </w:rPr>
        <w:t>et a</w:t>
      </w:r>
      <w:r>
        <w:rPr>
          <w:rFonts w:ascii="Arial" w:hAnsi="Arial" w:eastAsia="SimSun" w:cs="Arial"/>
          <w:shd w:val="clear" w:color="auto" w:fill="FFFFFF"/>
          <w:lang w:val="en-US"/>
        </w:rPr>
        <w:t>l</w:t>
      </w:r>
      <w:r>
        <w:rPr>
          <w:rFonts w:ascii="Arial" w:hAnsi="Arial" w:eastAsia="SimSun" w:cs="Arial"/>
          <w:shd w:val="clear" w:color="auto" w:fill="FFFFFF"/>
        </w:rPr>
        <w:t>., 2024</w:t>
      </w:r>
      <w:r>
        <w:rPr>
          <w:rFonts w:ascii="Arial" w:hAnsi="Arial" w:eastAsia="SimSun" w:cs="Arial"/>
        </w:rPr>
        <w:t>). Several alkaloids</w:t>
      </w:r>
      <w:r>
        <w:rPr>
          <w:rFonts w:ascii="Arial" w:hAnsi="Arial" w:cs="Arial"/>
        </w:rPr>
        <w:t xml:space="preserve"> </w:t>
      </w:r>
      <w:r>
        <w:rPr>
          <w:rFonts w:ascii="Arial" w:hAnsi="Arial" w:eastAsia="SimSun" w:cs="Arial"/>
        </w:rPr>
        <w:t>which have been successfully isolated from plant has been identified to possess anticancer properties (</w:t>
      </w:r>
      <w:r>
        <w:rPr>
          <w:rFonts w:ascii="Arial" w:hAnsi="Arial" w:eastAsia="Helvetica" w:cs="Arial"/>
          <w:shd w:val="clear" w:color="auto" w:fill="FFFFFF"/>
        </w:rPr>
        <w:t xml:space="preserve">taxol, vinorellaine, </w:t>
      </w:r>
      <w:r>
        <w:rPr>
          <w:rFonts w:ascii="Arial" w:hAnsi="Arial" w:cs="Arial"/>
        </w:rPr>
        <w:t xml:space="preserve">Rohitukine and </w:t>
      </w:r>
      <w:r>
        <w:rPr>
          <w:rFonts w:ascii="Arial" w:hAnsi="Arial" w:eastAsia="Helvetica" w:cs="Arial"/>
          <w:shd w:val="clear" w:color="auto" w:fill="FFFFFF"/>
        </w:rPr>
        <w:t>vinblastine), antihypertensive property (Ajmalicine, Tetrandrine and Reserpine), narcotic</w:t>
      </w:r>
      <w:r>
        <w:rPr>
          <w:rFonts w:ascii="Arial" w:hAnsi="Arial" w:eastAsia="Helvetica" w:cs="Arial"/>
          <w:color w:val="FF0000"/>
          <w:shd w:val="clear" w:color="auto" w:fill="FFFFFF"/>
        </w:rPr>
        <w:t>,</w:t>
      </w:r>
      <w:r>
        <w:rPr>
          <w:rFonts w:ascii="Arial" w:hAnsi="Arial" w:eastAsia="Helvetica" w:cs="Arial"/>
          <w:shd w:val="clear" w:color="auto" w:fill="FFFFFF"/>
        </w:rPr>
        <w:t xml:space="preserve"> and analgesic  effects (noscapine, morphine, thebaine and codeine) </w:t>
      </w:r>
      <w:r>
        <w:rPr>
          <w:rFonts w:ascii="Arial" w:hAnsi="Arial" w:eastAsia="SimSun" w:cs="Arial"/>
        </w:rPr>
        <w:t>(</w:t>
      </w:r>
      <w:r>
        <w:rPr>
          <w:rFonts w:ascii="Arial" w:hAnsi="Arial" w:eastAsia="SimSun" w:cs="Arial"/>
          <w:shd w:val="clear" w:color="auto" w:fill="FFFFFF"/>
        </w:rPr>
        <w:t xml:space="preserve">Bhambhan </w:t>
      </w:r>
      <w:r>
        <w:rPr>
          <w:rFonts w:ascii="Arial" w:hAnsi="Arial" w:eastAsia="SimSun" w:cs="Arial"/>
          <w:i/>
          <w:iCs/>
          <w:shd w:val="clear" w:color="auto" w:fill="FFFFFF"/>
          <w:lang w:val="en-US"/>
        </w:rPr>
        <w:t>et al</w:t>
      </w:r>
      <w:r>
        <w:rPr>
          <w:rFonts w:ascii="Arial" w:hAnsi="Arial" w:eastAsia="SimSun" w:cs="Arial"/>
          <w:shd w:val="clear" w:color="auto" w:fill="FFFFFF"/>
        </w:rPr>
        <w:t>., 2021</w:t>
      </w:r>
      <w:r>
        <w:rPr>
          <w:rFonts w:ascii="Arial" w:hAnsi="Arial" w:eastAsia="SimSun" w:cs="Arial"/>
        </w:rPr>
        <w:t xml:space="preserve">). Tannins have </w:t>
      </w:r>
      <w:r>
        <w:rPr>
          <w:rFonts w:ascii="Arial" w:hAnsi="Arial" w:eastAsia="sans-serif" w:cs="Arial"/>
        </w:rPr>
        <w:t>anti-allergic, antioxidant, anti-microbial, anti-inflammatory, anti-cancer, and anti-helminthic activity (</w:t>
      </w:r>
      <w:r>
        <w:rPr>
          <w:rFonts w:ascii="Arial" w:hAnsi="Arial" w:eastAsia="SimSun" w:cs="Arial"/>
          <w:shd w:val="clear" w:color="auto" w:fill="FFFFFF"/>
        </w:rPr>
        <w:t xml:space="preserve">Sharma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2021). Saponins are </w:t>
      </w:r>
      <w:r>
        <w:rPr>
          <w:rFonts w:ascii="Arial" w:hAnsi="Arial" w:eastAsia="Georgia" w:cs="Arial"/>
        </w:rPr>
        <w:t>antimicrobial, anti-inflammatory</w:t>
      </w:r>
      <w:r>
        <w:rPr>
          <w:rFonts w:ascii="Arial" w:hAnsi="Arial" w:eastAsia="Georgia" w:cs="Arial"/>
          <w:color w:val="FF0000"/>
        </w:rPr>
        <w:t>,</w:t>
      </w:r>
      <w:r>
        <w:rPr>
          <w:rFonts w:ascii="Arial" w:hAnsi="Arial" w:eastAsia="Georgia" w:cs="Arial"/>
        </w:rPr>
        <w:t xml:space="preserve"> and anti-diabetic (</w:t>
      </w:r>
      <w:r>
        <w:rPr>
          <w:rFonts w:ascii="Arial" w:hAnsi="Arial" w:eastAsia="SimSun" w:cs="Arial"/>
          <w:shd w:val="clear" w:color="auto" w:fill="FFFFFF"/>
        </w:rPr>
        <w:t xml:space="preserve">Magdoleen and Daffalla Hussien, 2020; Sharma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2023).  Cardiac glycoside possesses </w:t>
      </w:r>
      <w:r>
        <w:rPr>
          <w:rFonts w:ascii="Arial" w:hAnsi="Arial" w:eastAsia="Helvetica" w:cs="Arial"/>
          <w:shd w:val="clear" w:color="auto" w:fill="FFFFFF"/>
        </w:rPr>
        <w:t>antitumor and cardioprotective properties (</w:t>
      </w:r>
      <w:r>
        <w:rPr>
          <w:rFonts w:ascii="Arial" w:hAnsi="Arial" w:eastAsia="SimSun" w:cs="Arial"/>
          <w:shd w:val="clear" w:color="auto" w:fill="FFFFFF"/>
        </w:rPr>
        <w:t xml:space="preserve">Škubník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2021; Kowsalya </w:t>
      </w:r>
      <w:r>
        <w:rPr>
          <w:rFonts w:ascii="Arial" w:hAnsi="Arial" w:eastAsia="SimSun" w:cs="Arial"/>
          <w:i/>
          <w:iCs/>
          <w:shd w:val="clear" w:color="auto" w:fill="FFFFFF"/>
          <w:lang w:val="en-US"/>
        </w:rPr>
        <w:t>et al</w:t>
      </w:r>
      <w:r>
        <w:rPr>
          <w:rFonts w:ascii="Arial" w:hAnsi="Arial" w:eastAsia="SimSun" w:cs="Arial"/>
          <w:shd w:val="clear" w:color="auto" w:fill="FFFFFF"/>
        </w:rPr>
        <w:t>., 2025</w:t>
      </w:r>
      <w:r>
        <w:rPr>
          <w:rFonts w:ascii="Arial" w:hAnsi="Arial" w:eastAsia="Helvetica" w:cs="Arial"/>
          <w:shd w:val="clear" w:color="auto" w:fill="FFFFFF"/>
        </w:rPr>
        <w:t>). Observational studies and Randomized clinical trials have linked high dietary supplementation with flavonoid to enhanced glycemic index, cardiovascular health, cognitive function</w:t>
      </w:r>
      <w:r>
        <w:rPr>
          <w:rFonts w:ascii="Arial" w:hAnsi="Arial" w:eastAsia="Helvetica" w:cs="Arial"/>
          <w:color w:val="FF0000"/>
          <w:shd w:val="clear" w:color="auto" w:fill="FFFFFF"/>
        </w:rPr>
        <w:t>,</w:t>
      </w:r>
      <w:r>
        <w:rPr>
          <w:rFonts w:ascii="Arial" w:hAnsi="Arial" w:eastAsia="Helvetica" w:cs="Arial"/>
          <w:shd w:val="clear" w:color="auto" w:fill="FFFFFF"/>
        </w:rPr>
        <w:t xml:space="preserve"> and metabolic health</w:t>
      </w:r>
      <w:r>
        <w:rPr>
          <w:rFonts w:ascii="Arial" w:hAnsi="Arial" w:eastAsia="Helvetica" w:cs="Arial"/>
          <w:color w:val="FF0000"/>
          <w:shd w:val="clear" w:color="auto" w:fill="FFFFFF"/>
        </w:rPr>
        <w:t>,</w:t>
      </w:r>
      <w:r>
        <w:rPr>
          <w:rFonts w:ascii="Arial" w:hAnsi="Arial" w:eastAsia="Helvetica" w:cs="Arial"/>
          <w:shd w:val="clear" w:color="auto" w:fill="FFFFFF"/>
        </w:rPr>
        <w:t xml:space="preserve"> as well as a reduction in risk of breast cancer (</w:t>
      </w:r>
      <w:r>
        <w:rPr>
          <w:rFonts w:ascii="Arial" w:hAnsi="Arial" w:eastAsia="SimSun" w:cs="Arial"/>
          <w:shd w:val="clear" w:color="auto" w:fill="FFFFFF"/>
        </w:rPr>
        <w:t xml:space="preserve">Solnier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2023). Supplementation with plant </w:t>
      </w:r>
      <w:r>
        <w:rPr>
          <w:rFonts w:ascii="Arial" w:hAnsi="Arial" w:eastAsia="Arial" w:cs="Arial"/>
          <w:shd w:val="clear" w:color="auto" w:fill="FFFFFF"/>
        </w:rPr>
        <w:t>sterols has been shown to lower cholesterol and have a positive effect on</w:t>
      </w:r>
      <w:r>
        <w:rPr>
          <w:rFonts w:ascii="Arial" w:hAnsi="Arial" w:eastAsia="Arial" w:cs="Arial"/>
          <w:color w:val="FF0000"/>
          <w:shd w:val="clear" w:color="auto" w:fill="FFFFFF"/>
        </w:rPr>
        <w:t xml:space="preserve"> </w:t>
      </w:r>
      <w:r>
        <w:rPr>
          <w:rFonts w:ascii="Arial" w:hAnsi="Arial" w:eastAsia="Arial" w:cs="Arial"/>
          <w:shd w:val="clear" w:color="auto" w:fill="FFFFFF"/>
        </w:rPr>
        <w:t>lipoprotein and glucose homeostasis (</w:t>
      </w:r>
      <w:r>
        <w:rPr>
          <w:rFonts w:ascii="Arial" w:hAnsi="Arial" w:eastAsia="SimSun" w:cs="Arial"/>
          <w:shd w:val="clear" w:color="auto" w:fill="FFFFFF"/>
        </w:rPr>
        <w:t xml:space="preserve">Barkas </w:t>
      </w:r>
      <w:r>
        <w:rPr>
          <w:rFonts w:ascii="Arial" w:hAnsi="Arial" w:eastAsia="SimSun" w:cs="Arial"/>
          <w:i/>
          <w:iCs/>
          <w:shd w:val="clear" w:color="auto" w:fill="FFFFFF"/>
          <w:lang w:val="en-US"/>
        </w:rPr>
        <w:t>et al</w:t>
      </w:r>
      <w:r>
        <w:rPr>
          <w:rFonts w:ascii="Arial" w:hAnsi="Arial" w:eastAsia="SimSun" w:cs="Arial"/>
          <w:shd w:val="clear" w:color="auto" w:fill="FFFFFF"/>
        </w:rPr>
        <w:t>., 2023).</w:t>
      </w:r>
    </w:p>
    <w:p w14:paraId="2B209C63">
      <w:pPr>
        <w:spacing w:line="360" w:lineRule="auto"/>
        <w:rPr>
          <w:rFonts w:ascii="Arial" w:hAnsi="Arial" w:eastAsia="Georgia" w:cs="Arial"/>
        </w:rPr>
      </w:pPr>
    </w:p>
    <w:p w14:paraId="1D1C3AC3">
      <w:pPr>
        <w:spacing w:line="360" w:lineRule="auto"/>
        <w:rPr>
          <w:rFonts w:ascii="Arial" w:hAnsi="Arial" w:eastAsia="Georgia" w:cs="Arial"/>
        </w:rPr>
      </w:pPr>
    </w:p>
    <w:p w14:paraId="5F07188A">
      <w:pPr>
        <w:spacing w:line="360" w:lineRule="auto"/>
        <w:rPr>
          <w:rFonts w:ascii="Arial" w:hAnsi="Arial" w:eastAsia="Georgia" w:cs="Arial"/>
        </w:rPr>
      </w:pPr>
    </w:p>
    <w:p w14:paraId="2E454DD6">
      <w:pPr>
        <w:spacing w:line="360" w:lineRule="auto"/>
        <w:rPr>
          <w:rFonts w:ascii="Arial" w:hAnsi="Arial" w:eastAsia="Georgia" w:cs="Arial"/>
          <w:b/>
          <w:bCs/>
        </w:rPr>
      </w:pPr>
      <w:r>
        <w:rPr>
          <w:rFonts w:ascii="Arial" w:hAnsi="Arial" w:eastAsia="Georgia" w:cs="Arial"/>
          <w:b/>
          <w:bCs/>
        </w:rPr>
        <w:t xml:space="preserve">4. </w:t>
      </w:r>
      <w:r>
        <w:rPr>
          <w:rFonts w:ascii="Arial" w:hAnsi="Arial" w:eastAsia="Georgia" w:cs="Arial"/>
          <w:b/>
          <w:bCs/>
          <w:sz w:val="22"/>
          <w:szCs w:val="22"/>
        </w:rPr>
        <w:t>CONCLUSION</w:t>
      </w:r>
    </w:p>
    <w:p w14:paraId="33C7CD34">
      <w:pPr>
        <w:spacing w:line="360" w:lineRule="auto"/>
        <w:rPr>
          <w:rFonts w:ascii="Arial" w:hAnsi="Arial" w:eastAsia="Georgia" w:cs="Arial"/>
        </w:rPr>
      </w:pPr>
    </w:p>
    <w:p w14:paraId="13182227">
      <w:pPr>
        <w:spacing w:line="360" w:lineRule="auto"/>
        <w:jc w:val="both"/>
        <w:rPr>
          <w:rFonts w:hint="default" w:ascii="Arial" w:hAnsi="Arial" w:eastAsia="SimSun" w:cs="Arial"/>
          <w:lang w:val="en-US"/>
        </w:rPr>
      </w:pPr>
      <w:r>
        <w:rPr>
          <w:rFonts w:ascii="Arial" w:hAnsi="Arial" w:eastAsia="SimSun" w:cs="Arial"/>
          <w:i/>
          <w:iCs/>
        </w:rPr>
        <w:t xml:space="preserve">D. guineense </w:t>
      </w:r>
      <w:r>
        <w:rPr>
          <w:rFonts w:ascii="Arial" w:hAnsi="Arial" w:eastAsia="SimSun" w:cs="Arial"/>
        </w:rPr>
        <w:t xml:space="preserve">seeds are legume seeds which contain more carbohydrates and fat than other locally consumed legume seeds in Nigeria. </w:t>
      </w:r>
      <w:r>
        <w:rPr>
          <w:rFonts w:ascii="Arial" w:hAnsi="Arial" w:eastAsia="SimSun" w:cs="Arial"/>
          <w:i/>
          <w:iCs/>
        </w:rPr>
        <w:t xml:space="preserve">D. guineense </w:t>
      </w:r>
      <w:r>
        <w:rPr>
          <w:rFonts w:ascii="Arial" w:hAnsi="Arial" w:eastAsia="SimSun" w:cs="Arial"/>
        </w:rPr>
        <w:t xml:space="preserve">seeds also contains phytochemicals which have health promoting benefits. Rather than discarding the seeds of </w:t>
      </w:r>
      <w:r>
        <w:rPr>
          <w:rFonts w:ascii="Arial" w:hAnsi="Arial" w:eastAsia="SimSun" w:cs="Arial"/>
          <w:i/>
          <w:iCs/>
        </w:rPr>
        <w:t xml:space="preserve">D. guineense </w:t>
      </w:r>
      <w:r>
        <w:rPr>
          <w:rFonts w:ascii="Arial" w:hAnsi="Arial" w:eastAsia="SimSun" w:cs="Arial"/>
        </w:rPr>
        <w:t>after consuming the fruit pulp</w:t>
      </w:r>
      <w:r>
        <w:rPr>
          <w:rFonts w:ascii="Arial" w:hAnsi="Arial" w:eastAsia="SimSun" w:cs="Arial"/>
          <w:i/>
          <w:iCs/>
        </w:rPr>
        <w:t xml:space="preserve">, </w:t>
      </w:r>
      <w:r>
        <w:rPr>
          <w:rFonts w:ascii="Arial" w:hAnsi="Arial" w:eastAsia="SimSun" w:cs="Arial"/>
        </w:rPr>
        <w:t xml:space="preserve">they can be incorporated into diets to help individuals meet their RDA for carbohydrates. The phytochemicals present in </w:t>
      </w:r>
      <w:r>
        <w:rPr>
          <w:rFonts w:ascii="Arial" w:hAnsi="Arial" w:eastAsia="SimSun" w:cs="Arial"/>
          <w:i/>
          <w:iCs/>
        </w:rPr>
        <w:t xml:space="preserve">D. guineense </w:t>
      </w:r>
      <w:r>
        <w:rPr>
          <w:rFonts w:ascii="Arial" w:hAnsi="Arial" w:eastAsia="SimSun" w:cs="Arial"/>
        </w:rPr>
        <w:t>seeds can be extracted, characterized and incorporated into functional foods or dietary supplements for their health promoting benefits</w:t>
      </w:r>
      <w:r>
        <w:rPr>
          <w:rFonts w:hint="default" w:ascii="Arial" w:hAnsi="Arial" w:eastAsia="SimSun" w:cs="Arial"/>
          <w:lang w:val="en-US"/>
        </w:rPr>
        <w:t>. This study was limited to the used of ethanol seed extract alone. Other extracting solvent should be explored in further research. Also, future studies should be done to identify and quantify</w:t>
      </w:r>
      <w:r>
        <w:rPr>
          <w:rFonts w:ascii="Arial" w:hAnsi="Arial" w:eastAsia="SimSun" w:cs="Arial"/>
        </w:rPr>
        <w:t xml:space="preserve"> </w:t>
      </w:r>
      <w:r>
        <w:rPr>
          <w:rFonts w:hint="default" w:ascii="Arial" w:hAnsi="Arial" w:eastAsia="SimSun" w:cs="Arial"/>
          <w:lang w:val="en-US"/>
        </w:rPr>
        <w:t xml:space="preserve">the specific phytochemicals present in </w:t>
      </w:r>
      <w:r>
        <w:rPr>
          <w:rFonts w:ascii="Arial" w:hAnsi="Arial" w:eastAsia="SimSun" w:cs="Arial"/>
          <w:i/>
          <w:iCs/>
        </w:rPr>
        <w:t xml:space="preserve">D. guineense </w:t>
      </w:r>
      <w:r>
        <w:rPr>
          <w:rFonts w:ascii="Arial" w:hAnsi="Arial" w:eastAsia="SimSun" w:cs="Arial"/>
        </w:rPr>
        <w:t>seeds</w:t>
      </w:r>
      <w:r>
        <w:rPr>
          <w:rFonts w:hint="default" w:ascii="Arial" w:hAnsi="Arial" w:eastAsia="SimSun" w:cs="Arial"/>
          <w:lang w:val="en-US"/>
        </w:rPr>
        <w:t>.</w:t>
      </w:r>
    </w:p>
    <w:p w14:paraId="0D0EEEAF">
      <w:pPr>
        <w:pStyle w:val="16"/>
        <w:spacing w:after="0"/>
        <w:jc w:val="both"/>
        <w:rPr>
          <w:rFonts w:ascii="Arial" w:hAnsi="Arial" w:cs="Arial"/>
          <w:b w:val="0"/>
          <w:caps w:val="0"/>
          <w:sz w:val="20"/>
        </w:rPr>
      </w:pPr>
    </w:p>
    <w:p w14:paraId="1AFA56ED">
      <w:pPr>
        <w:pStyle w:val="16"/>
        <w:spacing w:after="0"/>
        <w:jc w:val="both"/>
        <w:rPr>
          <w:rFonts w:ascii="Arial" w:hAnsi="Arial" w:cs="Arial"/>
          <w:b w:val="0"/>
          <w:caps w:val="0"/>
          <w:sz w:val="20"/>
        </w:rPr>
      </w:pPr>
    </w:p>
    <w:p w14:paraId="41AB961E">
      <w:pPr>
        <w:pStyle w:val="16"/>
        <w:jc w:val="both"/>
        <w:rPr>
          <w:rFonts w:ascii="Arial" w:hAnsi="Arial" w:cs="Arial"/>
          <w:b w:val="0"/>
          <w:caps w:val="0"/>
          <w:sz w:val="20"/>
        </w:rPr>
      </w:pPr>
      <w:r>
        <w:rPr>
          <w:rFonts w:ascii="Arial" w:hAnsi="Arial" w:cs="Arial"/>
          <w:b w:val="0"/>
          <w:caps w:val="0"/>
          <w:sz w:val="20"/>
        </w:rPr>
        <w:t>COMPETING INTERESTS DISCLAIMER:</w:t>
      </w:r>
    </w:p>
    <w:p w14:paraId="51DBAC09">
      <w:pPr>
        <w:pStyle w:val="16"/>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7572362">
      <w:pPr>
        <w:pStyle w:val="16"/>
        <w:spacing w:after="0"/>
        <w:jc w:val="both"/>
        <w:rPr>
          <w:rFonts w:ascii="Arial" w:hAnsi="Arial" w:cs="Arial"/>
          <w:b w:val="0"/>
          <w:caps w:val="0"/>
          <w:sz w:val="20"/>
        </w:rPr>
      </w:pPr>
      <w:bookmarkStart w:id="4" w:name="_GoBack"/>
      <w:bookmarkEnd w:id="4"/>
    </w:p>
    <w:p w14:paraId="055F3EB7">
      <w:pPr>
        <w:pStyle w:val="16"/>
        <w:spacing w:after="0"/>
        <w:jc w:val="both"/>
        <w:rPr>
          <w:rFonts w:ascii="Arial" w:hAnsi="Arial" w:cs="Arial"/>
          <w:b w:val="0"/>
          <w:caps w:val="0"/>
          <w:sz w:val="20"/>
        </w:rPr>
      </w:pPr>
    </w:p>
    <w:p w14:paraId="008E4943">
      <w:pPr>
        <w:pStyle w:val="25"/>
        <w:jc w:val="both"/>
        <w:rPr>
          <w:rFonts w:ascii="Arial" w:hAnsi="Arial" w:cs="Arial"/>
          <w:highlight w:val="none"/>
        </w:rPr>
      </w:pPr>
      <w:bookmarkStart w:id="1" w:name="_Hlk219284361"/>
      <w:bookmarkStart w:id="2" w:name="_Hlk225937769"/>
      <w:bookmarkStart w:id="3" w:name="_Hlk198031404"/>
      <w:r>
        <w:rPr>
          <w:rFonts w:ascii="Arial" w:hAnsi="Arial" w:cs="Arial"/>
          <w:highlight w:val="none"/>
        </w:rPr>
        <w:t>Disclaimer (Artificial intelligence)</w:t>
      </w:r>
    </w:p>
    <w:p w14:paraId="6D9D5120">
      <w:pPr>
        <w:pStyle w:val="25"/>
        <w:jc w:val="both"/>
        <w:rPr>
          <w:rFonts w:ascii="Arial" w:hAnsi="Arial" w:cs="Arial"/>
          <w:highlight w:val="none"/>
        </w:rPr>
      </w:pPr>
    </w:p>
    <w:p w14:paraId="473E24E6">
      <w:pPr>
        <w:pStyle w:val="25"/>
        <w:jc w:val="both"/>
        <w:rPr>
          <w:rFonts w:ascii="Arial" w:hAnsi="Arial" w:cs="Arial"/>
          <w:highlight w:val="none"/>
        </w:rPr>
      </w:pPr>
      <w:r>
        <w:rPr>
          <w:rFonts w:ascii="Arial" w:hAnsi="Arial" w:cs="Arial"/>
          <w:highlight w:val="none"/>
        </w:rPr>
        <w:t>Author(s) hereby declare that NO generative AI technologies such as Large Language Models (ChatGPT, COPILOT, etc.) and text-to-image generators have been used during the writing or editing of this manuscript</w:t>
      </w:r>
      <w:bookmarkEnd w:id="1"/>
      <w:r>
        <w:rPr>
          <w:rFonts w:ascii="Arial" w:hAnsi="Arial" w:cs="Arial"/>
          <w:highlight w:val="none"/>
        </w:rPr>
        <w:t xml:space="preserve">. </w:t>
      </w:r>
      <w:bookmarkEnd w:id="2"/>
    </w:p>
    <w:bookmarkEnd w:id="3"/>
    <w:p w14:paraId="35405875">
      <w:pPr>
        <w:pStyle w:val="16"/>
        <w:spacing w:after="0"/>
        <w:jc w:val="both"/>
        <w:rPr>
          <w:rFonts w:ascii="Arial" w:hAnsi="Arial" w:cs="Arial"/>
          <w:b w:val="0"/>
          <w:caps w:val="0"/>
          <w:sz w:val="20"/>
        </w:rPr>
      </w:pPr>
    </w:p>
    <w:p w14:paraId="4C7FE0FB">
      <w:pPr>
        <w:pStyle w:val="16"/>
        <w:spacing w:after="0"/>
        <w:jc w:val="both"/>
        <w:rPr>
          <w:rFonts w:ascii="Arial" w:hAnsi="Arial" w:cs="Arial"/>
          <w:b w:val="0"/>
          <w:caps w:val="0"/>
          <w:sz w:val="20"/>
        </w:rPr>
      </w:pPr>
    </w:p>
    <w:p w14:paraId="60E6CAA8">
      <w:pPr>
        <w:pStyle w:val="16"/>
        <w:spacing w:after="0"/>
        <w:jc w:val="both"/>
        <w:rPr>
          <w:rFonts w:ascii="Arial" w:hAnsi="Arial" w:cs="Arial"/>
          <w:bCs/>
          <w:caps w:val="0"/>
          <w:sz w:val="20"/>
        </w:rPr>
      </w:pPr>
    </w:p>
    <w:p w14:paraId="10F98832">
      <w:pPr>
        <w:pStyle w:val="16"/>
        <w:spacing w:after="0"/>
        <w:jc w:val="both"/>
        <w:rPr>
          <w:rFonts w:ascii="Arial" w:hAnsi="Arial" w:cs="Arial"/>
          <w:bCs/>
          <w:sz w:val="20"/>
        </w:rPr>
      </w:pPr>
      <w:r>
        <w:rPr>
          <w:rFonts w:ascii="Arial" w:hAnsi="Arial" w:cs="Arial"/>
          <w:bCs/>
          <w:sz w:val="20"/>
        </w:rPr>
        <w:t>REFERENCES</w:t>
      </w:r>
    </w:p>
    <w:p w14:paraId="4FEA8EA0">
      <w:pPr>
        <w:pStyle w:val="16"/>
        <w:spacing w:after="0"/>
        <w:jc w:val="both"/>
        <w:rPr>
          <w:rFonts w:ascii="Arial" w:hAnsi="Arial" w:cs="Arial"/>
          <w:b w:val="0"/>
          <w:caps w:val="0"/>
          <w:sz w:val="20"/>
        </w:rPr>
      </w:pPr>
    </w:p>
    <w:p w14:paraId="746E6D42">
      <w:pPr>
        <w:jc w:val="both"/>
        <w:rPr>
          <w:rFonts w:ascii="Arial" w:hAnsi="Arial" w:eastAsia="SimSun" w:cs="Arial"/>
          <w:shd w:val="clear" w:color="auto" w:fill="FFFFFF"/>
        </w:rPr>
      </w:pPr>
    </w:p>
    <w:p w14:paraId="4B6274B6">
      <w:pPr>
        <w:jc w:val="both"/>
        <w:rPr>
          <w:rFonts w:ascii="Arial" w:hAnsi="Arial" w:eastAsia="SimSun" w:cs="Arial"/>
          <w:shd w:val="clear" w:color="auto" w:fill="FFFFFF"/>
        </w:rPr>
      </w:pPr>
      <w:r>
        <w:rPr>
          <w:rFonts w:ascii="Arial" w:hAnsi="Arial" w:eastAsia="SimSun" w:cs="Arial"/>
          <w:shd w:val="clear" w:color="auto" w:fill="FFFFFF"/>
        </w:rPr>
        <w:t>Achikanu, C. E., Ani, O. N., &amp; Akpata, E. I. (2020). Proximate, vitamin and phytochemical composition of Cucumis metuliferus seed. </w:t>
      </w:r>
      <w:r>
        <w:rPr>
          <w:rFonts w:ascii="Arial" w:hAnsi="Arial" w:eastAsia="SimSun" w:cs="Arial"/>
          <w:i/>
          <w:iCs/>
          <w:shd w:val="clear" w:color="auto" w:fill="FFFFFF"/>
        </w:rPr>
        <w:t>Steroids</w:t>
      </w:r>
      <w:r>
        <w:rPr>
          <w:rFonts w:ascii="Arial" w:hAnsi="Arial" w:eastAsia="SimSun" w:cs="Arial"/>
          <w:shd w:val="clear" w:color="auto" w:fill="FFFFFF"/>
        </w:rPr>
        <w:t>, </w:t>
      </w:r>
      <w:r>
        <w:rPr>
          <w:rFonts w:ascii="Arial" w:hAnsi="Arial" w:eastAsia="SimSun" w:cs="Arial"/>
          <w:i/>
          <w:iCs/>
          <w:shd w:val="clear" w:color="auto" w:fill="FFFFFF"/>
        </w:rPr>
        <w:t>2</w:t>
      </w:r>
      <w:r>
        <w:rPr>
          <w:rFonts w:ascii="Arial" w:hAnsi="Arial" w:eastAsia="SimSun" w:cs="Arial"/>
          <w:shd w:val="clear" w:color="auto" w:fill="FFFFFF"/>
        </w:rPr>
        <w:t>, 0-158.</w:t>
      </w:r>
    </w:p>
    <w:p w14:paraId="1B244E26">
      <w:pPr>
        <w:jc w:val="both"/>
        <w:rPr>
          <w:rFonts w:ascii="Arial" w:hAnsi="Arial" w:eastAsia="SimSun" w:cs="Arial"/>
          <w:shd w:val="clear" w:color="auto" w:fill="FFFFFF"/>
        </w:rPr>
      </w:pPr>
    </w:p>
    <w:p w14:paraId="5AD6CE16">
      <w:pPr>
        <w:jc w:val="both"/>
        <w:rPr>
          <w:rFonts w:ascii="Arial" w:hAnsi="Arial" w:eastAsia="SimSun" w:cs="Arial"/>
          <w:shd w:val="clear" w:color="auto" w:fill="FFFFFF"/>
        </w:rPr>
      </w:pPr>
      <w:r>
        <w:rPr>
          <w:rFonts w:ascii="Arial" w:hAnsi="Arial" w:eastAsia="SimSun" w:cs="Arial"/>
          <w:shd w:val="clear" w:color="auto" w:fill="FFFFFF"/>
        </w:rPr>
        <w:t>Airaodion, A. I., Ayita, E. B., Oluba, S. O., Emaleku, S. A., Osunmuyiwa, O. J., &amp; Megwas, A. U. (2021). Chemical composition and nutraceutical potential of velvet tamarind (Dialium guineense Wild) fruit pulp. </w:t>
      </w:r>
      <w:r>
        <w:rPr>
          <w:rFonts w:ascii="Arial" w:hAnsi="Arial" w:eastAsia="SimSun" w:cs="Arial"/>
          <w:i/>
          <w:iCs/>
          <w:shd w:val="clear" w:color="auto" w:fill="FFFFFF"/>
        </w:rPr>
        <w:t>Asian Journal of Biochemistry, Genetics and Molecular Biology</w:t>
      </w:r>
      <w:r>
        <w:rPr>
          <w:rFonts w:ascii="Arial" w:hAnsi="Arial" w:eastAsia="SimSun" w:cs="Arial"/>
          <w:shd w:val="clear" w:color="auto" w:fill="FFFFFF"/>
        </w:rPr>
        <w:t>, </w:t>
      </w:r>
      <w:r>
        <w:rPr>
          <w:rFonts w:ascii="Arial" w:hAnsi="Arial" w:eastAsia="SimSun" w:cs="Arial"/>
          <w:i/>
          <w:iCs/>
          <w:shd w:val="clear" w:color="auto" w:fill="FFFFFF"/>
        </w:rPr>
        <w:t>9</w:t>
      </w:r>
      <w:r>
        <w:rPr>
          <w:rFonts w:ascii="Arial" w:hAnsi="Arial" w:eastAsia="SimSun" w:cs="Arial"/>
          <w:shd w:val="clear" w:color="auto" w:fill="FFFFFF"/>
        </w:rPr>
        <w:t>(2), 8-19.</w:t>
      </w:r>
    </w:p>
    <w:p w14:paraId="7DAD0A5D">
      <w:pPr>
        <w:jc w:val="both"/>
        <w:rPr>
          <w:rFonts w:ascii="Arial" w:hAnsi="Arial" w:eastAsia="SimSun" w:cs="Arial"/>
          <w:shd w:val="clear" w:color="auto" w:fill="FFFFFF"/>
        </w:rPr>
      </w:pPr>
    </w:p>
    <w:p w14:paraId="727392F5">
      <w:pPr>
        <w:jc w:val="both"/>
        <w:rPr>
          <w:rFonts w:ascii="Arial" w:hAnsi="Arial" w:eastAsia="sans-serif" w:cs="Arial"/>
          <w:shd w:val="clear" w:color="auto" w:fill="FFFFFF"/>
        </w:rPr>
      </w:pPr>
      <w:r>
        <w:rPr>
          <w:rFonts w:ascii="Arial" w:hAnsi="Arial" w:eastAsia="sans-serif" w:cs="Arial"/>
          <w:shd w:val="clear" w:color="auto" w:fill="FFFFFF"/>
        </w:rPr>
        <w:t>Ajiboye</w:t>
      </w:r>
      <w:r>
        <w:rPr>
          <w:rFonts w:ascii="Arial" w:hAnsi="Arial" w:eastAsia="SimSun" w:cs="Arial"/>
          <w:shd w:val="clear" w:color="auto" w:fill="FFFFFF"/>
        </w:rPr>
        <w:t>, A. E., Kola, B. S., Rachael, A. M., Busayo, A. I., Adebobola, O. D., &amp; Ugochinyere, I. I. (2018). Antibacterial activity of the seed of Dialium guineense against selected enteric bacteria. </w:t>
      </w:r>
      <w:r>
        <w:rPr>
          <w:rFonts w:ascii="Arial" w:hAnsi="Arial" w:eastAsia="SimSun" w:cs="Arial"/>
          <w:i/>
          <w:iCs/>
          <w:shd w:val="clear" w:color="auto" w:fill="FFFFFF"/>
        </w:rPr>
        <w:t>Covenant Journal of Physical and Life Sciences</w:t>
      </w:r>
      <w:r>
        <w:rPr>
          <w:rFonts w:ascii="Arial" w:hAnsi="Arial" w:eastAsia="SimSun" w:cs="Arial"/>
          <w:shd w:val="clear" w:color="auto" w:fill="FFFFFF"/>
        </w:rPr>
        <w:t xml:space="preserve">. </w:t>
      </w:r>
      <w:r>
        <w:rPr>
          <w:rFonts w:ascii="Arial" w:hAnsi="Arial" w:eastAsia="sans-serif" w:cs="Arial"/>
          <w:shd w:val="clear" w:color="auto" w:fill="FFFFFF"/>
        </w:rPr>
        <w:t>6(2) 1-10</w:t>
      </w:r>
    </w:p>
    <w:p w14:paraId="56D9C6E6">
      <w:pPr>
        <w:jc w:val="both"/>
        <w:rPr>
          <w:rFonts w:ascii="Arial" w:hAnsi="Arial" w:eastAsia="SimSun" w:cs="Arial"/>
          <w:shd w:val="clear" w:color="auto" w:fill="FFFFFF"/>
        </w:rPr>
      </w:pPr>
    </w:p>
    <w:p w14:paraId="7BB0562B">
      <w:pPr>
        <w:jc w:val="both"/>
        <w:rPr>
          <w:rFonts w:ascii="Arial" w:hAnsi="Arial" w:eastAsia="SimSun" w:cs="Arial"/>
          <w:shd w:val="clear" w:color="auto" w:fill="FFFFFF"/>
        </w:rPr>
      </w:pPr>
      <w:r>
        <w:rPr>
          <w:rFonts w:ascii="Arial" w:hAnsi="Arial" w:eastAsia="SimSun" w:cs="Arial"/>
          <w:shd w:val="clear" w:color="auto" w:fill="FFFFFF"/>
        </w:rPr>
        <w:t>Angelico, F., Baratta, F., Coronati, M., Ferro, D., &amp; Del Ben, M. (2023). Diet and metabolic syndrome: a narrative review. </w:t>
      </w:r>
      <w:r>
        <w:rPr>
          <w:rFonts w:ascii="Arial" w:hAnsi="Arial" w:eastAsia="SimSun" w:cs="Arial"/>
          <w:i/>
          <w:iCs/>
          <w:shd w:val="clear" w:color="auto" w:fill="FFFFFF"/>
        </w:rPr>
        <w:t>Internal and emergency medicine</w:t>
      </w:r>
      <w:r>
        <w:rPr>
          <w:rFonts w:ascii="Arial" w:hAnsi="Arial" w:eastAsia="SimSun" w:cs="Arial"/>
          <w:shd w:val="clear" w:color="auto" w:fill="FFFFFF"/>
        </w:rPr>
        <w:t>, </w:t>
      </w:r>
      <w:r>
        <w:rPr>
          <w:rFonts w:ascii="Arial" w:hAnsi="Arial" w:eastAsia="SimSun" w:cs="Arial"/>
          <w:i/>
          <w:iCs/>
          <w:shd w:val="clear" w:color="auto" w:fill="FFFFFF"/>
        </w:rPr>
        <w:t>18</w:t>
      </w:r>
      <w:r>
        <w:rPr>
          <w:rFonts w:ascii="Arial" w:hAnsi="Arial" w:eastAsia="SimSun" w:cs="Arial"/>
          <w:shd w:val="clear" w:color="auto" w:fill="FFFFFF"/>
        </w:rPr>
        <w:t>(4), 1007-1017.</w:t>
      </w:r>
    </w:p>
    <w:p w14:paraId="36E6B00D">
      <w:pPr>
        <w:jc w:val="both"/>
        <w:rPr>
          <w:rFonts w:ascii="Arial" w:hAnsi="Arial" w:eastAsia="SimSun" w:cs="Arial"/>
        </w:rPr>
      </w:pPr>
    </w:p>
    <w:p w14:paraId="4AFCA316">
      <w:pPr>
        <w:jc w:val="both"/>
        <w:rPr>
          <w:rFonts w:ascii="Arial" w:hAnsi="Arial" w:eastAsia="SimSun" w:cs="Arial"/>
        </w:rPr>
      </w:pPr>
      <w:r>
        <w:rPr>
          <w:rFonts w:ascii="Arial" w:hAnsi="Arial" w:eastAsia="SimSun" w:cs="Arial"/>
        </w:rPr>
        <w:t>AOAC (Association of Official Analytical Chemist) (2006). Official Methods of Analysis. Association of Official Analytical Chemistry. Washington DC; 2006.</w:t>
      </w:r>
    </w:p>
    <w:p w14:paraId="59095DF4">
      <w:pPr>
        <w:jc w:val="both"/>
        <w:rPr>
          <w:rFonts w:ascii="Arial" w:hAnsi="Arial" w:eastAsia="SimSun" w:cs="Arial"/>
          <w:shd w:val="clear" w:color="auto" w:fill="FFFFFF"/>
        </w:rPr>
      </w:pPr>
    </w:p>
    <w:p w14:paraId="5766471C">
      <w:pPr>
        <w:jc w:val="both"/>
        <w:rPr>
          <w:rFonts w:ascii="Arial" w:hAnsi="Arial" w:eastAsia="SimSun" w:cs="Arial"/>
          <w:shd w:val="clear" w:color="auto" w:fill="FFFFFF"/>
        </w:rPr>
      </w:pPr>
      <w:r>
        <w:rPr>
          <w:rFonts w:ascii="Arial" w:hAnsi="Arial" w:eastAsia="SimSun" w:cs="Arial"/>
          <w:shd w:val="clear" w:color="auto" w:fill="FFFFFF"/>
        </w:rPr>
        <w:t>Assiki, T., Diallo, A., Badjabaïssi, E., Assih, M., Kpatcha, T., Idoh, K., ... &amp; Agbonon, A. (2022). Antidiarrheal activity of Dialium guineense willd fruit pulp in Wistar rats. </w:t>
      </w:r>
      <w:r>
        <w:rPr>
          <w:rFonts w:ascii="Arial" w:hAnsi="Arial" w:eastAsia="SimSun" w:cs="Arial"/>
          <w:i/>
          <w:iCs/>
          <w:shd w:val="clear" w:color="auto" w:fill="FFFFFF"/>
        </w:rPr>
        <w:t>BioMed Research International</w:t>
      </w:r>
      <w:r>
        <w:rPr>
          <w:rFonts w:ascii="Arial" w:hAnsi="Arial" w:eastAsia="SimSun" w:cs="Arial"/>
          <w:shd w:val="clear" w:color="auto" w:fill="FFFFFF"/>
        </w:rPr>
        <w:t>, </w:t>
      </w:r>
      <w:r>
        <w:rPr>
          <w:rFonts w:ascii="Arial" w:hAnsi="Arial" w:eastAsia="SimSun" w:cs="Arial"/>
          <w:i/>
          <w:iCs/>
          <w:shd w:val="clear" w:color="auto" w:fill="FFFFFF"/>
        </w:rPr>
        <w:t>2022</w:t>
      </w:r>
      <w:r>
        <w:rPr>
          <w:rFonts w:ascii="Arial" w:hAnsi="Arial" w:eastAsia="SimSun" w:cs="Arial"/>
          <w:shd w:val="clear" w:color="auto" w:fill="FFFFFF"/>
        </w:rPr>
        <w:t>(1), 4161714.</w:t>
      </w:r>
    </w:p>
    <w:p w14:paraId="09C2E57A">
      <w:pPr>
        <w:jc w:val="both"/>
        <w:rPr>
          <w:rFonts w:ascii="Arial" w:hAnsi="Arial" w:eastAsia="SimSun" w:cs="Arial"/>
          <w:shd w:val="clear" w:color="auto" w:fill="FFFFFF"/>
        </w:rPr>
      </w:pPr>
    </w:p>
    <w:p w14:paraId="14EA26CE">
      <w:pPr>
        <w:jc w:val="both"/>
        <w:rPr>
          <w:rFonts w:ascii="Arial" w:hAnsi="Arial" w:eastAsia="SimSun" w:cs="Arial"/>
          <w:shd w:val="clear" w:color="auto" w:fill="FFFFFF"/>
        </w:rPr>
      </w:pPr>
      <w:r>
        <w:rPr>
          <w:rFonts w:ascii="Arial" w:hAnsi="Arial" w:eastAsia="SimSun" w:cs="Arial"/>
          <w:shd w:val="clear" w:color="auto" w:fill="FFFFFF"/>
        </w:rPr>
        <w:t>Awuchi, C. G., Echeta, C. K., &amp; Igwe, V. S. (2020). Diabetes and the nutrition and diets for its prevention and treatment: a systematic review and dietetic perspective. </w:t>
      </w:r>
      <w:r>
        <w:rPr>
          <w:rFonts w:ascii="Arial" w:hAnsi="Arial" w:eastAsia="SimSun" w:cs="Arial"/>
          <w:i/>
          <w:iCs/>
          <w:shd w:val="clear" w:color="auto" w:fill="FFFFFF"/>
        </w:rPr>
        <w:t>Health Sciences Research</w:t>
      </w:r>
      <w:r>
        <w:rPr>
          <w:rFonts w:ascii="Arial" w:hAnsi="Arial" w:eastAsia="SimSun" w:cs="Arial"/>
          <w:shd w:val="clear" w:color="auto" w:fill="FFFFFF"/>
        </w:rPr>
        <w:t>, </w:t>
      </w:r>
      <w:r>
        <w:rPr>
          <w:rFonts w:ascii="Arial" w:hAnsi="Arial" w:eastAsia="SimSun" w:cs="Arial"/>
          <w:i/>
          <w:iCs/>
          <w:shd w:val="clear" w:color="auto" w:fill="FFFFFF"/>
        </w:rPr>
        <w:t>6</w:t>
      </w:r>
      <w:r>
        <w:rPr>
          <w:rFonts w:ascii="Arial" w:hAnsi="Arial" w:eastAsia="SimSun" w:cs="Arial"/>
          <w:shd w:val="clear" w:color="auto" w:fill="FFFFFF"/>
        </w:rPr>
        <w:t>(1), 5-19.</w:t>
      </w:r>
    </w:p>
    <w:p w14:paraId="75DF6A20">
      <w:pPr>
        <w:jc w:val="both"/>
        <w:rPr>
          <w:rFonts w:ascii="Arial" w:hAnsi="Arial" w:eastAsia="SimSun" w:cs="Arial"/>
          <w:shd w:val="clear" w:color="auto" w:fill="FFFFFF"/>
        </w:rPr>
      </w:pPr>
    </w:p>
    <w:p w14:paraId="16F73DCC">
      <w:pPr>
        <w:jc w:val="both"/>
        <w:rPr>
          <w:rFonts w:ascii="Arial" w:hAnsi="Arial" w:eastAsia="SimSun" w:cs="Arial"/>
          <w:shd w:val="clear" w:color="auto" w:fill="FFFFFF"/>
        </w:rPr>
      </w:pPr>
      <w:r>
        <w:rPr>
          <w:rFonts w:ascii="Arial" w:hAnsi="Arial" w:eastAsia="SimSun" w:cs="Arial"/>
          <w:shd w:val="clear" w:color="auto" w:fill="FFFFFF"/>
        </w:rPr>
        <w:t>Barkas, F., Bathrellou, E., Nomikos, T., Panagiotakos, D., Liberopoulos, E., &amp; Kontogianni, M. D. (2023). Plant sterols and plant stanols in cholesterol management and cardiovascular prevention. </w:t>
      </w:r>
      <w:r>
        <w:rPr>
          <w:rFonts w:ascii="Arial" w:hAnsi="Arial" w:eastAsia="SimSun" w:cs="Arial"/>
          <w:i/>
          <w:iCs/>
          <w:shd w:val="clear" w:color="auto" w:fill="FFFFFF"/>
        </w:rPr>
        <w:t>Nutrients</w:t>
      </w:r>
      <w:r>
        <w:rPr>
          <w:rFonts w:ascii="Arial" w:hAnsi="Arial" w:eastAsia="SimSun" w:cs="Arial"/>
          <w:shd w:val="clear" w:color="auto" w:fill="FFFFFF"/>
        </w:rPr>
        <w:t>, </w:t>
      </w:r>
      <w:r>
        <w:rPr>
          <w:rFonts w:ascii="Arial" w:hAnsi="Arial" w:eastAsia="SimSun" w:cs="Arial"/>
          <w:i/>
          <w:iCs/>
          <w:shd w:val="clear" w:color="auto" w:fill="FFFFFF"/>
        </w:rPr>
        <w:t>15</w:t>
      </w:r>
      <w:r>
        <w:rPr>
          <w:rFonts w:ascii="Arial" w:hAnsi="Arial" w:eastAsia="SimSun" w:cs="Arial"/>
          <w:shd w:val="clear" w:color="auto" w:fill="FFFFFF"/>
        </w:rPr>
        <w:t>(13), 2845.</w:t>
      </w:r>
    </w:p>
    <w:p w14:paraId="260A6B71">
      <w:pPr>
        <w:jc w:val="both"/>
        <w:rPr>
          <w:rFonts w:ascii="Arial" w:hAnsi="Arial" w:eastAsia="SimSun" w:cs="Arial"/>
          <w:shd w:val="clear" w:color="auto" w:fill="FFFFFF"/>
        </w:rPr>
      </w:pPr>
    </w:p>
    <w:p w14:paraId="78C88798">
      <w:pPr>
        <w:jc w:val="both"/>
        <w:rPr>
          <w:rFonts w:ascii="Arial" w:hAnsi="Arial" w:eastAsia="SimSun" w:cs="Arial"/>
          <w:shd w:val="clear" w:color="auto" w:fill="FFFFFF"/>
        </w:rPr>
      </w:pPr>
      <w:r>
        <w:rPr>
          <w:rFonts w:ascii="Arial" w:hAnsi="Arial" w:eastAsia="SimSun" w:cs="Arial"/>
          <w:shd w:val="clear" w:color="auto" w:fill="FFFFFF"/>
        </w:rPr>
        <w:t>Bhambhani, S., Kondhare, K. R., &amp; Giri, A. P. (2021). Diversity in chemical structures and biological properties of plant alkaloids. </w:t>
      </w:r>
      <w:r>
        <w:rPr>
          <w:rFonts w:ascii="Arial" w:hAnsi="Arial" w:eastAsia="SimSun" w:cs="Arial"/>
          <w:i/>
          <w:iCs/>
          <w:shd w:val="clear" w:color="auto" w:fill="FFFFFF"/>
        </w:rPr>
        <w:t>Molecules</w:t>
      </w:r>
      <w:r>
        <w:rPr>
          <w:rFonts w:ascii="Arial" w:hAnsi="Arial" w:eastAsia="SimSun" w:cs="Arial"/>
          <w:shd w:val="clear" w:color="auto" w:fill="FFFFFF"/>
        </w:rPr>
        <w:t>, </w:t>
      </w:r>
      <w:r>
        <w:rPr>
          <w:rFonts w:ascii="Arial" w:hAnsi="Arial" w:eastAsia="SimSun" w:cs="Arial"/>
          <w:i/>
          <w:iCs/>
          <w:shd w:val="clear" w:color="auto" w:fill="FFFFFF"/>
        </w:rPr>
        <w:t>26</w:t>
      </w:r>
      <w:r>
        <w:rPr>
          <w:rFonts w:ascii="Arial" w:hAnsi="Arial" w:eastAsia="SimSun" w:cs="Arial"/>
          <w:shd w:val="clear" w:color="auto" w:fill="FFFFFF"/>
        </w:rPr>
        <w:t>(11), 3374.</w:t>
      </w:r>
    </w:p>
    <w:p w14:paraId="4006BF3D">
      <w:pPr>
        <w:jc w:val="both"/>
        <w:rPr>
          <w:rFonts w:ascii="Arial" w:hAnsi="Arial" w:eastAsia="SimSun" w:cs="Arial"/>
          <w:shd w:val="clear" w:color="auto" w:fill="FFFFFF"/>
        </w:rPr>
      </w:pPr>
    </w:p>
    <w:p w14:paraId="5DE36C16">
      <w:pPr>
        <w:jc w:val="both"/>
        <w:rPr>
          <w:rFonts w:ascii="Arial" w:hAnsi="Arial" w:eastAsia="SimSun" w:cs="Arial"/>
          <w:shd w:val="clear" w:color="auto" w:fill="FFFFFF"/>
        </w:rPr>
      </w:pPr>
      <w:r>
        <w:rPr>
          <w:rFonts w:ascii="Arial" w:hAnsi="Arial" w:eastAsia="SimSun" w:cs="Arial"/>
          <w:shd w:val="clear" w:color="auto" w:fill="FFFFFF"/>
        </w:rPr>
        <w:t>Bibang Bengono, G., Souza, A., Tosso, D. N. F., Doucet, R., Richel, A., &amp; Doucet, J. L. (2021). Les Dialium de la région guinéo-congolaise (synthèse bibliographique). </w:t>
      </w:r>
      <w:r>
        <w:rPr>
          <w:rFonts w:ascii="Arial" w:hAnsi="Arial" w:eastAsia="SimSun" w:cs="Arial"/>
          <w:i/>
          <w:iCs/>
          <w:shd w:val="clear" w:color="auto" w:fill="FFFFFF"/>
        </w:rPr>
        <w:t>Biotechnologie, Agronomie, Société et Environnement</w:t>
      </w:r>
      <w:r>
        <w:rPr>
          <w:rFonts w:ascii="Arial" w:hAnsi="Arial" w:eastAsia="SimSun" w:cs="Arial"/>
          <w:shd w:val="clear" w:color="auto" w:fill="FFFFFF"/>
        </w:rPr>
        <w:t>, </w:t>
      </w:r>
      <w:r>
        <w:rPr>
          <w:rFonts w:ascii="Arial" w:hAnsi="Arial" w:eastAsia="SimSun" w:cs="Arial"/>
          <w:i/>
          <w:iCs/>
          <w:shd w:val="clear" w:color="auto" w:fill="FFFFFF"/>
        </w:rPr>
        <w:t>25</w:t>
      </w:r>
      <w:r>
        <w:rPr>
          <w:rFonts w:ascii="Arial" w:hAnsi="Arial" w:eastAsia="SimSun" w:cs="Arial"/>
          <w:shd w:val="clear" w:color="auto" w:fill="FFFFFF"/>
        </w:rPr>
        <w:t>(3).</w:t>
      </w:r>
    </w:p>
    <w:p w14:paraId="78B67B87">
      <w:pPr>
        <w:jc w:val="both"/>
        <w:rPr>
          <w:rFonts w:ascii="Arial" w:hAnsi="Arial" w:eastAsia="SimSun" w:cs="Arial"/>
          <w:shd w:val="clear" w:color="auto" w:fill="FFFFFF"/>
        </w:rPr>
      </w:pPr>
    </w:p>
    <w:p w14:paraId="0BADEDB2">
      <w:pPr>
        <w:jc w:val="both"/>
        <w:rPr>
          <w:rFonts w:ascii="Arial" w:hAnsi="Arial" w:eastAsia="SimSun" w:cs="Arial"/>
          <w:shd w:val="clear" w:color="auto" w:fill="FFFFFF"/>
        </w:rPr>
      </w:pPr>
      <w:r>
        <w:rPr>
          <w:rFonts w:ascii="Arial" w:hAnsi="Arial" w:eastAsia="SimSun" w:cs="Arial"/>
          <w:shd w:val="clear" w:color="auto" w:fill="FFFFFF"/>
        </w:rPr>
        <w:t>Castro-Barquero, S., Ruiz-León, A. M., Sierra-Pérez, M., Estruch, R., &amp; Casas, R. (2020). Dietary strategies for metabolic syndrome: a comprehensive review. </w:t>
      </w:r>
      <w:r>
        <w:rPr>
          <w:rFonts w:ascii="Arial" w:hAnsi="Arial" w:eastAsia="SimSun" w:cs="Arial"/>
          <w:i/>
          <w:iCs/>
          <w:shd w:val="clear" w:color="auto" w:fill="FFFFFF"/>
        </w:rPr>
        <w:t>Nutrients</w:t>
      </w:r>
      <w:r>
        <w:rPr>
          <w:rFonts w:ascii="Arial" w:hAnsi="Arial" w:eastAsia="SimSun" w:cs="Arial"/>
          <w:shd w:val="clear" w:color="auto" w:fill="FFFFFF"/>
        </w:rPr>
        <w:t>, </w:t>
      </w:r>
      <w:r>
        <w:rPr>
          <w:rFonts w:ascii="Arial" w:hAnsi="Arial" w:eastAsia="SimSun" w:cs="Arial"/>
          <w:i/>
          <w:iCs/>
          <w:shd w:val="clear" w:color="auto" w:fill="FFFFFF"/>
        </w:rPr>
        <w:t>12</w:t>
      </w:r>
      <w:r>
        <w:rPr>
          <w:rFonts w:ascii="Arial" w:hAnsi="Arial" w:eastAsia="SimSun" w:cs="Arial"/>
          <w:shd w:val="clear" w:color="auto" w:fill="FFFFFF"/>
        </w:rPr>
        <w:t>(10), 2983.</w:t>
      </w:r>
    </w:p>
    <w:p w14:paraId="2A847EB0">
      <w:pPr>
        <w:jc w:val="both"/>
        <w:rPr>
          <w:rFonts w:ascii="Arial" w:hAnsi="Arial" w:eastAsia="SimSun" w:cs="Arial"/>
          <w:shd w:val="clear" w:color="auto" w:fill="FFFFFF"/>
        </w:rPr>
      </w:pPr>
      <w:r>
        <w:rPr>
          <w:rFonts w:ascii="Arial" w:hAnsi="Arial" w:eastAsia="SimSun" w:cs="Arial"/>
          <w:shd w:val="clear" w:color="auto" w:fill="FFFFFF"/>
        </w:rPr>
        <w:t>Cena, H., &amp; Calder, P. C. (2020). Defining a healthy diet: evidence for the role of contemporary dietary patterns in health and disease. </w:t>
      </w:r>
      <w:r>
        <w:rPr>
          <w:rFonts w:ascii="Arial" w:hAnsi="Arial" w:eastAsia="SimSun" w:cs="Arial"/>
          <w:i/>
          <w:iCs/>
          <w:shd w:val="clear" w:color="auto" w:fill="FFFFFF"/>
        </w:rPr>
        <w:t>Nutrients</w:t>
      </w:r>
      <w:r>
        <w:rPr>
          <w:rFonts w:ascii="Arial" w:hAnsi="Arial" w:eastAsia="SimSun" w:cs="Arial"/>
          <w:shd w:val="clear" w:color="auto" w:fill="FFFFFF"/>
        </w:rPr>
        <w:t>, </w:t>
      </w:r>
      <w:r>
        <w:rPr>
          <w:rFonts w:ascii="Arial" w:hAnsi="Arial" w:eastAsia="SimSun" w:cs="Arial"/>
          <w:i/>
          <w:iCs/>
          <w:shd w:val="clear" w:color="auto" w:fill="FFFFFF"/>
        </w:rPr>
        <w:t>12</w:t>
      </w:r>
      <w:r>
        <w:rPr>
          <w:rFonts w:ascii="Arial" w:hAnsi="Arial" w:eastAsia="SimSun" w:cs="Arial"/>
          <w:shd w:val="clear" w:color="auto" w:fill="FFFFFF"/>
        </w:rPr>
        <w:t>(2), 334.</w:t>
      </w:r>
    </w:p>
    <w:p w14:paraId="37FCE22E">
      <w:pPr>
        <w:jc w:val="both"/>
        <w:rPr>
          <w:rFonts w:ascii="Arial" w:hAnsi="Arial" w:eastAsia="SimSun" w:cs="Arial"/>
          <w:shd w:val="clear" w:color="auto" w:fill="FFFFFF"/>
        </w:rPr>
      </w:pPr>
    </w:p>
    <w:p w14:paraId="7B7DDA0C">
      <w:pPr>
        <w:jc w:val="both"/>
        <w:rPr>
          <w:rFonts w:ascii="Arial" w:hAnsi="Arial" w:eastAsia="SimSun" w:cs="Arial"/>
          <w:shd w:val="clear" w:color="auto" w:fill="FFFFFF"/>
        </w:rPr>
      </w:pPr>
      <w:r>
        <w:rPr>
          <w:rFonts w:ascii="Arial" w:hAnsi="Arial" w:eastAsia="SimSun" w:cs="Arial"/>
          <w:shd w:val="clear" w:color="auto" w:fill="FFFFFF"/>
        </w:rPr>
        <w:t>Cervera-Mata, A., Sahu, P. K., Chakradhari, S., Sahu, Y. K., Patel, K. S., Singh, S., ... &amp; Rufián-Henares, J. A. (2022). Plant seeds as source of nutrients and phytochemicals for the Indian population. </w:t>
      </w:r>
      <w:r>
        <w:rPr>
          <w:rFonts w:ascii="Arial" w:hAnsi="Arial" w:eastAsia="SimSun" w:cs="Arial"/>
          <w:i/>
          <w:iCs/>
          <w:shd w:val="clear" w:color="auto" w:fill="FFFFFF"/>
        </w:rPr>
        <w:t>International Journal of Food Science and Technology</w:t>
      </w:r>
      <w:r>
        <w:rPr>
          <w:rFonts w:ascii="Arial" w:hAnsi="Arial" w:eastAsia="SimSun" w:cs="Arial"/>
          <w:shd w:val="clear" w:color="auto" w:fill="FFFFFF"/>
        </w:rPr>
        <w:t>, </w:t>
      </w:r>
      <w:r>
        <w:rPr>
          <w:rFonts w:ascii="Arial" w:hAnsi="Arial" w:eastAsia="SimSun" w:cs="Arial"/>
          <w:i/>
          <w:iCs/>
          <w:shd w:val="clear" w:color="auto" w:fill="FFFFFF"/>
        </w:rPr>
        <w:t>57</w:t>
      </w:r>
      <w:r>
        <w:rPr>
          <w:rFonts w:ascii="Arial" w:hAnsi="Arial" w:eastAsia="SimSun" w:cs="Arial"/>
          <w:shd w:val="clear" w:color="auto" w:fill="FFFFFF"/>
        </w:rPr>
        <w:t>(1), 525-532.</w:t>
      </w:r>
    </w:p>
    <w:p w14:paraId="2622E84F">
      <w:pPr>
        <w:jc w:val="both"/>
        <w:rPr>
          <w:rFonts w:ascii="Arial" w:hAnsi="Arial" w:eastAsia="SimSun" w:cs="Arial"/>
          <w:shd w:val="clear" w:color="auto" w:fill="FFFFFF"/>
        </w:rPr>
      </w:pPr>
    </w:p>
    <w:p w14:paraId="2436F28C">
      <w:pPr>
        <w:jc w:val="both"/>
        <w:rPr>
          <w:rFonts w:ascii="Arial" w:hAnsi="Arial" w:eastAsia="SimSun" w:cs="Arial"/>
          <w:shd w:val="clear" w:color="auto" w:fill="FFFFFF"/>
        </w:rPr>
      </w:pPr>
      <w:r>
        <w:rPr>
          <w:rFonts w:ascii="Arial" w:hAnsi="Arial" w:eastAsia="SimSun" w:cs="Arial"/>
          <w:shd w:val="clear" w:color="auto" w:fill="FFFFFF"/>
        </w:rPr>
        <w:t>Chauhan, D., Kumar, K., Ahmed, N., Singh, T. P., &amp; Thakur, P. (2022). Effect of processing treatments on the nutritional, anti-nutritional, and bioactive composition of blue maize (Zea mays L.). </w:t>
      </w:r>
      <w:r>
        <w:rPr>
          <w:rFonts w:ascii="Arial" w:hAnsi="Arial" w:eastAsia="SimSun" w:cs="Arial"/>
          <w:i/>
          <w:iCs/>
          <w:shd w:val="clear" w:color="auto" w:fill="FFFFFF"/>
        </w:rPr>
        <w:t>Current Research in Nutrition and Food Science Journal</w:t>
      </w:r>
      <w:r>
        <w:rPr>
          <w:rFonts w:ascii="Arial" w:hAnsi="Arial" w:eastAsia="SimSun" w:cs="Arial"/>
          <w:shd w:val="clear" w:color="auto" w:fill="FFFFFF"/>
        </w:rPr>
        <w:t>, </w:t>
      </w:r>
      <w:r>
        <w:rPr>
          <w:rFonts w:ascii="Arial" w:hAnsi="Arial" w:eastAsia="SimSun" w:cs="Arial"/>
          <w:i/>
          <w:iCs/>
          <w:shd w:val="clear" w:color="auto" w:fill="FFFFFF"/>
        </w:rPr>
        <w:t>10</w:t>
      </w:r>
      <w:r>
        <w:rPr>
          <w:rFonts w:ascii="Arial" w:hAnsi="Arial" w:eastAsia="SimSun" w:cs="Arial"/>
          <w:shd w:val="clear" w:color="auto" w:fill="FFFFFF"/>
        </w:rPr>
        <w:t>(1), 171-182.</w:t>
      </w:r>
    </w:p>
    <w:p w14:paraId="6B03A226">
      <w:pPr>
        <w:jc w:val="both"/>
        <w:rPr>
          <w:rFonts w:ascii="Arial" w:hAnsi="Arial" w:eastAsia="SimSun" w:cs="Arial"/>
          <w:shd w:val="clear" w:color="auto" w:fill="FFFFFF"/>
        </w:rPr>
      </w:pPr>
    </w:p>
    <w:p w14:paraId="05707BFA">
      <w:pPr>
        <w:jc w:val="both"/>
        <w:rPr>
          <w:rFonts w:ascii="Arial" w:hAnsi="Arial" w:eastAsia="SimSun" w:cs="Arial"/>
          <w:shd w:val="clear" w:color="auto" w:fill="FFFFFF"/>
        </w:rPr>
      </w:pPr>
      <w:r>
        <w:rPr>
          <w:rFonts w:ascii="Arial" w:hAnsi="Arial" w:eastAsia="SimSun" w:cs="Arial"/>
          <w:shd w:val="clear" w:color="auto" w:fill="FFFFFF"/>
        </w:rPr>
        <w:t>Chitra, R., &amp; Parthiban, S. (2023). Tamarind. In </w:t>
      </w:r>
      <w:r>
        <w:rPr>
          <w:rFonts w:ascii="Arial" w:hAnsi="Arial" w:eastAsia="SimSun" w:cs="Arial"/>
          <w:i/>
          <w:iCs/>
          <w:shd w:val="clear" w:color="auto" w:fill="FFFFFF"/>
        </w:rPr>
        <w:t>Handbook of Spices in India: 75 Years of Research and Development</w:t>
      </w:r>
      <w:r>
        <w:rPr>
          <w:rFonts w:ascii="Arial" w:hAnsi="Arial" w:eastAsia="SimSun" w:cs="Arial"/>
          <w:shd w:val="clear" w:color="auto" w:fill="FFFFFF"/>
        </w:rPr>
        <w:t> (pp. 2787-2831). Singapore: Springer Nature Singapore.</w:t>
      </w:r>
    </w:p>
    <w:p w14:paraId="4750D626">
      <w:pPr>
        <w:jc w:val="both"/>
        <w:rPr>
          <w:rFonts w:ascii="Arial" w:hAnsi="Arial" w:eastAsia="SimSun" w:cs="Arial"/>
          <w:shd w:val="clear" w:color="auto" w:fill="FFFFFF"/>
        </w:rPr>
      </w:pPr>
    </w:p>
    <w:p w14:paraId="03344FB8">
      <w:pPr>
        <w:jc w:val="both"/>
        <w:rPr>
          <w:rFonts w:ascii="Arial" w:hAnsi="Arial" w:eastAsia="SimSun" w:cs="Arial"/>
          <w:shd w:val="clear" w:color="auto" w:fill="FFFFFF"/>
        </w:rPr>
      </w:pPr>
      <w:r>
        <w:rPr>
          <w:rFonts w:ascii="Arial" w:hAnsi="Arial" w:eastAsia="SimSun" w:cs="Arial"/>
          <w:shd w:val="clear" w:color="auto" w:fill="FFFFFF"/>
        </w:rPr>
        <w:t>das Graças Costa, E., &amp; de Souza, P. M. (2023). Introduction to cereals. In </w:t>
      </w:r>
      <w:r>
        <w:rPr>
          <w:rFonts w:ascii="Arial" w:hAnsi="Arial" w:eastAsia="SimSun" w:cs="Arial"/>
          <w:i/>
          <w:iCs/>
          <w:shd w:val="clear" w:color="auto" w:fill="FFFFFF"/>
        </w:rPr>
        <w:t>Cereal-based food products</w:t>
      </w:r>
      <w:r>
        <w:rPr>
          <w:rFonts w:ascii="Arial" w:hAnsi="Arial" w:eastAsia="SimSun" w:cs="Arial"/>
          <w:shd w:val="clear" w:color="auto" w:fill="FFFFFF"/>
        </w:rPr>
        <w:t> (pp. 1-24). Cham: Springer International Publishing.</w:t>
      </w:r>
    </w:p>
    <w:p w14:paraId="08E2E624">
      <w:pPr>
        <w:jc w:val="both"/>
        <w:rPr>
          <w:rFonts w:ascii="Arial" w:hAnsi="Arial" w:eastAsia="SimSun" w:cs="Arial"/>
          <w:shd w:val="clear" w:color="auto" w:fill="FFFFFF"/>
        </w:rPr>
      </w:pPr>
    </w:p>
    <w:p w14:paraId="03A3B193">
      <w:pPr>
        <w:jc w:val="both"/>
        <w:rPr>
          <w:rFonts w:ascii="Arial" w:hAnsi="Arial" w:eastAsia="SimSun" w:cs="Arial"/>
          <w:shd w:val="clear" w:color="auto" w:fill="FFFFFF"/>
        </w:rPr>
      </w:pPr>
      <w:r>
        <w:rPr>
          <w:rFonts w:ascii="Arial" w:hAnsi="Arial" w:eastAsia="SimSun" w:cs="Arial"/>
          <w:shd w:val="clear" w:color="auto" w:fill="FFFFFF"/>
        </w:rPr>
        <w:t>Delgado, A., Issaoui, M., Vieira, M. C., Saraiva de Carvalho, I., &amp; Fardet, A. (2021). Food composition databases: Does it matter to human health?. </w:t>
      </w:r>
      <w:r>
        <w:rPr>
          <w:rFonts w:ascii="Arial" w:hAnsi="Arial" w:eastAsia="SimSun" w:cs="Arial"/>
          <w:i/>
          <w:iCs/>
          <w:shd w:val="clear" w:color="auto" w:fill="FFFFFF"/>
        </w:rPr>
        <w:t>Nutrients</w:t>
      </w:r>
      <w:r>
        <w:rPr>
          <w:rFonts w:ascii="Arial" w:hAnsi="Arial" w:eastAsia="SimSun" w:cs="Arial"/>
          <w:shd w:val="clear" w:color="auto" w:fill="FFFFFF"/>
        </w:rPr>
        <w:t>, </w:t>
      </w:r>
      <w:r>
        <w:rPr>
          <w:rFonts w:ascii="Arial" w:hAnsi="Arial" w:eastAsia="SimSun" w:cs="Arial"/>
          <w:i/>
          <w:iCs/>
          <w:shd w:val="clear" w:color="auto" w:fill="FFFFFF"/>
        </w:rPr>
        <w:t>13</w:t>
      </w:r>
      <w:r>
        <w:rPr>
          <w:rFonts w:ascii="Arial" w:hAnsi="Arial" w:eastAsia="SimSun" w:cs="Arial"/>
          <w:shd w:val="clear" w:color="auto" w:fill="FFFFFF"/>
        </w:rPr>
        <w:t>(8), 2816.</w:t>
      </w:r>
    </w:p>
    <w:p w14:paraId="39E00B3E">
      <w:pPr>
        <w:jc w:val="both"/>
        <w:rPr>
          <w:rFonts w:ascii="Arial" w:hAnsi="Arial" w:eastAsia="SimSun" w:cs="Arial"/>
          <w:shd w:val="clear" w:color="auto" w:fill="FFFFFF"/>
        </w:rPr>
      </w:pPr>
    </w:p>
    <w:p w14:paraId="631C129B">
      <w:pPr>
        <w:jc w:val="both"/>
        <w:rPr>
          <w:rFonts w:ascii="Arial" w:hAnsi="Arial" w:eastAsia="SimSun" w:cs="Arial"/>
          <w:shd w:val="clear" w:color="auto" w:fill="FFFFFF"/>
        </w:rPr>
      </w:pPr>
      <w:r>
        <w:rPr>
          <w:rFonts w:ascii="Arial" w:hAnsi="Arial" w:eastAsia="SimSun" w:cs="Arial"/>
          <w:shd w:val="clear" w:color="auto" w:fill="FFFFFF"/>
        </w:rPr>
        <w:t>Dommermuth, R., &amp; Ewing, K. (2018). Metabolic syndrome: systems thinking in heart disease. </w:t>
      </w:r>
      <w:r>
        <w:rPr>
          <w:rFonts w:ascii="Arial" w:hAnsi="Arial" w:eastAsia="SimSun" w:cs="Arial"/>
          <w:i/>
          <w:iCs/>
          <w:shd w:val="clear" w:color="auto" w:fill="FFFFFF"/>
        </w:rPr>
        <w:t>Primary Care: Clinics in Office Practice</w:t>
      </w:r>
      <w:r>
        <w:rPr>
          <w:rFonts w:ascii="Arial" w:hAnsi="Arial" w:eastAsia="SimSun" w:cs="Arial"/>
          <w:shd w:val="clear" w:color="auto" w:fill="FFFFFF"/>
        </w:rPr>
        <w:t>, </w:t>
      </w:r>
      <w:r>
        <w:rPr>
          <w:rFonts w:ascii="Arial" w:hAnsi="Arial" w:eastAsia="SimSun" w:cs="Arial"/>
          <w:i/>
          <w:iCs/>
          <w:shd w:val="clear" w:color="auto" w:fill="FFFFFF"/>
        </w:rPr>
        <w:t>45</w:t>
      </w:r>
      <w:r>
        <w:rPr>
          <w:rFonts w:ascii="Arial" w:hAnsi="Arial" w:eastAsia="SimSun" w:cs="Arial"/>
          <w:shd w:val="clear" w:color="auto" w:fill="FFFFFF"/>
        </w:rPr>
        <w:t>(1), 109-129.</w:t>
      </w:r>
    </w:p>
    <w:p w14:paraId="4702A963">
      <w:pPr>
        <w:jc w:val="both"/>
        <w:rPr>
          <w:rFonts w:ascii="Arial" w:hAnsi="Arial" w:eastAsia="SimSun" w:cs="Arial"/>
          <w:shd w:val="clear" w:color="auto" w:fill="FFFFFF"/>
        </w:rPr>
      </w:pPr>
    </w:p>
    <w:p w14:paraId="4C291614">
      <w:pPr>
        <w:jc w:val="both"/>
        <w:rPr>
          <w:rFonts w:ascii="Arial" w:hAnsi="Arial" w:eastAsia="SimSun" w:cs="Arial"/>
          <w:shd w:val="clear" w:color="auto" w:fill="FFFFFF"/>
        </w:rPr>
      </w:pPr>
      <w:r>
        <w:rPr>
          <w:rFonts w:ascii="Arial" w:hAnsi="Arial" w:eastAsia="SimSun" w:cs="Arial"/>
          <w:shd w:val="clear" w:color="auto" w:fill="FFFFFF"/>
        </w:rPr>
        <w:t>Esfandi, R., Walters, M. E., &amp; Tsopmo, A. (2019). Antioxidant properties and potential mechanisms of hydrolyzed proteins and peptides from cereals. </w:t>
      </w:r>
      <w:r>
        <w:rPr>
          <w:rFonts w:ascii="Arial" w:hAnsi="Arial" w:eastAsia="SimSun" w:cs="Arial"/>
          <w:i/>
          <w:iCs/>
          <w:shd w:val="clear" w:color="auto" w:fill="FFFFFF"/>
        </w:rPr>
        <w:t>Heliyon</w:t>
      </w:r>
      <w:r>
        <w:rPr>
          <w:rFonts w:ascii="Arial" w:hAnsi="Arial" w:eastAsia="SimSun" w:cs="Arial"/>
          <w:shd w:val="clear" w:color="auto" w:fill="FFFFFF"/>
        </w:rPr>
        <w:t>, </w:t>
      </w:r>
      <w:r>
        <w:rPr>
          <w:rFonts w:ascii="Arial" w:hAnsi="Arial" w:eastAsia="SimSun" w:cs="Arial"/>
          <w:i/>
          <w:iCs/>
          <w:shd w:val="clear" w:color="auto" w:fill="FFFFFF"/>
        </w:rPr>
        <w:t>5</w:t>
      </w:r>
      <w:r>
        <w:rPr>
          <w:rFonts w:ascii="Arial" w:hAnsi="Arial" w:eastAsia="SimSun" w:cs="Arial"/>
          <w:shd w:val="clear" w:color="auto" w:fill="FFFFFF"/>
        </w:rPr>
        <w:t>(4).</w:t>
      </w:r>
    </w:p>
    <w:p w14:paraId="5F40D24F">
      <w:pPr>
        <w:jc w:val="both"/>
        <w:rPr>
          <w:rFonts w:ascii="Arial" w:hAnsi="Arial" w:eastAsia="SimSun" w:cs="Arial"/>
          <w:shd w:val="clear" w:color="auto" w:fill="FFFFFF"/>
        </w:rPr>
      </w:pPr>
    </w:p>
    <w:p w14:paraId="54D100C2">
      <w:pPr>
        <w:jc w:val="both"/>
        <w:rPr>
          <w:rFonts w:ascii="Arial" w:hAnsi="Arial" w:eastAsia="SimSun" w:cs="Arial"/>
          <w:shd w:val="clear" w:color="auto" w:fill="FFFFFF"/>
        </w:rPr>
      </w:pPr>
      <w:r>
        <w:rPr>
          <w:rFonts w:ascii="Arial" w:hAnsi="Arial" w:eastAsia="SimSun" w:cs="Arial"/>
          <w:shd w:val="clear" w:color="auto" w:fill="FFFFFF"/>
        </w:rPr>
        <w:t>Etiosa, O. R., Chika, N. B., &amp; Benedicta, A. (2017). Mineral and proximate composition of soya bean. </w:t>
      </w:r>
      <w:r>
        <w:rPr>
          <w:rFonts w:ascii="Arial" w:hAnsi="Arial" w:eastAsia="SimSun" w:cs="Arial"/>
          <w:i/>
          <w:iCs/>
          <w:shd w:val="clear" w:color="auto" w:fill="FFFFFF"/>
        </w:rPr>
        <w:t>Asian Journal of Physical and Chemical Sciences</w:t>
      </w:r>
      <w:r>
        <w:rPr>
          <w:rFonts w:ascii="Arial" w:hAnsi="Arial" w:eastAsia="SimSun" w:cs="Arial"/>
          <w:shd w:val="clear" w:color="auto" w:fill="FFFFFF"/>
        </w:rPr>
        <w:t>, </w:t>
      </w:r>
      <w:r>
        <w:rPr>
          <w:rFonts w:ascii="Arial" w:hAnsi="Arial" w:eastAsia="SimSun" w:cs="Arial"/>
          <w:i/>
          <w:iCs/>
          <w:shd w:val="clear" w:color="auto" w:fill="FFFFFF"/>
        </w:rPr>
        <w:t>4</w:t>
      </w:r>
      <w:r>
        <w:rPr>
          <w:rFonts w:ascii="Arial" w:hAnsi="Arial" w:eastAsia="SimSun" w:cs="Arial"/>
          <w:shd w:val="clear" w:color="auto" w:fill="FFFFFF"/>
        </w:rPr>
        <w:t>(3), 1-6.</w:t>
      </w:r>
    </w:p>
    <w:p w14:paraId="7116E711">
      <w:pPr>
        <w:jc w:val="both"/>
        <w:rPr>
          <w:rFonts w:ascii="Arial" w:hAnsi="Arial" w:eastAsia="SimSun" w:cs="Arial"/>
          <w:shd w:val="clear" w:color="auto" w:fill="FFFFFF"/>
        </w:rPr>
      </w:pPr>
    </w:p>
    <w:p w14:paraId="16AB7A27">
      <w:pPr>
        <w:jc w:val="both"/>
        <w:rPr>
          <w:rFonts w:ascii="Arial" w:hAnsi="Arial" w:eastAsia="SimSun" w:cs="Arial"/>
          <w:shd w:val="clear" w:color="auto" w:fill="FFFFFF"/>
        </w:rPr>
      </w:pPr>
      <w:r>
        <w:rPr>
          <w:rFonts w:ascii="Arial" w:hAnsi="Arial" w:eastAsia="SimSun" w:cs="Arial"/>
          <w:shd w:val="clear" w:color="auto" w:fill="FFFFFF"/>
        </w:rPr>
        <w:t>Ezegbe, C. C., Nwosu, J. N., Owuamanam, C. I., Victor-Aduloju, T. A., &amp; Nkhata, S. G. (2023). Proximate composition and anti-nutritional factors in Mucuna pruriens (velvet bean) seed flour as affected by several processing methods. </w:t>
      </w:r>
      <w:r>
        <w:rPr>
          <w:rFonts w:ascii="Arial" w:hAnsi="Arial" w:eastAsia="SimSun" w:cs="Arial"/>
          <w:i/>
          <w:iCs/>
          <w:shd w:val="clear" w:color="auto" w:fill="FFFFFF"/>
        </w:rPr>
        <w:t>Heliyon</w:t>
      </w:r>
      <w:r>
        <w:rPr>
          <w:rFonts w:ascii="Arial" w:hAnsi="Arial" w:eastAsia="SimSun" w:cs="Arial"/>
          <w:shd w:val="clear" w:color="auto" w:fill="FFFFFF"/>
        </w:rPr>
        <w:t>, </w:t>
      </w:r>
      <w:r>
        <w:rPr>
          <w:rFonts w:ascii="Arial" w:hAnsi="Arial" w:eastAsia="SimSun" w:cs="Arial"/>
          <w:i/>
          <w:iCs/>
          <w:shd w:val="clear" w:color="auto" w:fill="FFFFFF"/>
        </w:rPr>
        <w:t>9</w:t>
      </w:r>
      <w:r>
        <w:rPr>
          <w:rFonts w:ascii="Arial" w:hAnsi="Arial" w:eastAsia="SimSun" w:cs="Arial"/>
          <w:shd w:val="clear" w:color="auto" w:fill="FFFFFF"/>
        </w:rPr>
        <w:t>(8).</w:t>
      </w:r>
    </w:p>
    <w:p w14:paraId="4B79F120">
      <w:pPr>
        <w:jc w:val="both"/>
        <w:rPr>
          <w:rFonts w:ascii="Arial" w:hAnsi="Arial" w:eastAsia="SimSun" w:cs="Arial"/>
          <w:shd w:val="clear" w:color="auto" w:fill="FFFFFF"/>
        </w:rPr>
      </w:pPr>
    </w:p>
    <w:p w14:paraId="202432FE">
      <w:pPr>
        <w:jc w:val="both"/>
        <w:rPr>
          <w:rFonts w:ascii="Arial" w:hAnsi="Arial" w:eastAsia="SimSun" w:cs="Arial"/>
          <w:shd w:val="clear" w:color="auto" w:fill="FFFFFF"/>
        </w:rPr>
      </w:pPr>
      <w:r>
        <w:rPr>
          <w:rFonts w:ascii="Arial" w:hAnsi="Arial" w:eastAsia="SimSun" w:cs="Arial"/>
          <w:shd w:val="clear" w:color="auto" w:fill="FFFFFF"/>
        </w:rPr>
        <w:t>Ganogpichayagrai, A., &amp; Suksaard, C. (2020). Proximate composition, vitamin and mineral composition, antioxidant capacity, and anticancer activity of Acanthopanax trifoliatus. </w:t>
      </w:r>
      <w:r>
        <w:rPr>
          <w:rFonts w:ascii="Arial" w:hAnsi="Arial" w:eastAsia="SimSun" w:cs="Arial"/>
          <w:i/>
          <w:iCs/>
          <w:shd w:val="clear" w:color="auto" w:fill="FFFFFF"/>
        </w:rPr>
        <w:t>Journal of advanced pharmaceutical technology &amp; research</w:t>
      </w:r>
      <w:r>
        <w:rPr>
          <w:rFonts w:ascii="Arial" w:hAnsi="Arial" w:eastAsia="SimSun" w:cs="Arial"/>
          <w:shd w:val="clear" w:color="auto" w:fill="FFFFFF"/>
        </w:rPr>
        <w:t>, </w:t>
      </w:r>
      <w:r>
        <w:rPr>
          <w:rFonts w:ascii="Arial" w:hAnsi="Arial" w:eastAsia="SimSun" w:cs="Arial"/>
          <w:i/>
          <w:iCs/>
          <w:shd w:val="clear" w:color="auto" w:fill="FFFFFF"/>
        </w:rPr>
        <w:t>11</w:t>
      </w:r>
      <w:r>
        <w:rPr>
          <w:rFonts w:ascii="Arial" w:hAnsi="Arial" w:eastAsia="SimSun" w:cs="Arial"/>
          <w:shd w:val="clear" w:color="auto" w:fill="FFFFFF"/>
        </w:rPr>
        <w:t>(4), 179-183.</w:t>
      </w:r>
    </w:p>
    <w:p w14:paraId="27C4F000">
      <w:pPr>
        <w:jc w:val="both"/>
        <w:rPr>
          <w:rFonts w:ascii="Arial" w:hAnsi="Arial" w:eastAsia="SimSun" w:cs="Arial"/>
          <w:shd w:val="clear" w:color="auto" w:fill="FFFFFF"/>
        </w:rPr>
      </w:pPr>
    </w:p>
    <w:p w14:paraId="4937EC8B">
      <w:pPr>
        <w:jc w:val="both"/>
        <w:rPr>
          <w:rFonts w:ascii="Arial" w:hAnsi="Arial" w:eastAsia="SimSun" w:cs="Arial"/>
          <w:shd w:val="clear" w:color="auto" w:fill="FFFFFF"/>
        </w:rPr>
      </w:pPr>
      <w:r>
        <w:rPr>
          <w:rFonts w:ascii="Arial" w:hAnsi="Arial" w:eastAsia="SimSun" w:cs="Arial"/>
          <w:shd w:val="clear" w:color="auto" w:fill="FFFFFF"/>
        </w:rPr>
        <w:t>Ghare, M., Vishwakarma, K., Tripathi, S., Dixit, G. P., &amp; Soren, K. R. (2024). Unveiling the benefits of resistant starch in legumes: Overview of current and future prospective. </w:t>
      </w:r>
      <w:r>
        <w:rPr>
          <w:rFonts w:ascii="Arial" w:hAnsi="Arial" w:eastAsia="SimSun" w:cs="Arial"/>
          <w:i/>
          <w:iCs/>
          <w:shd w:val="clear" w:color="auto" w:fill="FFFFFF"/>
        </w:rPr>
        <w:t>Starch‐Stärke</w:t>
      </w:r>
      <w:r>
        <w:rPr>
          <w:rFonts w:ascii="Arial" w:hAnsi="Arial" w:eastAsia="SimSun" w:cs="Arial"/>
          <w:shd w:val="clear" w:color="auto" w:fill="FFFFFF"/>
        </w:rPr>
        <w:t>, </w:t>
      </w:r>
      <w:r>
        <w:rPr>
          <w:rFonts w:ascii="Arial" w:hAnsi="Arial" w:eastAsia="SimSun" w:cs="Arial"/>
          <w:i/>
          <w:iCs/>
          <w:shd w:val="clear" w:color="auto" w:fill="FFFFFF"/>
        </w:rPr>
        <w:t>76</w:t>
      </w:r>
      <w:r>
        <w:rPr>
          <w:rFonts w:ascii="Arial" w:hAnsi="Arial" w:eastAsia="SimSun" w:cs="Arial"/>
          <w:shd w:val="clear" w:color="auto" w:fill="FFFFFF"/>
        </w:rPr>
        <w:t>(7-8), 2300212.</w:t>
      </w:r>
    </w:p>
    <w:p w14:paraId="017A6159">
      <w:pPr>
        <w:jc w:val="both"/>
        <w:rPr>
          <w:rFonts w:ascii="Arial" w:hAnsi="Arial" w:eastAsia="SimSun" w:cs="Arial"/>
          <w:shd w:val="clear" w:color="auto" w:fill="FFFFFF"/>
        </w:rPr>
      </w:pPr>
    </w:p>
    <w:p w14:paraId="4EF5466F">
      <w:pPr>
        <w:jc w:val="both"/>
        <w:rPr>
          <w:rFonts w:ascii="Arial" w:hAnsi="Arial" w:eastAsia="SimSun" w:cs="Arial"/>
          <w:shd w:val="clear" w:color="auto" w:fill="FFFFFF"/>
        </w:rPr>
      </w:pPr>
      <w:r>
        <w:rPr>
          <w:rFonts w:ascii="Arial" w:hAnsi="Arial" w:eastAsia="SimSun" w:cs="Arial"/>
          <w:shd w:val="clear" w:color="auto" w:fill="FFFFFF"/>
        </w:rPr>
        <w:t>Gnansounou, S. M., Noudogbessi, J. P., Yehouenou, B., Gbaguidi, A. N. M., Dovonon, L., Aina, M. P., ... &amp; Sohounhloue, D. (2014). Proximate composition and micronutrient potentials of Dialium guineense wild growing in Benin. </w:t>
      </w:r>
      <w:r>
        <w:rPr>
          <w:rFonts w:ascii="Arial" w:hAnsi="Arial" w:eastAsia="SimSun" w:cs="Arial"/>
          <w:i/>
          <w:iCs/>
          <w:shd w:val="clear" w:color="auto" w:fill="FFFFFF"/>
        </w:rPr>
        <w:t>International Food Research Journal</w:t>
      </w:r>
      <w:r>
        <w:rPr>
          <w:rFonts w:ascii="Arial" w:hAnsi="Arial" w:eastAsia="SimSun" w:cs="Arial"/>
          <w:shd w:val="clear" w:color="auto" w:fill="FFFFFF"/>
        </w:rPr>
        <w:t>, </w:t>
      </w:r>
      <w:r>
        <w:rPr>
          <w:rFonts w:ascii="Arial" w:hAnsi="Arial" w:eastAsia="SimSun" w:cs="Arial"/>
          <w:i/>
          <w:iCs/>
          <w:shd w:val="clear" w:color="auto" w:fill="FFFFFF"/>
        </w:rPr>
        <w:t>21</w:t>
      </w:r>
      <w:r>
        <w:rPr>
          <w:rFonts w:ascii="Arial" w:hAnsi="Arial" w:eastAsia="SimSun" w:cs="Arial"/>
          <w:shd w:val="clear" w:color="auto" w:fill="FFFFFF"/>
        </w:rPr>
        <w:t>(4), 1603.</w:t>
      </w:r>
    </w:p>
    <w:p w14:paraId="329BE585">
      <w:pPr>
        <w:jc w:val="both"/>
        <w:rPr>
          <w:rFonts w:ascii="Arial" w:hAnsi="Arial" w:eastAsia="SimSun" w:cs="Arial"/>
          <w:shd w:val="clear" w:color="auto" w:fill="FFFFFF"/>
        </w:rPr>
      </w:pPr>
    </w:p>
    <w:p w14:paraId="21C0F26A">
      <w:pPr>
        <w:jc w:val="both"/>
        <w:rPr>
          <w:rFonts w:ascii="Arial" w:hAnsi="Arial" w:eastAsia="SimSun" w:cs="Arial"/>
          <w:shd w:val="clear" w:color="auto" w:fill="FFFFFF"/>
        </w:rPr>
      </w:pPr>
      <w:r>
        <w:rPr>
          <w:rFonts w:ascii="Arial" w:hAnsi="Arial" w:eastAsia="SimSun" w:cs="Arial"/>
          <w:shd w:val="clear" w:color="auto" w:fill="FFFFFF"/>
        </w:rPr>
        <w:t>Hait, M., Kashyap, N. K., Chandel, S. S., &amp; Vaishnav, M. M. (2023). Proximate analysis of herbal drugs: methods, relevance, and quality control aspects. In </w:t>
      </w:r>
      <w:r>
        <w:rPr>
          <w:rFonts w:ascii="Arial" w:hAnsi="Arial" w:eastAsia="SimSun" w:cs="Arial"/>
          <w:i/>
          <w:iCs/>
          <w:shd w:val="clear" w:color="auto" w:fill="FFFFFF"/>
        </w:rPr>
        <w:t>Herbal Medicine Phytochemistry: Applications and Trends</w:t>
      </w:r>
      <w:r>
        <w:rPr>
          <w:rFonts w:ascii="Arial" w:hAnsi="Arial" w:eastAsia="SimSun" w:cs="Arial"/>
          <w:shd w:val="clear" w:color="auto" w:fill="FFFFFF"/>
        </w:rPr>
        <w:t> (pp. 1-30). Cham: Springer International Publishing.</w:t>
      </w:r>
    </w:p>
    <w:p w14:paraId="022090D9">
      <w:pPr>
        <w:jc w:val="both"/>
        <w:rPr>
          <w:rFonts w:ascii="Arial" w:hAnsi="Arial" w:eastAsia="SimSun" w:cs="Arial"/>
          <w:shd w:val="clear" w:color="auto" w:fill="FFFFFF"/>
        </w:rPr>
      </w:pPr>
    </w:p>
    <w:p w14:paraId="36617B1F">
      <w:pPr>
        <w:jc w:val="both"/>
        <w:rPr>
          <w:rFonts w:ascii="Arial" w:hAnsi="Arial" w:eastAsia="SimSun" w:cs="Arial"/>
          <w:shd w:val="clear" w:color="auto" w:fill="FFFFFF"/>
        </w:rPr>
      </w:pPr>
      <w:r>
        <w:rPr>
          <w:rFonts w:ascii="Arial" w:hAnsi="Arial" w:eastAsia="SimSun" w:cs="Arial"/>
          <w:shd w:val="clear" w:color="auto" w:fill="FFFFFF"/>
        </w:rPr>
        <w:t>Irabor, G. E., Ebhoaye, J. E., &amp; Odia, A. (2020). Qualitative and quantitative screening of some phytochemical compounds in watermelon (Citrullus lanatus) seeds cultivated in esan west local government area of edo state. </w:t>
      </w:r>
      <w:r>
        <w:rPr>
          <w:rFonts w:ascii="Arial" w:hAnsi="Arial" w:eastAsia="SimSun" w:cs="Arial"/>
          <w:i/>
          <w:iCs/>
          <w:shd w:val="clear" w:color="auto" w:fill="FFFFFF"/>
        </w:rPr>
        <w:t>Int. J. Eng. Sci. Technol</w:t>
      </w:r>
      <w:r>
        <w:rPr>
          <w:rFonts w:ascii="Arial" w:hAnsi="Arial" w:eastAsia="SimSun" w:cs="Arial"/>
          <w:shd w:val="clear" w:color="auto" w:fill="FFFFFF"/>
        </w:rPr>
        <w:t>, </w:t>
      </w:r>
      <w:r>
        <w:rPr>
          <w:rFonts w:ascii="Arial" w:hAnsi="Arial" w:eastAsia="SimSun" w:cs="Arial"/>
          <w:i/>
          <w:iCs/>
          <w:shd w:val="clear" w:color="auto" w:fill="FFFFFF"/>
        </w:rPr>
        <w:t>5</w:t>
      </w:r>
      <w:r>
        <w:rPr>
          <w:rFonts w:ascii="Arial" w:hAnsi="Arial" w:eastAsia="SimSun" w:cs="Arial"/>
          <w:shd w:val="clear" w:color="auto" w:fill="FFFFFF"/>
        </w:rPr>
        <w:t>, 268-273.</w:t>
      </w:r>
    </w:p>
    <w:p w14:paraId="54BD2722">
      <w:pPr>
        <w:jc w:val="both"/>
        <w:rPr>
          <w:rFonts w:ascii="Arial" w:hAnsi="Arial" w:eastAsia="SimSun" w:cs="Arial"/>
          <w:shd w:val="clear" w:color="auto" w:fill="FFFFFF"/>
        </w:rPr>
      </w:pPr>
    </w:p>
    <w:p w14:paraId="77933025">
      <w:pPr>
        <w:jc w:val="both"/>
        <w:rPr>
          <w:rFonts w:ascii="Arial" w:hAnsi="Arial" w:eastAsia="SimSun" w:cs="Arial"/>
          <w:shd w:val="clear" w:color="auto" w:fill="FFFFFF"/>
        </w:rPr>
      </w:pPr>
      <w:r>
        <w:rPr>
          <w:rFonts w:ascii="Arial" w:hAnsi="Arial" w:eastAsia="SimSun" w:cs="Arial"/>
          <w:shd w:val="clear" w:color="auto" w:fill="FFFFFF"/>
        </w:rPr>
        <w:t>Khan, B., Marri, A., Soomro, A. H., &amp; Tarar, O. M. (2025). Traditional and Novel Food Processing Techniques affect Proximate Composition of Different Legume Seeds. </w:t>
      </w:r>
      <w:r>
        <w:rPr>
          <w:rFonts w:ascii="Arial" w:hAnsi="Arial" w:eastAsia="SimSun" w:cs="Arial"/>
          <w:i/>
          <w:iCs/>
          <w:shd w:val="clear" w:color="auto" w:fill="FFFFFF"/>
        </w:rPr>
        <w:t>Planta Animalia</w:t>
      </w:r>
      <w:r>
        <w:rPr>
          <w:rFonts w:ascii="Arial" w:hAnsi="Arial" w:eastAsia="SimSun" w:cs="Arial"/>
          <w:shd w:val="clear" w:color="auto" w:fill="FFFFFF"/>
        </w:rPr>
        <w:t>, </w:t>
      </w:r>
      <w:r>
        <w:rPr>
          <w:rFonts w:ascii="Arial" w:hAnsi="Arial" w:eastAsia="SimSun" w:cs="Arial"/>
          <w:i/>
          <w:iCs/>
          <w:shd w:val="clear" w:color="auto" w:fill="FFFFFF"/>
        </w:rPr>
        <w:t>4</w:t>
      </w:r>
      <w:r>
        <w:rPr>
          <w:rFonts w:ascii="Arial" w:hAnsi="Arial" w:eastAsia="SimSun" w:cs="Arial"/>
          <w:shd w:val="clear" w:color="auto" w:fill="FFFFFF"/>
        </w:rPr>
        <w:t>(2), 137-144.</w:t>
      </w:r>
    </w:p>
    <w:p w14:paraId="64AAF1C0">
      <w:pPr>
        <w:jc w:val="both"/>
        <w:rPr>
          <w:rFonts w:ascii="Arial" w:hAnsi="Arial" w:eastAsia="SimSun" w:cs="Arial"/>
          <w:shd w:val="clear" w:color="auto" w:fill="FFFFFF"/>
        </w:rPr>
      </w:pPr>
    </w:p>
    <w:p w14:paraId="0D094BC3">
      <w:pPr>
        <w:jc w:val="both"/>
        <w:rPr>
          <w:rFonts w:ascii="Arial" w:hAnsi="Arial" w:eastAsia="SimSun" w:cs="Arial"/>
          <w:shd w:val="clear" w:color="auto" w:fill="FFFFFF"/>
        </w:rPr>
      </w:pPr>
      <w:r>
        <w:rPr>
          <w:rFonts w:ascii="Arial" w:hAnsi="Arial" w:eastAsia="SimSun" w:cs="Arial"/>
          <w:shd w:val="clear" w:color="auto" w:fill="FFFFFF"/>
        </w:rPr>
        <w:t>Kowsalya, K., Vidya, N., Halka, J., Preetha, J. S. Y., Saradhadevi, M., Sahayarayan, J. J., ... &amp; Arun, M. (2025). Plant glycosides and glycosidases: classification, sources, and therapeutic insights in current medicine. </w:t>
      </w:r>
      <w:r>
        <w:rPr>
          <w:rFonts w:ascii="Arial" w:hAnsi="Arial" w:eastAsia="SimSun" w:cs="Arial"/>
          <w:i/>
          <w:iCs/>
          <w:shd w:val="clear" w:color="auto" w:fill="FFFFFF"/>
        </w:rPr>
        <w:t>Glycoconjugate journal</w:t>
      </w:r>
      <w:r>
        <w:rPr>
          <w:rFonts w:ascii="Arial" w:hAnsi="Arial" w:eastAsia="SimSun" w:cs="Arial"/>
          <w:shd w:val="clear" w:color="auto" w:fill="FFFFFF"/>
        </w:rPr>
        <w:t>, </w:t>
      </w:r>
      <w:r>
        <w:rPr>
          <w:rFonts w:ascii="Arial" w:hAnsi="Arial" w:eastAsia="SimSun" w:cs="Arial"/>
          <w:i/>
          <w:iCs/>
          <w:shd w:val="clear" w:color="auto" w:fill="FFFFFF"/>
        </w:rPr>
        <w:t>42</w:t>
      </w:r>
      <w:r>
        <w:rPr>
          <w:rFonts w:ascii="Arial" w:hAnsi="Arial" w:eastAsia="SimSun" w:cs="Arial"/>
          <w:shd w:val="clear" w:color="auto" w:fill="FFFFFF"/>
        </w:rPr>
        <w:t>(2), 107-124.</w:t>
      </w:r>
    </w:p>
    <w:p w14:paraId="38AC38BB">
      <w:pPr>
        <w:jc w:val="both"/>
        <w:rPr>
          <w:rFonts w:ascii="Arial" w:hAnsi="Arial" w:eastAsia="SimSun" w:cs="Arial"/>
          <w:shd w:val="clear" w:color="auto" w:fill="FFFFFF"/>
        </w:rPr>
      </w:pPr>
    </w:p>
    <w:p w14:paraId="42091CF3">
      <w:pPr>
        <w:jc w:val="both"/>
        <w:rPr>
          <w:rFonts w:ascii="Arial" w:hAnsi="Arial" w:eastAsia="SimSun" w:cs="Arial"/>
          <w:shd w:val="clear" w:color="auto" w:fill="FFFFFF"/>
        </w:rPr>
      </w:pPr>
      <w:r>
        <w:rPr>
          <w:rFonts w:ascii="Arial" w:hAnsi="Arial" w:eastAsia="SimSun" w:cs="Arial"/>
          <w:shd w:val="clear" w:color="auto" w:fill="FFFFFF"/>
        </w:rPr>
        <w:t>Langyan, S., Yadava, P., Khan, F. N., Dar, Z. A., Singh, R., &amp; Kumar, A. (2022). Sustaining protein nutrition through plant-based foods. </w:t>
      </w:r>
      <w:r>
        <w:rPr>
          <w:rFonts w:ascii="Arial" w:hAnsi="Arial" w:eastAsia="SimSun" w:cs="Arial"/>
          <w:i/>
          <w:iCs/>
          <w:shd w:val="clear" w:color="auto" w:fill="FFFFFF"/>
        </w:rPr>
        <w:t>Frontiers in nutrition</w:t>
      </w:r>
      <w:r>
        <w:rPr>
          <w:rFonts w:ascii="Arial" w:hAnsi="Arial" w:eastAsia="SimSun" w:cs="Arial"/>
          <w:shd w:val="clear" w:color="auto" w:fill="FFFFFF"/>
        </w:rPr>
        <w:t>, </w:t>
      </w:r>
      <w:r>
        <w:rPr>
          <w:rFonts w:ascii="Arial" w:hAnsi="Arial" w:eastAsia="SimSun" w:cs="Arial"/>
          <w:i/>
          <w:iCs/>
          <w:shd w:val="clear" w:color="auto" w:fill="FFFFFF"/>
        </w:rPr>
        <w:t>8</w:t>
      </w:r>
      <w:r>
        <w:rPr>
          <w:rFonts w:ascii="Arial" w:hAnsi="Arial" w:eastAsia="SimSun" w:cs="Arial"/>
          <w:shd w:val="clear" w:color="auto" w:fill="FFFFFF"/>
        </w:rPr>
        <w:t>, 772573.</w:t>
      </w:r>
    </w:p>
    <w:p w14:paraId="72A866E6">
      <w:pPr>
        <w:jc w:val="both"/>
        <w:rPr>
          <w:rFonts w:ascii="Arial" w:hAnsi="Arial" w:eastAsia="SimSun" w:cs="Arial"/>
          <w:shd w:val="clear" w:color="auto" w:fill="FFFFFF"/>
        </w:rPr>
      </w:pPr>
    </w:p>
    <w:p w14:paraId="4180707A">
      <w:pPr>
        <w:jc w:val="both"/>
        <w:rPr>
          <w:rFonts w:ascii="Arial" w:hAnsi="Arial" w:eastAsia="SimSun" w:cs="Arial"/>
          <w:shd w:val="clear" w:color="auto" w:fill="FFFFFF"/>
        </w:rPr>
      </w:pPr>
      <w:r>
        <w:rPr>
          <w:rFonts w:ascii="Arial" w:hAnsi="Arial" w:eastAsia="SimSun" w:cs="Arial"/>
          <w:shd w:val="clear" w:color="auto" w:fill="FFFFFF"/>
        </w:rPr>
        <w:t>Li, C., Hu, Y., &amp; Zhang, B. (2021). Plant cellular architecture and chemical composition as important regulator of starch functionality in whole foods. </w:t>
      </w:r>
      <w:r>
        <w:rPr>
          <w:rFonts w:ascii="Arial" w:hAnsi="Arial" w:eastAsia="SimSun" w:cs="Arial"/>
          <w:i/>
          <w:iCs/>
          <w:shd w:val="clear" w:color="auto" w:fill="FFFFFF"/>
        </w:rPr>
        <w:t>Food Hydrocolloids</w:t>
      </w:r>
      <w:r>
        <w:rPr>
          <w:rFonts w:ascii="Arial" w:hAnsi="Arial" w:eastAsia="SimSun" w:cs="Arial"/>
          <w:shd w:val="clear" w:color="auto" w:fill="FFFFFF"/>
        </w:rPr>
        <w:t>, </w:t>
      </w:r>
      <w:r>
        <w:rPr>
          <w:rFonts w:ascii="Arial" w:hAnsi="Arial" w:eastAsia="SimSun" w:cs="Arial"/>
          <w:i/>
          <w:iCs/>
          <w:shd w:val="clear" w:color="auto" w:fill="FFFFFF"/>
        </w:rPr>
        <w:t>117</w:t>
      </w:r>
      <w:r>
        <w:rPr>
          <w:rFonts w:ascii="Arial" w:hAnsi="Arial" w:eastAsia="SimSun" w:cs="Arial"/>
          <w:shd w:val="clear" w:color="auto" w:fill="FFFFFF"/>
        </w:rPr>
        <w:t>, 106744.</w:t>
      </w:r>
    </w:p>
    <w:p w14:paraId="7767D9F3">
      <w:pPr>
        <w:jc w:val="both"/>
        <w:rPr>
          <w:rFonts w:ascii="Arial" w:hAnsi="Arial" w:eastAsia="SimSun" w:cs="Arial"/>
          <w:shd w:val="clear" w:color="auto" w:fill="FFFFFF"/>
        </w:rPr>
      </w:pPr>
    </w:p>
    <w:p w14:paraId="6621331D">
      <w:pPr>
        <w:jc w:val="both"/>
        <w:rPr>
          <w:rFonts w:ascii="Arial" w:hAnsi="Arial" w:eastAsia="SimSun" w:cs="Arial"/>
          <w:shd w:val="clear" w:color="auto" w:fill="FFFFFF"/>
        </w:rPr>
      </w:pPr>
      <w:r>
        <w:rPr>
          <w:rFonts w:ascii="Arial" w:hAnsi="Arial" w:eastAsia="SimSun" w:cs="Arial"/>
          <w:shd w:val="clear" w:color="auto" w:fill="FFFFFF"/>
        </w:rPr>
        <w:t>Li, Y. (2022). </w:t>
      </w:r>
      <w:r>
        <w:rPr>
          <w:rFonts w:ascii="Arial" w:hAnsi="Arial" w:eastAsia="SimSun" w:cs="Arial"/>
          <w:i/>
          <w:iCs/>
          <w:shd w:val="clear" w:color="auto" w:fill="FFFFFF"/>
        </w:rPr>
        <w:t>Dietary intake of young adult college students before and during the COVID-19 pandemic</w:t>
      </w:r>
      <w:r>
        <w:rPr>
          <w:rFonts w:ascii="Arial" w:hAnsi="Arial" w:eastAsia="SimSun" w:cs="Arial"/>
          <w:shd w:val="clear" w:color="auto" w:fill="FFFFFF"/>
        </w:rPr>
        <w:t>. Rutgers The State University of New Jersey, School of Graduate Studies.</w:t>
      </w:r>
    </w:p>
    <w:p w14:paraId="22B2D8D9">
      <w:pPr>
        <w:jc w:val="both"/>
        <w:rPr>
          <w:rFonts w:ascii="Arial" w:hAnsi="Arial" w:eastAsia="SimSun" w:cs="Arial"/>
          <w:shd w:val="clear" w:color="auto" w:fill="FFFFFF"/>
        </w:rPr>
      </w:pPr>
    </w:p>
    <w:p w14:paraId="4235B33B">
      <w:pPr>
        <w:jc w:val="both"/>
        <w:rPr>
          <w:rFonts w:ascii="Arial" w:hAnsi="Arial" w:eastAsia="SimSun" w:cs="Arial"/>
          <w:shd w:val="clear" w:color="auto" w:fill="FFFFFF"/>
        </w:rPr>
      </w:pPr>
      <w:r>
        <w:rPr>
          <w:rFonts w:ascii="Arial" w:hAnsi="Arial" w:eastAsia="SimSun" w:cs="Arial"/>
          <w:shd w:val="clear" w:color="auto" w:fill="FFFFFF"/>
        </w:rPr>
        <w:t>Li, Y., Bahadur, R., Ahuja, J., Pehrsson, P., &amp; Harnly, J. (2021). Macro-and micronutrients in raw plant foods: The similarities of foods and implication for dietary diversification. </w:t>
      </w:r>
      <w:r>
        <w:rPr>
          <w:rFonts w:ascii="Arial" w:hAnsi="Arial" w:eastAsia="SimSun" w:cs="Arial"/>
          <w:i/>
          <w:iCs/>
          <w:shd w:val="clear" w:color="auto" w:fill="FFFFFF"/>
        </w:rPr>
        <w:t>Journal of Food Composition and Analysis</w:t>
      </w:r>
      <w:r>
        <w:rPr>
          <w:rFonts w:ascii="Arial" w:hAnsi="Arial" w:eastAsia="SimSun" w:cs="Arial"/>
          <w:shd w:val="clear" w:color="auto" w:fill="FFFFFF"/>
        </w:rPr>
        <w:t>, </w:t>
      </w:r>
      <w:r>
        <w:rPr>
          <w:rFonts w:ascii="Arial" w:hAnsi="Arial" w:eastAsia="SimSun" w:cs="Arial"/>
          <w:i/>
          <w:iCs/>
          <w:shd w:val="clear" w:color="auto" w:fill="FFFFFF"/>
        </w:rPr>
        <w:t>102</w:t>
      </w:r>
      <w:r>
        <w:rPr>
          <w:rFonts w:ascii="Arial" w:hAnsi="Arial" w:eastAsia="SimSun" w:cs="Arial"/>
          <w:shd w:val="clear" w:color="auto" w:fill="FFFFFF"/>
        </w:rPr>
        <w:t>, 103993.</w:t>
      </w:r>
    </w:p>
    <w:p w14:paraId="2129B354">
      <w:pPr>
        <w:jc w:val="both"/>
        <w:rPr>
          <w:rFonts w:ascii="Arial" w:hAnsi="Arial" w:eastAsia="SimSun" w:cs="Arial"/>
          <w:shd w:val="clear" w:color="auto" w:fill="FFFFFF"/>
        </w:rPr>
      </w:pPr>
    </w:p>
    <w:p w14:paraId="57D16FA3">
      <w:pPr>
        <w:jc w:val="both"/>
        <w:rPr>
          <w:rFonts w:ascii="Arial" w:hAnsi="Arial" w:eastAsia="SimSun" w:cs="Arial"/>
          <w:shd w:val="clear" w:color="auto" w:fill="FFFFFF"/>
        </w:rPr>
      </w:pPr>
      <w:r>
        <w:rPr>
          <w:rFonts w:ascii="Arial" w:hAnsi="Arial" w:eastAsia="SimSun" w:cs="Arial"/>
          <w:shd w:val="clear" w:color="auto" w:fill="FFFFFF"/>
        </w:rPr>
        <w:t>Magdoleen, G., &amp; Daffalla Hussien, M. (2020). Phytochemical screening and antibacterial activities of Sorghum bicolor leaves derived from in vitro culture. </w:t>
      </w:r>
      <w:r>
        <w:rPr>
          <w:rFonts w:ascii="Arial" w:hAnsi="Arial" w:eastAsia="SimSun" w:cs="Arial"/>
          <w:i/>
          <w:iCs/>
          <w:shd w:val="clear" w:color="auto" w:fill="FFFFFF"/>
        </w:rPr>
        <w:t>GSC Biol. Pharm. Sci</w:t>
      </w:r>
      <w:r>
        <w:rPr>
          <w:rFonts w:ascii="Arial" w:hAnsi="Arial" w:eastAsia="SimSun" w:cs="Arial"/>
          <w:shd w:val="clear" w:color="auto" w:fill="FFFFFF"/>
        </w:rPr>
        <w:t>, </w:t>
      </w:r>
      <w:r>
        <w:rPr>
          <w:rFonts w:ascii="Arial" w:hAnsi="Arial" w:eastAsia="SimSun" w:cs="Arial"/>
          <w:i/>
          <w:iCs/>
          <w:shd w:val="clear" w:color="auto" w:fill="FFFFFF"/>
        </w:rPr>
        <w:t>10</w:t>
      </w:r>
      <w:r>
        <w:rPr>
          <w:rFonts w:ascii="Arial" w:hAnsi="Arial" w:eastAsia="SimSun" w:cs="Arial"/>
          <w:shd w:val="clear" w:color="auto" w:fill="FFFFFF"/>
        </w:rPr>
        <w:t>, 65-72.</w:t>
      </w:r>
    </w:p>
    <w:p w14:paraId="18B49D0E">
      <w:pPr>
        <w:jc w:val="both"/>
        <w:rPr>
          <w:rFonts w:ascii="Arial" w:hAnsi="Arial" w:eastAsia="SimSun" w:cs="Arial"/>
          <w:shd w:val="clear" w:color="auto" w:fill="FFFFFF"/>
        </w:rPr>
      </w:pPr>
    </w:p>
    <w:p w14:paraId="63F9D795">
      <w:pPr>
        <w:jc w:val="both"/>
        <w:rPr>
          <w:rFonts w:ascii="Arial" w:hAnsi="Arial" w:eastAsia="SimSun" w:cs="Arial"/>
          <w:shd w:val="clear" w:color="auto" w:fill="FFFFFF"/>
        </w:rPr>
      </w:pPr>
      <w:r>
        <w:rPr>
          <w:rFonts w:ascii="Arial" w:hAnsi="Arial" w:eastAsia="SimSun" w:cs="Arial"/>
          <w:shd w:val="clear" w:color="auto" w:fill="FFFFFF"/>
        </w:rPr>
        <w:t>Md Noh, M. F., Gunasegavan, R. D. N., Mustafa Khalid, N., Balasubramaniam, V., Mustar, S., &amp; Abd Rashed, A. (2020). Recent techniques in nutrient analysis for food composition database. </w:t>
      </w:r>
      <w:r>
        <w:rPr>
          <w:rFonts w:ascii="Arial" w:hAnsi="Arial" w:eastAsia="SimSun" w:cs="Arial"/>
          <w:i/>
          <w:iCs/>
          <w:shd w:val="clear" w:color="auto" w:fill="FFFFFF"/>
        </w:rPr>
        <w:t>Molecules</w:t>
      </w:r>
      <w:r>
        <w:rPr>
          <w:rFonts w:ascii="Arial" w:hAnsi="Arial" w:eastAsia="SimSun" w:cs="Arial"/>
          <w:shd w:val="clear" w:color="auto" w:fill="FFFFFF"/>
        </w:rPr>
        <w:t>, </w:t>
      </w:r>
      <w:r>
        <w:rPr>
          <w:rFonts w:ascii="Arial" w:hAnsi="Arial" w:eastAsia="SimSun" w:cs="Arial"/>
          <w:i/>
          <w:iCs/>
          <w:shd w:val="clear" w:color="auto" w:fill="FFFFFF"/>
        </w:rPr>
        <w:t>25</w:t>
      </w:r>
      <w:r>
        <w:rPr>
          <w:rFonts w:ascii="Arial" w:hAnsi="Arial" w:eastAsia="SimSun" w:cs="Arial"/>
          <w:shd w:val="clear" w:color="auto" w:fill="FFFFFF"/>
        </w:rPr>
        <w:t>(19), 4567.</w:t>
      </w:r>
    </w:p>
    <w:p w14:paraId="02D0637F">
      <w:pPr>
        <w:jc w:val="both"/>
        <w:rPr>
          <w:rFonts w:ascii="Arial" w:hAnsi="Arial" w:eastAsia="SimSun" w:cs="Arial"/>
          <w:shd w:val="clear" w:color="auto" w:fill="FFFFFF"/>
        </w:rPr>
      </w:pPr>
    </w:p>
    <w:p w14:paraId="0F85B5FD">
      <w:pPr>
        <w:jc w:val="both"/>
        <w:rPr>
          <w:rFonts w:ascii="Arial" w:hAnsi="Arial" w:eastAsia="SimSun" w:cs="Arial"/>
          <w:shd w:val="clear" w:color="auto" w:fill="FFFFFF"/>
        </w:rPr>
      </w:pPr>
      <w:r>
        <w:rPr>
          <w:rFonts w:ascii="Arial" w:hAnsi="Arial" w:eastAsia="SimSun" w:cs="Arial"/>
          <w:shd w:val="clear" w:color="auto" w:fill="FFFFFF"/>
        </w:rPr>
        <w:t>Nagar, C. K., Dash, S. K., &amp; Rayaguru, K. (2022). Tamarind seed: Composition, applications, and value addition: A comprehensive review. </w:t>
      </w:r>
      <w:r>
        <w:rPr>
          <w:rFonts w:ascii="Arial" w:hAnsi="Arial" w:eastAsia="SimSun" w:cs="Arial"/>
          <w:i/>
          <w:iCs/>
          <w:shd w:val="clear" w:color="auto" w:fill="FFFFFF"/>
        </w:rPr>
        <w:t>Journal of Food Processing and Preservation</w:t>
      </w:r>
      <w:r>
        <w:rPr>
          <w:rFonts w:ascii="Arial" w:hAnsi="Arial" w:eastAsia="SimSun" w:cs="Arial"/>
          <w:shd w:val="clear" w:color="auto" w:fill="FFFFFF"/>
        </w:rPr>
        <w:t>, </w:t>
      </w:r>
      <w:r>
        <w:rPr>
          <w:rFonts w:ascii="Arial" w:hAnsi="Arial" w:eastAsia="SimSun" w:cs="Arial"/>
          <w:i/>
          <w:iCs/>
          <w:shd w:val="clear" w:color="auto" w:fill="FFFFFF"/>
        </w:rPr>
        <w:t>46</w:t>
      </w:r>
      <w:r>
        <w:rPr>
          <w:rFonts w:ascii="Arial" w:hAnsi="Arial" w:eastAsia="SimSun" w:cs="Arial"/>
          <w:shd w:val="clear" w:color="auto" w:fill="FFFFFF"/>
        </w:rPr>
        <w:t>(10), e16872.</w:t>
      </w:r>
    </w:p>
    <w:p w14:paraId="17A35CE4">
      <w:pPr>
        <w:jc w:val="both"/>
        <w:rPr>
          <w:rFonts w:ascii="Arial" w:hAnsi="Arial" w:eastAsia="SimSun" w:cs="Arial"/>
          <w:shd w:val="clear" w:color="auto" w:fill="FFFFFF"/>
        </w:rPr>
      </w:pPr>
    </w:p>
    <w:p w14:paraId="712F6739">
      <w:pPr>
        <w:jc w:val="both"/>
        <w:rPr>
          <w:rFonts w:ascii="Arial" w:hAnsi="Arial" w:eastAsia="SimSun" w:cs="Arial"/>
          <w:shd w:val="clear" w:color="auto" w:fill="FFFFFF"/>
        </w:rPr>
      </w:pPr>
      <w:r>
        <w:rPr>
          <w:rFonts w:ascii="Arial" w:hAnsi="Arial" w:eastAsia="SimSun" w:cs="Arial"/>
          <w:shd w:val="clear" w:color="auto" w:fill="FFFFFF"/>
        </w:rPr>
        <w:t>Nilsson, P. M., Tuomilehto, J., &amp; Rydén, L. (2019). The metabolic syndrome–What is it and how should it be managed?. </w:t>
      </w:r>
      <w:r>
        <w:rPr>
          <w:rFonts w:ascii="Arial" w:hAnsi="Arial" w:eastAsia="SimSun" w:cs="Arial"/>
          <w:i/>
          <w:iCs/>
          <w:shd w:val="clear" w:color="auto" w:fill="FFFFFF"/>
        </w:rPr>
        <w:t>European journal of preventive cardiology</w:t>
      </w:r>
      <w:r>
        <w:rPr>
          <w:rFonts w:ascii="Arial" w:hAnsi="Arial" w:eastAsia="SimSun" w:cs="Arial"/>
          <w:shd w:val="clear" w:color="auto" w:fill="FFFFFF"/>
        </w:rPr>
        <w:t>, </w:t>
      </w:r>
      <w:r>
        <w:rPr>
          <w:rFonts w:ascii="Arial" w:hAnsi="Arial" w:eastAsia="SimSun" w:cs="Arial"/>
          <w:i/>
          <w:iCs/>
          <w:shd w:val="clear" w:color="auto" w:fill="FFFFFF"/>
        </w:rPr>
        <w:t>26</w:t>
      </w:r>
      <w:r>
        <w:rPr>
          <w:rFonts w:ascii="Arial" w:hAnsi="Arial" w:eastAsia="SimSun" w:cs="Arial"/>
          <w:shd w:val="clear" w:color="auto" w:fill="FFFFFF"/>
        </w:rPr>
        <w:t>(2_suppl), 33-46.</w:t>
      </w:r>
    </w:p>
    <w:p w14:paraId="4297F217">
      <w:pPr>
        <w:jc w:val="both"/>
        <w:rPr>
          <w:rFonts w:ascii="Arial" w:hAnsi="Arial" w:eastAsia="SimSun" w:cs="Arial"/>
          <w:shd w:val="clear" w:color="auto" w:fill="FFFFFF"/>
        </w:rPr>
      </w:pPr>
    </w:p>
    <w:p w14:paraId="5A2F23E9">
      <w:pPr>
        <w:jc w:val="both"/>
        <w:rPr>
          <w:rFonts w:ascii="Arial" w:hAnsi="Arial" w:eastAsia="SimSun" w:cs="Arial"/>
          <w:shd w:val="clear" w:color="auto" w:fill="FFFFFF"/>
        </w:rPr>
      </w:pPr>
      <w:r>
        <w:rPr>
          <w:rFonts w:ascii="Arial" w:hAnsi="Arial" w:eastAsia="SimSun" w:cs="Arial"/>
          <w:shd w:val="clear" w:color="auto" w:fill="FFFFFF"/>
        </w:rPr>
        <w:t>Niyi, O. H. (2015). Analytical and Nutritional Evaluation of Velvet Tamarind (Dialium guineense) Pulps. </w:t>
      </w:r>
      <w:r>
        <w:rPr>
          <w:rFonts w:ascii="Arial" w:hAnsi="Arial" w:eastAsia="SimSun" w:cs="Arial"/>
          <w:i/>
          <w:iCs/>
          <w:shd w:val="clear" w:color="auto" w:fill="FFFFFF"/>
        </w:rPr>
        <w:t>American Chemical Science Journal</w:t>
      </w:r>
      <w:r>
        <w:rPr>
          <w:rFonts w:ascii="Arial" w:hAnsi="Arial" w:eastAsia="SimSun" w:cs="Arial"/>
          <w:shd w:val="clear" w:color="auto" w:fill="FFFFFF"/>
        </w:rPr>
        <w:t>, </w:t>
      </w:r>
      <w:r>
        <w:rPr>
          <w:rFonts w:ascii="Arial" w:hAnsi="Arial" w:eastAsia="SimSun" w:cs="Arial"/>
          <w:i/>
          <w:iCs/>
          <w:shd w:val="clear" w:color="auto" w:fill="FFFFFF"/>
        </w:rPr>
        <w:t>6</w:t>
      </w:r>
      <w:r>
        <w:rPr>
          <w:rFonts w:ascii="Arial" w:hAnsi="Arial" w:eastAsia="SimSun" w:cs="Arial"/>
          <w:shd w:val="clear" w:color="auto" w:fill="FFFFFF"/>
        </w:rPr>
        <w:t>(2), 69-76.</w:t>
      </w:r>
    </w:p>
    <w:p w14:paraId="5D818D64">
      <w:pPr>
        <w:jc w:val="both"/>
        <w:rPr>
          <w:rFonts w:ascii="Arial" w:hAnsi="Arial" w:eastAsia="SimSun" w:cs="Arial"/>
          <w:shd w:val="clear" w:color="auto" w:fill="FFFFFF"/>
        </w:rPr>
      </w:pPr>
    </w:p>
    <w:p w14:paraId="4E1A16CF">
      <w:pPr>
        <w:jc w:val="both"/>
        <w:rPr>
          <w:rFonts w:ascii="Arial" w:hAnsi="Arial" w:eastAsia="SimSun" w:cs="Arial"/>
          <w:shd w:val="clear" w:color="auto" w:fill="FFFFFF"/>
        </w:rPr>
      </w:pPr>
      <w:r>
        <w:rPr>
          <w:rFonts w:ascii="Arial" w:hAnsi="Arial" w:eastAsia="SimSun" w:cs="Arial"/>
          <w:shd w:val="clear" w:color="auto" w:fill="FFFFFF"/>
        </w:rPr>
        <w:t>Odeyemi, O. A., Alegbeleye, O. O., Strateva, M., &amp; Stratev, D. (2020). Understanding spoilage microbial community and spoilage mechanisms in foods of animal origin. </w:t>
      </w:r>
      <w:r>
        <w:rPr>
          <w:rFonts w:ascii="Arial" w:hAnsi="Arial" w:eastAsia="SimSun" w:cs="Arial"/>
          <w:i/>
          <w:iCs/>
          <w:shd w:val="clear" w:color="auto" w:fill="FFFFFF"/>
        </w:rPr>
        <w:t>Comprehensive reviews in food science and food safety</w:t>
      </w:r>
      <w:r>
        <w:rPr>
          <w:rFonts w:ascii="Arial" w:hAnsi="Arial" w:eastAsia="SimSun" w:cs="Arial"/>
          <w:shd w:val="clear" w:color="auto" w:fill="FFFFFF"/>
        </w:rPr>
        <w:t>, </w:t>
      </w:r>
      <w:r>
        <w:rPr>
          <w:rFonts w:ascii="Arial" w:hAnsi="Arial" w:eastAsia="SimSun" w:cs="Arial"/>
          <w:i/>
          <w:iCs/>
          <w:shd w:val="clear" w:color="auto" w:fill="FFFFFF"/>
        </w:rPr>
        <w:t>19</w:t>
      </w:r>
      <w:r>
        <w:rPr>
          <w:rFonts w:ascii="Arial" w:hAnsi="Arial" w:eastAsia="SimSun" w:cs="Arial"/>
          <w:shd w:val="clear" w:color="auto" w:fill="FFFFFF"/>
        </w:rPr>
        <w:t>(2), 311-331.</w:t>
      </w:r>
    </w:p>
    <w:p w14:paraId="59E9E91A">
      <w:pPr>
        <w:jc w:val="both"/>
        <w:rPr>
          <w:rFonts w:ascii="Arial" w:hAnsi="Arial" w:eastAsia="SimSun" w:cs="Arial"/>
          <w:shd w:val="clear" w:color="auto" w:fill="FFFFFF"/>
        </w:rPr>
      </w:pPr>
    </w:p>
    <w:p w14:paraId="7DA0657B">
      <w:pPr>
        <w:jc w:val="both"/>
        <w:rPr>
          <w:rFonts w:ascii="Arial" w:hAnsi="Arial" w:eastAsia="SimSun" w:cs="Arial"/>
          <w:shd w:val="clear" w:color="auto" w:fill="FFFFFF"/>
        </w:rPr>
      </w:pPr>
      <w:r>
        <w:rPr>
          <w:rFonts w:ascii="Arial" w:hAnsi="Arial" w:eastAsia="SimSun" w:cs="Arial"/>
          <w:shd w:val="clear" w:color="auto" w:fill="FFFFFF"/>
        </w:rPr>
        <w:t>Ogbuewu, I. P., Modisaojang-Mojanaga, M. M. C., Mokolopi, B. G., &amp; Mbajiorgu, C. A. (2023). Nutritional and chemical composition of black velvet tamarind (Dialium guineense Willd) and its influence on animal production: A review. </w:t>
      </w:r>
      <w:r>
        <w:rPr>
          <w:rFonts w:ascii="Arial" w:hAnsi="Arial" w:eastAsia="SimSun" w:cs="Arial"/>
          <w:i/>
          <w:iCs/>
          <w:shd w:val="clear" w:color="auto" w:fill="FFFFFF"/>
        </w:rPr>
        <w:t>Open Agriculture</w:t>
      </w:r>
      <w:r>
        <w:rPr>
          <w:rFonts w:ascii="Arial" w:hAnsi="Arial" w:eastAsia="SimSun" w:cs="Arial"/>
          <w:shd w:val="clear" w:color="auto" w:fill="FFFFFF"/>
        </w:rPr>
        <w:t>, </w:t>
      </w:r>
      <w:r>
        <w:rPr>
          <w:rFonts w:ascii="Arial" w:hAnsi="Arial" w:eastAsia="SimSun" w:cs="Arial"/>
          <w:i/>
          <w:iCs/>
          <w:shd w:val="clear" w:color="auto" w:fill="FFFFFF"/>
        </w:rPr>
        <w:t>8</w:t>
      </w:r>
      <w:r>
        <w:rPr>
          <w:rFonts w:ascii="Arial" w:hAnsi="Arial" w:eastAsia="SimSun" w:cs="Arial"/>
          <w:shd w:val="clear" w:color="auto" w:fill="FFFFFF"/>
        </w:rPr>
        <w:t>(1), 20220174.</w:t>
      </w:r>
    </w:p>
    <w:p w14:paraId="0D621420">
      <w:pPr>
        <w:jc w:val="both"/>
        <w:rPr>
          <w:rFonts w:ascii="Arial" w:hAnsi="Arial" w:eastAsia="SimSun" w:cs="Arial"/>
          <w:shd w:val="clear" w:color="auto" w:fill="FFFFFF"/>
        </w:rPr>
      </w:pPr>
    </w:p>
    <w:p w14:paraId="06AACD98">
      <w:pPr>
        <w:jc w:val="both"/>
        <w:rPr>
          <w:rFonts w:ascii="Arial" w:hAnsi="Arial" w:eastAsia="SimSun" w:cs="Arial"/>
          <w:shd w:val="clear" w:color="auto" w:fill="FFFFFF"/>
        </w:rPr>
      </w:pPr>
      <w:r>
        <w:rPr>
          <w:rFonts w:ascii="Arial" w:hAnsi="Arial" w:eastAsia="SimSun" w:cs="Arial"/>
          <w:shd w:val="clear" w:color="auto" w:fill="FFFFFF"/>
        </w:rPr>
        <w:t>Okechukwu-Ezike, N., Munonye, J., &amp; Esiegwu, A. (2020). Comparative evaluation of the proximate composition, anti-nutrients and functional properties of some underutilized pulses. </w:t>
      </w:r>
      <w:r>
        <w:rPr>
          <w:rFonts w:ascii="Arial" w:hAnsi="Arial" w:eastAsia="SimSun" w:cs="Arial"/>
          <w:i/>
          <w:iCs/>
          <w:shd w:val="clear" w:color="auto" w:fill="FFFFFF"/>
        </w:rPr>
        <w:t>Food Science and Quality Management</w:t>
      </w:r>
      <w:r>
        <w:rPr>
          <w:rFonts w:ascii="Arial" w:hAnsi="Arial" w:eastAsia="SimSun" w:cs="Arial"/>
          <w:shd w:val="clear" w:color="auto" w:fill="FFFFFF"/>
        </w:rPr>
        <w:t>, </w:t>
      </w:r>
      <w:r>
        <w:rPr>
          <w:rFonts w:ascii="Arial" w:hAnsi="Arial" w:eastAsia="SimSun" w:cs="Arial"/>
          <w:i/>
          <w:iCs/>
          <w:shd w:val="clear" w:color="auto" w:fill="FFFFFF"/>
        </w:rPr>
        <w:t>95</w:t>
      </w:r>
      <w:r>
        <w:rPr>
          <w:rFonts w:ascii="Arial" w:hAnsi="Arial" w:eastAsia="SimSun" w:cs="Arial"/>
          <w:shd w:val="clear" w:color="auto" w:fill="FFFFFF"/>
        </w:rPr>
        <w:t>(1), 95-08.</w:t>
      </w:r>
    </w:p>
    <w:p w14:paraId="619DFC03">
      <w:pPr>
        <w:jc w:val="both"/>
        <w:rPr>
          <w:rFonts w:ascii="Arial" w:hAnsi="Arial" w:eastAsia="SimSun" w:cs="Arial"/>
          <w:shd w:val="clear" w:color="auto" w:fill="FFFFFF"/>
        </w:rPr>
      </w:pPr>
    </w:p>
    <w:p w14:paraId="04D9D6FC">
      <w:pPr>
        <w:jc w:val="both"/>
        <w:rPr>
          <w:rFonts w:ascii="Arial" w:hAnsi="Arial" w:eastAsia="SimSun" w:cs="Arial"/>
          <w:shd w:val="clear" w:color="auto" w:fill="FFFFFF"/>
        </w:rPr>
      </w:pPr>
      <w:r>
        <w:rPr>
          <w:rFonts w:ascii="Arial" w:hAnsi="Arial" w:eastAsia="SimSun" w:cs="Arial"/>
          <w:shd w:val="clear" w:color="auto" w:fill="FFFFFF"/>
        </w:rPr>
        <w:t>Oluwole-Banjo, A. K. (2019). Phytochemical and antioxidant properties of methanolic extracts of pulp, seed, leaf and stem bark of velvet tamarind (Dialium guineense) plant. </w:t>
      </w:r>
      <w:r>
        <w:rPr>
          <w:rFonts w:ascii="Arial" w:hAnsi="Arial" w:eastAsia="SimSun" w:cs="Arial"/>
          <w:i/>
          <w:iCs/>
          <w:shd w:val="clear" w:color="auto" w:fill="FFFFFF"/>
        </w:rPr>
        <w:t>Journal of Underutilized Legumes</w:t>
      </w:r>
      <w:r>
        <w:rPr>
          <w:rFonts w:ascii="Arial" w:hAnsi="Arial" w:eastAsia="SimSun" w:cs="Arial"/>
          <w:shd w:val="clear" w:color="auto" w:fill="FFFFFF"/>
        </w:rPr>
        <w:t>, </w:t>
      </w:r>
      <w:r>
        <w:rPr>
          <w:rFonts w:ascii="Arial" w:hAnsi="Arial" w:eastAsia="SimSun" w:cs="Arial"/>
          <w:i/>
          <w:iCs/>
          <w:shd w:val="clear" w:color="auto" w:fill="FFFFFF"/>
        </w:rPr>
        <w:t>1</w:t>
      </w:r>
      <w:r>
        <w:rPr>
          <w:rFonts w:ascii="Arial" w:hAnsi="Arial" w:eastAsia="SimSun" w:cs="Arial"/>
          <w:shd w:val="clear" w:color="auto" w:fill="FFFFFF"/>
        </w:rPr>
        <w:t>(1), 159-168.</w:t>
      </w:r>
    </w:p>
    <w:p w14:paraId="3419377F">
      <w:pPr>
        <w:jc w:val="both"/>
        <w:rPr>
          <w:rFonts w:ascii="Arial" w:hAnsi="Arial" w:eastAsia="SimSun" w:cs="Arial"/>
          <w:shd w:val="clear" w:color="auto" w:fill="FFFFFF"/>
        </w:rPr>
      </w:pPr>
    </w:p>
    <w:p w14:paraId="4672D495">
      <w:pPr>
        <w:jc w:val="both"/>
        <w:rPr>
          <w:rFonts w:ascii="Arial" w:hAnsi="Arial" w:eastAsia="SimSun" w:cs="Arial"/>
          <w:shd w:val="clear" w:color="auto" w:fill="FFFFFF"/>
        </w:rPr>
      </w:pPr>
      <w:r>
        <w:rPr>
          <w:rFonts w:ascii="Arial" w:hAnsi="Arial" w:eastAsia="SimSun" w:cs="Arial"/>
          <w:shd w:val="clear" w:color="auto" w:fill="FFFFFF"/>
        </w:rPr>
        <w:t>Omokpariola, D. O., Precious-Egere, S. C., Omokpariola, P. L., &amp; Okechukwu, V. U. (2021). Phytochemical and Anti-Microbial Analysis of Metabolites in seeds of Moringa oleifera grown in Nigeria. </w:t>
      </w:r>
      <w:r>
        <w:rPr>
          <w:rFonts w:ascii="Arial" w:hAnsi="Arial" w:eastAsia="SimSun" w:cs="Arial"/>
          <w:i/>
          <w:iCs/>
          <w:shd w:val="clear" w:color="auto" w:fill="FFFFFF"/>
        </w:rPr>
        <w:t>Progress in Chemical and Biochemical Research</w:t>
      </w:r>
      <w:r>
        <w:rPr>
          <w:rFonts w:ascii="Arial" w:hAnsi="Arial" w:eastAsia="SimSun" w:cs="Arial"/>
          <w:shd w:val="clear" w:color="auto" w:fill="FFFFFF"/>
        </w:rPr>
        <w:t>, </w:t>
      </w:r>
      <w:r>
        <w:rPr>
          <w:rFonts w:ascii="Arial" w:hAnsi="Arial" w:eastAsia="SimSun" w:cs="Arial"/>
          <w:i/>
          <w:iCs/>
          <w:shd w:val="clear" w:color="auto" w:fill="FFFFFF"/>
        </w:rPr>
        <w:t>4</w:t>
      </w:r>
      <w:r>
        <w:rPr>
          <w:rFonts w:ascii="Arial" w:hAnsi="Arial" w:eastAsia="SimSun" w:cs="Arial"/>
          <w:shd w:val="clear" w:color="auto" w:fill="FFFFFF"/>
        </w:rPr>
        <w:t>(3), 268-277.</w:t>
      </w:r>
    </w:p>
    <w:p w14:paraId="3E5242FA">
      <w:pPr>
        <w:jc w:val="both"/>
        <w:rPr>
          <w:rFonts w:ascii="Arial" w:hAnsi="Arial" w:eastAsia="SimSun" w:cs="Arial"/>
          <w:shd w:val="clear" w:color="auto" w:fill="FFFFFF"/>
        </w:rPr>
      </w:pPr>
    </w:p>
    <w:p w14:paraId="74E04B68">
      <w:pPr>
        <w:jc w:val="both"/>
        <w:rPr>
          <w:rFonts w:ascii="Arial" w:hAnsi="Arial" w:eastAsia="SimSun" w:cs="Arial"/>
          <w:shd w:val="clear" w:color="auto" w:fill="FFFFFF"/>
        </w:rPr>
      </w:pPr>
      <w:r>
        <w:rPr>
          <w:rFonts w:ascii="Arial" w:hAnsi="Arial" w:eastAsia="SimSun" w:cs="Arial"/>
          <w:shd w:val="clear" w:color="auto" w:fill="FFFFFF"/>
        </w:rPr>
        <w:t>Onah, G. T., Ajaegbu, E. E., &amp; Enweani, I. B. (2022). Proximate, phytochemical and micronutrient compositions of Dialium guineense and Napoleona imperialis plant parts. </w:t>
      </w:r>
      <w:r>
        <w:rPr>
          <w:rFonts w:ascii="Arial" w:hAnsi="Arial" w:eastAsia="SimSun" w:cs="Arial"/>
          <w:i/>
          <w:iCs/>
          <w:shd w:val="clear" w:color="auto" w:fill="FFFFFF"/>
        </w:rPr>
        <w:t>GSC Biological and Pharmaceutical Sciences</w:t>
      </w:r>
      <w:r>
        <w:rPr>
          <w:rFonts w:ascii="Arial" w:hAnsi="Arial" w:eastAsia="SimSun" w:cs="Arial"/>
          <w:shd w:val="clear" w:color="auto" w:fill="FFFFFF"/>
        </w:rPr>
        <w:t>, </w:t>
      </w:r>
      <w:r>
        <w:rPr>
          <w:rFonts w:ascii="Arial" w:hAnsi="Arial" w:eastAsia="SimSun" w:cs="Arial"/>
          <w:i/>
          <w:iCs/>
          <w:shd w:val="clear" w:color="auto" w:fill="FFFFFF"/>
        </w:rPr>
        <w:t>18</w:t>
      </w:r>
      <w:r>
        <w:rPr>
          <w:rFonts w:ascii="Arial" w:hAnsi="Arial" w:eastAsia="SimSun" w:cs="Arial"/>
          <w:shd w:val="clear" w:color="auto" w:fill="FFFFFF"/>
        </w:rPr>
        <w:t>(3), 193-205.</w:t>
      </w:r>
    </w:p>
    <w:p w14:paraId="5BB9C5C6">
      <w:pPr>
        <w:jc w:val="both"/>
        <w:rPr>
          <w:rFonts w:ascii="Arial" w:hAnsi="Arial" w:eastAsia="SimSun" w:cs="Arial"/>
          <w:shd w:val="clear" w:color="auto" w:fill="FFFFFF"/>
        </w:rPr>
      </w:pPr>
    </w:p>
    <w:p w14:paraId="00E5137A">
      <w:pPr>
        <w:jc w:val="both"/>
        <w:rPr>
          <w:rFonts w:ascii="Arial" w:hAnsi="Arial" w:eastAsia="SimSun" w:cs="Arial"/>
          <w:shd w:val="clear" w:color="auto" w:fill="FFFFFF"/>
        </w:rPr>
      </w:pPr>
      <w:r>
        <w:rPr>
          <w:rFonts w:ascii="Arial" w:hAnsi="Arial" w:eastAsia="SimSun" w:cs="Arial"/>
          <w:shd w:val="clear" w:color="auto" w:fill="FFFFFF"/>
        </w:rPr>
        <w:t>Pal, M., &amp; Molnár, J. (2021). Growing importance of cereals in nutrition and healthy life. </w:t>
      </w:r>
      <w:r>
        <w:rPr>
          <w:rFonts w:ascii="Arial" w:hAnsi="Arial" w:eastAsia="SimSun" w:cs="Arial"/>
          <w:i/>
          <w:iCs/>
          <w:shd w:val="clear" w:color="auto" w:fill="FFFFFF"/>
        </w:rPr>
        <w:t>International Journal of Food Science and Agriculture</w:t>
      </w:r>
      <w:r>
        <w:rPr>
          <w:rFonts w:ascii="Arial" w:hAnsi="Arial" w:eastAsia="SimSun" w:cs="Arial"/>
          <w:shd w:val="clear" w:color="auto" w:fill="FFFFFF"/>
        </w:rPr>
        <w:t>, </w:t>
      </w:r>
      <w:r>
        <w:rPr>
          <w:rFonts w:ascii="Arial" w:hAnsi="Arial" w:eastAsia="SimSun" w:cs="Arial"/>
          <w:i/>
          <w:iCs/>
          <w:shd w:val="clear" w:color="auto" w:fill="FFFFFF"/>
        </w:rPr>
        <w:t>5</w:t>
      </w:r>
      <w:r>
        <w:rPr>
          <w:rFonts w:ascii="Arial" w:hAnsi="Arial" w:eastAsia="SimSun" w:cs="Arial"/>
          <w:shd w:val="clear" w:color="auto" w:fill="FFFFFF"/>
        </w:rPr>
        <w:t>(2).</w:t>
      </w:r>
    </w:p>
    <w:p w14:paraId="6F28DAED">
      <w:pPr>
        <w:jc w:val="both"/>
        <w:rPr>
          <w:rFonts w:ascii="Arial" w:hAnsi="Arial" w:eastAsia="SimSun" w:cs="Arial"/>
          <w:shd w:val="clear" w:color="auto" w:fill="FFFFFF"/>
        </w:rPr>
      </w:pPr>
    </w:p>
    <w:p w14:paraId="0D63AB5D">
      <w:pPr>
        <w:jc w:val="both"/>
        <w:rPr>
          <w:rFonts w:ascii="Arial" w:hAnsi="Arial" w:eastAsia="SimSun" w:cs="Arial"/>
          <w:shd w:val="clear" w:color="auto" w:fill="FFFFFF"/>
        </w:rPr>
      </w:pPr>
      <w:r>
        <w:rPr>
          <w:rFonts w:ascii="Arial" w:hAnsi="Arial" w:eastAsia="SimSun" w:cs="Arial"/>
          <w:shd w:val="clear" w:color="auto" w:fill="FFFFFF"/>
        </w:rPr>
        <w:t>Punia, S., Dhull, S. B., Sandhu, K. S., Kaur, M., &amp; Purewal, S. S. (2020). Kidney bean (Phaseolus vulgaris) starch: A review. </w:t>
      </w:r>
      <w:r>
        <w:rPr>
          <w:rFonts w:ascii="Arial" w:hAnsi="Arial" w:eastAsia="SimSun" w:cs="Arial"/>
          <w:i/>
          <w:iCs/>
          <w:shd w:val="clear" w:color="auto" w:fill="FFFFFF"/>
        </w:rPr>
        <w:t>Legume Science</w:t>
      </w:r>
      <w:r>
        <w:rPr>
          <w:rFonts w:ascii="Arial" w:hAnsi="Arial" w:eastAsia="SimSun" w:cs="Arial"/>
          <w:shd w:val="clear" w:color="auto" w:fill="FFFFFF"/>
        </w:rPr>
        <w:t>, </w:t>
      </w:r>
      <w:r>
        <w:rPr>
          <w:rFonts w:ascii="Arial" w:hAnsi="Arial" w:eastAsia="SimSun" w:cs="Arial"/>
          <w:i/>
          <w:iCs/>
          <w:shd w:val="clear" w:color="auto" w:fill="FFFFFF"/>
        </w:rPr>
        <w:t>2</w:t>
      </w:r>
      <w:r>
        <w:rPr>
          <w:rFonts w:ascii="Arial" w:hAnsi="Arial" w:eastAsia="SimSun" w:cs="Arial"/>
          <w:shd w:val="clear" w:color="auto" w:fill="FFFFFF"/>
        </w:rPr>
        <w:t>(3), e52.</w:t>
      </w:r>
    </w:p>
    <w:p w14:paraId="43B1D824">
      <w:pPr>
        <w:jc w:val="both"/>
        <w:rPr>
          <w:rFonts w:ascii="Arial" w:hAnsi="Arial" w:eastAsia="SimSun" w:cs="Arial"/>
          <w:shd w:val="clear" w:color="auto" w:fill="FFFFFF"/>
        </w:rPr>
      </w:pPr>
    </w:p>
    <w:p w14:paraId="18BDB040">
      <w:pPr>
        <w:jc w:val="both"/>
        <w:rPr>
          <w:rFonts w:ascii="Arial" w:hAnsi="Arial" w:eastAsia="SimSun" w:cs="Arial"/>
          <w:shd w:val="clear" w:color="auto" w:fill="FFFFFF"/>
        </w:rPr>
      </w:pPr>
      <w:r>
        <w:rPr>
          <w:rFonts w:ascii="Arial" w:hAnsi="Arial" w:eastAsia="SimSun" w:cs="Arial"/>
          <w:shd w:val="clear" w:color="auto" w:fill="FFFFFF"/>
        </w:rPr>
        <w:t>Quadri, A. L., Njinga, N. S., Kola-Mustapha, A. T., Amusa, T. O., Atolani, O., Oladiji, A. T., ... &amp; Kambizi, L. (2021). Elemental composition and proximate analysis of five commonly used African medicinal plants. </w:t>
      </w:r>
      <w:r>
        <w:rPr>
          <w:rFonts w:ascii="Arial" w:hAnsi="Arial" w:eastAsia="SimSun" w:cs="Arial"/>
          <w:i/>
          <w:iCs/>
          <w:shd w:val="clear" w:color="auto" w:fill="FFFFFF"/>
        </w:rPr>
        <w:t>Plant Archives</w:t>
      </w:r>
      <w:r>
        <w:rPr>
          <w:rFonts w:ascii="Arial" w:hAnsi="Arial" w:eastAsia="SimSun" w:cs="Arial"/>
          <w:shd w:val="clear" w:color="auto" w:fill="FFFFFF"/>
        </w:rPr>
        <w:t>.</w:t>
      </w:r>
    </w:p>
    <w:p w14:paraId="401F528E">
      <w:pPr>
        <w:jc w:val="both"/>
        <w:rPr>
          <w:rFonts w:ascii="Arial" w:hAnsi="Arial" w:eastAsia="SimSun" w:cs="Arial"/>
          <w:shd w:val="clear" w:color="auto" w:fill="FFFFFF"/>
        </w:rPr>
      </w:pPr>
    </w:p>
    <w:p w14:paraId="0CAEDA1F">
      <w:pPr>
        <w:jc w:val="both"/>
        <w:rPr>
          <w:rFonts w:ascii="Arial" w:hAnsi="Arial" w:eastAsia="SimSun" w:cs="Arial"/>
          <w:shd w:val="clear" w:color="auto" w:fill="FFFFFF"/>
        </w:rPr>
      </w:pPr>
      <w:r>
        <w:rPr>
          <w:rFonts w:ascii="Arial" w:hAnsi="Arial" w:eastAsia="SimSun" w:cs="Arial"/>
          <w:shd w:val="clear" w:color="auto" w:fill="FFFFFF"/>
        </w:rPr>
        <w:t>Rahaman, M. M., Hossain, R., Herrera‐Bravo, J., Islam, M. T., Atolani, O., Adeyemi, O. S., ... &amp; Sharifi‐Rad, J. (2023). Natural antioxidants from some fruits, seeds, foods, natural products, and associated health benefits: An update. </w:t>
      </w:r>
      <w:r>
        <w:rPr>
          <w:rFonts w:ascii="Arial" w:hAnsi="Arial" w:eastAsia="SimSun" w:cs="Arial"/>
          <w:i/>
          <w:iCs/>
          <w:shd w:val="clear" w:color="auto" w:fill="FFFFFF"/>
        </w:rPr>
        <w:t>Food science &amp; nutrition</w:t>
      </w:r>
      <w:r>
        <w:rPr>
          <w:rFonts w:ascii="Arial" w:hAnsi="Arial" w:eastAsia="SimSun" w:cs="Arial"/>
          <w:shd w:val="clear" w:color="auto" w:fill="FFFFFF"/>
        </w:rPr>
        <w:t>, </w:t>
      </w:r>
      <w:r>
        <w:rPr>
          <w:rFonts w:ascii="Arial" w:hAnsi="Arial" w:eastAsia="SimSun" w:cs="Arial"/>
          <w:i/>
          <w:iCs/>
          <w:shd w:val="clear" w:color="auto" w:fill="FFFFFF"/>
        </w:rPr>
        <w:t>11</w:t>
      </w:r>
      <w:r>
        <w:rPr>
          <w:rFonts w:ascii="Arial" w:hAnsi="Arial" w:eastAsia="SimSun" w:cs="Arial"/>
          <w:shd w:val="clear" w:color="auto" w:fill="FFFFFF"/>
        </w:rPr>
        <w:t>(4), 1657-1670.</w:t>
      </w:r>
    </w:p>
    <w:p w14:paraId="2AF28425">
      <w:pPr>
        <w:jc w:val="both"/>
        <w:rPr>
          <w:rFonts w:ascii="Arial" w:hAnsi="Arial" w:eastAsia="SimSun" w:cs="Arial"/>
          <w:shd w:val="clear" w:color="auto" w:fill="FFFFFF"/>
        </w:rPr>
      </w:pPr>
    </w:p>
    <w:p w14:paraId="34C451B7">
      <w:pPr>
        <w:jc w:val="both"/>
        <w:rPr>
          <w:rFonts w:ascii="Arial" w:hAnsi="Arial" w:eastAsia="SimSun" w:cs="Arial"/>
          <w:shd w:val="clear" w:color="auto" w:fill="FFFFFF"/>
        </w:rPr>
      </w:pPr>
      <w:r>
        <w:rPr>
          <w:rFonts w:ascii="Arial" w:hAnsi="Arial" w:eastAsia="SimSun" w:cs="Arial"/>
          <w:shd w:val="clear" w:color="auto" w:fill="FFFFFF"/>
        </w:rPr>
        <w:t>Rasmussen, L., Poulsen, C. W., Kampmann, U., Smedegaard, S. B., Ovesen, P. G., &amp; Fuglsang, J. (2020). Diet and healthy lifestyle in the management of gestational diabetes mellitus. </w:t>
      </w:r>
      <w:r>
        <w:rPr>
          <w:rFonts w:ascii="Arial" w:hAnsi="Arial" w:eastAsia="SimSun" w:cs="Arial"/>
          <w:i/>
          <w:iCs/>
          <w:shd w:val="clear" w:color="auto" w:fill="FFFFFF"/>
        </w:rPr>
        <w:t>Nutrients</w:t>
      </w:r>
      <w:r>
        <w:rPr>
          <w:rFonts w:ascii="Arial" w:hAnsi="Arial" w:eastAsia="SimSun" w:cs="Arial"/>
          <w:shd w:val="clear" w:color="auto" w:fill="FFFFFF"/>
        </w:rPr>
        <w:t>, </w:t>
      </w:r>
      <w:r>
        <w:rPr>
          <w:rFonts w:ascii="Arial" w:hAnsi="Arial" w:eastAsia="SimSun" w:cs="Arial"/>
          <w:i/>
          <w:iCs/>
          <w:shd w:val="clear" w:color="auto" w:fill="FFFFFF"/>
        </w:rPr>
        <w:t>12</w:t>
      </w:r>
      <w:r>
        <w:rPr>
          <w:rFonts w:ascii="Arial" w:hAnsi="Arial" w:eastAsia="SimSun" w:cs="Arial"/>
          <w:shd w:val="clear" w:color="auto" w:fill="FFFFFF"/>
        </w:rPr>
        <w:t>(10), 3050.</w:t>
      </w:r>
    </w:p>
    <w:p w14:paraId="6A7F9DE3">
      <w:pPr>
        <w:jc w:val="both"/>
        <w:rPr>
          <w:rFonts w:ascii="Arial" w:hAnsi="Arial" w:eastAsia="SimSun" w:cs="Arial"/>
          <w:shd w:val="clear" w:color="auto" w:fill="FFFFFF"/>
        </w:rPr>
      </w:pPr>
    </w:p>
    <w:p w14:paraId="3CD90773">
      <w:pPr>
        <w:jc w:val="both"/>
        <w:rPr>
          <w:rFonts w:ascii="Arial" w:hAnsi="Arial" w:eastAsia="SimSun" w:cs="Arial"/>
          <w:shd w:val="clear" w:color="auto" w:fill="FFFFFF"/>
        </w:rPr>
      </w:pPr>
      <w:r>
        <w:rPr>
          <w:rFonts w:ascii="Arial" w:hAnsi="Arial" w:eastAsia="SimSun" w:cs="Arial"/>
          <w:shd w:val="clear" w:color="auto" w:fill="FFFFFF"/>
        </w:rPr>
        <w:t>Raza, N., Sadaf, A., Mushtaq, R., Mehmood, M. A., Amrao, L., Islam, F., ... &amp; Shah, M. A. (2026). Nutritional and Health Potential of Edible Seeds: Micronutrient Bioavailability and Mechanistic Insights. </w:t>
      </w:r>
      <w:r>
        <w:rPr>
          <w:rFonts w:ascii="Arial" w:hAnsi="Arial" w:eastAsia="SimSun" w:cs="Arial"/>
          <w:i/>
          <w:iCs/>
          <w:shd w:val="clear" w:color="auto" w:fill="FFFFFF"/>
        </w:rPr>
        <w:t>Food Science &amp; Nutrition</w:t>
      </w:r>
      <w:r>
        <w:rPr>
          <w:rFonts w:ascii="Arial" w:hAnsi="Arial" w:eastAsia="SimSun" w:cs="Arial"/>
          <w:shd w:val="clear" w:color="auto" w:fill="FFFFFF"/>
        </w:rPr>
        <w:t>, </w:t>
      </w:r>
      <w:r>
        <w:rPr>
          <w:rFonts w:ascii="Arial" w:hAnsi="Arial" w:eastAsia="SimSun" w:cs="Arial"/>
          <w:i/>
          <w:iCs/>
          <w:shd w:val="clear" w:color="auto" w:fill="FFFFFF"/>
        </w:rPr>
        <w:t>14</w:t>
      </w:r>
      <w:r>
        <w:rPr>
          <w:rFonts w:ascii="Arial" w:hAnsi="Arial" w:eastAsia="SimSun" w:cs="Arial"/>
          <w:shd w:val="clear" w:color="auto" w:fill="FFFFFF"/>
        </w:rPr>
        <w:t>(2), e71480.</w:t>
      </w:r>
    </w:p>
    <w:p w14:paraId="6CFF9586">
      <w:pPr>
        <w:jc w:val="both"/>
        <w:rPr>
          <w:rFonts w:ascii="Arial" w:hAnsi="Arial" w:eastAsia="SimSun" w:cs="Arial"/>
          <w:shd w:val="clear" w:color="auto" w:fill="FFFFFF"/>
        </w:rPr>
      </w:pPr>
    </w:p>
    <w:p w14:paraId="24183236">
      <w:pPr>
        <w:jc w:val="both"/>
        <w:rPr>
          <w:rFonts w:ascii="Arial" w:hAnsi="Arial" w:eastAsia="SimSun" w:cs="Arial"/>
          <w:shd w:val="clear" w:color="auto" w:fill="FFFFFF"/>
        </w:rPr>
      </w:pPr>
      <w:r>
        <w:rPr>
          <w:rFonts w:ascii="Arial" w:hAnsi="Arial" w:eastAsia="SimSun" w:cs="Arial"/>
          <w:shd w:val="clear" w:color="auto" w:fill="FFFFFF"/>
        </w:rPr>
        <w:t>Rodríguez-Negrete, E. V., Morales-González, Á., Madrigal-Santillán, E. O., Sánchez-Reyes, K., Álvarez-González, I., Madrigal-Bujaidar, E., ... &amp; Morales-González, J. A. (2024). Phytochemicals and their usefulness in the maintenance of health. </w:t>
      </w:r>
      <w:r>
        <w:rPr>
          <w:rFonts w:ascii="Arial" w:hAnsi="Arial" w:eastAsia="SimSun" w:cs="Arial"/>
          <w:i/>
          <w:iCs/>
          <w:shd w:val="clear" w:color="auto" w:fill="FFFFFF"/>
        </w:rPr>
        <w:t>Plants</w:t>
      </w:r>
      <w:r>
        <w:rPr>
          <w:rFonts w:ascii="Arial" w:hAnsi="Arial" w:eastAsia="SimSun" w:cs="Arial"/>
          <w:shd w:val="clear" w:color="auto" w:fill="FFFFFF"/>
        </w:rPr>
        <w:t>, </w:t>
      </w:r>
      <w:r>
        <w:rPr>
          <w:rFonts w:ascii="Arial" w:hAnsi="Arial" w:eastAsia="SimSun" w:cs="Arial"/>
          <w:i/>
          <w:iCs/>
          <w:shd w:val="clear" w:color="auto" w:fill="FFFFFF"/>
        </w:rPr>
        <w:t>13</w:t>
      </w:r>
      <w:r>
        <w:rPr>
          <w:rFonts w:ascii="Arial" w:hAnsi="Arial" w:eastAsia="SimSun" w:cs="Arial"/>
          <w:shd w:val="clear" w:color="auto" w:fill="FFFFFF"/>
        </w:rPr>
        <w:t>(4), 523.</w:t>
      </w:r>
    </w:p>
    <w:p w14:paraId="4F4B1742">
      <w:pPr>
        <w:jc w:val="both"/>
        <w:rPr>
          <w:rFonts w:ascii="Arial" w:hAnsi="Arial" w:eastAsia="SimSun" w:cs="Arial"/>
          <w:shd w:val="clear" w:color="auto" w:fill="FFFFFF"/>
        </w:rPr>
      </w:pPr>
    </w:p>
    <w:p w14:paraId="0EC8306C">
      <w:pPr>
        <w:jc w:val="both"/>
        <w:rPr>
          <w:rFonts w:ascii="Arial" w:hAnsi="Arial" w:eastAsia="SimSun" w:cs="Arial"/>
          <w:shd w:val="clear" w:color="auto" w:fill="FFFFFF"/>
        </w:rPr>
      </w:pPr>
      <w:r>
        <w:rPr>
          <w:rFonts w:ascii="Arial" w:hAnsi="Arial" w:eastAsia="SimSun" w:cs="Arial"/>
          <w:shd w:val="clear" w:color="auto" w:fill="FFFFFF"/>
        </w:rPr>
        <w:t>Samtiya, M., Aluko, R. E., Dhewa, T., &amp; Moreno-Rojas, J. M. (2021). Potential health benefits of plant food-derived bioactive components: An overview. </w:t>
      </w:r>
      <w:r>
        <w:rPr>
          <w:rFonts w:ascii="Arial" w:hAnsi="Arial" w:eastAsia="SimSun" w:cs="Arial"/>
          <w:i/>
          <w:iCs/>
          <w:shd w:val="clear" w:color="auto" w:fill="FFFFFF"/>
        </w:rPr>
        <w:t>Foods</w:t>
      </w:r>
      <w:r>
        <w:rPr>
          <w:rFonts w:ascii="Arial" w:hAnsi="Arial" w:eastAsia="SimSun" w:cs="Arial"/>
          <w:shd w:val="clear" w:color="auto" w:fill="FFFFFF"/>
        </w:rPr>
        <w:t>, </w:t>
      </w:r>
      <w:r>
        <w:rPr>
          <w:rFonts w:ascii="Arial" w:hAnsi="Arial" w:eastAsia="SimSun" w:cs="Arial"/>
          <w:i/>
          <w:iCs/>
          <w:shd w:val="clear" w:color="auto" w:fill="FFFFFF"/>
        </w:rPr>
        <w:t>10</w:t>
      </w:r>
      <w:r>
        <w:rPr>
          <w:rFonts w:ascii="Arial" w:hAnsi="Arial" w:eastAsia="SimSun" w:cs="Arial"/>
          <w:shd w:val="clear" w:color="auto" w:fill="FFFFFF"/>
        </w:rPr>
        <w:t>(4), 839.</w:t>
      </w:r>
    </w:p>
    <w:p w14:paraId="30F652DC">
      <w:pPr>
        <w:jc w:val="both"/>
        <w:rPr>
          <w:rFonts w:ascii="Arial" w:hAnsi="Arial" w:eastAsia="SimSun" w:cs="Arial"/>
          <w:shd w:val="clear" w:color="auto" w:fill="FFFFFF"/>
        </w:rPr>
      </w:pPr>
    </w:p>
    <w:p w14:paraId="74D5A187">
      <w:pPr>
        <w:jc w:val="both"/>
        <w:rPr>
          <w:rFonts w:ascii="Arial" w:hAnsi="Arial" w:eastAsia="SimSun" w:cs="Arial"/>
          <w:shd w:val="clear" w:color="auto" w:fill="FFFFFF"/>
        </w:rPr>
      </w:pPr>
      <w:r>
        <w:rPr>
          <w:rFonts w:ascii="Arial" w:hAnsi="Arial" w:eastAsia="SimSun" w:cs="Arial"/>
          <w:shd w:val="clear" w:color="auto" w:fill="FFFFFF"/>
        </w:rPr>
        <w:t>Sekou Ii, C., Émilie, K., Lonsény, T., &amp; Michel, H. (2025). Valorization of Dialium guineense fruit seeds as a new hydrocolloid for food application. </w:t>
      </w:r>
      <w:r>
        <w:rPr>
          <w:rFonts w:ascii="Arial" w:hAnsi="Arial" w:eastAsia="SimSun" w:cs="Arial"/>
          <w:i/>
          <w:iCs/>
          <w:shd w:val="clear" w:color="auto" w:fill="FFFFFF"/>
        </w:rPr>
        <w:t>International Journal of Food Science and Technology</w:t>
      </w:r>
      <w:r>
        <w:rPr>
          <w:rFonts w:ascii="Arial" w:hAnsi="Arial" w:eastAsia="SimSun" w:cs="Arial"/>
          <w:shd w:val="clear" w:color="auto" w:fill="FFFFFF"/>
        </w:rPr>
        <w:t>, </w:t>
      </w:r>
      <w:r>
        <w:rPr>
          <w:rFonts w:ascii="Arial" w:hAnsi="Arial" w:eastAsia="SimSun" w:cs="Arial"/>
          <w:i/>
          <w:iCs/>
          <w:shd w:val="clear" w:color="auto" w:fill="FFFFFF"/>
        </w:rPr>
        <w:t>60</w:t>
      </w:r>
      <w:r>
        <w:rPr>
          <w:rFonts w:ascii="Arial" w:hAnsi="Arial" w:eastAsia="SimSun" w:cs="Arial"/>
          <w:shd w:val="clear" w:color="auto" w:fill="FFFFFF"/>
        </w:rPr>
        <w:t>(1), vvae054.</w:t>
      </w:r>
    </w:p>
    <w:p w14:paraId="42A2AF8E">
      <w:pPr>
        <w:jc w:val="both"/>
        <w:rPr>
          <w:rFonts w:ascii="Arial" w:hAnsi="Arial" w:eastAsia="SimSun" w:cs="Arial"/>
          <w:shd w:val="clear" w:color="auto" w:fill="FFFFFF"/>
        </w:rPr>
      </w:pPr>
    </w:p>
    <w:p w14:paraId="7635A9A2">
      <w:pPr>
        <w:jc w:val="both"/>
        <w:rPr>
          <w:rFonts w:ascii="Arial" w:hAnsi="Arial" w:eastAsia="SimSun" w:cs="Arial"/>
          <w:shd w:val="clear" w:color="auto" w:fill="FFFFFF"/>
        </w:rPr>
      </w:pPr>
      <w:r>
        <w:rPr>
          <w:rFonts w:ascii="Arial" w:hAnsi="Arial" w:eastAsia="SimSun" w:cs="Arial"/>
          <w:shd w:val="clear" w:color="auto" w:fill="FFFFFF"/>
        </w:rPr>
        <w:t>Serna Saldívar, S. O., &amp; Hernández, D. S. (2020). Dietary fiber in cereals, legumes, pseudocereals and other seeds. In </w:t>
      </w:r>
      <w:r>
        <w:rPr>
          <w:rFonts w:ascii="Arial" w:hAnsi="Arial" w:eastAsia="SimSun" w:cs="Arial"/>
          <w:i/>
          <w:iCs/>
          <w:shd w:val="clear" w:color="auto" w:fill="FFFFFF"/>
        </w:rPr>
        <w:t>Science and technology of fibers in food systems</w:t>
      </w:r>
      <w:r>
        <w:rPr>
          <w:rFonts w:ascii="Arial" w:hAnsi="Arial" w:eastAsia="SimSun" w:cs="Arial"/>
          <w:shd w:val="clear" w:color="auto" w:fill="FFFFFF"/>
        </w:rPr>
        <w:t> (pp. 87-122). Cham: Springer International Publishing.</w:t>
      </w:r>
    </w:p>
    <w:p w14:paraId="03B99DE5">
      <w:pPr>
        <w:jc w:val="both"/>
        <w:rPr>
          <w:rFonts w:ascii="Arial" w:hAnsi="Arial" w:eastAsia="SimSun" w:cs="Arial"/>
          <w:shd w:val="clear" w:color="auto" w:fill="FFFFFF"/>
        </w:rPr>
      </w:pPr>
    </w:p>
    <w:p w14:paraId="02EB1F5B">
      <w:pPr>
        <w:jc w:val="both"/>
        <w:rPr>
          <w:rFonts w:ascii="Arial" w:hAnsi="Arial" w:eastAsia="SimSun" w:cs="Arial"/>
          <w:shd w:val="clear" w:color="auto" w:fill="FFFFFF"/>
        </w:rPr>
      </w:pPr>
      <w:r>
        <w:rPr>
          <w:rFonts w:ascii="Arial" w:hAnsi="Arial" w:eastAsia="SimSun" w:cs="Arial"/>
          <w:shd w:val="clear" w:color="auto" w:fill="FFFFFF"/>
        </w:rPr>
        <w:t>Serna Saldívar, S. O., &amp; Hernández, D. S. (2020). Dietary fiber in cereals, legumes, pseudocereals and other seeds. In </w:t>
      </w:r>
      <w:r>
        <w:rPr>
          <w:rFonts w:ascii="Arial" w:hAnsi="Arial" w:eastAsia="SimSun" w:cs="Arial"/>
          <w:i/>
          <w:iCs/>
          <w:shd w:val="clear" w:color="auto" w:fill="FFFFFF"/>
        </w:rPr>
        <w:t>Science and technology of fibers in food systems</w:t>
      </w:r>
      <w:r>
        <w:rPr>
          <w:rFonts w:ascii="Arial" w:hAnsi="Arial" w:eastAsia="SimSun" w:cs="Arial"/>
          <w:shd w:val="clear" w:color="auto" w:fill="FFFFFF"/>
        </w:rPr>
        <w:t> (pp. 87-122). Cham: Springer International Publishing.</w:t>
      </w:r>
    </w:p>
    <w:p w14:paraId="111E8C46">
      <w:pPr>
        <w:jc w:val="both"/>
        <w:rPr>
          <w:rFonts w:ascii="Arial" w:hAnsi="Arial" w:eastAsia="SimSun" w:cs="Arial"/>
          <w:shd w:val="clear" w:color="auto" w:fill="FFFFFF"/>
        </w:rPr>
      </w:pPr>
    </w:p>
    <w:p w14:paraId="5BF82555">
      <w:pPr>
        <w:jc w:val="both"/>
        <w:rPr>
          <w:rFonts w:ascii="Arial" w:hAnsi="Arial" w:eastAsia="SimSun" w:cs="Arial"/>
          <w:shd w:val="clear" w:color="auto" w:fill="FFFFFF"/>
        </w:rPr>
      </w:pPr>
      <w:r>
        <w:rPr>
          <w:rFonts w:ascii="Arial" w:hAnsi="Arial" w:eastAsia="SimSun" w:cs="Arial"/>
          <w:shd w:val="clear" w:color="auto" w:fill="FFFFFF"/>
        </w:rPr>
        <w:t>Shafodino, F. S., Lusilao, J. M., &amp; Mwapagha, L. M. (2022). Phytochemical characterization and antimicrobial activity of Nigella sativa seeds. </w:t>
      </w:r>
      <w:r>
        <w:rPr>
          <w:rFonts w:ascii="Arial" w:hAnsi="Arial" w:eastAsia="SimSun" w:cs="Arial"/>
          <w:i/>
          <w:iCs/>
          <w:shd w:val="clear" w:color="auto" w:fill="FFFFFF"/>
        </w:rPr>
        <w:t>PloS one</w:t>
      </w:r>
      <w:r>
        <w:rPr>
          <w:rFonts w:ascii="Arial" w:hAnsi="Arial" w:eastAsia="SimSun" w:cs="Arial"/>
          <w:shd w:val="clear" w:color="auto" w:fill="FFFFFF"/>
        </w:rPr>
        <w:t>, </w:t>
      </w:r>
      <w:r>
        <w:rPr>
          <w:rFonts w:ascii="Arial" w:hAnsi="Arial" w:eastAsia="SimSun" w:cs="Arial"/>
          <w:i/>
          <w:iCs/>
          <w:shd w:val="clear" w:color="auto" w:fill="FFFFFF"/>
        </w:rPr>
        <w:t>17</w:t>
      </w:r>
      <w:r>
        <w:rPr>
          <w:rFonts w:ascii="Arial" w:hAnsi="Arial" w:eastAsia="SimSun" w:cs="Arial"/>
          <w:shd w:val="clear" w:color="auto" w:fill="FFFFFF"/>
        </w:rPr>
        <w:t>(8), e0272457.</w:t>
      </w:r>
    </w:p>
    <w:p w14:paraId="59BD1ECB">
      <w:pPr>
        <w:jc w:val="both"/>
        <w:rPr>
          <w:rFonts w:ascii="Arial" w:hAnsi="Arial" w:eastAsia="SimSun" w:cs="Arial"/>
          <w:shd w:val="clear" w:color="auto" w:fill="FFFFFF"/>
        </w:rPr>
      </w:pPr>
    </w:p>
    <w:p w14:paraId="475347AF">
      <w:pPr>
        <w:jc w:val="both"/>
        <w:rPr>
          <w:rFonts w:ascii="Arial" w:hAnsi="Arial" w:eastAsia="SimSun" w:cs="Arial"/>
          <w:shd w:val="clear" w:color="auto" w:fill="FFFFFF"/>
        </w:rPr>
      </w:pPr>
      <w:r>
        <w:rPr>
          <w:rFonts w:ascii="Arial" w:hAnsi="Arial" w:eastAsia="SimSun" w:cs="Arial"/>
          <w:shd w:val="clear" w:color="auto" w:fill="FFFFFF"/>
        </w:rPr>
        <w:t>Sharma, K., Kaur, R., Kumar, S., Saini, R. K., Sharma, S., Pawde, S. V., &amp; Kumar, V. (2023). Saponins: A concise review on food related aspects, applications and health implications. </w:t>
      </w:r>
      <w:r>
        <w:rPr>
          <w:rFonts w:ascii="Arial" w:hAnsi="Arial" w:eastAsia="SimSun" w:cs="Arial"/>
          <w:i/>
          <w:iCs/>
          <w:shd w:val="clear" w:color="auto" w:fill="FFFFFF"/>
        </w:rPr>
        <w:t>Food Chemistry Advances</w:t>
      </w:r>
      <w:r>
        <w:rPr>
          <w:rFonts w:ascii="Arial" w:hAnsi="Arial" w:eastAsia="SimSun" w:cs="Arial"/>
          <w:shd w:val="clear" w:color="auto" w:fill="FFFFFF"/>
        </w:rPr>
        <w:t>, </w:t>
      </w:r>
      <w:r>
        <w:rPr>
          <w:rFonts w:ascii="Arial" w:hAnsi="Arial" w:eastAsia="SimSun" w:cs="Arial"/>
          <w:i/>
          <w:iCs/>
          <w:shd w:val="clear" w:color="auto" w:fill="FFFFFF"/>
        </w:rPr>
        <w:t>2</w:t>
      </w:r>
      <w:r>
        <w:rPr>
          <w:rFonts w:ascii="Arial" w:hAnsi="Arial" w:eastAsia="SimSun" w:cs="Arial"/>
          <w:shd w:val="clear" w:color="auto" w:fill="FFFFFF"/>
        </w:rPr>
        <w:t>, 100191.</w:t>
      </w:r>
    </w:p>
    <w:p w14:paraId="60F1DAAA">
      <w:pPr>
        <w:jc w:val="both"/>
        <w:rPr>
          <w:rFonts w:ascii="Arial" w:hAnsi="Arial" w:eastAsia="SimSun" w:cs="Arial"/>
          <w:shd w:val="clear" w:color="auto" w:fill="FFFFFF"/>
        </w:rPr>
      </w:pPr>
    </w:p>
    <w:p w14:paraId="395EA0A6">
      <w:pPr>
        <w:jc w:val="both"/>
        <w:rPr>
          <w:rFonts w:ascii="Arial" w:hAnsi="Arial" w:eastAsia="SimSun" w:cs="Arial"/>
          <w:shd w:val="clear" w:color="auto" w:fill="FFFFFF"/>
        </w:rPr>
      </w:pPr>
      <w:r>
        <w:rPr>
          <w:rFonts w:ascii="Arial" w:hAnsi="Arial" w:eastAsia="SimSun" w:cs="Arial"/>
          <w:shd w:val="clear" w:color="auto" w:fill="FFFFFF"/>
        </w:rPr>
        <w:t>Sharma, K., Kumar, V., Kaur, J., Tanwar, B., Goyal, A., Sharma, R., ... &amp; Kumar, A. (2021). Health effects, sources, utilization and safety of tannins: A critical review. </w:t>
      </w:r>
      <w:r>
        <w:rPr>
          <w:rFonts w:ascii="Arial" w:hAnsi="Arial" w:eastAsia="SimSun" w:cs="Arial"/>
          <w:i/>
          <w:iCs/>
          <w:shd w:val="clear" w:color="auto" w:fill="FFFFFF"/>
        </w:rPr>
        <w:t>Toxin Reviews</w:t>
      </w:r>
      <w:r>
        <w:rPr>
          <w:rFonts w:ascii="Arial" w:hAnsi="Arial" w:eastAsia="SimSun" w:cs="Arial"/>
          <w:shd w:val="clear" w:color="auto" w:fill="FFFFFF"/>
        </w:rPr>
        <w:t>, </w:t>
      </w:r>
      <w:r>
        <w:rPr>
          <w:rFonts w:ascii="Arial" w:hAnsi="Arial" w:eastAsia="SimSun" w:cs="Arial"/>
          <w:i/>
          <w:iCs/>
          <w:shd w:val="clear" w:color="auto" w:fill="FFFFFF"/>
        </w:rPr>
        <w:t>40</w:t>
      </w:r>
      <w:r>
        <w:rPr>
          <w:rFonts w:ascii="Arial" w:hAnsi="Arial" w:eastAsia="SimSun" w:cs="Arial"/>
          <w:shd w:val="clear" w:color="auto" w:fill="FFFFFF"/>
        </w:rPr>
        <w:t>(4), 432-444.</w:t>
      </w:r>
    </w:p>
    <w:p w14:paraId="7E45C190">
      <w:pPr>
        <w:jc w:val="both"/>
        <w:rPr>
          <w:rFonts w:ascii="Arial" w:hAnsi="Arial" w:eastAsia="SimSun" w:cs="Arial"/>
          <w:shd w:val="clear" w:color="auto" w:fill="FFFFFF"/>
        </w:rPr>
      </w:pPr>
    </w:p>
    <w:p w14:paraId="551FB988">
      <w:pPr>
        <w:jc w:val="both"/>
        <w:rPr>
          <w:rFonts w:ascii="Arial" w:hAnsi="Arial" w:eastAsia="SimSun" w:cs="Arial"/>
          <w:shd w:val="clear" w:color="auto" w:fill="FFFFFF"/>
        </w:rPr>
      </w:pPr>
      <w:r>
        <w:rPr>
          <w:rFonts w:ascii="Arial" w:hAnsi="Arial" w:eastAsia="SimSun" w:cs="Arial"/>
          <w:shd w:val="clear" w:color="auto" w:fill="FFFFFF"/>
        </w:rPr>
        <w:t>Škubník, J., Svobodová Pavlíčková, V., Psotova, J., &amp; Rimpelova, S. (2021). Cardiac glycosides as autophagy modulators. </w:t>
      </w:r>
      <w:r>
        <w:rPr>
          <w:rFonts w:ascii="Arial" w:hAnsi="Arial" w:eastAsia="SimSun" w:cs="Arial"/>
          <w:i/>
          <w:iCs/>
          <w:shd w:val="clear" w:color="auto" w:fill="FFFFFF"/>
        </w:rPr>
        <w:t>Cells</w:t>
      </w:r>
      <w:r>
        <w:rPr>
          <w:rFonts w:ascii="Arial" w:hAnsi="Arial" w:eastAsia="SimSun" w:cs="Arial"/>
          <w:shd w:val="clear" w:color="auto" w:fill="FFFFFF"/>
        </w:rPr>
        <w:t>, </w:t>
      </w:r>
      <w:r>
        <w:rPr>
          <w:rFonts w:ascii="Arial" w:hAnsi="Arial" w:eastAsia="SimSun" w:cs="Arial"/>
          <w:i/>
          <w:iCs/>
          <w:shd w:val="clear" w:color="auto" w:fill="FFFFFF"/>
        </w:rPr>
        <w:t>10</w:t>
      </w:r>
      <w:r>
        <w:rPr>
          <w:rFonts w:ascii="Arial" w:hAnsi="Arial" w:eastAsia="SimSun" w:cs="Arial"/>
          <w:shd w:val="clear" w:color="auto" w:fill="FFFFFF"/>
        </w:rPr>
        <w:t>(12), 3341.</w:t>
      </w:r>
    </w:p>
    <w:p w14:paraId="3D1D78F0">
      <w:pPr>
        <w:jc w:val="both"/>
        <w:rPr>
          <w:rFonts w:ascii="Arial" w:hAnsi="Arial" w:eastAsia="SimSun" w:cs="Arial"/>
          <w:shd w:val="clear" w:color="auto" w:fill="FFFFFF"/>
        </w:rPr>
      </w:pPr>
    </w:p>
    <w:p w14:paraId="2EB5638F">
      <w:pPr>
        <w:jc w:val="both"/>
        <w:rPr>
          <w:rFonts w:ascii="Arial" w:hAnsi="Arial" w:eastAsia="SimSun" w:cs="Arial"/>
          <w:shd w:val="clear" w:color="auto" w:fill="FFFFFF"/>
        </w:rPr>
      </w:pPr>
      <w:r>
        <w:rPr>
          <w:rFonts w:ascii="Arial" w:hAnsi="Arial" w:eastAsia="SimSun" w:cs="Arial"/>
          <w:shd w:val="clear" w:color="auto" w:fill="FFFFFF"/>
        </w:rPr>
        <w:t>Sławińska, N., &amp; Olas, B. (2022). Selected seeds as sources of bioactive compounds with diverse biological activities. </w:t>
      </w:r>
      <w:r>
        <w:rPr>
          <w:rFonts w:ascii="Arial" w:hAnsi="Arial" w:eastAsia="SimSun" w:cs="Arial"/>
          <w:i/>
          <w:iCs/>
          <w:shd w:val="clear" w:color="auto" w:fill="FFFFFF"/>
        </w:rPr>
        <w:t>Nutrients</w:t>
      </w:r>
      <w:r>
        <w:rPr>
          <w:rFonts w:ascii="Arial" w:hAnsi="Arial" w:eastAsia="SimSun" w:cs="Arial"/>
          <w:shd w:val="clear" w:color="auto" w:fill="FFFFFF"/>
        </w:rPr>
        <w:t>, </w:t>
      </w:r>
      <w:r>
        <w:rPr>
          <w:rFonts w:ascii="Arial" w:hAnsi="Arial" w:eastAsia="SimSun" w:cs="Arial"/>
          <w:i/>
          <w:iCs/>
          <w:shd w:val="clear" w:color="auto" w:fill="FFFFFF"/>
        </w:rPr>
        <w:t>15</w:t>
      </w:r>
      <w:r>
        <w:rPr>
          <w:rFonts w:ascii="Arial" w:hAnsi="Arial" w:eastAsia="SimSun" w:cs="Arial"/>
          <w:shd w:val="clear" w:color="auto" w:fill="FFFFFF"/>
        </w:rPr>
        <w:t>(1), 187.</w:t>
      </w:r>
    </w:p>
    <w:p w14:paraId="7FB92CA7">
      <w:pPr>
        <w:jc w:val="both"/>
        <w:rPr>
          <w:rFonts w:ascii="Arial" w:hAnsi="Arial" w:eastAsia="SimSun" w:cs="Arial"/>
          <w:shd w:val="clear" w:color="auto" w:fill="FFFFFF"/>
        </w:rPr>
      </w:pPr>
    </w:p>
    <w:p w14:paraId="7DF2FC59">
      <w:pPr>
        <w:jc w:val="both"/>
        <w:rPr>
          <w:rFonts w:ascii="Arial" w:hAnsi="Arial" w:eastAsia="SimSun" w:cs="Arial"/>
          <w:shd w:val="clear" w:color="auto" w:fill="FFFFFF"/>
        </w:rPr>
      </w:pPr>
      <w:r>
        <w:rPr>
          <w:rFonts w:ascii="Arial" w:hAnsi="Arial" w:eastAsia="SimSun" w:cs="Arial"/>
          <w:shd w:val="clear" w:color="auto" w:fill="FFFFFF"/>
        </w:rPr>
        <w:t>Solnier, J., Chang, C., &amp; Pizzorno, J. (2023). Consideration for flavonoid-containing dietary supplements to tackle deficiency and optimize health. </w:t>
      </w:r>
      <w:r>
        <w:rPr>
          <w:rFonts w:ascii="Arial" w:hAnsi="Arial" w:eastAsia="SimSun" w:cs="Arial"/>
          <w:i/>
          <w:iCs/>
          <w:shd w:val="clear" w:color="auto" w:fill="FFFFFF"/>
        </w:rPr>
        <w:t>International journal of molecular sciences</w:t>
      </w:r>
      <w:r>
        <w:rPr>
          <w:rFonts w:ascii="Arial" w:hAnsi="Arial" w:eastAsia="SimSun" w:cs="Arial"/>
          <w:shd w:val="clear" w:color="auto" w:fill="FFFFFF"/>
        </w:rPr>
        <w:t>, </w:t>
      </w:r>
      <w:r>
        <w:rPr>
          <w:rFonts w:ascii="Arial" w:hAnsi="Arial" w:eastAsia="SimSun" w:cs="Arial"/>
          <w:i/>
          <w:iCs/>
          <w:shd w:val="clear" w:color="auto" w:fill="FFFFFF"/>
        </w:rPr>
        <w:t>24</w:t>
      </w:r>
      <w:r>
        <w:rPr>
          <w:rFonts w:ascii="Arial" w:hAnsi="Arial" w:eastAsia="SimSun" w:cs="Arial"/>
          <w:shd w:val="clear" w:color="auto" w:fill="FFFFFF"/>
        </w:rPr>
        <w:t>(10), 8663.</w:t>
      </w:r>
    </w:p>
    <w:p w14:paraId="6DC7E1EF">
      <w:pPr>
        <w:jc w:val="both"/>
        <w:rPr>
          <w:rFonts w:ascii="Arial" w:hAnsi="Arial" w:eastAsia="SimSun" w:cs="Arial"/>
          <w:shd w:val="clear" w:color="auto" w:fill="FFFFFF"/>
        </w:rPr>
      </w:pPr>
    </w:p>
    <w:p w14:paraId="2833748D">
      <w:pPr>
        <w:jc w:val="both"/>
        <w:rPr>
          <w:rFonts w:ascii="Arial" w:hAnsi="Arial" w:eastAsia="SimSun" w:cs="Arial"/>
          <w:shd w:val="clear" w:color="auto" w:fill="FFFFFF"/>
        </w:rPr>
      </w:pPr>
      <w:r>
        <w:rPr>
          <w:rFonts w:ascii="Arial" w:hAnsi="Arial" w:eastAsia="SimSun" w:cs="Arial"/>
          <w:shd w:val="clear" w:color="auto" w:fill="FFFFFF"/>
        </w:rPr>
        <w:t>Upeka, D. A., Udukala, D., &amp; Gunaratna, M. (2024). A comprehensive review of the chemical composition and pharmacological activities of the genus Dialium. </w:t>
      </w:r>
      <w:r>
        <w:rPr>
          <w:rFonts w:ascii="Arial" w:hAnsi="Arial" w:eastAsia="SimSun" w:cs="Arial"/>
          <w:i/>
          <w:iCs/>
          <w:shd w:val="clear" w:color="auto" w:fill="FFFFFF"/>
        </w:rPr>
        <w:t>Jordan Journal of Chemistry (JJC)</w:t>
      </w:r>
      <w:r>
        <w:rPr>
          <w:rFonts w:ascii="Arial" w:hAnsi="Arial" w:eastAsia="SimSun" w:cs="Arial"/>
          <w:shd w:val="clear" w:color="auto" w:fill="FFFFFF"/>
        </w:rPr>
        <w:t>, </w:t>
      </w:r>
      <w:r>
        <w:rPr>
          <w:rFonts w:ascii="Arial" w:hAnsi="Arial" w:eastAsia="SimSun" w:cs="Arial"/>
          <w:i/>
          <w:iCs/>
          <w:shd w:val="clear" w:color="auto" w:fill="FFFFFF"/>
        </w:rPr>
        <w:t>19</w:t>
      </w:r>
      <w:r>
        <w:rPr>
          <w:rFonts w:ascii="Arial" w:hAnsi="Arial" w:eastAsia="SimSun" w:cs="Arial"/>
          <w:shd w:val="clear" w:color="auto" w:fill="FFFFFF"/>
        </w:rPr>
        <w:t>(3), 133-157.</w:t>
      </w:r>
    </w:p>
    <w:p w14:paraId="590B2042">
      <w:pPr>
        <w:jc w:val="both"/>
        <w:rPr>
          <w:rFonts w:ascii="Arial" w:hAnsi="Arial" w:eastAsia="SimSun" w:cs="Arial"/>
          <w:shd w:val="clear" w:color="auto" w:fill="FFFFFF"/>
        </w:rPr>
      </w:pPr>
    </w:p>
    <w:p w14:paraId="1AE1786B">
      <w:pPr>
        <w:jc w:val="both"/>
        <w:rPr>
          <w:rFonts w:ascii="Arial" w:hAnsi="Arial" w:eastAsia="SimSun" w:cs="Arial"/>
          <w:shd w:val="clear" w:color="auto" w:fill="FFFFFF"/>
        </w:rPr>
      </w:pPr>
      <w:r>
        <w:rPr>
          <w:rFonts w:ascii="Arial" w:hAnsi="Arial" w:eastAsia="SimSun" w:cs="Arial"/>
          <w:shd w:val="clear" w:color="auto" w:fill="FFFFFF"/>
        </w:rPr>
        <w:t>Utubaku, A. B., Yakubu, O. E., &amp; Okwara, D. U. (2017). Comparative Phytochemical Analysis of Fermented and Unfermented Seeds of Dialium giuneense. </w:t>
      </w:r>
      <w:r>
        <w:rPr>
          <w:rFonts w:ascii="Arial" w:hAnsi="Arial" w:eastAsia="SimSun" w:cs="Arial"/>
          <w:i/>
          <w:iCs/>
          <w:shd w:val="clear" w:color="auto" w:fill="FFFFFF"/>
        </w:rPr>
        <w:t>Journal of Traditional Medicine and Clinical Naturopathy</w:t>
      </w:r>
      <w:r>
        <w:rPr>
          <w:rFonts w:ascii="Arial" w:hAnsi="Arial" w:eastAsia="SimSun" w:cs="Arial"/>
          <w:shd w:val="clear" w:color="auto" w:fill="FFFFFF"/>
        </w:rPr>
        <w:t>, </w:t>
      </w:r>
      <w:r>
        <w:rPr>
          <w:rFonts w:ascii="Arial" w:hAnsi="Arial" w:eastAsia="SimSun" w:cs="Arial"/>
          <w:i/>
          <w:iCs/>
          <w:shd w:val="clear" w:color="auto" w:fill="FFFFFF"/>
        </w:rPr>
        <w:t>6</w:t>
      </w:r>
      <w:r>
        <w:rPr>
          <w:rFonts w:ascii="Arial" w:hAnsi="Arial" w:eastAsia="SimSun" w:cs="Arial"/>
          <w:shd w:val="clear" w:color="auto" w:fill="FFFFFF"/>
        </w:rPr>
        <w:t>(3), 226-228.</w:t>
      </w:r>
    </w:p>
    <w:p w14:paraId="56D55EB0">
      <w:pPr>
        <w:jc w:val="both"/>
        <w:rPr>
          <w:rFonts w:ascii="Arial" w:hAnsi="Arial" w:eastAsia="SimSun" w:cs="Arial"/>
          <w:shd w:val="clear" w:color="auto" w:fill="FFFFFF"/>
        </w:rPr>
      </w:pPr>
    </w:p>
    <w:p w14:paraId="529E5A28">
      <w:pPr>
        <w:jc w:val="both"/>
        <w:rPr>
          <w:rFonts w:ascii="Arial" w:hAnsi="Arial" w:eastAsia="SimSun" w:cs="Arial"/>
          <w:shd w:val="clear" w:color="auto" w:fill="FFFFFF"/>
        </w:rPr>
      </w:pPr>
      <w:r>
        <w:rPr>
          <w:rFonts w:ascii="Arial" w:hAnsi="Arial" w:eastAsia="SimSun" w:cs="Arial"/>
          <w:shd w:val="clear" w:color="auto" w:fill="FFFFFF"/>
        </w:rPr>
        <w:t>Wang, H. H., Lee, D. K., Liu, M., Portincasa, P., &amp; Wang, D. Q. (2020). Novel insights into the pathogenesis and management of the metabolic syndrome. </w:t>
      </w:r>
      <w:r>
        <w:rPr>
          <w:rFonts w:ascii="Arial" w:hAnsi="Arial" w:eastAsia="SimSun" w:cs="Arial"/>
          <w:i/>
          <w:iCs/>
          <w:shd w:val="clear" w:color="auto" w:fill="FFFFFF"/>
        </w:rPr>
        <w:t>Pediatric gastroenterology, hepatology &amp; nutrition</w:t>
      </w:r>
      <w:r>
        <w:rPr>
          <w:rFonts w:ascii="Arial" w:hAnsi="Arial" w:eastAsia="SimSun" w:cs="Arial"/>
          <w:shd w:val="clear" w:color="auto" w:fill="FFFFFF"/>
        </w:rPr>
        <w:t>, </w:t>
      </w:r>
      <w:r>
        <w:rPr>
          <w:rFonts w:ascii="Arial" w:hAnsi="Arial" w:eastAsia="SimSun" w:cs="Arial"/>
          <w:i/>
          <w:iCs/>
          <w:shd w:val="clear" w:color="auto" w:fill="FFFFFF"/>
        </w:rPr>
        <w:t>23</w:t>
      </w:r>
      <w:r>
        <w:rPr>
          <w:rFonts w:ascii="Arial" w:hAnsi="Arial" w:eastAsia="SimSun" w:cs="Arial"/>
          <w:shd w:val="clear" w:color="auto" w:fill="FFFFFF"/>
        </w:rPr>
        <w:t>(3), 189.</w:t>
      </w:r>
    </w:p>
    <w:p w14:paraId="1FF590AB">
      <w:pPr>
        <w:jc w:val="both"/>
        <w:rPr>
          <w:rFonts w:ascii="Arial" w:hAnsi="Arial" w:eastAsia="SimSun" w:cs="Arial"/>
          <w:shd w:val="clear" w:color="auto" w:fill="FFFFFF"/>
        </w:rPr>
      </w:pPr>
    </w:p>
    <w:p w14:paraId="2ABBA552">
      <w:pPr>
        <w:jc w:val="both"/>
        <w:rPr>
          <w:rFonts w:ascii="Arial" w:hAnsi="Arial" w:eastAsia="SimSun" w:cs="Arial"/>
          <w:shd w:val="clear" w:color="auto" w:fill="FFFFFF"/>
        </w:rPr>
      </w:pPr>
      <w:r>
        <w:rPr>
          <w:rFonts w:ascii="Arial" w:hAnsi="Arial" w:eastAsia="SimSun" w:cs="Arial"/>
          <w:shd w:val="clear" w:color="auto" w:fill="FFFFFF"/>
        </w:rPr>
        <w:t>Wang, S., &amp; Guo, P. (2020). Botanical sources of starch. In </w:t>
      </w:r>
      <w:r>
        <w:rPr>
          <w:rFonts w:ascii="Arial" w:hAnsi="Arial" w:eastAsia="SimSun" w:cs="Arial"/>
          <w:i/>
          <w:iCs/>
          <w:shd w:val="clear" w:color="auto" w:fill="FFFFFF"/>
        </w:rPr>
        <w:t>Starch structure, functionality and application in foods</w:t>
      </w:r>
      <w:r>
        <w:rPr>
          <w:rFonts w:ascii="Arial" w:hAnsi="Arial" w:eastAsia="SimSun" w:cs="Arial"/>
          <w:shd w:val="clear" w:color="auto" w:fill="FFFFFF"/>
        </w:rPr>
        <w:t> (pp. 9-27). Singapore: Springer Singapore.</w:t>
      </w:r>
    </w:p>
    <w:p w14:paraId="7BC21347">
      <w:pPr>
        <w:pStyle w:val="16"/>
        <w:spacing w:after="0"/>
        <w:jc w:val="both"/>
        <w:rPr>
          <w:rFonts w:ascii="Arial" w:hAnsi="Arial" w:cs="Arial"/>
          <w:b w:val="0"/>
          <w:caps w:val="0"/>
          <w:sz w:val="20"/>
        </w:rPr>
      </w:pPr>
    </w:p>
    <w:p w14:paraId="5F6A787D">
      <w:pPr>
        <w:pStyle w:val="16"/>
        <w:spacing w:after="0"/>
        <w:jc w:val="both"/>
        <w:rPr>
          <w:rFonts w:ascii="Arial" w:hAnsi="Arial" w:cs="Arial"/>
          <w:b w:val="0"/>
          <w:caps w:val="0"/>
          <w:sz w:val="20"/>
          <w:u w:val="single"/>
        </w:rPr>
      </w:pPr>
    </w:p>
    <w:p w14:paraId="129D2A41">
      <w:pPr>
        <w:spacing w:line="360" w:lineRule="auto"/>
        <w:jc w:val="both"/>
        <w:rPr>
          <w:rFonts w:ascii="Arial" w:hAnsi="Arial" w:cs="Arial"/>
        </w:rPr>
      </w:pPr>
    </w:p>
    <w:p w14:paraId="326AC719">
      <w:pPr>
        <w:spacing w:line="360" w:lineRule="auto"/>
        <w:jc w:val="both"/>
        <w:rPr>
          <w:rFonts w:ascii="Arial" w:hAnsi="Arial" w:eastAsia="SimSun" w:cs="Arial"/>
        </w:rPr>
      </w:pPr>
    </w:p>
    <w:p w14:paraId="4564C87F">
      <w:pPr>
        <w:spacing w:line="360" w:lineRule="auto"/>
        <w:jc w:val="both"/>
        <w:rPr>
          <w:rFonts w:ascii="Arial" w:hAnsi="Arial" w:eastAsia="SimSun" w:cs="Arial"/>
        </w:rPr>
      </w:pPr>
    </w:p>
    <w:p w14:paraId="466C95BD">
      <w:pPr>
        <w:spacing w:line="360" w:lineRule="auto"/>
        <w:jc w:val="both"/>
        <w:rPr>
          <w:rFonts w:ascii="Arial" w:hAnsi="Arial" w:eastAsia="SimSun" w:cs="Aria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Georgia">
    <w:panose1 w:val="02040502050405020303"/>
    <w:charset w:val="00"/>
    <w:family w:val="roman"/>
    <w:pitch w:val="default"/>
    <w:sig w:usb0="00000287" w:usb1="00000000" w:usb2="00000000" w:usb3="00000000" w:csb0="2000009F" w:csb1="0000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0667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011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FFCD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1D0EC">
    <w:pPr>
      <w:pStyle w:val="10"/>
    </w:pPr>
    <w:r>
      <w:pict>
        <v:shape id="PowerPlusWaterMarkObject354953689" o:spid="_x0000_s4098" o:spt="136" type="#_x0000_t136" style="position:absolute;left:0pt;height:92.9pt;width:492.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C919">
    <w:pPr>
      <w:pStyle w:val="10"/>
    </w:pPr>
    <w:r>
      <w:pict>
        <v:shape id="PowerPlusWaterMarkObject354953688" o:spid="_x0000_s4099" o:spt="136" type="#_x0000_t136" style="position:absolute;left:0pt;height:92.9pt;width:492.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9FF46">
    <w:pPr>
      <w:pStyle w:val="10"/>
    </w:pPr>
    <w:r>
      <w:pict>
        <v:shape id="PowerPlusWaterMarkObject354953687" o:spid="_x0000_s4097" o:spt="136" type="#_x0000_t136" style="position:absolute;left:0pt;height:92.9pt;width:492.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3345C"/>
    <w:rsid w:val="00012595"/>
    <w:rsid w:val="000161FC"/>
    <w:rsid w:val="00063693"/>
    <w:rsid w:val="000A41F2"/>
    <w:rsid w:val="000B71CA"/>
    <w:rsid w:val="001059AC"/>
    <w:rsid w:val="00112CD3"/>
    <w:rsid w:val="001177AE"/>
    <w:rsid w:val="00122445"/>
    <w:rsid w:val="001250A9"/>
    <w:rsid w:val="00143878"/>
    <w:rsid w:val="00154C69"/>
    <w:rsid w:val="00166992"/>
    <w:rsid w:val="00172A24"/>
    <w:rsid w:val="002051D7"/>
    <w:rsid w:val="002431AA"/>
    <w:rsid w:val="00281779"/>
    <w:rsid w:val="002A3D5A"/>
    <w:rsid w:val="002F5EF9"/>
    <w:rsid w:val="002F76F8"/>
    <w:rsid w:val="003031A5"/>
    <w:rsid w:val="00306114"/>
    <w:rsid w:val="00342DDC"/>
    <w:rsid w:val="00390F54"/>
    <w:rsid w:val="003D5C8F"/>
    <w:rsid w:val="00430747"/>
    <w:rsid w:val="004640A2"/>
    <w:rsid w:val="004816F0"/>
    <w:rsid w:val="00482D95"/>
    <w:rsid w:val="004B1FBB"/>
    <w:rsid w:val="004C474A"/>
    <w:rsid w:val="004F753D"/>
    <w:rsid w:val="00503650"/>
    <w:rsid w:val="005A7948"/>
    <w:rsid w:val="005E4355"/>
    <w:rsid w:val="00607494"/>
    <w:rsid w:val="00616C9A"/>
    <w:rsid w:val="006404FC"/>
    <w:rsid w:val="006801D1"/>
    <w:rsid w:val="006B3CA5"/>
    <w:rsid w:val="006C0D4E"/>
    <w:rsid w:val="006D3BE1"/>
    <w:rsid w:val="006E102D"/>
    <w:rsid w:val="00724A40"/>
    <w:rsid w:val="007E2DF9"/>
    <w:rsid w:val="007F4D59"/>
    <w:rsid w:val="00815B81"/>
    <w:rsid w:val="0088622C"/>
    <w:rsid w:val="00897742"/>
    <w:rsid w:val="008E2EEC"/>
    <w:rsid w:val="00903749"/>
    <w:rsid w:val="009215AC"/>
    <w:rsid w:val="00973B61"/>
    <w:rsid w:val="00984383"/>
    <w:rsid w:val="00987CEE"/>
    <w:rsid w:val="009B1512"/>
    <w:rsid w:val="009F3446"/>
    <w:rsid w:val="00A232AA"/>
    <w:rsid w:val="00A33547"/>
    <w:rsid w:val="00A56F23"/>
    <w:rsid w:val="00A76FCE"/>
    <w:rsid w:val="00A93427"/>
    <w:rsid w:val="00A95646"/>
    <w:rsid w:val="00AA6885"/>
    <w:rsid w:val="00AF6680"/>
    <w:rsid w:val="00B015EA"/>
    <w:rsid w:val="00B01CE2"/>
    <w:rsid w:val="00B3503B"/>
    <w:rsid w:val="00B364B8"/>
    <w:rsid w:val="00B52B56"/>
    <w:rsid w:val="00B60227"/>
    <w:rsid w:val="00B94D11"/>
    <w:rsid w:val="00BA6A38"/>
    <w:rsid w:val="00C20545"/>
    <w:rsid w:val="00C41067"/>
    <w:rsid w:val="00C44990"/>
    <w:rsid w:val="00C561EA"/>
    <w:rsid w:val="00C752D0"/>
    <w:rsid w:val="00C76F5F"/>
    <w:rsid w:val="00CC7971"/>
    <w:rsid w:val="00CE5A5E"/>
    <w:rsid w:val="00CF4BFF"/>
    <w:rsid w:val="00D25FDE"/>
    <w:rsid w:val="00D72730"/>
    <w:rsid w:val="00DA2976"/>
    <w:rsid w:val="00DD04BE"/>
    <w:rsid w:val="00E629DB"/>
    <w:rsid w:val="00E94077"/>
    <w:rsid w:val="00EA1791"/>
    <w:rsid w:val="00EC6F9D"/>
    <w:rsid w:val="00F06628"/>
    <w:rsid w:val="00F145D8"/>
    <w:rsid w:val="00F80510"/>
    <w:rsid w:val="00FB4EA7"/>
    <w:rsid w:val="00FC70C9"/>
    <w:rsid w:val="00FE7B89"/>
    <w:rsid w:val="01B81CE2"/>
    <w:rsid w:val="02481D39"/>
    <w:rsid w:val="025B268B"/>
    <w:rsid w:val="02C13975"/>
    <w:rsid w:val="03782989"/>
    <w:rsid w:val="03900E13"/>
    <w:rsid w:val="03AA2FE2"/>
    <w:rsid w:val="0557607E"/>
    <w:rsid w:val="05CE4396"/>
    <w:rsid w:val="062A744B"/>
    <w:rsid w:val="068A254B"/>
    <w:rsid w:val="06E33D11"/>
    <w:rsid w:val="074A4F68"/>
    <w:rsid w:val="07A373EA"/>
    <w:rsid w:val="08034185"/>
    <w:rsid w:val="08FB72F3"/>
    <w:rsid w:val="09D83689"/>
    <w:rsid w:val="0CA27518"/>
    <w:rsid w:val="0DC84A7C"/>
    <w:rsid w:val="0DE90ADD"/>
    <w:rsid w:val="0E0F7416"/>
    <w:rsid w:val="0F390A43"/>
    <w:rsid w:val="0F7044B2"/>
    <w:rsid w:val="0F8C459D"/>
    <w:rsid w:val="0FA4668E"/>
    <w:rsid w:val="1118101A"/>
    <w:rsid w:val="11600F9F"/>
    <w:rsid w:val="116D203D"/>
    <w:rsid w:val="11863B82"/>
    <w:rsid w:val="11C67EB9"/>
    <w:rsid w:val="126A666E"/>
    <w:rsid w:val="12BB109B"/>
    <w:rsid w:val="130771E3"/>
    <w:rsid w:val="14652F40"/>
    <w:rsid w:val="149E67EA"/>
    <w:rsid w:val="151F2970"/>
    <w:rsid w:val="15C54AC9"/>
    <w:rsid w:val="15E20BF3"/>
    <w:rsid w:val="162B467B"/>
    <w:rsid w:val="16560BB2"/>
    <w:rsid w:val="165A1208"/>
    <w:rsid w:val="167553FD"/>
    <w:rsid w:val="16C31566"/>
    <w:rsid w:val="170557A0"/>
    <w:rsid w:val="1717771E"/>
    <w:rsid w:val="184347B0"/>
    <w:rsid w:val="188C7138"/>
    <w:rsid w:val="18AF2D8B"/>
    <w:rsid w:val="19491978"/>
    <w:rsid w:val="19AB482C"/>
    <w:rsid w:val="1A9E2D42"/>
    <w:rsid w:val="1ACC1D4A"/>
    <w:rsid w:val="1C375959"/>
    <w:rsid w:val="1CB73F7F"/>
    <w:rsid w:val="1CFF3A48"/>
    <w:rsid w:val="1D13223F"/>
    <w:rsid w:val="1D612008"/>
    <w:rsid w:val="1EBB5876"/>
    <w:rsid w:val="1F4E084D"/>
    <w:rsid w:val="1FCB3D34"/>
    <w:rsid w:val="201F4DBA"/>
    <w:rsid w:val="20A74EF4"/>
    <w:rsid w:val="22012EF9"/>
    <w:rsid w:val="23011F7A"/>
    <w:rsid w:val="234710AE"/>
    <w:rsid w:val="24397179"/>
    <w:rsid w:val="245B3335"/>
    <w:rsid w:val="24D569B2"/>
    <w:rsid w:val="24DE5462"/>
    <w:rsid w:val="25D264EC"/>
    <w:rsid w:val="25EB0389"/>
    <w:rsid w:val="26C45628"/>
    <w:rsid w:val="27B47E1D"/>
    <w:rsid w:val="28973C07"/>
    <w:rsid w:val="29747D10"/>
    <w:rsid w:val="2D017D82"/>
    <w:rsid w:val="2D041B3E"/>
    <w:rsid w:val="2D5748C0"/>
    <w:rsid w:val="2EA367EC"/>
    <w:rsid w:val="2EB767EB"/>
    <w:rsid w:val="2F8F4D87"/>
    <w:rsid w:val="2FDC4C9F"/>
    <w:rsid w:val="30B13315"/>
    <w:rsid w:val="30CC77D5"/>
    <w:rsid w:val="312217C7"/>
    <w:rsid w:val="33BD17D9"/>
    <w:rsid w:val="34243640"/>
    <w:rsid w:val="3572793B"/>
    <w:rsid w:val="357E7804"/>
    <w:rsid w:val="36411800"/>
    <w:rsid w:val="36447B46"/>
    <w:rsid w:val="367906F8"/>
    <w:rsid w:val="368C6514"/>
    <w:rsid w:val="379811C0"/>
    <w:rsid w:val="388E4599"/>
    <w:rsid w:val="39653912"/>
    <w:rsid w:val="3AAF0022"/>
    <w:rsid w:val="3AE22FE1"/>
    <w:rsid w:val="3B0E6168"/>
    <w:rsid w:val="3B20348F"/>
    <w:rsid w:val="3B251412"/>
    <w:rsid w:val="3B5407CB"/>
    <w:rsid w:val="3BDC2E01"/>
    <w:rsid w:val="3C5E524B"/>
    <w:rsid w:val="3D235335"/>
    <w:rsid w:val="3EE73740"/>
    <w:rsid w:val="3F281CA4"/>
    <w:rsid w:val="3F4F3363"/>
    <w:rsid w:val="40072BAE"/>
    <w:rsid w:val="40FF61B6"/>
    <w:rsid w:val="416A4415"/>
    <w:rsid w:val="422E542E"/>
    <w:rsid w:val="434455E4"/>
    <w:rsid w:val="43EA0B03"/>
    <w:rsid w:val="447C536B"/>
    <w:rsid w:val="44CA3993"/>
    <w:rsid w:val="46C73C2B"/>
    <w:rsid w:val="46F77144"/>
    <w:rsid w:val="476602B2"/>
    <w:rsid w:val="47800598"/>
    <w:rsid w:val="49EC690E"/>
    <w:rsid w:val="4A864069"/>
    <w:rsid w:val="4AC72202"/>
    <w:rsid w:val="4AFD2D89"/>
    <w:rsid w:val="4C2657F2"/>
    <w:rsid w:val="4C6441EB"/>
    <w:rsid w:val="4C6B3B92"/>
    <w:rsid w:val="4CB052E1"/>
    <w:rsid w:val="4E2C69CB"/>
    <w:rsid w:val="4E654DB7"/>
    <w:rsid w:val="4F13345C"/>
    <w:rsid w:val="4F4931EF"/>
    <w:rsid w:val="4F94697E"/>
    <w:rsid w:val="4FA22128"/>
    <w:rsid w:val="4FC027FE"/>
    <w:rsid w:val="4FD715F0"/>
    <w:rsid w:val="4FF86DEB"/>
    <w:rsid w:val="510218EF"/>
    <w:rsid w:val="512841B5"/>
    <w:rsid w:val="518203BF"/>
    <w:rsid w:val="522A39D8"/>
    <w:rsid w:val="53142DAF"/>
    <w:rsid w:val="540B30E4"/>
    <w:rsid w:val="540E5994"/>
    <w:rsid w:val="55777CC8"/>
    <w:rsid w:val="55DB0067"/>
    <w:rsid w:val="5863030F"/>
    <w:rsid w:val="59D11976"/>
    <w:rsid w:val="5B0D115D"/>
    <w:rsid w:val="5B4652F3"/>
    <w:rsid w:val="5C2C30E6"/>
    <w:rsid w:val="5C3F26AF"/>
    <w:rsid w:val="5EB43DA4"/>
    <w:rsid w:val="5F723D8A"/>
    <w:rsid w:val="610A4290"/>
    <w:rsid w:val="61DE0CF0"/>
    <w:rsid w:val="622014DC"/>
    <w:rsid w:val="62853336"/>
    <w:rsid w:val="629B42BC"/>
    <w:rsid w:val="644D291F"/>
    <w:rsid w:val="64947640"/>
    <w:rsid w:val="65336F3D"/>
    <w:rsid w:val="65D1387D"/>
    <w:rsid w:val="66916949"/>
    <w:rsid w:val="67A34B94"/>
    <w:rsid w:val="6827345C"/>
    <w:rsid w:val="6827516E"/>
    <w:rsid w:val="69671F3A"/>
    <w:rsid w:val="697F4331"/>
    <w:rsid w:val="69EA7489"/>
    <w:rsid w:val="6AB45054"/>
    <w:rsid w:val="6BD0720D"/>
    <w:rsid w:val="6CD43DB7"/>
    <w:rsid w:val="6D39074B"/>
    <w:rsid w:val="6F0963B2"/>
    <w:rsid w:val="6F7F185B"/>
    <w:rsid w:val="707B2347"/>
    <w:rsid w:val="70DD76C6"/>
    <w:rsid w:val="721631A8"/>
    <w:rsid w:val="723B4087"/>
    <w:rsid w:val="735F7FBC"/>
    <w:rsid w:val="7368034B"/>
    <w:rsid w:val="749C30D5"/>
    <w:rsid w:val="74AD77EC"/>
    <w:rsid w:val="74D52E98"/>
    <w:rsid w:val="75062D05"/>
    <w:rsid w:val="785C6B55"/>
    <w:rsid w:val="7B984BFC"/>
    <w:rsid w:val="7BB23A4B"/>
    <w:rsid w:val="7C077CA0"/>
    <w:rsid w:val="7E077C54"/>
    <w:rsid w:val="7E0D0FFA"/>
    <w:rsid w:val="7E380189"/>
    <w:rsid w:val="7F4F5EB6"/>
    <w:rsid w:val="7F8E34B9"/>
    <w:rsid w:val="7FAA1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0"/>
    <w:qFormat/>
    <w:uiPriority w:val="0"/>
    <w:rPr>
      <w:rFonts w:ascii="Segoe UI" w:hAnsi="Segoe UI" w:cs="Segoe UI"/>
      <w:sz w:val="18"/>
      <w:szCs w:val="18"/>
    </w:rPr>
  </w:style>
  <w:style w:type="character" w:styleId="5">
    <w:name w:val="annotation reference"/>
    <w:basedOn w:val="2"/>
    <w:qFormat/>
    <w:uiPriority w:val="0"/>
    <w:rPr>
      <w:sz w:val="16"/>
      <w:szCs w:val="16"/>
    </w:rPr>
  </w:style>
  <w:style w:type="paragraph" w:styleId="6">
    <w:name w:val="annotation text"/>
    <w:basedOn w:val="1"/>
    <w:link w:val="18"/>
    <w:qFormat/>
    <w:uiPriority w:val="0"/>
  </w:style>
  <w:style w:type="paragraph" w:styleId="7">
    <w:name w:val="annotation subject"/>
    <w:basedOn w:val="6"/>
    <w:next w:val="6"/>
    <w:link w:val="19"/>
    <w:qFormat/>
    <w:uiPriority w:val="0"/>
    <w:rPr>
      <w:b/>
      <w:bCs/>
    </w:rPr>
  </w:style>
  <w:style w:type="character" w:styleId="8">
    <w:name w:val="Emphasis"/>
    <w:basedOn w:val="2"/>
    <w:qFormat/>
    <w:uiPriority w:val="0"/>
    <w:rPr>
      <w:i/>
      <w:iCs/>
    </w:rPr>
  </w:style>
  <w:style w:type="paragraph" w:styleId="9">
    <w:name w:val="footer"/>
    <w:basedOn w:val="1"/>
    <w:link w:val="24"/>
    <w:qFormat/>
    <w:uiPriority w:val="0"/>
    <w:pPr>
      <w:tabs>
        <w:tab w:val="center" w:pos="4680"/>
        <w:tab w:val="right" w:pos="9360"/>
      </w:tabs>
    </w:pPr>
  </w:style>
  <w:style w:type="paragraph" w:styleId="10">
    <w:name w:val="header"/>
    <w:basedOn w:val="1"/>
    <w:link w:val="23"/>
    <w:qFormat/>
    <w:uiPriority w:val="0"/>
    <w:pPr>
      <w:tabs>
        <w:tab w:val="center" w:pos="4680"/>
        <w:tab w:val="right" w:pos="9360"/>
      </w:tabs>
    </w:pPr>
  </w:style>
  <w:style w:type="character" w:styleId="11">
    <w:name w:val="Hyperlink"/>
    <w:basedOn w:val="2"/>
    <w:qFormat/>
    <w:uiPriority w:val="0"/>
    <w:rPr>
      <w:color w:val="0000FF"/>
      <w:u w:val="single"/>
    </w:rPr>
  </w:style>
  <w:style w:type="paragraph" w:styleId="12">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13">
    <w:name w:val="Strong"/>
    <w:basedOn w:val="2"/>
    <w:qFormat/>
    <w:uiPriority w:val="0"/>
    <w:rPr>
      <w:b/>
      <w:bCs/>
    </w:rPr>
  </w:style>
  <w:style w:type="table" w:styleId="1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
    <w:basedOn w:val="1"/>
    <w:qFormat/>
    <w:uiPriority w:val="0"/>
    <w:pPr>
      <w:spacing w:after="240"/>
      <w:jc w:val="both"/>
    </w:pPr>
  </w:style>
  <w:style w:type="paragraph" w:customStyle="1" w:styleId="16">
    <w:name w:val="Refer Head"/>
    <w:basedOn w:val="17"/>
    <w:qFormat/>
    <w:uiPriority w:val="0"/>
    <w:rPr>
      <w:sz w:val="22"/>
    </w:rPr>
  </w:style>
  <w:style w:type="paragraph" w:customStyle="1" w:styleId="17">
    <w:name w:val="Main Head"/>
    <w:basedOn w:val="1"/>
    <w:qFormat/>
    <w:uiPriority w:val="0"/>
    <w:pPr>
      <w:keepNext/>
      <w:spacing w:after="240"/>
    </w:pPr>
    <w:rPr>
      <w:b/>
      <w:caps/>
    </w:rPr>
  </w:style>
  <w:style w:type="character" w:customStyle="1" w:styleId="18">
    <w:name w:val="Comment Text Char"/>
    <w:basedOn w:val="2"/>
    <w:link w:val="6"/>
    <w:qFormat/>
    <w:uiPriority w:val="0"/>
    <w:rPr>
      <w:rFonts w:asciiTheme="minorHAnsi" w:hAnsiTheme="minorHAnsi" w:eastAsiaTheme="minorEastAsia" w:cstheme="minorBidi"/>
      <w:lang w:eastAsia="zh-CN"/>
    </w:rPr>
  </w:style>
  <w:style w:type="character" w:customStyle="1" w:styleId="19">
    <w:name w:val="Comment Subject Char"/>
    <w:basedOn w:val="18"/>
    <w:link w:val="7"/>
    <w:qFormat/>
    <w:uiPriority w:val="0"/>
    <w:rPr>
      <w:rFonts w:asciiTheme="minorHAnsi" w:hAnsiTheme="minorHAnsi" w:eastAsiaTheme="minorEastAsia" w:cstheme="minorBidi"/>
      <w:b/>
      <w:bCs/>
      <w:lang w:eastAsia="zh-CN"/>
    </w:rPr>
  </w:style>
  <w:style w:type="character" w:customStyle="1" w:styleId="20">
    <w:name w:val="Balloon Text Char"/>
    <w:basedOn w:val="2"/>
    <w:link w:val="4"/>
    <w:qFormat/>
    <w:uiPriority w:val="0"/>
    <w:rPr>
      <w:rFonts w:ascii="Segoe UI" w:hAnsi="Segoe UI" w:cs="Segoe UI" w:eastAsiaTheme="minorEastAsia"/>
      <w:sz w:val="18"/>
      <w:szCs w:val="18"/>
      <w:lang w:eastAsia="zh-CN"/>
    </w:rPr>
  </w:style>
  <w:style w:type="character" w:customStyle="1" w:styleId="21">
    <w:name w:val="Unresolved Mention"/>
    <w:basedOn w:val="2"/>
    <w:semiHidden/>
    <w:unhideWhenUsed/>
    <w:qFormat/>
    <w:uiPriority w:val="99"/>
    <w:rPr>
      <w:color w:val="605E5C"/>
      <w:shd w:val="clear" w:color="auto" w:fill="E1DFDD"/>
    </w:rPr>
  </w:style>
  <w:style w:type="paragraph" w:styleId="22">
    <w:name w:val="List Paragraph"/>
    <w:basedOn w:val="1"/>
    <w:unhideWhenUsed/>
    <w:qFormat/>
    <w:uiPriority w:val="99"/>
    <w:pPr>
      <w:ind w:left="720"/>
      <w:contextualSpacing/>
    </w:pPr>
  </w:style>
  <w:style w:type="character" w:customStyle="1" w:styleId="23">
    <w:name w:val="Header Char"/>
    <w:basedOn w:val="2"/>
    <w:link w:val="10"/>
    <w:qFormat/>
    <w:uiPriority w:val="0"/>
    <w:rPr>
      <w:rFonts w:asciiTheme="minorHAnsi" w:hAnsiTheme="minorHAnsi" w:eastAsiaTheme="minorEastAsia" w:cstheme="minorBidi"/>
      <w:lang w:eastAsia="zh-CN"/>
    </w:rPr>
  </w:style>
  <w:style w:type="character" w:customStyle="1" w:styleId="24">
    <w:name w:val="Footer Char"/>
    <w:basedOn w:val="2"/>
    <w:link w:val="9"/>
    <w:qFormat/>
    <w:uiPriority w:val="0"/>
    <w:rPr>
      <w:rFonts w:asciiTheme="minorHAnsi" w:hAnsiTheme="minorHAnsi" w:eastAsiaTheme="minorEastAsia" w:cstheme="minorBidi"/>
      <w:lang w:eastAsia="zh-CN"/>
    </w:rPr>
  </w:style>
  <w:style w:type="paragraph" w:styleId="25">
    <w:name w:val="No Spacing"/>
    <w:qFormat/>
    <w:uiPriority w:val="1"/>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4813</Words>
  <Characters>27382</Characters>
  <Lines>229</Lines>
  <Paragraphs>64</Paragraphs>
  <TotalTime>9</TotalTime>
  <ScaleCrop>false</ScaleCrop>
  <LinksUpToDate>false</LinksUpToDate>
  <CharactersWithSpaces>32061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2026-03-24T09:22:00Z</dcterms:created>
  <dc:creator>uyoyo ududua</dc:creator>
  <cp:lastModifiedBy>uyoyo ududua</cp:lastModifiedBy>
  <dcterms:modified xsi:type="dcterms:W3CDTF">2026-04-09T10:54:52Z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3D2EA13F0ADA4333B5BC1FFEF0EBC020_13</vt:lpwstr>
  </property>
  <property fmtid="{D5CDD505-2E9C-101B-9397-08002B2CF9AE}" pid="4" name="KSOTemplateDocerSaveRecord">
    <vt:lpwstr>eyJoZGlkIjoiYzgxMjcxMDgzZjFmNGZjYzZlZGYyOGNmYWY4ZDNlZjQiLCJ1c2VySWQiOiIzNzI4MzU3OTc4Njg0In0=</vt:lpwstr>
  </property>
</Properties>
</file>