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DABB7" w14:textId="7791570E" w:rsidR="00BE0EAA" w:rsidRDefault="00BE0EAA" w:rsidP="00BE0EAA">
      <w:pPr>
        <w:rPr>
          <w:rFonts w:ascii="Arial" w:hAnsi="Arial" w:cs="Arial"/>
          <w:b/>
          <w:bCs/>
        </w:rPr>
      </w:pPr>
      <w:bookmarkStart w:id="0" w:name="_Hlk225159873"/>
      <w:bookmarkStart w:id="1" w:name="_GoBack"/>
      <w:bookmarkEnd w:id="1"/>
      <w:r w:rsidRPr="00BE0EAA">
        <w:rPr>
          <w:rFonts w:ascii="Arial" w:hAnsi="Arial" w:cs="Arial"/>
          <w:b/>
          <w:bCs/>
        </w:rPr>
        <w:t xml:space="preserve">Histochemical Characterization of </w:t>
      </w:r>
      <w:r w:rsidRPr="00BE0EAA">
        <w:rPr>
          <w:rFonts w:ascii="Arial" w:hAnsi="Arial" w:cs="Arial"/>
          <w:b/>
          <w:bCs/>
          <w:i/>
          <w:iCs/>
        </w:rPr>
        <w:t xml:space="preserve">Salacia </w:t>
      </w:r>
      <w:proofErr w:type="spellStart"/>
      <w:r w:rsidRPr="00BE0EAA">
        <w:rPr>
          <w:rFonts w:ascii="Arial" w:hAnsi="Arial" w:cs="Arial"/>
          <w:b/>
          <w:bCs/>
          <w:i/>
          <w:iCs/>
        </w:rPr>
        <w:t>korthalsiana</w:t>
      </w:r>
      <w:proofErr w:type="spellEnd"/>
      <w:r w:rsidRPr="00BE0EAA">
        <w:rPr>
          <w:rFonts w:ascii="Arial" w:hAnsi="Arial" w:cs="Arial"/>
          <w:b/>
          <w:bCs/>
        </w:rPr>
        <w:t xml:space="preserve"> </w:t>
      </w:r>
      <w:proofErr w:type="spellStart"/>
      <w:r w:rsidRPr="00BE0EAA">
        <w:rPr>
          <w:rFonts w:ascii="Arial" w:hAnsi="Arial" w:cs="Arial"/>
          <w:b/>
          <w:bCs/>
        </w:rPr>
        <w:t>Miq</w:t>
      </w:r>
      <w:proofErr w:type="spellEnd"/>
      <w:r w:rsidRPr="00BE0EAA">
        <w:rPr>
          <w:rFonts w:ascii="Arial" w:hAnsi="Arial" w:cs="Arial"/>
          <w:b/>
          <w:bCs/>
        </w:rPr>
        <w:t>. (</w:t>
      </w:r>
      <w:proofErr w:type="spellStart"/>
      <w:r w:rsidRPr="00BE0EAA">
        <w:rPr>
          <w:rFonts w:ascii="Arial" w:hAnsi="Arial" w:cs="Arial"/>
          <w:b/>
          <w:bCs/>
        </w:rPr>
        <w:t>Polipog</w:t>
      </w:r>
      <w:proofErr w:type="spellEnd"/>
      <w:r w:rsidRPr="00BE0EAA">
        <w:rPr>
          <w:rFonts w:ascii="Arial" w:hAnsi="Arial" w:cs="Arial"/>
          <w:b/>
          <w:bCs/>
        </w:rPr>
        <w:t>)</w:t>
      </w:r>
      <w:r w:rsidR="008E07B6">
        <w:rPr>
          <w:rFonts w:ascii="Arial" w:hAnsi="Arial" w:cs="Arial"/>
          <w:b/>
          <w:bCs/>
        </w:rPr>
        <w:t xml:space="preserve"> </w:t>
      </w:r>
      <w:r w:rsidR="008E07B6" w:rsidRPr="002C1306">
        <w:rPr>
          <w:rFonts w:ascii="Arial" w:hAnsi="Arial" w:cs="Arial"/>
          <w:b/>
          <w:bCs/>
          <w:highlight w:val="yellow"/>
        </w:rPr>
        <w:t>Root</w:t>
      </w:r>
    </w:p>
    <w:bookmarkEnd w:id="0"/>
    <w:p w14:paraId="70E0D90A" w14:textId="77777777" w:rsidR="00BE0EAA" w:rsidRPr="00BE0EAA" w:rsidRDefault="00BE0EAA" w:rsidP="00BE0EAA">
      <w:pPr>
        <w:rPr>
          <w:rFonts w:ascii="Arial" w:hAnsi="Arial" w:cs="Arial"/>
          <w:b/>
          <w:bCs/>
        </w:rPr>
      </w:pPr>
    </w:p>
    <w:p w14:paraId="18A93A98" w14:textId="314E41D8" w:rsidR="00BE0EAA" w:rsidRDefault="00BE0EAA">
      <w:pPr>
        <w:rPr>
          <w:rFonts w:ascii="Arial" w:hAnsi="Arial" w:cs="Arial"/>
        </w:rPr>
      </w:pPr>
    </w:p>
    <w:p w14:paraId="2240B9F6" w14:textId="77777777" w:rsidR="00DA0E52" w:rsidRPr="00BE0EAA" w:rsidRDefault="00DA0E52">
      <w:pPr>
        <w:rPr>
          <w:rFonts w:ascii="Arial" w:hAnsi="Arial" w:cs="Arial"/>
        </w:rPr>
      </w:pPr>
    </w:p>
    <w:p w14:paraId="180D4F05" w14:textId="77777777" w:rsidR="00BE0EAA" w:rsidRPr="002C1306" w:rsidRDefault="00BE0EAA" w:rsidP="00BE0EAA">
      <w:pPr>
        <w:rPr>
          <w:rFonts w:ascii="Arial" w:hAnsi="Arial" w:cs="Arial"/>
          <w:b/>
          <w:sz w:val="22"/>
          <w:szCs w:val="22"/>
        </w:rPr>
      </w:pPr>
      <w:r w:rsidRPr="002C1306">
        <w:rPr>
          <w:rFonts w:ascii="Arial" w:hAnsi="Arial" w:cs="Arial"/>
          <w:b/>
          <w:sz w:val="22"/>
          <w:szCs w:val="22"/>
        </w:rPr>
        <w:t>Abstract</w:t>
      </w:r>
    </w:p>
    <w:p w14:paraId="62173131" w14:textId="77777777" w:rsidR="002C1306" w:rsidRPr="002C1306" w:rsidRDefault="002C1306" w:rsidP="00BD7E3D">
      <w:pPr>
        <w:jc w:val="both"/>
        <w:rPr>
          <w:rFonts w:ascii="Arial" w:hAnsi="Arial" w:cs="Arial"/>
          <w:i/>
          <w:iCs/>
          <w:sz w:val="22"/>
          <w:szCs w:val="22"/>
        </w:rPr>
      </w:pPr>
    </w:p>
    <w:p w14:paraId="0C09834A" w14:textId="64E93806" w:rsidR="00BD7E3D" w:rsidRPr="002C1306" w:rsidRDefault="00BD7E3D" w:rsidP="00BD7E3D">
      <w:pPr>
        <w:jc w:val="both"/>
        <w:rPr>
          <w:rFonts w:ascii="Arial" w:hAnsi="Arial" w:cs="Arial"/>
          <w:sz w:val="22"/>
          <w:szCs w:val="22"/>
        </w:rPr>
      </w:pPr>
      <w:r w:rsidRPr="002C1306">
        <w:rPr>
          <w:rFonts w:ascii="Arial" w:hAnsi="Arial" w:cs="Arial"/>
          <w:i/>
          <w:iCs/>
          <w:sz w:val="22"/>
          <w:szCs w:val="22"/>
        </w:rPr>
        <w:t xml:space="preserve">Salacia </w:t>
      </w:r>
      <w:proofErr w:type="spellStart"/>
      <w:r w:rsidRPr="002C1306">
        <w:rPr>
          <w:rFonts w:ascii="Arial" w:hAnsi="Arial" w:cs="Arial"/>
          <w:i/>
          <w:iCs/>
          <w:sz w:val="22"/>
          <w:szCs w:val="22"/>
        </w:rPr>
        <w:t>korthalsiana</w:t>
      </w:r>
      <w:proofErr w:type="spellEnd"/>
      <w:r w:rsidRPr="002C1306">
        <w:rPr>
          <w:rFonts w:ascii="Arial" w:hAnsi="Arial" w:cs="Arial"/>
          <w:sz w:val="22"/>
          <w:szCs w:val="22"/>
        </w:rPr>
        <w:t xml:space="preserve"> </w:t>
      </w:r>
      <w:proofErr w:type="spellStart"/>
      <w:r w:rsidRPr="002C1306">
        <w:rPr>
          <w:rFonts w:ascii="Arial" w:hAnsi="Arial" w:cs="Arial"/>
          <w:sz w:val="22"/>
          <w:szCs w:val="22"/>
        </w:rPr>
        <w:t>Miq</w:t>
      </w:r>
      <w:proofErr w:type="spellEnd"/>
      <w:r w:rsidRPr="002C1306">
        <w:rPr>
          <w:rFonts w:ascii="Arial" w:hAnsi="Arial" w:cs="Arial"/>
          <w:sz w:val="22"/>
          <w:szCs w:val="22"/>
        </w:rPr>
        <w:t xml:space="preserve">., locally known in the Philippines as </w:t>
      </w:r>
      <w:proofErr w:type="spellStart"/>
      <w:r w:rsidRPr="002C1306">
        <w:rPr>
          <w:rFonts w:ascii="Arial" w:hAnsi="Arial" w:cs="Arial"/>
          <w:sz w:val="22"/>
          <w:szCs w:val="22"/>
        </w:rPr>
        <w:t>Polipog</w:t>
      </w:r>
      <w:proofErr w:type="spellEnd"/>
      <w:r w:rsidRPr="002C1306">
        <w:rPr>
          <w:rFonts w:ascii="Arial" w:hAnsi="Arial" w:cs="Arial"/>
          <w:sz w:val="22"/>
          <w:szCs w:val="22"/>
        </w:rPr>
        <w:t>, is a wild climbing shrub traditionally valued for its anti-inflammatory, antiseptic, and antimicrobial properties. While indigenous communities utilize its leaves, stems, and roots to treat ailments ranging from respiratory issues to hypertension, scientific mapping of its bioactive compounds within specific tissues remains limited. This study performed a histochemi</w:t>
      </w:r>
      <w:r w:rsidR="000B414D" w:rsidRPr="002C1306">
        <w:rPr>
          <w:rFonts w:ascii="Arial" w:hAnsi="Arial" w:cs="Arial"/>
          <w:sz w:val="22"/>
          <w:szCs w:val="22"/>
        </w:rPr>
        <w:t xml:space="preserve">cal characterization of </w:t>
      </w:r>
      <w:proofErr w:type="spellStart"/>
      <w:r w:rsidR="000B414D" w:rsidRPr="002C1306">
        <w:rPr>
          <w:rFonts w:ascii="Arial" w:hAnsi="Arial" w:cs="Arial"/>
          <w:sz w:val="22"/>
          <w:szCs w:val="22"/>
        </w:rPr>
        <w:t>Polipog</w:t>
      </w:r>
      <w:proofErr w:type="spellEnd"/>
      <w:r w:rsidR="000B414D" w:rsidRPr="002C1306">
        <w:rPr>
          <w:rFonts w:ascii="Arial" w:hAnsi="Arial" w:cs="Arial"/>
          <w:sz w:val="22"/>
          <w:szCs w:val="22"/>
        </w:rPr>
        <w:t xml:space="preserve"> root </w:t>
      </w:r>
      <w:r w:rsidRPr="002C1306">
        <w:rPr>
          <w:rFonts w:ascii="Arial" w:hAnsi="Arial" w:cs="Arial"/>
          <w:sz w:val="22"/>
          <w:szCs w:val="22"/>
        </w:rPr>
        <w:t xml:space="preserve">to localize secondary metabolites in situ, providing a visual and chemical basis for its medicinal use. Methodology involved free-hand sectioning of plant parts followed by specific staining reagents, including </w:t>
      </w:r>
      <w:proofErr w:type="spellStart"/>
      <w:r w:rsidRPr="002C1306">
        <w:rPr>
          <w:rFonts w:ascii="Arial" w:hAnsi="Arial" w:cs="Arial"/>
          <w:sz w:val="22"/>
          <w:szCs w:val="22"/>
        </w:rPr>
        <w:t>Dragendorff’s</w:t>
      </w:r>
      <w:proofErr w:type="spellEnd"/>
      <w:r w:rsidRPr="002C1306">
        <w:rPr>
          <w:rFonts w:ascii="Arial" w:hAnsi="Arial" w:cs="Arial"/>
          <w:sz w:val="22"/>
          <w:szCs w:val="22"/>
        </w:rPr>
        <w:t xml:space="preserve"> reagent for alkaloids, antimony trichloride for steroids, and Toluidine Blue for tannins. Results from the root analysis revealed a significant accumulation of bioactive compounds. Alkaloids (golden yellow) were localized in the pith and endodermis, while steroids (yellow) were detected in the pith, phloem, and endodermis. Tannins (green/greenish-blue) showed the widest distribution, appearing in the cortex, endodermis, phloem, pith, and pericycle. Notably, tests for terpenoids yielded negative results in the root samples. These findings correlate the presence of alkaloids and tannins with the plant’s reported analgesic and antimicrobial efficacy. By identifying the specific tissues where these pharmacological precursors reside, this research validates the ethnobotanical importance of </w:t>
      </w:r>
      <w:r w:rsidRPr="002C1306">
        <w:rPr>
          <w:rFonts w:ascii="Arial" w:hAnsi="Arial" w:cs="Arial"/>
          <w:i/>
          <w:iCs/>
          <w:sz w:val="22"/>
          <w:szCs w:val="22"/>
        </w:rPr>
        <w:t xml:space="preserve">S. </w:t>
      </w:r>
      <w:proofErr w:type="spellStart"/>
      <w:r w:rsidRPr="002C1306">
        <w:rPr>
          <w:rFonts w:ascii="Arial" w:hAnsi="Arial" w:cs="Arial"/>
          <w:i/>
          <w:iCs/>
          <w:sz w:val="22"/>
          <w:szCs w:val="22"/>
        </w:rPr>
        <w:t>korthalsiana</w:t>
      </w:r>
      <w:proofErr w:type="spellEnd"/>
      <w:r w:rsidRPr="002C1306">
        <w:rPr>
          <w:rFonts w:ascii="Arial" w:hAnsi="Arial" w:cs="Arial"/>
          <w:sz w:val="22"/>
          <w:szCs w:val="22"/>
        </w:rPr>
        <w:t xml:space="preserve"> and provides essential data for the standardization of herbal preparations and future drug extraction.</w:t>
      </w:r>
    </w:p>
    <w:p w14:paraId="116B8565" w14:textId="77777777" w:rsidR="002C1306" w:rsidRPr="002C1306" w:rsidRDefault="002C1306" w:rsidP="00BD7E3D">
      <w:pPr>
        <w:jc w:val="both"/>
        <w:rPr>
          <w:rFonts w:ascii="Arial" w:hAnsi="Arial" w:cs="Arial"/>
          <w:sz w:val="22"/>
          <w:szCs w:val="22"/>
        </w:rPr>
      </w:pPr>
    </w:p>
    <w:p w14:paraId="5E511EDA" w14:textId="61583EBB" w:rsidR="001D6967" w:rsidRPr="002C1306" w:rsidRDefault="00BD7E3D" w:rsidP="00BD7E3D">
      <w:pPr>
        <w:jc w:val="both"/>
        <w:rPr>
          <w:rFonts w:ascii="Arial" w:hAnsi="Arial" w:cs="Arial"/>
          <w:sz w:val="22"/>
          <w:szCs w:val="22"/>
        </w:rPr>
      </w:pPr>
      <w:r w:rsidRPr="002C1306">
        <w:rPr>
          <w:rFonts w:ascii="Arial" w:hAnsi="Arial" w:cs="Arial"/>
          <w:sz w:val="22"/>
          <w:szCs w:val="22"/>
        </w:rPr>
        <w:t xml:space="preserve">Keywords: </w:t>
      </w:r>
      <w:r w:rsidRPr="002C1306">
        <w:rPr>
          <w:rFonts w:ascii="Arial" w:hAnsi="Arial" w:cs="Arial"/>
          <w:i/>
          <w:iCs/>
          <w:sz w:val="22"/>
          <w:szCs w:val="22"/>
        </w:rPr>
        <w:t xml:space="preserve">Salacia </w:t>
      </w:r>
      <w:proofErr w:type="spellStart"/>
      <w:r w:rsidRPr="002C1306">
        <w:rPr>
          <w:rFonts w:ascii="Arial" w:hAnsi="Arial" w:cs="Arial"/>
          <w:i/>
          <w:iCs/>
          <w:sz w:val="22"/>
          <w:szCs w:val="22"/>
        </w:rPr>
        <w:t>korthalsiana</w:t>
      </w:r>
      <w:proofErr w:type="spellEnd"/>
      <w:r w:rsidRPr="002C1306">
        <w:rPr>
          <w:rFonts w:ascii="Arial" w:hAnsi="Arial" w:cs="Arial"/>
          <w:sz w:val="22"/>
          <w:szCs w:val="22"/>
        </w:rPr>
        <w:t>, Histochemistry, Alkaloids, Tannins, Pharmacognosy</w:t>
      </w:r>
    </w:p>
    <w:p w14:paraId="64A321E5" w14:textId="77777777" w:rsidR="002C1306" w:rsidRPr="002C1306" w:rsidRDefault="002C1306" w:rsidP="00BE0EAA">
      <w:pPr>
        <w:jc w:val="both"/>
        <w:rPr>
          <w:rFonts w:ascii="Arial" w:hAnsi="Arial" w:cs="Arial"/>
          <w:b/>
          <w:sz w:val="22"/>
          <w:szCs w:val="22"/>
        </w:rPr>
      </w:pPr>
    </w:p>
    <w:p w14:paraId="14C47D91" w14:textId="1ED4CC02" w:rsidR="00BE0EAA" w:rsidRPr="002C1306" w:rsidRDefault="00927FC0" w:rsidP="00BE0EAA">
      <w:pPr>
        <w:jc w:val="both"/>
        <w:rPr>
          <w:rFonts w:ascii="Arial" w:hAnsi="Arial" w:cs="Arial"/>
          <w:b/>
          <w:sz w:val="22"/>
          <w:szCs w:val="22"/>
        </w:rPr>
      </w:pPr>
      <w:r w:rsidRPr="002C1306">
        <w:rPr>
          <w:rFonts w:ascii="Arial" w:hAnsi="Arial" w:cs="Arial"/>
          <w:b/>
          <w:sz w:val="22"/>
          <w:szCs w:val="22"/>
        </w:rPr>
        <w:t xml:space="preserve">I. </w:t>
      </w:r>
      <w:r w:rsidR="00BE0EAA" w:rsidRPr="002C1306">
        <w:rPr>
          <w:rFonts w:ascii="Arial" w:hAnsi="Arial" w:cs="Arial"/>
          <w:b/>
          <w:sz w:val="22"/>
          <w:szCs w:val="22"/>
        </w:rPr>
        <w:t>Introduction</w:t>
      </w:r>
    </w:p>
    <w:p w14:paraId="5E245FAA" w14:textId="77777777" w:rsidR="00571C89" w:rsidRPr="002C1306" w:rsidRDefault="00571C89" w:rsidP="00571C89">
      <w:pPr>
        <w:pStyle w:val="FirstParagraph"/>
        <w:jc w:val="both"/>
        <w:rPr>
          <w:rFonts w:ascii="Arial" w:hAnsi="Arial" w:cs="Arial"/>
          <w:sz w:val="22"/>
          <w:szCs w:val="22"/>
        </w:rPr>
      </w:pPr>
      <w:bookmarkStart w:id="2" w:name="Xbebaf65ec13223f30de5383ce59e1c1ce496835"/>
      <w:bookmarkStart w:id="3" w:name="content"/>
      <w:r w:rsidRPr="002C1306">
        <w:rPr>
          <w:rFonts w:ascii="Arial" w:hAnsi="Arial" w:cs="Arial"/>
          <w:i/>
          <w:iCs/>
          <w:sz w:val="22"/>
          <w:szCs w:val="22"/>
        </w:rPr>
        <w:t xml:space="preserve">Salacia </w:t>
      </w:r>
      <w:proofErr w:type="spellStart"/>
      <w:r w:rsidRPr="002C1306">
        <w:rPr>
          <w:rFonts w:ascii="Arial" w:hAnsi="Arial" w:cs="Arial"/>
          <w:i/>
          <w:iCs/>
          <w:sz w:val="22"/>
          <w:szCs w:val="22"/>
        </w:rPr>
        <w:t>korthalsiana</w:t>
      </w:r>
      <w:proofErr w:type="spellEnd"/>
      <w:r w:rsidRPr="002C1306">
        <w:rPr>
          <w:rFonts w:ascii="Arial" w:hAnsi="Arial" w:cs="Arial"/>
          <w:sz w:val="22"/>
          <w:szCs w:val="22"/>
        </w:rPr>
        <w:t xml:space="preserve"> </w:t>
      </w:r>
      <w:proofErr w:type="spellStart"/>
      <w:r w:rsidRPr="002C1306">
        <w:rPr>
          <w:rFonts w:ascii="Arial" w:hAnsi="Arial" w:cs="Arial"/>
          <w:sz w:val="22"/>
          <w:szCs w:val="22"/>
        </w:rPr>
        <w:t>Miq</w:t>
      </w:r>
      <w:proofErr w:type="spellEnd"/>
      <w:r w:rsidRPr="002C1306">
        <w:rPr>
          <w:rFonts w:ascii="Arial" w:hAnsi="Arial" w:cs="Arial"/>
          <w:sz w:val="22"/>
          <w:szCs w:val="22"/>
        </w:rPr>
        <w:t>. is a wild climbing shrub (</w:t>
      </w:r>
      <w:proofErr w:type="spellStart"/>
      <w:r w:rsidRPr="002C1306">
        <w:rPr>
          <w:rFonts w:ascii="Arial" w:hAnsi="Arial" w:cs="Arial"/>
          <w:i/>
          <w:iCs/>
          <w:sz w:val="22"/>
          <w:szCs w:val="22"/>
        </w:rPr>
        <w:t>Celastraceae</w:t>
      </w:r>
      <w:proofErr w:type="spellEnd"/>
      <w:r w:rsidRPr="002C1306">
        <w:rPr>
          <w:rFonts w:ascii="Arial" w:hAnsi="Arial" w:cs="Arial"/>
          <w:sz w:val="22"/>
          <w:szCs w:val="22"/>
        </w:rPr>
        <w:t>) reaching 10–18 m in length (occasionally forming small trees ~10 m). Locally known as “</w:t>
      </w:r>
      <w:proofErr w:type="spellStart"/>
      <w:r w:rsidRPr="002C1306">
        <w:rPr>
          <w:rFonts w:ascii="Arial" w:hAnsi="Arial" w:cs="Arial"/>
          <w:sz w:val="22"/>
          <w:szCs w:val="22"/>
        </w:rPr>
        <w:t>Polipog</w:t>
      </w:r>
      <w:proofErr w:type="spellEnd"/>
      <w:r w:rsidRPr="002C1306">
        <w:rPr>
          <w:rFonts w:ascii="Arial" w:hAnsi="Arial" w:cs="Arial"/>
          <w:sz w:val="22"/>
          <w:szCs w:val="22"/>
        </w:rPr>
        <w:t>” (</w:t>
      </w:r>
      <w:proofErr w:type="spellStart"/>
      <w:r w:rsidRPr="002C1306">
        <w:rPr>
          <w:rFonts w:ascii="Arial" w:hAnsi="Arial" w:cs="Arial"/>
          <w:sz w:val="22"/>
          <w:szCs w:val="22"/>
        </w:rPr>
        <w:t>Belga</w:t>
      </w:r>
      <w:proofErr w:type="spellEnd"/>
      <w:r w:rsidRPr="002C1306">
        <w:rPr>
          <w:rFonts w:ascii="Arial" w:hAnsi="Arial" w:cs="Arial"/>
          <w:sz w:val="22"/>
          <w:szCs w:val="22"/>
        </w:rPr>
        <w:t xml:space="preserve"> </w:t>
      </w:r>
      <w:r w:rsidRPr="002C1306">
        <w:rPr>
          <w:rFonts w:ascii="Arial" w:hAnsi="Arial" w:cs="Arial"/>
          <w:i/>
          <w:iCs/>
          <w:sz w:val="22"/>
          <w:szCs w:val="22"/>
        </w:rPr>
        <w:t xml:space="preserve">et al., </w:t>
      </w:r>
      <w:r w:rsidRPr="002C1306">
        <w:rPr>
          <w:rFonts w:ascii="Arial" w:hAnsi="Arial" w:cs="Arial"/>
          <w:sz w:val="22"/>
          <w:szCs w:val="22"/>
        </w:rPr>
        <w:t xml:space="preserve">2021) in Northern Samar, Philippines and parts of Southeast Asia, it is harvested from the wild as both a food (fruit pulp) and a traditional medicine. Indigenous community in Northern Samar use the leaves, stems, and roots of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to treat a wide range of ailments. Preparations include decoctions, poultices, and fresh applications of plant parts. According to ethnobotanical surveys,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is used for menstrual disorders, skin wounds and itchiness, fevers, coughs and colds, hypertension, asthma and other inflammatory conditions. In popular lore it is regarded as antiseptic, anti-inflammatory and antimicrobial. For example, Cui-Lim </w:t>
      </w:r>
      <w:r w:rsidRPr="002C1306">
        <w:rPr>
          <w:rFonts w:ascii="Arial" w:hAnsi="Arial" w:cs="Arial"/>
          <w:i/>
          <w:sz w:val="22"/>
          <w:szCs w:val="22"/>
        </w:rPr>
        <w:t>et al.</w:t>
      </w:r>
      <w:r w:rsidRPr="002C1306">
        <w:rPr>
          <w:rFonts w:ascii="Arial" w:hAnsi="Arial" w:cs="Arial"/>
          <w:sz w:val="22"/>
          <w:szCs w:val="22"/>
        </w:rPr>
        <w:t xml:space="preserve"> (2020) report that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is traditionally applied for inflammation and infection control. </w:t>
      </w:r>
    </w:p>
    <w:p w14:paraId="3476E881" w14:textId="3E056515" w:rsidR="00571C89" w:rsidRPr="002C1306" w:rsidRDefault="00571C89" w:rsidP="00571C89">
      <w:pPr>
        <w:pStyle w:val="FirstParagraph"/>
        <w:jc w:val="both"/>
        <w:rPr>
          <w:rFonts w:ascii="Arial" w:hAnsi="Arial" w:cs="Arial"/>
          <w:sz w:val="22"/>
          <w:szCs w:val="22"/>
        </w:rPr>
      </w:pPr>
      <w:bookmarkStart w:id="4" w:name="X1917475e28d6a0fa08d2019df2c370afe9393ae"/>
      <w:r w:rsidRPr="002C1306">
        <w:rPr>
          <w:rFonts w:ascii="Arial" w:hAnsi="Arial" w:cs="Arial"/>
          <w:sz w:val="22"/>
          <w:szCs w:val="22"/>
        </w:rPr>
        <w:t xml:space="preserve">Phytochemical screenings confirm that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contains diverse bioactive classes. </w:t>
      </w:r>
      <w:proofErr w:type="spellStart"/>
      <w:r w:rsidRPr="002C1306">
        <w:rPr>
          <w:rFonts w:ascii="Arial" w:hAnsi="Arial" w:cs="Arial"/>
          <w:sz w:val="22"/>
          <w:szCs w:val="22"/>
        </w:rPr>
        <w:t>Aljon</w:t>
      </w:r>
      <w:proofErr w:type="spellEnd"/>
      <w:r w:rsidRPr="002C1306">
        <w:rPr>
          <w:rFonts w:ascii="Arial" w:hAnsi="Arial" w:cs="Arial"/>
          <w:sz w:val="22"/>
          <w:szCs w:val="22"/>
        </w:rPr>
        <w:t xml:space="preserve"> </w:t>
      </w:r>
      <w:proofErr w:type="spellStart"/>
      <w:r w:rsidRPr="002C1306">
        <w:rPr>
          <w:rFonts w:ascii="Arial" w:hAnsi="Arial" w:cs="Arial"/>
          <w:sz w:val="22"/>
          <w:szCs w:val="22"/>
        </w:rPr>
        <w:t>Nibalvos</w:t>
      </w:r>
      <w:proofErr w:type="spellEnd"/>
      <w:r w:rsidRPr="002C1306">
        <w:rPr>
          <w:rFonts w:ascii="Arial" w:hAnsi="Arial" w:cs="Arial"/>
          <w:sz w:val="22"/>
          <w:szCs w:val="22"/>
        </w:rPr>
        <w:t xml:space="preserve"> (2019) found that a leaf or root decoction of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tested positive for flavonoids, phenolic compounds, phytosterols, proteins, saponins and tannins, while alkaloids, carbohydrates and glycosides were not detected. Similarly, </w:t>
      </w:r>
      <w:proofErr w:type="spellStart"/>
      <w:r w:rsidRPr="002C1306">
        <w:rPr>
          <w:rFonts w:ascii="Arial" w:hAnsi="Arial" w:cs="Arial"/>
          <w:sz w:val="22"/>
          <w:szCs w:val="22"/>
        </w:rPr>
        <w:t>Madario</w:t>
      </w:r>
      <w:proofErr w:type="spellEnd"/>
      <w:r w:rsidRPr="002C1306">
        <w:rPr>
          <w:rFonts w:ascii="Arial" w:hAnsi="Arial" w:cs="Arial"/>
          <w:sz w:val="22"/>
          <w:szCs w:val="22"/>
        </w:rPr>
        <w:t xml:space="preserve"> </w:t>
      </w:r>
      <w:r w:rsidRPr="002C1306">
        <w:rPr>
          <w:rFonts w:ascii="Arial" w:hAnsi="Arial" w:cs="Arial"/>
          <w:i/>
          <w:sz w:val="22"/>
          <w:szCs w:val="22"/>
        </w:rPr>
        <w:t>et al.</w:t>
      </w:r>
      <w:r w:rsidRPr="002C1306">
        <w:rPr>
          <w:rFonts w:ascii="Arial" w:hAnsi="Arial" w:cs="Arial"/>
          <w:sz w:val="22"/>
          <w:szCs w:val="22"/>
        </w:rPr>
        <w:t xml:space="preserve"> (2023) reported the root decoction to be rich in steroids and saponins – compounds known for their expectorant/antitussive effects – explaining its cough-relief use. </w:t>
      </w:r>
      <w:r w:rsidR="00E33F24" w:rsidRPr="002C1306">
        <w:rPr>
          <w:rFonts w:ascii="Arial" w:hAnsi="Arial" w:cs="Arial"/>
          <w:sz w:val="22"/>
          <w:szCs w:val="22"/>
          <w:highlight w:val="yellow"/>
        </w:rPr>
        <w:t xml:space="preserve">Additionally, </w:t>
      </w:r>
      <w:proofErr w:type="spellStart"/>
      <w:r w:rsidR="00E33F24" w:rsidRPr="002C1306">
        <w:rPr>
          <w:rFonts w:ascii="Arial" w:hAnsi="Arial" w:cs="Arial"/>
          <w:sz w:val="22"/>
          <w:szCs w:val="22"/>
          <w:highlight w:val="yellow"/>
        </w:rPr>
        <w:t>Intal</w:t>
      </w:r>
      <w:proofErr w:type="spellEnd"/>
      <w:r w:rsidR="00E33F24" w:rsidRPr="002C1306">
        <w:rPr>
          <w:rFonts w:ascii="Arial" w:hAnsi="Arial" w:cs="Arial"/>
          <w:sz w:val="22"/>
          <w:szCs w:val="22"/>
          <w:highlight w:val="yellow"/>
        </w:rPr>
        <w:t xml:space="preserve"> (2011) reported that among the secondary metabolites triterpene, and (flavonoid)-benzopyrene were present through phytochemical screening of </w:t>
      </w:r>
      <w:proofErr w:type="spellStart"/>
      <w:r w:rsidR="00E33F24" w:rsidRPr="002C1306">
        <w:rPr>
          <w:rFonts w:ascii="Arial" w:hAnsi="Arial" w:cs="Arial"/>
          <w:sz w:val="22"/>
          <w:szCs w:val="22"/>
          <w:highlight w:val="yellow"/>
        </w:rPr>
        <w:t>polipog</w:t>
      </w:r>
      <w:proofErr w:type="spellEnd"/>
      <w:r w:rsidR="00E33F24" w:rsidRPr="002C1306">
        <w:rPr>
          <w:rFonts w:ascii="Arial" w:hAnsi="Arial" w:cs="Arial"/>
          <w:sz w:val="22"/>
          <w:szCs w:val="22"/>
          <w:highlight w:val="yellow"/>
        </w:rPr>
        <w:t xml:space="preserve"> leaves, barks and roots decoction, but negative for alkaloid metabolites.</w:t>
      </w:r>
      <w:r w:rsidR="00E33F24" w:rsidRPr="002C1306">
        <w:rPr>
          <w:rFonts w:ascii="Arial" w:hAnsi="Arial" w:cs="Arial"/>
          <w:sz w:val="22"/>
          <w:szCs w:val="22"/>
        </w:rPr>
        <w:t xml:space="preserve"> </w:t>
      </w:r>
      <w:r w:rsidRPr="002C1306">
        <w:rPr>
          <w:rFonts w:ascii="Arial" w:hAnsi="Arial" w:cs="Arial"/>
          <w:sz w:val="22"/>
          <w:szCs w:val="22"/>
        </w:rPr>
        <w:t xml:space="preserve">By comparison, other Salacia species (e.g. </w:t>
      </w:r>
      <w:r w:rsidRPr="002C1306">
        <w:rPr>
          <w:rFonts w:ascii="Arial" w:hAnsi="Arial" w:cs="Arial"/>
          <w:i/>
          <w:iCs/>
          <w:sz w:val="22"/>
          <w:szCs w:val="22"/>
        </w:rPr>
        <w:t xml:space="preserve">S. reticulata, S. </w:t>
      </w:r>
      <w:proofErr w:type="spellStart"/>
      <w:r w:rsidRPr="002C1306">
        <w:rPr>
          <w:rFonts w:ascii="Arial" w:hAnsi="Arial" w:cs="Arial"/>
          <w:i/>
          <w:iCs/>
          <w:sz w:val="22"/>
          <w:szCs w:val="22"/>
        </w:rPr>
        <w:t>oblonga</w:t>
      </w:r>
      <w:proofErr w:type="spellEnd"/>
      <w:r w:rsidRPr="002C1306">
        <w:rPr>
          <w:rFonts w:ascii="Arial" w:hAnsi="Arial" w:cs="Arial"/>
          <w:sz w:val="22"/>
          <w:szCs w:val="22"/>
        </w:rPr>
        <w:t>) are known to contain glycosides such as salacinol, kotalanol, dulcitol and related sulfonium compounds (</w:t>
      </w:r>
      <w:proofErr w:type="spellStart"/>
      <w:r w:rsidRPr="002C1306">
        <w:rPr>
          <w:rFonts w:ascii="Arial" w:hAnsi="Arial" w:cs="Arial"/>
          <w:sz w:val="22"/>
          <w:szCs w:val="22"/>
        </w:rPr>
        <w:t>Udayan</w:t>
      </w:r>
      <w:proofErr w:type="spellEnd"/>
      <w:r w:rsidRPr="002C1306">
        <w:rPr>
          <w:rFonts w:ascii="Arial" w:hAnsi="Arial" w:cs="Arial"/>
          <w:sz w:val="22"/>
          <w:szCs w:val="22"/>
        </w:rPr>
        <w:t xml:space="preserve"> &amp; Raghu, 2017), which have anti-diabetic and anti-inflammatory activities. It is plausible that similar glycosides or terpenoids occur in </w:t>
      </w:r>
      <w:r w:rsidRPr="002C1306">
        <w:rPr>
          <w:rFonts w:ascii="Arial" w:hAnsi="Arial" w:cs="Arial"/>
          <w:i/>
          <w:iCs/>
          <w:sz w:val="22"/>
          <w:szCs w:val="22"/>
        </w:rPr>
        <w:t xml:space="preserve">S. </w:t>
      </w:r>
      <w:proofErr w:type="spellStart"/>
      <w:r w:rsidRPr="002C1306">
        <w:rPr>
          <w:rFonts w:ascii="Arial" w:hAnsi="Arial" w:cs="Arial"/>
          <w:i/>
          <w:iCs/>
          <w:sz w:val="22"/>
          <w:szCs w:val="22"/>
        </w:rPr>
        <w:t>korthalsiana</w:t>
      </w:r>
      <w:proofErr w:type="spellEnd"/>
      <w:r w:rsidRPr="002C1306">
        <w:rPr>
          <w:rFonts w:ascii="Arial" w:hAnsi="Arial" w:cs="Arial"/>
          <w:sz w:val="22"/>
          <w:szCs w:val="22"/>
        </w:rPr>
        <w:t>, although detailed isolation has not yet been reported.</w:t>
      </w:r>
    </w:p>
    <w:p w14:paraId="50C27E58" w14:textId="77777777" w:rsidR="00571C89" w:rsidRPr="002C1306" w:rsidRDefault="00571C89" w:rsidP="00571C89">
      <w:pPr>
        <w:pStyle w:val="BodyText"/>
        <w:jc w:val="both"/>
        <w:rPr>
          <w:rFonts w:ascii="Arial" w:hAnsi="Arial" w:cs="Arial"/>
          <w:sz w:val="22"/>
          <w:szCs w:val="22"/>
        </w:rPr>
      </w:pPr>
      <w:r w:rsidRPr="002C1306">
        <w:rPr>
          <w:rFonts w:ascii="Arial" w:hAnsi="Arial" w:cs="Arial"/>
          <w:sz w:val="22"/>
          <w:szCs w:val="22"/>
        </w:rPr>
        <w:lastRenderedPageBreak/>
        <w:t xml:space="preserve">These chemical constituents align with measured bioactivities.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root extracts have shown strong antimicrobial effects – notably against Gram-negative bacteria – and analgesic efficacy comparable to standard painkillers (Alvarez </w:t>
      </w:r>
      <w:r w:rsidRPr="002C1306">
        <w:rPr>
          <w:rFonts w:ascii="Arial" w:hAnsi="Arial" w:cs="Arial"/>
          <w:i/>
          <w:iCs/>
          <w:sz w:val="22"/>
          <w:szCs w:val="22"/>
        </w:rPr>
        <w:t xml:space="preserve">et al., </w:t>
      </w:r>
      <w:r w:rsidRPr="002C1306">
        <w:rPr>
          <w:rFonts w:ascii="Arial" w:hAnsi="Arial" w:cs="Arial"/>
          <w:sz w:val="22"/>
          <w:szCs w:val="22"/>
        </w:rPr>
        <w:t xml:space="preserve">2020). In one study, an acetic-acid writhing test in mice demonstrated that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root decoction significantly reduced pain behaviors, performing on par with commercial analgesic drugs. Taken together, these data support the traditional uses of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its saponins and flavonoids may explain anti-inflammatory and expectorant effects, while other constituents provide antimicrobial and pain-relieving activity.  </w:t>
      </w:r>
    </w:p>
    <w:p w14:paraId="5075DBDF" w14:textId="77777777" w:rsidR="00571C89" w:rsidRPr="002C1306" w:rsidRDefault="00571C89" w:rsidP="00571C89">
      <w:pPr>
        <w:pStyle w:val="FirstParagraph"/>
        <w:jc w:val="both"/>
        <w:rPr>
          <w:rFonts w:ascii="Arial" w:hAnsi="Arial" w:cs="Arial"/>
          <w:sz w:val="22"/>
          <w:szCs w:val="22"/>
        </w:rPr>
      </w:pPr>
      <w:bookmarkStart w:id="5" w:name="X23d11432fbad9e24806d8bdfba4242a646b10ab"/>
      <w:bookmarkEnd w:id="4"/>
      <w:r w:rsidRPr="002C1306">
        <w:rPr>
          <w:rFonts w:ascii="Arial" w:hAnsi="Arial" w:cs="Arial"/>
          <w:sz w:val="22"/>
          <w:szCs w:val="22"/>
        </w:rPr>
        <w:t xml:space="preserve">To advance the scientific basis of </w:t>
      </w:r>
      <w:proofErr w:type="spellStart"/>
      <w:r w:rsidRPr="002C1306">
        <w:rPr>
          <w:rFonts w:ascii="Arial" w:hAnsi="Arial" w:cs="Arial"/>
          <w:sz w:val="22"/>
          <w:szCs w:val="22"/>
        </w:rPr>
        <w:t>Polipog</w:t>
      </w:r>
      <w:proofErr w:type="spellEnd"/>
      <w:r w:rsidRPr="002C1306">
        <w:rPr>
          <w:rFonts w:ascii="Arial" w:hAnsi="Arial" w:cs="Arial"/>
          <w:sz w:val="22"/>
          <w:szCs w:val="22"/>
        </w:rPr>
        <w:t xml:space="preserve"> use, we propose applying histochemical analysis to localize active compounds in the plant’s tissues. Histochemistry uses specific stains and microscopy to reveal the in-situ distribution of chemical classes within cells (</w:t>
      </w:r>
      <w:proofErr w:type="spellStart"/>
      <w:proofErr w:type="gramStart"/>
      <w:r w:rsidRPr="002C1306">
        <w:rPr>
          <w:rFonts w:ascii="Arial" w:hAnsi="Arial" w:cs="Arial"/>
          <w:sz w:val="22"/>
          <w:szCs w:val="22"/>
        </w:rPr>
        <w:t>Mahendra</w:t>
      </w:r>
      <w:proofErr w:type="spellEnd"/>
      <w:r w:rsidRPr="002C1306">
        <w:rPr>
          <w:rFonts w:ascii="Arial" w:hAnsi="Arial" w:cs="Arial"/>
          <w:sz w:val="22"/>
          <w:szCs w:val="22"/>
        </w:rPr>
        <w:t xml:space="preserve"> </w:t>
      </w:r>
      <w:r w:rsidRPr="002C1306">
        <w:rPr>
          <w:rFonts w:ascii="Arial" w:hAnsi="Arial" w:cs="Arial"/>
          <w:i/>
          <w:iCs/>
          <w:sz w:val="22"/>
          <w:szCs w:val="22"/>
        </w:rPr>
        <w:t xml:space="preserve"> et al.</w:t>
      </w:r>
      <w:proofErr w:type="gramEnd"/>
      <w:r w:rsidRPr="002C1306">
        <w:rPr>
          <w:rFonts w:ascii="Arial" w:hAnsi="Arial" w:cs="Arial"/>
          <w:i/>
          <w:iCs/>
          <w:sz w:val="22"/>
          <w:szCs w:val="22"/>
        </w:rPr>
        <w:t xml:space="preserve"> </w:t>
      </w:r>
      <w:r w:rsidRPr="002C1306">
        <w:rPr>
          <w:rFonts w:ascii="Arial" w:hAnsi="Arial" w:cs="Arial"/>
          <w:sz w:val="22"/>
          <w:szCs w:val="22"/>
        </w:rPr>
        <w:t xml:space="preserve">2021). It has a long history in biology and medicine and remains </w:t>
      </w:r>
      <w:r w:rsidRPr="002C1306">
        <w:rPr>
          <w:rFonts w:ascii="Arial" w:hAnsi="Arial" w:cs="Arial"/>
          <w:i/>
          <w:iCs/>
          <w:sz w:val="22"/>
          <w:szCs w:val="22"/>
        </w:rPr>
        <w:t>“one of the most objective methods”</w:t>
      </w:r>
      <w:r w:rsidRPr="002C1306">
        <w:rPr>
          <w:rFonts w:ascii="Arial" w:hAnsi="Arial" w:cs="Arial"/>
          <w:sz w:val="22"/>
          <w:szCs w:val="22"/>
        </w:rPr>
        <w:t xml:space="preserve"> for tissue analysis. Histochemical staining is rapid, reproducible and cost-effective, attributes that make it valuable for pharmacognosy as well as clinical diagnostics. </w:t>
      </w:r>
    </w:p>
    <w:p w14:paraId="5480D50C" w14:textId="6531DA2F" w:rsidR="00571C89" w:rsidRPr="002C1306" w:rsidRDefault="00571C89" w:rsidP="00571C89">
      <w:pPr>
        <w:pStyle w:val="BodyText"/>
        <w:jc w:val="both"/>
        <w:rPr>
          <w:rFonts w:ascii="Arial" w:hAnsi="Arial" w:cs="Arial"/>
          <w:sz w:val="22"/>
          <w:szCs w:val="22"/>
        </w:rPr>
      </w:pPr>
      <w:r w:rsidRPr="002C1306">
        <w:rPr>
          <w:rFonts w:ascii="Arial" w:hAnsi="Arial" w:cs="Arial"/>
          <w:sz w:val="22"/>
          <w:szCs w:val="22"/>
        </w:rPr>
        <w:t xml:space="preserve">By mapping </w:t>
      </w:r>
      <w:proofErr w:type="spellStart"/>
      <w:r w:rsidRPr="002C1306">
        <w:rPr>
          <w:rFonts w:ascii="Arial" w:hAnsi="Arial" w:cs="Arial"/>
          <w:sz w:val="22"/>
          <w:szCs w:val="22"/>
        </w:rPr>
        <w:t>Polipog’s</w:t>
      </w:r>
      <w:proofErr w:type="spellEnd"/>
      <w:r w:rsidRPr="002C1306">
        <w:rPr>
          <w:rFonts w:ascii="Arial" w:hAnsi="Arial" w:cs="Arial"/>
          <w:sz w:val="22"/>
          <w:szCs w:val="22"/>
        </w:rPr>
        <w:t xml:space="preserve"> phytochemicals at the cellular level, histochemistry can guide the choice of plant part for drug extraction and help standardize herbal preparations. In this work, we will perform parallel phytochemical screening and histochemical staining on </w:t>
      </w:r>
      <w:proofErr w:type="spellStart"/>
      <w:r w:rsidR="000825FF" w:rsidRPr="002C1306">
        <w:rPr>
          <w:rFonts w:ascii="Arial" w:hAnsi="Arial" w:cs="Arial"/>
          <w:sz w:val="22"/>
          <w:szCs w:val="22"/>
        </w:rPr>
        <w:t>Polipog</w:t>
      </w:r>
      <w:proofErr w:type="spellEnd"/>
      <w:r w:rsidR="000825FF" w:rsidRPr="002C1306">
        <w:rPr>
          <w:rFonts w:ascii="Arial" w:hAnsi="Arial" w:cs="Arial"/>
          <w:sz w:val="22"/>
          <w:szCs w:val="22"/>
        </w:rPr>
        <w:t xml:space="preserve"> roots</w:t>
      </w:r>
      <w:r w:rsidRPr="002C1306">
        <w:rPr>
          <w:rFonts w:ascii="Arial" w:hAnsi="Arial" w:cs="Arial"/>
          <w:sz w:val="22"/>
          <w:szCs w:val="22"/>
        </w:rPr>
        <w:t xml:space="preserve">. The objective is to correlate the traditional claims with laboratory evidence-identifying which tissues harbor anti-inflammatory or analgesic compounds, for instance. This combined approach will validate </w:t>
      </w:r>
      <w:proofErr w:type="spellStart"/>
      <w:r w:rsidRPr="002C1306">
        <w:rPr>
          <w:rFonts w:ascii="Arial" w:hAnsi="Arial" w:cs="Arial"/>
          <w:sz w:val="22"/>
          <w:szCs w:val="22"/>
        </w:rPr>
        <w:t>Polipog’s</w:t>
      </w:r>
      <w:proofErr w:type="spellEnd"/>
      <w:r w:rsidRPr="002C1306">
        <w:rPr>
          <w:rFonts w:ascii="Arial" w:hAnsi="Arial" w:cs="Arial"/>
          <w:sz w:val="22"/>
          <w:szCs w:val="22"/>
        </w:rPr>
        <w:t xml:space="preserve"> ethnobotanical importance and yield practical data for future medicinal use.</w:t>
      </w:r>
    </w:p>
    <w:p w14:paraId="6D7A21CC" w14:textId="77777777" w:rsidR="00571C89" w:rsidRPr="002C1306" w:rsidRDefault="00571C89" w:rsidP="00571C89">
      <w:pPr>
        <w:pStyle w:val="BodyText"/>
        <w:rPr>
          <w:sz w:val="22"/>
          <w:szCs w:val="22"/>
        </w:rPr>
      </w:pPr>
      <w:bookmarkStart w:id="6" w:name="citations"/>
      <w:bookmarkEnd w:id="2"/>
      <w:bookmarkEnd w:id="3"/>
      <w:bookmarkEnd w:id="5"/>
    </w:p>
    <w:bookmarkEnd w:id="6"/>
    <w:p w14:paraId="16F87392" w14:textId="77777777" w:rsidR="00BE0EAA" w:rsidRPr="002C1306" w:rsidRDefault="00BE0EAA" w:rsidP="00BE0EAA">
      <w:pPr>
        <w:jc w:val="both"/>
        <w:rPr>
          <w:rFonts w:ascii="Arial" w:hAnsi="Arial" w:cs="Arial"/>
          <w:b/>
          <w:sz w:val="22"/>
          <w:szCs w:val="22"/>
        </w:rPr>
      </w:pPr>
    </w:p>
    <w:p w14:paraId="5476669A" w14:textId="6CB39C8C" w:rsidR="00BE0EAA" w:rsidRPr="002C1306" w:rsidRDefault="00571C89" w:rsidP="00BE0EAA">
      <w:pPr>
        <w:rPr>
          <w:rFonts w:ascii="Arial" w:hAnsi="Arial" w:cs="Arial"/>
          <w:b/>
          <w:sz w:val="22"/>
          <w:szCs w:val="22"/>
        </w:rPr>
      </w:pPr>
      <w:r w:rsidRPr="002C1306">
        <w:rPr>
          <w:rFonts w:ascii="Arial" w:hAnsi="Arial" w:cs="Arial"/>
          <w:b/>
          <w:sz w:val="22"/>
          <w:szCs w:val="22"/>
        </w:rPr>
        <w:t xml:space="preserve">II. </w:t>
      </w:r>
      <w:r w:rsidR="00BE0EAA" w:rsidRPr="002C1306">
        <w:rPr>
          <w:rFonts w:ascii="Arial" w:hAnsi="Arial" w:cs="Arial"/>
          <w:b/>
          <w:sz w:val="22"/>
          <w:szCs w:val="22"/>
        </w:rPr>
        <w:t>Methodology</w:t>
      </w:r>
    </w:p>
    <w:p w14:paraId="477E6909"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Plant Collection and Preparation</w:t>
      </w:r>
    </w:p>
    <w:p w14:paraId="36C14621" w14:textId="77777777" w:rsidR="00E71E1A" w:rsidRPr="002C1306" w:rsidRDefault="00E71E1A" w:rsidP="00E71E1A">
      <w:pPr>
        <w:jc w:val="both"/>
        <w:rPr>
          <w:rFonts w:ascii="Arial" w:hAnsi="Arial" w:cs="Arial"/>
          <w:sz w:val="22"/>
          <w:szCs w:val="22"/>
        </w:rPr>
      </w:pPr>
    </w:p>
    <w:p w14:paraId="57906B4A" w14:textId="6D7B99CA"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Fresh samples of </w:t>
      </w:r>
      <w:r w:rsidRPr="002C1306">
        <w:rPr>
          <w:rFonts w:ascii="Arial" w:eastAsiaTheme="majorEastAsia" w:hAnsi="Arial" w:cs="Arial"/>
          <w:i/>
          <w:iCs/>
          <w:sz w:val="22"/>
          <w:szCs w:val="22"/>
        </w:rPr>
        <w:t xml:space="preserve">Salacia </w:t>
      </w:r>
      <w:proofErr w:type="spellStart"/>
      <w:r w:rsidRPr="002C1306">
        <w:rPr>
          <w:rFonts w:ascii="Arial" w:eastAsiaTheme="majorEastAsia" w:hAnsi="Arial" w:cs="Arial"/>
          <w:i/>
          <w:iCs/>
          <w:sz w:val="22"/>
          <w:szCs w:val="22"/>
        </w:rPr>
        <w:t>korthalsiana</w:t>
      </w:r>
      <w:proofErr w:type="spellEnd"/>
      <w:r w:rsidRPr="002C1306">
        <w:rPr>
          <w:rFonts w:ascii="Arial" w:hAnsi="Arial" w:cs="Arial"/>
          <w:sz w:val="22"/>
          <w:szCs w:val="22"/>
        </w:rPr>
        <w:t xml:space="preserve"> (</w:t>
      </w:r>
      <w:proofErr w:type="spellStart"/>
      <w:r w:rsidRPr="002C1306">
        <w:rPr>
          <w:rFonts w:ascii="Arial" w:hAnsi="Arial" w:cs="Arial"/>
          <w:sz w:val="22"/>
          <w:szCs w:val="22"/>
        </w:rPr>
        <w:t>Polipog</w:t>
      </w:r>
      <w:proofErr w:type="spellEnd"/>
      <w:r w:rsidR="00720694" w:rsidRPr="002C1306">
        <w:rPr>
          <w:rFonts w:ascii="Arial" w:hAnsi="Arial" w:cs="Arial"/>
          <w:sz w:val="22"/>
          <w:szCs w:val="22"/>
        </w:rPr>
        <w:t xml:space="preserve">) </w:t>
      </w:r>
      <w:r w:rsidR="0007596F" w:rsidRPr="002C1306">
        <w:rPr>
          <w:rFonts w:ascii="Arial" w:hAnsi="Arial" w:cs="Arial"/>
          <w:sz w:val="22"/>
          <w:szCs w:val="22"/>
        </w:rPr>
        <w:t xml:space="preserve">roots </w:t>
      </w:r>
      <w:r w:rsidRPr="002C1306">
        <w:rPr>
          <w:rFonts w:ascii="Arial" w:hAnsi="Arial" w:cs="Arial"/>
          <w:sz w:val="22"/>
          <w:szCs w:val="22"/>
        </w:rPr>
        <w:t xml:space="preserve">collected from Barangay </w:t>
      </w:r>
      <w:proofErr w:type="spellStart"/>
      <w:r w:rsidRPr="002C1306">
        <w:rPr>
          <w:rFonts w:ascii="Arial" w:hAnsi="Arial" w:cs="Arial"/>
          <w:sz w:val="22"/>
          <w:szCs w:val="22"/>
        </w:rPr>
        <w:t>Diyo</w:t>
      </w:r>
      <w:proofErr w:type="spellEnd"/>
      <w:r w:rsidRPr="002C1306">
        <w:rPr>
          <w:rFonts w:ascii="Arial" w:hAnsi="Arial" w:cs="Arial"/>
          <w:sz w:val="22"/>
          <w:szCs w:val="22"/>
        </w:rPr>
        <w:t>, Mondragon, Northern Samar, Philippines. The collection site represents a natural habitat where the plant is traditionally harvested and utilized by local communities, thereby ensuring ecological and ethnobotanical relevance of the specimens. The collected plant materials were immediately transported to the College of Science Laboratory of the University of Eastern Philippines for processing.</w:t>
      </w:r>
    </w:p>
    <w:p w14:paraId="6645A535" w14:textId="77777777" w:rsidR="00E71E1A" w:rsidRPr="002C1306" w:rsidRDefault="00E71E1A" w:rsidP="00E71E1A">
      <w:pPr>
        <w:jc w:val="both"/>
        <w:rPr>
          <w:rFonts w:ascii="Arial" w:hAnsi="Arial" w:cs="Arial"/>
          <w:sz w:val="22"/>
          <w:szCs w:val="22"/>
        </w:rPr>
      </w:pPr>
    </w:p>
    <w:p w14:paraId="5A70DABC" w14:textId="22D11504" w:rsidR="00E71E1A" w:rsidRPr="002C1306" w:rsidRDefault="00F560E6" w:rsidP="00E71E1A">
      <w:pPr>
        <w:jc w:val="both"/>
        <w:rPr>
          <w:rFonts w:ascii="Arial" w:hAnsi="Arial" w:cs="Arial"/>
          <w:sz w:val="22"/>
          <w:szCs w:val="22"/>
        </w:rPr>
      </w:pPr>
      <w:r w:rsidRPr="002C1306">
        <w:rPr>
          <w:rFonts w:ascii="Arial" w:hAnsi="Arial" w:cs="Arial"/>
          <w:sz w:val="22"/>
          <w:szCs w:val="22"/>
        </w:rPr>
        <w:t>Upon a</w:t>
      </w:r>
      <w:r w:rsidR="0064260F" w:rsidRPr="002C1306">
        <w:rPr>
          <w:rFonts w:ascii="Arial" w:hAnsi="Arial" w:cs="Arial"/>
          <w:sz w:val="22"/>
          <w:szCs w:val="22"/>
        </w:rPr>
        <w:t xml:space="preserve">rrival, roots </w:t>
      </w:r>
      <w:r w:rsidR="00E71E1A" w:rsidRPr="002C1306">
        <w:rPr>
          <w:rFonts w:ascii="Arial" w:hAnsi="Arial" w:cs="Arial"/>
          <w:sz w:val="22"/>
          <w:szCs w:val="22"/>
        </w:rPr>
        <w:t xml:space="preserve">were thoroughly washed with distilled water to remove adhering soil particles, debris, and potential contaminants. This step is critical to prevent interference during histochemical staining, as extraneous materials may produce false-positive or false-negative results. No chemical fixatives were applied prior to sectioning in order to preserve the native state of secondary metabolites within the tissues. This approach aligns with standard </w:t>
      </w:r>
      <w:proofErr w:type="spellStart"/>
      <w:r w:rsidR="00E71E1A" w:rsidRPr="002C1306">
        <w:rPr>
          <w:rFonts w:ascii="Arial" w:hAnsi="Arial" w:cs="Arial"/>
          <w:sz w:val="22"/>
          <w:szCs w:val="22"/>
        </w:rPr>
        <w:t>pharmacognostic</w:t>
      </w:r>
      <w:proofErr w:type="spellEnd"/>
      <w:r w:rsidR="00E71E1A" w:rsidRPr="002C1306">
        <w:rPr>
          <w:rFonts w:ascii="Arial" w:hAnsi="Arial" w:cs="Arial"/>
          <w:sz w:val="22"/>
          <w:szCs w:val="22"/>
        </w:rPr>
        <w:t xml:space="preserve"> practices, where minimal chemical alteration is preferred to maintain the integrity and localization of bioactive compounds.</w:t>
      </w:r>
    </w:p>
    <w:p w14:paraId="5B36EB44" w14:textId="77777777" w:rsidR="00E71E1A" w:rsidRPr="002C1306" w:rsidRDefault="00E71E1A" w:rsidP="00E71E1A">
      <w:pPr>
        <w:jc w:val="both"/>
        <w:rPr>
          <w:rFonts w:ascii="Arial" w:hAnsi="Arial" w:cs="Arial"/>
          <w:sz w:val="22"/>
          <w:szCs w:val="22"/>
        </w:rPr>
      </w:pPr>
    </w:p>
    <w:p w14:paraId="0C39080F"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Histochemical Analysis</w:t>
      </w:r>
    </w:p>
    <w:p w14:paraId="60E99981" w14:textId="77777777" w:rsidR="00E71E1A" w:rsidRPr="002C1306" w:rsidRDefault="00E71E1A" w:rsidP="00E71E1A">
      <w:pPr>
        <w:jc w:val="both"/>
        <w:rPr>
          <w:rFonts w:ascii="Arial" w:hAnsi="Arial" w:cs="Arial"/>
          <w:sz w:val="22"/>
          <w:szCs w:val="22"/>
        </w:rPr>
      </w:pPr>
    </w:p>
    <w:p w14:paraId="02F6E006" w14:textId="7B4CC491" w:rsidR="00E71E1A" w:rsidRPr="002C1306" w:rsidRDefault="00E71E1A" w:rsidP="00E71E1A">
      <w:pPr>
        <w:jc w:val="both"/>
        <w:rPr>
          <w:rFonts w:ascii="Arial" w:hAnsi="Arial" w:cs="Arial"/>
          <w:sz w:val="22"/>
          <w:szCs w:val="22"/>
        </w:rPr>
      </w:pPr>
      <w:r w:rsidRPr="002C1306">
        <w:rPr>
          <w:rFonts w:ascii="Arial" w:hAnsi="Arial" w:cs="Arial"/>
          <w:sz w:val="22"/>
          <w:szCs w:val="22"/>
        </w:rPr>
        <w:t>Histochemical analysis was employed to localize secondary metabolites in situ within plant tissues. This technique utilizes specific staining reagents that react with target chemical groups, producing characteristic color changes observable under light microscopy</w:t>
      </w:r>
      <w:r w:rsidR="00431FF8" w:rsidRPr="002C1306">
        <w:rPr>
          <w:rFonts w:ascii="Arial" w:hAnsi="Arial" w:cs="Arial"/>
          <w:sz w:val="22"/>
          <w:szCs w:val="22"/>
        </w:rPr>
        <w:t xml:space="preserve"> </w:t>
      </w:r>
      <w:r w:rsidR="00647554" w:rsidRPr="002C1306">
        <w:rPr>
          <w:rFonts w:ascii="Arial" w:hAnsi="Arial" w:cs="Arial"/>
          <w:sz w:val="22"/>
          <w:szCs w:val="22"/>
          <w:highlight w:val="yellow"/>
        </w:rPr>
        <w:t>(</w:t>
      </w:r>
      <w:proofErr w:type="spellStart"/>
      <w:r w:rsidR="005F0410" w:rsidRPr="002C1306">
        <w:rPr>
          <w:rFonts w:ascii="Arial" w:hAnsi="Arial" w:cs="Arial"/>
          <w:sz w:val="22"/>
          <w:szCs w:val="22"/>
          <w:highlight w:val="yellow"/>
        </w:rPr>
        <w:t>Musumeci</w:t>
      </w:r>
      <w:proofErr w:type="spellEnd"/>
      <w:r w:rsidR="005F0410" w:rsidRPr="002C1306">
        <w:rPr>
          <w:rFonts w:ascii="Arial" w:hAnsi="Arial" w:cs="Arial"/>
          <w:sz w:val="22"/>
          <w:szCs w:val="22"/>
          <w:highlight w:val="yellow"/>
        </w:rPr>
        <w:t xml:space="preserve"> 2015)</w:t>
      </w:r>
      <w:r w:rsidRPr="002C1306">
        <w:rPr>
          <w:rFonts w:ascii="Arial" w:hAnsi="Arial" w:cs="Arial"/>
          <w:sz w:val="22"/>
          <w:szCs w:val="22"/>
          <w:highlight w:val="yellow"/>
        </w:rPr>
        <w:t>.</w:t>
      </w:r>
      <w:r w:rsidRPr="002C1306">
        <w:rPr>
          <w:rFonts w:ascii="Arial" w:hAnsi="Arial" w:cs="Arial"/>
          <w:sz w:val="22"/>
          <w:szCs w:val="22"/>
        </w:rPr>
        <w:t xml:space="preserve"> Histochemistry is widely recognized as a rapid, cost-effective, and reliable method for visualizing the distribution of phytochemicals at the cellular level, making it particularly valuable in </w:t>
      </w:r>
      <w:proofErr w:type="spellStart"/>
      <w:r w:rsidRPr="002C1306">
        <w:rPr>
          <w:rFonts w:ascii="Arial" w:hAnsi="Arial" w:cs="Arial"/>
          <w:sz w:val="22"/>
          <w:szCs w:val="22"/>
        </w:rPr>
        <w:t>pharmacognostic</w:t>
      </w:r>
      <w:proofErr w:type="spellEnd"/>
      <w:r w:rsidRPr="002C1306">
        <w:rPr>
          <w:rFonts w:ascii="Arial" w:hAnsi="Arial" w:cs="Arial"/>
          <w:sz w:val="22"/>
          <w:szCs w:val="22"/>
        </w:rPr>
        <w:t xml:space="preserve"> investigations of medicinal plants</w:t>
      </w:r>
      <w:r w:rsidR="00F86C55" w:rsidRPr="002C1306">
        <w:rPr>
          <w:rFonts w:ascii="Arial" w:hAnsi="Arial" w:cs="Arial"/>
          <w:sz w:val="22"/>
          <w:szCs w:val="22"/>
        </w:rPr>
        <w:t xml:space="preserve"> </w:t>
      </w:r>
      <w:r w:rsidR="00F86C55" w:rsidRPr="002C1306">
        <w:rPr>
          <w:rFonts w:ascii="Arial" w:hAnsi="Arial" w:cs="Arial"/>
          <w:sz w:val="22"/>
          <w:szCs w:val="22"/>
          <w:highlight w:val="yellow"/>
        </w:rPr>
        <w:t>(Sulistyaningsih 2017)</w:t>
      </w:r>
      <w:r w:rsidRPr="002C1306">
        <w:rPr>
          <w:rFonts w:ascii="Arial" w:hAnsi="Arial" w:cs="Arial"/>
          <w:sz w:val="22"/>
          <w:szCs w:val="22"/>
          <w:highlight w:val="yellow"/>
        </w:rPr>
        <w:t>.</w:t>
      </w:r>
    </w:p>
    <w:p w14:paraId="7549312D" w14:textId="77777777" w:rsidR="00E71E1A" w:rsidRPr="002C1306" w:rsidRDefault="00E71E1A" w:rsidP="00E71E1A">
      <w:pPr>
        <w:jc w:val="both"/>
        <w:rPr>
          <w:rFonts w:ascii="Arial" w:hAnsi="Arial" w:cs="Arial"/>
          <w:sz w:val="22"/>
          <w:szCs w:val="22"/>
        </w:rPr>
      </w:pPr>
    </w:p>
    <w:p w14:paraId="2BCE8A86"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Free-Hand Sectioning Technique</w:t>
      </w:r>
    </w:p>
    <w:p w14:paraId="0A9A1AD7" w14:textId="77777777" w:rsidR="00E71E1A" w:rsidRPr="002C1306" w:rsidRDefault="00E71E1A" w:rsidP="00E71E1A">
      <w:pPr>
        <w:jc w:val="both"/>
        <w:rPr>
          <w:rFonts w:ascii="Arial" w:hAnsi="Arial" w:cs="Arial"/>
          <w:sz w:val="22"/>
          <w:szCs w:val="22"/>
        </w:rPr>
      </w:pPr>
    </w:p>
    <w:p w14:paraId="303E1293"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lastRenderedPageBreak/>
        <w:t>Free-hand sectioning was adopted due to its practicality, accessibility, and suitability for fresh plant materials. Although this technique inherently produces sections of variable thickness, it remains a widely accepted method in preliminary histochemical studies, especially when microtome facilities are unavailable. Care was taken to obtain the thinnest possible sections, as thinner sections allow better penetration of staining reagents and improved visualization of cellular structures.</w:t>
      </w:r>
    </w:p>
    <w:p w14:paraId="2430872C" w14:textId="77777777" w:rsidR="00E71E1A" w:rsidRPr="002C1306" w:rsidRDefault="00E71E1A" w:rsidP="00E71E1A">
      <w:pPr>
        <w:jc w:val="both"/>
        <w:rPr>
          <w:rFonts w:ascii="Arial" w:hAnsi="Arial" w:cs="Arial"/>
          <w:sz w:val="22"/>
          <w:szCs w:val="22"/>
        </w:rPr>
      </w:pPr>
    </w:p>
    <w:p w14:paraId="585B707C"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All cutting instruments, including razor blades and cutters, were thoroughly rinsed with warm tap water prior to use to remove grease and contaminants that could interfere with section quality or staining reactions. Sections were prepared under moist conditions to prevent tissue desiccation and structural distortion.</w:t>
      </w:r>
    </w:p>
    <w:p w14:paraId="3705E163" w14:textId="77777777" w:rsidR="00E71E1A" w:rsidRPr="002C1306" w:rsidRDefault="00E71E1A" w:rsidP="00E71E1A">
      <w:pPr>
        <w:jc w:val="both"/>
        <w:rPr>
          <w:rFonts w:ascii="Arial" w:hAnsi="Arial" w:cs="Arial"/>
          <w:sz w:val="22"/>
          <w:szCs w:val="22"/>
        </w:rPr>
      </w:pPr>
    </w:p>
    <w:p w14:paraId="5AC56C1C"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Root Sectioning</w:t>
      </w:r>
    </w:p>
    <w:p w14:paraId="77EF4386" w14:textId="77777777" w:rsidR="00E71E1A" w:rsidRPr="002C1306" w:rsidRDefault="00E71E1A" w:rsidP="00E71E1A">
      <w:pPr>
        <w:jc w:val="both"/>
        <w:rPr>
          <w:rFonts w:ascii="Arial" w:hAnsi="Arial" w:cs="Arial"/>
          <w:sz w:val="22"/>
          <w:szCs w:val="22"/>
        </w:rPr>
      </w:pPr>
    </w:p>
    <w:p w14:paraId="62D1641B" w14:textId="53D0040A" w:rsidR="00E71E1A" w:rsidRPr="002C1306" w:rsidRDefault="00E71E1A" w:rsidP="00E71E1A">
      <w:pPr>
        <w:jc w:val="both"/>
        <w:rPr>
          <w:rFonts w:ascii="Arial" w:hAnsi="Arial" w:cs="Arial"/>
          <w:sz w:val="22"/>
          <w:szCs w:val="22"/>
        </w:rPr>
      </w:pPr>
      <w:r w:rsidRPr="002C1306">
        <w:rPr>
          <w:rFonts w:ascii="Arial" w:hAnsi="Arial" w:cs="Arial"/>
          <w:sz w:val="22"/>
          <w:szCs w:val="22"/>
        </w:rPr>
        <w:t>Root</w:t>
      </w:r>
      <w:r w:rsidR="003957CE" w:rsidRPr="002C1306">
        <w:rPr>
          <w:rFonts w:ascii="Arial" w:hAnsi="Arial" w:cs="Arial"/>
          <w:sz w:val="22"/>
          <w:szCs w:val="22"/>
        </w:rPr>
        <w:t xml:space="preserve"> samples </w:t>
      </w:r>
      <w:r w:rsidRPr="002C1306">
        <w:rPr>
          <w:rFonts w:ascii="Arial" w:hAnsi="Arial" w:cs="Arial"/>
          <w:sz w:val="22"/>
          <w:szCs w:val="22"/>
        </w:rPr>
        <w:t xml:space="preserve">were sectioned using a new double-edged razor blade or cutter. The root segments were cut into several thin transverse sections in quick succession. Due to the inherent variability in free-hand sectioning, sections differed in thickness; therefore, only the thinnest and most translucent sections were selected for histochemical analysis, following the protocol of O’Brien </w:t>
      </w:r>
      <w:r w:rsidRPr="002C1306">
        <w:rPr>
          <w:rFonts w:ascii="Arial" w:hAnsi="Arial" w:cs="Arial"/>
          <w:i/>
          <w:sz w:val="22"/>
          <w:szCs w:val="22"/>
        </w:rPr>
        <w:t>et al</w:t>
      </w:r>
      <w:r w:rsidRPr="002C1306">
        <w:rPr>
          <w:rFonts w:ascii="Arial" w:hAnsi="Arial" w:cs="Arial"/>
          <w:sz w:val="22"/>
          <w:szCs w:val="22"/>
        </w:rPr>
        <w:t>. (1964).</w:t>
      </w:r>
    </w:p>
    <w:p w14:paraId="2C1E879C" w14:textId="77777777" w:rsidR="00E71E1A" w:rsidRPr="002C1306" w:rsidRDefault="00E71E1A" w:rsidP="00E71E1A">
      <w:pPr>
        <w:jc w:val="both"/>
        <w:rPr>
          <w:rFonts w:ascii="Arial" w:hAnsi="Arial" w:cs="Arial"/>
          <w:sz w:val="22"/>
          <w:szCs w:val="22"/>
        </w:rPr>
      </w:pPr>
    </w:p>
    <w:p w14:paraId="15FA5C44"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The selected sections were carefully transferred onto clean glass slides using fine forceps or a brush to avoid mechanical damage. Maintaining structural integrity during transfer is essential for accurate localization of metabolites, as tissue disruption may lead to diffusion or loss of chemical constituents.</w:t>
      </w:r>
    </w:p>
    <w:p w14:paraId="39ABDC43" w14:textId="77777777" w:rsidR="00E71E1A" w:rsidRPr="002C1306" w:rsidRDefault="00E71E1A" w:rsidP="00E71E1A">
      <w:pPr>
        <w:jc w:val="both"/>
        <w:rPr>
          <w:rFonts w:ascii="Arial" w:hAnsi="Arial" w:cs="Arial"/>
          <w:sz w:val="22"/>
          <w:szCs w:val="22"/>
        </w:rPr>
      </w:pPr>
    </w:p>
    <w:p w14:paraId="17C877B3" w14:textId="77777777" w:rsidR="00E71E1A" w:rsidRPr="002C1306" w:rsidRDefault="00E71E1A" w:rsidP="00E71E1A">
      <w:pPr>
        <w:jc w:val="both"/>
        <w:rPr>
          <w:rFonts w:ascii="Arial" w:hAnsi="Arial" w:cs="Arial"/>
          <w:i/>
          <w:iCs/>
          <w:sz w:val="22"/>
          <w:szCs w:val="22"/>
        </w:rPr>
      </w:pPr>
      <w:r w:rsidRPr="002C1306">
        <w:rPr>
          <w:rFonts w:ascii="Arial" w:eastAsiaTheme="majorEastAsia" w:hAnsi="Arial" w:cs="Arial"/>
          <w:i/>
          <w:iCs/>
          <w:sz w:val="22"/>
          <w:szCs w:val="22"/>
        </w:rPr>
        <w:t>Histochemical Tests</w:t>
      </w:r>
    </w:p>
    <w:p w14:paraId="22BB475D" w14:textId="77777777" w:rsidR="00E71E1A" w:rsidRPr="002C1306" w:rsidRDefault="00E71E1A" w:rsidP="00E71E1A">
      <w:pPr>
        <w:jc w:val="both"/>
        <w:rPr>
          <w:rFonts w:ascii="Arial" w:hAnsi="Arial" w:cs="Arial"/>
          <w:sz w:val="22"/>
          <w:szCs w:val="22"/>
        </w:rPr>
      </w:pPr>
    </w:p>
    <w:p w14:paraId="00A4C986"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Test for Alkaloids</w:t>
      </w:r>
    </w:p>
    <w:p w14:paraId="6B9C58CA" w14:textId="77777777" w:rsidR="00E71E1A" w:rsidRPr="002C1306" w:rsidRDefault="00E71E1A" w:rsidP="00E71E1A">
      <w:pPr>
        <w:jc w:val="both"/>
        <w:rPr>
          <w:rFonts w:ascii="Arial" w:hAnsi="Arial" w:cs="Arial"/>
          <w:sz w:val="22"/>
          <w:szCs w:val="22"/>
        </w:rPr>
      </w:pPr>
    </w:p>
    <w:p w14:paraId="4CD3D5B2" w14:textId="1C3D2C22"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Alkaloids were detected using </w:t>
      </w:r>
      <w:proofErr w:type="spellStart"/>
      <w:r w:rsidRPr="002C1306">
        <w:rPr>
          <w:rFonts w:ascii="Arial" w:hAnsi="Arial" w:cs="Arial"/>
          <w:sz w:val="22"/>
          <w:szCs w:val="22"/>
        </w:rPr>
        <w:t>Dragendorff’s</w:t>
      </w:r>
      <w:proofErr w:type="spellEnd"/>
      <w:r w:rsidRPr="002C1306">
        <w:rPr>
          <w:rFonts w:ascii="Arial" w:hAnsi="Arial" w:cs="Arial"/>
          <w:sz w:val="22"/>
          <w:szCs w:val="22"/>
        </w:rPr>
        <w:t xml:space="preserve"> reagent, a classical histochemical stain that reacts with nitrogen-containing compounds to produce a characteristic golden-yellow to orange prec</w:t>
      </w:r>
      <w:r w:rsidR="00484C8D" w:rsidRPr="002C1306">
        <w:rPr>
          <w:rFonts w:ascii="Arial" w:hAnsi="Arial" w:cs="Arial"/>
          <w:sz w:val="22"/>
          <w:szCs w:val="22"/>
        </w:rPr>
        <w:t xml:space="preserve">ipitate. Transverse sections of </w:t>
      </w:r>
      <w:r w:rsidRPr="002C1306">
        <w:rPr>
          <w:rFonts w:ascii="Arial" w:hAnsi="Arial" w:cs="Arial"/>
          <w:sz w:val="22"/>
          <w:szCs w:val="22"/>
        </w:rPr>
        <w:t xml:space="preserve">roots were immersed in </w:t>
      </w:r>
      <w:proofErr w:type="spellStart"/>
      <w:r w:rsidRPr="002C1306">
        <w:rPr>
          <w:rFonts w:ascii="Arial" w:hAnsi="Arial" w:cs="Arial"/>
          <w:sz w:val="22"/>
          <w:szCs w:val="22"/>
        </w:rPr>
        <w:t>Dragendorff’s</w:t>
      </w:r>
      <w:proofErr w:type="spellEnd"/>
      <w:r w:rsidRPr="002C1306">
        <w:rPr>
          <w:rFonts w:ascii="Arial" w:hAnsi="Arial" w:cs="Arial"/>
          <w:sz w:val="22"/>
          <w:szCs w:val="22"/>
        </w:rPr>
        <w:t xml:space="preserve"> reagent for approximately one minute to allow sufficient interaction between the reagent and tissue-bound alkaloids.</w:t>
      </w:r>
    </w:p>
    <w:p w14:paraId="790ED272" w14:textId="77777777" w:rsidR="00E71E1A" w:rsidRPr="002C1306" w:rsidRDefault="00E71E1A" w:rsidP="00E71E1A">
      <w:pPr>
        <w:jc w:val="both"/>
        <w:rPr>
          <w:rFonts w:ascii="Arial" w:hAnsi="Arial" w:cs="Arial"/>
          <w:sz w:val="22"/>
          <w:szCs w:val="22"/>
        </w:rPr>
      </w:pPr>
    </w:p>
    <w:p w14:paraId="75B9FA75"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Following staining, the sections were mounted in a </w:t>
      </w:r>
      <w:proofErr w:type="spellStart"/>
      <w:r w:rsidRPr="002C1306">
        <w:rPr>
          <w:rFonts w:ascii="Arial" w:hAnsi="Arial" w:cs="Arial"/>
          <w:sz w:val="22"/>
          <w:szCs w:val="22"/>
        </w:rPr>
        <w:t>glycerine</w:t>
      </w:r>
      <w:proofErr w:type="spellEnd"/>
      <w:r w:rsidRPr="002C1306">
        <w:rPr>
          <w:rFonts w:ascii="Arial" w:hAnsi="Arial" w:cs="Arial"/>
          <w:sz w:val="22"/>
          <w:szCs w:val="22"/>
        </w:rPr>
        <w:t>-water solution (10:90, v/v), which serves as a mounting medium that preserves tissue hydration and enhances optical clarity. The presence of alkaloids was confirmed by the appearance of golden-yellow coloration in specific cells or tissues. This method is widely used in pharmacognosy due to its sensitivity to a broad range of alkaloid structures.</w:t>
      </w:r>
    </w:p>
    <w:p w14:paraId="165333CA" w14:textId="77777777" w:rsidR="00E71E1A" w:rsidRPr="002C1306" w:rsidRDefault="00E71E1A" w:rsidP="00E71E1A">
      <w:pPr>
        <w:jc w:val="both"/>
        <w:rPr>
          <w:rFonts w:ascii="Arial" w:hAnsi="Arial" w:cs="Arial"/>
          <w:sz w:val="22"/>
          <w:szCs w:val="22"/>
        </w:rPr>
      </w:pPr>
    </w:p>
    <w:p w14:paraId="404300B6"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Test for Steroids</w:t>
      </w:r>
    </w:p>
    <w:p w14:paraId="5FA19DE8" w14:textId="77777777" w:rsidR="00E71E1A" w:rsidRPr="002C1306" w:rsidRDefault="00E71E1A" w:rsidP="00E71E1A">
      <w:pPr>
        <w:jc w:val="both"/>
        <w:rPr>
          <w:rFonts w:ascii="Arial" w:hAnsi="Arial" w:cs="Arial"/>
          <w:sz w:val="22"/>
          <w:szCs w:val="22"/>
        </w:rPr>
      </w:pPr>
    </w:p>
    <w:p w14:paraId="657F15C4"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Steroids were identified using antimony trichloride, a reagent known to react with sterol and triterpenoid compounds, producing a yellow coloration. Plant sections were immersed in the reagent for one minute and subsequently mounted in </w:t>
      </w:r>
      <w:proofErr w:type="spellStart"/>
      <w:r w:rsidRPr="002C1306">
        <w:rPr>
          <w:rFonts w:ascii="Arial" w:hAnsi="Arial" w:cs="Arial"/>
          <w:sz w:val="22"/>
          <w:szCs w:val="22"/>
        </w:rPr>
        <w:t>glycerine</w:t>
      </w:r>
      <w:proofErr w:type="spellEnd"/>
      <w:r w:rsidRPr="002C1306">
        <w:rPr>
          <w:rFonts w:ascii="Arial" w:hAnsi="Arial" w:cs="Arial"/>
          <w:sz w:val="22"/>
          <w:szCs w:val="22"/>
        </w:rPr>
        <w:t>-water solution (10:90, v/v).</w:t>
      </w:r>
    </w:p>
    <w:p w14:paraId="5772DD43"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The development of a yellow color within the tissues was interpreted as a positive indication of steroidal compounds. The localization of this coloration provides insight into the distribution of phytosterols within plant tissues, which are known to contribute to anti-inflammatory and membrane-stabilizing functions.</w:t>
      </w:r>
    </w:p>
    <w:p w14:paraId="17D2B419" w14:textId="77777777" w:rsidR="00E71E1A" w:rsidRPr="002C1306" w:rsidRDefault="00E71E1A" w:rsidP="00E71E1A">
      <w:pPr>
        <w:jc w:val="both"/>
        <w:rPr>
          <w:rFonts w:ascii="Arial" w:hAnsi="Arial" w:cs="Arial"/>
          <w:sz w:val="22"/>
          <w:szCs w:val="22"/>
        </w:rPr>
      </w:pPr>
    </w:p>
    <w:p w14:paraId="3504A7CF"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Test for Tannins</w:t>
      </w:r>
    </w:p>
    <w:p w14:paraId="73323CE6" w14:textId="77777777" w:rsidR="00E71E1A" w:rsidRPr="002C1306" w:rsidRDefault="00E71E1A" w:rsidP="00E71E1A">
      <w:pPr>
        <w:jc w:val="both"/>
        <w:rPr>
          <w:rFonts w:ascii="Arial" w:hAnsi="Arial" w:cs="Arial"/>
          <w:sz w:val="22"/>
          <w:szCs w:val="22"/>
        </w:rPr>
      </w:pPr>
    </w:p>
    <w:p w14:paraId="0EA68E8A"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Tannins were detected using Toluidine Blue, a metachromatic stain that binds to phenolic compounds and produces color variations depending on the chemical composition and </w:t>
      </w:r>
      <w:r w:rsidRPr="002C1306">
        <w:rPr>
          <w:rFonts w:ascii="Arial" w:hAnsi="Arial" w:cs="Arial"/>
          <w:sz w:val="22"/>
          <w:szCs w:val="22"/>
        </w:rPr>
        <w:lastRenderedPageBreak/>
        <w:t>concentration. Thin sections were placed on clean glass slides and flooded with Toluidine Blue reagent for one minute.</w:t>
      </w:r>
    </w:p>
    <w:p w14:paraId="52B867B1" w14:textId="77777777" w:rsidR="00E71E1A" w:rsidRPr="002C1306" w:rsidRDefault="00E71E1A" w:rsidP="00E71E1A">
      <w:pPr>
        <w:jc w:val="both"/>
        <w:rPr>
          <w:rFonts w:ascii="Arial" w:hAnsi="Arial" w:cs="Arial"/>
          <w:sz w:val="22"/>
          <w:szCs w:val="22"/>
        </w:rPr>
      </w:pPr>
    </w:p>
    <w:p w14:paraId="26B6EB8C"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Excess stain was carefully removed using filter paper, followed by gentle rinsing with distilled water to eliminate background staining. This washing step was repeated until the surrounding area of the tissue appeared clear. A drop of distilled water was then added before placing a cover slip over the preparation. Excess mounting medium was removed by blotting the edges of the cover slip with filter paper.</w:t>
      </w:r>
    </w:p>
    <w:p w14:paraId="42CCBAB9" w14:textId="77777777" w:rsidR="00E71E1A" w:rsidRPr="002C1306" w:rsidRDefault="00E71E1A" w:rsidP="00E71E1A">
      <w:pPr>
        <w:jc w:val="both"/>
        <w:rPr>
          <w:rFonts w:ascii="Arial" w:hAnsi="Arial" w:cs="Arial"/>
          <w:sz w:val="22"/>
          <w:szCs w:val="22"/>
        </w:rPr>
      </w:pPr>
    </w:p>
    <w:p w14:paraId="5277222A"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Under microscopic examination, tannins were identified by the presence of green, greenish-blue, or bright blue coloration within the cells, consistent with established histochemical protocols (O’Brien </w:t>
      </w:r>
      <w:r w:rsidRPr="002C1306">
        <w:rPr>
          <w:rFonts w:ascii="Arial" w:hAnsi="Arial" w:cs="Arial"/>
          <w:i/>
          <w:sz w:val="22"/>
          <w:szCs w:val="22"/>
        </w:rPr>
        <w:t>et al</w:t>
      </w:r>
      <w:r w:rsidRPr="002C1306">
        <w:rPr>
          <w:rFonts w:ascii="Arial" w:hAnsi="Arial" w:cs="Arial"/>
          <w:sz w:val="22"/>
          <w:szCs w:val="22"/>
        </w:rPr>
        <w:t xml:space="preserve">., 1964). The use of Toluidine Blue is particularly advantageous due to its ability to differentiate phenolic compounds based on </w:t>
      </w:r>
      <w:proofErr w:type="spellStart"/>
      <w:r w:rsidRPr="002C1306">
        <w:rPr>
          <w:rFonts w:ascii="Arial" w:hAnsi="Arial" w:cs="Arial"/>
          <w:sz w:val="22"/>
          <w:szCs w:val="22"/>
        </w:rPr>
        <w:t>metachromasia</w:t>
      </w:r>
      <w:proofErr w:type="spellEnd"/>
      <w:r w:rsidRPr="002C1306">
        <w:rPr>
          <w:rFonts w:ascii="Arial" w:hAnsi="Arial" w:cs="Arial"/>
          <w:sz w:val="22"/>
          <w:szCs w:val="22"/>
        </w:rPr>
        <w:t>, thereby enhancing specificity.</w:t>
      </w:r>
    </w:p>
    <w:p w14:paraId="5A04CDAE" w14:textId="77777777" w:rsidR="00E71E1A" w:rsidRPr="002C1306" w:rsidRDefault="00E71E1A" w:rsidP="00E71E1A">
      <w:pPr>
        <w:jc w:val="both"/>
        <w:rPr>
          <w:rFonts w:ascii="Arial" w:hAnsi="Arial" w:cs="Arial"/>
          <w:sz w:val="22"/>
          <w:szCs w:val="22"/>
        </w:rPr>
      </w:pPr>
    </w:p>
    <w:p w14:paraId="5BC78100"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Test for Terpenoids</w:t>
      </w:r>
    </w:p>
    <w:p w14:paraId="6E1114C7" w14:textId="77777777" w:rsidR="00E71E1A" w:rsidRPr="002C1306" w:rsidRDefault="00E71E1A" w:rsidP="00E71E1A">
      <w:pPr>
        <w:jc w:val="both"/>
        <w:rPr>
          <w:rFonts w:ascii="Arial" w:hAnsi="Arial" w:cs="Arial"/>
          <w:sz w:val="22"/>
          <w:szCs w:val="22"/>
        </w:rPr>
      </w:pPr>
    </w:p>
    <w:p w14:paraId="0FACC6A7"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 xml:space="preserve">Terpenoids were assessed using the 2,4-dinitrophenylhydrazine (DNPH) test, which detects carbonyl-containing compounds through the formation of orange-yellow </w:t>
      </w:r>
      <w:proofErr w:type="spellStart"/>
      <w:r w:rsidRPr="002C1306">
        <w:rPr>
          <w:rFonts w:ascii="Arial" w:hAnsi="Arial" w:cs="Arial"/>
          <w:sz w:val="22"/>
          <w:szCs w:val="22"/>
        </w:rPr>
        <w:t>hydrazone</w:t>
      </w:r>
      <w:proofErr w:type="spellEnd"/>
      <w:r w:rsidRPr="002C1306">
        <w:rPr>
          <w:rFonts w:ascii="Arial" w:hAnsi="Arial" w:cs="Arial"/>
          <w:sz w:val="22"/>
          <w:szCs w:val="22"/>
        </w:rPr>
        <w:t xml:space="preserve"> derivatives. Transverse sections of plant tissues were immersed in the DNPH reagent for one minute and mounted in </w:t>
      </w:r>
      <w:proofErr w:type="spellStart"/>
      <w:r w:rsidRPr="002C1306">
        <w:rPr>
          <w:rFonts w:ascii="Arial" w:hAnsi="Arial" w:cs="Arial"/>
          <w:sz w:val="22"/>
          <w:szCs w:val="22"/>
        </w:rPr>
        <w:t>glycerine</w:t>
      </w:r>
      <w:proofErr w:type="spellEnd"/>
      <w:r w:rsidRPr="002C1306">
        <w:rPr>
          <w:rFonts w:ascii="Arial" w:hAnsi="Arial" w:cs="Arial"/>
          <w:sz w:val="22"/>
          <w:szCs w:val="22"/>
        </w:rPr>
        <w:t>-water solution (10:90, v/v).</w:t>
      </w:r>
    </w:p>
    <w:p w14:paraId="4483204A" w14:textId="77777777" w:rsidR="00E71E1A" w:rsidRPr="002C1306" w:rsidRDefault="00E71E1A" w:rsidP="00E71E1A">
      <w:pPr>
        <w:jc w:val="both"/>
        <w:rPr>
          <w:rFonts w:ascii="Arial" w:hAnsi="Arial" w:cs="Arial"/>
          <w:sz w:val="22"/>
          <w:szCs w:val="22"/>
        </w:rPr>
      </w:pPr>
    </w:p>
    <w:p w14:paraId="724DAC7D"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The appearance of an orange-yellow coloration was considered indicative of terpenoid presence. However, it should be noted that this method primarily detects carbonyl groups and may not capture all classes of terpenoids, particularly those lacking reactive carbonyl functionalities. As such, negative results should be interpreted with caution, as they may reflect methodological limitations rather than true absence of terpenoids.</w:t>
      </w:r>
    </w:p>
    <w:p w14:paraId="77D2D49D" w14:textId="77777777" w:rsidR="00E71E1A" w:rsidRPr="002C1306" w:rsidRDefault="00E71E1A" w:rsidP="00E71E1A">
      <w:pPr>
        <w:jc w:val="both"/>
        <w:rPr>
          <w:rFonts w:ascii="Arial" w:hAnsi="Arial" w:cs="Arial"/>
          <w:sz w:val="22"/>
          <w:szCs w:val="22"/>
        </w:rPr>
      </w:pPr>
    </w:p>
    <w:p w14:paraId="127FE096" w14:textId="77777777" w:rsidR="00E71E1A" w:rsidRPr="002C1306" w:rsidRDefault="00E71E1A" w:rsidP="00E71E1A">
      <w:pPr>
        <w:jc w:val="both"/>
        <w:rPr>
          <w:rFonts w:ascii="Arial" w:hAnsi="Arial" w:cs="Arial"/>
          <w:sz w:val="22"/>
          <w:szCs w:val="22"/>
        </w:rPr>
      </w:pPr>
      <w:r w:rsidRPr="002C1306">
        <w:rPr>
          <w:rFonts w:ascii="Arial" w:eastAsiaTheme="majorEastAsia" w:hAnsi="Arial" w:cs="Arial"/>
          <w:sz w:val="22"/>
          <w:szCs w:val="22"/>
        </w:rPr>
        <w:t>Microscopic Examination and Interpretation</w:t>
      </w:r>
    </w:p>
    <w:p w14:paraId="4ED79815" w14:textId="77777777" w:rsidR="00E71E1A" w:rsidRPr="002C1306" w:rsidRDefault="00E71E1A" w:rsidP="00E71E1A">
      <w:pPr>
        <w:jc w:val="both"/>
        <w:rPr>
          <w:rFonts w:ascii="Arial" w:hAnsi="Arial" w:cs="Arial"/>
          <w:sz w:val="22"/>
          <w:szCs w:val="22"/>
        </w:rPr>
      </w:pPr>
      <w:r w:rsidRPr="002C1306">
        <w:rPr>
          <w:rFonts w:ascii="Arial" w:hAnsi="Arial" w:cs="Arial"/>
          <w:sz w:val="22"/>
          <w:szCs w:val="22"/>
        </w:rPr>
        <w:t>All prepared slides were examined under a light microscope at appropriate magnifications to observe cellular structures and staining patterns. Observations focused on identifying the specific tissues (e.g., cortex, endodermis, phloem, pith, and pericycle) exhibiting positive staining reactions. The localization of color changes was carefully recorded, as this provides critical information on the distribution of secondary metabolites within the plant.</w:t>
      </w:r>
    </w:p>
    <w:p w14:paraId="5AB5B236" w14:textId="77777777" w:rsidR="00AD2C3E" w:rsidRPr="002C1306" w:rsidRDefault="00AD2C3E" w:rsidP="00BE0EAA">
      <w:pPr>
        <w:rPr>
          <w:rFonts w:ascii="Arial" w:hAnsi="Arial" w:cs="Arial"/>
          <w:b/>
          <w:sz w:val="22"/>
          <w:szCs w:val="22"/>
        </w:rPr>
      </w:pPr>
    </w:p>
    <w:p w14:paraId="54ADC874" w14:textId="77777777" w:rsidR="00754EA8" w:rsidRDefault="00754EA8" w:rsidP="00BE0EAA">
      <w:pPr>
        <w:rPr>
          <w:rFonts w:ascii="Arial" w:hAnsi="Arial" w:cs="Arial"/>
          <w:b/>
        </w:rPr>
      </w:pPr>
    </w:p>
    <w:p w14:paraId="29EFE03C" w14:textId="77777777" w:rsidR="00754EA8" w:rsidRDefault="00754EA8" w:rsidP="00BE0EAA">
      <w:pPr>
        <w:rPr>
          <w:rFonts w:ascii="Arial" w:hAnsi="Arial" w:cs="Arial"/>
          <w:b/>
        </w:rPr>
      </w:pPr>
    </w:p>
    <w:p w14:paraId="727A2C52" w14:textId="77777777" w:rsidR="00754EA8" w:rsidRDefault="00754EA8" w:rsidP="00BE0EAA">
      <w:pPr>
        <w:rPr>
          <w:rFonts w:ascii="Arial" w:hAnsi="Arial" w:cs="Arial"/>
          <w:b/>
        </w:rPr>
      </w:pPr>
    </w:p>
    <w:p w14:paraId="2FE09D66" w14:textId="77777777" w:rsidR="002C1306" w:rsidRDefault="002C1306" w:rsidP="00BE0EAA">
      <w:pPr>
        <w:rPr>
          <w:rFonts w:ascii="Arial" w:hAnsi="Arial" w:cs="Arial"/>
          <w:b/>
        </w:rPr>
      </w:pPr>
    </w:p>
    <w:p w14:paraId="2C81A6DA" w14:textId="77777777" w:rsidR="002C1306" w:rsidRDefault="002C1306" w:rsidP="00BE0EAA">
      <w:pPr>
        <w:rPr>
          <w:rFonts w:ascii="Arial" w:hAnsi="Arial" w:cs="Arial"/>
          <w:b/>
        </w:rPr>
      </w:pPr>
    </w:p>
    <w:p w14:paraId="54032D6A" w14:textId="77777777" w:rsidR="00754EA8" w:rsidRPr="00020922" w:rsidRDefault="00754EA8" w:rsidP="00BE0EAA">
      <w:pPr>
        <w:rPr>
          <w:rFonts w:ascii="Arial" w:hAnsi="Arial" w:cs="Arial"/>
          <w:b/>
        </w:rPr>
      </w:pPr>
    </w:p>
    <w:p w14:paraId="69A79166" w14:textId="6B82D9BB" w:rsidR="00BE0EAA" w:rsidRPr="00BE0EAA" w:rsidRDefault="00571C89" w:rsidP="00BE0EAA">
      <w:pPr>
        <w:rPr>
          <w:rFonts w:ascii="Arial" w:hAnsi="Arial" w:cs="Arial"/>
          <w:b/>
        </w:rPr>
      </w:pPr>
      <w:r>
        <w:rPr>
          <w:rFonts w:ascii="Arial" w:hAnsi="Arial" w:cs="Arial"/>
          <w:b/>
        </w:rPr>
        <w:t xml:space="preserve">III. </w:t>
      </w:r>
      <w:r w:rsidR="00BE0EAA" w:rsidRPr="00BE0EAA">
        <w:rPr>
          <w:rFonts w:ascii="Arial" w:hAnsi="Arial" w:cs="Arial"/>
          <w:b/>
        </w:rPr>
        <w:t>Results</w:t>
      </w:r>
    </w:p>
    <w:p w14:paraId="00A315B9" w14:textId="62B5325F" w:rsidR="00BE0EAA" w:rsidRPr="00BE0EAA" w:rsidRDefault="00BE0EAA" w:rsidP="00BE0EAA">
      <w:pPr>
        <w:tabs>
          <w:tab w:val="left" w:pos="6246"/>
        </w:tabs>
        <w:jc w:val="both"/>
        <w:rPr>
          <w:rFonts w:ascii="Arial" w:hAnsi="Arial" w:cs="Arial"/>
        </w:rPr>
      </w:pPr>
      <w:r w:rsidRPr="00BE0EAA">
        <w:rPr>
          <w:rFonts w:ascii="Arial" w:hAnsi="Arial" w:cs="Arial"/>
          <w:noProof/>
          <w:lang w:eastAsia="en-PH"/>
        </w:rPr>
        <w:drawing>
          <wp:anchor distT="0" distB="0" distL="114300" distR="114300" simplePos="0" relativeHeight="251669504" behindDoc="0" locked="0" layoutInCell="1" allowOverlap="1" wp14:anchorId="3AAE4237" wp14:editId="701C8562">
            <wp:simplePos x="0" y="0"/>
            <wp:positionH relativeFrom="column">
              <wp:posOffset>121920</wp:posOffset>
            </wp:positionH>
            <wp:positionV relativeFrom="paragraph">
              <wp:posOffset>772160</wp:posOffset>
            </wp:positionV>
            <wp:extent cx="5486400" cy="2236470"/>
            <wp:effectExtent l="0" t="0" r="0" b="0"/>
            <wp:wrapSquare wrapText="bothSides"/>
            <wp:docPr id="14" name="Picture 2"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AI-generated content may be incorrect."/>
                    <pic:cNvPicPr>
                      <a:picLocks/>
                    </pic:cNvPicPr>
                  </pic:nvPicPr>
                  <pic:blipFill>
                    <a:blip r:embed="rId7">
                      <a:extLst>
                        <a:ext uri="{28A0092B-C50C-407E-A947-70E740481C1C}">
                          <a14:useLocalDpi xmlns:a14="http://schemas.microsoft.com/office/drawing/2010/main" val="0"/>
                        </a:ext>
                      </a:extLst>
                    </a:blip>
                    <a:srcRect l="33578" t="56104" r="32443" b="14038"/>
                    <a:stretch>
                      <a:fillRect/>
                    </a:stretch>
                  </pic:blipFill>
                  <pic:spPr bwMode="auto">
                    <a:xfrm>
                      <a:off x="0" y="0"/>
                      <a:ext cx="5486400"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C3E" w:rsidRPr="00BE0EAA">
        <w:rPr>
          <w:rFonts w:ascii="Arial" w:hAnsi="Arial" w:cs="Arial"/>
        </w:rPr>
        <w:t>Figure 1</w:t>
      </w:r>
      <w:r w:rsidRPr="00BE0EAA">
        <w:rPr>
          <w:rFonts w:ascii="Arial" w:hAnsi="Arial" w:cs="Arial"/>
        </w:rPr>
        <w:t xml:space="preserve"> shows the result for the test of Alkaloids. In figure A, it represents the root when the staining reagent was not yet added, while in figure B, it shows the result when it is already treated of the staining reagent. In test for alkaloids, the cell that </w:t>
      </w:r>
      <w:r w:rsidRPr="00BE0EAA">
        <w:rPr>
          <w:rFonts w:ascii="Arial" w:hAnsi="Arial" w:cs="Arial"/>
        </w:rPr>
        <w:lastRenderedPageBreak/>
        <w:t>shows a positive indication is in pith and endodermis.</w:t>
      </w:r>
    </w:p>
    <w:p w14:paraId="0B850272" w14:textId="77777777" w:rsidR="00BE0EAA" w:rsidRPr="00BE0EAA" w:rsidRDefault="00BE0EAA" w:rsidP="00BE0EAA">
      <w:pPr>
        <w:tabs>
          <w:tab w:val="left" w:pos="6246"/>
        </w:tabs>
        <w:jc w:val="both"/>
        <w:rPr>
          <w:rFonts w:ascii="Arial" w:hAnsi="Arial" w:cs="Arial"/>
          <w:b/>
        </w:rPr>
      </w:pPr>
      <w:r w:rsidRPr="00BE0EAA">
        <w:rPr>
          <w:rFonts w:ascii="Arial" w:hAnsi="Arial" w:cs="Arial"/>
          <w:noProof/>
          <w:lang w:eastAsia="en-PH"/>
        </w:rPr>
        <mc:AlternateContent>
          <mc:Choice Requires="wps">
            <w:drawing>
              <wp:anchor distT="0" distB="0" distL="114300" distR="114300" simplePos="0" relativeHeight="251665408" behindDoc="0" locked="0" layoutInCell="1" allowOverlap="1" wp14:anchorId="0BD9AACF" wp14:editId="6AC07DEE">
                <wp:simplePos x="0" y="0"/>
                <wp:positionH relativeFrom="column">
                  <wp:posOffset>2830286</wp:posOffset>
                </wp:positionH>
                <wp:positionV relativeFrom="paragraph">
                  <wp:posOffset>2367293</wp:posOffset>
                </wp:positionV>
                <wp:extent cx="3018790" cy="354563"/>
                <wp:effectExtent l="0" t="0" r="3810" b="1270"/>
                <wp:wrapNone/>
                <wp:docPr id="20283569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8790" cy="354563"/>
                        </a:xfrm>
                        <a:prstGeom prst="rect">
                          <a:avLst/>
                        </a:prstGeom>
                        <a:solidFill>
                          <a:sysClr val="window" lastClr="FFFFFF"/>
                        </a:solidFill>
                        <a:ln w="6350">
                          <a:noFill/>
                        </a:ln>
                        <a:effectLst/>
                      </wps:spPr>
                      <wps:txbx>
                        <w:txbxContent>
                          <w:p w14:paraId="76A76EB7" w14:textId="77777777" w:rsidR="00BE0EAA" w:rsidRPr="006976F6" w:rsidRDefault="00BE0EAA" w:rsidP="00BE0EAA">
                            <w:pPr>
                              <w:jc w:val="center"/>
                              <w:rPr>
                                <w:rFonts w:ascii="Arial" w:hAnsi="Arial" w:cs="Arial"/>
                              </w:rPr>
                            </w:pPr>
                            <w:r w:rsidRPr="006976F6">
                              <w:rPr>
                                <w:rFonts w:ascii="Arial" w:hAnsi="Arial" w:cs="Arial"/>
                              </w:rPr>
                              <w:t>B. Treated with staining reagent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9AACF" id="_x0000_t202" coordsize="21600,21600" o:spt="202" path="m,l,21600r21600,l21600,xe">
                <v:stroke joinstyle="miter"/>
                <v:path gradientshapeok="t" o:connecttype="rect"/>
              </v:shapetype>
              <v:shape id="Text Box 17" o:spid="_x0000_s1026" type="#_x0000_t202" style="position:absolute;left:0;text-align:left;margin-left:222.85pt;margin-top:186.4pt;width:237.7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" fillcolor="window" stroked="f" strokeweight=".5pt">
                <v:textbox>
                  <w:txbxContent>
                    <w:p w14:paraId="76A76EB7" w14:textId="77777777" w:rsidR="00BE0EAA" w:rsidRPr="006976F6" w:rsidRDefault="00BE0EAA" w:rsidP="00BE0EAA">
                      <w:pPr>
                        <w:jc w:val="center"/>
                        <w:rPr>
                          <w:rFonts w:ascii="Arial" w:hAnsi="Arial" w:cs="Arial"/>
                        </w:rPr>
                      </w:pPr>
                      <w:r w:rsidRPr="006976F6">
                        <w:rPr>
                          <w:rFonts w:ascii="Arial" w:hAnsi="Arial" w:cs="Arial"/>
                        </w:rPr>
                        <w:t>B. Treated with staining reagent</w:t>
                      </w:r>
                    </w:p>
                  </w:txbxContent>
                </v:textbox>
              </v:shape>
            </w:pict>
          </mc:Fallback>
        </mc:AlternateContent>
      </w:r>
      <w:r w:rsidRPr="00BE0EAA">
        <w:rPr>
          <w:rFonts w:ascii="Arial" w:hAnsi="Arial" w:cs="Arial"/>
          <w:noProof/>
          <w:lang w:eastAsia="en-PH"/>
        </w:rPr>
        <mc:AlternateContent>
          <mc:Choice Requires="wps">
            <w:drawing>
              <wp:anchor distT="0" distB="0" distL="114300" distR="114300" simplePos="0" relativeHeight="251664384" behindDoc="0" locked="0" layoutInCell="1" allowOverlap="1" wp14:anchorId="4D2017C3" wp14:editId="633C6DD4">
                <wp:simplePos x="0" y="0"/>
                <wp:positionH relativeFrom="column">
                  <wp:posOffset>160020</wp:posOffset>
                </wp:positionH>
                <wp:positionV relativeFrom="paragraph">
                  <wp:posOffset>2366645</wp:posOffset>
                </wp:positionV>
                <wp:extent cx="2751455" cy="508000"/>
                <wp:effectExtent l="0" t="0" r="0" b="0"/>
                <wp:wrapNone/>
                <wp:docPr id="2097953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1455" cy="508000"/>
                        </a:xfrm>
                        <a:prstGeom prst="rect">
                          <a:avLst/>
                        </a:prstGeom>
                        <a:solidFill>
                          <a:sysClr val="window" lastClr="FFFFFF"/>
                        </a:solidFill>
                        <a:ln w="6350">
                          <a:noFill/>
                        </a:ln>
                        <a:effectLst/>
                      </wps:spPr>
                      <wps:txbx>
                        <w:txbxContent>
                          <w:p w14:paraId="4F41F410" w14:textId="77777777" w:rsidR="00BE0EAA" w:rsidRPr="006976F6" w:rsidRDefault="00BE0EAA" w:rsidP="00BE0EAA">
                            <w:pPr>
                              <w:jc w:val="center"/>
                              <w:rPr>
                                <w:rFonts w:ascii="Arial" w:hAnsi="Arial" w:cs="Arial"/>
                              </w:rPr>
                            </w:pPr>
                            <w:r w:rsidRPr="006976F6">
                              <w:rPr>
                                <w:rFonts w:ascii="Arial" w:hAnsi="Arial" w:cs="Arial"/>
                              </w:rPr>
                              <w:t>A. Untreated with staining reagent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017C3" id="Text Box 15" o:spid="_x0000_s1027" type="#_x0000_t202" style="position:absolute;left:0;text-align:left;margin-left:12.6pt;margin-top:186.35pt;width:216.65pt;height: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" fillcolor="window" stroked="f" strokeweight=".5pt">
                <v:textbox>
                  <w:txbxContent>
                    <w:p w14:paraId="4F41F410" w14:textId="77777777" w:rsidR="00BE0EAA" w:rsidRPr="006976F6" w:rsidRDefault="00BE0EAA" w:rsidP="00BE0EAA">
                      <w:pPr>
                        <w:jc w:val="center"/>
                        <w:rPr>
                          <w:rFonts w:ascii="Arial" w:hAnsi="Arial" w:cs="Arial"/>
                        </w:rPr>
                      </w:pPr>
                      <w:r w:rsidRPr="006976F6">
                        <w:rPr>
                          <w:rFonts w:ascii="Arial" w:hAnsi="Arial" w:cs="Arial"/>
                        </w:rPr>
                        <w:t>A. Untreated with staining reagent</w:t>
                      </w:r>
                    </w:p>
                  </w:txbxContent>
                </v:textbox>
              </v:shape>
            </w:pict>
          </mc:Fallback>
        </mc:AlternateContent>
      </w:r>
    </w:p>
    <w:p w14:paraId="08BB97A6" w14:textId="77777777" w:rsidR="00BE0EAA" w:rsidRPr="00BE0EAA" w:rsidRDefault="00BE0EAA" w:rsidP="00BE0EAA">
      <w:pPr>
        <w:tabs>
          <w:tab w:val="left" w:pos="6246"/>
        </w:tabs>
        <w:jc w:val="center"/>
        <w:rPr>
          <w:rFonts w:ascii="Arial" w:hAnsi="Arial" w:cs="Arial"/>
          <w:b/>
        </w:rPr>
      </w:pPr>
    </w:p>
    <w:p w14:paraId="1FB57E2E" w14:textId="77777777" w:rsidR="00BE0EAA" w:rsidRPr="00BE0EAA" w:rsidRDefault="00BE0EAA" w:rsidP="00BE0EAA">
      <w:pPr>
        <w:tabs>
          <w:tab w:val="left" w:pos="6246"/>
        </w:tabs>
        <w:jc w:val="center"/>
        <w:rPr>
          <w:rFonts w:ascii="Arial" w:hAnsi="Arial" w:cs="Arial"/>
          <w:b/>
        </w:rPr>
      </w:pPr>
    </w:p>
    <w:p w14:paraId="095A599F" w14:textId="77777777" w:rsidR="000061F7" w:rsidRDefault="000061F7" w:rsidP="00BE0EAA">
      <w:pPr>
        <w:tabs>
          <w:tab w:val="left" w:pos="6246"/>
        </w:tabs>
        <w:jc w:val="center"/>
        <w:rPr>
          <w:rFonts w:ascii="Arial" w:hAnsi="Arial" w:cs="Arial"/>
          <w:b/>
        </w:rPr>
      </w:pPr>
    </w:p>
    <w:p w14:paraId="10B675C1" w14:textId="77777777" w:rsidR="00BE0EAA" w:rsidRPr="00BE0EAA" w:rsidRDefault="00BE0EAA" w:rsidP="00BE0EAA">
      <w:pPr>
        <w:tabs>
          <w:tab w:val="left" w:pos="6246"/>
        </w:tabs>
        <w:jc w:val="center"/>
        <w:rPr>
          <w:rFonts w:ascii="Arial" w:hAnsi="Arial" w:cs="Arial"/>
        </w:rPr>
      </w:pPr>
      <w:r w:rsidRPr="00BE0EAA">
        <w:rPr>
          <w:rFonts w:ascii="Arial" w:hAnsi="Arial" w:cs="Arial"/>
          <w:b/>
        </w:rPr>
        <w:t>Figure 1.</w:t>
      </w:r>
      <w:r w:rsidRPr="00BE0EAA">
        <w:rPr>
          <w:rFonts w:ascii="Arial" w:hAnsi="Arial" w:cs="Arial"/>
        </w:rPr>
        <w:t xml:space="preserve"> Test for Alkaloids</w:t>
      </w:r>
    </w:p>
    <w:p w14:paraId="42D03070" w14:textId="77777777" w:rsidR="00BE0EAA" w:rsidRPr="00BE0EAA" w:rsidRDefault="00BE0EAA" w:rsidP="00BE0EAA">
      <w:pPr>
        <w:tabs>
          <w:tab w:val="left" w:pos="6246"/>
        </w:tabs>
        <w:jc w:val="center"/>
        <w:rPr>
          <w:rFonts w:ascii="Arial" w:hAnsi="Arial" w:cs="Arial"/>
        </w:rPr>
      </w:pPr>
    </w:p>
    <w:p w14:paraId="46CE1ECF" w14:textId="68D87C11" w:rsidR="00E71E1A" w:rsidRDefault="00AD2C3E" w:rsidP="00BE0EAA">
      <w:pPr>
        <w:tabs>
          <w:tab w:val="left" w:pos="6246"/>
        </w:tabs>
        <w:jc w:val="both"/>
        <w:rPr>
          <w:rFonts w:ascii="Arial" w:hAnsi="Arial" w:cs="Arial"/>
        </w:rPr>
      </w:pPr>
      <w:r w:rsidRPr="00BE0EAA">
        <w:rPr>
          <w:rFonts w:ascii="Arial" w:hAnsi="Arial" w:cs="Arial"/>
        </w:rPr>
        <w:t>Figure 2</w:t>
      </w:r>
      <w:r w:rsidR="00BE0EAA" w:rsidRPr="00BE0EAA">
        <w:rPr>
          <w:rFonts w:ascii="Arial" w:hAnsi="Arial" w:cs="Arial"/>
        </w:rPr>
        <w:t xml:space="preserve"> shows the result for the test of steroids. In figure A, it shows when there is no staining reagent added, while in figure B, it shows the result when a sample was treated with suitable staining reagent. The result indicated that ster</w:t>
      </w:r>
      <w:r w:rsidR="00754EA8">
        <w:rPr>
          <w:rFonts w:ascii="Arial" w:hAnsi="Arial" w:cs="Arial"/>
        </w:rPr>
        <w:t xml:space="preserve">oids are present in root </w:t>
      </w:r>
      <w:r w:rsidR="001F7171">
        <w:rPr>
          <w:rFonts w:ascii="Arial" w:hAnsi="Arial" w:cs="Arial"/>
        </w:rPr>
        <w:t xml:space="preserve">tissue of </w:t>
      </w:r>
      <w:r w:rsidR="001F7171" w:rsidRPr="001F7171">
        <w:rPr>
          <w:rFonts w:ascii="Arial" w:hAnsi="Arial" w:cs="Arial"/>
          <w:i/>
          <w:lang w:val="en-GB"/>
        </w:rPr>
        <w:t xml:space="preserve">Salacia </w:t>
      </w:r>
      <w:proofErr w:type="spellStart"/>
      <w:r w:rsidR="001F7171" w:rsidRPr="001F7171">
        <w:rPr>
          <w:rFonts w:ascii="Arial" w:hAnsi="Arial" w:cs="Arial"/>
          <w:i/>
          <w:lang w:val="en-GB"/>
        </w:rPr>
        <w:t>korthalsiana</w:t>
      </w:r>
      <w:proofErr w:type="spellEnd"/>
      <w:r w:rsidR="001F7171" w:rsidRPr="001F7171">
        <w:rPr>
          <w:rFonts w:ascii="Arial" w:hAnsi="Arial" w:cs="Arial"/>
          <w:i/>
          <w:lang w:val="en-GB"/>
        </w:rPr>
        <w:t xml:space="preserve"> </w:t>
      </w:r>
      <w:proofErr w:type="spellStart"/>
      <w:r w:rsidR="001F7171" w:rsidRPr="001F7171">
        <w:rPr>
          <w:rFonts w:ascii="Arial" w:hAnsi="Arial" w:cs="Arial"/>
          <w:i/>
          <w:lang w:val="en-GB"/>
        </w:rPr>
        <w:t>Miq</w:t>
      </w:r>
      <w:proofErr w:type="spellEnd"/>
      <w:r w:rsidR="001F7171">
        <w:rPr>
          <w:b/>
          <w:sz w:val="20"/>
          <w:szCs w:val="28"/>
          <w:lang w:val="en-GB"/>
        </w:rPr>
        <w:t>.</w:t>
      </w:r>
      <w:r w:rsidR="00BE0EAA" w:rsidRPr="00BE0EAA">
        <w:rPr>
          <w:rFonts w:ascii="Arial" w:hAnsi="Arial" w:cs="Arial"/>
        </w:rPr>
        <w:t xml:space="preserve">, which is in </w:t>
      </w:r>
      <w:r w:rsidRPr="00BE0EAA">
        <w:rPr>
          <w:rFonts w:ascii="Arial" w:hAnsi="Arial" w:cs="Arial"/>
        </w:rPr>
        <w:t>the</w:t>
      </w:r>
      <w:r w:rsidR="00BE0EAA" w:rsidRPr="00BE0EAA">
        <w:rPr>
          <w:rFonts w:ascii="Arial" w:hAnsi="Arial" w:cs="Arial"/>
        </w:rPr>
        <w:t xml:space="preserve"> endodermis, pith and phloem.</w:t>
      </w:r>
    </w:p>
    <w:p w14:paraId="47DF072D" w14:textId="6E3372F5" w:rsidR="00BE0EAA" w:rsidRPr="00BE0EAA" w:rsidRDefault="00BE0EAA" w:rsidP="00BE0EAA">
      <w:pPr>
        <w:tabs>
          <w:tab w:val="left" w:pos="6246"/>
        </w:tabs>
        <w:jc w:val="both"/>
        <w:rPr>
          <w:rFonts w:ascii="Arial" w:hAnsi="Arial" w:cs="Arial"/>
        </w:rPr>
      </w:pPr>
      <w:r w:rsidRPr="00BE0EAA">
        <w:rPr>
          <w:rFonts w:ascii="Arial" w:hAnsi="Arial" w:cs="Arial"/>
        </w:rPr>
        <w:tab/>
      </w:r>
    </w:p>
    <w:p w14:paraId="1AB6E2EE" w14:textId="09FFB3D1" w:rsidR="004E322C" w:rsidRDefault="004E322C" w:rsidP="00BE0EAA">
      <w:pPr>
        <w:tabs>
          <w:tab w:val="left" w:pos="6246"/>
        </w:tabs>
        <w:jc w:val="both"/>
        <w:rPr>
          <w:rFonts w:ascii="Arial" w:hAnsi="Arial" w:cs="Arial"/>
        </w:rPr>
      </w:pPr>
      <w:r w:rsidRPr="00BE0EAA">
        <w:rPr>
          <w:rFonts w:ascii="Arial" w:hAnsi="Arial" w:cs="Arial"/>
          <w:noProof/>
          <w:lang w:eastAsia="en-PH"/>
        </w:rPr>
        <w:drawing>
          <wp:anchor distT="0" distB="0" distL="114300" distR="114300" simplePos="0" relativeHeight="251663360" behindDoc="0" locked="0" layoutInCell="1" allowOverlap="1" wp14:anchorId="204E3DA0" wp14:editId="0FC10A6A">
            <wp:simplePos x="0" y="0"/>
            <wp:positionH relativeFrom="margin">
              <wp:posOffset>6350</wp:posOffset>
            </wp:positionH>
            <wp:positionV relativeFrom="paragraph">
              <wp:posOffset>508000</wp:posOffset>
            </wp:positionV>
            <wp:extent cx="5530215" cy="2635250"/>
            <wp:effectExtent l="0" t="0" r="0" b="0"/>
            <wp:wrapThrough wrapText="bothSides">
              <wp:wrapPolygon edited="0">
                <wp:start x="0" y="0"/>
                <wp:lineTo x="0" y="21392"/>
                <wp:lineTo x="21503" y="21392"/>
                <wp:lineTo x="21503" y="0"/>
                <wp:lineTo x="0" y="0"/>
              </wp:wrapPolygon>
            </wp:wrapThrough>
            <wp:docPr id="11" name="Picture 53"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3" descr="A screenshot of a computer&#10;&#10;AI-generated content may be incorrect."/>
                    <pic:cNvPicPr>
                      <a:picLocks/>
                    </pic:cNvPicPr>
                  </pic:nvPicPr>
                  <pic:blipFill>
                    <a:blip r:embed="rId8">
                      <a:extLst>
                        <a:ext uri="{28A0092B-C50C-407E-A947-70E740481C1C}">
                          <a14:useLocalDpi xmlns:a14="http://schemas.microsoft.com/office/drawing/2010/main" val="0"/>
                        </a:ext>
                      </a:extLst>
                    </a:blip>
                    <a:srcRect l="33768" t="46686" r="31868" b="26788"/>
                    <a:stretch>
                      <a:fillRect/>
                    </a:stretch>
                  </pic:blipFill>
                  <pic:spPr bwMode="auto">
                    <a:xfrm>
                      <a:off x="0" y="0"/>
                      <a:ext cx="5530215" cy="263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C3E" w:rsidRPr="00BE0EAA">
        <w:rPr>
          <w:rFonts w:ascii="Arial" w:hAnsi="Arial" w:cs="Arial"/>
          <w:noProof/>
          <w:lang w:eastAsia="en-PH"/>
        </w:rPr>
        <mc:AlternateContent>
          <mc:Choice Requires="wps">
            <w:drawing>
              <wp:anchor distT="0" distB="0" distL="114300" distR="114300" simplePos="0" relativeHeight="251668480" behindDoc="0" locked="0" layoutInCell="1" allowOverlap="1" wp14:anchorId="6EDD3886" wp14:editId="0C845055">
                <wp:simplePos x="0" y="0"/>
                <wp:positionH relativeFrom="column">
                  <wp:posOffset>2840990</wp:posOffset>
                </wp:positionH>
                <wp:positionV relativeFrom="paragraph">
                  <wp:posOffset>3154408</wp:posOffset>
                </wp:positionV>
                <wp:extent cx="2806700" cy="350520"/>
                <wp:effectExtent l="0" t="0" r="0" b="0"/>
                <wp:wrapNone/>
                <wp:docPr id="9295480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350520"/>
                        </a:xfrm>
                        <a:prstGeom prst="rect">
                          <a:avLst/>
                        </a:prstGeom>
                        <a:solidFill>
                          <a:sysClr val="window" lastClr="FFFFFF"/>
                        </a:solidFill>
                        <a:ln w="6350">
                          <a:noFill/>
                        </a:ln>
                        <a:effectLst/>
                      </wps:spPr>
                      <wps:txbx>
                        <w:txbxContent>
                          <w:p w14:paraId="1C8105AF" w14:textId="77777777" w:rsidR="00BE0EAA" w:rsidRPr="007C4906" w:rsidRDefault="00BE0EAA" w:rsidP="00BE0EAA">
                            <w:pPr>
                              <w:jc w:val="center"/>
                              <w:rPr>
                                <w:rFonts w:ascii="Arial" w:hAnsi="Arial" w:cs="Arial"/>
                              </w:rPr>
                            </w:pPr>
                            <w:r>
                              <w:rPr>
                                <w:rFonts w:ascii="Arial" w:hAnsi="Arial" w:cs="Arial"/>
                              </w:rPr>
                              <w:t>B</w:t>
                            </w:r>
                            <w:r w:rsidRPr="007C4906">
                              <w:rPr>
                                <w:rFonts w:ascii="Arial" w:hAnsi="Arial" w:cs="Arial"/>
                              </w:rPr>
                              <w:t>. Treated with staining reagent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D3886" id="Text Box 9" o:spid="_x0000_s1028" type="#_x0000_t202" style="position:absolute;left:0;text-align:left;margin-left:223.7pt;margin-top:248.4pt;width:221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" fillcolor="window" stroked="f" strokeweight=".5pt">
                <v:textbox>
                  <w:txbxContent>
                    <w:p w14:paraId="1C8105AF" w14:textId="77777777" w:rsidR="00BE0EAA" w:rsidRPr="007C4906" w:rsidRDefault="00BE0EAA" w:rsidP="00BE0EAA">
                      <w:pPr>
                        <w:jc w:val="center"/>
                        <w:rPr>
                          <w:rFonts w:ascii="Arial" w:hAnsi="Arial" w:cs="Arial"/>
                        </w:rPr>
                      </w:pPr>
                      <w:r>
                        <w:rPr>
                          <w:rFonts w:ascii="Arial" w:hAnsi="Arial" w:cs="Arial"/>
                        </w:rPr>
                        <w:t>B</w:t>
                      </w:r>
                      <w:r w:rsidRPr="007C4906">
                        <w:rPr>
                          <w:rFonts w:ascii="Arial" w:hAnsi="Arial" w:cs="Arial"/>
                        </w:rPr>
                        <w:t>. Treated with staining reagent</w:t>
                      </w:r>
                    </w:p>
                  </w:txbxContent>
                </v:textbox>
              </v:shape>
            </w:pict>
          </mc:Fallback>
        </mc:AlternateContent>
      </w:r>
      <w:r w:rsidR="00AD2C3E" w:rsidRPr="00BE0EAA">
        <w:rPr>
          <w:rFonts w:ascii="Arial" w:hAnsi="Arial" w:cs="Arial"/>
          <w:noProof/>
          <w:lang w:eastAsia="en-PH"/>
        </w:rPr>
        <mc:AlternateContent>
          <mc:Choice Requires="wps">
            <w:drawing>
              <wp:anchor distT="0" distB="0" distL="114300" distR="114300" simplePos="0" relativeHeight="251667456" behindDoc="0" locked="0" layoutInCell="1" allowOverlap="1" wp14:anchorId="0270CBAB" wp14:editId="7814D4A8">
                <wp:simplePos x="0" y="0"/>
                <wp:positionH relativeFrom="column">
                  <wp:posOffset>-14695</wp:posOffset>
                </wp:positionH>
                <wp:positionV relativeFrom="paragraph">
                  <wp:posOffset>3144701</wp:posOffset>
                </wp:positionV>
                <wp:extent cx="2806700" cy="358775"/>
                <wp:effectExtent l="0" t="0" r="0" b="0"/>
                <wp:wrapNone/>
                <wp:docPr id="634710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358775"/>
                        </a:xfrm>
                        <a:prstGeom prst="rect">
                          <a:avLst/>
                        </a:prstGeom>
                        <a:solidFill>
                          <a:sysClr val="window" lastClr="FFFFFF"/>
                        </a:solidFill>
                        <a:ln w="6350">
                          <a:noFill/>
                        </a:ln>
                        <a:effectLst/>
                      </wps:spPr>
                      <wps:txbx>
                        <w:txbxContent>
                          <w:p w14:paraId="1FBD2399" w14:textId="77777777" w:rsidR="00BE0EAA" w:rsidRPr="007C4906" w:rsidRDefault="00BE0EAA" w:rsidP="00BE0EAA">
                            <w:pPr>
                              <w:jc w:val="center"/>
                              <w:rPr>
                                <w:rFonts w:ascii="Arial" w:hAnsi="Arial" w:cs="Arial"/>
                              </w:rPr>
                            </w:pPr>
                            <w:r w:rsidRPr="007C4906">
                              <w:rPr>
                                <w:rFonts w:ascii="Arial" w:hAnsi="Arial" w:cs="Arial"/>
                              </w:rPr>
                              <w:t>A. Untreated with staining reagent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CBAB" id="Text Box 7" o:spid="_x0000_s1029" type="#_x0000_t202" style="position:absolute;left:0;text-align:left;margin-left:-1.15pt;margin-top:247.6pt;width:221pt;height:2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" fillcolor="window" stroked="f" strokeweight=".5pt">
                <v:textbox>
                  <w:txbxContent>
                    <w:p w14:paraId="1FBD2399" w14:textId="77777777" w:rsidR="00BE0EAA" w:rsidRPr="007C4906" w:rsidRDefault="00BE0EAA" w:rsidP="00BE0EAA">
                      <w:pPr>
                        <w:jc w:val="center"/>
                        <w:rPr>
                          <w:rFonts w:ascii="Arial" w:hAnsi="Arial" w:cs="Arial"/>
                        </w:rPr>
                      </w:pPr>
                      <w:r w:rsidRPr="007C4906">
                        <w:rPr>
                          <w:rFonts w:ascii="Arial" w:hAnsi="Arial" w:cs="Arial"/>
                        </w:rPr>
                        <w:t>A. Untreated with staining reagent</w:t>
                      </w:r>
                    </w:p>
                  </w:txbxContent>
                </v:textbox>
              </v:shape>
            </w:pict>
          </mc:Fallback>
        </mc:AlternateContent>
      </w:r>
    </w:p>
    <w:p w14:paraId="31A1FD1E" w14:textId="77777777" w:rsidR="00E473B4" w:rsidRPr="00BE0EAA" w:rsidRDefault="00E473B4" w:rsidP="00BE0EAA">
      <w:pPr>
        <w:tabs>
          <w:tab w:val="left" w:pos="6246"/>
        </w:tabs>
        <w:jc w:val="both"/>
        <w:rPr>
          <w:rFonts w:ascii="Arial" w:hAnsi="Arial" w:cs="Arial"/>
        </w:rPr>
      </w:pPr>
    </w:p>
    <w:p w14:paraId="27B6895F" w14:textId="648B6D04" w:rsidR="00BE0EAA" w:rsidRPr="00BE0EAA" w:rsidRDefault="00BE0EAA" w:rsidP="00BE0EAA">
      <w:pPr>
        <w:tabs>
          <w:tab w:val="left" w:pos="6246"/>
        </w:tabs>
        <w:jc w:val="center"/>
        <w:rPr>
          <w:rFonts w:ascii="Arial" w:hAnsi="Arial" w:cs="Arial"/>
          <w:b/>
        </w:rPr>
      </w:pPr>
    </w:p>
    <w:p w14:paraId="0D10BC55" w14:textId="77777777" w:rsidR="004E322C" w:rsidRDefault="004E322C" w:rsidP="00BE0EAA">
      <w:pPr>
        <w:tabs>
          <w:tab w:val="left" w:pos="6246"/>
        </w:tabs>
        <w:jc w:val="center"/>
        <w:rPr>
          <w:rFonts w:ascii="Arial" w:hAnsi="Arial" w:cs="Arial"/>
          <w:b/>
        </w:rPr>
      </w:pPr>
    </w:p>
    <w:p w14:paraId="54F4F30C" w14:textId="77777777" w:rsidR="00E473B4" w:rsidRDefault="00BE0EAA" w:rsidP="00E473B4">
      <w:pPr>
        <w:tabs>
          <w:tab w:val="left" w:pos="6246"/>
        </w:tabs>
        <w:jc w:val="center"/>
        <w:rPr>
          <w:rFonts w:ascii="Arial" w:hAnsi="Arial" w:cs="Arial"/>
        </w:rPr>
      </w:pPr>
      <w:r w:rsidRPr="00BE0EAA">
        <w:rPr>
          <w:rFonts w:ascii="Arial" w:hAnsi="Arial" w:cs="Arial"/>
          <w:b/>
        </w:rPr>
        <w:t>Figure 2.</w:t>
      </w:r>
      <w:r w:rsidRPr="00BE0EAA">
        <w:rPr>
          <w:rFonts w:ascii="Arial" w:hAnsi="Arial" w:cs="Arial"/>
        </w:rPr>
        <w:t xml:space="preserve"> Test for Steroids</w:t>
      </w:r>
    </w:p>
    <w:p w14:paraId="79D059DE" w14:textId="76FF6D7B" w:rsidR="00AD2C3E" w:rsidRDefault="00AD2C3E" w:rsidP="001C3C5A">
      <w:pPr>
        <w:tabs>
          <w:tab w:val="left" w:pos="6246"/>
        </w:tabs>
        <w:jc w:val="both"/>
        <w:rPr>
          <w:rFonts w:ascii="Arial" w:hAnsi="Arial" w:cs="Arial"/>
        </w:rPr>
      </w:pPr>
      <w:r w:rsidRPr="00BE0EAA">
        <w:rPr>
          <w:rFonts w:ascii="Arial" w:hAnsi="Arial" w:cs="Arial"/>
        </w:rPr>
        <w:t>Figure 3</w:t>
      </w:r>
      <w:r w:rsidR="00BE0EAA" w:rsidRPr="00BE0EAA">
        <w:rPr>
          <w:rFonts w:ascii="Arial" w:hAnsi="Arial" w:cs="Arial"/>
        </w:rPr>
        <w:t xml:space="preserve"> shows the result for the test of tannin. In figure A, it shows the picture of the roots sample without the staining reagent, while in figure B, it shows when a root sample was already treated with staining reagent. In plate B, it is indicated that in cortex, endodermis, phloem, pith and pericycle where the tannin was observed.  </w:t>
      </w:r>
    </w:p>
    <w:p w14:paraId="37AF62BD" w14:textId="77777777" w:rsidR="00AD2C3E" w:rsidRDefault="00AD2C3E" w:rsidP="00BE0EAA">
      <w:pPr>
        <w:tabs>
          <w:tab w:val="left" w:pos="6246"/>
          <w:tab w:val="left" w:pos="7836"/>
        </w:tabs>
        <w:jc w:val="both"/>
        <w:rPr>
          <w:rFonts w:ascii="Arial" w:hAnsi="Arial" w:cs="Arial"/>
        </w:rPr>
      </w:pPr>
    </w:p>
    <w:p w14:paraId="031D0BF9" w14:textId="16D21B52" w:rsidR="00BE0EAA" w:rsidRPr="001C3C5A" w:rsidRDefault="00AD2C3E" w:rsidP="00E02EE8">
      <w:pPr>
        <w:tabs>
          <w:tab w:val="left" w:pos="6246"/>
          <w:tab w:val="left" w:pos="7836"/>
        </w:tabs>
        <w:rPr>
          <w:rFonts w:ascii="Arial" w:hAnsi="Arial" w:cs="Arial"/>
        </w:rPr>
      </w:pPr>
      <w:r w:rsidRPr="00BE0EAA">
        <w:rPr>
          <w:rFonts w:ascii="Arial" w:hAnsi="Arial" w:cs="Arial"/>
          <w:noProof/>
          <w:lang w:eastAsia="en-PH"/>
        </w:rPr>
        <w:lastRenderedPageBreak/>
        <mc:AlternateContent>
          <mc:Choice Requires="wps">
            <w:drawing>
              <wp:anchor distT="45720" distB="45720" distL="114300" distR="114300" simplePos="0" relativeHeight="251670528" behindDoc="0" locked="0" layoutInCell="1" allowOverlap="1" wp14:anchorId="7AD7BEE9" wp14:editId="43474E79">
                <wp:simplePos x="0" y="0"/>
                <wp:positionH relativeFrom="margin">
                  <wp:posOffset>15875</wp:posOffset>
                </wp:positionH>
                <wp:positionV relativeFrom="paragraph">
                  <wp:posOffset>3609975</wp:posOffset>
                </wp:positionV>
                <wp:extent cx="3426460" cy="315595"/>
                <wp:effectExtent l="0" t="0" r="15240" b="14605"/>
                <wp:wrapSquare wrapText="bothSides"/>
                <wp:docPr id="11664442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6460" cy="315595"/>
                        </a:xfrm>
                        <a:prstGeom prst="rect">
                          <a:avLst/>
                        </a:prstGeom>
                        <a:solidFill>
                          <a:srgbClr val="FFFFFF"/>
                        </a:solidFill>
                        <a:ln w="9525">
                          <a:solidFill>
                            <a:sysClr val="window" lastClr="FFFFFF"/>
                          </a:solidFill>
                          <a:miter lim="800000"/>
                          <a:headEnd/>
                          <a:tailEnd/>
                        </a:ln>
                      </wps:spPr>
                      <wps:txbx>
                        <w:txbxContent>
                          <w:p w14:paraId="709F16AE" w14:textId="77777777" w:rsidR="00BE0EAA" w:rsidRPr="007C4906" w:rsidRDefault="00BE0EAA" w:rsidP="00BE0EAA">
                            <w:pPr>
                              <w:pStyle w:val="ListParagraph"/>
                              <w:numPr>
                                <w:ilvl w:val="0"/>
                                <w:numId w:val="1"/>
                              </w:numPr>
                              <w:spacing w:after="160" w:line="259" w:lineRule="auto"/>
                              <w:contextualSpacing w:val="0"/>
                              <w:rPr>
                                <w:rFonts w:ascii="Arial" w:hAnsi="Arial" w:cs="Arial"/>
                                <w:szCs w:val="24"/>
                              </w:rPr>
                            </w:pPr>
                            <w:r w:rsidRPr="007C4906">
                              <w:rPr>
                                <w:rFonts w:ascii="Arial" w:hAnsi="Arial" w:cs="Arial"/>
                                <w:szCs w:val="24"/>
                              </w:rPr>
                              <w:t>Untreated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7BEE9" id="Text Box 5" o:spid="_x0000_s1030" type="#_x0000_t202" style="position:absolute;margin-left:1.25pt;margin-top:284.25pt;width:269.8pt;height:24.8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" strokecolor="window">
                <v:path arrowok="t"/>
                <v:textbox>
                  <w:txbxContent>
                    <w:p w14:paraId="709F16AE" w14:textId="77777777" w:rsidR="00BE0EAA" w:rsidRPr="007C4906" w:rsidRDefault="00BE0EAA" w:rsidP="00BE0EAA">
                      <w:pPr>
                        <w:pStyle w:val="ListParagraph"/>
                        <w:numPr>
                          <w:ilvl w:val="0"/>
                          <w:numId w:val="1"/>
                        </w:numPr>
                        <w:spacing w:after="160" w:line="259" w:lineRule="auto"/>
                        <w:contextualSpacing w:val="0"/>
                        <w:rPr>
                          <w:rFonts w:ascii="Arial" w:hAnsi="Arial" w:cs="Arial"/>
                          <w:szCs w:val="24"/>
                        </w:rPr>
                      </w:pPr>
                      <w:r w:rsidRPr="007C4906">
                        <w:rPr>
                          <w:rFonts w:ascii="Arial" w:hAnsi="Arial" w:cs="Arial"/>
                          <w:szCs w:val="24"/>
                        </w:rPr>
                        <w:t>Untreated with staining reagent</w:t>
                      </w:r>
                    </w:p>
                  </w:txbxContent>
                </v:textbox>
                <w10:wrap type="square" anchorx="margin"/>
              </v:shape>
            </w:pict>
          </mc:Fallback>
        </mc:AlternateContent>
      </w:r>
      <w:r w:rsidRPr="00BE0EAA">
        <w:rPr>
          <w:rFonts w:ascii="Arial" w:hAnsi="Arial" w:cs="Arial"/>
          <w:noProof/>
          <w:lang w:eastAsia="en-PH"/>
        </w:rPr>
        <mc:AlternateContent>
          <mc:Choice Requires="wps">
            <w:drawing>
              <wp:anchor distT="45720" distB="45720" distL="114300" distR="114300" simplePos="0" relativeHeight="251671552" behindDoc="0" locked="0" layoutInCell="1" allowOverlap="1" wp14:anchorId="13019D58" wp14:editId="02E5C1C5">
                <wp:simplePos x="0" y="0"/>
                <wp:positionH relativeFrom="margin">
                  <wp:posOffset>2833370</wp:posOffset>
                </wp:positionH>
                <wp:positionV relativeFrom="paragraph">
                  <wp:posOffset>3610338</wp:posOffset>
                </wp:positionV>
                <wp:extent cx="2571750" cy="315595"/>
                <wp:effectExtent l="0" t="0" r="6350" b="1905"/>
                <wp:wrapSquare wrapText="bothSides"/>
                <wp:docPr id="3172852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0" cy="315595"/>
                        </a:xfrm>
                        <a:prstGeom prst="rect">
                          <a:avLst/>
                        </a:prstGeom>
                        <a:solidFill>
                          <a:srgbClr val="FFFFFF"/>
                        </a:solidFill>
                        <a:ln w="9525">
                          <a:solidFill>
                            <a:sysClr val="window" lastClr="FFFFFF"/>
                          </a:solidFill>
                          <a:miter lim="800000"/>
                          <a:headEnd/>
                          <a:tailEnd/>
                        </a:ln>
                      </wps:spPr>
                      <wps:txbx>
                        <w:txbxContent>
                          <w:p w14:paraId="0FD0DB0D" w14:textId="77777777" w:rsidR="00BE0EAA" w:rsidRPr="007C4906" w:rsidRDefault="00BE0EAA" w:rsidP="00BE0EAA">
                            <w:pPr>
                              <w:pStyle w:val="ListParagraph"/>
                              <w:numPr>
                                <w:ilvl w:val="0"/>
                                <w:numId w:val="2"/>
                              </w:numPr>
                              <w:spacing w:after="160" w:line="259" w:lineRule="auto"/>
                              <w:contextualSpacing w:val="0"/>
                              <w:rPr>
                                <w:rFonts w:ascii="Arial" w:hAnsi="Arial" w:cs="Arial"/>
                                <w:szCs w:val="24"/>
                              </w:rPr>
                            </w:pPr>
                            <w:r w:rsidRPr="007C4906">
                              <w:rPr>
                                <w:rFonts w:ascii="Arial" w:hAnsi="Arial" w:cs="Arial"/>
                                <w:szCs w:val="24"/>
                              </w:rPr>
                              <w:t>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19D58" id="Text Box 3" o:spid="_x0000_s1031" type="#_x0000_t202" style="position:absolute;margin-left:223.1pt;margin-top:284.3pt;width:202.5pt;height:24.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" strokecolor="window">
                <v:path arrowok="t"/>
                <v:textbox>
                  <w:txbxContent>
                    <w:p w14:paraId="0FD0DB0D" w14:textId="77777777" w:rsidR="00BE0EAA" w:rsidRPr="007C4906" w:rsidRDefault="00BE0EAA" w:rsidP="00BE0EAA">
                      <w:pPr>
                        <w:pStyle w:val="ListParagraph"/>
                        <w:numPr>
                          <w:ilvl w:val="0"/>
                          <w:numId w:val="2"/>
                        </w:numPr>
                        <w:spacing w:after="160" w:line="259" w:lineRule="auto"/>
                        <w:contextualSpacing w:val="0"/>
                        <w:rPr>
                          <w:rFonts w:ascii="Arial" w:hAnsi="Arial" w:cs="Arial"/>
                          <w:szCs w:val="24"/>
                        </w:rPr>
                      </w:pPr>
                      <w:r w:rsidRPr="007C4906">
                        <w:rPr>
                          <w:rFonts w:ascii="Arial" w:hAnsi="Arial" w:cs="Arial"/>
                          <w:szCs w:val="24"/>
                        </w:rPr>
                        <w:t>Treated with staining reagent</w:t>
                      </w:r>
                    </w:p>
                  </w:txbxContent>
                </v:textbox>
                <w10:wrap type="square" anchorx="margin"/>
              </v:shape>
            </w:pict>
          </mc:Fallback>
        </mc:AlternateContent>
      </w:r>
      <w:r w:rsidR="00BE0EAA" w:rsidRPr="00BE0EAA">
        <w:rPr>
          <w:rFonts w:ascii="Arial" w:hAnsi="Arial" w:cs="Arial"/>
          <w:noProof/>
          <w:lang w:eastAsia="en-PH"/>
        </w:rPr>
        <w:drawing>
          <wp:anchor distT="0" distB="0" distL="114300" distR="114300" simplePos="0" relativeHeight="251666432" behindDoc="0" locked="0" layoutInCell="1" allowOverlap="1" wp14:anchorId="4B7D4407" wp14:editId="73144F1C">
            <wp:simplePos x="0" y="0"/>
            <wp:positionH relativeFrom="margin">
              <wp:posOffset>-47625</wp:posOffset>
            </wp:positionH>
            <wp:positionV relativeFrom="paragraph">
              <wp:posOffset>107315</wp:posOffset>
            </wp:positionV>
            <wp:extent cx="5549265" cy="3279140"/>
            <wp:effectExtent l="0" t="0" r="0" b="0"/>
            <wp:wrapThrough wrapText="bothSides">
              <wp:wrapPolygon edited="0">
                <wp:start x="0" y="0"/>
                <wp:lineTo x="0" y="21500"/>
                <wp:lineTo x="21553" y="21500"/>
                <wp:lineTo x="21553" y="0"/>
                <wp:lineTo x="0" y="0"/>
              </wp:wrapPolygon>
            </wp:wrapThrough>
            <wp:docPr id="6" name="Picture 9"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9" descr="A screenshot of a computer&#10;&#10;AI-generated content may be incorrect."/>
                    <pic:cNvPicPr>
                      <a:picLocks/>
                    </pic:cNvPicPr>
                  </pic:nvPicPr>
                  <pic:blipFill>
                    <a:blip r:embed="rId9">
                      <a:extLst>
                        <a:ext uri="{28A0092B-C50C-407E-A947-70E740481C1C}">
                          <a14:useLocalDpi xmlns:a14="http://schemas.microsoft.com/office/drawing/2010/main" val="0"/>
                        </a:ext>
                      </a:extLst>
                    </a:blip>
                    <a:srcRect l="33376" t="37798" r="32317" b="26414"/>
                    <a:stretch>
                      <a:fillRect/>
                    </a:stretch>
                  </pic:blipFill>
                  <pic:spPr bwMode="auto">
                    <a:xfrm>
                      <a:off x="0" y="0"/>
                      <a:ext cx="5549265" cy="327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C2895" w14:textId="2E0C9D29" w:rsidR="00CC7D4E" w:rsidRPr="00BE0EAA" w:rsidRDefault="00CC7D4E" w:rsidP="00CC7D4E">
      <w:pPr>
        <w:tabs>
          <w:tab w:val="left" w:pos="6246"/>
        </w:tabs>
        <w:jc w:val="both"/>
        <w:rPr>
          <w:rFonts w:ascii="Arial" w:hAnsi="Arial" w:cs="Arial"/>
          <w:b/>
        </w:rPr>
      </w:pPr>
      <w:r>
        <w:rPr>
          <w:rFonts w:ascii="Arial" w:hAnsi="Arial" w:cs="Arial"/>
          <w:b/>
        </w:rPr>
        <w:t>Figure 3</w:t>
      </w:r>
      <w:r w:rsidRPr="00BE0EAA">
        <w:rPr>
          <w:rFonts w:ascii="Arial" w:hAnsi="Arial" w:cs="Arial"/>
          <w:b/>
        </w:rPr>
        <w:t>.</w:t>
      </w:r>
      <w:r>
        <w:rPr>
          <w:rFonts w:ascii="Arial" w:hAnsi="Arial" w:cs="Arial"/>
        </w:rPr>
        <w:t xml:space="preserve"> Test for Tannins</w:t>
      </w:r>
    </w:p>
    <w:p w14:paraId="0C611465" w14:textId="77777777" w:rsidR="00BE0EAA" w:rsidRPr="00BE0EAA" w:rsidRDefault="00BE0EAA" w:rsidP="00BE0EAA">
      <w:pPr>
        <w:tabs>
          <w:tab w:val="left" w:pos="6246"/>
          <w:tab w:val="left" w:pos="7836"/>
        </w:tabs>
        <w:jc w:val="both"/>
        <w:rPr>
          <w:rFonts w:ascii="Arial" w:hAnsi="Arial" w:cs="Arial"/>
          <w:b/>
        </w:rPr>
      </w:pPr>
    </w:p>
    <w:p w14:paraId="03581E5F" w14:textId="77777777" w:rsidR="00BE0EAA" w:rsidRPr="00BE0EAA" w:rsidRDefault="00BE0EAA" w:rsidP="00BE0EAA">
      <w:pPr>
        <w:tabs>
          <w:tab w:val="left" w:pos="6246"/>
        </w:tabs>
        <w:jc w:val="both"/>
        <w:rPr>
          <w:rFonts w:ascii="Arial" w:hAnsi="Arial" w:cs="Arial"/>
        </w:rPr>
      </w:pPr>
    </w:p>
    <w:p w14:paraId="01411DD4" w14:textId="77777777" w:rsidR="00BE0EAA" w:rsidRPr="00BE0EAA" w:rsidRDefault="00BE0EAA" w:rsidP="00BE0EAA">
      <w:pPr>
        <w:tabs>
          <w:tab w:val="left" w:pos="6246"/>
        </w:tabs>
        <w:jc w:val="both"/>
        <w:rPr>
          <w:rFonts w:ascii="Arial" w:hAnsi="Arial" w:cs="Arial"/>
        </w:rPr>
      </w:pPr>
    </w:p>
    <w:p w14:paraId="72E75446" w14:textId="076231E4" w:rsidR="00BE0EAA" w:rsidRPr="00BE0EAA" w:rsidRDefault="00BE0EAA" w:rsidP="00BE0EAA">
      <w:pPr>
        <w:tabs>
          <w:tab w:val="left" w:pos="6246"/>
        </w:tabs>
        <w:jc w:val="both"/>
        <w:rPr>
          <w:rFonts w:ascii="Arial" w:hAnsi="Arial" w:cs="Arial"/>
          <w:b/>
        </w:rPr>
      </w:pPr>
      <w:r w:rsidRPr="00BE0EAA">
        <w:rPr>
          <w:rFonts w:ascii="Arial" w:hAnsi="Arial" w:cs="Arial"/>
        </w:rPr>
        <w:t xml:space="preserve">Figure 4, it shows the result for the test of terpenoids. In picture A, it represents the image of the cross section of the roots, untreated with the staining reagent, while in picture B, it represents the image of the root section that already treated with staining reagent. In terpenoids test, there is </w:t>
      </w:r>
      <w:r w:rsidR="00AD2C3E" w:rsidRPr="00AD2C3E">
        <w:rPr>
          <w:rFonts w:ascii="Arial" w:hAnsi="Arial" w:cs="Arial"/>
          <w:bCs/>
        </w:rPr>
        <w:t>no change</w:t>
      </w:r>
      <w:r w:rsidR="00AD2C3E" w:rsidRPr="00BE0EAA">
        <w:rPr>
          <w:rFonts w:ascii="Arial" w:hAnsi="Arial" w:cs="Arial"/>
        </w:rPr>
        <w:t xml:space="preserve"> </w:t>
      </w:r>
      <w:r w:rsidRPr="00BE0EAA">
        <w:rPr>
          <w:rFonts w:ascii="Arial" w:hAnsi="Arial" w:cs="Arial"/>
        </w:rPr>
        <w:t>of the color of the tissues of the plant sample was observed.</w:t>
      </w:r>
    </w:p>
    <w:p w14:paraId="2F99084D" w14:textId="77777777" w:rsidR="00BE0EAA" w:rsidRPr="00BE0EAA" w:rsidRDefault="00BE0EAA" w:rsidP="00BE0EAA">
      <w:pPr>
        <w:tabs>
          <w:tab w:val="left" w:pos="6246"/>
        </w:tabs>
        <w:jc w:val="both"/>
        <w:rPr>
          <w:rFonts w:ascii="Arial" w:hAnsi="Arial" w:cs="Arial"/>
          <w:b/>
        </w:rPr>
      </w:pPr>
    </w:p>
    <w:p w14:paraId="7689F0EE" w14:textId="77777777" w:rsidR="00AD2C3E" w:rsidRDefault="00AD2C3E" w:rsidP="00BE0EAA">
      <w:pPr>
        <w:tabs>
          <w:tab w:val="left" w:pos="6246"/>
        </w:tabs>
        <w:jc w:val="both"/>
        <w:rPr>
          <w:rFonts w:ascii="Arial" w:hAnsi="Arial" w:cs="Arial"/>
          <w:b/>
        </w:rPr>
      </w:pPr>
    </w:p>
    <w:p w14:paraId="29D0487F" w14:textId="77777777" w:rsidR="00AD2C3E" w:rsidRDefault="00AD2C3E" w:rsidP="00BE0EAA">
      <w:pPr>
        <w:tabs>
          <w:tab w:val="left" w:pos="6246"/>
        </w:tabs>
        <w:jc w:val="both"/>
        <w:rPr>
          <w:rFonts w:ascii="Arial" w:hAnsi="Arial" w:cs="Arial"/>
          <w:b/>
        </w:rPr>
      </w:pPr>
    </w:p>
    <w:p w14:paraId="017BFD67" w14:textId="77777777" w:rsidR="00AD2C3E" w:rsidRDefault="00AD2C3E" w:rsidP="00BE0EAA">
      <w:pPr>
        <w:tabs>
          <w:tab w:val="left" w:pos="6246"/>
        </w:tabs>
        <w:jc w:val="both"/>
        <w:rPr>
          <w:rFonts w:ascii="Arial" w:hAnsi="Arial" w:cs="Arial"/>
          <w:b/>
        </w:rPr>
      </w:pPr>
    </w:p>
    <w:p w14:paraId="63843F56" w14:textId="3601E0CB" w:rsidR="00BE0EAA" w:rsidRPr="00BE0EAA" w:rsidRDefault="00AD2C3E" w:rsidP="00BE0EAA">
      <w:pPr>
        <w:tabs>
          <w:tab w:val="left" w:pos="6246"/>
        </w:tabs>
        <w:jc w:val="both"/>
        <w:rPr>
          <w:rFonts w:ascii="Arial" w:hAnsi="Arial" w:cs="Arial"/>
          <w:b/>
        </w:rPr>
      </w:pPr>
      <w:r w:rsidRPr="00BE0EAA">
        <w:rPr>
          <w:rFonts w:ascii="Arial" w:hAnsi="Arial" w:cs="Arial"/>
          <w:noProof/>
          <w:lang w:eastAsia="en-PH"/>
        </w:rPr>
        <w:lastRenderedPageBreak/>
        <mc:AlternateContent>
          <mc:Choice Requires="wps">
            <w:drawing>
              <wp:anchor distT="45720" distB="45720" distL="114300" distR="114300" simplePos="0" relativeHeight="251674624" behindDoc="0" locked="0" layoutInCell="1" allowOverlap="1" wp14:anchorId="52FE2D2E" wp14:editId="75540C29">
                <wp:simplePos x="0" y="0"/>
                <wp:positionH relativeFrom="margin">
                  <wp:posOffset>2874645</wp:posOffset>
                </wp:positionH>
                <wp:positionV relativeFrom="paragraph">
                  <wp:posOffset>3097530</wp:posOffset>
                </wp:positionV>
                <wp:extent cx="2571750" cy="315595"/>
                <wp:effectExtent l="0" t="0" r="6350" b="1905"/>
                <wp:wrapSquare wrapText="bothSides"/>
                <wp:docPr id="19705906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0" cy="315595"/>
                        </a:xfrm>
                        <a:prstGeom prst="rect">
                          <a:avLst/>
                        </a:prstGeom>
                        <a:solidFill>
                          <a:srgbClr val="FFFFFF"/>
                        </a:solidFill>
                        <a:ln w="9525">
                          <a:solidFill>
                            <a:sysClr val="window" lastClr="FFFFFF"/>
                          </a:solidFill>
                          <a:miter lim="800000"/>
                          <a:headEnd/>
                          <a:tailEnd/>
                        </a:ln>
                      </wps:spPr>
                      <wps:txbx>
                        <w:txbxContent>
                          <w:p w14:paraId="2BF02498" w14:textId="3B3A6B21" w:rsidR="00AD2C3E" w:rsidRPr="00AD2C3E" w:rsidRDefault="00AD2C3E" w:rsidP="00AD2C3E">
                            <w:pPr>
                              <w:spacing w:after="160" w:line="259" w:lineRule="auto"/>
                              <w:rPr>
                                <w:rFonts w:ascii="Arial" w:hAnsi="Arial" w:cs="Arial"/>
                              </w:rPr>
                            </w:pPr>
                            <w:r>
                              <w:rPr>
                                <w:rFonts w:ascii="Arial" w:hAnsi="Arial" w:cs="Arial"/>
                              </w:rPr>
                              <w:t xml:space="preserve">      </w:t>
                            </w:r>
                            <w:r w:rsidRPr="00AD2C3E">
                              <w:rPr>
                                <w:rFonts w:ascii="Arial" w:hAnsi="Arial" w:cs="Arial"/>
                              </w:rPr>
                              <w:t>B. 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E2D2E" id="_x0000_s1032" type="#_x0000_t202" style="position:absolute;left:0;text-align:left;margin-left:226.35pt;margin-top:243.9pt;width:202.5pt;height:24.8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" strokecolor="window">
                <v:path arrowok="t"/>
                <v:textbox>
                  <w:txbxContent>
                    <w:p w14:paraId="2BF02498" w14:textId="3B3A6B21" w:rsidR="00AD2C3E" w:rsidRPr="00AD2C3E" w:rsidRDefault="00AD2C3E" w:rsidP="00AD2C3E">
                      <w:pPr>
                        <w:spacing w:after="160" w:line="259" w:lineRule="auto"/>
                        <w:rPr>
                          <w:rFonts w:ascii="Arial" w:hAnsi="Arial" w:cs="Arial"/>
                        </w:rPr>
                      </w:pPr>
                      <w:r>
                        <w:rPr>
                          <w:rFonts w:ascii="Arial" w:hAnsi="Arial" w:cs="Arial"/>
                        </w:rPr>
                        <w:t xml:space="preserve">      </w:t>
                      </w:r>
                      <w:r w:rsidRPr="00AD2C3E">
                        <w:rPr>
                          <w:rFonts w:ascii="Arial" w:hAnsi="Arial" w:cs="Arial"/>
                        </w:rPr>
                        <w:t>B. Treated with staining reagent</w:t>
                      </w:r>
                    </w:p>
                  </w:txbxContent>
                </v:textbox>
                <w10:wrap type="square" anchorx="margin"/>
              </v:shape>
            </w:pict>
          </mc:Fallback>
        </mc:AlternateContent>
      </w:r>
      <w:r w:rsidRPr="00BE0EAA">
        <w:rPr>
          <w:rFonts w:ascii="Arial" w:hAnsi="Arial" w:cs="Arial"/>
          <w:noProof/>
          <w:lang w:eastAsia="en-PH"/>
        </w:rPr>
        <mc:AlternateContent>
          <mc:Choice Requires="wps">
            <w:drawing>
              <wp:anchor distT="45720" distB="45720" distL="114300" distR="114300" simplePos="0" relativeHeight="251673600" behindDoc="0" locked="0" layoutInCell="1" allowOverlap="1" wp14:anchorId="7FD1FBD6" wp14:editId="1BD8BB64">
                <wp:simplePos x="0" y="0"/>
                <wp:positionH relativeFrom="margin">
                  <wp:posOffset>57150</wp:posOffset>
                </wp:positionH>
                <wp:positionV relativeFrom="paragraph">
                  <wp:posOffset>3097530</wp:posOffset>
                </wp:positionV>
                <wp:extent cx="3426460" cy="315595"/>
                <wp:effectExtent l="0" t="0" r="15240" b="14605"/>
                <wp:wrapSquare wrapText="bothSides"/>
                <wp:docPr id="17461930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6460" cy="315595"/>
                        </a:xfrm>
                        <a:prstGeom prst="rect">
                          <a:avLst/>
                        </a:prstGeom>
                        <a:solidFill>
                          <a:srgbClr val="FFFFFF"/>
                        </a:solidFill>
                        <a:ln w="9525">
                          <a:solidFill>
                            <a:sysClr val="window" lastClr="FFFFFF"/>
                          </a:solidFill>
                          <a:miter lim="800000"/>
                          <a:headEnd/>
                          <a:tailEnd/>
                        </a:ln>
                      </wps:spPr>
                      <wps:txbx>
                        <w:txbxContent>
                          <w:p w14:paraId="08FB4CE2" w14:textId="33AA0445" w:rsidR="00AD2C3E" w:rsidRPr="007C4906" w:rsidRDefault="00AD2C3E" w:rsidP="00AD2C3E">
                            <w:pPr>
                              <w:pStyle w:val="ListParagraph"/>
                              <w:spacing w:after="160" w:line="259" w:lineRule="auto"/>
                              <w:contextualSpacing w:val="0"/>
                              <w:rPr>
                                <w:rFonts w:ascii="Arial" w:hAnsi="Arial" w:cs="Arial"/>
                                <w:szCs w:val="24"/>
                              </w:rPr>
                            </w:pPr>
                            <w:r>
                              <w:rPr>
                                <w:rFonts w:ascii="Arial" w:hAnsi="Arial" w:cs="Arial"/>
                                <w:szCs w:val="24"/>
                              </w:rPr>
                              <w:t xml:space="preserve">A. </w:t>
                            </w:r>
                            <w:r w:rsidRPr="007C4906">
                              <w:rPr>
                                <w:rFonts w:ascii="Arial" w:hAnsi="Arial" w:cs="Arial"/>
                                <w:szCs w:val="24"/>
                              </w:rPr>
                              <w:t>Untreated with staining reagent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1FBD6" id="_x0000_s1033" type="#_x0000_t202" style="position:absolute;left:0;text-align:left;margin-left:4.5pt;margin-top:243.9pt;width:269.8pt;height:24.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" strokecolor="window">
                <v:path arrowok="t"/>
                <v:textbox>
                  <w:txbxContent>
                    <w:p w14:paraId="08FB4CE2" w14:textId="33AA0445" w:rsidR="00AD2C3E" w:rsidRPr="007C4906" w:rsidRDefault="00AD2C3E" w:rsidP="00AD2C3E">
                      <w:pPr>
                        <w:pStyle w:val="ListParagraph"/>
                        <w:spacing w:after="160" w:line="259" w:lineRule="auto"/>
                        <w:contextualSpacing w:val="0"/>
                        <w:rPr>
                          <w:rFonts w:ascii="Arial" w:hAnsi="Arial" w:cs="Arial"/>
                          <w:szCs w:val="24"/>
                        </w:rPr>
                      </w:pPr>
                      <w:r>
                        <w:rPr>
                          <w:rFonts w:ascii="Arial" w:hAnsi="Arial" w:cs="Arial"/>
                          <w:szCs w:val="24"/>
                        </w:rPr>
                        <w:t xml:space="preserve">A. </w:t>
                      </w:r>
                      <w:r w:rsidRPr="007C4906">
                        <w:rPr>
                          <w:rFonts w:ascii="Arial" w:hAnsi="Arial" w:cs="Arial"/>
                          <w:szCs w:val="24"/>
                        </w:rPr>
                        <w:t>Untreated with staining reagent</w:t>
                      </w:r>
                    </w:p>
                  </w:txbxContent>
                </v:textbox>
                <w10:wrap type="square" anchorx="margin"/>
              </v:shape>
            </w:pict>
          </mc:Fallback>
        </mc:AlternateContent>
      </w:r>
      <w:r w:rsidR="00BE0EAA" w:rsidRPr="00BE0EAA">
        <w:rPr>
          <w:rFonts w:ascii="Arial" w:hAnsi="Arial" w:cs="Arial"/>
          <w:noProof/>
          <w:lang w:eastAsia="en-PH"/>
        </w:rPr>
        <w:drawing>
          <wp:anchor distT="0" distB="0" distL="114300" distR="114300" simplePos="0" relativeHeight="251659264" behindDoc="1" locked="0" layoutInCell="1" allowOverlap="1" wp14:anchorId="0BD4BE0C" wp14:editId="1B7EA4F9">
            <wp:simplePos x="0" y="0"/>
            <wp:positionH relativeFrom="page">
              <wp:posOffset>3926840</wp:posOffset>
            </wp:positionH>
            <wp:positionV relativeFrom="paragraph">
              <wp:posOffset>26035</wp:posOffset>
            </wp:positionV>
            <wp:extent cx="2710815" cy="2933065"/>
            <wp:effectExtent l="0" t="0" r="0" b="0"/>
            <wp:wrapThrough wrapText="bothSides">
              <wp:wrapPolygon edited="0">
                <wp:start x="0" y="0"/>
                <wp:lineTo x="0" y="21511"/>
                <wp:lineTo x="21453" y="21511"/>
                <wp:lineTo x="21453" y="0"/>
                <wp:lineTo x="0" y="0"/>
              </wp:wrapPolygon>
            </wp:wrapThrough>
            <wp:docPr id="3" name="Picture 10" descr="A close up of a cloc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 descr="A close up of a clock&#10;&#10;AI-generated content may be incorrect."/>
                    <pic:cNvPicPr>
                      <a:picLocks/>
                    </pic:cNvPicPr>
                  </pic:nvPicPr>
                  <pic:blipFill>
                    <a:blip r:embed="rId10">
                      <a:extLst>
                        <a:ext uri="{28A0092B-C50C-407E-A947-70E740481C1C}">
                          <a14:useLocalDpi xmlns:a14="http://schemas.microsoft.com/office/drawing/2010/main" val="0"/>
                        </a:ext>
                      </a:extLst>
                    </a:blip>
                    <a:srcRect t="7779" r="3947" b="22592"/>
                    <a:stretch>
                      <a:fillRect/>
                    </a:stretch>
                  </pic:blipFill>
                  <pic:spPr bwMode="auto">
                    <a:xfrm>
                      <a:off x="0" y="0"/>
                      <a:ext cx="2710815" cy="293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EAA" w:rsidRPr="00BE0EAA">
        <w:rPr>
          <w:rFonts w:ascii="Arial" w:hAnsi="Arial" w:cs="Arial"/>
          <w:noProof/>
          <w:lang w:eastAsia="en-PH"/>
        </w:rPr>
        <w:drawing>
          <wp:anchor distT="0" distB="0" distL="114300" distR="114300" simplePos="0" relativeHeight="251660288" behindDoc="1" locked="0" layoutInCell="1" allowOverlap="1" wp14:anchorId="317221BC" wp14:editId="648B9B74">
            <wp:simplePos x="0" y="0"/>
            <wp:positionH relativeFrom="margin">
              <wp:posOffset>98425</wp:posOffset>
            </wp:positionH>
            <wp:positionV relativeFrom="paragraph">
              <wp:posOffset>6350</wp:posOffset>
            </wp:positionV>
            <wp:extent cx="2778760" cy="2944495"/>
            <wp:effectExtent l="0" t="0" r="0" b="0"/>
            <wp:wrapThrough wrapText="bothSides">
              <wp:wrapPolygon edited="0">
                <wp:start x="0" y="0"/>
                <wp:lineTo x="0" y="21521"/>
                <wp:lineTo x="21521" y="21521"/>
                <wp:lineTo x="21521" y="0"/>
                <wp:lineTo x="0" y="0"/>
              </wp:wrapPolygon>
            </wp:wrapThrough>
            <wp:docPr id="1561427319" name="Picture 11" descr="A screenshot of a cloc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427319" name="Picture 11" descr="A screenshot of a clock&#10;&#10;AI-generated content may be incorrect."/>
                    <pic:cNvPicPr>
                      <a:picLocks/>
                    </pic:cNvPicPr>
                  </pic:nvPicPr>
                  <pic:blipFill>
                    <a:blip r:embed="rId11">
                      <a:extLst>
                        <a:ext uri="{28A0092B-C50C-407E-A947-70E740481C1C}">
                          <a14:useLocalDpi xmlns:a14="http://schemas.microsoft.com/office/drawing/2010/main" val="0"/>
                        </a:ext>
                      </a:extLst>
                    </a:blip>
                    <a:srcRect l="22627" t="8859" r="20619" b="4274"/>
                    <a:stretch>
                      <a:fillRect/>
                    </a:stretch>
                  </pic:blipFill>
                  <pic:spPr bwMode="auto">
                    <a:xfrm>
                      <a:off x="0" y="0"/>
                      <a:ext cx="2778760" cy="294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EB5CF" w14:textId="30F29AEA" w:rsidR="00BE0EAA" w:rsidRPr="00BE0EAA" w:rsidRDefault="00BE0EAA" w:rsidP="00BE0EAA">
      <w:pPr>
        <w:tabs>
          <w:tab w:val="left" w:pos="6246"/>
        </w:tabs>
        <w:jc w:val="center"/>
        <w:rPr>
          <w:rFonts w:ascii="Arial" w:hAnsi="Arial" w:cs="Arial"/>
          <w:b/>
        </w:rPr>
      </w:pPr>
      <w:r w:rsidRPr="00BE0EAA">
        <w:rPr>
          <w:rFonts w:ascii="Arial" w:hAnsi="Arial" w:cs="Arial"/>
          <w:b/>
        </w:rPr>
        <w:t>Figure 4.</w:t>
      </w:r>
      <w:r w:rsidRPr="00BE0EAA">
        <w:rPr>
          <w:rFonts w:ascii="Arial" w:hAnsi="Arial" w:cs="Arial"/>
        </w:rPr>
        <w:t xml:space="preserve"> Test for Terpenoids</w:t>
      </w:r>
    </w:p>
    <w:p w14:paraId="0F11B1CD" w14:textId="77777777" w:rsidR="00BE0EAA" w:rsidRPr="00BE0EAA" w:rsidRDefault="00BE0EAA" w:rsidP="00BE0EAA">
      <w:pPr>
        <w:tabs>
          <w:tab w:val="left" w:pos="6246"/>
        </w:tabs>
        <w:jc w:val="both"/>
        <w:rPr>
          <w:rFonts w:ascii="Arial" w:hAnsi="Arial" w:cs="Arial"/>
        </w:rPr>
      </w:pPr>
    </w:p>
    <w:p w14:paraId="34DEB2A8" w14:textId="77777777" w:rsidR="00BE0EAA" w:rsidRPr="00BE0EAA" w:rsidRDefault="00BE0EAA" w:rsidP="00BE0EAA">
      <w:pPr>
        <w:pStyle w:val="NoSpacing"/>
        <w:rPr>
          <w:rFonts w:ascii="Arial" w:hAnsi="Arial" w:cs="Arial"/>
          <w:b/>
        </w:rPr>
      </w:pPr>
      <w:r w:rsidRPr="00BE0EAA">
        <w:rPr>
          <w:rFonts w:ascii="Arial" w:hAnsi="Arial" w:cs="Arial"/>
          <w:b/>
        </w:rPr>
        <w:t xml:space="preserve">    </w:t>
      </w:r>
    </w:p>
    <w:p w14:paraId="5E789ED0" w14:textId="77777777" w:rsidR="00BE0EAA" w:rsidRPr="00BE0EAA" w:rsidRDefault="00BE0EAA" w:rsidP="00BE0EAA">
      <w:pPr>
        <w:pStyle w:val="NoSpacing"/>
        <w:jc w:val="center"/>
        <w:rPr>
          <w:rFonts w:ascii="Arial" w:hAnsi="Arial" w:cs="Arial"/>
        </w:rPr>
      </w:pPr>
      <w:r w:rsidRPr="00BE0EAA">
        <w:rPr>
          <w:rFonts w:ascii="Arial" w:hAnsi="Arial" w:cs="Arial"/>
          <w:b/>
        </w:rPr>
        <w:t xml:space="preserve">Table 1. </w:t>
      </w:r>
      <w:r w:rsidRPr="00BE0EAA">
        <w:rPr>
          <w:rFonts w:ascii="Arial" w:hAnsi="Arial" w:cs="Arial"/>
        </w:rPr>
        <w:t>Histochemical Test of the Roots Sample</w:t>
      </w:r>
    </w:p>
    <w:p w14:paraId="54716BDA" w14:textId="77777777" w:rsidR="00BE0EAA" w:rsidRPr="00BE0EAA" w:rsidRDefault="00BE0EAA" w:rsidP="00BE0EAA">
      <w:pPr>
        <w:pStyle w:val="NoSpacing"/>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880"/>
        <w:gridCol w:w="3068"/>
      </w:tblGrid>
      <w:tr w:rsidR="00BE0EAA" w:rsidRPr="00BE0EAA" w14:paraId="23487B01" w14:textId="77777777" w:rsidTr="00995FE5">
        <w:trPr>
          <w:jc w:val="center"/>
        </w:trPr>
        <w:tc>
          <w:tcPr>
            <w:tcW w:w="2682" w:type="dxa"/>
            <w:shd w:val="clear" w:color="auto" w:fill="F2F2F2"/>
            <w:vAlign w:val="center"/>
          </w:tcPr>
          <w:p w14:paraId="1E435F51" w14:textId="77777777" w:rsidR="00BE0EAA" w:rsidRPr="00BE0EAA" w:rsidRDefault="00BE0EAA" w:rsidP="00995FE5">
            <w:pPr>
              <w:pStyle w:val="NoSpacing"/>
              <w:jc w:val="center"/>
              <w:rPr>
                <w:rFonts w:ascii="Arial" w:hAnsi="Arial" w:cs="Arial"/>
                <w:b/>
              </w:rPr>
            </w:pPr>
            <w:r w:rsidRPr="00BE0EAA">
              <w:rPr>
                <w:rFonts w:ascii="Arial" w:hAnsi="Arial" w:cs="Arial"/>
                <w:b/>
              </w:rPr>
              <w:t>Active components</w:t>
            </w:r>
          </w:p>
        </w:tc>
        <w:tc>
          <w:tcPr>
            <w:tcW w:w="2880" w:type="dxa"/>
            <w:shd w:val="clear" w:color="auto" w:fill="F2F2F2"/>
            <w:vAlign w:val="center"/>
          </w:tcPr>
          <w:p w14:paraId="19AC6717" w14:textId="77777777" w:rsidR="00BE0EAA" w:rsidRPr="00BE0EAA" w:rsidRDefault="00BE0EAA" w:rsidP="00995FE5">
            <w:pPr>
              <w:pStyle w:val="NoSpacing"/>
              <w:jc w:val="center"/>
              <w:rPr>
                <w:rFonts w:ascii="Arial" w:hAnsi="Arial" w:cs="Arial"/>
                <w:b/>
              </w:rPr>
            </w:pPr>
            <w:r w:rsidRPr="00BE0EAA">
              <w:rPr>
                <w:rFonts w:ascii="Arial" w:hAnsi="Arial" w:cs="Arial"/>
                <w:b/>
              </w:rPr>
              <w:t>Observation</w:t>
            </w:r>
          </w:p>
        </w:tc>
        <w:tc>
          <w:tcPr>
            <w:tcW w:w="3068" w:type="dxa"/>
            <w:shd w:val="clear" w:color="auto" w:fill="F2F2F2"/>
            <w:vAlign w:val="center"/>
          </w:tcPr>
          <w:p w14:paraId="05FBADD5" w14:textId="77777777" w:rsidR="00BE0EAA" w:rsidRPr="00BE0EAA" w:rsidRDefault="00BE0EAA" w:rsidP="00995FE5">
            <w:pPr>
              <w:pStyle w:val="NoSpacing"/>
              <w:jc w:val="center"/>
              <w:rPr>
                <w:rFonts w:ascii="Arial" w:hAnsi="Arial" w:cs="Arial"/>
                <w:b/>
              </w:rPr>
            </w:pPr>
            <w:r w:rsidRPr="00BE0EAA">
              <w:rPr>
                <w:rFonts w:ascii="Arial" w:hAnsi="Arial" w:cs="Arial"/>
                <w:b/>
              </w:rPr>
              <w:t>Tissue of a sample that indicates a positive result</w:t>
            </w:r>
          </w:p>
        </w:tc>
      </w:tr>
      <w:tr w:rsidR="00BE0EAA" w:rsidRPr="00BE0EAA" w14:paraId="1DFA9AFE" w14:textId="77777777" w:rsidTr="00995FE5">
        <w:trPr>
          <w:jc w:val="center"/>
        </w:trPr>
        <w:tc>
          <w:tcPr>
            <w:tcW w:w="2682" w:type="dxa"/>
            <w:vAlign w:val="center"/>
          </w:tcPr>
          <w:p w14:paraId="2EA398CD" w14:textId="77777777" w:rsidR="00BE0EAA" w:rsidRPr="00BE0EAA" w:rsidRDefault="00BE0EAA" w:rsidP="00995FE5">
            <w:pPr>
              <w:pStyle w:val="NoSpacing"/>
              <w:jc w:val="center"/>
              <w:rPr>
                <w:rFonts w:ascii="Arial" w:hAnsi="Arial" w:cs="Arial"/>
              </w:rPr>
            </w:pPr>
            <w:r w:rsidRPr="00BE0EAA">
              <w:rPr>
                <w:rFonts w:ascii="Arial" w:hAnsi="Arial" w:cs="Arial"/>
              </w:rPr>
              <w:t>Alkaloids</w:t>
            </w:r>
          </w:p>
        </w:tc>
        <w:tc>
          <w:tcPr>
            <w:tcW w:w="2880" w:type="dxa"/>
            <w:vAlign w:val="center"/>
          </w:tcPr>
          <w:p w14:paraId="5529B63B" w14:textId="77777777" w:rsidR="00BE0EAA" w:rsidRPr="00BE0EAA" w:rsidRDefault="00BE0EAA" w:rsidP="00995FE5">
            <w:pPr>
              <w:pStyle w:val="NoSpacing"/>
              <w:jc w:val="center"/>
              <w:rPr>
                <w:rFonts w:ascii="Arial" w:hAnsi="Arial" w:cs="Arial"/>
              </w:rPr>
            </w:pPr>
            <w:r w:rsidRPr="00BE0EAA">
              <w:rPr>
                <w:rFonts w:ascii="Arial" w:hAnsi="Arial" w:cs="Arial"/>
              </w:rPr>
              <w:t>Appearance of golden-yellow color in a tissue</w:t>
            </w:r>
          </w:p>
        </w:tc>
        <w:tc>
          <w:tcPr>
            <w:tcW w:w="3068" w:type="dxa"/>
            <w:vAlign w:val="center"/>
          </w:tcPr>
          <w:p w14:paraId="3C40D365" w14:textId="77777777" w:rsidR="00BE0EAA" w:rsidRPr="00BE0EAA" w:rsidRDefault="00BE0EAA" w:rsidP="00995FE5">
            <w:pPr>
              <w:pStyle w:val="NoSpacing"/>
              <w:jc w:val="center"/>
              <w:rPr>
                <w:rFonts w:ascii="Arial" w:hAnsi="Arial" w:cs="Arial"/>
              </w:rPr>
            </w:pPr>
            <w:r w:rsidRPr="00BE0EAA">
              <w:rPr>
                <w:rFonts w:ascii="Arial" w:hAnsi="Arial" w:cs="Arial"/>
              </w:rPr>
              <w:t>Pith and endodermis</w:t>
            </w:r>
          </w:p>
        </w:tc>
      </w:tr>
      <w:tr w:rsidR="00BE0EAA" w:rsidRPr="00BE0EAA" w14:paraId="731FA0A9" w14:textId="77777777" w:rsidTr="00995FE5">
        <w:trPr>
          <w:jc w:val="center"/>
        </w:trPr>
        <w:tc>
          <w:tcPr>
            <w:tcW w:w="2682" w:type="dxa"/>
            <w:vAlign w:val="center"/>
          </w:tcPr>
          <w:p w14:paraId="3218B8D3" w14:textId="77777777" w:rsidR="00BE0EAA" w:rsidRPr="00BE0EAA" w:rsidRDefault="00BE0EAA" w:rsidP="00995FE5">
            <w:pPr>
              <w:tabs>
                <w:tab w:val="left" w:pos="6246"/>
              </w:tabs>
              <w:jc w:val="center"/>
              <w:rPr>
                <w:rFonts w:ascii="Arial" w:hAnsi="Arial" w:cs="Arial"/>
              </w:rPr>
            </w:pPr>
            <w:r w:rsidRPr="00BE0EAA">
              <w:rPr>
                <w:rFonts w:ascii="Arial" w:hAnsi="Arial" w:cs="Arial"/>
              </w:rPr>
              <w:t>Steroids</w:t>
            </w:r>
          </w:p>
        </w:tc>
        <w:tc>
          <w:tcPr>
            <w:tcW w:w="2880" w:type="dxa"/>
            <w:vAlign w:val="center"/>
          </w:tcPr>
          <w:p w14:paraId="7977331E" w14:textId="77777777" w:rsidR="00BE0EAA" w:rsidRPr="00BE0EAA" w:rsidRDefault="00BE0EAA" w:rsidP="00995FE5">
            <w:pPr>
              <w:pStyle w:val="NoSpacing"/>
              <w:jc w:val="center"/>
              <w:rPr>
                <w:rFonts w:ascii="Arial" w:hAnsi="Arial" w:cs="Arial"/>
              </w:rPr>
            </w:pPr>
            <w:r w:rsidRPr="00BE0EAA">
              <w:rPr>
                <w:rFonts w:ascii="Arial" w:hAnsi="Arial" w:cs="Arial"/>
              </w:rPr>
              <w:t>Appearance of yellow color in the cells</w:t>
            </w:r>
          </w:p>
        </w:tc>
        <w:tc>
          <w:tcPr>
            <w:tcW w:w="3068" w:type="dxa"/>
            <w:vAlign w:val="center"/>
          </w:tcPr>
          <w:p w14:paraId="6CF0F623" w14:textId="77777777" w:rsidR="00BE0EAA" w:rsidRPr="00BE0EAA" w:rsidRDefault="00BE0EAA" w:rsidP="00995FE5">
            <w:pPr>
              <w:pStyle w:val="NoSpacing"/>
              <w:jc w:val="center"/>
              <w:rPr>
                <w:rFonts w:ascii="Arial" w:hAnsi="Arial" w:cs="Arial"/>
              </w:rPr>
            </w:pPr>
            <w:r w:rsidRPr="00BE0EAA">
              <w:rPr>
                <w:rFonts w:ascii="Arial" w:hAnsi="Arial" w:cs="Arial"/>
              </w:rPr>
              <w:t>Pith, phloem and endodermis</w:t>
            </w:r>
          </w:p>
        </w:tc>
      </w:tr>
      <w:tr w:rsidR="00BE0EAA" w:rsidRPr="00BE0EAA" w14:paraId="2D22C219" w14:textId="77777777" w:rsidTr="00995FE5">
        <w:trPr>
          <w:jc w:val="center"/>
        </w:trPr>
        <w:tc>
          <w:tcPr>
            <w:tcW w:w="2682" w:type="dxa"/>
            <w:vAlign w:val="center"/>
          </w:tcPr>
          <w:p w14:paraId="1F636EA7" w14:textId="77777777" w:rsidR="00BE0EAA" w:rsidRPr="00BE0EAA" w:rsidRDefault="00BE0EAA" w:rsidP="00995FE5">
            <w:pPr>
              <w:tabs>
                <w:tab w:val="left" w:pos="6246"/>
              </w:tabs>
              <w:jc w:val="center"/>
              <w:rPr>
                <w:rFonts w:ascii="Arial" w:hAnsi="Arial" w:cs="Arial"/>
              </w:rPr>
            </w:pPr>
            <w:r w:rsidRPr="00BE0EAA">
              <w:rPr>
                <w:rFonts w:ascii="Arial" w:hAnsi="Arial" w:cs="Arial"/>
              </w:rPr>
              <w:t>Tannins</w:t>
            </w:r>
          </w:p>
        </w:tc>
        <w:tc>
          <w:tcPr>
            <w:tcW w:w="2880" w:type="dxa"/>
            <w:vAlign w:val="center"/>
          </w:tcPr>
          <w:p w14:paraId="4498CEDD" w14:textId="77777777" w:rsidR="00BE0EAA" w:rsidRPr="00BE0EAA" w:rsidRDefault="00BE0EAA" w:rsidP="00995FE5">
            <w:pPr>
              <w:pStyle w:val="NoSpacing"/>
              <w:jc w:val="center"/>
              <w:rPr>
                <w:rFonts w:ascii="Arial" w:hAnsi="Arial" w:cs="Arial"/>
              </w:rPr>
            </w:pPr>
            <w:r w:rsidRPr="00BE0EAA">
              <w:rPr>
                <w:rFonts w:ascii="Arial" w:hAnsi="Arial" w:cs="Arial"/>
              </w:rPr>
              <w:t>Appearance of green, greenish color in the cells</w:t>
            </w:r>
          </w:p>
        </w:tc>
        <w:tc>
          <w:tcPr>
            <w:tcW w:w="3068" w:type="dxa"/>
            <w:vAlign w:val="center"/>
          </w:tcPr>
          <w:p w14:paraId="3544D817" w14:textId="77777777" w:rsidR="00BE0EAA" w:rsidRPr="00BE0EAA" w:rsidRDefault="00BE0EAA" w:rsidP="00995FE5">
            <w:pPr>
              <w:pStyle w:val="NoSpacing"/>
              <w:jc w:val="center"/>
              <w:rPr>
                <w:rFonts w:ascii="Arial" w:hAnsi="Arial" w:cs="Arial"/>
              </w:rPr>
            </w:pPr>
            <w:r w:rsidRPr="00BE0EAA">
              <w:rPr>
                <w:rFonts w:ascii="Arial" w:hAnsi="Arial" w:cs="Arial"/>
              </w:rPr>
              <w:t>Endodermis, cortex, phloem, pith and pericycle</w:t>
            </w:r>
          </w:p>
        </w:tc>
      </w:tr>
      <w:tr w:rsidR="00BE0EAA" w:rsidRPr="00BE0EAA" w14:paraId="0C4F0B31" w14:textId="77777777" w:rsidTr="00995FE5">
        <w:trPr>
          <w:jc w:val="center"/>
        </w:trPr>
        <w:tc>
          <w:tcPr>
            <w:tcW w:w="2682" w:type="dxa"/>
            <w:vAlign w:val="center"/>
          </w:tcPr>
          <w:p w14:paraId="297D0775" w14:textId="77777777" w:rsidR="00BE0EAA" w:rsidRPr="00BE0EAA" w:rsidRDefault="00BE0EAA" w:rsidP="00995FE5">
            <w:pPr>
              <w:tabs>
                <w:tab w:val="left" w:pos="6246"/>
              </w:tabs>
              <w:jc w:val="center"/>
              <w:rPr>
                <w:rFonts w:ascii="Arial" w:hAnsi="Arial" w:cs="Arial"/>
              </w:rPr>
            </w:pPr>
            <w:r w:rsidRPr="00BE0EAA">
              <w:rPr>
                <w:rFonts w:ascii="Arial" w:hAnsi="Arial" w:cs="Arial"/>
              </w:rPr>
              <w:t>Terpenoids</w:t>
            </w:r>
          </w:p>
        </w:tc>
        <w:tc>
          <w:tcPr>
            <w:tcW w:w="2880" w:type="dxa"/>
            <w:vAlign w:val="center"/>
          </w:tcPr>
          <w:p w14:paraId="3C93ED32" w14:textId="77777777" w:rsidR="00BE0EAA" w:rsidRPr="00BE0EAA" w:rsidRDefault="00BE0EAA" w:rsidP="00995FE5">
            <w:pPr>
              <w:pStyle w:val="NoSpacing"/>
              <w:jc w:val="center"/>
              <w:rPr>
                <w:rFonts w:ascii="Arial" w:hAnsi="Arial" w:cs="Arial"/>
              </w:rPr>
            </w:pPr>
            <w:r w:rsidRPr="00BE0EAA">
              <w:rPr>
                <w:rFonts w:ascii="Arial" w:hAnsi="Arial" w:cs="Arial"/>
              </w:rPr>
              <w:t>No change of the color was observed</w:t>
            </w:r>
          </w:p>
        </w:tc>
        <w:tc>
          <w:tcPr>
            <w:tcW w:w="3068" w:type="dxa"/>
            <w:vAlign w:val="center"/>
          </w:tcPr>
          <w:p w14:paraId="11FF5AE7" w14:textId="54B1E746" w:rsidR="00BE0EAA" w:rsidRPr="00BE0EAA" w:rsidRDefault="00BE0EAA" w:rsidP="00995FE5">
            <w:pPr>
              <w:tabs>
                <w:tab w:val="left" w:pos="6246"/>
              </w:tabs>
              <w:jc w:val="center"/>
              <w:rPr>
                <w:rFonts w:ascii="Arial" w:hAnsi="Arial" w:cs="Arial"/>
              </w:rPr>
            </w:pPr>
            <w:r w:rsidRPr="00BE0EAA">
              <w:rPr>
                <w:rFonts w:ascii="Arial" w:hAnsi="Arial" w:cs="Arial"/>
              </w:rPr>
              <w:t>Negative</w:t>
            </w:r>
          </w:p>
        </w:tc>
      </w:tr>
    </w:tbl>
    <w:p w14:paraId="4F6CFDEA" w14:textId="77777777" w:rsidR="00BE0EAA" w:rsidRPr="00BE0EAA" w:rsidRDefault="00BE0EAA" w:rsidP="00BE0EAA">
      <w:pPr>
        <w:tabs>
          <w:tab w:val="left" w:pos="6246"/>
        </w:tabs>
        <w:jc w:val="both"/>
        <w:rPr>
          <w:rFonts w:ascii="Arial" w:hAnsi="Arial" w:cs="Arial"/>
        </w:rPr>
      </w:pPr>
    </w:p>
    <w:p w14:paraId="2355CCCE" w14:textId="466B5694" w:rsidR="00BE0EAA" w:rsidRDefault="00BE0EAA" w:rsidP="00BE0EAA">
      <w:pPr>
        <w:tabs>
          <w:tab w:val="left" w:pos="6246"/>
        </w:tabs>
        <w:jc w:val="both"/>
        <w:rPr>
          <w:rFonts w:ascii="Arial" w:hAnsi="Arial" w:cs="Arial"/>
        </w:rPr>
      </w:pPr>
      <w:r w:rsidRPr="00BE0EAA">
        <w:rPr>
          <w:rFonts w:ascii="Arial" w:hAnsi="Arial" w:cs="Arial"/>
        </w:rPr>
        <w:t xml:space="preserve">     In histochemical test for the roots sample, only the terpenoids indicates a negative result. In alkaloids test the appearance of golden yellow color in a cell observed. Then for steroids test, appearance of yellow color in a </w:t>
      </w:r>
      <w:r w:rsidR="00AD2C3E" w:rsidRPr="00BE0EAA">
        <w:rPr>
          <w:rFonts w:ascii="Arial" w:hAnsi="Arial" w:cs="Arial"/>
        </w:rPr>
        <w:t>cell of the plant sample</w:t>
      </w:r>
      <w:r w:rsidRPr="00BE0EAA">
        <w:rPr>
          <w:rFonts w:ascii="Arial" w:hAnsi="Arial" w:cs="Arial"/>
        </w:rPr>
        <w:t xml:space="preserve"> also observed. In tannins test, a green and greenish color of the cell was also </w:t>
      </w:r>
      <w:r w:rsidR="00AD2C3E" w:rsidRPr="00BE0EAA">
        <w:rPr>
          <w:rFonts w:ascii="Arial" w:hAnsi="Arial" w:cs="Arial"/>
        </w:rPr>
        <w:t>showed</w:t>
      </w:r>
      <w:r w:rsidRPr="00BE0EAA">
        <w:rPr>
          <w:rFonts w:ascii="Arial" w:hAnsi="Arial" w:cs="Arial"/>
        </w:rPr>
        <w:t xml:space="preserve"> a positive indication of a test.</w:t>
      </w:r>
    </w:p>
    <w:p w14:paraId="22F163DC" w14:textId="77777777" w:rsidR="00E71E1A" w:rsidRPr="00BE0EAA" w:rsidRDefault="00E71E1A" w:rsidP="00BE0EAA">
      <w:pPr>
        <w:tabs>
          <w:tab w:val="left" w:pos="6246"/>
        </w:tabs>
        <w:jc w:val="both"/>
        <w:rPr>
          <w:rFonts w:ascii="Arial" w:hAnsi="Arial" w:cs="Arial"/>
        </w:rPr>
      </w:pPr>
    </w:p>
    <w:p w14:paraId="2D9EC9A9" w14:textId="74ED5ED2" w:rsidR="00BE0EAA" w:rsidRDefault="00E71E1A" w:rsidP="00BE0EAA">
      <w:pPr>
        <w:rPr>
          <w:rFonts w:ascii="Arial" w:hAnsi="Arial" w:cs="Arial"/>
          <w:b/>
        </w:rPr>
      </w:pPr>
      <w:r>
        <w:rPr>
          <w:rFonts w:ascii="Arial" w:hAnsi="Arial" w:cs="Arial"/>
          <w:b/>
        </w:rPr>
        <w:t>IV. Discussion</w:t>
      </w:r>
    </w:p>
    <w:p w14:paraId="3A9BA1E0"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The present study provides a histochemical basis for the ethnomedicinal use of </w:t>
      </w:r>
      <w:r w:rsidRPr="00E71E1A">
        <w:rPr>
          <w:rStyle w:val="Emphasis"/>
          <w:rFonts w:ascii="Arial" w:eastAsiaTheme="majorEastAsia" w:hAnsi="Arial" w:cs="Arial"/>
          <w:sz w:val="22"/>
          <w:szCs w:val="22"/>
        </w:rPr>
        <w:t xml:space="preserve">Salacia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particularly by demonstrating the spatial localization of key secondary metabolites within root tissues. The detection of alkaloids, steroids, and tannins in specific anatomical regions—namely the pith, endodermis, phloem, cortex, and pericycle—supports the hypothesis that the root serves as a major reservoir of pharmacologically active </w:t>
      </w:r>
      <w:proofErr w:type="gramStart"/>
      <w:r w:rsidRPr="00E71E1A">
        <w:rPr>
          <w:rFonts w:ascii="Arial" w:hAnsi="Arial" w:cs="Arial"/>
          <w:sz w:val="22"/>
          <w:szCs w:val="22"/>
        </w:rPr>
        <w:t>compounds .</w:t>
      </w:r>
      <w:proofErr w:type="gramEnd"/>
    </w:p>
    <w:p w14:paraId="7F9DE1C4" w14:textId="5FAB4970"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lastRenderedPageBreak/>
        <w:t xml:space="preserve">Histochemical localization revealed that alkaloids are concentrated in the pith and endodermis. These tissues are associated with internal transport regulation and selective permeability, suggesting that alkaloids may play a role not only in plant defense but also in internal biochemical regulation. Alkaloids are widely reported to exhibit analgesic and antimicrobial properties, which aligns with prior pharmacological findings showing that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root extracts demonstrate significant pain-relieving activity comparable to standard analgesics (Alvarez </w:t>
      </w:r>
      <w:r w:rsidRPr="00AD4476">
        <w:rPr>
          <w:rFonts w:ascii="Arial" w:hAnsi="Arial" w:cs="Arial"/>
          <w:i/>
          <w:sz w:val="22"/>
          <w:szCs w:val="22"/>
        </w:rPr>
        <w:t>et al</w:t>
      </w:r>
      <w:r w:rsidRPr="00E71E1A">
        <w:rPr>
          <w:rFonts w:ascii="Arial" w:hAnsi="Arial" w:cs="Arial"/>
          <w:sz w:val="22"/>
          <w:szCs w:val="22"/>
        </w:rPr>
        <w:t>., 2020). The localization of these compounds in inner tissues may indicate a protective storage strategy against herbivory and environmental stress, a pattern similarly observed in other medicinal plants subjected to histochemical analysis.</w:t>
      </w:r>
    </w:p>
    <w:p w14:paraId="66EB22C6"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Steroids were observed in the pith, phloem, and endodermis, indicating a broader distribution across both transport and storage tissues. This distribution is consistent with the role of plant steroids (phytosterols) in membrane stability and signaling, as well as their known anti-inflammatory effects. The presence of steroids corroborates earlier phytochemical screenings of </w:t>
      </w:r>
      <w:proofErr w:type="spellStart"/>
      <w:r w:rsidRPr="00E71E1A">
        <w:rPr>
          <w:rFonts w:ascii="Arial" w:hAnsi="Arial" w:cs="Arial"/>
          <w:sz w:val="22"/>
          <w:szCs w:val="22"/>
        </w:rPr>
        <w:t>Polipog</w:t>
      </w:r>
      <w:proofErr w:type="spellEnd"/>
      <w:r w:rsidRPr="00E71E1A">
        <w:rPr>
          <w:rFonts w:ascii="Arial" w:hAnsi="Arial" w:cs="Arial"/>
          <w:sz w:val="22"/>
          <w:szCs w:val="22"/>
        </w:rPr>
        <w:t xml:space="preserve"> roots, which identified steroidal compounds as contributors to its traditional use in treating respiratory conditions and inflammation (</w:t>
      </w:r>
      <w:proofErr w:type="spellStart"/>
      <w:r w:rsidRPr="00E71E1A">
        <w:rPr>
          <w:rFonts w:ascii="Arial" w:hAnsi="Arial" w:cs="Arial"/>
          <w:sz w:val="22"/>
          <w:szCs w:val="22"/>
        </w:rPr>
        <w:t>Madario</w:t>
      </w:r>
      <w:proofErr w:type="spellEnd"/>
      <w:r w:rsidRPr="00E71E1A">
        <w:rPr>
          <w:rFonts w:ascii="Arial" w:hAnsi="Arial" w:cs="Arial"/>
          <w:sz w:val="22"/>
          <w:szCs w:val="22"/>
        </w:rPr>
        <w:t xml:space="preserve"> </w:t>
      </w:r>
      <w:r w:rsidRPr="002E4513">
        <w:rPr>
          <w:rFonts w:ascii="Arial" w:hAnsi="Arial" w:cs="Arial"/>
          <w:i/>
          <w:sz w:val="22"/>
          <w:szCs w:val="22"/>
        </w:rPr>
        <w:t>et al</w:t>
      </w:r>
      <w:r w:rsidRPr="00E71E1A">
        <w:rPr>
          <w:rFonts w:ascii="Arial" w:hAnsi="Arial" w:cs="Arial"/>
          <w:sz w:val="22"/>
          <w:szCs w:val="22"/>
        </w:rPr>
        <w:t>., 2023). From a histochemical perspective, the presence of these compounds in vascular-associated tissues such as the phloem suggests potential mobility or systemic distribution within the plant.</w:t>
      </w:r>
    </w:p>
    <w:p w14:paraId="65A1E875" w14:textId="3799A933"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Among the detected metabolites, tannins exhibited the widest distribution, occurring in nearly all root tissues examined. This extensive localization—including cortex, endodermis, phloem, pith, and pericycle—highlights their fundamental role in plant defense. Tannins are well-documented for their antimicrobial and antioxidant properties, which supports the observed efficacy of </w:t>
      </w:r>
      <w:proofErr w:type="spellStart"/>
      <w:r w:rsidRPr="00E71E1A">
        <w:rPr>
          <w:rFonts w:ascii="Arial" w:hAnsi="Arial" w:cs="Arial"/>
          <w:sz w:val="22"/>
          <w:szCs w:val="22"/>
        </w:rPr>
        <w:t>Polipog</w:t>
      </w:r>
      <w:proofErr w:type="spellEnd"/>
      <w:r w:rsidRPr="00E71E1A">
        <w:rPr>
          <w:rFonts w:ascii="Arial" w:hAnsi="Arial" w:cs="Arial"/>
          <w:sz w:val="22"/>
          <w:szCs w:val="22"/>
        </w:rPr>
        <w:t xml:space="preserve"> in treating infections and inflammatory conditions. The widespread presence of tannins also suggests that multiple tissue layers contribute to the plant’s therapeutic potency, reinforcing its effectiveness in crude or minimally processed preparations commonly used in traditional </w:t>
      </w:r>
      <w:r w:rsidRPr="007E11E5">
        <w:rPr>
          <w:rFonts w:ascii="Arial" w:hAnsi="Arial" w:cs="Arial"/>
          <w:sz w:val="22"/>
          <w:szCs w:val="22"/>
          <w:highlight w:val="yellow"/>
        </w:rPr>
        <w:t>medicine</w:t>
      </w:r>
      <w:r w:rsidR="006E4FD0" w:rsidRPr="007E11E5">
        <w:rPr>
          <w:rFonts w:ascii="Arial" w:hAnsi="Arial" w:cs="Arial"/>
          <w:sz w:val="22"/>
          <w:szCs w:val="22"/>
          <w:highlight w:val="yellow"/>
        </w:rPr>
        <w:t xml:space="preserve"> (</w:t>
      </w:r>
      <w:proofErr w:type="spellStart"/>
      <w:r w:rsidR="006E4FD0" w:rsidRPr="007E11E5">
        <w:rPr>
          <w:rFonts w:ascii="Arial" w:hAnsi="Arial" w:cs="Arial"/>
          <w:sz w:val="22"/>
          <w:szCs w:val="22"/>
          <w:highlight w:val="yellow"/>
        </w:rPr>
        <w:t>Edeoga</w:t>
      </w:r>
      <w:proofErr w:type="spellEnd"/>
      <w:r w:rsidR="006E4FD0" w:rsidRPr="007E11E5">
        <w:rPr>
          <w:rFonts w:ascii="Arial" w:hAnsi="Arial" w:cs="Arial"/>
          <w:sz w:val="22"/>
          <w:szCs w:val="22"/>
          <w:highlight w:val="yellow"/>
        </w:rPr>
        <w:t xml:space="preserve"> 2007)</w:t>
      </w:r>
      <w:r w:rsidRPr="007E11E5">
        <w:rPr>
          <w:rFonts w:ascii="Arial" w:hAnsi="Arial" w:cs="Arial"/>
          <w:sz w:val="22"/>
          <w:szCs w:val="22"/>
          <w:highlight w:val="yellow"/>
        </w:rPr>
        <w:t>.</w:t>
      </w:r>
    </w:p>
    <w:p w14:paraId="0F5FCB3D"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Interestingly, the absence of terpenoids in the root samples contrasts with findings from other species within the genus </w:t>
      </w:r>
      <w:r w:rsidRPr="00E71E1A">
        <w:rPr>
          <w:rStyle w:val="Emphasis"/>
          <w:rFonts w:ascii="Arial" w:eastAsiaTheme="majorEastAsia" w:hAnsi="Arial" w:cs="Arial"/>
          <w:sz w:val="22"/>
          <w:szCs w:val="22"/>
        </w:rPr>
        <w:t>Salacia</w:t>
      </w:r>
      <w:r w:rsidRPr="00E71E1A">
        <w:rPr>
          <w:rFonts w:ascii="Arial" w:hAnsi="Arial" w:cs="Arial"/>
          <w:sz w:val="22"/>
          <w:szCs w:val="22"/>
        </w:rPr>
        <w:t xml:space="preserve">, such as </w:t>
      </w:r>
      <w:r w:rsidRPr="00E71E1A">
        <w:rPr>
          <w:rStyle w:val="Emphasis"/>
          <w:rFonts w:ascii="Arial" w:eastAsiaTheme="majorEastAsia" w:hAnsi="Arial" w:cs="Arial"/>
          <w:sz w:val="22"/>
          <w:szCs w:val="22"/>
        </w:rPr>
        <w:t>S. reticulata</w:t>
      </w:r>
      <w:r w:rsidRPr="00E71E1A">
        <w:rPr>
          <w:rFonts w:ascii="Arial" w:hAnsi="Arial" w:cs="Arial"/>
          <w:sz w:val="22"/>
          <w:szCs w:val="22"/>
        </w:rPr>
        <w:t xml:space="preserve"> and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oblonga</w:t>
      </w:r>
      <w:proofErr w:type="spellEnd"/>
      <w:r w:rsidRPr="00E71E1A">
        <w:rPr>
          <w:rFonts w:ascii="Arial" w:hAnsi="Arial" w:cs="Arial"/>
          <w:sz w:val="22"/>
          <w:szCs w:val="22"/>
        </w:rPr>
        <w:t xml:space="preserve">, which are known to contain bioactive terpenoid and </w:t>
      </w:r>
      <w:proofErr w:type="spellStart"/>
      <w:r w:rsidRPr="00E71E1A">
        <w:rPr>
          <w:rFonts w:ascii="Arial" w:hAnsi="Arial" w:cs="Arial"/>
          <w:sz w:val="22"/>
          <w:szCs w:val="22"/>
        </w:rPr>
        <w:t>glycosidic</w:t>
      </w:r>
      <w:proofErr w:type="spellEnd"/>
      <w:r w:rsidRPr="00E71E1A">
        <w:rPr>
          <w:rFonts w:ascii="Arial" w:hAnsi="Arial" w:cs="Arial"/>
          <w:sz w:val="22"/>
          <w:szCs w:val="22"/>
        </w:rPr>
        <w:t xml:space="preserve"> compounds like salacinol and kotalanol (</w:t>
      </w:r>
      <w:proofErr w:type="spellStart"/>
      <w:r w:rsidRPr="00E71E1A">
        <w:rPr>
          <w:rFonts w:ascii="Arial" w:hAnsi="Arial" w:cs="Arial"/>
          <w:sz w:val="22"/>
          <w:szCs w:val="22"/>
        </w:rPr>
        <w:t>Udayan</w:t>
      </w:r>
      <w:proofErr w:type="spellEnd"/>
      <w:r w:rsidRPr="00E71E1A">
        <w:rPr>
          <w:rFonts w:ascii="Arial" w:hAnsi="Arial" w:cs="Arial"/>
          <w:sz w:val="22"/>
          <w:szCs w:val="22"/>
        </w:rPr>
        <w:t xml:space="preserve"> and Raghu, 2017). This discrepancy may be attributed to species-specific metabolic pathways, environmental influences, or methodological limitations in detection sensitivity. Alternatively, terpenoids in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may be localized in other plant organs (e.g., leaves or stems) or present in concentrations below histochemical detection thresholds. Similar observations have been reported in histochemical studies of other medicinal plants, where certain metabolites are selectively localized or undetectable depending on tissue type and developmental stage.</w:t>
      </w:r>
    </w:p>
    <w:p w14:paraId="6904AADD"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The findings of this study are consistent with broader histochemical research, which emphasizes the value of in situ localization in understanding plant pharmacological potential. For instance, </w:t>
      </w:r>
      <w:proofErr w:type="spellStart"/>
      <w:r w:rsidRPr="00E71E1A">
        <w:rPr>
          <w:rFonts w:ascii="Arial" w:hAnsi="Arial" w:cs="Arial"/>
          <w:sz w:val="22"/>
          <w:szCs w:val="22"/>
        </w:rPr>
        <w:t>Mahendra</w:t>
      </w:r>
      <w:proofErr w:type="spellEnd"/>
      <w:r w:rsidRPr="00E71E1A">
        <w:rPr>
          <w:rFonts w:ascii="Arial" w:hAnsi="Arial" w:cs="Arial"/>
          <w:sz w:val="22"/>
          <w:szCs w:val="22"/>
        </w:rPr>
        <w:t xml:space="preserve"> </w:t>
      </w:r>
      <w:r w:rsidRPr="009450A2">
        <w:rPr>
          <w:rFonts w:ascii="Arial" w:hAnsi="Arial" w:cs="Arial"/>
          <w:i/>
          <w:sz w:val="22"/>
          <w:szCs w:val="22"/>
        </w:rPr>
        <w:t>et al</w:t>
      </w:r>
      <w:r w:rsidRPr="00E71E1A">
        <w:rPr>
          <w:rFonts w:ascii="Arial" w:hAnsi="Arial" w:cs="Arial"/>
          <w:sz w:val="22"/>
          <w:szCs w:val="22"/>
        </w:rPr>
        <w:t xml:space="preserve">. demonstrated that secondary metabolites in </w:t>
      </w:r>
      <w:r w:rsidRPr="00E71E1A">
        <w:rPr>
          <w:rStyle w:val="Emphasis"/>
          <w:rFonts w:ascii="Arial" w:eastAsiaTheme="majorEastAsia" w:hAnsi="Arial" w:cs="Arial"/>
          <w:sz w:val="22"/>
          <w:szCs w:val="22"/>
        </w:rPr>
        <w:t xml:space="preserve">Salacia </w:t>
      </w:r>
      <w:proofErr w:type="spellStart"/>
      <w:r w:rsidRPr="00E71E1A">
        <w:rPr>
          <w:rStyle w:val="Emphasis"/>
          <w:rFonts w:ascii="Arial" w:eastAsiaTheme="majorEastAsia" w:hAnsi="Arial" w:cs="Arial"/>
          <w:sz w:val="22"/>
          <w:szCs w:val="22"/>
        </w:rPr>
        <w:t>macrosperma</w:t>
      </w:r>
      <w:proofErr w:type="spellEnd"/>
      <w:r w:rsidRPr="00E71E1A">
        <w:rPr>
          <w:rFonts w:ascii="Arial" w:hAnsi="Arial" w:cs="Arial"/>
          <w:sz w:val="22"/>
          <w:szCs w:val="22"/>
        </w:rPr>
        <w:t xml:space="preserve"> are differentially distributed across tissues, influencing both extraction efficiency and therapeutic application. Such parallels reinforce the importance of histochemistry as a tool for </w:t>
      </w:r>
      <w:proofErr w:type="spellStart"/>
      <w:r w:rsidRPr="00E71E1A">
        <w:rPr>
          <w:rFonts w:ascii="Arial" w:hAnsi="Arial" w:cs="Arial"/>
          <w:sz w:val="22"/>
          <w:szCs w:val="22"/>
        </w:rPr>
        <w:t>pharmacognostic</w:t>
      </w:r>
      <w:proofErr w:type="spellEnd"/>
      <w:r w:rsidRPr="00E71E1A">
        <w:rPr>
          <w:rFonts w:ascii="Arial" w:hAnsi="Arial" w:cs="Arial"/>
          <w:sz w:val="22"/>
          <w:szCs w:val="22"/>
        </w:rPr>
        <w:t xml:space="preserve"> standardization, particularly for underexplored medicinal plants like </w:t>
      </w:r>
      <w:proofErr w:type="spellStart"/>
      <w:r w:rsidRPr="00E71E1A">
        <w:rPr>
          <w:rFonts w:ascii="Arial" w:hAnsi="Arial" w:cs="Arial"/>
          <w:sz w:val="22"/>
          <w:szCs w:val="22"/>
        </w:rPr>
        <w:t>Polipog</w:t>
      </w:r>
      <w:proofErr w:type="spellEnd"/>
      <w:r w:rsidRPr="00E71E1A">
        <w:rPr>
          <w:rFonts w:ascii="Arial" w:hAnsi="Arial" w:cs="Arial"/>
          <w:sz w:val="22"/>
          <w:szCs w:val="22"/>
        </w:rPr>
        <w:t>.</w:t>
      </w:r>
    </w:p>
    <w:p w14:paraId="64BC92EE" w14:textId="77777777" w:rsid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This study bridges ethnobotanical knowledge and laboratory-based evidence by demonstrating that the therapeutic properties of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are underpinned by the localized accumulation of bioactive compounds within root tissues. The concentration of alkaloids, steroids, and tannins in specific anatomical regions provides a scientific rationale for the preferential use of roots in traditional preparations. </w:t>
      </w:r>
    </w:p>
    <w:p w14:paraId="6041836F"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lastRenderedPageBreak/>
        <w:t xml:space="preserve">Beyond confirming the presence and localization of key metabolites, the findings of this study underscore the need for more comprehensive pharmacological and chemical investigations. While histochemistry provides critical spatial insight, it does not quantify bioactivity nor identify specific molecular structures. Therefore, it is strongly recommended that future studies on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incorporate a suite of bioactivity assays to validate and expand upon the observed histochemical patterns.</w:t>
      </w:r>
    </w:p>
    <w:p w14:paraId="4C5C1F9A"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Specifically, antimicrobial assays (e.g., disk diffusion and minimum inhibitory concentration tests) should be conducted to quantify the antibacterial efficacy of root extracts against both Gram-positive and Gram-negative organisms. Anti-inflammatory activity may be evaluated through in vitro assays such as cyclooxygenase (COX) inhibition or nitric oxide suppression in macrophage models, while analgesic potential can be further validated using established in vivo models such as the acetic acid-induced writhing test. Additionally, antioxidant capacity assays (e.g., DPPH, ABTS, and FRAP) would be valuable in assessing the functional role of tannins and phenolic compounds. These bioassays will provide functional confirmation of the pharmacological relevance of the metabolites localized in this study.</w:t>
      </w:r>
    </w:p>
    <w:p w14:paraId="576E245E" w14:textId="6C0EF95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Complementary to bioactivity testing, detailed functional group analysis is essential for characterizing the chemical nature of the detected metabolites. Techniques such as Fourier Transform Infrared Spectroscopy (FTIR) can be employed to identify characteristic functional groups (e.g., hydroxyl, carbonyl, and amine groups) associated with tannins, alkaloids, and steroids. Ultraviolet-visible (UV-Vis) spectroscopy may also be used to detect conjugated systems typical of phenolic compounds</w:t>
      </w:r>
      <w:r w:rsidR="005A281C" w:rsidRPr="005A281C">
        <w:rPr>
          <w:rFonts w:ascii="Arial" w:hAnsi="Arial" w:cs="Arial"/>
          <w:sz w:val="21"/>
          <w:szCs w:val="21"/>
        </w:rPr>
        <w:t xml:space="preserve"> </w:t>
      </w:r>
      <w:r w:rsidR="005A281C" w:rsidRPr="007E11E5">
        <w:rPr>
          <w:rFonts w:ascii="Arial" w:hAnsi="Arial" w:cs="Arial"/>
          <w:sz w:val="22"/>
          <w:szCs w:val="22"/>
          <w:highlight w:val="yellow"/>
        </w:rPr>
        <w:t>(De Oliveira, 2013)</w:t>
      </w:r>
      <w:r w:rsidRPr="007E11E5">
        <w:rPr>
          <w:rFonts w:ascii="Arial" w:hAnsi="Arial" w:cs="Arial"/>
          <w:sz w:val="22"/>
          <w:szCs w:val="22"/>
          <w:highlight w:val="yellow"/>
        </w:rPr>
        <w:t>.</w:t>
      </w:r>
      <w:r w:rsidRPr="00E71E1A">
        <w:rPr>
          <w:rFonts w:ascii="Arial" w:hAnsi="Arial" w:cs="Arial"/>
          <w:sz w:val="22"/>
          <w:szCs w:val="22"/>
        </w:rPr>
        <w:t xml:space="preserve"> These preliminary analyses would serve as a bridge between histochemical detection and advanced structural identification.</w:t>
      </w:r>
    </w:p>
    <w:p w14:paraId="3776203C"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For definitive compound identification, advanced structural elucidation techniques are necessary. Chromatographic methods such as High-Performance Liquid Chromatography (HPLC) and Liquid Chromatography–Mass Spectrometry (LC-MS) should be employed to separate and profile the chemical constituents of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 xml:space="preserve"> extracts. Furthermore, Nuclear Magnetic Resonance (NMR) spectroscopy (¹H and ¹³C NMR) is crucial for determining the precise molecular structures of isolated compounds. These approaches would enable the identification of novel or known bioactive molecules, including potential analogs of salacinol-like compounds reported in other </w:t>
      </w:r>
      <w:r w:rsidRPr="00E71E1A">
        <w:rPr>
          <w:rStyle w:val="Emphasis"/>
          <w:rFonts w:ascii="Arial" w:eastAsiaTheme="majorEastAsia" w:hAnsi="Arial" w:cs="Arial"/>
          <w:sz w:val="22"/>
          <w:szCs w:val="22"/>
        </w:rPr>
        <w:t>Salacia</w:t>
      </w:r>
      <w:r w:rsidRPr="00E71E1A">
        <w:rPr>
          <w:rFonts w:ascii="Arial" w:hAnsi="Arial" w:cs="Arial"/>
          <w:sz w:val="22"/>
          <w:szCs w:val="22"/>
        </w:rPr>
        <w:t xml:space="preserve"> species. Integrating these techniques would significantly advance the </w:t>
      </w:r>
      <w:proofErr w:type="spellStart"/>
      <w:r w:rsidRPr="00E71E1A">
        <w:rPr>
          <w:rFonts w:ascii="Arial" w:hAnsi="Arial" w:cs="Arial"/>
          <w:sz w:val="22"/>
          <w:szCs w:val="22"/>
        </w:rPr>
        <w:t>pharmacognostic</w:t>
      </w:r>
      <w:proofErr w:type="spellEnd"/>
      <w:r w:rsidRPr="00E71E1A">
        <w:rPr>
          <w:rFonts w:ascii="Arial" w:hAnsi="Arial" w:cs="Arial"/>
          <w:sz w:val="22"/>
          <w:szCs w:val="22"/>
        </w:rPr>
        <w:t xml:space="preserve"> and phytochemical understanding of </w:t>
      </w:r>
      <w:proofErr w:type="spellStart"/>
      <w:r w:rsidRPr="00E71E1A">
        <w:rPr>
          <w:rFonts w:ascii="Arial" w:hAnsi="Arial" w:cs="Arial"/>
          <w:sz w:val="22"/>
          <w:szCs w:val="22"/>
        </w:rPr>
        <w:t>Polipog</w:t>
      </w:r>
      <w:proofErr w:type="spellEnd"/>
      <w:r w:rsidRPr="00E71E1A">
        <w:rPr>
          <w:rFonts w:ascii="Arial" w:hAnsi="Arial" w:cs="Arial"/>
          <w:sz w:val="22"/>
          <w:szCs w:val="22"/>
        </w:rPr>
        <w:t>.</w:t>
      </w:r>
    </w:p>
    <w:p w14:paraId="49BF81D3" w14:textId="77777777" w:rsidR="00E71E1A" w:rsidRPr="00E71E1A" w:rsidRDefault="00E71E1A" w:rsidP="00E71E1A">
      <w:pPr>
        <w:pStyle w:val="NormalWeb"/>
        <w:jc w:val="both"/>
        <w:rPr>
          <w:rFonts w:ascii="Arial" w:hAnsi="Arial" w:cs="Arial"/>
          <w:sz w:val="22"/>
          <w:szCs w:val="22"/>
        </w:rPr>
      </w:pPr>
      <w:r w:rsidRPr="00E71E1A">
        <w:rPr>
          <w:rFonts w:ascii="Arial" w:hAnsi="Arial" w:cs="Arial"/>
          <w:sz w:val="22"/>
          <w:szCs w:val="22"/>
        </w:rPr>
        <w:t xml:space="preserve">Moreover, correlating histochemical localization with compound isolation could provide insights into tissue-specific biosynthesis and accumulation pathways. For instance, isolating compounds specifically from the pith or endodermis may yield higher concentrations of alkaloids, thereby improving extraction efficiency and guiding targeted drug development strategies. Such an integrated approach—combining histochemistry, bioactivity assays, and structural elucidation—represents a comprehensive framework for validating and harnessing the medicinal potential of </w:t>
      </w:r>
      <w:r w:rsidRPr="00E71E1A">
        <w:rPr>
          <w:rStyle w:val="Emphasis"/>
          <w:rFonts w:ascii="Arial" w:eastAsiaTheme="majorEastAsia" w:hAnsi="Arial" w:cs="Arial"/>
          <w:sz w:val="22"/>
          <w:szCs w:val="22"/>
        </w:rPr>
        <w:t xml:space="preserve">S. </w:t>
      </w:r>
      <w:proofErr w:type="spellStart"/>
      <w:r w:rsidRPr="00E71E1A">
        <w:rPr>
          <w:rStyle w:val="Emphasis"/>
          <w:rFonts w:ascii="Arial" w:eastAsiaTheme="majorEastAsia" w:hAnsi="Arial" w:cs="Arial"/>
          <w:sz w:val="22"/>
          <w:szCs w:val="22"/>
        </w:rPr>
        <w:t>korthalsiana</w:t>
      </w:r>
      <w:proofErr w:type="spellEnd"/>
      <w:r w:rsidRPr="00E71E1A">
        <w:rPr>
          <w:rFonts w:ascii="Arial" w:hAnsi="Arial" w:cs="Arial"/>
          <w:sz w:val="22"/>
          <w:szCs w:val="22"/>
        </w:rPr>
        <w:t>.</w:t>
      </w:r>
    </w:p>
    <w:p w14:paraId="29530FE1" w14:textId="77777777" w:rsidR="00AD2C3E" w:rsidRDefault="00AD2C3E" w:rsidP="00BE0EAA">
      <w:pPr>
        <w:rPr>
          <w:rFonts w:ascii="Arial" w:hAnsi="Arial" w:cs="Arial"/>
          <w:b/>
        </w:rPr>
      </w:pPr>
    </w:p>
    <w:p w14:paraId="1C55DFB2" w14:textId="41180845" w:rsidR="00BE0EAA" w:rsidRPr="00BE0EAA" w:rsidRDefault="00E71E1A" w:rsidP="00BE0EAA">
      <w:pPr>
        <w:rPr>
          <w:rFonts w:ascii="Arial" w:hAnsi="Arial" w:cs="Arial"/>
        </w:rPr>
      </w:pPr>
      <w:r>
        <w:rPr>
          <w:rFonts w:ascii="Arial" w:hAnsi="Arial" w:cs="Arial"/>
          <w:b/>
        </w:rPr>
        <w:t>V</w:t>
      </w:r>
      <w:r w:rsidR="00AD2C3E">
        <w:rPr>
          <w:rFonts w:ascii="Arial" w:hAnsi="Arial" w:cs="Arial"/>
          <w:b/>
        </w:rPr>
        <w:t xml:space="preserve">. </w:t>
      </w:r>
      <w:r w:rsidR="00BE0EAA" w:rsidRPr="00BE0EAA">
        <w:rPr>
          <w:rFonts w:ascii="Arial" w:hAnsi="Arial" w:cs="Arial"/>
          <w:b/>
        </w:rPr>
        <w:t>Conclusions</w:t>
      </w:r>
      <w:r w:rsidR="00BE0EAA" w:rsidRPr="00BE0EAA">
        <w:rPr>
          <w:rFonts w:ascii="Arial" w:hAnsi="Arial" w:cs="Arial"/>
        </w:rPr>
        <w:t xml:space="preserve"> </w:t>
      </w:r>
    </w:p>
    <w:p w14:paraId="082D88F3" w14:textId="6C1C49B6" w:rsidR="00BE0EAA" w:rsidRDefault="00AD2C3E" w:rsidP="00AD2C3E">
      <w:pPr>
        <w:jc w:val="both"/>
        <w:rPr>
          <w:rFonts w:ascii="Arial" w:hAnsi="Arial" w:cs="Arial"/>
        </w:rPr>
      </w:pPr>
      <w:r w:rsidRPr="00AD2C3E">
        <w:rPr>
          <w:rFonts w:ascii="Arial" w:hAnsi="Arial" w:cs="Arial"/>
        </w:rPr>
        <w:t xml:space="preserve">The histochemical analysis conducted in this study was limited to the root samples of </w:t>
      </w:r>
      <w:r w:rsidRPr="00AD2C3E">
        <w:rPr>
          <w:rStyle w:val="Emphasis"/>
          <w:rFonts w:ascii="Arial" w:hAnsi="Arial" w:cs="Arial"/>
        </w:rPr>
        <w:t xml:space="preserve">Salacia </w:t>
      </w:r>
      <w:proofErr w:type="spellStart"/>
      <w:r w:rsidRPr="00AD2C3E">
        <w:rPr>
          <w:rStyle w:val="Emphasis"/>
          <w:rFonts w:ascii="Arial" w:hAnsi="Arial" w:cs="Arial"/>
        </w:rPr>
        <w:t>korthalsiana</w:t>
      </w:r>
      <w:proofErr w:type="spellEnd"/>
      <w:r w:rsidRPr="00AD2C3E">
        <w:rPr>
          <w:rFonts w:ascii="Arial" w:hAnsi="Arial" w:cs="Arial"/>
        </w:rPr>
        <w:t xml:space="preserve">, which revealed positive reactions for alkaloids, steroids, and tannins. The presence of these bioactive compounds within the root tissues suggests that this part of the plant serves as a significant site for the accumulation of secondary metabolites associated with various pharmacological activities. Alkaloids are widely recognized for their therapeutic properties, including analgesic, </w:t>
      </w:r>
      <w:r w:rsidRPr="00AD2C3E">
        <w:rPr>
          <w:rFonts w:ascii="Arial" w:hAnsi="Arial" w:cs="Arial"/>
        </w:rPr>
        <w:lastRenderedPageBreak/>
        <w:t>antimicrobial, and antidiabetic effects, while steroids are known to contribute to anti-inflammatory and hormonal activities. Tannins, on the other hand, possess antioxidant and antimicrobial properties, further supporting the medicinal potential of the plant.</w:t>
      </w:r>
    </w:p>
    <w:p w14:paraId="2ADFB334" w14:textId="4122095D" w:rsidR="00AD2C3E" w:rsidRDefault="00AD2C3E" w:rsidP="00AD2C3E">
      <w:pPr>
        <w:jc w:val="both"/>
        <w:rPr>
          <w:rFonts w:ascii="Arial" w:hAnsi="Arial" w:cs="Arial"/>
          <w:b/>
        </w:rPr>
      </w:pPr>
    </w:p>
    <w:p w14:paraId="51CE0E8C" w14:textId="691101ED" w:rsidR="00CB6306" w:rsidRDefault="00CB6306" w:rsidP="00AD2C3E">
      <w:pPr>
        <w:jc w:val="both"/>
        <w:rPr>
          <w:rFonts w:ascii="Arial" w:hAnsi="Arial" w:cs="Arial"/>
          <w:b/>
        </w:rPr>
      </w:pPr>
    </w:p>
    <w:p w14:paraId="75343485" w14:textId="77777777" w:rsidR="00CB6306" w:rsidRPr="00005ED1" w:rsidRDefault="00CB6306" w:rsidP="00CB6306">
      <w:pPr>
        <w:pStyle w:val="NoSpacing"/>
        <w:rPr>
          <w:rFonts w:ascii="Arial" w:hAnsi="Arial" w:cs="Arial"/>
          <w:highlight w:val="yellow"/>
        </w:rPr>
      </w:pPr>
      <w:bookmarkStart w:id="7" w:name="_Hlk219284361"/>
      <w:bookmarkStart w:id="8" w:name="_Hlk198031404"/>
      <w:r w:rsidRPr="00005ED1">
        <w:rPr>
          <w:rFonts w:ascii="Arial" w:hAnsi="Arial" w:cs="Arial"/>
          <w:highlight w:val="yellow"/>
        </w:rPr>
        <w:t>Disclaimer (Artificial intelligence)</w:t>
      </w:r>
    </w:p>
    <w:p w14:paraId="6ECFC7F4" w14:textId="77777777" w:rsidR="00CB6306" w:rsidRPr="00005ED1" w:rsidRDefault="00CB6306" w:rsidP="00CB6306">
      <w:pPr>
        <w:pStyle w:val="NoSpacing"/>
        <w:rPr>
          <w:rFonts w:ascii="Arial" w:hAnsi="Arial" w:cs="Arial"/>
          <w:highlight w:val="yellow"/>
        </w:rPr>
      </w:pPr>
    </w:p>
    <w:p w14:paraId="3436BC60" w14:textId="77777777" w:rsidR="00CB6306" w:rsidRPr="00005ED1" w:rsidRDefault="00CB6306" w:rsidP="00CB6306">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7"/>
      <w:r w:rsidRPr="00005ED1">
        <w:rPr>
          <w:rFonts w:ascii="Arial" w:hAnsi="Arial" w:cs="Arial"/>
          <w:highlight w:val="yellow"/>
        </w:rPr>
        <w:t xml:space="preserve">. </w:t>
      </w:r>
    </w:p>
    <w:bookmarkEnd w:id="8"/>
    <w:p w14:paraId="4C83BE9C" w14:textId="77777777" w:rsidR="00CB6306" w:rsidRPr="00AD2C3E" w:rsidRDefault="00CB6306" w:rsidP="00AD2C3E">
      <w:pPr>
        <w:jc w:val="both"/>
        <w:rPr>
          <w:rFonts w:ascii="Arial" w:hAnsi="Arial" w:cs="Arial"/>
          <w:b/>
        </w:rPr>
      </w:pPr>
    </w:p>
    <w:p w14:paraId="6EFD25B7" w14:textId="0B3B3191" w:rsidR="00BE0EAA" w:rsidRPr="00BE0EAA" w:rsidRDefault="00AD2C3E" w:rsidP="00BE0EAA">
      <w:pPr>
        <w:rPr>
          <w:rFonts w:ascii="Arial" w:hAnsi="Arial" w:cs="Arial"/>
          <w:b/>
        </w:rPr>
      </w:pPr>
      <w:r>
        <w:rPr>
          <w:rFonts w:ascii="Arial" w:hAnsi="Arial" w:cs="Arial"/>
          <w:b/>
        </w:rPr>
        <w:t>References</w:t>
      </w:r>
    </w:p>
    <w:p w14:paraId="7838DF22" w14:textId="77777777" w:rsidR="00AD2C3E" w:rsidRPr="00AD2C3E" w:rsidRDefault="00AD2C3E" w:rsidP="00AD2C3E">
      <w:pPr>
        <w:tabs>
          <w:tab w:val="left" w:pos="6246"/>
        </w:tabs>
        <w:jc w:val="center"/>
        <w:rPr>
          <w:rFonts w:ascii="Arial" w:hAnsi="Arial" w:cs="Arial"/>
          <w:b/>
          <w:sz w:val="21"/>
          <w:szCs w:val="21"/>
        </w:rPr>
      </w:pPr>
    </w:p>
    <w:p w14:paraId="38D522BF"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r w:rsidRPr="009748C1">
        <w:rPr>
          <w:rFonts w:ascii="Arial" w:hAnsi="Arial" w:cs="Arial"/>
          <w:sz w:val="21"/>
          <w:szCs w:val="21"/>
        </w:rPr>
        <w:t xml:space="preserve">Alvarez, M. L. C., Lim, K. M. C., &amp; </w:t>
      </w:r>
      <w:proofErr w:type="spellStart"/>
      <w:r w:rsidRPr="009748C1">
        <w:rPr>
          <w:rFonts w:ascii="Arial" w:hAnsi="Arial" w:cs="Arial"/>
          <w:sz w:val="21"/>
          <w:szCs w:val="21"/>
        </w:rPr>
        <w:t>Tonog</w:t>
      </w:r>
      <w:proofErr w:type="spellEnd"/>
      <w:r w:rsidRPr="009748C1">
        <w:rPr>
          <w:rFonts w:ascii="Arial" w:hAnsi="Arial" w:cs="Arial"/>
          <w:sz w:val="21"/>
          <w:szCs w:val="21"/>
        </w:rPr>
        <w:t xml:space="preserve">, M. N. (2020). Analgesic activity of </w:t>
      </w:r>
      <w:r w:rsidRPr="009748C1">
        <w:rPr>
          <w:rFonts w:ascii="Arial" w:hAnsi="Arial" w:cs="Arial"/>
          <w:i/>
          <w:iCs/>
          <w:sz w:val="21"/>
          <w:szCs w:val="21"/>
        </w:rPr>
        <w:t xml:space="preserve">Salacia </w:t>
      </w:r>
      <w:proofErr w:type="spellStart"/>
      <w:r w:rsidRPr="009748C1">
        <w:rPr>
          <w:rFonts w:ascii="Arial" w:hAnsi="Arial" w:cs="Arial"/>
          <w:i/>
          <w:iCs/>
          <w:sz w:val="21"/>
          <w:szCs w:val="21"/>
        </w:rPr>
        <w:t>korthalsiana</w:t>
      </w:r>
      <w:proofErr w:type="spellEnd"/>
      <w:r w:rsidRPr="009748C1">
        <w:rPr>
          <w:rFonts w:ascii="Arial" w:hAnsi="Arial" w:cs="Arial"/>
          <w:sz w:val="21"/>
          <w:szCs w:val="21"/>
        </w:rPr>
        <w:t xml:space="preserve"> </w:t>
      </w:r>
      <w:proofErr w:type="spellStart"/>
      <w:r w:rsidRPr="009748C1">
        <w:rPr>
          <w:rFonts w:ascii="Arial" w:hAnsi="Arial" w:cs="Arial"/>
          <w:sz w:val="21"/>
          <w:szCs w:val="21"/>
        </w:rPr>
        <w:t>Miq</w:t>
      </w:r>
      <w:proofErr w:type="spellEnd"/>
      <w:r w:rsidRPr="009748C1">
        <w:rPr>
          <w:rFonts w:ascii="Arial" w:hAnsi="Arial" w:cs="Arial"/>
          <w:sz w:val="21"/>
          <w:szCs w:val="21"/>
        </w:rPr>
        <w:t xml:space="preserve"> (</w:t>
      </w:r>
      <w:proofErr w:type="spellStart"/>
      <w:r w:rsidRPr="009748C1">
        <w:rPr>
          <w:rFonts w:ascii="Arial" w:hAnsi="Arial" w:cs="Arial"/>
          <w:sz w:val="21"/>
          <w:szCs w:val="21"/>
        </w:rPr>
        <w:t>Polipog</w:t>
      </w:r>
      <w:proofErr w:type="spellEnd"/>
      <w:r w:rsidRPr="009748C1">
        <w:rPr>
          <w:rFonts w:ascii="Arial" w:hAnsi="Arial" w:cs="Arial"/>
          <w:sz w:val="21"/>
          <w:szCs w:val="21"/>
        </w:rPr>
        <w:t xml:space="preserve">). </w:t>
      </w:r>
      <w:r w:rsidRPr="009748C1">
        <w:rPr>
          <w:rFonts w:ascii="Arial" w:hAnsi="Arial" w:cs="Arial"/>
          <w:i/>
          <w:iCs/>
          <w:sz w:val="21"/>
          <w:szCs w:val="21"/>
        </w:rPr>
        <w:t>Journal of Pharmaceutical Research International</w:t>
      </w:r>
      <w:r w:rsidRPr="009748C1">
        <w:rPr>
          <w:rFonts w:ascii="Arial" w:hAnsi="Arial" w:cs="Arial"/>
          <w:sz w:val="21"/>
          <w:szCs w:val="21"/>
        </w:rPr>
        <w:t xml:space="preserve">, </w:t>
      </w:r>
      <w:r w:rsidRPr="009748C1">
        <w:rPr>
          <w:rFonts w:ascii="Arial" w:hAnsi="Arial" w:cs="Arial"/>
          <w:i/>
          <w:iCs/>
          <w:sz w:val="21"/>
          <w:szCs w:val="21"/>
        </w:rPr>
        <w:t>32</w:t>
      </w:r>
      <w:r w:rsidRPr="009748C1">
        <w:rPr>
          <w:rFonts w:ascii="Arial" w:hAnsi="Arial" w:cs="Arial"/>
          <w:sz w:val="21"/>
          <w:szCs w:val="21"/>
        </w:rPr>
        <w:t xml:space="preserve">(36), 58–61. </w:t>
      </w:r>
      <w:hyperlink r:id="rId12" w:tgtFrame="_blank" w:history="1">
        <w:r w:rsidRPr="009748C1">
          <w:rPr>
            <w:rStyle w:val="Hyperlink"/>
            <w:rFonts w:ascii="Arial" w:hAnsi="Arial" w:cs="Arial"/>
            <w:sz w:val="21"/>
            <w:szCs w:val="21"/>
          </w:rPr>
          <w:t>https://doi.org/10.9734/JPRI/2020/v32i3630992</w:t>
        </w:r>
      </w:hyperlink>
    </w:p>
    <w:p w14:paraId="63A2DBEA"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t>Belga</w:t>
      </w:r>
      <w:proofErr w:type="spellEnd"/>
      <w:r w:rsidRPr="009748C1">
        <w:rPr>
          <w:rFonts w:ascii="Arial" w:hAnsi="Arial" w:cs="Arial"/>
          <w:sz w:val="21"/>
          <w:szCs w:val="21"/>
        </w:rPr>
        <w:t xml:space="preserve">, R. O., </w:t>
      </w:r>
      <w:proofErr w:type="spellStart"/>
      <w:r w:rsidRPr="009748C1">
        <w:rPr>
          <w:rFonts w:ascii="Arial" w:hAnsi="Arial" w:cs="Arial"/>
          <w:sz w:val="21"/>
          <w:szCs w:val="21"/>
        </w:rPr>
        <w:t>Mahinay</w:t>
      </w:r>
      <w:proofErr w:type="spellEnd"/>
      <w:r w:rsidRPr="009748C1">
        <w:rPr>
          <w:rFonts w:ascii="Arial" w:hAnsi="Arial" w:cs="Arial"/>
          <w:sz w:val="21"/>
          <w:szCs w:val="21"/>
        </w:rPr>
        <w:t xml:space="preserve">, F. P., &amp; </w:t>
      </w:r>
      <w:proofErr w:type="spellStart"/>
      <w:r w:rsidRPr="009748C1">
        <w:rPr>
          <w:rFonts w:ascii="Arial" w:hAnsi="Arial" w:cs="Arial"/>
          <w:sz w:val="21"/>
          <w:szCs w:val="21"/>
        </w:rPr>
        <w:t>Vicencio</w:t>
      </w:r>
      <w:proofErr w:type="spellEnd"/>
      <w:r w:rsidRPr="009748C1">
        <w:rPr>
          <w:rFonts w:ascii="Arial" w:hAnsi="Arial" w:cs="Arial"/>
          <w:sz w:val="21"/>
          <w:szCs w:val="21"/>
        </w:rPr>
        <w:t xml:space="preserve">, M. C. G. (2021). Utilization of </w:t>
      </w:r>
      <w:r w:rsidRPr="009748C1">
        <w:rPr>
          <w:rFonts w:ascii="Arial" w:hAnsi="Arial" w:cs="Arial"/>
          <w:i/>
          <w:iCs/>
          <w:sz w:val="21"/>
          <w:szCs w:val="21"/>
        </w:rPr>
        <w:t xml:space="preserve">Salacia </w:t>
      </w:r>
      <w:proofErr w:type="spellStart"/>
      <w:r w:rsidRPr="009748C1">
        <w:rPr>
          <w:rFonts w:ascii="Arial" w:hAnsi="Arial" w:cs="Arial"/>
          <w:i/>
          <w:iCs/>
          <w:sz w:val="21"/>
          <w:szCs w:val="21"/>
        </w:rPr>
        <w:t>korthalsiana</w:t>
      </w:r>
      <w:proofErr w:type="spellEnd"/>
      <w:r w:rsidRPr="009748C1">
        <w:rPr>
          <w:rFonts w:ascii="Arial" w:hAnsi="Arial" w:cs="Arial"/>
          <w:sz w:val="21"/>
          <w:szCs w:val="21"/>
        </w:rPr>
        <w:t xml:space="preserve"> </w:t>
      </w:r>
      <w:proofErr w:type="spellStart"/>
      <w:r w:rsidRPr="009748C1">
        <w:rPr>
          <w:rFonts w:ascii="Arial" w:hAnsi="Arial" w:cs="Arial"/>
          <w:sz w:val="21"/>
          <w:szCs w:val="21"/>
        </w:rPr>
        <w:t>Miq</w:t>
      </w:r>
      <w:proofErr w:type="spellEnd"/>
      <w:r w:rsidRPr="009748C1">
        <w:rPr>
          <w:rFonts w:ascii="Arial" w:hAnsi="Arial" w:cs="Arial"/>
          <w:sz w:val="21"/>
          <w:szCs w:val="21"/>
        </w:rPr>
        <w:t xml:space="preserve"> (</w:t>
      </w:r>
      <w:proofErr w:type="spellStart"/>
      <w:r w:rsidRPr="009748C1">
        <w:rPr>
          <w:rFonts w:ascii="Arial" w:hAnsi="Arial" w:cs="Arial"/>
          <w:sz w:val="21"/>
          <w:szCs w:val="21"/>
        </w:rPr>
        <w:t>Polipog</w:t>
      </w:r>
      <w:proofErr w:type="spellEnd"/>
      <w:r w:rsidRPr="009748C1">
        <w:rPr>
          <w:rFonts w:ascii="Arial" w:hAnsi="Arial" w:cs="Arial"/>
          <w:sz w:val="21"/>
          <w:szCs w:val="21"/>
        </w:rPr>
        <w:t xml:space="preserve">) of </w:t>
      </w:r>
      <w:proofErr w:type="spellStart"/>
      <w:r w:rsidRPr="009748C1">
        <w:rPr>
          <w:rFonts w:ascii="Arial" w:hAnsi="Arial" w:cs="Arial"/>
          <w:sz w:val="21"/>
          <w:szCs w:val="21"/>
        </w:rPr>
        <w:t>Mamanwa</w:t>
      </w:r>
      <w:proofErr w:type="spellEnd"/>
      <w:r w:rsidRPr="009748C1">
        <w:rPr>
          <w:rFonts w:ascii="Arial" w:hAnsi="Arial" w:cs="Arial"/>
          <w:sz w:val="21"/>
          <w:szCs w:val="21"/>
        </w:rPr>
        <w:t xml:space="preserve"> Tribe in Las </w:t>
      </w:r>
      <w:proofErr w:type="spellStart"/>
      <w:r w:rsidRPr="009748C1">
        <w:rPr>
          <w:rFonts w:ascii="Arial" w:hAnsi="Arial" w:cs="Arial"/>
          <w:sz w:val="21"/>
          <w:szCs w:val="21"/>
        </w:rPr>
        <w:t>Navas</w:t>
      </w:r>
      <w:proofErr w:type="spellEnd"/>
      <w:r w:rsidRPr="009748C1">
        <w:rPr>
          <w:rFonts w:ascii="Arial" w:hAnsi="Arial" w:cs="Arial"/>
          <w:sz w:val="21"/>
          <w:szCs w:val="21"/>
        </w:rPr>
        <w:t xml:space="preserve">, Northern Samar. </w:t>
      </w:r>
      <w:r w:rsidRPr="009748C1">
        <w:rPr>
          <w:rFonts w:ascii="Arial" w:hAnsi="Arial" w:cs="Arial"/>
          <w:i/>
          <w:iCs/>
          <w:sz w:val="21"/>
          <w:szCs w:val="21"/>
        </w:rPr>
        <w:t>Asian Journal of Biology</w:t>
      </w:r>
      <w:r w:rsidRPr="009748C1">
        <w:rPr>
          <w:rFonts w:ascii="Arial" w:hAnsi="Arial" w:cs="Arial"/>
          <w:sz w:val="21"/>
          <w:szCs w:val="21"/>
        </w:rPr>
        <w:t xml:space="preserve">, </w:t>
      </w:r>
      <w:r w:rsidRPr="009748C1">
        <w:rPr>
          <w:rFonts w:ascii="Arial" w:hAnsi="Arial" w:cs="Arial"/>
          <w:i/>
          <w:iCs/>
          <w:sz w:val="21"/>
          <w:szCs w:val="21"/>
        </w:rPr>
        <w:t>11</w:t>
      </w:r>
      <w:r w:rsidRPr="009748C1">
        <w:rPr>
          <w:rFonts w:ascii="Arial" w:hAnsi="Arial" w:cs="Arial"/>
          <w:sz w:val="21"/>
          <w:szCs w:val="21"/>
        </w:rPr>
        <w:t xml:space="preserve">(1), 22–28. </w:t>
      </w:r>
      <w:hyperlink r:id="rId13" w:tgtFrame="_blank" w:history="1">
        <w:r w:rsidRPr="009748C1">
          <w:rPr>
            <w:rStyle w:val="Hyperlink"/>
            <w:rFonts w:ascii="Arial" w:hAnsi="Arial" w:cs="Arial"/>
            <w:sz w:val="21"/>
            <w:szCs w:val="21"/>
          </w:rPr>
          <w:t>https://doi.org/10.9734/ajob/2021/v11i130133</w:t>
        </w:r>
      </w:hyperlink>
    </w:p>
    <w:p w14:paraId="79DB9ABD"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r w:rsidRPr="009748C1">
        <w:rPr>
          <w:rFonts w:ascii="Arial" w:hAnsi="Arial" w:cs="Arial"/>
          <w:sz w:val="21"/>
          <w:szCs w:val="21"/>
        </w:rPr>
        <w:t xml:space="preserve">Cui-Lim, K. M. R., </w:t>
      </w:r>
      <w:proofErr w:type="spellStart"/>
      <w:r w:rsidRPr="009748C1">
        <w:rPr>
          <w:rFonts w:ascii="Arial" w:hAnsi="Arial" w:cs="Arial"/>
          <w:sz w:val="21"/>
          <w:szCs w:val="21"/>
        </w:rPr>
        <w:t>Dagalea</w:t>
      </w:r>
      <w:proofErr w:type="spellEnd"/>
      <w:r w:rsidRPr="009748C1">
        <w:rPr>
          <w:rFonts w:ascii="Arial" w:hAnsi="Arial" w:cs="Arial"/>
          <w:sz w:val="21"/>
          <w:szCs w:val="21"/>
        </w:rPr>
        <w:t xml:space="preserve">, F. M. S., </w:t>
      </w:r>
      <w:proofErr w:type="spellStart"/>
      <w:r w:rsidRPr="009748C1">
        <w:rPr>
          <w:rFonts w:ascii="Arial" w:hAnsi="Arial" w:cs="Arial"/>
          <w:sz w:val="21"/>
          <w:szCs w:val="21"/>
        </w:rPr>
        <w:t>Doncillo</w:t>
      </w:r>
      <w:proofErr w:type="spellEnd"/>
      <w:r w:rsidRPr="009748C1">
        <w:rPr>
          <w:rFonts w:ascii="Arial" w:hAnsi="Arial" w:cs="Arial"/>
          <w:sz w:val="21"/>
          <w:szCs w:val="21"/>
        </w:rPr>
        <w:t xml:space="preserve">, M. L., &amp; Ultra, C. I. (2020). Preparation and application of </w:t>
      </w:r>
      <w:r w:rsidRPr="009748C1">
        <w:rPr>
          <w:rFonts w:ascii="Arial" w:hAnsi="Arial" w:cs="Arial"/>
          <w:i/>
          <w:iCs/>
          <w:sz w:val="21"/>
          <w:szCs w:val="21"/>
        </w:rPr>
        <w:t xml:space="preserve">Salacia </w:t>
      </w:r>
      <w:proofErr w:type="spellStart"/>
      <w:r w:rsidRPr="009748C1">
        <w:rPr>
          <w:rFonts w:ascii="Arial" w:hAnsi="Arial" w:cs="Arial"/>
          <w:i/>
          <w:iCs/>
          <w:sz w:val="21"/>
          <w:szCs w:val="21"/>
        </w:rPr>
        <w:t>korthalsiana</w:t>
      </w:r>
      <w:proofErr w:type="spellEnd"/>
      <w:r w:rsidRPr="009748C1">
        <w:rPr>
          <w:rFonts w:ascii="Arial" w:hAnsi="Arial" w:cs="Arial"/>
          <w:sz w:val="21"/>
          <w:szCs w:val="21"/>
        </w:rPr>
        <w:t xml:space="preserve"> </w:t>
      </w:r>
      <w:proofErr w:type="spellStart"/>
      <w:r w:rsidRPr="009748C1">
        <w:rPr>
          <w:rFonts w:ascii="Arial" w:hAnsi="Arial" w:cs="Arial"/>
          <w:sz w:val="21"/>
          <w:szCs w:val="21"/>
        </w:rPr>
        <w:t>Miq</w:t>
      </w:r>
      <w:proofErr w:type="spellEnd"/>
      <w:r w:rsidRPr="009748C1">
        <w:rPr>
          <w:rFonts w:ascii="Arial" w:hAnsi="Arial" w:cs="Arial"/>
          <w:sz w:val="21"/>
          <w:szCs w:val="21"/>
        </w:rPr>
        <w:t>. (</w:t>
      </w:r>
      <w:proofErr w:type="spellStart"/>
      <w:r w:rsidRPr="009748C1">
        <w:rPr>
          <w:rFonts w:ascii="Arial" w:hAnsi="Arial" w:cs="Arial"/>
          <w:sz w:val="21"/>
          <w:szCs w:val="21"/>
        </w:rPr>
        <w:t>Polipog</w:t>
      </w:r>
      <w:proofErr w:type="spellEnd"/>
      <w:r w:rsidRPr="009748C1">
        <w:rPr>
          <w:rFonts w:ascii="Arial" w:hAnsi="Arial" w:cs="Arial"/>
          <w:sz w:val="21"/>
          <w:szCs w:val="21"/>
        </w:rPr>
        <w:t xml:space="preserve">) root extract. </w:t>
      </w:r>
      <w:r w:rsidRPr="009748C1">
        <w:rPr>
          <w:rFonts w:ascii="Arial" w:hAnsi="Arial" w:cs="Arial"/>
          <w:i/>
          <w:iCs/>
          <w:sz w:val="21"/>
          <w:szCs w:val="21"/>
        </w:rPr>
        <w:t>Solid State Technology</w:t>
      </w:r>
      <w:r w:rsidRPr="009748C1">
        <w:rPr>
          <w:rFonts w:ascii="Arial" w:hAnsi="Arial" w:cs="Arial"/>
          <w:sz w:val="21"/>
          <w:szCs w:val="21"/>
        </w:rPr>
        <w:t xml:space="preserve">, </w:t>
      </w:r>
      <w:r w:rsidRPr="009748C1">
        <w:rPr>
          <w:rFonts w:ascii="Arial" w:hAnsi="Arial" w:cs="Arial"/>
          <w:i/>
          <w:iCs/>
          <w:sz w:val="21"/>
          <w:szCs w:val="21"/>
        </w:rPr>
        <w:t>63</w:t>
      </w:r>
      <w:r w:rsidRPr="009748C1">
        <w:rPr>
          <w:rFonts w:ascii="Arial" w:hAnsi="Arial" w:cs="Arial"/>
          <w:sz w:val="21"/>
          <w:szCs w:val="21"/>
        </w:rPr>
        <w:t xml:space="preserve">(2s), 1435–1443. </w:t>
      </w:r>
    </w:p>
    <w:p w14:paraId="78CC32BA"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r w:rsidRPr="009748C1">
        <w:rPr>
          <w:rFonts w:ascii="Arial" w:hAnsi="Arial" w:cs="Arial"/>
          <w:sz w:val="21"/>
          <w:szCs w:val="21"/>
        </w:rPr>
        <w:t xml:space="preserve">De Oliveira. 2013. Structure, Histochemistry </w:t>
      </w:r>
      <w:proofErr w:type="gramStart"/>
      <w:r w:rsidRPr="009748C1">
        <w:rPr>
          <w:rFonts w:ascii="Arial" w:hAnsi="Arial" w:cs="Arial"/>
          <w:sz w:val="21"/>
          <w:szCs w:val="21"/>
        </w:rPr>
        <w:t>and  Phytochemical</w:t>
      </w:r>
      <w:proofErr w:type="gramEnd"/>
      <w:r w:rsidRPr="009748C1">
        <w:rPr>
          <w:rFonts w:ascii="Arial" w:hAnsi="Arial" w:cs="Arial"/>
          <w:sz w:val="21"/>
          <w:szCs w:val="21"/>
        </w:rPr>
        <w:t xml:space="preserve"> profile of the bark of the </w:t>
      </w:r>
      <w:proofErr w:type="spellStart"/>
      <w:r w:rsidRPr="009748C1">
        <w:rPr>
          <w:rFonts w:ascii="Arial" w:hAnsi="Arial" w:cs="Arial"/>
          <w:sz w:val="21"/>
          <w:szCs w:val="21"/>
        </w:rPr>
        <w:t>sobol</w:t>
      </w:r>
      <w:proofErr w:type="spellEnd"/>
      <w:r w:rsidRPr="009748C1">
        <w:rPr>
          <w:rFonts w:ascii="Arial" w:hAnsi="Arial" w:cs="Arial"/>
          <w:sz w:val="21"/>
          <w:szCs w:val="21"/>
        </w:rPr>
        <w:t xml:space="preserve"> and aerial stem of </w:t>
      </w:r>
      <w:proofErr w:type="spellStart"/>
      <w:r w:rsidRPr="009748C1">
        <w:rPr>
          <w:rFonts w:ascii="Arial" w:hAnsi="Arial" w:cs="Arial"/>
          <w:sz w:val="21"/>
          <w:szCs w:val="21"/>
        </w:rPr>
        <w:t>Tonteleamicrantha</w:t>
      </w:r>
      <w:proofErr w:type="spellEnd"/>
      <w:r w:rsidRPr="009748C1">
        <w:rPr>
          <w:rFonts w:ascii="Arial" w:hAnsi="Arial" w:cs="Arial"/>
          <w:sz w:val="21"/>
          <w:szCs w:val="21"/>
        </w:rPr>
        <w:t xml:space="preserve"> (</w:t>
      </w:r>
      <w:proofErr w:type="spellStart"/>
      <w:r w:rsidRPr="009748C1">
        <w:rPr>
          <w:rFonts w:ascii="Arial" w:hAnsi="Arial" w:cs="Arial"/>
          <w:sz w:val="21"/>
          <w:szCs w:val="21"/>
        </w:rPr>
        <w:t>Celastraceae-Hippocrateoideae</w:t>
      </w:r>
      <w:proofErr w:type="spellEnd"/>
      <w:r w:rsidRPr="009748C1">
        <w:rPr>
          <w:rFonts w:ascii="Arial" w:hAnsi="Arial" w:cs="Arial"/>
          <w:sz w:val="21"/>
          <w:szCs w:val="21"/>
        </w:rPr>
        <w:t xml:space="preserve">).  Annals of the Brazilian Academy of Sciences, pp 1167-1179. </w:t>
      </w:r>
    </w:p>
    <w:p w14:paraId="70638DCC"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t>Edeoga</w:t>
      </w:r>
      <w:proofErr w:type="spellEnd"/>
      <w:r w:rsidRPr="009748C1">
        <w:rPr>
          <w:rFonts w:ascii="Arial" w:hAnsi="Arial" w:cs="Arial"/>
          <w:sz w:val="21"/>
          <w:szCs w:val="21"/>
        </w:rPr>
        <w:t>. 2007. Microscopic Anatomy and Histochemistry of the Stem and Root of some Mimosa species, Plant Sciences. 688-691.</w:t>
      </w:r>
    </w:p>
    <w:p w14:paraId="3643B49C"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t>Intal</w:t>
      </w:r>
      <w:proofErr w:type="spellEnd"/>
      <w:r w:rsidRPr="009748C1">
        <w:rPr>
          <w:rFonts w:ascii="Arial" w:hAnsi="Arial" w:cs="Arial"/>
          <w:sz w:val="21"/>
          <w:szCs w:val="21"/>
        </w:rPr>
        <w:t xml:space="preserve"> AJ. 2011. Partial Characterization of </w:t>
      </w:r>
      <w:proofErr w:type="spellStart"/>
      <w:r w:rsidRPr="009748C1">
        <w:rPr>
          <w:rFonts w:ascii="Arial" w:hAnsi="Arial" w:cs="Arial"/>
          <w:sz w:val="21"/>
          <w:szCs w:val="21"/>
        </w:rPr>
        <w:t>Connarussemid</w:t>
      </w:r>
      <w:proofErr w:type="spellEnd"/>
      <w:r w:rsidRPr="009748C1">
        <w:rPr>
          <w:rFonts w:ascii="Arial" w:hAnsi="Arial" w:cs="Arial"/>
          <w:sz w:val="21"/>
          <w:szCs w:val="21"/>
        </w:rPr>
        <w:t xml:space="preserve"> (</w:t>
      </w:r>
      <w:proofErr w:type="spellStart"/>
      <w:r w:rsidRPr="009748C1">
        <w:rPr>
          <w:rFonts w:ascii="Arial" w:hAnsi="Arial" w:cs="Arial"/>
          <w:sz w:val="21"/>
          <w:szCs w:val="21"/>
        </w:rPr>
        <w:t>Polipog</w:t>
      </w:r>
      <w:proofErr w:type="spellEnd"/>
      <w:r w:rsidRPr="009748C1">
        <w:rPr>
          <w:rFonts w:ascii="Arial" w:hAnsi="Arial" w:cs="Arial"/>
          <w:sz w:val="21"/>
          <w:szCs w:val="21"/>
        </w:rPr>
        <w:t xml:space="preserve">) Leaves, Barks, and Roots. Unpublished Research Paper, College of Science, University of Eastern Philippines, University Town, </w:t>
      </w:r>
      <w:proofErr w:type="spellStart"/>
      <w:r w:rsidRPr="009748C1">
        <w:rPr>
          <w:rFonts w:ascii="Arial" w:hAnsi="Arial" w:cs="Arial"/>
          <w:sz w:val="21"/>
          <w:szCs w:val="21"/>
        </w:rPr>
        <w:t>Catarman</w:t>
      </w:r>
      <w:proofErr w:type="spellEnd"/>
      <w:r w:rsidRPr="009748C1">
        <w:rPr>
          <w:rFonts w:ascii="Arial" w:hAnsi="Arial" w:cs="Arial"/>
          <w:sz w:val="21"/>
          <w:szCs w:val="21"/>
        </w:rPr>
        <w:t xml:space="preserve"> Northern Samar.</w:t>
      </w:r>
    </w:p>
    <w:p w14:paraId="5E7494EB"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t>Madario</w:t>
      </w:r>
      <w:proofErr w:type="spellEnd"/>
      <w:r w:rsidRPr="009748C1">
        <w:rPr>
          <w:rFonts w:ascii="Arial" w:hAnsi="Arial" w:cs="Arial"/>
          <w:sz w:val="21"/>
          <w:szCs w:val="21"/>
        </w:rPr>
        <w:t xml:space="preserve">, M. J., </w:t>
      </w:r>
      <w:proofErr w:type="spellStart"/>
      <w:r w:rsidRPr="009748C1">
        <w:rPr>
          <w:rFonts w:ascii="Arial" w:hAnsi="Arial" w:cs="Arial"/>
          <w:sz w:val="21"/>
          <w:szCs w:val="21"/>
        </w:rPr>
        <w:t>Tonog</w:t>
      </w:r>
      <w:proofErr w:type="spellEnd"/>
      <w:r w:rsidRPr="009748C1">
        <w:rPr>
          <w:rFonts w:ascii="Arial" w:hAnsi="Arial" w:cs="Arial"/>
          <w:sz w:val="21"/>
          <w:szCs w:val="21"/>
        </w:rPr>
        <w:t xml:space="preserve">, M. N., &amp; Lim, K. M. C. (2023). Screening and partial characterization of secondary metabolite of </w:t>
      </w:r>
      <w:r w:rsidRPr="009748C1">
        <w:rPr>
          <w:rFonts w:ascii="Arial" w:hAnsi="Arial" w:cs="Arial"/>
          <w:i/>
          <w:iCs/>
          <w:sz w:val="21"/>
          <w:szCs w:val="21"/>
        </w:rPr>
        <w:t xml:space="preserve">Salacia </w:t>
      </w:r>
      <w:proofErr w:type="spellStart"/>
      <w:r w:rsidRPr="009748C1">
        <w:rPr>
          <w:rFonts w:ascii="Arial" w:hAnsi="Arial" w:cs="Arial"/>
          <w:i/>
          <w:iCs/>
          <w:sz w:val="21"/>
          <w:szCs w:val="21"/>
        </w:rPr>
        <w:t>korthalsiana</w:t>
      </w:r>
      <w:proofErr w:type="spellEnd"/>
      <w:r w:rsidRPr="009748C1">
        <w:rPr>
          <w:rFonts w:ascii="Arial" w:hAnsi="Arial" w:cs="Arial"/>
          <w:sz w:val="21"/>
          <w:szCs w:val="21"/>
        </w:rPr>
        <w:t xml:space="preserve"> </w:t>
      </w:r>
      <w:proofErr w:type="spellStart"/>
      <w:r w:rsidRPr="009748C1">
        <w:rPr>
          <w:rFonts w:ascii="Arial" w:hAnsi="Arial" w:cs="Arial"/>
          <w:sz w:val="21"/>
          <w:szCs w:val="21"/>
        </w:rPr>
        <w:t>Miq</w:t>
      </w:r>
      <w:proofErr w:type="spellEnd"/>
      <w:r w:rsidRPr="009748C1">
        <w:rPr>
          <w:rFonts w:ascii="Arial" w:hAnsi="Arial" w:cs="Arial"/>
          <w:sz w:val="21"/>
          <w:szCs w:val="21"/>
        </w:rPr>
        <w:t>. (</w:t>
      </w:r>
      <w:proofErr w:type="spellStart"/>
      <w:r w:rsidRPr="009748C1">
        <w:rPr>
          <w:rFonts w:ascii="Arial" w:hAnsi="Arial" w:cs="Arial"/>
          <w:sz w:val="21"/>
          <w:szCs w:val="21"/>
        </w:rPr>
        <w:t>Polipog</w:t>
      </w:r>
      <w:proofErr w:type="spellEnd"/>
      <w:r w:rsidRPr="009748C1">
        <w:rPr>
          <w:rFonts w:ascii="Arial" w:hAnsi="Arial" w:cs="Arial"/>
          <w:sz w:val="21"/>
          <w:szCs w:val="21"/>
        </w:rPr>
        <w:t xml:space="preserve">) root decocted extract. </w:t>
      </w:r>
      <w:r w:rsidRPr="009748C1">
        <w:rPr>
          <w:rFonts w:ascii="Arial" w:hAnsi="Arial" w:cs="Arial"/>
          <w:i/>
          <w:iCs/>
          <w:sz w:val="21"/>
          <w:szCs w:val="21"/>
        </w:rPr>
        <w:t>Asian Plant Research Journal</w:t>
      </w:r>
      <w:r w:rsidRPr="009748C1">
        <w:rPr>
          <w:rFonts w:ascii="Arial" w:hAnsi="Arial" w:cs="Arial"/>
          <w:sz w:val="21"/>
          <w:szCs w:val="21"/>
        </w:rPr>
        <w:t xml:space="preserve">, </w:t>
      </w:r>
      <w:r w:rsidRPr="009748C1">
        <w:rPr>
          <w:rFonts w:ascii="Arial" w:hAnsi="Arial" w:cs="Arial"/>
          <w:i/>
          <w:iCs/>
          <w:sz w:val="21"/>
          <w:szCs w:val="21"/>
        </w:rPr>
        <w:t>11</w:t>
      </w:r>
      <w:r w:rsidRPr="009748C1">
        <w:rPr>
          <w:rFonts w:ascii="Arial" w:hAnsi="Arial" w:cs="Arial"/>
          <w:sz w:val="21"/>
          <w:szCs w:val="21"/>
        </w:rPr>
        <w:t xml:space="preserve">(2), 50–55. </w:t>
      </w:r>
      <w:hyperlink r:id="rId14" w:tgtFrame="_blank" w:history="1">
        <w:r w:rsidRPr="009748C1">
          <w:rPr>
            <w:rStyle w:val="Hyperlink"/>
            <w:rFonts w:ascii="Arial" w:hAnsi="Arial" w:cs="Arial"/>
            <w:sz w:val="21"/>
            <w:szCs w:val="21"/>
          </w:rPr>
          <w:t>https://doi.org/10.9734/aprj/2023/v11i2209</w:t>
        </w:r>
      </w:hyperlink>
    </w:p>
    <w:p w14:paraId="3981E9D1"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t>Mahendra</w:t>
      </w:r>
      <w:proofErr w:type="spellEnd"/>
      <w:r w:rsidRPr="009748C1">
        <w:rPr>
          <w:rFonts w:ascii="Arial" w:hAnsi="Arial" w:cs="Arial"/>
          <w:sz w:val="21"/>
          <w:szCs w:val="21"/>
        </w:rPr>
        <w:t xml:space="preserve">, C., </w:t>
      </w:r>
      <w:proofErr w:type="spellStart"/>
      <w:r w:rsidRPr="009748C1">
        <w:rPr>
          <w:rFonts w:ascii="Arial" w:hAnsi="Arial" w:cs="Arial"/>
          <w:sz w:val="21"/>
          <w:szCs w:val="21"/>
        </w:rPr>
        <w:t>Sudarshana</w:t>
      </w:r>
      <w:proofErr w:type="spellEnd"/>
      <w:r w:rsidRPr="009748C1">
        <w:rPr>
          <w:rFonts w:ascii="Arial" w:hAnsi="Arial" w:cs="Arial"/>
          <w:sz w:val="21"/>
          <w:szCs w:val="21"/>
        </w:rPr>
        <w:t xml:space="preserve">, M. S., &amp; Jagannath, S. (2021). Histochemical localization of secondary metabolites </w:t>
      </w:r>
      <w:r w:rsidRPr="009748C1">
        <w:rPr>
          <w:rFonts w:ascii="Arial" w:hAnsi="Arial" w:cs="Arial"/>
          <w:i/>
          <w:iCs/>
          <w:sz w:val="21"/>
          <w:szCs w:val="21"/>
        </w:rPr>
        <w:t>in vivo</w:t>
      </w:r>
      <w:r w:rsidRPr="009748C1">
        <w:rPr>
          <w:rFonts w:ascii="Arial" w:hAnsi="Arial" w:cs="Arial"/>
          <w:sz w:val="21"/>
          <w:szCs w:val="21"/>
        </w:rPr>
        <w:t xml:space="preserve">, </w:t>
      </w:r>
      <w:r w:rsidRPr="009748C1">
        <w:rPr>
          <w:rFonts w:ascii="Arial" w:hAnsi="Arial" w:cs="Arial"/>
          <w:i/>
          <w:iCs/>
          <w:sz w:val="21"/>
          <w:szCs w:val="21"/>
        </w:rPr>
        <w:t>in vitro</w:t>
      </w:r>
      <w:r w:rsidRPr="009748C1">
        <w:rPr>
          <w:rFonts w:ascii="Arial" w:hAnsi="Arial" w:cs="Arial"/>
          <w:sz w:val="21"/>
          <w:szCs w:val="21"/>
        </w:rPr>
        <w:t xml:space="preserve"> leaf and leaf derived callus of </w:t>
      </w:r>
      <w:r w:rsidRPr="009748C1">
        <w:rPr>
          <w:rFonts w:ascii="Arial" w:hAnsi="Arial" w:cs="Arial"/>
          <w:i/>
          <w:iCs/>
          <w:sz w:val="21"/>
          <w:szCs w:val="21"/>
        </w:rPr>
        <w:t xml:space="preserve">Salacia </w:t>
      </w:r>
      <w:proofErr w:type="spellStart"/>
      <w:r w:rsidRPr="009748C1">
        <w:rPr>
          <w:rFonts w:ascii="Arial" w:hAnsi="Arial" w:cs="Arial"/>
          <w:i/>
          <w:iCs/>
          <w:sz w:val="21"/>
          <w:szCs w:val="21"/>
        </w:rPr>
        <w:t>macrosperma</w:t>
      </w:r>
      <w:proofErr w:type="spellEnd"/>
      <w:r w:rsidRPr="009748C1">
        <w:rPr>
          <w:rFonts w:ascii="Arial" w:hAnsi="Arial" w:cs="Arial"/>
          <w:sz w:val="21"/>
          <w:szCs w:val="21"/>
        </w:rPr>
        <w:t xml:space="preserve"> Wight. </w:t>
      </w:r>
      <w:r w:rsidRPr="009748C1">
        <w:rPr>
          <w:rFonts w:ascii="Arial" w:hAnsi="Arial" w:cs="Arial"/>
          <w:i/>
          <w:iCs/>
          <w:sz w:val="21"/>
          <w:szCs w:val="21"/>
        </w:rPr>
        <w:t>Tropical Plant Research</w:t>
      </w:r>
      <w:r w:rsidRPr="009748C1">
        <w:rPr>
          <w:rFonts w:ascii="Arial" w:hAnsi="Arial" w:cs="Arial"/>
          <w:sz w:val="21"/>
          <w:szCs w:val="21"/>
        </w:rPr>
        <w:t xml:space="preserve">, </w:t>
      </w:r>
      <w:r w:rsidRPr="009748C1">
        <w:rPr>
          <w:rFonts w:ascii="Arial" w:hAnsi="Arial" w:cs="Arial"/>
          <w:i/>
          <w:iCs/>
          <w:sz w:val="21"/>
          <w:szCs w:val="21"/>
        </w:rPr>
        <w:t>8</w:t>
      </w:r>
      <w:r w:rsidRPr="009748C1">
        <w:rPr>
          <w:rFonts w:ascii="Arial" w:hAnsi="Arial" w:cs="Arial"/>
          <w:sz w:val="21"/>
          <w:szCs w:val="21"/>
        </w:rPr>
        <w:t xml:space="preserve">(1), 13–21. </w:t>
      </w:r>
      <w:hyperlink r:id="rId15" w:tgtFrame="_blank" w:history="1">
        <w:r w:rsidRPr="009748C1">
          <w:rPr>
            <w:rStyle w:val="Hyperlink"/>
            <w:rFonts w:ascii="Arial" w:hAnsi="Arial" w:cs="Arial"/>
            <w:sz w:val="21"/>
            <w:szCs w:val="21"/>
          </w:rPr>
          <w:t>https://doi.org/10.22271/tpr.2021.v8.i1.003</w:t>
        </w:r>
      </w:hyperlink>
    </w:p>
    <w:p w14:paraId="47F3C6B9"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t>Musumeci</w:t>
      </w:r>
      <w:proofErr w:type="spellEnd"/>
      <w:r w:rsidRPr="009748C1">
        <w:rPr>
          <w:rFonts w:ascii="Arial" w:hAnsi="Arial" w:cs="Arial"/>
          <w:sz w:val="21"/>
          <w:szCs w:val="21"/>
        </w:rPr>
        <w:t xml:space="preserve"> G. 2015. The old and the new concepts </w:t>
      </w:r>
      <w:proofErr w:type="gramStart"/>
      <w:r w:rsidRPr="009748C1">
        <w:rPr>
          <w:rFonts w:ascii="Arial" w:hAnsi="Arial" w:cs="Arial"/>
          <w:sz w:val="21"/>
          <w:szCs w:val="21"/>
        </w:rPr>
        <w:t>of  Histochemistry</w:t>
      </w:r>
      <w:proofErr w:type="gramEnd"/>
      <w:r w:rsidRPr="009748C1">
        <w:rPr>
          <w:rFonts w:ascii="Arial" w:hAnsi="Arial" w:cs="Arial"/>
          <w:sz w:val="21"/>
          <w:szCs w:val="21"/>
        </w:rPr>
        <w:t xml:space="preserve">, Histology and </w:t>
      </w:r>
      <w:proofErr w:type="spellStart"/>
      <w:r w:rsidRPr="009748C1">
        <w:rPr>
          <w:rFonts w:ascii="Arial" w:hAnsi="Arial" w:cs="Arial"/>
          <w:sz w:val="21"/>
          <w:szCs w:val="21"/>
        </w:rPr>
        <w:t>Histophatology</w:t>
      </w:r>
      <w:proofErr w:type="spellEnd"/>
      <w:r w:rsidRPr="009748C1">
        <w:rPr>
          <w:rFonts w:ascii="Arial" w:hAnsi="Arial" w:cs="Arial"/>
          <w:sz w:val="21"/>
          <w:szCs w:val="21"/>
        </w:rPr>
        <w:t>.</w:t>
      </w:r>
    </w:p>
    <w:p w14:paraId="7869D906" w14:textId="77777777" w:rsidR="00E71E1A" w:rsidRDefault="00AD2C3E" w:rsidP="009748C1">
      <w:pPr>
        <w:pStyle w:val="ListParagraph"/>
        <w:numPr>
          <w:ilvl w:val="0"/>
          <w:numId w:val="6"/>
        </w:numPr>
        <w:tabs>
          <w:tab w:val="left" w:pos="6246"/>
        </w:tabs>
        <w:jc w:val="both"/>
      </w:pPr>
      <w:proofErr w:type="spellStart"/>
      <w:r w:rsidRPr="009748C1">
        <w:rPr>
          <w:rFonts w:ascii="Arial" w:hAnsi="Arial" w:cs="Arial"/>
          <w:sz w:val="21"/>
          <w:szCs w:val="21"/>
        </w:rPr>
        <w:t>Nibalvos</w:t>
      </w:r>
      <w:proofErr w:type="spellEnd"/>
      <w:r w:rsidRPr="009748C1">
        <w:rPr>
          <w:rFonts w:ascii="Arial" w:hAnsi="Arial" w:cs="Arial"/>
          <w:sz w:val="21"/>
          <w:szCs w:val="21"/>
        </w:rPr>
        <w:t xml:space="preserve">, A. V. G. (2019). Phytochemical screening of </w:t>
      </w:r>
      <w:proofErr w:type="spellStart"/>
      <w:r w:rsidRPr="009748C1">
        <w:rPr>
          <w:rFonts w:ascii="Arial" w:hAnsi="Arial" w:cs="Arial"/>
          <w:sz w:val="21"/>
          <w:szCs w:val="21"/>
        </w:rPr>
        <w:t>Polipog</w:t>
      </w:r>
      <w:proofErr w:type="spellEnd"/>
      <w:r w:rsidRPr="009748C1">
        <w:rPr>
          <w:rFonts w:ascii="Arial" w:hAnsi="Arial" w:cs="Arial"/>
          <w:sz w:val="21"/>
          <w:szCs w:val="21"/>
        </w:rPr>
        <w:t xml:space="preserve"> decoction. </w:t>
      </w:r>
      <w:r w:rsidRPr="009748C1">
        <w:rPr>
          <w:rFonts w:ascii="Arial" w:hAnsi="Arial" w:cs="Arial"/>
          <w:i/>
          <w:iCs/>
          <w:sz w:val="21"/>
          <w:szCs w:val="21"/>
        </w:rPr>
        <w:t>Indian Journal of Science and Technology</w:t>
      </w:r>
      <w:r w:rsidRPr="009748C1">
        <w:rPr>
          <w:rFonts w:ascii="Arial" w:hAnsi="Arial" w:cs="Arial"/>
          <w:sz w:val="21"/>
          <w:szCs w:val="21"/>
        </w:rPr>
        <w:t xml:space="preserve">, </w:t>
      </w:r>
      <w:r w:rsidRPr="009748C1">
        <w:rPr>
          <w:rFonts w:ascii="Arial" w:hAnsi="Arial" w:cs="Arial"/>
          <w:i/>
          <w:iCs/>
          <w:sz w:val="21"/>
          <w:szCs w:val="21"/>
        </w:rPr>
        <w:t>12</w:t>
      </w:r>
      <w:r w:rsidRPr="009748C1">
        <w:rPr>
          <w:rFonts w:ascii="Arial" w:hAnsi="Arial" w:cs="Arial"/>
          <w:sz w:val="21"/>
          <w:szCs w:val="21"/>
        </w:rPr>
        <w:t xml:space="preserve">(10), 1–5. </w:t>
      </w:r>
      <w:hyperlink r:id="rId16" w:tgtFrame="_blank" w:history="1">
        <w:r w:rsidRPr="009748C1">
          <w:rPr>
            <w:rStyle w:val="Hyperlink"/>
            <w:rFonts w:ascii="Arial" w:hAnsi="Arial" w:cs="Arial"/>
            <w:sz w:val="21"/>
            <w:szCs w:val="21"/>
          </w:rPr>
          <w:t>https://doi.org/10.17485/ijst/2019/v12i10/141750</w:t>
        </w:r>
      </w:hyperlink>
    </w:p>
    <w:p w14:paraId="5FE092BF" w14:textId="2E23B308" w:rsidR="00E71E1A" w:rsidRPr="009748C1" w:rsidRDefault="00E71E1A" w:rsidP="009748C1">
      <w:pPr>
        <w:pStyle w:val="ListParagraph"/>
        <w:numPr>
          <w:ilvl w:val="0"/>
          <w:numId w:val="6"/>
        </w:numPr>
        <w:tabs>
          <w:tab w:val="left" w:pos="6246"/>
        </w:tabs>
        <w:jc w:val="both"/>
        <w:rPr>
          <w:rFonts w:ascii="Arial" w:hAnsi="Arial" w:cs="Arial"/>
        </w:rPr>
      </w:pPr>
      <w:r w:rsidRPr="009748C1">
        <w:rPr>
          <w:rFonts w:ascii="Arial" w:hAnsi="Arial" w:cs="Arial"/>
          <w:color w:val="222222"/>
          <w:sz w:val="20"/>
          <w:szCs w:val="20"/>
        </w:rPr>
        <w:t>O'Brien, T.P., Feder, N. &amp; McCully, M.E. Polychromatic staining of plant cell walls by toluidine blue O. </w:t>
      </w:r>
      <w:proofErr w:type="spellStart"/>
      <w:r w:rsidRPr="009748C1">
        <w:rPr>
          <w:rFonts w:ascii="Arial" w:hAnsi="Arial" w:cs="Arial"/>
          <w:i/>
          <w:iCs/>
          <w:color w:val="222222"/>
          <w:sz w:val="20"/>
          <w:szCs w:val="20"/>
        </w:rPr>
        <w:t>Protoplasma</w:t>
      </w:r>
      <w:proofErr w:type="spellEnd"/>
      <w:r w:rsidRPr="009748C1">
        <w:rPr>
          <w:rFonts w:ascii="Arial" w:hAnsi="Arial" w:cs="Arial"/>
          <w:color w:val="222222"/>
          <w:sz w:val="20"/>
          <w:szCs w:val="20"/>
        </w:rPr>
        <w:t> </w:t>
      </w:r>
      <w:r w:rsidRPr="009748C1">
        <w:rPr>
          <w:rFonts w:ascii="Arial" w:hAnsi="Arial" w:cs="Arial"/>
          <w:b/>
          <w:bCs/>
          <w:color w:val="222222"/>
          <w:sz w:val="20"/>
          <w:szCs w:val="20"/>
        </w:rPr>
        <w:t>59</w:t>
      </w:r>
      <w:r w:rsidRPr="009748C1">
        <w:rPr>
          <w:rFonts w:ascii="Arial" w:hAnsi="Arial" w:cs="Arial"/>
          <w:color w:val="222222"/>
          <w:sz w:val="20"/>
          <w:szCs w:val="20"/>
        </w:rPr>
        <w:t>, 368–373 (1964). https://doi.org/10.1007/BF01248568</w:t>
      </w:r>
    </w:p>
    <w:p w14:paraId="59B2BF23"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r w:rsidRPr="009748C1">
        <w:rPr>
          <w:rFonts w:ascii="Arial" w:hAnsi="Arial" w:cs="Arial"/>
          <w:sz w:val="21"/>
          <w:szCs w:val="21"/>
        </w:rPr>
        <w:t>Sulistyaningsih. 2017. Secretory Structure, Histochemistry and Phytochemistry Analyses of Stimulant Plant, pp 1-8.</w:t>
      </w:r>
    </w:p>
    <w:p w14:paraId="395B8EE3" w14:textId="77777777" w:rsidR="00AD2C3E" w:rsidRPr="009748C1" w:rsidRDefault="00AD2C3E" w:rsidP="009748C1">
      <w:pPr>
        <w:pStyle w:val="ListParagraph"/>
        <w:numPr>
          <w:ilvl w:val="0"/>
          <w:numId w:val="6"/>
        </w:numPr>
        <w:tabs>
          <w:tab w:val="left" w:pos="6246"/>
        </w:tabs>
        <w:jc w:val="both"/>
        <w:rPr>
          <w:rFonts w:ascii="Arial" w:hAnsi="Arial" w:cs="Arial"/>
          <w:sz w:val="21"/>
          <w:szCs w:val="21"/>
        </w:rPr>
      </w:pPr>
      <w:proofErr w:type="spellStart"/>
      <w:r w:rsidRPr="009748C1">
        <w:rPr>
          <w:rFonts w:ascii="Arial" w:hAnsi="Arial" w:cs="Arial"/>
          <w:sz w:val="21"/>
          <w:szCs w:val="21"/>
        </w:rPr>
        <w:t>Udayan</w:t>
      </w:r>
      <w:proofErr w:type="spellEnd"/>
      <w:r w:rsidRPr="009748C1">
        <w:rPr>
          <w:rFonts w:ascii="Arial" w:hAnsi="Arial" w:cs="Arial"/>
          <w:sz w:val="21"/>
          <w:szCs w:val="21"/>
        </w:rPr>
        <w:t xml:space="preserve">, P. S., &amp; Raghu, A. V. (2017). Phytochemical studies of six </w:t>
      </w:r>
      <w:r w:rsidRPr="009748C1">
        <w:rPr>
          <w:rFonts w:ascii="Arial" w:hAnsi="Arial" w:cs="Arial"/>
          <w:i/>
          <w:iCs/>
          <w:sz w:val="21"/>
          <w:szCs w:val="21"/>
        </w:rPr>
        <w:t>Salacia</w:t>
      </w:r>
      <w:r w:rsidRPr="009748C1">
        <w:rPr>
          <w:rFonts w:ascii="Arial" w:hAnsi="Arial" w:cs="Arial"/>
          <w:sz w:val="21"/>
          <w:szCs w:val="21"/>
        </w:rPr>
        <w:t xml:space="preserve"> species using liquid chromatography mass spectroscopic analysis. </w:t>
      </w:r>
      <w:r w:rsidRPr="009748C1">
        <w:rPr>
          <w:rFonts w:ascii="Arial" w:hAnsi="Arial" w:cs="Arial"/>
          <w:i/>
          <w:iCs/>
          <w:sz w:val="21"/>
          <w:szCs w:val="21"/>
        </w:rPr>
        <w:t>International Journal of Chemical Science</w:t>
      </w:r>
      <w:r w:rsidRPr="009748C1">
        <w:rPr>
          <w:rFonts w:ascii="Arial" w:hAnsi="Arial" w:cs="Arial"/>
          <w:sz w:val="21"/>
          <w:szCs w:val="21"/>
        </w:rPr>
        <w:t xml:space="preserve">, </w:t>
      </w:r>
      <w:r w:rsidRPr="009748C1">
        <w:rPr>
          <w:rFonts w:ascii="Arial" w:hAnsi="Arial" w:cs="Arial"/>
          <w:i/>
          <w:iCs/>
          <w:sz w:val="21"/>
          <w:szCs w:val="21"/>
        </w:rPr>
        <w:t>1</w:t>
      </w:r>
      <w:r w:rsidRPr="009748C1">
        <w:rPr>
          <w:rFonts w:ascii="Arial" w:hAnsi="Arial" w:cs="Arial"/>
          <w:sz w:val="21"/>
          <w:szCs w:val="21"/>
        </w:rPr>
        <w:t>(2), 07–08.</w:t>
      </w:r>
    </w:p>
    <w:p w14:paraId="2BC18708" w14:textId="77777777" w:rsidR="00BE0EAA" w:rsidRPr="00BE0EAA" w:rsidRDefault="00BE0EAA">
      <w:pPr>
        <w:rPr>
          <w:rFonts w:ascii="Arial" w:hAnsi="Arial" w:cs="Arial"/>
        </w:rPr>
      </w:pPr>
    </w:p>
    <w:sectPr w:rsidR="00BE0EAA" w:rsidRPr="00BE0EAA" w:rsidSect="00BE0EAA">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8D1D8" w14:textId="77777777" w:rsidR="000C0EB7" w:rsidRDefault="000C0EB7" w:rsidP="00DA0E52">
      <w:r>
        <w:separator/>
      </w:r>
    </w:p>
  </w:endnote>
  <w:endnote w:type="continuationSeparator" w:id="0">
    <w:p w14:paraId="765B2A09" w14:textId="77777777" w:rsidR="000C0EB7" w:rsidRDefault="000C0EB7" w:rsidP="00DA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1E6C0" w14:textId="77777777" w:rsidR="00DA0E52" w:rsidRDefault="00DA0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52191" w14:textId="77777777" w:rsidR="00DA0E52" w:rsidRDefault="00DA0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B2D97" w14:textId="77777777" w:rsidR="00DA0E52" w:rsidRDefault="00DA0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15F4D" w14:textId="77777777" w:rsidR="000C0EB7" w:rsidRDefault="000C0EB7" w:rsidP="00DA0E52">
      <w:r>
        <w:separator/>
      </w:r>
    </w:p>
  </w:footnote>
  <w:footnote w:type="continuationSeparator" w:id="0">
    <w:p w14:paraId="27E09163" w14:textId="77777777" w:rsidR="000C0EB7" w:rsidRDefault="000C0EB7" w:rsidP="00DA0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EA0A" w14:textId="5C540A0F" w:rsidR="00DA0E52" w:rsidRDefault="000C0EB7">
    <w:pPr>
      <w:pStyle w:val="Header"/>
    </w:pPr>
    <w:r>
      <w:rPr>
        <w:noProof/>
      </w:rPr>
      <w:pict w14:anchorId="25990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7829" o:spid="_x0000_s2051" type="#_x0000_t136" alt="" style="position:absolute;margin-left:0;margin-top:0;width:571.65pt;height:6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22E06" w14:textId="686A752D" w:rsidR="00DA0E52" w:rsidRDefault="000C0EB7">
    <w:pPr>
      <w:pStyle w:val="Header"/>
    </w:pPr>
    <w:r>
      <w:rPr>
        <w:noProof/>
      </w:rPr>
      <w:pict w14:anchorId="10121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7830" o:spid="_x0000_s2050" type="#_x0000_t136" alt="" style="position:absolute;margin-left:0;margin-top:0;width:571.65pt;height:6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B3729" w14:textId="10995574" w:rsidR="00DA0E52" w:rsidRDefault="000C0EB7">
    <w:pPr>
      <w:pStyle w:val="Header"/>
    </w:pPr>
    <w:r>
      <w:rPr>
        <w:noProof/>
      </w:rPr>
      <w:pict w14:anchorId="649E3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7828" o:spid="_x0000_s2049" type="#_x0000_t136" alt="" style="position:absolute;margin-left:0;margin-top:0;width:571.65pt;height:6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733B"/>
    <w:multiLevelType w:val="multilevel"/>
    <w:tmpl w:val="CDBE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D74D4"/>
    <w:multiLevelType w:val="hybridMultilevel"/>
    <w:tmpl w:val="8AD46C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EF23899"/>
    <w:multiLevelType w:val="multilevel"/>
    <w:tmpl w:val="12F2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E15733"/>
    <w:multiLevelType w:val="multilevel"/>
    <w:tmpl w:val="357A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7D42B8"/>
    <w:multiLevelType w:val="hybridMultilevel"/>
    <w:tmpl w:val="1C949E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D94743"/>
    <w:multiLevelType w:val="hybridMultilevel"/>
    <w:tmpl w:val="3D6235F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0EAA"/>
    <w:rsid w:val="000061F7"/>
    <w:rsid w:val="00010D74"/>
    <w:rsid w:val="00020922"/>
    <w:rsid w:val="0007596F"/>
    <w:rsid w:val="000825FF"/>
    <w:rsid w:val="00095901"/>
    <w:rsid w:val="000B414D"/>
    <w:rsid w:val="000C0EB7"/>
    <w:rsid w:val="0011527D"/>
    <w:rsid w:val="00116AE5"/>
    <w:rsid w:val="001236DD"/>
    <w:rsid w:val="00124EDA"/>
    <w:rsid w:val="00172D00"/>
    <w:rsid w:val="0019666B"/>
    <w:rsid w:val="001C3C5A"/>
    <w:rsid w:val="001D2125"/>
    <w:rsid w:val="001D6967"/>
    <w:rsid w:val="001F7171"/>
    <w:rsid w:val="002C1306"/>
    <w:rsid w:val="002E4513"/>
    <w:rsid w:val="002F3369"/>
    <w:rsid w:val="002F71BE"/>
    <w:rsid w:val="00343907"/>
    <w:rsid w:val="003957CE"/>
    <w:rsid w:val="003B0AF8"/>
    <w:rsid w:val="00430960"/>
    <w:rsid w:val="00431FF8"/>
    <w:rsid w:val="00447422"/>
    <w:rsid w:val="0046279C"/>
    <w:rsid w:val="004706BE"/>
    <w:rsid w:val="00484C8D"/>
    <w:rsid w:val="004B159C"/>
    <w:rsid w:val="004C5A3F"/>
    <w:rsid w:val="004E322C"/>
    <w:rsid w:val="00512370"/>
    <w:rsid w:val="00513E1E"/>
    <w:rsid w:val="0052715C"/>
    <w:rsid w:val="00571C89"/>
    <w:rsid w:val="005A1A86"/>
    <w:rsid w:val="005A281C"/>
    <w:rsid w:val="005A3A85"/>
    <w:rsid w:val="005E2303"/>
    <w:rsid w:val="005F0410"/>
    <w:rsid w:val="0064260F"/>
    <w:rsid w:val="00647554"/>
    <w:rsid w:val="00653592"/>
    <w:rsid w:val="00684B8C"/>
    <w:rsid w:val="006B7E94"/>
    <w:rsid w:val="006D2B71"/>
    <w:rsid w:val="006E4FD0"/>
    <w:rsid w:val="00720694"/>
    <w:rsid w:val="00754EA8"/>
    <w:rsid w:val="007628F3"/>
    <w:rsid w:val="007E11E5"/>
    <w:rsid w:val="007F4BE3"/>
    <w:rsid w:val="008E0730"/>
    <w:rsid w:val="008E07B6"/>
    <w:rsid w:val="00921ACB"/>
    <w:rsid w:val="00927FC0"/>
    <w:rsid w:val="00931D73"/>
    <w:rsid w:val="00942DAA"/>
    <w:rsid w:val="009450A2"/>
    <w:rsid w:val="009748C1"/>
    <w:rsid w:val="00992A72"/>
    <w:rsid w:val="009F12CF"/>
    <w:rsid w:val="00A40055"/>
    <w:rsid w:val="00A82468"/>
    <w:rsid w:val="00AC7093"/>
    <w:rsid w:val="00AD2C3E"/>
    <w:rsid w:val="00AD4476"/>
    <w:rsid w:val="00B304EE"/>
    <w:rsid w:val="00B919F6"/>
    <w:rsid w:val="00BB3E66"/>
    <w:rsid w:val="00BD7E3D"/>
    <w:rsid w:val="00BE0EAA"/>
    <w:rsid w:val="00BE1169"/>
    <w:rsid w:val="00C45100"/>
    <w:rsid w:val="00C845B7"/>
    <w:rsid w:val="00CA0992"/>
    <w:rsid w:val="00CA4B5A"/>
    <w:rsid w:val="00CB6306"/>
    <w:rsid w:val="00CC7D4E"/>
    <w:rsid w:val="00D03799"/>
    <w:rsid w:val="00D4746A"/>
    <w:rsid w:val="00DA0E52"/>
    <w:rsid w:val="00DD2EA9"/>
    <w:rsid w:val="00DE618C"/>
    <w:rsid w:val="00E02EE8"/>
    <w:rsid w:val="00E33F24"/>
    <w:rsid w:val="00E473B4"/>
    <w:rsid w:val="00E71E1A"/>
    <w:rsid w:val="00E86999"/>
    <w:rsid w:val="00F560E6"/>
    <w:rsid w:val="00F86C55"/>
    <w:rsid w:val="00FD763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81DD99"/>
  <w15:docId w15:val="{18868C38-051D-0C4F-96D5-F5A4313E5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1E1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BE0EAA"/>
    <w:pPr>
      <w:keepNext/>
      <w:keepLines/>
      <w:spacing w:before="360" w:after="80" w:line="276" w:lineRule="auto"/>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semiHidden/>
    <w:unhideWhenUsed/>
    <w:qFormat/>
    <w:rsid w:val="00BE0EAA"/>
    <w:pPr>
      <w:keepNext/>
      <w:keepLines/>
      <w:spacing w:before="160" w:after="80" w:line="276" w:lineRule="auto"/>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BE0EAA"/>
    <w:pPr>
      <w:keepNext/>
      <w:keepLines/>
      <w:spacing w:before="160" w:after="80" w:line="276" w:lineRule="auto"/>
      <w:outlineLvl w:val="2"/>
    </w:pPr>
    <w:rPr>
      <w:rFonts w:ascii="Calibri" w:eastAsiaTheme="majorEastAsia" w:hAnsi="Calibri"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BE0EAA"/>
    <w:pPr>
      <w:keepNext/>
      <w:keepLines/>
      <w:spacing w:before="80" w:after="40" w:line="276" w:lineRule="auto"/>
      <w:outlineLvl w:val="3"/>
    </w:pPr>
    <w:rPr>
      <w:rFonts w:ascii="Calibri" w:eastAsiaTheme="majorEastAsia" w:hAnsi="Calibri" w:cstheme="majorBidi"/>
      <w:i/>
      <w:iCs/>
      <w:color w:val="2F5496" w:themeColor="accent1" w:themeShade="BF"/>
      <w:sz w:val="22"/>
      <w:szCs w:val="22"/>
      <w:lang w:val="en-US"/>
    </w:rPr>
  </w:style>
  <w:style w:type="paragraph" w:styleId="Heading5">
    <w:name w:val="heading 5"/>
    <w:basedOn w:val="Normal"/>
    <w:next w:val="Normal"/>
    <w:link w:val="Heading5Char"/>
    <w:uiPriority w:val="9"/>
    <w:semiHidden/>
    <w:unhideWhenUsed/>
    <w:qFormat/>
    <w:rsid w:val="00BE0E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0EA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0EA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0EA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0EA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E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0E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0E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0E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0E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0E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0E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0E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0EAA"/>
    <w:rPr>
      <w:rFonts w:eastAsiaTheme="majorEastAsia" w:cstheme="majorBidi"/>
      <w:color w:val="272727" w:themeColor="text1" w:themeTint="D8"/>
    </w:rPr>
  </w:style>
  <w:style w:type="paragraph" w:styleId="Title">
    <w:name w:val="Title"/>
    <w:basedOn w:val="Normal"/>
    <w:next w:val="Normal"/>
    <w:link w:val="TitleChar"/>
    <w:uiPriority w:val="10"/>
    <w:qFormat/>
    <w:rsid w:val="00BE0EAA"/>
    <w:pPr>
      <w:spacing w:after="80"/>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BE0E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0EAA"/>
    <w:pPr>
      <w:numPr>
        <w:ilvl w:val="1"/>
      </w:numPr>
      <w:spacing w:after="200" w:line="276" w:lineRule="auto"/>
    </w:pPr>
    <w:rPr>
      <w:rFonts w:ascii="Calibri" w:eastAsiaTheme="majorEastAsia" w:hAnsi="Calibri"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BE0E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0EAA"/>
    <w:pPr>
      <w:spacing w:before="160" w:after="200" w:line="276" w:lineRule="auto"/>
      <w:jc w:val="center"/>
    </w:pPr>
    <w:rPr>
      <w:rFonts w:ascii="Calibri" w:eastAsia="Calibri" w:hAnsi="Calibri"/>
      <w:i/>
      <w:iCs/>
      <w:color w:val="404040" w:themeColor="text1" w:themeTint="BF"/>
      <w:sz w:val="22"/>
      <w:szCs w:val="22"/>
      <w:lang w:val="en-US"/>
    </w:rPr>
  </w:style>
  <w:style w:type="character" w:customStyle="1" w:styleId="QuoteChar">
    <w:name w:val="Quote Char"/>
    <w:basedOn w:val="DefaultParagraphFont"/>
    <w:link w:val="Quote"/>
    <w:uiPriority w:val="29"/>
    <w:rsid w:val="00BE0EAA"/>
    <w:rPr>
      <w:i/>
      <w:iCs/>
      <w:color w:val="404040" w:themeColor="text1" w:themeTint="BF"/>
    </w:rPr>
  </w:style>
  <w:style w:type="paragraph" w:styleId="ListParagraph">
    <w:name w:val="List Paragraph"/>
    <w:basedOn w:val="Normal"/>
    <w:uiPriority w:val="34"/>
    <w:qFormat/>
    <w:rsid w:val="00BE0EAA"/>
    <w:pPr>
      <w:spacing w:after="200" w:line="276" w:lineRule="auto"/>
      <w:ind w:left="720"/>
      <w:contextualSpacing/>
    </w:pPr>
    <w:rPr>
      <w:rFonts w:ascii="Calibri" w:eastAsia="Calibri" w:hAnsi="Calibri"/>
      <w:sz w:val="22"/>
      <w:szCs w:val="22"/>
      <w:lang w:val="en-US"/>
    </w:rPr>
  </w:style>
  <w:style w:type="character" w:styleId="IntenseEmphasis">
    <w:name w:val="Intense Emphasis"/>
    <w:basedOn w:val="DefaultParagraphFont"/>
    <w:uiPriority w:val="21"/>
    <w:qFormat/>
    <w:rsid w:val="00BE0EAA"/>
    <w:rPr>
      <w:i/>
      <w:iCs/>
      <w:color w:val="2F5496" w:themeColor="accent1" w:themeShade="BF"/>
    </w:rPr>
  </w:style>
  <w:style w:type="paragraph" w:styleId="IntenseQuote">
    <w:name w:val="Intense Quote"/>
    <w:basedOn w:val="Normal"/>
    <w:next w:val="Normal"/>
    <w:link w:val="IntenseQuoteChar"/>
    <w:uiPriority w:val="30"/>
    <w:qFormat/>
    <w:rsid w:val="00BE0EAA"/>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ascii="Calibri" w:eastAsia="Calibri" w:hAnsi="Calibri"/>
      <w:i/>
      <w:iCs/>
      <w:color w:val="2F5496" w:themeColor="accent1" w:themeShade="BF"/>
      <w:sz w:val="22"/>
      <w:szCs w:val="22"/>
      <w:lang w:val="en-US"/>
    </w:rPr>
  </w:style>
  <w:style w:type="character" w:customStyle="1" w:styleId="IntenseQuoteChar">
    <w:name w:val="Intense Quote Char"/>
    <w:basedOn w:val="DefaultParagraphFont"/>
    <w:link w:val="IntenseQuote"/>
    <w:uiPriority w:val="30"/>
    <w:rsid w:val="00BE0EAA"/>
    <w:rPr>
      <w:i/>
      <w:iCs/>
      <w:color w:val="2F5496" w:themeColor="accent1" w:themeShade="BF"/>
    </w:rPr>
  </w:style>
  <w:style w:type="character" w:styleId="IntenseReference">
    <w:name w:val="Intense Reference"/>
    <w:basedOn w:val="DefaultParagraphFont"/>
    <w:uiPriority w:val="32"/>
    <w:qFormat/>
    <w:rsid w:val="00BE0EAA"/>
    <w:rPr>
      <w:b/>
      <w:bCs/>
      <w:smallCaps/>
      <w:color w:val="2F5496" w:themeColor="accent1" w:themeShade="BF"/>
      <w:spacing w:val="5"/>
    </w:rPr>
  </w:style>
  <w:style w:type="paragraph" w:styleId="NoSpacing">
    <w:name w:val="No Spacing"/>
    <w:uiPriority w:val="1"/>
    <w:qFormat/>
    <w:rsid w:val="00BE0EAA"/>
    <w:pPr>
      <w:spacing w:after="0" w:line="240" w:lineRule="auto"/>
    </w:pPr>
    <w:rPr>
      <w:rFonts w:ascii="Calibri" w:eastAsia="Calibri" w:hAnsi="Calibri" w:cs="Times New Roman"/>
      <w:kern w:val="0"/>
      <w:sz w:val="22"/>
      <w:szCs w:val="22"/>
      <w:lang w:val="en-US"/>
      <w14:ligatures w14:val="none"/>
    </w:rPr>
  </w:style>
  <w:style w:type="paragraph" w:styleId="BodyText">
    <w:name w:val="Body Text"/>
    <w:basedOn w:val="Normal"/>
    <w:link w:val="BodyTextChar"/>
    <w:uiPriority w:val="1"/>
    <w:qFormat/>
    <w:rsid w:val="00BE0EAA"/>
    <w:pPr>
      <w:widowControl w:val="0"/>
      <w:autoSpaceDE w:val="0"/>
      <w:autoSpaceDN w:val="0"/>
    </w:pPr>
    <w:rPr>
      <w:lang w:val="en-US"/>
    </w:rPr>
  </w:style>
  <w:style w:type="character" w:customStyle="1" w:styleId="BodyTextChar">
    <w:name w:val="Body Text Char"/>
    <w:basedOn w:val="DefaultParagraphFont"/>
    <w:link w:val="BodyText"/>
    <w:uiPriority w:val="1"/>
    <w:rsid w:val="00BE0EAA"/>
    <w:rPr>
      <w:rFonts w:ascii="Times New Roman" w:eastAsia="Times New Roman" w:hAnsi="Times New Roman" w:cs="Times New Roman"/>
      <w:kern w:val="0"/>
      <w:lang w:val="en-US"/>
      <w14:ligatures w14:val="none"/>
    </w:rPr>
  </w:style>
  <w:style w:type="paragraph" w:customStyle="1" w:styleId="FirstParagraph">
    <w:name w:val="First Paragraph"/>
    <w:basedOn w:val="BodyText"/>
    <w:next w:val="BodyText"/>
    <w:qFormat/>
    <w:rsid w:val="00571C89"/>
    <w:pPr>
      <w:widowControl/>
      <w:autoSpaceDE/>
      <w:autoSpaceDN/>
      <w:spacing w:before="180" w:after="180"/>
    </w:pPr>
    <w:rPr>
      <w:rFonts w:asciiTheme="minorHAnsi" w:eastAsiaTheme="minorHAnsi" w:hAnsiTheme="minorHAnsi" w:cstheme="minorBidi"/>
      <w:lang w:val="en"/>
    </w:rPr>
  </w:style>
  <w:style w:type="character" w:styleId="Hyperlink">
    <w:name w:val="Hyperlink"/>
    <w:basedOn w:val="DefaultParagraphFont"/>
    <w:uiPriority w:val="99"/>
    <w:semiHidden/>
    <w:unhideWhenUsed/>
    <w:rsid w:val="0052715C"/>
    <w:rPr>
      <w:color w:val="0000FF"/>
      <w:u w:val="single"/>
    </w:rPr>
  </w:style>
  <w:style w:type="character" w:styleId="Emphasis">
    <w:name w:val="Emphasis"/>
    <w:basedOn w:val="DefaultParagraphFont"/>
    <w:uiPriority w:val="20"/>
    <w:qFormat/>
    <w:rsid w:val="00AD2C3E"/>
    <w:rPr>
      <w:i/>
      <w:iCs/>
    </w:rPr>
  </w:style>
  <w:style w:type="paragraph" w:styleId="NormalWeb">
    <w:name w:val="Normal (Web)"/>
    <w:basedOn w:val="Normal"/>
    <w:uiPriority w:val="99"/>
    <w:unhideWhenUsed/>
    <w:rsid w:val="00BD7E3D"/>
    <w:pPr>
      <w:spacing w:before="100" w:beforeAutospacing="1" w:after="100" w:afterAutospacing="1"/>
    </w:pPr>
  </w:style>
  <w:style w:type="character" w:customStyle="1" w:styleId="citation-19">
    <w:name w:val="citation-19"/>
    <w:basedOn w:val="DefaultParagraphFont"/>
    <w:rsid w:val="00BD7E3D"/>
  </w:style>
  <w:style w:type="character" w:customStyle="1" w:styleId="citation-18">
    <w:name w:val="citation-18"/>
    <w:basedOn w:val="DefaultParagraphFont"/>
    <w:rsid w:val="00BD7E3D"/>
  </w:style>
  <w:style w:type="character" w:customStyle="1" w:styleId="citation-17">
    <w:name w:val="citation-17"/>
    <w:basedOn w:val="DefaultParagraphFont"/>
    <w:rsid w:val="00BD7E3D"/>
  </w:style>
  <w:style w:type="character" w:customStyle="1" w:styleId="citation-16">
    <w:name w:val="citation-16"/>
    <w:basedOn w:val="DefaultParagraphFont"/>
    <w:rsid w:val="00BD7E3D"/>
  </w:style>
  <w:style w:type="character" w:customStyle="1" w:styleId="citation-15">
    <w:name w:val="citation-15"/>
    <w:basedOn w:val="DefaultParagraphFont"/>
    <w:rsid w:val="00BD7E3D"/>
  </w:style>
  <w:style w:type="character" w:customStyle="1" w:styleId="citation-14">
    <w:name w:val="citation-14"/>
    <w:basedOn w:val="DefaultParagraphFont"/>
    <w:rsid w:val="00BD7E3D"/>
  </w:style>
  <w:style w:type="character" w:customStyle="1" w:styleId="citation-13">
    <w:name w:val="citation-13"/>
    <w:basedOn w:val="DefaultParagraphFont"/>
    <w:rsid w:val="00BD7E3D"/>
  </w:style>
  <w:style w:type="character" w:customStyle="1" w:styleId="citation-12">
    <w:name w:val="citation-12"/>
    <w:basedOn w:val="DefaultParagraphFont"/>
    <w:rsid w:val="00BD7E3D"/>
  </w:style>
  <w:style w:type="character" w:customStyle="1" w:styleId="citation-11">
    <w:name w:val="citation-11"/>
    <w:basedOn w:val="DefaultParagraphFont"/>
    <w:rsid w:val="00BD7E3D"/>
  </w:style>
  <w:style w:type="character" w:customStyle="1" w:styleId="citation-10">
    <w:name w:val="citation-10"/>
    <w:basedOn w:val="DefaultParagraphFont"/>
    <w:rsid w:val="00BD7E3D"/>
  </w:style>
  <w:style w:type="character" w:styleId="Strong">
    <w:name w:val="Strong"/>
    <w:basedOn w:val="DefaultParagraphFont"/>
    <w:uiPriority w:val="22"/>
    <w:qFormat/>
    <w:rsid w:val="00E71E1A"/>
    <w:rPr>
      <w:b/>
      <w:bCs/>
    </w:rPr>
  </w:style>
  <w:style w:type="paragraph" w:customStyle="1" w:styleId="c-bibliographic-informationcitation">
    <w:name w:val="c-bibliographic-information__citation"/>
    <w:basedOn w:val="Normal"/>
    <w:rsid w:val="00E71E1A"/>
    <w:pPr>
      <w:spacing w:before="100" w:beforeAutospacing="1" w:after="100" w:afterAutospacing="1"/>
    </w:pPr>
  </w:style>
  <w:style w:type="paragraph" w:styleId="Header">
    <w:name w:val="header"/>
    <w:basedOn w:val="Normal"/>
    <w:link w:val="HeaderChar"/>
    <w:uiPriority w:val="99"/>
    <w:unhideWhenUsed/>
    <w:rsid w:val="00DA0E52"/>
    <w:pPr>
      <w:tabs>
        <w:tab w:val="center" w:pos="4680"/>
        <w:tab w:val="right" w:pos="9360"/>
      </w:tabs>
    </w:pPr>
  </w:style>
  <w:style w:type="character" w:customStyle="1" w:styleId="HeaderChar">
    <w:name w:val="Header Char"/>
    <w:basedOn w:val="DefaultParagraphFont"/>
    <w:link w:val="Header"/>
    <w:uiPriority w:val="99"/>
    <w:rsid w:val="00DA0E52"/>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DA0E52"/>
    <w:pPr>
      <w:tabs>
        <w:tab w:val="center" w:pos="4680"/>
        <w:tab w:val="right" w:pos="9360"/>
      </w:tabs>
    </w:pPr>
  </w:style>
  <w:style w:type="character" w:customStyle="1" w:styleId="FooterChar">
    <w:name w:val="Footer Char"/>
    <w:basedOn w:val="DefaultParagraphFont"/>
    <w:link w:val="Footer"/>
    <w:uiPriority w:val="99"/>
    <w:rsid w:val="00DA0E52"/>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9734/ajob/2021/v11i130133"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www.google.com/search?q=https://doi.org/10.9734/JPRI/2020/v32i3630992"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ogle.com/search?q=https://doi.org/10.17485/ijst/2019/v12i10/141750"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gle.com/search?q=https://doi.org/10.22271/tpr.2021.v8.i1.003"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9734/aprj/2023/v11i2209"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11</Pages>
  <Words>4029</Words>
  <Characters>22966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Flyndon Mark Dagalea</dc:creator>
  <cp:keywords/>
  <dc:description/>
  <cp:lastModifiedBy>SDI 1186</cp:lastModifiedBy>
  <cp:revision>95</cp:revision>
  <dcterms:created xsi:type="dcterms:W3CDTF">2026-03-21T13:15:00Z</dcterms:created>
  <dcterms:modified xsi:type="dcterms:W3CDTF">2026-03-30T10:59:00Z</dcterms:modified>
</cp:coreProperties>
</file>