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C33BC" w14:textId="77777777" w:rsidR="00EB421B" w:rsidRDefault="00EB421B">
      <w:pPr>
        <w:spacing w:after="0" w:line="360" w:lineRule="auto"/>
        <w:rPr>
          <w:rFonts w:ascii="Times New Roman" w:hAnsi="Times New Roman" w:cs="Times New Roman"/>
          <w:b/>
          <w:color w:val="262626"/>
          <w:sz w:val="28"/>
          <w:szCs w:val="28"/>
        </w:rPr>
      </w:pPr>
    </w:p>
    <w:p w14:paraId="35BAE8F1" w14:textId="7AAC45AD" w:rsidR="00EB421B" w:rsidRPr="00AA64A0" w:rsidRDefault="00E21340">
      <w:pPr>
        <w:spacing w:after="0" w:line="360" w:lineRule="auto"/>
        <w:jc w:val="center"/>
        <w:rPr>
          <w:rFonts w:ascii="Times New Roman" w:eastAsia="Times New Roman" w:hAnsi="Times New Roman" w:cs="Times New Roman"/>
          <w:b/>
          <w:bCs/>
          <w:color w:val="262626"/>
          <w:sz w:val="24"/>
          <w:szCs w:val="24"/>
        </w:rPr>
      </w:pPr>
      <w:r w:rsidRPr="00E21340">
        <w:rPr>
          <w:rFonts w:ascii="Times New Roman" w:hAnsi="Times New Roman" w:cs="Times New Roman"/>
          <w:b/>
          <w:sz w:val="28"/>
          <w:szCs w:val="28"/>
          <w:highlight w:val="yellow"/>
        </w:rPr>
        <w:t>Energy–Efficiency Trade-Offs and Process Optimization in Amine-Based CO₂ Removal from Natural Gas: A Comparative Aspen HYSYS Study of Niger Delta Gas Systems</w:t>
      </w:r>
    </w:p>
    <w:p w14:paraId="7629E3D6" w14:textId="1C56493D" w:rsidR="00EB421B" w:rsidRPr="00AA64A0" w:rsidRDefault="009C6D76">
      <w:pPr>
        <w:pStyle w:val="Default"/>
        <w:spacing w:line="360" w:lineRule="auto"/>
        <w:jc w:val="both"/>
        <w:rPr>
          <w:color w:val="262626"/>
        </w:rPr>
      </w:pPr>
      <w:r w:rsidRPr="00AA64A0">
        <w:t xml:space="preserve">  </w:t>
      </w:r>
    </w:p>
    <w:p w14:paraId="40168A25" w14:textId="77777777" w:rsidR="00EB421B" w:rsidRPr="00AA64A0" w:rsidRDefault="00EB421B">
      <w:pPr>
        <w:pStyle w:val="Default"/>
        <w:jc w:val="both"/>
        <w:rPr>
          <w:b/>
          <w:bCs/>
          <w:color w:val="262626"/>
          <w:sz w:val="18"/>
          <w:szCs w:val="22"/>
        </w:rPr>
      </w:pPr>
    </w:p>
    <w:p w14:paraId="3BBE7B98" w14:textId="77777777" w:rsidR="00EB421B" w:rsidRPr="00AA64A0" w:rsidRDefault="004C6C37">
      <w:pPr>
        <w:pStyle w:val="NormalWeb"/>
        <w:spacing w:before="0" w:beforeAutospacing="0" w:after="0" w:afterAutospacing="0"/>
        <w:jc w:val="both"/>
        <w:rPr>
          <w:rStyle w:val="Strong"/>
          <w:rFonts w:eastAsia="SimSun"/>
          <w:color w:val="262626"/>
          <w:sz w:val="28"/>
          <w:szCs w:val="28"/>
        </w:rPr>
      </w:pPr>
      <w:r w:rsidRPr="00AA64A0">
        <w:rPr>
          <w:rStyle w:val="Strong"/>
          <w:rFonts w:eastAsia="SimSun"/>
          <w:color w:val="262626"/>
          <w:sz w:val="28"/>
          <w:szCs w:val="28"/>
        </w:rPr>
        <w:t>Abstract</w:t>
      </w:r>
    </w:p>
    <w:p w14:paraId="3BC1666E" w14:textId="3124FBC9" w:rsidR="00864F2C" w:rsidRPr="00864F2C" w:rsidRDefault="00864F2C" w:rsidP="00864F2C">
      <w:pPr>
        <w:autoSpaceDE w:val="0"/>
        <w:autoSpaceDN w:val="0"/>
        <w:adjustRightInd w:val="0"/>
        <w:spacing w:after="0" w:line="276" w:lineRule="auto"/>
        <w:jc w:val="both"/>
        <w:rPr>
          <w:rFonts w:ascii="Times New Roman" w:eastAsia="Times New Roman" w:hAnsi="Times New Roman" w:cs="Times New Roman"/>
          <w:sz w:val="24"/>
          <w:szCs w:val="24"/>
          <w:highlight w:val="yellow"/>
        </w:rPr>
      </w:pPr>
      <w:r w:rsidRPr="00864F2C">
        <w:rPr>
          <w:rFonts w:ascii="Times New Roman" w:eastAsia="Times New Roman" w:hAnsi="Times New Roman" w:cs="Times New Roman"/>
          <w:sz w:val="24"/>
          <w:szCs w:val="24"/>
          <w:highlight w:val="yellow"/>
        </w:rPr>
        <w:t xml:space="preserve">The efficient removal of carbon dioxide (CO₂) from natural gas remains a critical challenge in gas processing due to its implications for energy efficiency, operational cost, and environmental sustainability. Despite the widespread use of amine-based absorption systems, there remains a need for systematic evaluation of solvent performance under conditions representative of developing gas infrastructures. This study addresses this gap by investigating the </w:t>
      </w:r>
      <w:r w:rsidRPr="00864F2C">
        <w:rPr>
          <w:rFonts w:ascii="Times New Roman" w:eastAsia="Times New Roman" w:hAnsi="Times New Roman" w:cs="Times New Roman"/>
          <w:b/>
          <w:bCs/>
          <w:sz w:val="24"/>
          <w:szCs w:val="24"/>
          <w:highlight w:val="yellow"/>
        </w:rPr>
        <w:t>energy–efficiency trade-offs and process optimization</w:t>
      </w:r>
      <w:r w:rsidRPr="00864F2C">
        <w:rPr>
          <w:rFonts w:ascii="Times New Roman" w:eastAsia="Times New Roman" w:hAnsi="Times New Roman" w:cs="Times New Roman"/>
          <w:sz w:val="24"/>
          <w:szCs w:val="24"/>
          <w:highlight w:val="yellow"/>
        </w:rPr>
        <w:t xml:space="preserve"> of three conventional amine solvents—</w:t>
      </w:r>
      <w:proofErr w:type="spellStart"/>
      <w:r w:rsidRPr="00864F2C">
        <w:rPr>
          <w:rFonts w:ascii="Times New Roman" w:eastAsia="Times New Roman" w:hAnsi="Times New Roman" w:cs="Times New Roman"/>
          <w:sz w:val="24"/>
          <w:szCs w:val="24"/>
          <w:highlight w:val="yellow"/>
        </w:rPr>
        <w:t>Monoethanolamine</w:t>
      </w:r>
      <w:proofErr w:type="spellEnd"/>
      <w:r w:rsidRPr="00864F2C">
        <w:rPr>
          <w:rFonts w:ascii="Times New Roman" w:eastAsia="Times New Roman" w:hAnsi="Times New Roman" w:cs="Times New Roman"/>
          <w:sz w:val="24"/>
          <w:szCs w:val="24"/>
          <w:highlight w:val="yellow"/>
        </w:rPr>
        <w:t xml:space="preserve"> (MEA), </w:t>
      </w:r>
      <w:proofErr w:type="spellStart"/>
      <w:r w:rsidRPr="00864F2C">
        <w:rPr>
          <w:rFonts w:ascii="Times New Roman" w:eastAsia="Times New Roman" w:hAnsi="Times New Roman" w:cs="Times New Roman"/>
          <w:sz w:val="24"/>
          <w:szCs w:val="24"/>
          <w:highlight w:val="yellow"/>
        </w:rPr>
        <w:t>Diethanolamine</w:t>
      </w:r>
      <w:proofErr w:type="spellEnd"/>
      <w:r w:rsidRPr="00864F2C">
        <w:rPr>
          <w:rFonts w:ascii="Times New Roman" w:eastAsia="Times New Roman" w:hAnsi="Times New Roman" w:cs="Times New Roman"/>
          <w:sz w:val="24"/>
          <w:szCs w:val="24"/>
          <w:highlight w:val="yellow"/>
        </w:rPr>
        <w:t xml:space="preserve"> (DEA), and </w:t>
      </w:r>
      <w:proofErr w:type="spellStart"/>
      <w:r w:rsidRPr="00864F2C">
        <w:rPr>
          <w:rFonts w:ascii="Times New Roman" w:eastAsia="Times New Roman" w:hAnsi="Times New Roman" w:cs="Times New Roman"/>
          <w:sz w:val="24"/>
          <w:szCs w:val="24"/>
          <w:highlight w:val="yellow"/>
        </w:rPr>
        <w:t>Methyldiethanolamine</w:t>
      </w:r>
      <w:proofErr w:type="spellEnd"/>
      <w:r w:rsidRPr="00864F2C">
        <w:rPr>
          <w:rFonts w:ascii="Times New Roman" w:eastAsia="Times New Roman" w:hAnsi="Times New Roman" w:cs="Times New Roman"/>
          <w:sz w:val="24"/>
          <w:szCs w:val="24"/>
          <w:highlight w:val="yellow"/>
        </w:rPr>
        <w:t xml:space="preserve"> (MDEA)—using Aspen HYSYS simulation, with application to typical Niger Delta gas compositions.</w:t>
      </w:r>
      <w:r>
        <w:rPr>
          <w:rFonts w:ascii="Times New Roman" w:eastAsia="Times New Roman" w:hAnsi="Times New Roman" w:cs="Times New Roman"/>
          <w:sz w:val="24"/>
          <w:szCs w:val="24"/>
          <w:highlight w:val="yellow"/>
        </w:rPr>
        <w:t xml:space="preserve"> </w:t>
      </w:r>
      <w:r w:rsidRPr="00864F2C">
        <w:rPr>
          <w:rFonts w:ascii="Times New Roman" w:eastAsia="Times New Roman" w:hAnsi="Times New Roman" w:cs="Times New Roman"/>
          <w:sz w:val="24"/>
          <w:szCs w:val="24"/>
          <w:highlight w:val="yellow"/>
        </w:rPr>
        <w:t>A steady-state absorber–stripper model was developed using the Electrolyte Non-Random Two-Liquid (e-NRTL) thermodynamic framework to simulate CO₂ absorption and solvent regeneration under varying operating conditions (30–50 bar, 30–50°C absorber; 100–130°C stripper; 4–12% CO₂ feed). Key performance indicators, including CO₂ removal efficiency, cyclic loading capacity, regeneration energy requirement, solvent degradation, and techno-economic cost, were systematically evaluated, alongside sensitivity analysis of feed composition.</w:t>
      </w:r>
      <w:r>
        <w:rPr>
          <w:rFonts w:ascii="Times New Roman" w:eastAsia="Times New Roman" w:hAnsi="Times New Roman" w:cs="Times New Roman"/>
          <w:sz w:val="24"/>
          <w:szCs w:val="24"/>
          <w:highlight w:val="yellow"/>
        </w:rPr>
        <w:t xml:space="preserve"> </w:t>
      </w:r>
      <w:r w:rsidRPr="00864F2C">
        <w:rPr>
          <w:rFonts w:ascii="Times New Roman" w:eastAsia="Times New Roman" w:hAnsi="Times New Roman" w:cs="Times New Roman"/>
          <w:sz w:val="24"/>
          <w:szCs w:val="24"/>
          <w:highlight w:val="yellow"/>
        </w:rPr>
        <w:t>Results reveal distinct performance trade-offs among the solvents. MEA achieved the highest CO₂ removal efficiency (≈96%) and fastest absorption kinetics, but incurred the greatest regeneration energy penalty (≈3600 kJ/mol CO₂) and degradation rate. MDEA demonstrated superior energy efficiency (≈2200 kJ/mol CO₂), enhanced chemical stability, and the lowest overall cost (~$30/ton CO₂), albeit with lower removal efficiency (≈86%). DEA exhibited intermediate performance across all metrics. Increasing CO₂ concentration reduced removal efficiency for all solvents, though MEA showed greater resilience under high-acid gas conditions. Statistical analysis confirmed significant differences (</w:t>
      </w:r>
      <w:r w:rsidRPr="00864F2C">
        <w:rPr>
          <w:rFonts w:ascii="Times New Roman" w:eastAsia="Times New Roman" w:hAnsi="Times New Roman" w:cs="Times New Roman"/>
          <w:i/>
          <w:iCs/>
          <w:sz w:val="24"/>
          <w:szCs w:val="24"/>
          <w:highlight w:val="yellow"/>
        </w:rPr>
        <w:t>p</w:t>
      </w:r>
      <w:r w:rsidRPr="00864F2C">
        <w:rPr>
          <w:rFonts w:ascii="Times New Roman" w:eastAsia="Times New Roman" w:hAnsi="Times New Roman" w:cs="Times New Roman"/>
          <w:sz w:val="24"/>
          <w:szCs w:val="24"/>
          <w:highlight w:val="yellow"/>
        </w:rPr>
        <w:t xml:space="preserve"> &lt; 0.05) among solvents, particularly in energy consumption and cost.</w:t>
      </w:r>
      <w:r>
        <w:rPr>
          <w:rFonts w:ascii="Times New Roman" w:eastAsia="Times New Roman" w:hAnsi="Times New Roman" w:cs="Times New Roman"/>
          <w:sz w:val="24"/>
          <w:szCs w:val="24"/>
          <w:highlight w:val="yellow"/>
        </w:rPr>
        <w:t xml:space="preserve"> </w:t>
      </w:r>
      <w:r w:rsidRPr="00864F2C">
        <w:rPr>
          <w:rFonts w:ascii="Times New Roman" w:eastAsia="Times New Roman" w:hAnsi="Times New Roman" w:cs="Times New Roman"/>
          <w:sz w:val="24"/>
          <w:szCs w:val="24"/>
          <w:highlight w:val="yellow"/>
        </w:rPr>
        <w:t>The study provides novel insights into the balance between absorption efficiency and energy sustainability, highlighting that solvent selection should be guided by process objectives rather than a single performance metric. From an industrial perspective, MDEA is recommended for large-scale operations prioritizing energy efficiency and cost reduction, while MEA remains suitable for high-purity gas applications.</w:t>
      </w:r>
      <w:r>
        <w:rPr>
          <w:rFonts w:ascii="Times New Roman" w:eastAsia="Times New Roman" w:hAnsi="Times New Roman" w:cs="Times New Roman"/>
          <w:sz w:val="24"/>
          <w:szCs w:val="24"/>
          <w:highlight w:val="yellow"/>
        </w:rPr>
        <w:t xml:space="preserve"> </w:t>
      </w:r>
      <w:r w:rsidRPr="00864F2C">
        <w:rPr>
          <w:rFonts w:ascii="Times New Roman" w:eastAsia="Times New Roman" w:hAnsi="Times New Roman" w:cs="Times New Roman"/>
          <w:sz w:val="24"/>
          <w:szCs w:val="24"/>
          <w:highlight w:val="yellow"/>
        </w:rPr>
        <w:t>Beyond process-level findings, this work contributes to the broader discourse on low-carbon gas processing, offering a simulation-based framework for optimizing CO₂ capture in emerging gas-producing regions. The results have important implications for policy and industry, particularly in supporting energy-efficient gas utilization, reducing flaring, and advancing carbon management strategies in the Niger Delta and similar hydrocarbon systems.</w:t>
      </w:r>
    </w:p>
    <w:p w14:paraId="0C1C6577" w14:textId="77777777" w:rsidR="00EB421B" w:rsidRPr="00AA64A0" w:rsidRDefault="004C6C37">
      <w:pPr>
        <w:autoSpaceDE w:val="0"/>
        <w:autoSpaceDN w:val="0"/>
        <w:adjustRightInd w:val="0"/>
        <w:spacing w:after="0" w:line="276" w:lineRule="auto"/>
        <w:jc w:val="both"/>
        <w:rPr>
          <w:rFonts w:ascii="Times New Roman" w:hAnsi="Times New Roman" w:cs="Times New Roman"/>
          <w:i/>
          <w:color w:val="262626"/>
          <w:sz w:val="24"/>
          <w:szCs w:val="24"/>
        </w:rPr>
      </w:pPr>
      <w:r w:rsidRPr="00AA64A0">
        <w:rPr>
          <w:rFonts w:ascii="Times New Roman" w:hAnsi="Times New Roman" w:cs="Times New Roman"/>
          <w:i/>
          <w:color w:val="262626"/>
          <w:sz w:val="24"/>
          <w:szCs w:val="24"/>
        </w:rPr>
        <w:lastRenderedPageBreak/>
        <w:t>=========================================================</w:t>
      </w:r>
    </w:p>
    <w:p w14:paraId="386D4060" w14:textId="03B4DB05" w:rsidR="00EB421B" w:rsidRPr="00AA64A0" w:rsidRDefault="004C6C37">
      <w:pPr>
        <w:autoSpaceDE w:val="0"/>
        <w:autoSpaceDN w:val="0"/>
        <w:adjustRightInd w:val="0"/>
        <w:spacing w:after="0" w:line="276" w:lineRule="auto"/>
        <w:jc w:val="both"/>
        <w:rPr>
          <w:rFonts w:ascii="Times New Roman" w:hAnsi="Times New Roman" w:cs="Times New Roman"/>
          <w:i/>
          <w:iCs/>
          <w:color w:val="262626"/>
          <w:sz w:val="24"/>
          <w:szCs w:val="24"/>
        </w:rPr>
      </w:pPr>
      <w:r w:rsidRPr="00AA64A0">
        <w:rPr>
          <w:rStyle w:val="Emphasis"/>
          <w:rFonts w:ascii="Times New Roman" w:hAnsi="Times New Roman" w:cs="Times New Roman"/>
          <w:b/>
          <w:color w:val="262626"/>
          <w:sz w:val="24"/>
          <w:szCs w:val="24"/>
        </w:rPr>
        <w:t xml:space="preserve">Keywords: </w:t>
      </w:r>
      <w:r w:rsidR="009A2885" w:rsidRPr="009A2885">
        <w:rPr>
          <w:rFonts w:ascii="Times New Roman" w:hAnsi="Times New Roman" w:cs="Times New Roman"/>
          <w:i/>
          <w:sz w:val="24"/>
          <w:szCs w:val="24"/>
          <w:highlight w:val="yellow"/>
        </w:rPr>
        <w:t>Amine solvent comparison; CO₂ capture optimization; Aspen HYSYS simulation; Niger Delta gas systems; Energy–efficiency trade-offs</w:t>
      </w:r>
    </w:p>
    <w:p w14:paraId="524B7AEA" w14:textId="77777777" w:rsidR="00EB421B" w:rsidRPr="00AA64A0" w:rsidRDefault="00EB421B">
      <w:pPr>
        <w:spacing w:after="0" w:line="360" w:lineRule="auto"/>
        <w:jc w:val="both"/>
        <w:rPr>
          <w:rFonts w:ascii="Times New Roman" w:hAnsi="Times New Roman" w:cs="Times New Roman"/>
          <w:b/>
          <w:bCs/>
          <w:color w:val="262626"/>
          <w:sz w:val="24"/>
          <w:szCs w:val="24"/>
        </w:rPr>
      </w:pPr>
    </w:p>
    <w:p w14:paraId="34B74D42" w14:textId="77777777" w:rsidR="00EB421B" w:rsidRPr="00AA64A0" w:rsidRDefault="004C6C37">
      <w:pPr>
        <w:spacing w:after="0" w:line="360" w:lineRule="auto"/>
        <w:jc w:val="both"/>
        <w:rPr>
          <w:rFonts w:ascii="Times New Roman" w:hAnsi="Times New Roman" w:cs="Times New Roman"/>
          <w:b/>
          <w:bCs/>
          <w:color w:val="262626"/>
          <w:sz w:val="28"/>
          <w:szCs w:val="28"/>
        </w:rPr>
      </w:pPr>
      <w:r w:rsidRPr="00AA64A0">
        <w:rPr>
          <w:rFonts w:ascii="Times New Roman" w:hAnsi="Times New Roman" w:cs="Times New Roman"/>
          <w:b/>
          <w:bCs/>
          <w:color w:val="262626"/>
          <w:sz w:val="28"/>
          <w:szCs w:val="28"/>
        </w:rPr>
        <w:t>1. Introduction</w:t>
      </w:r>
    </w:p>
    <w:p w14:paraId="37CA8D32" w14:textId="604A6EFC" w:rsidR="005C4A78" w:rsidRDefault="005C4A78" w:rsidP="005C4A78">
      <w:pPr>
        <w:spacing w:after="0" w:line="360" w:lineRule="auto"/>
        <w:ind w:firstLine="720"/>
        <w:jc w:val="both"/>
        <w:rPr>
          <w:rFonts w:ascii="Times New Roman" w:eastAsia="Times New Roman" w:hAnsi="Times New Roman" w:cs="Times New Roman"/>
          <w:sz w:val="24"/>
          <w:szCs w:val="24"/>
        </w:rPr>
      </w:pPr>
      <w:r w:rsidRPr="005C4A78">
        <w:rPr>
          <w:rFonts w:ascii="Times New Roman" w:eastAsia="Times New Roman" w:hAnsi="Times New Roman" w:cs="Times New Roman"/>
          <w:sz w:val="24"/>
          <w:szCs w:val="24"/>
        </w:rPr>
        <w:t xml:space="preserve">Natural gas is widely regarded as a transition fuel in the global shift toward lower-carbon energy systems due to its lower carbon intensity relative to coal and oil. However, raw natural gas streams frequently contain significant concentrations of acid gases, particularly carbon dioxide (CO₂), which must be removed to meet pipeline specifications, prevent corrosion, and enhance calorific value </w:t>
      </w:r>
      <w:r w:rsidR="006E2780">
        <w:rPr>
          <w:rFonts w:ascii="Times New Roman" w:eastAsia="Times New Roman" w:hAnsi="Times New Roman" w:cs="Times New Roman"/>
          <w:sz w:val="24"/>
          <w:szCs w:val="24"/>
        </w:rPr>
        <w:t>[1, 2]</w:t>
      </w:r>
      <w:r w:rsidRPr="005C4A78">
        <w:rPr>
          <w:rFonts w:ascii="Times New Roman" w:eastAsia="Times New Roman" w:hAnsi="Times New Roman" w:cs="Times New Roman"/>
          <w:sz w:val="24"/>
          <w:szCs w:val="24"/>
        </w:rPr>
        <w:t>. Consequently, gas sweetening has become a critical unit operation in natural gas processing, with direct implications for energy efficiency, environmental performance, and economic viability.</w:t>
      </w:r>
    </w:p>
    <w:p w14:paraId="3731256C" w14:textId="27B60B75" w:rsidR="005C4A78" w:rsidRDefault="005C4A78" w:rsidP="005C4A78">
      <w:pPr>
        <w:spacing w:after="0" w:line="360" w:lineRule="auto"/>
        <w:ind w:firstLine="720"/>
        <w:jc w:val="both"/>
        <w:rPr>
          <w:rFonts w:ascii="Times New Roman" w:eastAsia="Times New Roman" w:hAnsi="Times New Roman" w:cs="Times New Roman"/>
          <w:sz w:val="24"/>
          <w:szCs w:val="24"/>
        </w:rPr>
      </w:pPr>
      <w:r w:rsidRPr="005C4A78">
        <w:rPr>
          <w:rFonts w:ascii="Times New Roman" w:eastAsia="Times New Roman" w:hAnsi="Times New Roman" w:cs="Times New Roman"/>
          <w:sz w:val="24"/>
          <w:szCs w:val="24"/>
        </w:rPr>
        <w:t>Among the available CO₂ removal technologies</w:t>
      </w:r>
      <w:r>
        <w:rPr>
          <w:rFonts w:ascii="Times New Roman" w:eastAsia="Times New Roman" w:hAnsi="Times New Roman" w:cs="Times New Roman"/>
          <w:sz w:val="24"/>
          <w:szCs w:val="24"/>
        </w:rPr>
        <w:t xml:space="preserve">; </w:t>
      </w:r>
      <w:r w:rsidRPr="005C4A78">
        <w:rPr>
          <w:rFonts w:ascii="Times New Roman" w:eastAsia="Times New Roman" w:hAnsi="Times New Roman" w:cs="Times New Roman"/>
          <w:sz w:val="24"/>
          <w:szCs w:val="24"/>
        </w:rPr>
        <w:t xml:space="preserve">including membrane separation, adsorption, and cryogenic distillation—chemical absorption using aqueous amine solutions remains the dominant industrial approach due to its high selectivity, operational flexibility, and maturity (Li et al., 2022). Conventional amines such as </w:t>
      </w:r>
      <w:proofErr w:type="spellStart"/>
      <w:r w:rsidRPr="005C4A78">
        <w:rPr>
          <w:rFonts w:ascii="Times New Roman" w:eastAsia="Times New Roman" w:hAnsi="Times New Roman" w:cs="Times New Roman"/>
          <w:sz w:val="24"/>
          <w:szCs w:val="24"/>
        </w:rPr>
        <w:t>Monoethanolamine</w:t>
      </w:r>
      <w:proofErr w:type="spellEnd"/>
      <w:r w:rsidRPr="005C4A78">
        <w:rPr>
          <w:rFonts w:ascii="Times New Roman" w:eastAsia="Times New Roman" w:hAnsi="Times New Roman" w:cs="Times New Roman"/>
          <w:sz w:val="24"/>
          <w:szCs w:val="24"/>
        </w:rPr>
        <w:t xml:space="preserve"> (MEA), </w:t>
      </w:r>
      <w:proofErr w:type="spellStart"/>
      <w:r w:rsidRPr="005C4A78">
        <w:rPr>
          <w:rFonts w:ascii="Times New Roman" w:eastAsia="Times New Roman" w:hAnsi="Times New Roman" w:cs="Times New Roman"/>
          <w:sz w:val="24"/>
          <w:szCs w:val="24"/>
        </w:rPr>
        <w:t>Diethanolamine</w:t>
      </w:r>
      <w:proofErr w:type="spellEnd"/>
      <w:r w:rsidRPr="005C4A78">
        <w:rPr>
          <w:rFonts w:ascii="Times New Roman" w:eastAsia="Times New Roman" w:hAnsi="Times New Roman" w:cs="Times New Roman"/>
          <w:sz w:val="24"/>
          <w:szCs w:val="24"/>
        </w:rPr>
        <w:t xml:space="preserve"> (DEA), and </w:t>
      </w:r>
      <w:proofErr w:type="spellStart"/>
      <w:r w:rsidRPr="005C4A78">
        <w:rPr>
          <w:rFonts w:ascii="Times New Roman" w:eastAsia="Times New Roman" w:hAnsi="Times New Roman" w:cs="Times New Roman"/>
          <w:sz w:val="24"/>
          <w:szCs w:val="24"/>
        </w:rPr>
        <w:t>Methyldiethanolamine</w:t>
      </w:r>
      <w:proofErr w:type="spellEnd"/>
      <w:r w:rsidRPr="005C4A78">
        <w:rPr>
          <w:rFonts w:ascii="Times New Roman" w:eastAsia="Times New Roman" w:hAnsi="Times New Roman" w:cs="Times New Roman"/>
          <w:sz w:val="24"/>
          <w:szCs w:val="24"/>
        </w:rPr>
        <w:t xml:space="preserve"> (MDEA) are widely used, each exhibiting distinct physicochemical characteristics. MEA, a primary amine, is known for its fast reaction kinetics and high absorption efficiency, while DEA offers moderate performance, and MDEA, a tertiary amine, is valued for its low regeneration energy and enhanced stability </w:t>
      </w:r>
      <w:r w:rsidR="006E2780">
        <w:rPr>
          <w:rFonts w:ascii="Times New Roman" w:eastAsia="Times New Roman" w:hAnsi="Times New Roman" w:cs="Times New Roman"/>
          <w:sz w:val="24"/>
          <w:szCs w:val="24"/>
        </w:rPr>
        <w:t>[3, 4]</w:t>
      </w:r>
      <w:r w:rsidRPr="005C4A78">
        <w:rPr>
          <w:rFonts w:ascii="Times New Roman" w:eastAsia="Times New Roman" w:hAnsi="Times New Roman" w:cs="Times New Roman"/>
          <w:sz w:val="24"/>
          <w:szCs w:val="24"/>
        </w:rPr>
        <w:t>.</w:t>
      </w:r>
    </w:p>
    <w:p w14:paraId="0274CEC0" w14:textId="3235869C" w:rsidR="005C4A78" w:rsidRDefault="005C4A78" w:rsidP="005C4A78">
      <w:pPr>
        <w:spacing w:after="0" w:line="360" w:lineRule="auto"/>
        <w:ind w:firstLine="720"/>
        <w:jc w:val="both"/>
        <w:rPr>
          <w:rFonts w:ascii="Times New Roman" w:eastAsia="Times New Roman" w:hAnsi="Times New Roman" w:cs="Times New Roman"/>
          <w:b/>
          <w:bCs/>
          <w:sz w:val="24"/>
          <w:szCs w:val="24"/>
        </w:rPr>
      </w:pPr>
      <w:r w:rsidRPr="005C4A78">
        <w:rPr>
          <w:rFonts w:ascii="Times New Roman" w:eastAsia="Times New Roman" w:hAnsi="Times New Roman" w:cs="Times New Roman"/>
          <w:sz w:val="24"/>
          <w:szCs w:val="24"/>
        </w:rPr>
        <w:t xml:space="preserve">Despite their widespread use, amine-based systems present inherent trade-offs that continue to challenge process optimization. High energy consumption during solvent regeneration, solvent degradation, and corrosion remain major limitations, particularly in large-scale operations </w:t>
      </w:r>
      <w:r w:rsidR="006E2780">
        <w:rPr>
          <w:rFonts w:ascii="Times New Roman" w:eastAsia="Times New Roman" w:hAnsi="Times New Roman" w:cs="Times New Roman"/>
          <w:sz w:val="24"/>
          <w:szCs w:val="24"/>
        </w:rPr>
        <w:t>[5]</w:t>
      </w:r>
      <w:r w:rsidRPr="005C4A78">
        <w:rPr>
          <w:rFonts w:ascii="Times New Roman" w:eastAsia="Times New Roman" w:hAnsi="Times New Roman" w:cs="Times New Roman"/>
          <w:sz w:val="24"/>
          <w:szCs w:val="24"/>
        </w:rPr>
        <w:t>. Recent research has therefore shifted toward improving energy efficiency, understanding solvent performance trade-offs, and optimizing operating conditions. Simulation tools such as Aspen HYSYS have become essential in this regard, enabling detailed analysis of thermodynamics, mass transfer, and reaction kinetics without the cost and complexity of pilot-scale experimentation</w:t>
      </w:r>
      <w:r w:rsidR="006E2780">
        <w:rPr>
          <w:rFonts w:ascii="Times New Roman" w:eastAsia="Times New Roman" w:hAnsi="Times New Roman" w:cs="Times New Roman"/>
          <w:sz w:val="24"/>
          <w:szCs w:val="24"/>
        </w:rPr>
        <w:t xml:space="preserve"> [6]</w:t>
      </w:r>
      <w:r w:rsidRPr="005C4A78">
        <w:rPr>
          <w:rFonts w:ascii="Times New Roman" w:eastAsia="Times New Roman" w:hAnsi="Times New Roman" w:cs="Times New Roman"/>
          <w:sz w:val="24"/>
          <w:szCs w:val="24"/>
        </w:rPr>
        <w:t>.</w:t>
      </w:r>
    </w:p>
    <w:p w14:paraId="09475FFA" w14:textId="7E0027C0" w:rsidR="005C4A78" w:rsidRDefault="005C4A78" w:rsidP="005C4A78">
      <w:pPr>
        <w:spacing w:after="0" w:line="360" w:lineRule="auto"/>
        <w:ind w:firstLine="720"/>
        <w:jc w:val="both"/>
        <w:rPr>
          <w:rFonts w:ascii="Times New Roman" w:eastAsia="Times New Roman" w:hAnsi="Times New Roman" w:cs="Times New Roman"/>
          <w:sz w:val="24"/>
          <w:szCs w:val="24"/>
        </w:rPr>
      </w:pPr>
      <w:r w:rsidRPr="005C4A78">
        <w:rPr>
          <w:rFonts w:ascii="Times New Roman" w:eastAsia="Times New Roman" w:hAnsi="Times New Roman" w:cs="Times New Roman"/>
          <w:sz w:val="24"/>
          <w:szCs w:val="24"/>
        </w:rPr>
        <w:t xml:space="preserve">A growing body of literature has explored the performance of amine solvents for CO₂ capture. Studies have consistently shown that MEA provides superior absorption efficiency but at the cost of high regeneration energy, while MDEA offers lower energy consumption but reduced </w:t>
      </w:r>
      <w:r w:rsidRPr="005C4A78">
        <w:rPr>
          <w:rFonts w:ascii="Times New Roman" w:eastAsia="Times New Roman" w:hAnsi="Times New Roman" w:cs="Times New Roman"/>
          <w:sz w:val="24"/>
          <w:szCs w:val="24"/>
        </w:rPr>
        <w:lastRenderedPageBreak/>
        <w:t xml:space="preserve">absorption capacity </w:t>
      </w:r>
      <w:r w:rsidR="006E2780">
        <w:rPr>
          <w:rFonts w:ascii="Times New Roman" w:eastAsia="Times New Roman" w:hAnsi="Times New Roman" w:cs="Times New Roman"/>
          <w:sz w:val="24"/>
          <w:szCs w:val="24"/>
        </w:rPr>
        <w:t>[7, 8]</w:t>
      </w:r>
      <w:r w:rsidRPr="005C4A78">
        <w:rPr>
          <w:rFonts w:ascii="Times New Roman" w:eastAsia="Times New Roman" w:hAnsi="Times New Roman" w:cs="Times New Roman"/>
          <w:sz w:val="24"/>
          <w:szCs w:val="24"/>
        </w:rPr>
        <w:t xml:space="preserve">. Other works have focused on process optimization strategies, including heat integration and solvent blending, to improve overall system performance </w:t>
      </w:r>
      <w:r w:rsidR="006E2780">
        <w:rPr>
          <w:rFonts w:ascii="Times New Roman" w:eastAsia="Times New Roman" w:hAnsi="Times New Roman" w:cs="Times New Roman"/>
          <w:sz w:val="24"/>
          <w:szCs w:val="24"/>
        </w:rPr>
        <w:t>[9]</w:t>
      </w:r>
      <w:r w:rsidRPr="005C4A78">
        <w:rPr>
          <w:rFonts w:ascii="Times New Roman" w:eastAsia="Times New Roman" w:hAnsi="Times New Roman" w:cs="Times New Roman"/>
          <w:sz w:val="24"/>
          <w:szCs w:val="24"/>
        </w:rPr>
        <w:t>.</w:t>
      </w:r>
    </w:p>
    <w:p w14:paraId="24F7AB8D" w14:textId="77777777" w:rsidR="005C4A78" w:rsidRDefault="005C4A78" w:rsidP="005C4A78">
      <w:pPr>
        <w:spacing w:after="0" w:line="360" w:lineRule="auto"/>
        <w:ind w:firstLine="720"/>
        <w:jc w:val="both"/>
        <w:rPr>
          <w:rFonts w:ascii="Times New Roman" w:eastAsia="Times New Roman" w:hAnsi="Times New Roman" w:cs="Times New Roman"/>
          <w:sz w:val="24"/>
          <w:szCs w:val="24"/>
        </w:rPr>
      </w:pPr>
      <w:r w:rsidRPr="005C4A78">
        <w:rPr>
          <w:rFonts w:ascii="Times New Roman" w:eastAsia="Times New Roman" w:hAnsi="Times New Roman" w:cs="Times New Roman"/>
          <w:sz w:val="24"/>
          <w:szCs w:val="24"/>
        </w:rPr>
        <w:t>However, several key gaps remain. First, many existing studies are conducted under generalized or idealized conditions that do not reflect the compositional variability and operational constraints of specific gas-producing regions, particularly in developing economies. Second, while individual solvent performance has been widely reported, there is limited comparative analysis that simultaneously evaluates efficiency, energy demand, degradation, and economic performance under a unified modeling framework. Third, the majority of studies emphasize technical performance without adequately linking findings to practical industrial decision-making or regional energy challenges.</w:t>
      </w:r>
    </w:p>
    <w:p w14:paraId="7BCE461E" w14:textId="4D627E3B" w:rsidR="005C4A78" w:rsidRDefault="005C4A78" w:rsidP="005C4A78">
      <w:pPr>
        <w:spacing w:after="0" w:line="360" w:lineRule="auto"/>
        <w:ind w:firstLine="720"/>
        <w:jc w:val="both"/>
        <w:rPr>
          <w:rFonts w:ascii="Times New Roman" w:eastAsia="Times New Roman" w:hAnsi="Times New Roman" w:cs="Times New Roman"/>
          <w:sz w:val="24"/>
          <w:szCs w:val="24"/>
        </w:rPr>
      </w:pPr>
      <w:r w:rsidRPr="005C4A78">
        <w:rPr>
          <w:rFonts w:ascii="Times New Roman" w:eastAsia="Times New Roman" w:hAnsi="Times New Roman" w:cs="Times New Roman"/>
          <w:sz w:val="24"/>
          <w:szCs w:val="24"/>
        </w:rPr>
        <w:t xml:space="preserve">In the context of the Niger Delta, these gaps are particularly significant. The region holds substantial natural gas reserves but continues to face challenges related to gas flaring, inefficient processing infrastructure, and high CO₂ content in produced gas streams </w:t>
      </w:r>
      <w:r w:rsidR="006E2780">
        <w:rPr>
          <w:rFonts w:ascii="Times New Roman" w:eastAsia="Times New Roman" w:hAnsi="Times New Roman" w:cs="Times New Roman"/>
          <w:sz w:val="24"/>
          <w:szCs w:val="24"/>
        </w:rPr>
        <w:t>[10]</w:t>
      </w:r>
      <w:r w:rsidRPr="005C4A78">
        <w:rPr>
          <w:rFonts w:ascii="Times New Roman" w:eastAsia="Times New Roman" w:hAnsi="Times New Roman" w:cs="Times New Roman"/>
          <w:sz w:val="24"/>
          <w:szCs w:val="24"/>
        </w:rPr>
        <w:t>. There is therefore a pressing need for context-specific, optimization-driven studies that can guide solvent selection and process design in a manner that balances efficiency, cost, and sustainability.</w:t>
      </w:r>
    </w:p>
    <w:p w14:paraId="4604BA22" w14:textId="77777777" w:rsidR="00CF55F2" w:rsidRDefault="00CF55F2" w:rsidP="00CF55F2">
      <w:pPr>
        <w:spacing w:after="0" w:line="360" w:lineRule="auto"/>
        <w:jc w:val="both"/>
        <w:rPr>
          <w:rFonts w:ascii="Times New Roman" w:eastAsia="Times New Roman" w:hAnsi="Times New Roman" w:cs="Times New Roman"/>
          <w:sz w:val="24"/>
          <w:szCs w:val="24"/>
        </w:rPr>
      </w:pPr>
    </w:p>
    <w:p w14:paraId="299C2C94" w14:textId="77777777" w:rsidR="00AC38B6" w:rsidRPr="008C1CC3" w:rsidRDefault="00AC38B6" w:rsidP="00CF55F2">
      <w:pPr>
        <w:spacing w:after="0" w:line="360" w:lineRule="auto"/>
        <w:jc w:val="both"/>
        <w:rPr>
          <w:rFonts w:ascii="Times New Roman" w:eastAsia="Times New Roman" w:hAnsi="Times New Roman" w:cs="Times New Roman"/>
          <w:b/>
          <w:bCs/>
          <w:sz w:val="24"/>
          <w:szCs w:val="24"/>
          <w:highlight w:val="yellow"/>
        </w:rPr>
      </w:pPr>
      <w:r w:rsidRPr="008C1CC3">
        <w:rPr>
          <w:rFonts w:ascii="Times New Roman" w:eastAsia="Times New Roman" w:hAnsi="Times New Roman" w:cs="Times New Roman"/>
          <w:b/>
          <w:bCs/>
          <w:sz w:val="24"/>
          <w:szCs w:val="24"/>
          <w:highlight w:val="yellow"/>
        </w:rPr>
        <w:t>Aim of Study</w:t>
      </w:r>
    </w:p>
    <w:p w14:paraId="393CD794" w14:textId="7D68694A" w:rsidR="00CF55F2" w:rsidRPr="008C1CC3" w:rsidRDefault="00CF55F2" w:rsidP="00AC38B6">
      <w:pPr>
        <w:spacing w:after="0" w:line="360" w:lineRule="auto"/>
        <w:ind w:firstLine="720"/>
        <w:jc w:val="both"/>
        <w:rPr>
          <w:rFonts w:ascii="Times New Roman" w:eastAsia="Times New Roman" w:hAnsi="Times New Roman" w:cs="Times New Roman"/>
          <w:sz w:val="24"/>
          <w:szCs w:val="24"/>
          <w:highlight w:val="yellow"/>
        </w:rPr>
      </w:pPr>
      <w:r w:rsidRPr="008C1CC3">
        <w:rPr>
          <w:rFonts w:ascii="Times New Roman" w:eastAsia="Times New Roman" w:hAnsi="Times New Roman" w:cs="Times New Roman"/>
          <w:sz w:val="24"/>
          <w:szCs w:val="24"/>
          <w:highlight w:val="yellow"/>
        </w:rPr>
        <w:t xml:space="preserve">The aim of this study is to quantitatively evaluate and optimize the energy–efficiency trade-offs in amine-based CO₂ removal from natural gas by comparatively assessing the performance of </w:t>
      </w:r>
      <w:proofErr w:type="spellStart"/>
      <w:r w:rsidRPr="008C1CC3">
        <w:rPr>
          <w:rFonts w:ascii="Times New Roman" w:eastAsia="Times New Roman" w:hAnsi="Times New Roman" w:cs="Times New Roman"/>
          <w:sz w:val="24"/>
          <w:szCs w:val="24"/>
          <w:highlight w:val="yellow"/>
        </w:rPr>
        <w:t>Monoethanolamine</w:t>
      </w:r>
      <w:proofErr w:type="spellEnd"/>
      <w:r w:rsidRPr="008C1CC3">
        <w:rPr>
          <w:rFonts w:ascii="Times New Roman" w:eastAsia="Times New Roman" w:hAnsi="Times New Roman" w:cs="Times New Roman"/>
          <w:sz w:val="24"/>
          <w:szCs w:val="24"/>
          <w:highlight w:val="yellow"/>
        </w:rPr>
        <w:t xml:space="preserve"> (MEA), </w:t>
      </w:r>
      <w:proofErr w:type="spellStart"/>
      <w:r w:rsidRPr="008C1CC3">
        <w:rPr>
          <w:rFonts w:ascii="Times New Roman" w:eastAsia="Times New Roman" w:hAnsi="Times New Roman" w:cs="Times New Roman"/>
          <w:sz w:val="24"/>
          <w:szCs w:val="24"/>
          <w:highlight w:val="yellow"/>
        </w:rPr>
        <w:t>Diethanolamine</w:t>
      </w:r>
      <w:proofErr w:type="spellEnd"/>
      <w:r w:rsidRPr="008C1CC3">
        <w:rPr>
          <w:rFonts w:ascii="Times New Roman" w:eastAsia="Times New Roman" w:hAnsi="Times New Roman" w:cs="Times New Roman"/>
          <w:sz w:val="24"/>
          <w:szCs w:val="24"/>
          <w:highlight w:val="yellow"/>
        </w:rPr>
        <w:t xml:space="preserve"> (DEA), and </w:t>
      </w:r>
      <w:proofErr w:type="spellStart"/>
      <w:r w:rsidRPr="008C1CC3">
        <w:rPr>
          <w:rFonts w:ascii="Times New Roman" w:eastAsia="Times New Roman" w:hAnsi="Times New Roman" w:cs="Times New Roman"/>
          <w:sz w:val="24"/>
          <w:szCs w:val="24"/>
          <w:highlight w:val="yellow"/>
        </w:rPr>
        <w:t>Methyldiethanolamine</w:t>
      </w:r>
      <w:proofErr w:type="spellEnd"/>
      <w:r w:rsidRPr="008C1CC3">
        <w:rPr>
          <w:rFonts w:ascii="Times New Roman" w:eastAsia="Times New Roman" w:hAnsi="Times New Roman" w:cs="Times New Roman"/>
          <w:sz w:val="24"/>
          <w:szCs w:val="24"/>
          <w:highlight w:val="yellow"/>
        </w:rPr>
        <w:t xml:space="preserve"> (MDEA) using Aspen HYSYS simulation under conditions representative of Niger Delta gas systems.</w:t>
      </w:r>
    </w:p>
    <w:p w14:paraId="2E14C674" w14:textId="77777777" w:rsidR="008C1CC3" w:rsidRPr="008C1CC3" w:rsidRDefault="008C1CC3" w:rsidP="00CF55F2">
      <w:pPr>
        <w:spacing w:after="0" w:line="360" w:lineRule="auto"/>
        <w:jc w:val="both"/>
        <w:rPr>
          <w:rFonts w:ascii="Times New Roman" w:eastAsia="Times New Roman" w:hAnsi="Times New Roman" w:cs="Times New Roman"/>
          <w:sz w:val="24"/>
          <w:szCs w:val="24"/>
          <w:highlight w:val="yellow"/>
        </w:rPr>
      </w:pPr>
    </w:p>
    <w:p w14:paraId="6F365CAB" w14:textId="14F5A056" w:rsidR="00CF55F2" w:rsidRPr="008C1CC3" w:rsidRDefault="00CF55F2" w:rsidP="00CF55F2">
      <w:pPr>
        <w:spacing w:after="0" w:line="360" w:lineRule="auto"/>
        <w:jc w:val="both"/>
        <w:rPr>
          <w:rFonts w:ascii="Times New Roman" w:eastAsia="Times New Roman" w:hAnsi="Times New Roman" w:cs="Times New Roman"/>
          <w:b/>
          <w:bCs/>
          <w:sz w:val="24"/>
          <w:szCs w:val="24"/>
          <w:highlight w:val="yellow"/>
        </w:rPr>
      </w:pPr>
      <w:r w:rsidRPr="008C1CC3">
        <w:rPr>
          <w:rFonts w:ascii="Times New Roman" w:eastAsia="Times New Roman" w:hAnsi="Times New Roman" w:cs="Times New Roman"/>
          <w:b/>
          <w:bCs/>
          <w:sz w:val="24"/>
          <w:szCs w:val="24"/>
          <w:highlight w:val="yellow"/>
        </w:rPr>
        <w:t>Specific Objectives</w:t>
      </w:r>
    </w:p>
    <w:p w14:paraId="138DEFDB" w14:textId="77777777" w:rsidR="00CF55F2" w:rsidRPr="008C1CC3" w:rsidRDefault="00CF55F2" w:rsidP="00CF55F2">
      <w:pPr>
        <w:spacing w:after="0" w:line="360" w:lineRule="auto"/>
        <w:jc w:val="both"/>
        <w:rPr>
          <w:rFonts w:ascii="Times New Roman" w:eastAsia="Times New Roman" w:hAnsi="Times New Roman" w:cs="Times New Roman"/>
          <w:sz w:val="24"/>
          <w:szCs w:val="24"/>
          <w:highlight w:val="yellow"/>
        </w:rPr>
      </w:pPr>
      <w:r w:rsidRPr="008C1CC3">
        <w:rPr>
          <w:rFonts w:ascii="Times New Roman" w:eastAsia="Times New Roman" w:hAnsi="Times New Roman" w:cs="Times New Roman"/>
          <w:sz w:val="24"/>
          <w:szCs w:val="24"/>
          <w:highlight w:val="yellow"/>
        </w:rPr>
        <w:t>The study is designed to:</w:t>
      </w:r>
    </w:p>
    <w:p w14:paraId="47374F0B" w14:textId="77777777" w:rsidR="00CF55F2" w:rsidRPr="008C1CC3" w:rsidRDefault="00CF55F2" w:rsidP="00CF55F2">
      <w:pPr>
        <w:numPr>
          <w:ilvl w:val="0"/>
          <w:numId w:val="17"/>
        </w:numPr>
        <w:spacing w:after="0" w:line="360" w:lineRule="auto"/>
        <w:jc w:val="both"/>
        <w:rPr>
          <w:rFonts w:ascii="Times New Roman" w:eastAsia="Times New Roman" w:hAnsi="Times New Roman" w:cs="Times New Roman"/>
          <w:sz w:val="24"/>
          <w:szCs w:val="24"/>
          <w:highlight w:val="yellow"/>
        </w:rPr>
      </w:pPr>
      <w:r w:rsidRPr="008C1CC3">
        <w:rPr>
          <w:rFonts w:ascii="Times New Roman" w:eastAsia="Times New Roman" w:hAnsi="Times New Roman" w:cs="Times New Roman"/>
          <w:b/>
          <w:bCs/>
          <w:sz w:val="24"/>
          <w:szCs w:val="24"/>
          <w:highlight w:val="yellow"/>
        </w:rPr>
        <w:t>Quantitatively compare</w:t>
      </w:r>
      <w:r w:rsidRPr="008C1CC3">
        <w:rPr>
          <w:rFonts w:ascii="Times New Roman" w:eastAsia="Times New Roman" w:hAnsi="Times New Roman" w:cs="Times New Roman"/>
          <w:sz w:val="24"/>
          <w:szCs w:val="24"/>
          <w:highlight w:val="yellow"/>
        </w:rPr>
        <w:t xml:space="preserve"> the CO₂ absorption performance (removal efficiency, kinetics, and cyclic capacity) of MEA, DEA, and MDEA under varying feed gas compositions and operating conditions. </w:t>
      </w:r>
    </w:p>
    <w:p w14:paraId="2FE03276" w14:textId="77777777" w:rsidR="00CF55F2" w:rsidRPr="008C1CC3" w:rsidRDefault="00CF55F2" w:rsidP="00CF55F2">
      <w:pPr>
        <w:numPr>
          <w:ilvl w:val="0"/>
          <w:numId w:val="17"/>
        </w:numPr>
        <w:spacing w:after="0" w:line="360" w:lineRule="auto"/>
        <w:jc w:val="both"/>
        <w:rPr>
          <w:rFonts w:ascii="Times New Roman" w:eastAsia="Times New Roman" w:hAnsi="Times New Roman" w:cs="Times New Roman"/>
          <w:sz w:val="24"/>
          <w:szCs w:val="24"/>
          <w:highlight w:val="yellow"/>
        </w:rPr>
      </w:pPr>
      <w:r w:rsidRPr="008C1CC3">
        <w:rPr>
          <w:rFonts w:ascii="Times New Roman" w:eastAsia="Times New Roman" w:hAnsi="Times New Roman" w:cs="Times New Roman"/>
          <w:b/>
          <w:bCs/>
          <w:sz w:val="24"/>
          <w:szCs w:val="24"/>
          <w:highlight w:val="yellow"/>
        </w:rPr>
        <w:t>Evaluate and contrast</w:t>
      </w:r>
      <w:r w:rsidRPr="008C1CC3">
        <w:rPr>
          <w:rFonts w:ascii="Times New Roman" w:eastAsia="Times New Roman" w:hAnsi="Times New Roman" w:cs="Times New Roman"/>
          <w:sz w:val="24"/>
          <w:szCs w:val="24"/>
          <w:highlight w:val="yellow"/>
        </w:rPr>
        <w:t xml:space="preserve"> the regeneration energy requirements and thermal efficiency of each solvent system, with emphasis on identifying energy–performance trade-offs. </w:t>
      </w:r>
    </w:p>
    <w:p w14:paraId="46FCAE10" w14:textId="77777777" w:rsidR="00CF55F2" w:rsidRPr="008C1CC3" w:rsidRDefault="00CF55F2" w:rsidP="00CF55F2">
      <w:pPr>
        <w:numPr>
          <w:ilvl w:val="0"/>
          <w:numId w:val="17"/>
        </w:numPr>
        <w:spacing w:after="0" w:line="360" w:lineRule="auto"/>
        <w:jc w:val="both"/>
        <w:rPr>
          <w:rFonts w:ascii="Times New Roman" w:eastAsia="Times New Roman" w:hAnsi="Times New Roman" w:cs="Times New Roman"/>
          <w:sz w:val="24"/>
          <w:szCs w:val="24"/>
          <w:highlight w:val="yellow"/>
        </w:rPr>
      </w:pPr>
      <w:r w:rsidRPr="008C1CC3">
        <w:rPr>
          <w:rFonts w:ascii="Times New Roman" w:eastAsia="Times New Roman" w:hAnsi="Times New Roman" w:cs="Times New Roman"/>
          <w:b/>
          <w:bCs/>
          <w:sz w:val="24"/>
          <w:szCs w:val="24"/>
          <w:highlight w:val="yellow"/>
        </w:rPr>
        <w:t>Assess solvent stability</w:t>
      </w:r>
      <w:r w:rsidRPr="008C1CC3">
        <w:rPr>
          <w:rFonts w:ascii="Times New Roman" w:eastAsia="Times New Roman" w:hAnsi="Times New Roman" w:cs="Times New Roman"/>
          <w:sz w:val="24"/>
          <w:szCs w:val="24"/>
          <w:highlight w:val="yellow"/>
        </w:rPr>
        <w:t xml:space="preserve"> by analyzing degradation tendencies and their implications for corrosion and long-term process sustainability. </w:t>
      </w:r>
    </w:p>
    <w:p w14:paraId="66AE6371" w14:textId="77777777" w:rsidR="00CF55F2" w:rsidRPr="008C1CC3" w:rsidRDefault="00CF55F2" w:rsidP="00CF55F2">
      <w:pPr>
        <w:numPr>
          <w:ilvl w:val="0"/>
          <w:numId w:val="17"/>
        </w:numPr>
        <w:spacing w:after="0" w:line="360" w:lineRule="auto"/>
        <w:jc w:val="both"/>
        <w:rPr>
          <w:rFonts w:ascii="Times New Roman" w:eastAsia="Times New Roman" w:hAnsi="Times New Roman" w:cs="Times New Roman"/>
          <w:sz w:val="24"/>
          <w:szCs w:val="24"/>
          <w:highlight w:val="yellow"/>
        </w:rPr>
      </w:pPr>
      <w:r w:rsidRPr="008C1CC3">
        <w:rPr>
          <w:rFonts w:ascii="Times New Roman" w:eastAsia="Times New Roman" w:hAnsi="Times New Roman" w:cs="Times New Roman"/>
          <w:b/>
          <w:bCs/>
          <w:sz w:val="24"/>
          <w:szCs w:val="24"/>
          <w:highlight w:val="yellow"/>
        </w:rPr>
        <w:lastRenderedPageBreak/>
        <w:t>Conduct a techno-economic analysis</w:t>
      </w:r>
      <w:r w:rsidRPr="008C1CC3">
        <w:rPr>
          <w:rFonts w:ascii="Times New Roman" w:eastAsia="Times New Roman" w:hAnsi="Times New Roman" w:cs="Times New Roman"/>
          <w:sz w:val="24"/>
          <w:szCs w:val="24"/>
          <w:highlight w:val="yellow"/>
        </w:rPr>
        <w:t xml:space="preserve"> to determine the cost-effectiveness of each solvent under realistic operating conditions. </w:t>
      </w:r>
    </w:p>
    <w:p w14:paraId="55FAAF94" w14:textId="684C0A3B" w:rsidR="00CF55F2" w:rsidRPr="00CF55F2" w:rsidRDefault="00CF55F2" w:rsidP="00CF55F2">
      <w:pPr>
        <w:numPr>
          <w:ilvl w:val="0"/>
          <w:numId w:val="17"/>
        </w:numPr>
        <w:spacing w:after="0" w:line="360" w:lineRule="auto"/>
        <w:jc w:val="both"/>
        <w:rPr>
          <w:rFonts w:ascii="Times New Roman" w:eastAsia="Times New Roman" w:hAnsi="Times New Roman" w:cs="Times New Roman"/>
          <w:sz w:val="24"/>
          <w:szCs w:val="24"/>
        </w:rPr>
      </w:pPr>
      <w:r w:rsidRPr="008C1CC3">
        <w:rPr>
          <w:rFonts w:ascii="Times New Roman" w:eastAsia="Times New Roman" w:hAnsi="Times New Roman" w:cs="Times New Roman"/>
          <w:b/>
          <w:bCs/>
          <w:sz w:val="24"/>
          <w:szCs w:val="24"/>
          <w:highlight w:val="yellow"/>
        </w:rPr>
        <w:t>Identify optimal solvent selection criteria</w:t>
      </w:r>
      <w:r w:rsidRPr="008C1CC3">
        <w:rPr>
          <w:rFonts w:ascii="Times New Roman" w:eastAsia="Times New Roman" w:hAnsi="Times New Roman" w:cs="Times New Roman"/>
          <w:sz w:val="24"/>
          <w:szCs w:val="24"/>
          <w:highlight w:val="yellow"/>
        </w:rPr>
        <w:t xml:space="preserve"> based on integrated performance metrics (efficiency, energy demand, and cost) for application in Niger Delta gas processing systems.</w:t>
      </w:r>
    </w:p>
    <w:p w14:paraId="59B661EC" w14:textId="77777777" w:rsidR="00EB421B" w:rsidRPr="00AA64A0" w:rsidRDefault="00EB421B">
      <w:pPr>
        <w:spacing w:after="0" w:line="360" w:lineRule="auto"/>
        <w:jc w:val="both"/>
        <w:rPr>
          <w:rFonts w:ascii="Times New Roman" w:hAnsi="Times New Roman" w:cs="Times New Roman"/>
          <w:b/>
          <w:bCs/>
          <w:color w:val="262626"/>
          <w:sz w:val="18"/>
          <w:szCs w:val="28"/>
        </w:rPr>
      </w:pPr>
    </w:p>
    <w:p w14:paraId="44D771CD" w14:textId="77777777" w:rsidR="00EB421B" w:rsidRPr="00AA64A0" w:rsidRDefault="004C6C37">
      <w:pPr>
        <w:spacing w:after="0" w:line="360" w:lineRule="auto"/>
        <w:jc w:val="both"/>
        <w:rPr>
          <w:rFonts w:ascii="Times New Roman" w:hAnsi="Times New Roman" w:cs="Times New Roman"/>
          <w:b/>
          <w:color w:val="262626"/>
          <w:sz w:val="28"/>
          <w:szCs w:val="28"/>
        </w:rPr>
      </w:pPr>
      <w:r w:rsidRPr="00AA64A0">
        <w:rPr>
          <w:rFonts w:ascii="Times New Roman" w:hAnsi="Times New Roman" w:cs="Times New Roman"/>
          <w:b/>
          <w:color w:val="262626"/>
          <w:sz w:val="28"/>
          <w:szCs w:val="28"/>
        </w:rPr>
        <w:t>2. Materials and Methods</w:t>
      </w:r>
    </w:p>
    <w:p w14:paraId="1835A1DD"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2.1 Study Design</w:t>
      </w:r>
    </w:p>
    <w:p w14:paraId="5C8F4D56"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This study adopted a </w:t>
      </w:r>
      <w:r w:rsidRPr="00AA64A0">
        <w:rPr>
          <w:rStyle w:val="Strong"/>
          <w:rFonts w:eastAsia="SimSun"/>
          <w:b w:val="0"/>
          <w:color w:val="0D0D0D"/>
        </w:rPr>
        <w:t>computational, simulation-based research design</w:t>
      </w:r>
      <w:r w:rsidRPr="00AA64A0">
        <w:rPr>
          <w:color w:val="0D0D0D"/>
        </w:rPr>
        <w:t xml:space="preserve"> to evaluate the performance of amine solvents for carbon dioxide (CO₂) removal from natural gas. The design involved the development of a steady-state process model using Aspen HYSYS to simulate industrial gas sweetening operations. Simulation-based studies are widely accepted in chemical and petroleum engineering due to their ability to replicate real plant conditions, minimize experimental cost, and allow systematic evaluation of multiple process variables [9].</w:t>
      </w:r>
    </w:p>
    <w:p w14:paraId="0096C2F9" w14:textId="77777777" w:rsidR="00EB421B" w:rsidRPr="00AA64A0" w:rsidRDefault="004C6C37">
      <w:pPr>
        <w:pStyle w:val="NormalWeb"/>
        <w:spacing w:before="0" w:beforeAutospacing="0" w:line="360" w:lineRule="auto"/>
        <w:ind w:firstLine="720"/>
        <w:jc w:val="both"/>
        <w:rPr>
          <w:color w:val="0D0D0D"/>
        </w:rPr>
      </w:pPr>
      <w:r w:rsidRPr="00AA64A0">
        <w:rPr>
          <w:color w:val="0D0D0D"/>
        </w:rPr>
        <w:t xml:space="preserve">A </w:t>
      </w:r>
      <w:r w:rsidRPr="00AA64A0">
        <w:rPr>
          <w:rStyle w:val="Strong"/>
          <w:rFonts w:eastAsia="SimSun"/>
          <w:b w:val="0"/>
          <w:color w:val="0D0D0D"/>
        </w:rPr>
        <w:t>comparative design framework</w:t>
      </w:r>
      <w:r w:rsidRPr="00AA64A0">
        <w:rPr>
          <w:color w:val="0D0D0D"/>
        </w:rPr>
        <w:t xml:space="preserve"> was employed to assess the performance of three conventional amine solvents—Monoethanolamine (MEA), Diethanolamine (DEA), and Methyldiethanolamine (MDEA); under identical operating conditions. The study also incorporated </w:t>
      </w:r>
      <w:r w:rsidRPr="00AA64A0">
        <w:rPr>
          <w:rStyle w:val="Strong"/>
          <w:rFonts w:eastAsia="SimSun"/>
          <w:b w:val="0"/>
          <w:color w:val="0D0D0D"/>
        </w:rPr>
        <w:t>sensitivity analysis</w:t>
      </w:r>
      <w:r w:rsidRPr="00AA64A0">
        <w:rPr>
          <w:color w:val="0D0D0D"/>
        </w:rPr>
        <w:t xml:space="preserve"> to evaluate the effects of varying CO₂ concentration and process parameters on system performance.</w:t>
      </w:r>
    </w:p>
    <w:p w14:paraId="32C27F0F"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2.2 Study Area</w:t>
      </w:r>
    </w:p>
    <w:p w14:paraId="6A91298E"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The study is focused on natural gas systems representative of </w:t>
      </w:r>
      <w:r w:rsidRPr="00AA64A0">
        <w:rPr>
          <w:rStyle w:val="Strong"/>
          <w:rFonts w:eastAsia="SimSun"/>
          <w:b w:val="0"/>
          <w:color w:val="0D0D0D"/>
        </w:rPr>
        <w:t>Ndokwa West, Ndokwa East, and Ukwuani Local Government Areas of Delta State, Nigeria</w:t>
      </w:r>
      <w:r w:rsidRPr="00AA64A0">
        <w:rPr>
          <w:color w:val="0D0D0D"/>
        </w:rPr>
        <w:t>, located within the Niger Delta region. This region is characterized by significant natural gas reserves with varying compositions, including relatively high concentrations of acid gases such as CO₂.</w:t>
      </w:r>
    </w:p>
    <w:p w14:paraId="5DF42063"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Gas production activities in this area are associated with challenges such as gas flaring, inadequate processing infrastructure, and environmental degradation. The selection of this study area is justified by the need to optimize gas processing technologies tailored to local conditions and improve the efficiency of CO₂ removal systems in the Niger Delta [10].</w:t>
      </w:r>
    </w:p>
    <w:p w14:paraId="798B586B" w14:textId="77777777" w:rsidR="00EB421B" w:rsidRPr="00AA64A0" w:rsidRDefault="00EB421B">
      <w:pPr>
        <w:pStyle w:val="NormalWeb"/>
        <w:spacing w:before="0" w:beforeAutospacing="0" w:after="0" w:afterAutospacing="0" w:line="360" w:lineRule="auto"/>
        <w:ind w:firstLine="720"/>
        <w:jc w:val="both"/>
        <w:rPr>
          <w:color w:val="0D0D0D"/>
        </w:rPr>
      </w:pPr>
      <w:bookmarkStart w:id="0" w:name="_GoBack"/>
      <w:bookmarkEnd w:id="0"/>
    </w:p>
    <w:p w14:paraId="71CBF4A2"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lastRenderedPageBreak/>
        <w:t>2.3 Materials</w:t>
      </w:r>
    </w:p>
    <w:p w14:paraId="3874DD1E" w14:textId="77777777" w:rsidR="00EB421B" w:rsidRPr="00AA64A0" w:rsidRDefault="004C6C37">
      <w:pPr>
        <w:pStyle w:val="Heading4"/>
        <w:spacing w:before="0" w:line="360" w:lineRule="auto"/>
        <w:jc w:val="both"/>
        <w:rPr>
          <w:rFonts w:ascii="Times New Roman" w:hAnsi="Times New Roman" w:cs="Times New Roman"/>
          <w:i w:val="0"/>
          <w:color w:val="0D0D0D"/>
          <w:sz w:val="24"/>
          <w:szCs w:val="24"/>
        </w:rPr>
      </w:pPr>
      <w:r w:rsidRPr="00AA64A0">
        <w:rPr>
          <w:rStyle w:val="Strong"/>
          <w:rFonts w:ascii="Times New Roman" w:hAnsi="Times New Roman" w:cs="Times New Roman"/>
          <w:bCs w:val="0"/>
          <w:i w:val="0"/>
          <w:color w:val="0D0D0D"/>
          <w:sz w:val="24"/>
          <w:szCs w:val="24"/>
        </w:rPr>
        <w:t>2.3.1 Natural Gas Feed Composition</w:t>
      </w:r>
    </w:p>
    <w:p w14:paraId="7653A1E2" w14:textId="77777777" w:rsidR="00EB421B" w:rsidRPr="00AA64A0" w:rsidRDefault="004C6C37">
      <w:pPr>
        <w:pStyle w:val="NormalWeb"/>
        <w:spacing w:before="0" w:beforeAutospacing="0" w:line="360" w:lineRule="auto"/>
        <w:ind w:firstLine="720"/>
        <w:jc w:val="both"/>
        <w:rPr>
          <w:color w:val="0D0D0D"/>
        </w:rPr>
      </w:pPr>
      <w:r w:rsidRPr="00AA64A0">
        <w:rPr>
          <w:color w:val="0D0D0D"/>
        </w:rPr>
        <w:t>A representative natural gas composition typical of Niger Delta gas streams was used in the simulation. The feed gas consisted primarily of methane (CH₄) along with minor components such as ethane (C₂H₆), propane (C₃H₈), nitrogen (N₂), and carbon dioxide (CO₂). The CO₂ concentration was varied between 4% and 12% (mole fraction) to reflect realistic variations in gas composition.</w:t>
      </w:r>
    </w:p>
    <w:p w14:paraId="01766114" w14:textId="77777777" w:rsidR="00EB421B" w:rsidRPr="00AA64A0" w:rsidRDefault="004C6C37">
      <w:pPr>
        <w:pStyle w:val="Heading4"/>
        <w:spacing w:before="0" w:line="360" w:lineRule="auto"/>
        <w:jc w:val="both"/>
        <w:rPr>
          <w:rFonts w:ascii="Times New Roman" w:hAnsi="Times New Roman" w:cs="Times New Roman"/>
          <w:i w:val="0"/>
          <w:color w:val="0D0D0D"/>
          <w:sz w:val="24"/>
          <w:szCs w:val="24"/>
        </w:rPr>
      </w:pPr>
      <w:r w:rsidRPr="00AA64A0">
        <w:rPr>
          <w:rStyle w:val="Strong"/>
          <w:rFonts w:ascii="Times New Roman" w:hAnsi="Times New Roman" w:cs="Times New Roman"/>
          <w:bCs w:val="0"/>
          <w:i w:val="0"/>
          <w:color w:val="0D0D0D"/>
          <w:sz w:val="24"/>
          <w:szCs w:val="24"/>
        </w:rPr>
        <w:t>2.3.2 Amine Solvents</w:t>
      </w:r>
    </w:p>
    <w:p w14:paraId="3576E70D" w14:textId="77777777" w:rsidR="00EB421B" w:rsidRPr="00AA64A0" w:rsidRDefault="004C6C37">
      <w:pPr>
        <w:pStyle w:val="NormalWeb"/>
        <w:spacing w:before="0" w:beforeAutospacing="0" w:line="360" w:lineRule="auto"/>
        <w:ind w:firstLine="360"/>
        <w:jc w:val="both"/>
        <w:rPr>
          <w:color w:val="0D0D0D"/>
        </w:rPr>
      </w:pPr>
      <w:r w:rsidRPr="00AA64A0">
        <w:rPr>
          <w:color w:val="0D0D0D"/>
        </w:rPr>
        <w:t>Three aqueous amine solutions were selected for this study based on their industrial relevance:</w:t>
      </w:r>
    </w:p>
    <w:p w14:paraId="2D8AACB3" w14:textId="77777777" w:rsidR="00EB421B" w:rsidRPr="00AA64A0" w:rsidRDefault="004C6C37">
      <w:pPr>
        <w:numPr>
          <w:ilvl w:val="0"/>
          <w:numId w:val="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Monoethanolamine (MEA, 30 wt%) </w:t>
      </w:r>
    </w:p>
    <w:p w14:paraId="3C101F34" w14:textId="77777777" w:rsidR="00EB421B" w:rsidRPr="00AA64A0" w:rsidRDefault="004C6C37">
      <w:pPr>
        <w:numPr>
          <w:ilvl w:val="0"/>
          <w:numId w:val="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Diethanolamine (DEA, 30 wt%) </w:t>
      </w:r>
    </w:p>
    <w:p w14:paraId="5189CF01" w14:textId="77777777" w:rsidR="00EB421B" w:rsidRPr="00AA64A0" w:rsidRDefault="004C6C37">
      <w:pPr>
        <w:numPr>
          <w:ilvl w:val="0"/>
          <w:numId w:val="1"/>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Methyldiethanolamine (MDEA, 45 wt%) </w:t>
      </w:r>
    </w:p>
    <w:p w14:paraId="2ED72D49" w14:textId="77777777" w:rsidR="00EB421B" w:rsidRPr="00AA64A0" w:rsidRDefault="004C6C37">
      <w:pPr>
        <w:pStyle w:val="NormalWeb"/>
        <w:spacing w:before="0" w:beforeAutospacing="0" w:line="360" w:lineRule="auto"/>
        <w:ind w:firstLine="360"/>
        <w:jc w:val="both"/>
        <w:rPr>
          <w:color w:val="0D0D0D"/>
        </w:rPr>
      </w:pPr>
      <w:r w:rsidRPr="00AA64A0">
        <w:rPr>
          <w:color w:val="0D0D0D"/>
        </w:rPr>
        <w:t>These solvents were chosen due to their differing chemical characteristics, which influence absorption kinetics, energy requirements, and stability [11, 12].</w:t>
      </w:r>
    </w:p>
    <w:p w14:paraId="0FF10DC8" w14:textId="77777777" w:rsidR="00EB421B" w:rsidRPr="00AA64A0" w:rsidRDefault="004C6C37">
      <w:pPr>
        <w:pStyle w:val="Heading4"/>
        <w:spacing w:before="0" w:line="360" w:lineRule="auto"/>
        <w:jc w:val="both"/>
        <w:rPr>
          <w:rFonts w:ascii="Times New Roman" w:hAnsi="Times New Roman" w:cs="Times New Roman"/>
          <w:i w:val="0"/>
          <w:color w:val="0D0D0D"/>
          <w:sz w:val="24"/>
          <w:szCs w:val="24"/>
        </w:rPr>
      </w:pPr>
      <w:r w:rsidRPr="00AA64A0">
        <w:rPr>
          <w:rStyle w:val="Strong"/>
          <w:rFonts w:ascii="Times New Roman" w:hAnsi="Times New Roman" w:cs="Times New Roman"/>
          <w:bCs w:val="0"/>
          <w:i w:val="0"/>
          <w:color w:val="0D0D0D"/>
          <w:sz w:val="24"/>
          <w:szCs w:val="24"/>
        </w:rPr>
        <w:t>2.3.3 Software and Tools</w:t>
      </w:r>
    </w:p>
    <w:p w14:paraId="2DAA7757" w14:textId="77777777" w:rsidR="00EB421B" w:rsidRPr="00AA64A0" w:rsidRDefault="004C6C37">
      <w:pPr>
        <w:numPr>
          <w:ilvl w:val="0"/>
          <w:numId w:val="1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Aspen HYSYS (version 11) for process simulation </w:t>
      </w:r>
    </w:p>
    <w:p w14:paraId="7FB11B98" w14:textId="77777777" w:rsidR="00EB421B" w:rsidRPr="00AA64A0" w:rsidRDefault="004C6C37">
      <w:pPr>
        <w:numPr>
          <w:ilvl w:val="0"/>
          <w:numId w:val="11"/>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Microsoft Excel (2021) for data handling </w:t>
      </w:r>
    </w:p>
    <w:p w14:paraId="487C9200" w14:textId="77777777" w:rsidR="00EB421B" w:rsidRPr="00AA64A0" w:rsidRDefault="004C6C37">
      <w:pPr>
        <w:numPr>
          <w:ilvl w:val="0"/>
          <w:numId w:val="11"/>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SPSS (version 28) for statistical analysis</w:t>
      </w:r>
    </w:p>
    <w:p w14:paraId="6DF9E689" w14:textId="77777777" w:rsidR="00EB421B" w:rsidRPr="00AA64A0" w:rsidRDefault="00EB421B">
      <w:pPr>
        <w:spacing w:after="0" w:line="360" w:lineRule="auto"/>
        <w:jc w:val="both"/>
        <w:rPr>
          <w:rFonts w:ascii="Times New Roman" w:hAnsi="Times New Roman" w:cs="Times New Roman"/>
          <w:color w:val="0D0D0D"/>
          <w:sz w:val="24"/>
          <w:szCs w:val="24"/>
        </w:rPr>
      </w:pPr>
    </w:p>
    <w:p w14:paraId="270DFC20" w14:textId="77777777" w:rsidR="00EB421B" w:rsidRPr="00AA64A0" w:rsidRDefault="004C6C37">
      <w:pPr>
        <w:spacing w:after="0"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bCs w:val="0"/>
          <w:color w:val="0D0D0D"/>
          <w:sz w:val="24"/>
          <w:szCs w:val="24"/>
        </w:rPr>
        <w:t>2.4 Process Flow Configuration</w:t>
      </w:r>
    </w:p>
    <w:p w14:paraId="5E8E0FE5" w14:textId="77777777" w:rsidR="00EB421B" w:rsidRPr="00AA64A0" w:rsidRDefault="004C6C37">
      <w:pPr>
        <w:pStyle w:val="NormalWeb"/>
        <w:spacing w:before="0" w:beforeAutospacing="0" w:line="360" w:lineRule="auto"/>
        <w:jc w:val="both"/>
        <w:rPr>
          <w:color w:val="0D0D0D"/>
        </w:rPr>
      </w:pPr>
      <w:r w:rsidRPr="00AA64A0">
        <w:rPr>
          <w:color w:val="0D0D0D"/>
        </w:rPr>
        <w:t xml:space="preserve">The CO₂ removal process was modeled using a conventional </w:t>
      </w:r>
      <w:r w:rsidRPr="00AA64A0">
        <w:rPr>
          <w:rStyle w:val="Strong"/>
          <w:rFonts w:eastAsia="SimSun"/>
          <w:b w:val="0"/>
          <w:color w:val="0D0D0D"/>
        </w:rPr>
        <w:t>absorber–stripper system</w:t>
      </w:r>
      <w:r w:rsidRPr="00AA64A0">
        <w:rPr>
          <w:color w:val="0D0D0D"/>
        </w:rPr>
        <w:t>, which is widely used in industrial gas sweetening operations. The system comprised:</w:t>
      </w:r>
    </w:p>
    <w:p w14:paraId="0B04ADD8" w14:textId="77777777" w:rsidR="00EB421B" w:rsidRPr="00AA64A0" w:rsidRDefault="004C6C37">
      <w:pPr>
        <w:numPr>
          <w:ilvl w:val="0"/>
          <w:numId w:val="12"/>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 </w:t>
      </w:r>
      <w:r w:rsidRPr="00AA64A0">
        <w:rPr>
          <w:rStyle w:val="Strong"/>
          <w:rFonts w:ascii="Times New Roman" w:hAnsi="Times New Roman" w:cs="Times New Roman"/>
          <w:b w:val="0"/>
          <w:color w:val="0D0D0D"/>
          <w:sz w:val="24"/>
          <w:szCs w:val="24"/>
        </w:rPr>
        <w:t>packed absorber column</w:t>
      </w:r>
      <w:r w:rsidRPr="00AA64A0">
        <w:rPr>
          <w:rFonts w:ascii="Times New Roman" w:hAnsi="Times New Roman" w:cs="Times New Roman"/>
          <w:color w:val="0D0D0D"/>
          <w:sz w:val="24"/>
          <w:szCs w:val="24"/>
        </w:rPr>
        <w:t xml:space="preserve"> operating under counter-current flow conditions, where CO₂ is absorbed into the amine solution. </w:t>
      </w:r>
    </w:p>
    <w:p w14:paraId="4D8DEF4A" w14:textId="77777777" w:rsidR="00EB421B" w:rsidRPr="00AA64A0" w:rsidRDefault="004C6C37">
      <w:pPr>
        <w:numPr>
          <w:ilvl w:val="0"/>
          <w:numId w:val="12"/>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 </w:t>
      </w:r>
      <w:r w:rsidRPr="00AA64A0">
        <w:rPr>
          <w:rStyle w:val="Strong"/>
          <w:rFonts w:ascii="Times New Roman" w:hAnsi="Times New Roman" w:cs="Times New Roman"/>
          <w:b w:val="0"/>
          <w:color w:val="0D0D0D"/>
          <w:sz w:val="24"/>
          <w:szCs w:val="24"/>
        </w:rPr>
        <w:t>stripper (regenerator)</w:t>
      </w:r>
      <w:r w:rsidRPr="00AA64A0">
        <w:rPr>
          <w:rFonts w:ascii="Times New Roman" w:hAnsi="Times New Roman" w:cs="Times New Roman"/>
          <w:color w:val="0D0D0D"/>
          <w:sz w:val="24"/>
          <w:szCs w:val="24"/>
        </w:rPr>
        <w:t xml:space="preserve"> equipped with a reboiler to release CO₂ and regenerate the solvent. </w:t>
      </w:r>
    </w:p>
    <w:p w14:paraId="5921D015" w14:textId="77777777" w:rsidR="00EB421B" w:rsidRPr="00AA64A0" w:rsidRDefault="004C6C37">
      <w:pPr>
        <w:numPr>
          <w:ilvl w:val="0"/>
          <w:numId w:val="12"/>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Heat exchangers and pumps for solvent circulation and energy recovery. </w:t>
      </w:r>
    </w:p>
    <w:p w14:paraId="0138AC8B" w14:textId="77777777" w:rsidR="00EB421B" w:rsidRPr="00AA64A0" w:rsidRDefault="004C6C37">
      <w:pPr>
        <w:pStyle w:val="NormalWeb"/>
        <w:spacing w:before="0" w:beforeAutospacing="0" w:line="360" w:lineRule="auto"/>
        <w:jc w:val="both"/>
        <w:rPr>
          <w:color w:val="0D0D0D"/>
        </w:rPr>
      </w:pPr>
      <w:r w:rsidRPr="00AA64A0">
        <w:rPr>
          <w:color w:val="0D0D0D"/>
        </w:rPr>
        <w:t>This configuration is consistent with standard industrial practices in amine-based gas treatment systems [13].</w:t>
      </w:r>
    </w:p>
    <w:p w14:paraId="76400E16"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lastRenderedPageBreak/>
        <w:t>2.5 Thermodynamic Model Selection</w:t>
      </w:r>
    </w:p>
    <w:p w14:paraId="126947AD" w14:textId="77777777" w:rsidR="00EB421B" w:rsidRPr="00AA64A0" w:rsidRDefault="004C6C37">
      <w:pPr>
        <w:pStyle w:val="NormalWeb"/>
        <w:spacing w:before="0" w:beforeAutospacing="0" w:line="360" w:lineRule="auto"/>
        <w:ind w:firstLine="720"/>
        <w:jc w:val="both"/>
        <w:rPr>
          <w:color w:val="0D0D0D"/>
        </w:rPr>
      </w:pPr>
      <w:r w:rsidRPr="00AA64A0">
        <w:rPr>
          <w:color w:val="0D0D0D"/>
        </w:rPr>
        <w:t xml:space="preserve">The </w:t>
      </w:r>
      <w:r w:rsidRPr="00AA64A0">
        <w:rPr>
          <w:rStyle w:val="Strong"/>
          <w:rFonts w:eastAsia="SimSun"/>
          <w:b w:val="0"/>
          <w:color w:val="0D0D0D"/>
        </w:rPr>
        <w:t>Electrolyte Non-Random Two-Liquid (e-NRTL)</w:t>
      </w:r>
      <w:r w:rsidRPr="00AA64A0">
        <w:rPr>
          <w:color w:val="0D0D0D"/>
        </w:rPr>
        <w:t xml:space="preserve"> thermodynamic model was used to simulate the CO₂–amine–water system. The e-NRTL model is particularly suitable for electrolyte systems involving chemical reactions and non-ideal solution behavior. It provides accurate predictions of vapor–liquid equilibrium (VLE), chemical equilibria, and activity coefficients in amine-based absorption processes [14, 15].</w:t>
      </w:r>
    </w:p>
    <w:p w14:paraId="6BEF633B"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2.6 Simulation Procedure</w:t>
      </w:r>
    </w:p>
    <w:p w14:paraId="59BEAECA" w14:textId="77777777" w:rsidR="00EB421B" w:rsidRPr="00AA64A0" w:rsidRDefault="004C6C37">
      <w:pPr>
        <w:pStyle w:val="NormalWeb"/>
        <w:spacing w:before="0" w:beforeAutospacing="0" w:line="360" w:lineRule="auto"/>
        <w:jc w:val="both"/>
        <w:rPr>
          <w:color w:val="0D0D0D"/>
        </w:rPr>
      </w:pPr>
      <w:r w:rsidRPr="00AA64A0">
        <w:rPr>
          <w:color w:val="0D0D0D"/>
        </w:rPr>
        <w:t>The simulation was conducted using the following steps:</w:t>
      </w:r>
    </w:p>
    <w:p w14:paraId="03446C01"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Definition of Feed Conditions:</w:t>
      </w:r>
      <w:r w:rsidRPr="00AA64A0">
        <w:rPr>
          <w:rFonts w:ascii="Times New Roman" w:hAnsi="Times New Roman" w:cs="Times New Roman"/>
          <w:color w:val="0D0D0D"/>
          <w:sz w:val="24"/>
          <w:szCs w:val="24"/>
        </w:rPr>
        <w:t xml:space="preserve"> Input of gas composition, temperature (30–50°C), pressure (30–50 bar), and flow rate. </w:t>
      </w:r>
    </w:p>
    <w:p w14:paraId="72F01610"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Selection of Property Package:</w:t>
      </w:r>
      <w:r w:rsidRPr="00AA64A0">
        <w:rPr>
          <w:rFonts w:ascii="Times New Roman" w:hAnsi="Times New Roman" w:cs="Times New Roman"/>
          <w:color w:val="0D0D0D"/>
          <w:sz w:val="24"/>
          <w:szCs w:val="24"/>
        </w:rPr>
        <w:t xml:space="preserve"> Assignment of the e-NRTL model. </w:t>
      </w:r>
    </w:p>
    <w:p w14:paraId="7F8B4A63"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Column Configuration:</w:t>
      </w:r>
      <w:r w:rsidRPr="00AA64A0">
        <w:rPr>
          <w:rFonts w:ascii="Times New Roman" w:hAnsi="Times New Roman" w:cs="Times New Roman"/>
          <w:color w:val="0D0D0D"/>
          <w:sz w:val="24"/>
          <w:szCs w:val="24"/>
        </w:rPr>
        <w:t xml:space="preserve"> Specification of absorber and stripper columns with 10–20 theoretical stages and high packing efficiency (98–99%). </w:t>
      </w:r>
    </w:p>
    <w:p w14:paraId="1DB1C25C"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Solvent Introduction:</w:t>
      </w:r>
      <w:r w:rsidRPr="00AA64A0">
        <w:rPr>
          <w:rFonts w:ascii="Times New Roman" w:hAnsi="Times New Roman" w:cs="Times New Roman"/>
          <w:color w:val="0D0D0D"/>
          <w:sz w:val="24"/>
          <w:szCs w:val="24"/>
        </w:rPr>
        <w:t xml:space="preserve"> Input of solvent type and concentration. </w:t>
      </w:r>
    </w:p>
    <w:p w14:paraId="477A09C8" w14:textId="77777777" w:rsidR="00EB421B" w:rsidRPr="00AA64A0" w:rsidRDefault="004C6C37">
      <w:pPr>
        <w:numPr>
          <w:ilvl w:val="0"/>
          <w:numId w:val="13"/>
        </w:numPr>
        <w:spacing w:after="100" w:afterAutospacing="1"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Process Execution:</w:t>
      </w:r>
      <w:r w:rsidRPr="00AA64A0">
        <w:rPr>
          <w:rFonts w:ascii="Times New Roman" w:hAnsi="Times New Roman" w:cs="Times New Roman"/>
          <w:color w:val="0D0D0D"/>
          <w:sz w:val="24"/>
          <w:szCs w:val="24"/>
        </w:rPr>
        <w:t xml:space="preserve"> Simulation run to obtain steady-state results. </w:t>
      </w:r>
    </w:p>
    <w:p w14:paraId="2FD606A3" w14:textId="77777777" w:rsidR="00EB421B" w:rsidRPr="00AA64A0" w:rsidRDefault="004C6C37">
      <w:pPr>
        <w:numPr>
          <w:ilvl w:val="0"/>
          <w:numId w:val="13"/>
        </w:numPr>
        <w:spacing w:after="0" w:line="360" w:lineRule="auto"/>
        <w:jc w:val="both"/>
        <w:rPr>
          <w:rFonts w:ascii="Times New Roman" w:hAnsi="Times New Roman" w:cs="Times New Roman"/>
          <w:color w:val="0D0D0D"/>
          <w:sz w:val="24"/>
          <w:szCs w:val="24"/>
        </w:rPr>
      </w:pPr>
      <w:r w:rsidRPr="00AA64A0">
        <w:rPr>
          <w:rStyle w:val="Strong"/>
          <w:rFonts w:ascii="Times New Roman" w:hAnsi="Times New Roman" w:cs="Times New Roman"/>
          <w:color w:val="0D0D0D"/>
          <w:sz w:val="24"/>
          <w:szCs w:val="24"/>
        </w:rPr>
        <w:t>Sensitivity Analysis:</w:t>
      </w:r>
      <w:r w:rsidRPr="00AA64A0">
        <w:rPr>
          <w:rFonts w:ascii="Times New Roman" w:hAnsi="Times New Roman" w:cs="Times New Roman"/>
          <w:color w:val="0D0D0D"/>
          <w:sz w:val="24"/>
          <w:szCs w:val="24"/>
        </w:rPr>
        <w:t xml:space="preserve"> Variation of CO₂ concentration, solvent flow rate, and temperature to assess system performance. </w:t>
      </w:r>
    </w:p>
    <w:p w14:paraId="40C971E8" w14:textId="77777777" w:rsidR="00EB421B" w:rsidRPr="00AA64A0" w:rsidRDefault="004C6C37">
      <w:pPr>
        <w:pStyle w:val="NormalWeb"/>
        <w:spacing w:before="0" w:beforeAutospacing="0" w:line="360" w:lineRule="auto"/>
        <w:jc w:val="both"/>
        <w:rPr>
          <w:color w:val="0D0D0D"/>
        </w:rPr>
      </w:pPr>
      <w:r w:rsidRPr="00AA64A0">
        <w:rPr>
          <w:color w:val="0D0D0D"/>
        </w:rPr>
        <w:t>This systematic approach ensures accurate modeling of gas sweetening processes and has been validated in similar studies [15].</w:t>
      </w:r>
    </w:p>
    <w:p w14:paraId="0B23B131"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2.7 Performance Evaluation Parameters</w:t>
      </w:r>
    </w:p>
    <w:p w14:paraId="73516B75"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The performance of the amine solvents was evaluated using the following indicators:</w:t>
      </w:r>
    </w:p>
    <w:p w14:paraId="15944C5C"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CO₂ removal efficiency (%) </w:t>
      </w:r>
    </w:p>
    <w:p w14:paraId="75422BC7"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Equilibrium loading (mol CO₂/mol amine) </w:t>
      </w:r>
    </w:p>
    <w:p w14:paraId="069660A4"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Cyclic capacity </w:t>
      </w:r>
    </w:p>
    <w:p w14:paraId="5206240E"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Regeneration energy requirement (kJ/mol CO₂) </w:t>
      </w:r>
    </w:p>
    <w:p w14:paraId="50A21AEE"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Absorption kinetics (mol CO₂/min) </w:t>
      </w:r>
    </w:p>
    <w:p w14:paraId="75F0013D" w14:textId="77777777" w:rsidR="00EB421B" w:rsidRPr="00AA64A0" w:rsidRDefault="004C6C37">
      <w:pPr>
        <w:numPr>
          <w:ilvl w:val="0"/>
          <w:numId w:val="14"/>
        </w:numPr>
        <w:spacing w:after="100" w:afterAutospacing="1"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Solvent degradation rate (%) </w:t>
      </w:r>
    </w:p>
    <w:p w14:paraId="136C66C4" w14:textId="77777777" w:rsidR="00EB421B" w:rsidRPr="00AA64A0" w:rsidRDefault="004C6C37">
      <w:pPr>
        <w:numPr>
          <w:ilvl w:val="0"/>
          <w:numId w:val="14"/>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Techno-economic cost ($/ton CO₂) </w:t>
      </w:r>
    </w:p>
    <w:p w14:paraId="40AF2C5E" w14:textId="77777777" w:rsidR="00EB421B" w:rsidRPr="00AA64A0" w:rsidRDefault="004C6C37">
      <w:pPr>
        <w:pStyle w:val="NormalWeb"/>
        <w:spacing w:before="0" w:beforeAutospacing="0" w:line="360" w:lineRule="auto"/>
        <w:jc w:val="both"/>
        <w:rPr>
          <w:color w:val="0D0D0D"/>
        </w:rPr>
      </w:pPr>
      <w:r w:rsidRPr="00AA64A0">
        <w:rPr>
          <w:color w:val="0D0D0D"/>
        </w:rPr>
        <w:lastRenderedPageBreak/>
        <w:t>These parameters provide a comprehensive assessment of process efficiency, operational cost, and sustainability [7, 14].</w:t>
      </w:r>
    </w:p>
    <w:p w14:paraId="1B45F0B6" w14:textId="77777777" w:rsidR="00EB421B" w:rsidRPr="00AA64A0" w:rsidRDefault="00EB421B">
      <w:pPr>
        <w:spacing w:line="360" w:lineRule="auto"/>
        <w:jc w:val="both"/>
        <w:rPr>
          <w:rFonts w:ascii="Times New Roman" w:hAnsi="Times New Roman" w:cs="Times New Roman"/>
          <w:color w:val="0D0D0D"/>
          <w:sz w:val="24"/>
          <w:szCs w:val="24"/>
        </w:rPr>
      </w:pPr>
    </w:p>
    <w:p w14:paraId="6530326F"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2.8 Data Analysis and Statistical Methods</w:t>
      </w:r>
    </w:p>
    <w:p w14:paraId="050BAEA2" w14:textId="77777777" w:rsidR="00EB421B" w:rsidRPr="00AA64A0" w:rsidRDefault="004C6C37">
      <w:pPr>
        <w:pStyle w:val="NormalWeb"/>
        <w:spacing w:before="0" w:beforeAutospacing="0" w:line="360" w:lineRule="auto"/>
        <w:ind w:firstLine="720"/>
        <w:jc w:val="both"/>
        <w:rPr>
          <w:color w:val="0D0D0D"/>
        </w:rPr>
      </w:pPr>
      <w:r w:rsidRPr="00AA64A0">
        <w:rPr>
          <w:color w:val="0D0D0D"/>
        </w:rPr>
        <w:t xml:space="preserve">Simulation outputs were analyzed using descriptive statistics and comparative analysis. One-way </w:t>
      </w:r>
      <w:r w:rsidRPr="00AA64A0">
        <w:rPr>
          <w:rStyle w:val="Strong"/>
          <w:rFonts w:eastAsia="SimSun"/>
          <w:b w:val="0"/>
          <w:color w:val="0D0D0D"/>
        </w:rPr>
        <w:t>Analysis of Variance (ANOVA)</w:t>
      </w:r>
      <w:r w:rsidRPr="00AA64A0">
        <w:rPr>
          <w:color w:val="0D0D0D"/>
        </w:rPr>
        <w:t xml:space="preserve"> was used to determine statistically significant differences among the three solvents, with significance set at </w:t>
      </w:r>
      <w:r w:rsidRPr="00AA64A0">
        <w:rPr>
          <w:rStyle w:val="Emphasis"/>
          <w:color w:val="0D0D0D"/>
        </w:rPr>
        <w:t>p</w:t>
      </w:r>
      <w:r w:rsidRPr="00AA64A0">
        <w:rPr>
          <w:color w:val="0D0D0D"/>
        </w:rPr>
        <w:t xml:space="preserve"> &lt; 0.05. Sensitivity analysis results were also interpreted to evaluate the effect of process variables on system performance.</w:t>
      </w:r>
    </w:p>
    <w:p w14:paraId="2C373C51"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2.9 Model Validation</w:t>
      </w:r>
    </w:p>
    <w:p w14:paraId="5E11C37E" w14:textId="77777777" w:rsidR="00EB421B" w:rsidRPr="00AA64A0" w:rsidRDefault="004C6C37">
      <w:pPr>
        <w:pStyle w:val="NormalWeb"/>
        <w:spacing w:before="0" w:beforeAutospacing="0" w:line="360" w:lineRule="auto"/>
        <w:ind w:firstLine="720"/>
        <w:jc w:val="both"/>
        <w:rPr>
          <w:color w:val="0D0D0D"/>
        </w:rPr>
      </w:pPr>
      <w:r w:rsidRPr="00AA64A0">
        <w:rPr>
          <w:color w:val="0D0D0D"/>
        </w:rPr>
        <w:t>To ensure the reliability of the simulation results, model outputs were compared with published data from recent literature on amine-based CO₂ capture systems. Key parameters such as CO₂ removal efficiency, energy consumption, and solvent loading were validated against reported values (Li et al., 2022; Yang et al., 2023). The consistency of results confirmed the accuracy of the simulation model.</w:t>
      </w:r>
    </w:p>
    <w:p w14:paraId="6A85B155"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2.10 Ethical Considerations</w:t>
      </w:r>
    </w:p>
    <w:p w14:paraId="0435F760" w14:textId="2E5AB7AD"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This study is based entirely on </w:t>
      </w:r>
      <w:r w:rsidRPr="00416D1B">
        <w:rPr>
          <w:rFonts w:ascii="Times New Roman" w:hAnsi="Times New Roman" w:cs="Times New Roman"/>
          <w:b/>
          <w:bCs/>
          <w:color w:val="262626"/>
          <w:sz w:val="24"/>
          <w:szCs w:val="24"/>
        </w:rPr>
        <w:t>computational process simulation</w:t>
      </w:r>
      <w:r w:rsidRPr="00416D1B">
        <w:rPr>
          <w:rFonts w:ascii="Times New Roman" w:hAnsi="Times New Roman" w:cs="Times New Roman"/>
          <w:color w:val="262626"/>
          <w:sz w:val="24"/>
          <w:szCs w:val="24"/>
        </w:rPr>
        <w:t xml:space="preserve"> and did not involve human participants, animal subjects, or personal data. Nonetheless, the research adheres to </w:t>
      </w:r>
      <w:r w:rsidRPr="00416D1B">
        <w:rPr>
          <w:rFonts w:ascii="Times New Roman" w:hAnsi="Times New Roman" w:cs="Times New Roman"/>
          <w:b/>
          <w:bCs/>
          <w:color w:val="262626"/>
          <w:sz w:val="24"/>
          <w:szCs w:val="24"/>
        </w:rPr>
        <w:t>international standards of scientific integrity, transparency, and responsible reporting</w:t>
      </w:r>
      <w:r w:rsidRPr="00416D1B">
        <w:rPr>
          <w:rFonts w:ascii="Times New Roman" w:hAnsi="Times New Roman" w:cs="Times New Roman"/>
          <w:color w:val="262626"/>
          <w:sz w:val="24"/>
          <w:szCs w:val="24"/>
        </w:rPr>
        <w:t>.</w:t>
      </w:r>
    </w:p>
    <w:p w14:paraId="255FC0F2" w14:textId="77777777" w:rsidR="00416D1B" w:rsidRPr="00416D1B" w:rsidRDefault="00271CB8" w:rsidP="00416D1B">
      <w:pPr>
        <w:spacing w:after="0"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pict w14:anchorId="41827C88">
          <v:rect id="_x0000_i1025" style="width:0;height:1.5pt" o:hralign="center" o:hrstd="t" o:hr="t" fillcolor="#a0a0a0" stroked="f"/>
        </w:pict>
      </w:r>
    </w:p>
    <w:p w14:paraId="6579B7B0" w14:textId="77777777" w:rsidR="00416D1B" w:rsidRPr="00416D1B" w:rsidRDefault="00416D1B" w:rsidP="00416D1B">
      <w:pPr>
        <w:spacing w:after="0" w:line="360" w:lineRule="auto"/>
        <w:jc w:val="both"/>
        <w:rPr>
          <w:rFonts w:ascii="Times New Roman" w:hAnsi="Times New Roman" w:cs="Times New Roman"/>
          <w:b/>
          <w:bCs/>
          <w:color w:val="262626"/>
          <w:sz w:val="24"/>
          <w:szCs w:val="24"/>
        </w:rPr>
      </w:pPr>
      <w:r w:rsidRPr="00416D1B">
        <w:rPr>
          <w:rFonts w:ascii="Times New Roman" w:hAnsi="Times New Roman" w:cs="Times New Roman"/>
          <w:b/>
          <w:bCs/>
          <w:color w:val="262626"/>
          <w:sz w:val="24"/>
          <w:szCs w:val="24"/>
        </w:rPr>
        <w:t>2.10.1 Data Transparency and Reproducibility</w:t>
      </w:r>
    </w:p>
    <w:p w14:paraId="0988C87C" w14:textId="77777777"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To ensure reproducibility, all simulations were conducted using </w:t>
      </w:r>
      <w:r w:rsidRPr="00416D1B">
        <w:rPr>
          <w:rFonts w:ascii="Times New Roman" w:hAnsi="Times New Roman" w:cs="Times New Roman"/>
          <w:b/>
          <w:bCs/>
          <w:color w:val="262626"/>
          <w:sz w:val="24"/>
          <w:szCs w:val="24"/>
        </w:rPr>
        <w:t>Aspen HYSYS (version 11)</w:t>
      </w:r>
      <w:r w:rsidRPr="00416D1B">
        <w:rPr>
          <w:rFonts w:ascii="Times New Roman" w:hAnsi="Times New Roman" w:cs="Times New Roman"/>
          <w:color w:val="262626"/>
          <w:sz w:val="24"/>
          <w:szCs w:val="24"/>
        </w:rPr>
        <w:t xml:space="preserve"> under clearly defined operating conditions, including feed gas composition, solvent concentrations, thermodynamic model (e-NRTL), and absorber–stripper configurations.</w:t>
      </w:r>
    </w:p>
    <w:p w14:paraId="5F8005F3" w14:textId="77777777"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The study provides sufficient methodological detail to enable replication, including:</w:t>
      </w:r>
    </w:p>
    <w:p w14:paraId="4D71315D" w14:textId="77777777" w:rsidR="00416D1B" w:rsidRPr="00416D1B" w:rsidRDefault="00416D1B" w:rsidP="00416D1B">
      <w:pPr>
        <w:numPr>
          <w:ilvl w:val="0"/>
          <w:numId w:val="19"/>
        </w:num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Explicit statement of modeling assumptions </w:t>
      </w:r>
    </w:p>
    <w:p w14:paraId="0A7FA0D1" w14:textId="77777777" w:rsidR="00416D1B" w:rsidRPr="00416D1B" w:rsidRDefault="00416D1B" w:rsidP="00416D1B">
      <w:pPr>
        <w:numPr>
          <w:ilvl w:val="0"/>
          <w:numId w:val="19"/>
        </w:num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Defined process variables and boundary conditions </w:t>
      </w:r>
    </w:p>
    <w:p w14:paraId="5D493835" w14:textId="77777777" w:rsidR="00416D1B" w:rsidRPr="00416D1B" w:rsidRDefault="00416D1B" w:rsidP="00416D1B">
      <w:pPr>
        <w:numPr>
          <w:ilvl w:val="0"/>
          <w:numId w:val="19"/>
        </w:num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Standardized performance indicators (e.g., CO₂ removal efficiency, regeneration energy, solvent loading) </w:t>
      </w:r>
    </w:p>
    <w:p w14:paraId="5CFE31A1" w14:textId="77777777"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lastRenderedPageBreak/>
        <w:t xml:space="preserve">All simulation datasets and model configurations are available from the corresponding author upon reasonable request, in line with best practices for </w:t>
      </w:r>
      <w:r w:rsidRPr="00416D1B">
        <w:rPr>
          <w:rFonts w:ascii="Times New Roman" w:hAnsi="Times New Roman" w:cs="Times New Roman"/>
          <w:b/>
          <w:bCs/>
          <w:color w:val="262626"/>
          <w:sz w:val="24"/>
          <w:szCs w:val="24"/>
        </w:rPr>
        <w:t>transparent computational research</w:t>
      </w:r>
      <w:r w:rsidRPr="00416D1B">
        <w:rPr>
          <w:rFonts w:ascii="Times New Roman" w:hAnsi="Times New Roman" w:cs="Times New Roman"/>
          <w:color w:val="262626"/>
          <w:sz w:val="24"/>
          <w:szCs w:val="24"/>
        </w:rPr>
        <w:t>.</w:t>
      </w:r>
    </w:p>
    <w:p w14:paraId="1EC2C84E" w14:textId="77777777" w:rsidR="00416D1B" w:rsidRPr="00416D1B" w:rsidRDefault="00271CB8" w:rsidP="00416D1B">
      <w:pPr>
        <w:spacing w:after="0"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pict w14:anchorId="45F03556">
          <v:rect id="_x0000_i1026" style="width:0;height:1.5pt" o:hralign="center" o:hrstd="t" o:hr="t" fillcolor="#a0a0a0" stroked="f"/>
        </w:pict>
      </w:r>
    </w:p>
    <w:p w14:paraId="318B1182" w14:textId="77777777" w:rsidR="00416D1B" w:rsidRPr="00416D1B" w:rsidRDefault="00416D1B" w:rsidP="00416D1B">
      <w:pPr>
        <w:spacing w:after="0" w:line="360" w:lineRule="auto"/>
        <w:jc w:val="both"/>
        <w:rPr>
          <w:rFonts w:ascii="Times New Roman" w:hAnsi="Times New Roman" w:cs="Times New Roman"/>
          <w:b/>
          <w:bCs/>
          <w:color w:val="262626"/>
          <w:sz w:val="24"/>
          <w:szCs w:val="24"/>
        </w:rPr>
      </w:pPr>
      <w:r w:rsidRPr="00416D1B">
        <w:rPr>
          <w:rFonts w:ascii="Times New Roman" w:hAnsi="Times New Roman" w:cs="Times New Roman"/>
          <w:b/>
          <w:bCs/>
          <w:color w:val="262626"/>
          <w:sz w:val="24"/>
          <w:szCs w:val="24"/>
        </w:rPr>
        <w:t>2.10.2 Scientific Integrity and Citation Ethics</w:t>
      </w:r>
    </w:p>
    <w:p w14:paraId="3F2B7268" w14:textId="77777777"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All referenced materials have been properly cited, and the study complies with accepted academic standards, avoiding plagiarism, data fabrication, or misrepresentation. The interpretation of results is grounded in both simulation outputs and contemporary literature.</w:t>
      </w:r>
    </w:p>
    <w:p w14:paraId="00D0D2E2" w14:textId="77777777" w:rsidR="00416D1B" w:rsidRPr="00416D1B" w:rsidRDefault="00271CB8" w:rsidP="00416D1B">
      <w:pPr>
        <w:spacing w:after="0"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pict w14:anchorId="2B3B0C78">
          <v:rect id="_x0000_i1027" style="width:0;height:1.5pt" o:hralign="center" o:hrstd="t" o:hr="t" fillcolor="#a0a0a0" stroked="f"/>
        </w:pict>
      </w:r>
    </w:p>
    <w:p w14:paraId="6636C612" w14:textId="77777777" w:rsidR="00416D1B" w:rsidRPr="00416D1B" w:rsidRDefault="00416D1B" w:rsidP="00416D1B">
      <w:pPr>
        <w:spacing w:after="0" w:line="360" w:lineRule="auto"/>
        <w:jc w:val="both"/>
        <w:rPr>
          <w:rFonts w:ascii="Times New Roman" w:hAnsi="Times New Roman" w:cs="Times New Roman"/>
          <w:b/>
          <w:bCs/>
          <w:color w:val="262626"/>
          <w:sz w:val="24"/>
          <w:szCs w:val="24"/>
        </w:rPr>
      </w:pPr>
      <w:r w:rsidRPr="00416D1B">
        <w:rPr>
          <w:rFonts w:ascii="Times New Roman" w:hAnsi="Times New Roman" w:cs="Times New Roman"/>
          <w:b/>
          <w:bCs/>
          <w:color w:val="262626"/>
          <w:sz w:val="24"/>
          <w:szCs w:val="24"/>
        </w:rPr>
        <w:t>2.10.3 Environmental and Sustainability Considerations</w:t>
      </w:r>
    </w:p>
    <w:p w14:paraId="5E59938E" w14:textId="77777777"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This research contributes to </w:t>
      </w:r>
      <w:r w:rsidRPr="00416D1B">
        <w:rPr>
          <w:rFonts w:ascii="Times New Roman" w:hAnsi="Times New Roman" w:cs="Times New Roman"/>
          <w:b/>
          <w:bCs/>
          <w:color w:val="262626"/>
          <w:sz w:val="24"/>
          <w:szCs w:val="24"/>
        </w:rPr>
        <w:t>sustainable natural gas processing</w:t>
      </w:r>
      <w:r w:rsidRPr="00416D1B">
        <w:rPr>
          <w:rFonts w:ascii="Times New Roman" w:hAnsi="Times New Roman" w:cs="Times New Roman"/>
          <w:color w:val="262626"/>
          <w:sz w:val="24"/>
          <w:szCs w:val="24"/>
        </w:rPr>
        <w:t xml:space="preserve"> by evaluating CO₂ removal strategies that can reduce greenhouse gas emissions and support cleaner energy systems, particularly in gas-producing regions such as the Niger Delta.</w:t>
      </w:r>
    </w:p>
    <w:p w14:paraId="2D7E8CEC" w14:textId="77777777"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However, it is acknowledged that:</w:t>
      </w:r>
    </w:p>
    <w:p w14:paraId="6AF10782" w14:textId="77777777" w:rsidR="00416D1B" w:rsidRPr="00416D1B" w:rsidRDefault="00416D1B" w:rsidP="00416D1B">
      <w:pPr>
        <w:numPr>
          <w:ilvl w:val="0"/>
          <w:numId w:val="20"/>
        </w:num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Amine-based CO₂ capture is </w:t>
      </w:r>
      <w:r w:rsidRPr="00416D1B">
        <w:rPr>
          <w:rFonts w:ascii="Times New Roman" w:hAnsi="Times New Roman" w:cs="Times New Roman"/>
          <w:b/>
          <w:bCs/>
          <w:color w:val="262626"/>
          <w:sz w:val="24"/>
          <w:szCs w:val="24"/>
        </w:rPr>
        <w:t>energy-intensive</w:t>
      </w:r>
      <w:r w:rsidRPr="00416D1B">
        <w:rPr>
          <w:rFonts w:ascii="Times New Roman" w:hAnsi="Times New Roman" w:cs="Times New Roman"/>
          <w:color w:val="262626"/>
          <w:sz w:val="24"/>
          <w:szCs w:val="24"/>
        </w:rPr>
        <w:t xml:space="preserve">, especially during solvent regeneration </w:t>
      </w:r>
    </w:p>
    <w:p w14:paraId="3BB9F4E5" w14:textId="77777777" w:rsidR="00416D1B" w:rsidRPr="00416D1B" w:rsidRDefault="00416D1B" w:rsidP="00416D1B">
      <w:pPr>
        <w:numPr>
          <w:ilvl w:val="0"/>
          <w:numId w:val="20"/>
        </w:num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Solvent degradation products may pose </w:t>
      </w:r>
      <w:r w:rsidRPr="00416D1B">
        <w:rPr>
          <w:rFonts w:ascii="Times New Roman" w:hAnsi="Times New Roman" w:cs="Times New Roman"/>
          <w:b/>
          <w:bCs/>
          <w:color w:val="262626"/>
          <w:sz w:val="24"/>
          <w:szCs w:val="24"/>
        </w:rPr>
        <w:t>environmental and operational risks</w:t>
      </w:r>
      <w:r w:rsidRPr="00416D1B">
        <w:rPr>
          <w:rFonts w:ascii="Times New Roman" w:hAnsi="Times New Roman" w:cs="Times New Roman"/>
          <w:color w:val="262626"/>
          <w:sz w:val="24"/>
          <w:szCs w:val="24"/>
        </w:rPr>
        <w:t xml:space="preserve"> </w:t>
      </w:r>
    </w:p>
    <w:p w14:paraId="67F4D9F8" w14:textId="77777777" w:rsidR="00416D1B" w:rsidRPr="00416D1B" w:rsidRDefault="00416D1B" w:rsidP="00416D1B">
      <w:pPr>
        <w:spacing w:after="0" w:line="360" w:lineRule="auto"/>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rPr>
        <w:t xml:space="preserve">These issues highlight the need for </w:t>
      </w:r>
      <w:r w:rsidRPr="00416D1B">
        <w:rPr>
          <w:rFonts w:ascii="Times New Roman" w:hAnsi="Times New Roman" w:cs="Times New Roman"/>
          <w:b/>
          <w:bCs/>
          <w:color w:val="262626"/>
          <w:sz w:val="24"/>
          <w:szCs w:val="24"/>
        </w:rPr>
        <w:t>process optimization and lifecycle assessment (LCA)</w:t>
      </w:r>
      <w:r w:rsidRPr="00416D1B">
        <w:rPr>
          <w:rFonts w:ascii="Times New Roman" w:hAnsi="Times New Roman" w:cs="Times New Roman"/>
          <w:color w:val="262626"/>
          <w:sz w:val="24"/>
          <w:szCs w:val="24"/>
        </w:rPr>
        <w:t xml:space="preserve"> in future studies to ensure net environmental benefits.</w:t>
      </w:r>
    </w:p>
    <w:p w14:paraId="375AE4B3" w14:textId="7A51A5FC" w:rsidR="00416D1B" w:rsidRPr="00416D1B" w:rsidRDefault="00416D1B" w:rsidP="00416D1B">
      <w:pPr>
        <w:spacing w:after="0" w:line="360" w:lineRule="auto"/>
        <w:jc w:val="both"/>
        <w:rPr>
          <w:rFonts w:ascii="Times New Roman" w:hAnsi="Times New Roman" w:cs="Times New Roman"/>
          <w:color w:val="262626"/>
          <w:sz w:val="24"/>
          <w:szCs w:val="24"/>
        </w:rPr>
      </w:pPr>
    </w:p>
    <w:p w14:paraId="40F333CD" w14:textId="77777777" w:rsidR="00EB421B" w:rsidRPr="00AA64A0" w:rsidRDefault="00EB421B">
      <w:pPr>
        <w:spacing w:after="0" w:line="360" w:lineRule="auto"/>
        <w:jc w:val="both"/>
        <w:rPr>
          <w:rFonts w:ascii="Times New Roman" w:hAnsi="Times New Roman" w:cs="Times New Roman"/>
          <w:color w:val="262626"/>
          <w:sz w:val="24"/>
          <w:szCs w:val="24"/>
        </w:rPr>
      </w:pPr>
    </w:p>
    <w:p w14:paraId="4D171929" w14:textId="77777777" w:rsidR="00EB421B" w:rsidRPr="00AA64A0" w:rsidRDefault="004C6C37">
      <w:pPr>
        <w:spacing w:after="0" w:line="360" w:lineRule="auto"/>
        <w:jc w:val="both"/>
        <w:rPr>
          <w:rFonts w:ascii="Times New Roman" w:hAnsi="Times New Roman" w:cs="Times New Roman"/>
          <w:b/>
          <w:color w:val="262626"/>
          <w:sz w:val="28"/>
          <w:szCs w:val="28"/>
        </w:rPr>
      </w:pPr>
      <w:r w:rsidRPr="00AA64A0">
        <w:rPr>
          <w:rFonts w:ascii="Times New Roman" w:hAnsi="Times New Roman" w:cs="Times New Roman"/>
          <w:b/>
          <w:color w:val="262626"/>
          <w:sz w:val="28"/>
          <w:szCs w:val="28"/>
        </w:rPr>
        <w:t>3. Results</w:t>
      </w:r>
    </w:p>
    <w:p w14:paraId="0A2D23FF" w14:textId="77777777" w:rsidR="00EB421B" w:rsidRPr="00AA64A0" w:rsidRDefault="004C6C37">
      <w:pPr>
        <w:pStyle w:val="NormalWeb"/>
        <w:spacing w:before="0" w:beforeAutospacing="0" w:after="0" w:afterAutospacing="0" w:line="360" w:lineRule="auto"/>
        <w:jc w:val="both"/>
      </w:pPr>
      <w:r w:rsidRPr="00AA64A0">
        <w:t>The results of the simulation study are presented in statistical tables, highlighting the comparative performance of Monoethanolamine (MEA), Diethanolamine (DEA), and Methyldiethanolamine (MDEA) in CO₂ removal from natural gas under the specified operating conditions.</w:t>
      </w:r>
    </w:p>
    <w:p w14:paraId="00CAA8E9" w14:textId="77777777" w:rsidR="00EB421B" w:rsidRPr="00AA64A0" w:rsidRDefault="00EB421B"/>
    <w:p w14:paraId="79BE99C1" w14:textId="02336893" w:rsidR="00EB421B" w:rsidRPr="00AA64A0" w:rsidRDefault="004C6C37">
      <w:pPr>
        <w:pStyle w:val="Heading3"/>
        <w:rPr>
          <w:rStyle w:val="Strong"/>
          <w:rFonts w:ascii="Times New Roman" w:hAnsi="Times New Roman" w:cs="Times New Roman"/>
          <w:bCs w:val="0"/>
          <w:color w:val="0D0D0D"/>
        </w:rPr>
      </w:pPr>
      <w:r w:rsidRPr="00AA64A0">
        <w:rPr>
          <w:rStyle w:val="Strong"/>
          <w:rFonts w:ascii="Times New Roman" w:hAnsi="Times New Roman" w:cs="Times New Roman"/>
          <w:bCs w:val="0"/>
          <w:color w:val="0D0D0D"/>
        </w:rPr>
        <w:t>Table 1: CO₂ Removal Efficiency of Amine Solvents under Standard Operating Conditions</w:t>
      </w:r>
    </w:p>
    <w:p w14:paraId="201D7A47" w14:textId="77777777" w:rsidR="00EB421B" w:rsidRPr="00AA64A0" w:rsidRDefault="00EB421B"/>
    <w:tbl>
      <w:tblPr>
        <w:tblStyle w:val="LightShading"/>
        <w:tblW w:w="9391" w:type="dxa"/>
        <w:jc w:val="center"/>
        <w:shd w:val="clear" w:color="auto" w:fill="FFFFFF"/>
        <w:tblLook w:val="04A0" w:firstRow="1" w:lastRow="0" w:firstColumn="1" w:lastColumn="0" w:noHBand="0" w:noVBand="1"/>
      </w:tblPr>
      <w:tblGrid>
        <w:gridCol w:w="1109"/>
        <w:gridCol w:w="2183"/>
        <w:gridCol w:w="3068"/>
        <w:gridCol w:w="3031"/>
      </w:tblGrid>
      <w:tr w:rsidR="00EB421B" w:rsidRPr="00AA64A0" w14:paraId="2787FDFC" w14:textId="77777777" w:rsidTr="00EB421B">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5E8A9D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Cs w:val="0"/>
                <w:sz w:val="24"/>
                <w:szCs w:val="24"/>
              </w:rPr>
              <w:t>Solvent</w:t>
            </w:r>
          </w:p>
        </w:tc>
        <w:tc>
          <w:tcPr>
            <w:tcW w:w="0" w:type="auto"/>
            <w:shd w:val="clear" w:color="auto" w:fill="FFFFFF"/>
            <w:hideMark/>
          </w:tcPr>
          <w:p w14:paraId="69C98CB4"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Cs w:val="0"/>
                <w:sz w:val="24"/>
                <w:szCs w:val="24"/>
              </w:rPr>
              <w:t>CO₂ in Feed (%)</w:t>
            </w:r>
          </w:p>
        </w:tc>
        <w:tc>
          <w:tcPr>
            <w:tcW w:w="0" w:type="auto"/>
            <w:shd w:val="clear" w:color="auto" w:fill="FFFFFF"/>
            <w:hideMark/>
          </w:tcPr>
          <w:p w14:paraId="7427B42C"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Cs w:val="0"/>
                <w:sz w:val="24"/>
                <w:szCs w:val="24"/>
              </w:rPr>
              <w:t>CO₂ in Treated Gas (%)</w:t>
            </w:r>
          </w:p>
        </w:tc>
        <w:tc>
          <w:tcPr>
            <w:tcW w:w="0" w:type="auto"/>
            <w:shd w:val="clear" w:color="auto" w:fill="FFFFFF"/>
            <w:hideMark/>
          </w:tcPr>
          <w:p w14:paraId="3237F392"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Cs w:val="0"/>
                <w:sz w:val="24"/>
                <w:szCs w:val="24"/>
              </w:rPr>
              <w:t>Removal Efficiency (%)</w:t>
            </w:r>
          </w:p>
        </w:tc>
      </w:tr>
      <w:tr w:rsidR="00EB421B" w:rsidRPr="00AA64A0" w14:paraId="0ACF572D" w14:textId="77777777" w:rsidTr="00EB421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7276D23"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2E92A139"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8.0</w:t>
            </w:r>
          </w:p>
        </w:tc>
        <w:tc>
          <w:tcPr>
            <w:tcW w:w="0" w:type="auto"/>
            <w:shd w:val="clear" w:color="auto" w:fill="FFFFFF"/>
            <w:hideMark/>
          </w:tcPr>
          <w:p w14:paraId="4A3FC27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0.32</w:t>
            </w:r>
          </w:p>
        </w:tc>
        <w:tc>
          <w:tcPr>
            <w:tcW w:w="0" w:type="auto"/>
            <w:shd w:val="clear" w:color="auto" w:fill="FFFFFF"/>
            <w:hideMark/>
          </w:tcPr>
          <w:p w14:paraId="0B139F34"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96.0 ± 0.5</w:t>
            </w:r>
          </w:p>
        </w:tc>
      </w:tr>
      <w:tr w:rsidR="00EB421B" w:rsidRPr="00AA64A0" w14:paraId="2B5E8EF4" w14:textId="77777777" w:rsidTr="00EB421B">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F4FFF30"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0" w:type="auto"/>
            <w:shd w:val="clear" w:color="auto" w:fill="FFFFFF"/>
            <w:hideMark/>
          </w:tcPr>
          <w:p w14:paraId="4AFDA3DC"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8.0</w:t>
            </w:r>
          </w:p>
        </w:tc>
        <w:tc>
          <w:tcPr>
            <w:tcW w:w="0" w:type="auto"/>
            <w:shd w:val="clear" w:color="auto" w:fill="FFFFFF"/>
            <w:hideMark/>
          </w:tcPr>
          <w:p w14:paraId="7F841D70"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0.64</w:t>
            </w:r>
          </w:p>
        </w:tc>
        <w:tc>
          <w:tcPr>
            <w:tcW w:w="0" w:type="auto"/>
            <w:shd w:val="clear" w:color="auto" w:fill="FFFFFF"/>
            <w:hideMark/>
          </w:tcPr>
          <w:p w14:paraId="0A6A4ED2"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92.0 ± 0.6</w:t>
            </w:r>
          </w:p>
        </w:tc>
      </w:tr>
      <w:tr w:rsidR="00EB421B" w:rsidRPr="00AA64A0" w14:paraId="28AC0711" w14:textId="77777777" w:rsidTr="00EB421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659EF71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1E7AF08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8.0</w:t>
            </w:r>
          </w:p>
        </w:tc>
        <w:tc>
          <w:tcPr>
            <w:tcW w:w="0" w:type="auto"/>
            <w:tcBorders>
              <w:bottom w:val="single" w:sz="8" w:space="0" w:color="000000"/>
            </w:tcBorders>
            <w:shd w:val="clear" w:color="auto" w:fill="FFFFFF"/>
            <w:hideMark/>
          </w:tcPr>
          <w:p w14:paraId="6D6A081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1.12</w:t>
            </w:r>
          </w:p>
        </w:tc>
        <w:tc>
          <w:tcPr>
            <w:tcW w:w="0" w:type="auto"/>
            <w:tcBorders>
              <w:bottom w:val="single" w:sz="8" w:space="0" w:color="000000"/>
            </w:tcBorders>
            <w:shd w:val="clear" w:color="auto" w:fill="FFFFFF"/>
            <w:hideMark/>
          </w:tcPr>
          <w:p w14:paraId="17C62CA9"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86.0 ± 0.7</w:t>
            </w:r>
          </w:p>
        </w:tc>
      </w:tr>
    </w:tbl>
    <w:p w14:paraId="6A97EF70" w14:textId="77777777" w:rsidR="00EB421B" w:rsidRPr="00AA64A0" w:rsidRDefault="004C6C37">
      <w:pPr>
        <w:pStyle w:val="NormalWeb"/>
        <w:spacing w:before="0" w:beforeAutospacing="0" w:after="0" w:afterAutospacing="0"/>
        <w:jc w:val="both"/>
        <w:rPr>
          <w:i/>
        </w:rPr>
      </w:pPr>
      <w:r w:rsidRPr="00AA64A0">
        <w:rPr>
          <w:i/>
        </w:rPr>
        <w:t>Values are presented as mean ± standard deviation from simulation runs under identical operating conditions (n = 3). MEA shows the highest CO₂ removal efficiency, followed by DEA and MDEA.</w:t>
      </w:r>
    </w:p>
    <w:p w14:paraId="61C99AD7" w14:textId="77777777" w:rsidR="00EB421B" w:rsidRPr="00AA64A0" w:rsidRDefault="00EB421B"/>
    <w:p w14:paraId="0E460D50" w14:textId="670526F5"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lastRenderedPageBreak/>
        <w:t>Table 2: CO₂ Loading Capacity and Cyclic Capacity of Amine Solvents</w:t>
      </w:r>
    </w:p>
    <w:tbl>
      <w:tblPr>
        <w:tblStyle w:val="LightShading"/>
        <w:tblW w:w="10418" w:type="dxa"/>
        <w:shd w:val="clear" w:color="auto" w:fill="FFFFFF"/>
        <w:tblLook w:val="04A0" w:firstRow="1" w:lastRow="0" w:firstColumn="1" w:lastColumn="0" w:noHBand="0" w:noVBand="1"/>
      </w:tblPr>
      <w:tblGrid>
        <w:gridCol w:w="1548"/>
        <w:gridCol w:w="3420"/>
        <w:gridCol w:w="3240"/>
        <w:gridCol w:w="2210"/>
      </w:tblGrid>
      <w:tr w:rsidR="00EB421B" w:rsidRPr="00AA64A0" w14:paraId="797DFF58" w14:textId="77777777" w:rsidTr="00EB421B">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1548" w:type="dxa"/>
            <w:shd w:val="clear" w:color="auto" w:fill="FFFFFF"/>
            <w:hideMark/>
          </w:tcPr>
          <w:p w14:paraId="30797C6C"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3420" w:type="dxa"/>
            <w:shd w:val="clear" w:color="auto" w:fill="FFFFFF"/>
            <w:hideMark/>
          </w:tcPr>
          <w:p w14:paraId="3FA70437"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Rich Loading (mol CO₂/mol amine)</w:t>
            </w:r>
          </w:p>
        </w:tc>
        <w:tc>
          <w:tcPr>
            <w:tcW w:w="3240" w:type="dxa"/>
            <w:shd w:val="clear" w:color="auto" w:fill="FFFFFF"/>
            <w:hideMark/>
          </w:tcPr>
          <w:p w14:paraId="055988AD"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Lean Loading (mol CO₂/mol amine)</w:t>
            </w:r>
          </w:p>
        </w:tc>
        <w:tc>
          <w:tcPr>
            <w:tcW w:w="2210" w:type="dxa"/>
            <w:shd w:val="clear" w:color="auto" w:fill="FFFFFF"/>
            <w:hideMark/>
          </w:tcPr>
          <w:p w14:paraId="56DD0E64"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Cyclic Capacity (mol/mol)</w:t>
            </w:r>
          </w:p>
        </w:tc>
      </w:tr>
      <w:tr w:rsidR="00EB421B" w:rsidRPr="00AA64A0" w14:paraId="1BBB362A" w14:textId="77777777" w:rsidTr="00EB421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548" w:type="dxa"/>
            <w:shd w:val="clear" w:color="auto" w:fill="FFFFFF"/>
            <w:hideMark/>
          </w:tcPr>
          <w:p w14:paraId="71B9DE2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3420" w:type="dxa"/>
            <w:shd w:val="clear" w:color="auto" w:fill="FFFFFF"/>
            <w:hideMark/>
          </w:tcPr>
          <w:p w14:paraId="028D9DC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0.52 ± 0.01</w:t>
            </w:r>
          </w:p>
        </w:tc>
        <w:tc>
          <w:tcPr>
            <w:tcW w:w="3240" w:type="dxa"/>
            <w:shd w:val="clear" w:color="auto" w:fill="FFFFFF"/>
            <w:hideMark/>
          </w:tcPr>
          <w:p w14:paraId="0DEB642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0.20 ± 0.01</w:t>
            </w:r>
          </w:p>
        </w:tc>
        <w:tc>
          <w:tcPr>
            <w:tcW w:w="2210" w:type="dxa"/>
            <w:shd w:val="clear" w:color="auto" w:fill="FFFFFF"/>
            <w:hideMark/>
          </w:tcPr>
          <w:p w14:paraId="1A6E7CEC"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0.32 ± 0.02</w:t>
            </w:r>
          </w:p>
        </w:tc>
      </w:tr>
      <w:tr w:rsidR="00EB421B" w:rsidRPr="00AA64A0" w14:paraId="0D4F83C7" w14:textId="77777777" w:rsidTr="00EB421B">
        <w:trPr>
          <w:trHeight w:val="310"/>
        </w:trPr>
        <w:tc>
          <w:tcPr>
            <w:cnfStyle w:val="001000000000" w:firstRow="0" w:lastRow="0" w:firstColumn="1" w:lastColumn="0" w:oddVBand="0" w:evenVBand="0" w:oddHBand="0" w:evenHBand="0" w:firstRowFirstColumn="0" w:firstRowLastColumn="0" w:lastRowFirstColumn="0" w:lastRowLastColumn="0"/>
            <w:tcW w:w="1548" w:type="dxa"/>
            <w:shd w:val="clear" w:color="auto" w:fill="FFFFFF"/>
            <w:hideMark/>
          </w:tcPr>
          <w:p w14:paraId="7819A738"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3420" w:type="dxa"/>
            <w:shd w:val="clear" w:color="auto" w:fill="FFFFFF"/>
            <w:hideMark/>
          </w:tcPr>
          <w:p w14:paraId="0B3117DE"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0.48 ± 0.02</w:t>
            </w:r>
          </w:p>
        </w:tc>
        <w:tc>
          <w:tcPr>
            <w:tcW w:w="3240" w:type="dxa"/>
            <w:shd w:val="clear" w:color="auto" w:fill="FFFFFF"/>
            <w:hideMark/>
          </w:tcPr>
          <w:p w14:paraId="756D5153"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0.18 ± 0.01</w:t>
            </w:r>
          </w:p>
        </w:tc>
        <w:tc>
          <w:tcPr>
            <w:tcW w:w="2210" w:type="dxa"/>
            <w:shd w:val="clear" w:color="auto" w:fill="FFFFFF"/>
            <w:hideMark/>
          </w:tcPr>
          <w:p w14:paraId="7DD5C766"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0.30 ± 0.02</w:t>
            </w:r>
          </w:p>
        </w:tc>
      </w:tr>
      <w:tr w:rsidR="00EB421B" w:rsidRPr="00AA64A0" w14:paraId="7684060E" w14:textId="77777777" w:rsidTr="00EB421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548" w:type="dxa"/>
            <w:tcBorders>
              <w:bottom w:val="single" w:sz="8" w:space="0" w:color="000000"/>
            </w:tcBorders>
            <w:shd w:val="clear" w:color="auto" w:fill="FFFFFF"/>
            <w:hideMark/>
          </w:tcPr>
          <w:p w14:paraId="3E7F162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3420" w:type="dxa"/>
            <w:tcBorders>
              <w:bottom w:val="single" w:sz="8" w:space="0" w:color="000000"/>
            </w:tcBorders>
            <w:shd w:val="clear" w:color="auto" w:fill="FFFFFF"/>
            <w:hideMark/>
          </w:tcPr>
          <w:p w14:paraId="2C828E9F"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0.45 ± 0.01</w:t>
            </w:r>
          </w:p>
        </w:tc>
        <w:tc>
          <w:tcPr>
            <w:tcW w:w="3240" w:type="dxa"/>
            <w:tcBorders>
              <w:bottom w:val="single" w:sz="8" w:space="0" w:color="000000"/>
            </w:tcBorders>
            <w:shd w:val="clear" w:color="auto" w:fill="FFFFFF"/>
            <w:hideMark/>
          </w:tcPr>
          <w:p w14:paraId="27A62E2C"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0.15 ± 0.01</w:t>
            </w:r>
          </w:p>
        </w:tc>
        <w:tc>
          <w:tcPr>
            <w:tcW w:w="2210" w:type="dxa"/>
            <w:tcBorders>
              <w:bottom w:val="single" w:sz="8" w:space="0" w:color="000000"/>
            </w:tcBorders>
            <w:shd w:val="clear" w:color="auto" w:fill="FFFFFF"/>
            <w:hideMark/>
          </w:tcPr>
          <w:p w14:paraId="2D46219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0.30 ± 0.01</w:t>
            </w:r>
          </w:p>
        </w:tc>
      </w:tr>
    </w:tbl>
    <w:p w14:paraId="41E9439E" w14:textId="77777777" w:rsidR="00EB421B" w:rsidRPr="00AA64A0" w:rsidRDefault="004C6C37">
      <w:pPr>
        <w:pStyle w:val="NormalWeb"/>
        <w:spacing w:before="0" w:beforeAutospacing="0" w:after="0" w:afterAutospacing="0"/>
        <w:jc w:val="both"/>
        <w:rPr>
          <w:i/>
        </w:rPr>
      </w:pPr>
      <w:r w:rsidRPr="00AA64A0">
        <w:rPr>
          <w:i/>
        </w:rPr>
        <w:t>Rich loading represents CO₂ concentration in solvent exiting absorber, while lean loading represents regenerated solvent entering absorber. Cyclic capacity is calculated as the difference between rich and lean loading.</w:t>
      </w:r>
    </w:p>
    <w:p w14:paraId="2CD3DA0B" w14:textId="77777777" w:rsidR="00EB421B" w:rsidRPr="00AA64A0" w:rsidRDefault="00EB421B"/>
    <w:p w14:paraId="5660A313" w14:textId="67249AE3"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t>Table 3: Regeneration Energy Requirement and Steam Consumption</w:t>
      </w:r>
    </w:p>
    <w:tbl>
      <w:tblPr>
        <w:tblStyle w:val="LightShading"/>
        <w:tblW w:w="0" w:type="auto"/>
        <w:jc w:val="center"/>
        <w:shd w:val="clear" w:color="auto" w:fill="FFFFFF"/>
        <w:tblLook w:val="04A0" w:firstRow="1" w:lastRow="0" w:firstColumn="1" w:lastColumn="0" w:noHBand="0" w:noVBand="1"/>
      </w:tblPr>
      <w:tblGrid>
        <w:gridCol w:w="950"/>
        <w:gridCol w:w="2922"/>
        <w:gridCol w:w="3402"/>
      </w:tblGrid>
      <w:tr w:rsidR="00EB421B" w:rsidRPr="00AA64A0" w14:paraId="28CCDCB8" w14:textId="77777777" w:rsidTr="00EB42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545CE9E4"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0" w:type="auto"/>
            <w:shd w:val="clear" w:color="auto" w:fill="FFFFFF"/>
            <w:hideMark/>
          </w:tcPr>
          <w:p w14:paraId="0B85AF71"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Reboiler Duty (kJ/mol CO₂)</w:t>
            </w:r>
          </w:p>
        </w:tc>
        <w:tc>
          <w:tcPr>
            <w:tcW w:w="0" w:type="auto"/>
            <w:shd w:val="clear" w:color="auto" w:fill="FFFFFF"/>
            <w:hideMark/>
          </w:tcPr>
          <w:p w14:paraId="22A82CD6"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Steam Consumption (kg/kg CO₂)</w:t>
            </w:r>
          </w:p>
        </w:tc>
      </w:tr>
      <w:tr w:rsidR="00EB421B" w:rsidRPr="00AA64A0" w14:paraId="54D055D6"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563C438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60F867B7"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3600 ± 50</w:t>
            </w:r>
          </w:p>
        </w:tc>
        <w:tc>
          <w:tcPr>
            <w:tcW w:w="0" w:type="auto"/>
            <w:shd w:val="clear" w:color="auto" w:fill="FFFFFF"/>
            <w:hideMark/>
          </w:tcPr>
          <w:p w14:paraId="34AFBC1C"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1.80 ± 0.05</w:t>
            </w:r>
          </w:p>
        </w:tc>
      </w:tr>
      <w:tr w:rsidR="00EB421B" w:rsidRPr="00AA64A0" w14:paraId="3B7CF886" w14:textId="77777777" w:rsidTr="00EB421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5779E083"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0" w:type="auto"/>
            <w:shd w:val="clear" w:color="auto" w:fill="FFFFFF"/>
            <w:hideMark/>
          </w:tcPr>
          <w:p w14:paraId="79A6DF66"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3000 ± 45</w:t>
            </w:r>
          </w:p>
        </w:tc>
        <w:tc>
          <w:tcPr>
            <w:tcW w:w="0" w:type="auto"/>
            <w:shd w:val="clear" w:color="auto" w:fill="FFFFFF"/>
            <w:hideMark/>
          </w:tcPr>
          <w:p w14:paraId="11D535C8"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1.50 ± 0.04</w:t>
            </w:r>
          </w:p>
        </w:tc>
      </w:tr>
      <w:tr w:rsidR="00EB421B" w:rsidRPr="00AA64A0" w14:paraId="497A758B"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4456EF5E"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5629B5F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2200 ± 40</w:t>
            </w:r>
          </w:p>
        </w:tc>
        <w:tc>
          <w:tcPr>
            <w:tcW w:w="0" w:type="auto"/>
            <w:tcBorders>
              <w:bottom w:val="single" w:sz="8" w:space="0" w:color="000000"/>
            </w:tcBorders>
            <w:shd w:val="clear" w:color="auto" w:fill="FFFFFF"/>
            <w:hideMark/>
          </w:tcPr>
          <w:p w14:paraId="19360C1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1.10 ± 0.03</w:t>
            </w:r>
          </w:p>
        </w:tc>
      </w:tr>
    </w:tbl>
    <w:p w14:paraId="79FC2F42" w14:textId="77777777" w:rsidR="00EB421B" w:rsidRPr="00AA64A0" w:rsidRDefault="004C6C37">
      <w:pPr>
        <w:pStyle w:val="NormalWeb"/>
        <w:spacing w:before="0" w:beforeAutospacing="0" w:after="0" w:afterAutospacing="0"/>
        <w:jc w:val="both"/>
        <w:rPr>
          <w:i/>
        </w:rPr>
      </w:pPr>
      <w:r w:rsidRPr="00AA64A0">
        <w:rPr>
          <w:i/>
        </w:rPr>
        <w:t>Reboiler duty represents thermal energy required for solvent regeneration. Values are averages from simulation runs; MDEA exhibits the lowest energy requirement.</w:t>
      </w:r>
    </w:p>
    <w:p w14:paraId="5AADE80B" w14:textId="77777777" w:rsidR="00EB421B" w:rsidRPr="00AA64A0" w:rsidRDefault="00EB421B"/>
    <w:p w14:paraId="5CABCB95" w14:textId="59D5173C" w:rsidR="00EB421B" w:rsidRPr="00AA64A0" w:rsidRDefault="004C6C37">
      <w:pPr>
        <w:pStyle w:val="Heading3"/>
        <w:spacing w:before="0"/>
        <w:rPr>
          <w:rFonts w:ascii="Times New Roman" w:hAnsi="Times New Roman" w:cs="Times New Roman"/>
          <w:color w:val="0D0D0D"/>
        </w:rPr>
      </w:pPr>
      <w:r w:rsidRPr="00AA64A0">
        <w:rPr>
          <w:rStyle w:val="Strong"/>
          <w:rFonts w:ascii="Times New Roman" w:hAnsi="Times New Roman" w:cs="Times New Roman"/>
          <w:bCs w:val="0"/>
          <w:color w:val="0D0D0D"/>
        </w:rPr>
        <w:t>Table 4: Absorption Kinetics and Column Performance</w:t>
      </w:r>
    </w:p>
    <w:tbl>
      <w:tblPr>
        <w:tblStyle w:val="LightShading"/>
        <w:tblW w:w="9909" w:type="dxa"/>
        <w:jc w:val="center"/>
        <w:shd w:val="clear" w:color="auto" w:fill="FFFFFF"/>
        <w:tblLook w:val="04A0" w:firstRow="1" w:lastRow="0" w:firstColumn="1" w:lastColumn="0" w:noHBand="0" w:noVBand="1"/>
      </w:tblPr>
      <w:tblGrid>
        <w:gridCol w:w="1087"/>
        <w:gridCol w:w="3769"/>
        <w:gridCol w:w="2824"/>
        <w:gridCol w:w="2229"/>
      </w:tblGrid>
      <w:tr w:rsidR="00EB421B" w:rsidRPr="00AA64A0" w14:paraId="1C922F72" w14:textId="77777777" w:rsidTr="00EB421B">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5ADE7F3"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0" w:type="auto"/>
            <w:shd w:val="clear" w:color="auto" w:fill="FFFFFF"/>
            <w:hideMark/>
          </w:tcPr>
          <w:p w14:paraId="3BA8206E"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Absorption Rate (mol CO₂/min)</w:t>
            </w:r>
          </w:p>
        </w:tc>
        <w:tc>
          <w:tcPr>
            <w:tcW w:w="0" w:type="auto"/>
            <w:shd w:val="clear" w:color="auto" w:fill="FFFFFF"/>
            <w:hideMark/>
          </w:tcPr>
          <w:p w14:paraId="3BF0FCEB"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Column Efficiency (%)</w:t>
            </w:r>
          </w:p>
        </w:tc>
        <w:tc>
          <w:tcPr>
            <w:tcW w:w="0" w:type="auto"/>
            <w:shd w:val="clear" w:color="auto" w:fill="FFFFFF"/>
            <w:hideMark/>
          </w:tcPr>
          <w:p w14:paraId="27239EDC"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Number of Stages</w:t>
            </w:r>
          </w:p>
        </w:tc>
      </w:tr>
      <w:tr w:rsidR="00EB421B" w:rsidRPr="00AA64A0" w14:paraId="36DFC5EB" w14:textId="77777777" w:rsidTr="00EB421B">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F32F3DE"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50C2621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1.85 ± 0.03</w:t>
            </w:r>
          </w:p>
        </w:tc>
        <w:tc>
          <w:tcPr>
            <w:tcW w:w="0" w:type="auto"/>
            <w:shd w:val="clear" w:color="auto" w:fill="FFFFFF"/>
            <w:hideMark/>
          </w:tcPr>
          <w:p w14:paraId="4C3AE3E7"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98 ± 1</w:t>
            </w:r>
          </w:p>
        </w:tc>
        <w:tc>
          <w:tcPr>
            <w:tcW w:w="0" w:type="auto"/>
            <w:shd w:val="clear" w:color="auto" w:fill="FFFFFF"/>
            <w:hideMark/>
          </w:tcPr>
          <w:p w14:paraId="0A45E7F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12</w:t>
            </w:r>
          </w:p>
        </w:tc>
      </w:tr>
      <w:tr w:rsidR="00EB421B" w:rsidRPr="00AA64A0" w14:paraId="610EAB22" w14:textId="77777777" w:rsidTr="00EB421B">
        <w:trPr>
          <w:trHeight w:val="3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1B89925"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0" w:type="auto"/>
            <w:shd w:val="clear" w:color="auto" w:fill="FFFFFF"/>
            <w:hideMark/>
          </w:tcPr>
          <w:p w14:paraId="61D7F2F0"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1.40 ± 0.02</w:t>
            </w:r>
          </w:p>
        </w:tc>
        <w:tc>
          <w:tcPr>
            <w:tcW w:w="0" w:type="auto"/>
            <w:shd w:val="clear" w:color="auto" w:fill="FFFFFF"/>
            <w:hideMark/>
          </w:tcPr>
          <w:p w14:paraId="348FBA8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94 ± 1</w:t>
            </w:r>
          </w:p>
        </w:tc>
        <w:tc>
          <w:tcPr>
            <w:tcW w:w="0" w:type="auto"/>
            <w:shd w:val="clear" w:color="auto" w:fill="FFFFFF"/>
            <w:hideMark/>
          </w:tcPr>
          <w:p w14:paraId="08F2AE20"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14</w:t>
            </w:r>
          </w:p>
        </w:tc>
      </w:tr>
      <w:tr w:rsidR="00EB421B" w:rsidRPr="00AA64A0" w14:paraId="1983F3AC" w14:textId="77777777" w:rsidTr="00EB421B">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0AC8295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3BE5ECD5"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1.10 ± 0.02</w:t>
            </w:r>
          </w:p>
        </w:tc>
        <w:tc>
          <w:tcPr>
            <w:tcW w:w="0" w:type="auto"/>
            <w:tcBorders>
              <w:bottom w:val="single" w:sz="8" w:space="0" w:color="000000"/>
            </w:tcBorders>
            <w:shd w:val="clear" w:color="auto" w:fill="FFFFFF"/>
            <w:hideMark/>
          </w:tcPr>
          <w:p w14:paraId="7EBB6A2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90 ± 2</w:t>
            </w:r>
          </w:p>
        </w:tc>
        <w:tc>
          <w:tcPr>
            <w:tcW w:w="0" w:type="auto"/>
            <w:tcBorders>
              <w:bottom w:val="single" w:sz="8" w:space="0" w:color="000000"/>
            </w:tcBorders>
            <w:shd w:val="clear" w:color="auto" w:fill="FFFFFF"/>
            <w:hideMark/>
          </w:tcPr>
          <w:p w14:paraId="76E3BAD8"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16</w:t>
            </w:r>
          </w:p>
        </w:tc>
      </w:tr>
    </w:tbl>
    <w:p w14:paraId="7627C30E" w14:textId="77777777" w:rsidR="00EB421B" w:rsidRPr="00AA64A0" w:rsidRDefault="004C6C37">
      <w:pPr>
        <w:pStyle w:val="NormalWeb"/>
        <w:spacing w:before="0" w:beforeAutospacing="0" w:after="0" w:afterAutospacing="0"/>
        <w:rPr>
          <w:i/>
        </w:rPr>
      </w:pPr>
      <w:r w:rsidRPr="00AA64A0">
        <w:rPr>
          <w:i/>
        </w:rPr>
        <w:t>Absorption rate represents the rate of CO₂ transfer into solvent. Column efficiency reflects mass transfer effectiveness across theoretical stages.</w:t>
      </w:r>
    </w:p>
    <w:p w14:paraId="6E72EB6A" w14:textId="77777777" w:rsidR="00EB421B" w:rsidRPr="00AA64A0" w:rsidRDefault="00EB421B"/>
    <w:p w14:paraId="49BE411C" w14:textId="379B2E1A"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t>Table 5: Solvent Degradation Rate and Corrosion Potential</w:t>
      </w:r>
    </w:p>
    <w:tbl>
      <w:tblPr>
        <w:tblStyle w:val="LightShading"/>
        <w:tblW w:w="0" w:type="auto"/>
        <w:jc w:val="center"/>
        <w:shd w:val="clear" w:color="auto" w:fill="FFFFFF"/>
        <w:tblLook w:val="04A0" w:firstRow="1" w:lastRow="0" w:firstColumn="1" w:lastColumn="0" w:noHBand="0" w:noVBand="1"/>
      </w:tblPr>
      <w:tblGrid>
        <w:gridCol w:w="950"/>
        <w:gridCol w:w="3255"/>
        <w:gridCol w:w="2090"/>
      </w:tblGrid>
      <w:tr w:rsidR="00EB421B" w:rsidRPr="00AA64A0" w14:paraId="511DC389" w14:textId="77777777" w:rsidTr="00EB42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2D4B5E7"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sz w:val="24"/>
                <w:szCs w:val="24"/>
              </w:rPr>
              <w:t>Solvent</w:t>
            </w:r>
          </w:p>
        </w:tc>
        <w:tc>
          <w:tcPr>
            <w:tcW w:w="0" w:type="auto"/>
            <w:shd w:val="clear" w:color="auto" w:fill="FFFFFF"/>
            <w:hideMark/>
          </w:tcPr>
          <w:p w14:paraId="55531384"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Degradation Rate (% per cycle)</w:t>
            </w:r>
          </w:p>
        </w:tc>
        <w:tc>
          <w:tcPr>
            <w:tcW w:w="0" w:type="auto"/>
            <w:shd w:val="clear" w:color="auto" w:fill="FFFFFF"/>
            <w:hideMark/>
          </w:tcPr>
          <w:p w14:paraId="6F209C6C"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Corrosion Potential</w:t>
            </w:r>
          </w:p>
        </w:tc>
      </w:tr>
      <w:tr w:rsidR="00EB421B" w:rsidRPr="00AA64A0" w14:paraId="4097E62B"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DE3329C"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MEA</w:t>
            </w:r>
          </w:p>
        </w:tc>
        <w:tc>
          <w:tcPr>
            <w:tcW w:w="0" w:type="auto"/>
            <w:shd w:val="clear" w:color="auto" w:fill="FFFFFF"/>
            <w:hideMark/>
          </w:tcPr>
          <w:p w14:paraId="101994B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3.8 ± 0.2</w:t>
            </w:r>
          </w:p>
        </w:tc>
        <w:tc>
          <w:tcPr>
            <w:tcW w:w="0" w:type="auto"/>
            <w:shd w:val="clear" w:color="auto" w:fill="FFFFFF"/>
            <w:hideMark/>
          </w:tcPr>
          <w:p w14:paraId="406A144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High</w:t>
            </w:r>
          </w:p>
        </w:tc>
      </w:tr>
      <w:tr w:rsidR="00EB421B" w:rsidRPr="00AA64A0" w14:paraId="31F2722B" w14:textId="77777777" w:rsidTr="00EB421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1E65D05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DEA</w:t>
            </w:r>
          </w:p>
        </w:tc>
        <w:tc>
          <w:tcPr>
            <w:tcW w:w="0" w:type="auto"/>
            <w:shd w:val="clear" w:color="auto" w:fill="FFFFFF"/>
            <w:hideMark/>
          </w:tcPr>
          <w:p w14:paraId="42F5A55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2.4 ± 0.1</w:t>
            </w:r>
          </w:p>
        </w:tc>
        <w:tc>
          <w:tcPr>
            <w:tcW w:w="0" w:type="auto"/>
            <w:shd w:val="clear" w:color="auto" w:fill="FFFFFF"/>
            <w:hideMark/>
          </w:tcPr>
          <w:p w14:paraId="64D3F1DC"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Moderate</w:t>
            </w:r>
          </w:p>
        </w:tc>
      </w:tr>
      <w:tr w:rsidR="00EB421B" w:rsidRPr="00AA64A0" w14:paraId="21EE0578" w14:textId="77777777" w:rsidTr="00EB42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3D12AF04"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MDEA</w:t>
            </w:r>
          </w:p>
        </w:tc>
        <w:tc>
          <w:tcPr>
            <w:tcW w:w="0" w:type="auto"/>
            <w:tcBorders>
              <w:bottom w:val="single" w:sz="8" w:space="0" w:color="000000"/>
            </w:tcBorders>
            <w:shd w:val="clear" w:color="auto" w:fill="FFFFFF"/>
            <w:hideMark/>
          </w:tcPr>
          <w:p w14:paraId="10D10CAA"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1.2 ± 0.1</w:t>
            </w:r>
          </w:p>
        </w:tc>
        <w:tc>
          <w:tcPr>
            <w:tcW w:w="0" w:type="auto"/>
            <w:tcBorders>
              <w:bottom w:val="single" w:sz="8" w:space="0" w:color="000000"/>
            </w:tcBorders>
            <w:shd w:val="clear" w:color="auto" w:fill="FFFFFF"/>
            <w:hideMark/>
          </w:tcPr>
          <w:p w14:paraId="3EDF91E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Low</w:t>
            </w:r>
          </w:p>
        </w:tc>
      </w:tr>
    </w:tbl>
    <w:p w14:paraId="4354944D" w14:textId="77777777" w:rsidR="00EB421B" w:rsidRPr="00AA64A0" w:rsidRDefault="004C6C37">
      <w:pPr>
        <w:pStyle w:val="NormalWeb"/>
        <w:spacing w:before="0" w:beforeAutospacing="0" w:after="0" w:afterAutospacing="0"/>
        <w:jc w:val="both"/>
        <w:rPr>
          <w:i/>
        </w:rPr>
      </w:pPr>
      <w:r w:rsidRPr="00AA64A0">
        <w:rPr>
          <w:i/>
        </w:rPr>
        <w:t>Degradation rate is estimated based on thermal and oxidative stability under stripper conditions. Corrosion potential is expressed qualitatively based on degradation by-products.</w:t>
      </w:r>
    </w:p>
    <w:p w14:paraId="1ECA214C" w14:textId="77777777" w:rsidR="00EB421B" w:rsidRPr="00AA64A0" w:rsidRDefault="00EB421B"/>
    <w:p w14:paraId="4B6C137C" w14:textId="74D92B48" w:rsidR="00EB421B" w:rsidRPr="00AA64A0" w:rsidRDefault="004C6C37">
      <w:pPr>
        <w:pStyle w:val="Heading3"/>
        <w:rPr>
          <w:rFonts w:ascii="Times New Roman" w:hAnsi="Times New Roman" w:cs="Times New Roman"/>
        </w:rPr>
      </w:pPr>
      <w:r w:rsidRPr="00AA64A0">
        <w:rPr>
          <w:rStyle w:val="Strong"/>
          <w:rFonts w:ascii="Times New Roman" w:hAnsi="Times New Roman" w:cs="Times New Roman"/>
          <w:bCs w:val="0"/>
        </w:rPr>
        <w:t>Table 6: Techno-Economic Evaluation of CO₂ Capture</w:t>
      </w:r>
    </w:p>
    <w:tbl>
      <w:tblPr>
        <w:tblStyle w:val="LightShading"/>
        <w:tblW w:w="8605" w:type="dxa"/>
        <w:jc w:val="center"/>
        <w:shd w:val="clear" w:color="auto" w:fill="FFFFFF"/>
        <w:tblLook w:val="04A0" w:firstRow="1" w:lastRow="0" w:firstColumn="1" w:lastColumn="0" w:noHBand="0" w:noVBand="1"/>
      </w:tblPr>
      <w:tblGrid>
        <w:gridCol w:w="965"/>
        <w:gridCol w:w="2595"/>
        <w:gridCol w:w="2635"/>
        <w:gridCol w:w="2410"/>
      </w:tblGrid>
      <w:tr w:rsidR="00EB421B" w:rsidRPr="00AA64A0" w14:paraId="08EC9E20" w14:textId="77777777" w:rsidTr="00EB421B">
        <w:trPr>
          <w:cnfStyle w:val="100000000000" w:firstRow="1" w:lastRow="0" w:firstColumn="0" w:lastColumn="0" w:oddVBand="0" w:evenVBand="0" w:oddHBand="0"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C3462B4" w14:textId="77777777" w:rsidR="00EB421B" w:rsidRPr="00AA64A0" w:rsidRDefault="004C6C37">
            <w:pPr>
              <w:jc w:val="center"/>
              <w:rPr>
                <w:rFonts w:ascii="Times New Roman" w:hAnsi="Times New Roman" w:cs="Times New Roman"/>
                <w:sz w:val="24"/>
                <w:szCs w:val="24"/>
              </w:rPr>
            </w:pPr>
            <w:r w:rsidRPr="00AA64A0">
              <w:rPr>
                <w:rFonts w:ascii="Times New Roman" w:hAnsi="Times New Roman" w:cs="Times New Roman"/>
                <w:b w:val="0"/>
                <w:bCs w:val="0"/>
              </w:rPr>
              <w:t>Solvent</w:t>
            </w:r>
          </w:p>
        </w:tc>
        <w:tc>
          <w:tcPr>
            <w:tcW w:w="0" w:type="auto"/>
            <w:shd w:val="clear" w:color="auto" w:fill="FFFFFF"/>
            <w:hideMark/>
          </w:tcPr>
          <w:p w14:paraId="50BB4105"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rPr>
              <w:t>Energy Cost ($/ton CO₂)</w:t>
            </w:r>
          </w:p>
        </w:tc>
        <w:tc>
          <w:tcPr>
            <w:tcW w:w="0" w:type="auto"/>
            <w:shd w:val="clear" w:color="auto" w:fill="FFFFFF"/>
            <w:hideMark/>
          </w:tcPr>
          <w:p w14:paraId="3ABA4E69"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rPr>
              <w:t>Solvent Cost ($/ton CO₂)</w:t>
            </w:r>
          </w:p>
        </w:tc>
        <w:tc>
          <w:tcPr>
            <w:tcW w:w="0" w:type="auto"/>
            <w:shd w:val="clear" w:color="auto" w:fill="FFFFFF"/>
            <w:hideMark/>
          </w:tcPr>
          <w:p w14:paraId="185ED3B6" w14:textId="77777777" w:rsidR="00EB421B" w:rsidRPr="00AA64A0" w:rsidRDefault="004C6C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rPr>
              <w:t>Total Cost ($/ton CO₂)</w:t>
            </w:r>
          </w:p>
        </w:tc>
      </w:tr>
      <w:tr w:rsidR="00EB421B" w:rsidRPr="00AA64A0" w14:paraId="507DA1F6" w14:textId="77777777" w:rsidTr="00EB421B">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87ADD28"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rPr>
              <w:t>MEA</w:t>
            </w:r>
          </w:p>
        </w:tc>
        <w:tc>
          <w:tcPr>
            <w:tcW w:w="0" w:type="auto"/>
            <w:shd w:val="clear" w:color="auto" w:fill="FFFFFF"/>
            <w:hideMark/>
          </w:tcPr>
          <w:p w14:paraId="1C8335D4"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38 ± 2</w:t>
            </w:r>
          </w:p>
        </w:tc>
        <w:tc>
          <w:tcPr>
            <w:tcW w:w="0" w:type="auto"/>
            <w:shd w:val="clear" w:color="auto" w:fill="FFFFFF"/>
            <w:hideMark/>
          </w:tcPr>
          <w:p w14:paraId="70B4C7E0"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12 ± 1</w:t>
            </w:r>
          </w:p>
        </w:tc>
        <w:tc>
          <w:tcPr>
            <w:tcW w:w="0" w:type="auto"/>
            <w:shd w:val="clear" w:color="auto" w:fill="FFFFFF"/>
            <w:hideMark/>
          </w:tcPr>
          <w:p w14:paraId="6264CF9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50 ± 3</w:t>
            </w:r>
          </w:p>
        </w:tc>
      </w:tr>
      <w:tr w:rsidR="00EB421B" w:rsidRPr="00AA64A0" w14:paraId="15D8C78E" w14:textId="77777777" w:rsidTr="00EB421B">
        <w:trPr>
          <w:trHeight w:val="2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EBB31BB"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rPr>
              <w:t>DEA</w:t>
            </w:r>
          </w:p>
        </w:tc>
        <w:tc>
          <w:tcPr>
            <w:tcW w:w="0" w:type="auto"/>
            <w:shd w:val="clear" w:color="auto" w:fill="FFFFFF"/>
            <w:hideMark/>
          </w:tcPr>
          <w:p w14:paraId="6E6FCB3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30 ± 2</w:t>
            </w:r>
          </w:p>
        </w:tc>
        <w:tc>
          <w:tcPr>
            <w:tcW w:w="0" w:type="auto"/>
            <w:shd w:val="clear" w:color="auto" w:fill="FFFFFF"/>
            <w:hideMark/>
          </w:tcPr>
          <w:p w14:paraId="51D3052B"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10 ± 1</w:t>
            </w:r>
          </w:p>
        </w:tc>
        <w:tc>
          <w:tcPr>
            <w:tcW w:w="0" w:type="auto"/>
            <w:shd w:val="clear" w:color="auto" w:fill="FFFFFF"/>
            <w:hideMark/>
          </w:tcPr>
          <w:p w14:paraId="277A31E4"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40 ± 2</w:t>
            </w:r>
          </w:p>
        </w:tc>
      </w:tr>
      <w:tr w:rsidR="00EB421B" w:rsidRPr="00AA64A0" w14:paraId="105C5BF2" w14:textId="77777777" w:rsidTr="00EB421B">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386C5041"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rPr>
              <w:t>MDEA</w:t>
            </w:r>
          </w:p>
        </w:tc>
        <w:tc>
          <w:tcPr>
            <w:tcW w:w="0" w:type="auto"/>
            <w:tcBorders>
              <w:bottom w:val="single" w:sz="8" w:space="0" w:color="000000"/>
            </w:tcBorders>
            <w:shd w:val="clear" w:color="auto" w:fill="FFFFFF"/>
            <w:hideMark/>
          </w:tcPr>
          <w:p w14:paraId="2E4F93E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22 ± 1</w:t>
            </w:r>
          </w:p>
        </w:tc>
        <w:tc>
          <w:tcPr>
            <w:tcW w:w="0" w:type="auto"/>
            <w:tcBorders>
              <w:bottom w:val="single" w:sz="8" w:space="0" w:color="000000"/>
            </w:tcBorders>
            <w:shd w:val="clear" w:color="auto" w:fill="FFFFFF"/>
            <w:hideMark/>
          </w:tcPr>
          <w:p w14:paraId="3DE9A09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8 ± 1</w:t>
            </w:r>
          </w:p>
        </w:tc>
        <w:tc>
          <w:tcPr>
            <w:tcW w:w="0" w:type="auto"/>
            <w:tcBorders>
              <w:bottom w:val="single" w:sz="8" w:space="0" w:color="000000"/>
            </w:tcBorders>
            <w:shd w:val="clear" w:color="auto" w:fill="FFFFFF"/>
            <w:hideMark/>
          </w:tcPr>
          <w:p w14:paraId="46C1B57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rPr>
              <w:t>30 ± 2</w:t>
            </w:r>
          </w:p>
        </w:tc>
      </w:tr>
    </w:tbl>
    <w:p w14:paraId="42401D18" w14:textId="77777777" w:rsidR="00EB421B" w:rsidRPr="00AA64A0" w:rsidRDefault="004C6C37">
      <w:pPr>
        <w:pStyle w:val="NormalWeb"/>
        <w:spacing w:before="0" w:beforeAutospacing="0" w:after="0" w:afterAutospacing="0"/>
        <w:rPr>
          <w:i/>
        </w:rPr>
      </w:pPr>
      <w:r w:rsidRPr="00AA64A0">
        <w:rPr>
          <w:i/>
        </w:rPr>
        <w:lastRenderedPageBreak/>
        <w:t>Total cost represents combined energy and solvent costs. Economic analysis is based on simulated energy consumption and standard industrial cost estimates.</w:t>
      </w:r>
    </w:p>
    <w:p w14:paraId="30A8F4D1" w14:textId="77777777" w:rsidR="00EB421B" w:rsidRPr="00AA64A0" w:rsidRDefault="00EB421B"/>
    <w:p w14:paraId="5CC4BA42" w14:textId="1EE66F3F"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 w:val="0"/>
          <w:bCs w:val="0"/>
          <w:color w:val="0D0D0D"/>
        </w:rPr>
        <w:t>Table 7: Effect of CO₂ Feed Concentration on Removal Efficiency</w:t>
      </w:r>
    </w:p>
    <w:tbl>
      <w:tblPr>
        <w:tblStyle w:val="LightShading"/>
        <w:tblW w:w="9457" w:type="dxa"/>
        <w:jc w:val="center"/>
        <w:shd w:val="clear" w:color="auto" w:fill="FFFFFF"/>
        <w:tblLook w:val="04A0" w:firstRow="1" w:lastRow="0" w:firstColumn="1" w:lastColumn="0" w:noHBand="0" w:noVBand="1"/>
      </w:tblPr>
      <w:tblGrid>
        <w:gridCol w:w="1768"/>
        <w:gridCol w:w="2513"/>
        <w:gridCol w:w="2468"/>
        <w:gridCol w:w="2708"/>
      </w:tblGrid>
      <w:tr w:rsidR="00EB421B" w:rsidRPr="00AA64A0" w14:paraId="1C29B39C" w14:textId="77777777" w:rsidTr="00EB421B">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22A68F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 w:val="0"/>
                <w:bCs w:val="0"/>
                <w:sz w:val="24"/>
                <w:szCs w:val="24"/>
              </w:rPr>
              <w:t>CO₂ Feed (%)</w:t>
            </w:r>
          </w:p>
        </w:tc>
        <w:tc>
          <w:tcPr>
            <w:tcW w:w="0" w:type="auto"/>
            <w:shd w:val="clear" w:color="auto" w:fill="FFFFFF"/>
            <w:hideMark/>
          </w:tcPr>
          <w:p w14:paraId="300AAB25"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MEA Efficiency (%)</w:t>
            </w:r>
          </w:p>
        </w:tc>
        <w:tc>
          <w:tcPr>
            <w:tcW w:w="0" w:type="auto"/>
            <w:shd w:val="clear" w:color="auto" w:fill="FFFFFF"/>
            <w:hideMark/>
          </w:tcPr>
          <w:p w14:paraId="2454803D"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DEA Efficiency (%)</w:t>
            </w:r>
          </w:p>
        </w:tc>
        <w:tc>
          <w:tcPr>
            <w:tcW w:w="0" w:type="auto"/>
            <w:shd w:val="clear" w:color="auto" w:fill="FFFFFF"/>
            <w:hideMark/>
          </w:tcPr>
          <w:p w14:paraId="58C86DD0"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MDEA Efficiency (%)</w:t>
            </w:r>
          </w:p>
        </w:tc>
      </w:tr>
      <w:tr w:rsidR="00EB421B" w:rsidRPr="00AA64A0" w14:paraId="5A453508" w14:textId="77777777" w:rsidTr="00EB421B">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6DC227F"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4</w:t>
            </w:r>
          </w:p>
        </w:tc>
        <w:tc>
          <w:tcPr>
            <w:tcW w:w="0" w:type="auto"/>
            <w:shd w:val="clear" w:color="auto" w:fill="FFFFFF"/>
            <w:hideMark/>
          </w:tcPr>
          <w:p w14:paraId="462405CD"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98 ± 0.3</w:t>
            </w:r>
          </w:p>
        </w:tc>
        <w:tc>
          <w:tcPr>
            <w:tcW w:w="0" w:type="auto"/>
            <w:shd w:val="clear" w:color="auto" w:fill="FFFFFF"/>
            <w:hideMark/>
          </w:tcPr>
          <w:p w14:paraId="6EFF74FE"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95 ± 0.4</w:t>
            </w:r>
          </w:p>
        </w:tc>
        <w:tc>
          <w:tcPr>
            <w:tcW w:w="0" w:type="auto"/>
            <w:shd w:val="clear" w:color="auto" w:fill="FFFFFF"/>
            <w:hideMark/>
          </w:tcPr>
          <w:p w14:paraId="5938273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90 ± 0.5</w:t>
            </w:r>
          </w:p>
        </w:tc>
      </w:tr>
      <w:tr w:rsidR="00EB421B" w:rsidRPr="00AA64A0" w14:paraId="7FC8F2A1" w14:textId="77777777" w:rsidTr="00EB421B">
        <w:trPr>
          <w:trHeight w:val="3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2C105BC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8</w:t>
            </w:r>
          </w:p>
        </w:tc>
        <w:tc>
          <w:tcPr>
            <w:tcW w:w="0" w:type="auto"/>
            <w:shd w:val="clear" w:color="auto" w:fill="FFFFFF"/>
            <w:hideMark/>
          </w:tcPr>
          <w:p w14:paraId="0A9CF1E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96 ± 0.5</w:t>
            </w:r>
          </w:p>
        </w:tc>
        <w:tc>
          <w:tcPr>
            <w:tcW w:w="0" w:type="auto"/>
            <w:shd w:val="clear" w:color="auto" w:fill="FFFFFF"/>
            <w:hideMark/>
          </w:tcPr>
          <w:p w14:paraId="41F7F465"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92 ± 0.6</w:t>
            </w:r>
          </w:p>
        </w:tc>
        <w:tc>
          <w:tcPr>
            <w:tcW w:w="0" w:type="auto"/>
            <w:shd w:val="clear" w:color="auto" w:fill="FFFFFF"/>
            <w:hideMark/>
          </w:tcPr>
          <w:p w14:paraId="60678E3F"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86 ± 0.7</w:t>
            </w:r>
          </w:p>
        </w:tc>
      </w:tr>
      <w:tr w:rsidR="00EB421B" w:rsidRPr="00AA64A0" w14:paraId="428D600B" w14:textId="77777777" w:rsidTr="00EB421B">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5B111255"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12</w:t>
            </w:r>
          </w:p>
        </w:tc>
        <w:tc>
          <w:tcPr>
            <w:tcW w:w="0" w:type="auto"/>
            <w:tcBorders>
              <w:bottom w:val="single" w:sz="8" w:space="0" w:color="000000"/>
            </w:tcBorders>
            <w:shd w:val="clear" w:color="auto" w:fill="FFFFFF"/>
            <w:hideMark/>
          </w:tcPr>
          <w:p w14:paraId="38F92CD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93 ± 0.6</w:t>
            </w:r>
          </w:p>
        </w:tc>
        <w:tc>
          <w:tcPr>
            <w:tcW w:w="0" w:type="auto"/>
            <w:tcBorders>
              <w:bottom w:val="single" w:sz="8" w:space="0" w:color="000000"/>
            </w:tcBorders>
            <w:shd w:val="clear" w:color="auto" w:fill="FFFFFF"/>
            <w:hideMark/>
          </w:tcPr>
          <w:p w14:paraId="4A3AAF9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88 ± 0.7</w:t>
            </w:r>
          </w:p>
        </w:tc>
        <w:tc>
          <w:tcPr>
            <w:tcW w:w="0" w:type="auto"/>
            <w:tcBorders>
              <w:bottom w:val="single" w:sz="8" w:space="0" w:color="000000"/>
            </w:tcBorders>
            <w:shd w:val="clear" w:color="auto" w:fill="FFFFFF"/>
            <w:hideMark/>
          </w:tcPr>
          <w:p w14:paraId="486E17A1"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82 ± 0.8</w:t>
            </w:r>
          </w:p>
        </w:tc>
      </w:tr>
    </w:tbl>
    <w:p w14:paraId="44AA56B2" w14:textId="77777777" w:rsidR="00EB421B" w:rsidRPr="00AA64A0" w:rsidRDefault="004C6C37">
      <w:pPr>
        <w:pStyle w:val="NormalWeb"/>
        <w:spacing w:before="0" w:beforeAutospacing="0" w:after="0" w:afterAutospacing="0"/>
        <w:jc w:val="both"/>
        <w:rPr>
          <w:i/>
        </w:rPr>
      </w:pPr>
      <w:r w:rsidRPr="00AA64A0">
        <w:rPr>
          <w:i/>
        </w:rPr>
        <w:t>Efficiency decreases with increasing CO₂ concentration due to solvent saturation effects. MEA demonstrates the highest resilience across varying feed compositions.</w:t>
      </w:r>
    </w:p>
    <w:p w14:paraId="55CCB631" w14:textId="77777777" w:rsidR="00EB421B" w:rsidRPr="00AA64A0" w:rsidRDefault="00EB421B"/>
    <w:p w14:paraId="2976533D" w14:textId="70ED8A7A" w:rsidR="00EB421B" w:rsidRPr="00AA64A0" w:rsidRDefault="004C6C37">
      <w:pPr>
        <w:pStyle w:val="Heading3"/>
        <w:rPr>
          <w:rFonts w:ascii="Times New Roman" w:hAnsi="Times New Roman" w:cs="Times New Roman"/>
          <w:color w:val="0D0D0D"/>
        </w:rPr>
      </w:pPr>
      <w:r w:rsidRPr="00AA64A0">
        <w:rPr>
          <w:rStyle w:val="Strong"/>
          <w:rFonts w:ascii="Times New Roman" w:hAnsi="Times New Roman" w:cs="Times New Roman"/>
          <w:bCs w:val="0"/>
          <w:color w:val="0D0D0D"/>
        </w:rPr>
        <w:t>Table 8: Statistical Comparison of Solvent Performance (ANOVA Results)</w:t>
      </w:r>
    </w:p>
    <w:tbl>
      <w:tblPr>
        <w:tblStyle w:val="LightShading"/>
        <w:tblW w:w="8561" w:type="dxa"/>
        <w:jc w:val="center"/>
        <w:shd w:val="clear" w:color="auto" w:fill="FFFFFF"/>
        <w:tblLook w:val="04A0" w:firstRow="1" w:lastRow="0" w:firstColumn="1" w:lastColumn="0" w:noHBand="0" w:noVBand="1"/>
      </w:tblPr>
      <w:tblGrid>
        <w:gridCol w:w="3852"/>
        <w:gridCol w:w="1355"/>
        <w:gridCol w:w="1335"/>
        <w:gridCol w:w="2019"/>
      </w:tblGrid>
      <w:tr w:rsidR="00EB421B" w:rsidRPr="00AA64A0" w14:paraId="7B04AB57" w14:textId="77777777" w:rsidTr="00EB421B">
        <w:trPr>
          <w:cnfStyle w:val="100000000000" w:firstRow="1" w:lastRow="0" w:firstColumn="0" w:lastColumn="0" w:oddVBand="0" w:evenVBand="0" w:oddHBand="0"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3B64120B"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b w:val="0"/>
                <w:bCs w:val="0"/>
                <w:sz w:val="24"/>
                <w:szCs w:val="24"/>
              </w:rPr>
              <w:t>Parameter</w:t>
            </w:r>
          </w:p>
        </w:tc>
        <w:tc>
          <w:tcPr>
            <w:tcW w:w="0" w:type="auto"/>
            <w:shd w:val="clear" w:color="auto" w:fill="FFFFFF"/>
            <w:hideMark/>
          </w:tcPr>
          <w:p w14:paraId="09150365"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F-value</w:t>
            </w:r>
          </w:p>
        </w:tc>
        <w:tc>
          <w:tcPr>
            <w:tcW w:w="0" w:type="auto"/>
            <w:shd w:val="clear" w:color="auto" w:fill="FFFFFF"/>
            <w:hideMark/>
          </w:tcPr>
          <w:p w14:paraId="062FF38A"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p-value</w:t>
            </w:r>
          </w:p>
        </w:tc>
        <w:tc>
          <w:tcPr>
            <w:tcW w:w="0" w:type="auto"/>
            <w:shd w:val="clear" w:color="auto" w:fill="FFFFFF"/>
            <w:hideMark/>
          </w:tcPr>
          <w:p w14:paraId="789EB14C" w14:textId="77777777" w:rsidR="00EB421B" w:rsidRPr="00AA64A0" w:rsidRDefault="004C6C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b w:val="0"/>
                <w:bCs w:val="0"/>
                <w:sz w:val="24"/>
                <w:szCs w:val="24"/>
              </w:rPr>
              <w:t>Significance</w:t>
            </w:r>
          </w:p>
        </w:tc>
      </w:tr>
      <w:tr w:rsidR="00EB421B" w:rsidRPr="00AA64A0" w14:paraId="099A9A1A" w14:textId="77777777" w:rsidTr="00EB421B">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D2E16D2"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CO₂ Removal Efficiency</w:t>
            </w:r>
          </w:p>
        </w:tc>
        <w:tc>
          <w:tcPr>
            <w:tcW w:w="0" w:type="auto"/>
            <w:shd w:val="clear" w:color="auto" w:fill="FFFFFF"/>
            <w:hideMark/>
          </w:tcPr>
          <w:p w14:paraId="6C2E7DF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18.45</w:t>
            </w:r>
          </w:p>
        </w:tc>
        <w:tc>
          <w:tcPr>
            <w:tcW w:w="0" w:type="auto"/>
            <w:shd w:val="clear" w:color="auto" w:fill="FFFFFF"/>
            <w:hideMark/>
          </w:tcPr>
          <w:p w14:paraId="4EA40496"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0.002</w:t>
            </w:r>
          </w:p>
        </w:tc>
        <w:tc>
          <w:tcPr>
            <w:tcW w:w="0" w:type="auto"/>
            <w:shd w:val="clear" w:color="auto" w:fill="FFFFFF"/>
            <w:hideMark/>
          </w:tcPr>
          <w:p w14:paraId="0550D8D2"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r w:rsidR="00EB421B" w:rsidRPr="00AA64A0" w14:paraId="697CAA65" w14:textId="77777777" w:rsidTr="00EB421B">
        <w:trPr>
          <w:trHeight w:val="30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0B169890"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Regeneration Energy</w:t>
            </w:r>
          </w:p>
        </w:tc>
        <w:tc>
          <w:tcPr>
            <w:tcW w:w="0" w:type="auto"/>
            <w:shd w:val="clear" w:color="auto" w:fill="FFFFFF"/>
            <w:hideMark/>
          </w:tcPr>
          <w:p w14:paraId="7CE779DE"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22.31</w:t>
            </w:r>
          </w:p>
        </w:tc>
        <w:tc>
          <w:tcPr>
            <w:tcW w:w="0" w:type="auto"/>
            <w:shd w:val="clear" w:color="auto" w:fill="FFFFFF"/>
            <w:hideMark/>
          </w:tcPr>
          <w:p w14:paraId="573B2445"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0.001</w:t>
            </w:r>
          </w:p>
        </w:tc>
        <w:tc>
          <w:tcPr>
            <w:tcW w:w="0" w:type="auto"/>
            <w:shd w:val="clear" w:color="auto" w:fill="FFFFFF"/>
            <w:hideMark/>
          </w:tcPr>
          <w:p w14:paraId="12EB573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r w:rsidR="00EB421B" w:rsidRPr="00AA64A0" w14:paraId="29186897" w14:textId="77777777" w:rsidTr="00EB421B">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6EA1DC59"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Cyclic Capacity</w:t>
            </w:r>
          </w:p>
        </w:tc>
        <w:tc>
          <w:tcPr>
            <w:tcW w:w="0" w:type="auto"/>
            <w:shd w:val="clear" w:color="auto" w:fill="FFFFFF"/>
            <w:hideMark/>
          </w:tcPr>
          <w:p w14:paraId="528F459B"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6.12</w:t>
            </w:r>
          </w:p>
        </w:tc>
        <w:tc>
          <w:tcPr>
            <w:tcW w:w="0" w:type="auto"/>
            <w:shd w:val="clear" w:color="auto" w:fill="FFFFFF"/>
            <w:hideMark/>
          </w:tcPr>
          <w:p w14:paraId="5D6E2E23"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0.035</w:t>
            </w:r>
          </w:p>
        </w:tc>
        <w:tc>
          <w:tcPr>
            <w:tcW w:w="0" w:type="auto"/>
            <w:shd w:val="clear" w:color="auto" w:fill="FFFFFF"/>
            <w:hideMark/>
          </w:tcPr>
          <w:p w14:paraId="66ECE4F5" w14:textId="77777777" w:rsidR="00EB421B" w:rsidRPr="00AA64A0" w:rsidRDefault="004C6C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r w:rsidR="00EB421B" w:rsidRPr="00AA64A0" w14:paraId="59C9024B" w14:textId="77777777" w:rsidTr="00EB421B">
        <w:trPr>
          <w:trHeight w:val="30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cBorders>
            <w:shd w:val="clear" w:color="auto" w:fill="FFFFFF"/>
            <w:hideMark/>
          </w:tcPr>
          <w:p w14:paraId="28713DAD" w14:textId="77777777" w:rsidR="00EB421B" w:rsidRPr="00AA64A0" w:rsidRDefault="004C6C37">
            <w:pPr>
              <w:rPr>
                <w:rFonts w:ascii="Times New Roman" w:hAnsi="Times New Roman" w:cs="Times New Roman"/>
                <w:sz w:val="24"/>
                <w:szCs w:val="24"/>
              </w:rPr>
            </w:pPr>
            <w:r w:rsidRPr="00AA64A0">
              <w:rPr>
                <w:rFonts w:ascii="Times New Roman" w:hAnsi="Times New Roman" w:cs="Times New Roman"/>
                <w:sz w:val="24"/>
                <w:szCs w:val="24"/>
              </w:rPr>
              <w:t>Total Cost</w:t>
            </w:r>
          </w:p>
        </w:tc>
        <w:tc>
          <w:tcPr>
            <w:tcW w:w="0" w:type="auto"/>
            <w:tcBorders>
              <w:bottom w:val="single" w:sz="8" w:space="0" w:color="000000"/>
            </w:tcBorders>
            <w:shd w:val="clear" w:color="auto" w:fill="FFFFFF"/>
            <w:hideMark/>
          </w:tcPr>
          <w:p w14:paraId="1B57E101"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25.78</w:t>
            </w:r>
          </w:p>
        </w:tc>
        <w:tc>
          <w:tcPr>
            <w:tcW w:w="0" w:type="auto"/>
            <w:tcBorders>
              <w:bottom w:val="single" w:sz="8" w:space="0" w:color="000000"/>
            </w:tcBorders>
            <w:shd w:val="clear" w:color="auto" w:fill="FFFFFF"/>
            <w:hideMark/>
          </w:tcPr>
          <w:p w14:paraId="155F9DF6"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0.000</w:t>
            </w:r>
          </w:p>
        </w:tc>
        <w:tc>
          <w:tcPr>
            <w:tcW w:w="0" w:type="auto"/>
            <w:tcBorders>
              <w:bottom w:val="single" w:sz="8" w:space="0" w:color="000000"/>
            </w:tcBorders>
            <w:shd w:val="clear" w:color="auto" w:fill="FFFFFF"/>
            <w:hideMark/>
          </w:tcPr>
          <w:p w14:paraId="103B9B7F" w14:textId="77777777" w:rsidR="00EB421B" w:rsidRPr="00AA64A0" w:rsidRDefault="004C6C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64A0">
              <w:rPr>
                <w:rFonts w:ascii="Times New Roman" w:hAnsi="Times New Roman" w:cs="Times New Roman"/>
                <w:sz w:val="24"/>
                <w:szCs w:val="24"/>
              </w:rPr>
              <w:t>Significant</w:t>
            </w:r>
          </w:p>
        </w:tc>
      </w:tr>
    </w:tbl>
    <w:p w14:paraId="0F69E911" w14:textId="77777777" w:rsidR="00EB421B" w:rsidRPr="00AA64A0" w:rsidRDefault="004C6C37">
      <w:pPr>
        <w:pStyle w:val="NormalWeb"/>
        <w:spacing w:before="0" w:beforeAutospacing="0" w:after="0" w:afterAutospacing="0"/>
        <w:rPr>
          <w:i/>
        </w:rPr>
      </w:pPr>
      <w:r w:rsidRPr="00AA64A0">
        <w:rPr>
          <w:i/>
        </w:rPr>
        <w:t xml:space="preserve">One-way ANOVA was performed to assess differences among solvents. Results are considered statistically significant at </w:t>
      </w:r>
      <w:r w:rsidRPr="00AA64A0">
        <w:rPr>
          <w:rStyle w:val="Emphasis"/>
          <w:i w:val="0"/>
        </w:rPr>
        <w:t>p</w:t>
      </w:r>
      <w:r w:rsidRPr="00AA64A0">
        <w:rPr>
          <w:i/>
        </w:rPr>
        <w:t xml:space="preserve"> &lt; 0.05.</w:t>
      </w:r>
    </w:p>
    <w:p w14:paraId="6D1EE147" w14:textId="77777777" w:rsidR="00EB421B" w:rsidRPr="00AA64A0" w:rsidRDefault="00EB421B">
      <w:pPr>
        <w:pStyle w:val="NormalWeb"/>
        <w:spacing w:before="0" w:beforeAutospacing="0" w:after="0" w:afterAutospacing="0"/>
        <w:jc w:val="both"/>
        <w:rPr>
          <w:b/>
          <w:color w:val="262626"/>
        </w:rPr>
      </w:pPr>
    </w:p>
    <w:p w14:paraId="54B55229" w14:textId="15FE0BDB" w:rsidR="00EB421B" w:rsidRPr="00AA64A0" w:rsidRDefault="004C6C37" w:rsidP="00484E69">
      <w:pPr>
        <w:pStyle w:val="NormalWeb"/>
        <w:numPr>
          <w:ilvl w:val="0"/>
          <w:numId w:val="24"/>
        </w:numPr>
        <w:spacing w:before="0" w:beforeAutospacing="0" w:after="0" w:afterAutospacing="0" w:line="360" w:lineRule="auto"/>
        <w:jc w:val="both"/>
      </w:pPr>
      <w:r w:rsidRPr="00AA64A0">
        <w:rPr>
          <w:b/>
          <w:color w:val="262626"/>
        </w:rPr>
        <w:t>Discussion</w:t>
      </w:r>
    </w:p>
    <w:p w14:paraId="4B1DC1FD" w14:textId="77777777" w:rsidR="00EB421B" w:rsidRPr="00AA64A0" w:rsidRDefault="004C6C37">
      <w:pPr>
        <w:pStyle w:val="NormalWeb"/>
        <w:spacing w:before="0" w:beforeAutospacing="0" w:after="0" w:afterAutospacing="0" w:line="360" w:lineRule="auto"/>
        <w:ind w:firstLine="360"/>
        <w:jc w:val="both"/>
        <w:rPr>
          <w:color w:val="0D0D0D"/>
        </w:rPr>
      </w:pPr>
      <w:r w:rsidRPr="00AA64A0">
        <w:rPr>
          <w:color w:val="0D0D0D"/>
        </w:rPr>
        <w:t>This study evaluated the comparative performance of Monoethanolamine (MEA), Diethanolamine (DEA), and Methyldiethanolamine (MDEA) for CO₂ removal from natural gas using Aspen HYSYS simulation under conditions representative of Niger Delta gas streams. The findings demonstrate clear trade-offs between absorption efficiency, energy demand, solvent stability, and economic viability, consistent with established trends in amine-based gas sweetening systems [15, 16].</w:t>
      </w:r>
    </w:p>
    <w:p w14:paraId="4FA7F19B" w14:textId="77777777" w:rsidR="00EB421B" w:rsidRPr="00AA64A0" w:rsidRDefault="00EB421B">
      <w:pPr>
        <w:spacing w:after="0" w:line="360" w:lineRule="auto"/>
        <w:jc w:val="both"/>
        <w:rPr>
          <w:rFonts w:ascii="Times New Roman" w:hAnsi="Times New Roman" w:cs="Times New Roman"/>
          <w:color w:val="0D0D0D"/>
          <w:sz w:val="24"/>
          <w:szCs w:val="24"/>
        </w:rPr>
      </w:pPr>
    </w:p>
    <w:p w14:paraId="78ECBA52" w14:textId="23C1F2D1" w:rsidR="00EB421B" w:rsidRPr="00AA64A0" w:rsidRDefault="00484E69">
      <w:pPr>
        <w:pStyle w:val="Heading3"/>
        <w:spacing w:before="0" w:line="360" w:lineRule="auto"/>
        <w:jc w:val="both"/>
        <w:rPr>
          <w:rFonts w:ascii="Times New Roman" w:hAnsi="Times New Roman" w:cs="Times New Roman"/>
          <w:color w:val="0D0D0D"/>
        </w:rPr>
      </w:pPr>
      <w:r>
        <w:rPr>
          <w:rStyle w:val="Strong"/>
          <w:rFonts w:ascii="Times New Roman" w:hAnsi="Times New Roman" w:cs="Times New Roman"/>
          <w:bCs w:val="0"/>
          <w:color w:val="0D0D0D"/>
        </w:rPr>
        <w:t>4</w:t>
      </w:r>
      <w:r w:rsidR="004C6C37" w:rsidRPr="00AA64A0">
        <w:rPr>
          <w:rStyle w:val="Strong"/>
          <w:rFonts w:ascii="Times New Roman" w:hAnsi="Times New Roman" w:cs="Times New Roman"/>
          <w:bCs w:val="0"/>
          <w:color w:val="0D0D0D"/>
        </w:rPr>
        <w:t>.1 CO₂ Removal Efficiency and Absorption Performance</w:t>
      </w:r>
    </w:p>
    <w:p w14:paraId="2CB4D506" w14:textId="19E4C49B"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The simulation results showed that MEA achieved the highest CO₂ removal efficiency (96.0 ± 0.5%), followed by DEA (92.0 ± 0.6%) and MDEA (86.0 ± 0.7%) (Table 1). This superior performance of MEA is attributable to its </w:t>
      </w:r>
      <w:r w:rsidRPr="00AA64A0">
        <w:rPr>
          <w:rStyle w:val="Strong"/>
          <w:rFonts w:eastAsia="SimSun"/>
          <w:b w:val="0"/>
          <w:color w:val="0D0D0D"/>
        </w:rPr>
        <w:t>primary amine structure</w:t>
      </w:r>
      <w:r w:rsidRPr="00AA64A0">
        <w:rPr>
          <w:color w:val="0D0D0D"/>
        </w:rPr>
        <w:t>, which facilitates rapid carbamate formation and faster reaction kinetics with CO₂.</w:t>
      </w:r>
    </w:p>
    <w:p w14:paraId="305D1D20"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This finding aligns with previous studies reporting that primary amines generally exhibit higher reaction rates due to lower steric hindrance and stronger nucleophilic activity [17]. </w:t>
      </w:r>
      <w:r w:rsidRPr="00AA64A0">
        <w:rPr>
          <w:color w:val="0D0D0D"/>
        </w:rPr>
        <w:lastRenderedPageBreak/>
        <w:t>However, despite its high efficiency, MEA is often limited by high regeneration energy and degradation susceptibility, which reduces its long-term industrial desirability.</w:t>
      </w:r>
    </w:p>
    <w:p w14:paraId="7F331536"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 xml:space="preserve">MDEA, although less efficient in CO₂ removal, showed lower equilibrium loading, indicating that its </w:t>
      </w:r>
      <w:r w:rsidRPr="00AA64A0">
        <w:rPr>
          <w:rStyle w:val="Strong"/>
          <w:rFonts w:eastAsia="SimSun"/>
          <w:b w:val="0"/>
          <w:color w:val="0D0D0D"/>
        </w:rPr>
        <w:t>tertiary amine structure favors a slower but more selective reaction pathway</w:t>
      </w:r>
      <w:r w:rsidRPr="00AA64A0">
        <w:rPr>
          <w:color w:val="0D0D0D"/>
        </w:rPr>
        <w:t>, primarily via bicarbonate formation. This makes MDEA more suitable for bulk CO₂ removal in high-flow gas systems where energy efficiency is prioritized over absolute removal efficiency [18].</w:t>
      </w:r>
    </w:p>
    <w:p w14:paraId="65C1A87C" w14:textId="77777777" w:rsidR="00EB421B" w:rsidRPr="00AA64A0" w:rsidRDefault="00EB421B">
      <w:pPr>
        <w:spacing w:after="0" w:line="360" w:lineRule="auto"/>
        <w:jc w:val="both"/>
        <w:rPr>
          <w:rFonts w:ascii="Times New Roman" w:hAnsi="Times New Roman" w:cs="Times New Roman"/>
          <w:color w:val="0D0D0D"/>
          <w:sz w:val="24"/>
          <w:szCs w:val="24"/>
        </w:rPr>
      </w:pPr>
    </w:p>
    <w:p w14:paraId="51697E3A"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4.2 Solvent Loading Capacity and Cyclic Performance</w:t>
      </w:r>
    </w:p>
    <w:p w14:paraId="571C6776" w14:textId="40FD1619"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cyclic capacity results (Table 2) revealed that MEA had the highest working capacity (0.32 mol/mol), while DEA and MDEA exhibited comparable but slightly lower values. This indicates that although MEA absorbs more CO₂, it also regenerates less efficiently due to stronger chemical binding with CO₂.</w:t>
      </w:r>
    </w:p>
    <w:p w14:paraId="77BA0563"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relatively similar cyclic capacities of DEA and MDEA suggest that solvent structural differences have less impact on regeneration potential than on absorption kinetics. This supports findings by Loachamin et al. (2024) [6], who reported that cyclic capacity is influenced by both solvent basicity and thermal stability rather than amine class alone.</w:t>
      </w:r>
    </w:p>
    <w:p w14:paraId="366D99E8" w14:textId="77777777" w:rsidR="00EB421B" w:rsidRPr="00AA64A0" w:rsidRDefault="00EB421B">
      <w:pPr>
        <w:spacing w:after="0" w:line="360" w:lineRule="auto"/>
        <w:jc w:val="both"/>
        <w:rPr>
          <w:rFonts w:ascii="Times New Roman" w:hAnsi="Times New Roman" w:cs="Times New Roman"/>
          <w:color w:val="0D0D0D"/>
          <w:sz w:val="24"/>
          <w:szCs w:val="24"/>
        </w:rPr>
      </w:pPr>
    </w:p>
    <w:p w14:paraId="25B62556"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4.3 Energy Requirement and Process Efficiency</w:t>
      </w:r>
    </w:p>
    <w:p w14:paraId="57C315BA" w14:textId="30936F38"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A key outcome of this study is the clear difference in regeneration energy demand. MEA exhibited the highest reboiler duty (3600 ± 50 kJ/mol CO₂), while MDEA required significantly lower energy (2200 ± 40 kJ/mol CO₂) (Table 3). This trend confirms that </w:t>
      </w:r>
      <w:r w:rsidRPr="00AA64A0">
        <w:rPr>
          <w:rStyle w:val="Strong"/>
          <w:rFonts w:eastAsia="SimSun"/>
          <w:b w:val="0"/>
          <w:color w:val="0D0D0D"/>
        </w:rPr>
        <w:t>energy consumption is inversely related to solvent stability and reaction reversibility</w:t>
      </w:r>
      <w:r w:rsidRPr="00AA64A0">
        <w:rPr>
          <w:color w:val="0D0D0D"/>
        </w:rPr>
        <w:t>.</w:t>
      </w:r>
    </w:p>
    <w:p w14:paraId="72257754"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high energy demand of MEA is primarily due to the formation of stable carbamate bonds, which require substantial heat input to break during regeneration. In contrast, MDEA forms weaker bicarbonate species, which are easier to regenerate, making it more energy-efficient.</w:t>
      </w:r>
    </w:p>
    <w:p w14:paraId="225FCDE6"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These findings are consistent with industrial reports emphasizing that energy consumption remains one of the most critical limitations in amine-based CO₂ capture systems [19]. Therefore, despite MEA’s superior absorption performance, its high operational cost limits large-scale application.</w:t>
      </w:r>
    </w:p>
    <w:p w14:paraId="506AB81C" w14:textId="77777777" w:rsidR="00EB421B" w:rsidRPr="00AA64A0" w:rsidRDefault="00EB421B">
      <w:pPr>
        <w:spacing w:after="0" w:line="360" w:lineRule="auto"/>
        <w:jc w:val="both"/>
        <w:rPr>
          <w:rFonts w:ascii="Times New Roman" w:hAnsi="Times New Roman" w:cs="Times New Roman"/>
          <w:color w:val="0D0D0D"/>
          <w:sz w:val="24"/>
          <w:szCs w:val="24"/>
        </w:rPr>
      </w:pPr>
    </w:p>
    <w:p w14:paraId="2925F5EC"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lastRenderedPageBreak/>
        <w:t>4.4 Kinetics and Mass Transfer Behavior</w:t>
      </w:r>
    </w:p>
    <w:p w14:paraId="305819DB" w14:textId="63C92B5E"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The absorption kinetics results (Table 4) showed that MEA had the highest CO₂ absorption rate (1.85 mol/min), followed by DEA and MDEA. This confirms that </w:t>
      </w:r>
      <w:r w:rsidRPr="00AA64A0">
        <w:rPr>
          <w:rStyle w:val="Strong"/>
          <w:rFonts w:eastAsia="SimSun"/>
          <w:b w:val="0"/>
          <w:color w:val="0D0D0D"/>
        </w:rPr>
        <w:t>reaction kinetics strongly influence overall column efficiency</w:t>
      </w:r>
      <w:r w:rsidRPr="00AA64A0">
        <w:rPr>
          <w:color w:val="0D0D0D"/>
        </w:rPr>
        <w:t>, especially in packed absorber systems. MEA’s superior kinetic performance enhances mass transfer rates, resulting in fewer theoretical stages required for effective separation. Conversely, MDEA required more stages (16) to achieve optimal performance, indicating slower reaction rates and reduced interfacial transfer efficiency.</w:t>
      </w:r>
    </w:p>
    <w:p w14:paraId="3EE4A619"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These observations align with established mass transfer theory, where fast-reacting solvents reduce gas-film resistance and enhance overall absorption efficiency [20].</w:t>
      </w:r>
    </w:p>
    <w:p w14:paraId="64C4E81E" w14:textId="77777777" w:rsidR="00EB421B" w:rsidRPr="00AA64A0" w:rsidRDefault="00EB421B">
      <w:pPr>
        <w:spacing w:after="0" w:line="360" w:lineRule="auto"/>
        <w:jc w:val="both"/>
        <w:rPr>
          <w:rFonts w:ascii="Times New Roman" w:hAnsi="Times New Roman" w:cs="Times New Roman"/>
          <w:color w:val="0D0D0D"/>
          <w:sz w:val="24"/>
          <w:szCs w:val="24"/>
        </w:rPr>
      </w:pPr>
    </w:p>
    <w:p w14:paraId="7109BB56"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4.5 Solvent Stability and Degradation Behavior</w:t>
      </w:r>
    </w:p>
    <w:p w14:paraId="1D64B66C" w14:textId="6B6E54CC"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Solvent degradation analysis (Table.5) revealed that MEA experienced the highest degradation rate (3.8% per cycle), while MDEA demonstrated the greatest stability (1.2% per cycle). This highlights a critical trade-off between </w:t>
      </w:r>
      <w:r w:rsidRPr="00AA64A0">
        <w:rPr>
          <w:rStyle w:val="Strong"/>
          <w:rFonts w:eastAsia="SimSun"/>
          <w:b w:val="0"/>
          <w:color w:val="0D0D0D"/>
        </w:rPr>
        <w:t>reactivity and chemical stability</w:t>
      </w:r>
      <w:r w:rsidRPr="00AA64A0">
        <w:rPr>
          <w:color w:val="0D0D0D"/>
        </w:rPr>
        <w:t>.</w:t>
      </w:r>
    </w:p>
    <w:p w14:paraId="3BB72187"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MEA is prone to oxidative and thermal degradation, leading to the formation of heat-stable salts and corrosive by-products. This not only reduces solvent lifespan but also increases equipment corrosion risks. MDEA, on the other hand, exhibits greater resistance to thermal degradation due to its tertiary structure, making it more suitable for long-term industrial operations.</w:t>
      </w:r>
    </w:p>
    <w:p w14:paraId="7B8E1F24"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This finding is consistent with Rochelle (2021), who emphasized that solvent degradation remains a major operational challenge in CO₂ capture facilities.</w:t>
      </w:r>
    </w:p>
    <w:p w14:paraId="164DA5E3" w14:textId="77777777" w:rsidR="00EB421B" w:rsidRPr="00AA64A0" w:rsidRDefault="00EB421B">
      <w:pPr>
        <w:spacing w:after="0" w:line="360" w:lineRule="auto"/>
        <w:jc w:val="both"/>
        <w:rPr>
          <w:rFonts w:ascii="Times New Roman" w:hAnsi="Times New Roman" w:cs="Times New Roman"/>
          <w:color w:val="0D0D0D"/>
          <w:sz w:val="24"/>
          <w:szCs w:val="24"/>
        </w:rPr>
      </w:pPr>
    </w:p>
    <w:p w14:paraId="3BE1A80B"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4.6 Economic Evaluation and Process Viability</w:t>
      </w:r>
    </w:p>
    <w:p w14:paraId="5AF878C6" w14:textId="685CEDEA"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techno-economic analysis (Table 6) demonstrated that MDEA had the lowest total cost ($30 ± 2/ton CO₂), followed by DEA ($40 ± 2/ton CO₂), while MEA was the most expensive ($50 ± 3/ton CO₂). The cost differences are primarily driven by energy consumption and solvent replacement frequency.</w:t>
      </w:r>
    </w:p>
    <w:p w14:paraId="093E286A"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Despite its higher absorption efficiency, MEA’s elevated energy demand significantly increases operational cost, reducing its economic attractiveness. In contrast, MDEA provides a more cost-effective balance between moderate efficiency and low energy requirements.</w:t>
      </w:r>
    </w:p>
    <w:p w14:paraId="30A10DE0"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 xml:space="preserve">These results support industrial trends favoring </w:t>
      </w:r>
      <w:r w:rsidRPr="00AA64A0">
        <w:rPr>
          <w:rStyle w:val="Strong"/>
          <w:rFonts w:eastAsia="SimSun"/>
          <w:b w:val="0"/>
          <w:color w:val="0D0D0D"/>
        </w:rPr>
        <w:t>energy-efficient tertiary amines for large-scale gas sweetening applications</w:t>
      </w:r>
      <w:r w:rsidRPr="00AA64A0">
        <w:rPr>
          <w:color w:val="0D0D0D"/>
        </w:rPr>
        <w:t>, especially in regions with high energy costs or limited infrastructure [20].</w:t>
      </w:r>
    </w:p>
    <w:p w14:paraId="2D9E1A06" w14:textId="77777777" w:rsidR="00EB421B" w:rsidRPr="00AA64A0" w:rsidRDefault="00EB421B">
      <w:pPr>
        <w:spacing w:after="0" w:line="360" w:lineRule="auto"/>
        <w:jc w:val="both"/>
        <w:rPr>
          <w:rFonts w:ascii="Times New Roman" w:hAnsi="Times New Roman" w:cs="Times New Roman"/>
          <w:color w:val="0D0D0D"/>
          <w:sz w:val="24"/>
          <w:szCs w:val="24"/>
        </w:rPr>
      </w:pPr>
    </w:p>
    <w:p w14:paraId="2559353E"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4.7 Effect of Feed CO₂ Concentration</w:t>
      </w:r>
    </w:p>
    <w:p w14:paraId="6A5C55ED" w14:textId="7B1A7825"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 xml:space="preserve">Increasing CO₂ concentration from 4% to 12% led to a gradual decline in removal efficiency across all solvents (Table 7). This is attributed to </w:t>
      </w:r>
      <w:r w:rsidRPr="00AA64A0">
        <w:rPr>
          <w:rStyle w:val="Strong"/>
          <w:rFonts w:eastAsia="SimSun"/>
          <w:color w:val="0D0D0D"/>
        </w:rPr>
        <w:t>solvent saturation effects</w:t>
      </w:r>
      <w:r w:rsidRPr="00AA64A0">
        <w:rPr>
          <w:color w:val="0D0D0D"/>
        </w:rPr>
        <w:t>, where available amine sites become increasingly occupied at higher CO₂ partial pressures. MEA maintained the highest resilience across all concentrations, confirming its suitability for high-acid gas environments. However, MDEA showed the steepest decline, indicating lower buffering capacity under high CO₂ loads.</w:t>
      </w:r>
    </w:p>
    <w:p w14:paraId="73594D18"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This behavior is consistent with vapor–liquid equilibrium limitations observed in amine systems under high acid gas loading conditions [21].</w:t>
      </w:r>
    </w:p>
    <w:p w14:paraId="43EF966B" w14:textId="77777777" w:rsidR="00EB421B" w:rsidRPr="00AA64A0" w:rsidRDefault="00EB421B">
      <w:pPr>
        <w:spacing w:after="0" w:line="360" w:lineRule="auto"/>
        <w:jc w:val="both"/>
        <w:rPr>
          <w:rFonts w:ascii="Times New Roman" w:hAnsi="Times New Roman" w:cs="Times New Roman"/>
          <w:color w:val="0D0D0D"/>
          <w:sz w:val="24"/>
          <w:szCs w:val="24"/>
        </w:rPr>
      </w:pPr>
    </w:p>
    <w:p w14:paraId="596A54B8"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4.8 Statistical Significance and Comparative Performance</w:t>
      </w:r>
    </w:p>
    <w:p w14:paraId="5F410C7B" w14:textId="6B5A48E5"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The ANOVA results (Table 8) confirmed statistically significant differences among the three solvents in all evaluated parameters (p &lt; 0.05). The strongest differences were observed in total cost (F = 25.78, p = 0.000) and regeneration energy (F = 22.31, p = 0.001), indicating that energy-related variables are the primary drivers of solvent performance variability.</w:t>
      </w:r>
    </w:p>
    <w:p w14:paraId="5D88AB44"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This statistical confirmation strengthens the reliability of the simulation outcomes and supports the robustness of the comparative analysis.</w:t>
      </w:r>
    </w:p>
    <w:p w14:paraId="5F1F2EB6" w14:textId="77777777" w:rsidR="00EB421B" w:rsidRPr="00AA64A0" w:rsidRDefault="00EB421B">
      <w:pPr>
        <w:spacing w:after="0" w:line="360" w:lineRule="auto"/>
        <w:jc w:val="both"/>
        <w:rPr>
          <w:rFonts w:ascii="Times New Roman" w:hAnsi="Times New Roman" w:cs="Times New Roman"/>
          <w:color w:val="0D0D0D"/>
          <w:sz w:val="24"/>
          <w:szCs w:val="24"/>
        </w:rPr>
      </w:pPr>
    </w:p>
    <w:p w14:paraId="4A4FE23F" w14:textId="77777777" w:rsidR="00EB421B" w:rsidRPr="00AA64A0" w:rsidRDefault="004C6C37">
      <w:pPr>
        <w:pStyle w:val="Heading3"/>
        <w:spacing w:before="0" w:line="360" w:lineRule="auto"/>
        <w:jc w:val="both"/>
        <w:rPr>
          <w:rFonts w:ascii="Times New Roman" w:hAnsi="Times New Roman" w:cs="Times New Roman"/>
          <w:color w:val="0D0D0D"/>
        </w:rPr>
      </w:pPr>
      <w:r w:rsidRPr="00AA64A0">
        <w:rPr>
          <w:rStyle w:val="Strong"/>
          <w:rFonts w:ascii="Times New Roman" w:hAnsi="Times New Roman" w:cs="Times New Roman"/>
          <w:bCs w:val="0"/>
          <w:color w:val="0D0D0D"/>
        </w:rPr>
        <w:t>4.9 Overall Implications and Optimization Perspective</w:t>
      </w:r>
    </w:p>
    <w:p w14:paraId="75A75477"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 xml:space="preserve">Overall, the results highlight a fundamental </w:t>
      </w:r>
      <w:r w:rsidRPr="00AA64A0">
        <w:rPr>
          <w:rStyle w:val="Strong"/>
          <w:rFonts w:eastAsia="SimSun"/>
          <w:b w:val="0"/>
          <w:color w:val="0D0D0D"/>
        </w:rPr>
        <w:t>trade-off triangle</w:t>
      </w:r>
      <w:r w:rsidRPr="00AA64A0">
        <w:rPr>
          <w:color w:val="0D0D0D"/>
        </w:rPr>
        <w:t xml:space="preserve"> in amine-based CO₂ capture systems:</w:t>
      </w:r>
    </w:p>
    <w:p w14:paraId="2F60414F" w14:textId="77777777" w:rsidR="00EB421B" w:rsidRPr="00AA64A0" w:rsidRDefault="004C6C37">
      <w:pPr>
        <w:numPr>
          <w:ilvl w:val="0"/>
          <w:numId w:val="15"/>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MEA → High efficiency, high energy cost, high degradation </w:t>
      </w:r>
    </w:p>
    <w:p w14:paraId="1AB632B7" w14:textId="77777777" w:rsidR="00EB421B" w:rsidRPr="00AA64A0" w:rsidRDefault="004C6C37">
      <w:pPr>
        <w:numPr>
          <w:ilvl w:val="0"/>
          <w:numId w:val="15"/>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DEA → Balanced performance </w:t>
      </w:r>
    </w:p>
    <w:p w14:paraId="5AC4671A" w14:textId="77777777" w:rsidR="00EB421B" w:rsidRPr="00AA64A0" w:rsidRDefault="004C6C37">
      <w:pPr>
        <w:numPr>
          <w:ilvl w:val="0"/>
          <w:numId w:val="15"/>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MDEA → Low energy cost, moderate efficiency, high stability </w:t>
      </w:r>
    </w:p>
    <w:p w14:paraId="3BB43B5E" w14:textId="77777777" w:rsidR="00EB421B" w:rsidRPr="00AA64A0" w:rsidRDefault="004C6C37">
      <w:pPr>
        <w:pStyle w:val="NormalWeb"/>
        <w:spacing w:before="0" w:beforeAutospacing="0" w:after="0" w:afterAutospacing="0" w:line="360" w:lineRule="auto"/>
        <w:jc w:val="both"/>
        <w:rPr>
          <w:color w:val="0D0D0D"/>
        </w:rPr>
      </w:pPr>
      <w:r w:rsidRPr="00AA64A0">
        <w:rPr>
          <w:color w:val="0D0D0D"/>
        </w:rPr>
        <w:t>From an optimization perspective, MDEA emerges as the most economically viable solvent for large-scale industrial deployment, while MEA remains suitable for applications requiring high removal efficiency despite higher operational costs.</w:t>
      </w:r>
    </w:p>
    <w:p w14:paraId="0C5666B5" w14:textId="77777777" w:rsidR="00EB421B" w:rsidRPr="00AA64A0" w:rsidRDefault="004C6C37">
      <w:pPr>
        <w:pStyle w:val="NormalWeb"/>
        <w:spacing w:before="0" w:beforeAutospacing="0" w:after="0" w:afterAutospacing="0" w:line="360" w:lineRule="auto"/>
        <w:ind w:firstLine="720"/>
        <w:jc w:val="both"/>
        <w:rPr>
          <w:color w:val="0D0D0D"/>
        </w:rPr>
      </w:pPr>
      <w:r w:rsidRPr="00AA64A0">
        <w:rPr>
          <w:color w:val="0D0D0D"/>
        </w:rPr>
        <w:t>Hybrid solvent systems or blended amines may offer a promising pathway to combine the advantages of these solvents, a strategy increasingly supported in recent CO₂ capture research [19, 20].</w:t>
      </w:r>
    </w:p>
    <w:p w14:paraId="69AEF442" w14:textId="77777777" w:rsidR="00EB421B" w:rsidRPr="00AA64A0" w:rsidRDefault="00EB421B">
      <w:pPr>
        <w:pStyle w:val="NormalWeb"/>
        <w:spacing w:before="0" w:beforeAutospacing="0" w:after="0" w:afterAutospacing="0"/>
        <w:jc w:val="both"/>
        <w:rPr>
          <w:color w:val="262626"/>
        </w:rPr>
      </w:pPr>
    </w:p>
    <w:p w14:paraId="4CD7EA88" w14:textId="1717D1B9" w:rsidR="00484E69" w:rsidRPr="00416D1B" w:rsidRDefault="00484E69" w:rsidP="00484E69">
      <w:pPr>
        <w:spacing w:after="0" w:line="360" w:lineRule="auto"/>
        <w:jc w:val="both"/>
        <w:rPr>
          <w:rFonts w:ascii="Times New Roman" w:hAnsi="Times New Roman" w:cs="Times New Roman"/>
          <w:b/>
          <w:bCs/>
          <w:color w:val="262626"/>
          <w:sz w:val="24"/>
          <w:szCs w:val="24"/>
          <w:highlight w:val="yellow"/>
        </w:rPr>
      </w:pPr>
      <w:r>
        <w:rPr>
          <w:rFonts w:ascii="Times New Roman" w:hAnsi="Times New Roman" w:cs="Times New Roman"/>
          <w:b/>
          <w:bCs/>
          <w:color w:val="262626"/>
          <w:sz w:val="24"/>
          <w:szCs w:val="24"/>
          <w:highlight w:val="yellow"/>
        </w:rPr>
        <w:lastRenderedPageBreak/>
        <w:t xml:space="preserve">4.10 </w:t>
      </w:r>
      <w:r w:rsidRPr="00416D1B">
        <w:rPr>
          <w:rFonts w:ascii="Times New Roman" w:hAnsi="Times New Roman" w:cs="Times New Roman"/>
          <w:b/>
          <w:bCs/>
          <w:color w:val="262626"/>
          <w:sz w:val="24"/>
          <w:szCs w:val="24"/>
          <w:highlight w:val="yellow"/>
        </w:rPr>
        <w:t>Study Limitations</w:t>
      </w:r>
    </w:p>
    <w:p w14:paraId="124D4125" w14:textId="77777777" w:rsidR="00484E69" w:rsidRPr="00416D1B" w:rsidRDefault="00484E69" w:rsidP="00484E69">
      <w:pPr>
        <w:spacing w:after="0" w:line="360" w:lineRule="auto"/>
        <w:jc w:val="both"/>
        <w:rPr>
          <w:rFonts w:ascii="Times New Roman" w:hAnsi="Times New Roman" w:cs="Times New Roman"/>
          <w:color w:val="262626"/>
          <w:sz w:val="24"/>
          <w:szCs w:val="24"/>
          <w:highlight w:val="yellow"/>
        </w:rPr>
      </w:pPr>
      <w:r w:rsidRPr="00416D1B">
        <w:rPr>
          <w:rFonts w:ascii="Times New Roman" w:hAnsi="Times New Roman" w:cs="Times New Roman"/>
          <w:color w:val="262626"/>
          <w:sz w:val="24"/>
          <w:szCs w:val="24"/>
          <w:highlight w:val="yellow"/>
        </w:rPr>
        <w:t>In line with responsible scientific reporting, the following limitations are acknowledged:</w:t>
      </w:r>
    </w:p>
    <w:p w14:paraId="38C8E4D6" w14:textId="77777777" w:rsidR="00484E69" w:rsidRPr="00416D1B" w:rsidRDefault="00484E69" w:rsidP="00484E69">
      <w:pPr>
        <w:numPr>
          <w:ilvl w:val="0"/>
          <w:numId w:val="23"/>
        </w:numPr>
        <w:spacing w:after="0" w:line="360" w:lineRule="auto"/>
        <w:jc w:val="both"/>
        <w:rPr>
          <w:rFonts w:ascii="Times New Roman" w:hAnsi="Times New Roman" w:cs="Times New Roman"/>
          <w:color w:val="262626"/>
          <w:sz w:val="24"/>
          <w:szCs w:val="24"/>
          <w:highlight w:val="yellow"/>
        </w:rPr>
      </w:pPr>
      <w:r w:rsidRPr="00416D1B">
        <w:rPr>
          <w:rFonts w:ascii="Times New Roman" w:hAnsi="Times New Roman" w:cs="Times New Roman"/>
          <w:b/>
          <w:bCs/>
          <w:color w:val="262626"/>
          <w:sz w:val="24"/>
          <w:szCs w:val="24"/>
          <w:highlight w:val="yellow"/>
        </w:rPr>
        <w:t>Simulation-Based Approach:</w:t>
      </w:r>
    </w:p>
    <w:p w14:paraId="0DFFA8A8" w14:textId="77777777" w:rsidR="00484E69" w:rsidRPr="00416D1B" w:rsidRDefault="00484E69" w:rsidP="00484E69">
      <w:pPr>
        <w:spacing w:after="0" w:line="360" w:lineRule="auto"/>
        <w:ind w:left="720"/>
        <w:jc w:val="both"/>
        <w:rPr>
          <w:rFonts w:ascii="Times New Roman" w:hAnsi="Times New Roman" w:cs="Times New Roman"/>
          <w:color w:val="262626"/>
          <w:sz w:val="24"/>
          <w:szCs w:val="24"/>
          <w:highlight w:val="yellow"/>
        </w:rPr>
      </w:pPr>
      <w:r w:rsidRPr="00416D1B">
        <w:rPr>
          <w:rFonts w:ascii="Times New Roman" w:hAnsi="Times New Roman" w:cs="Times New Roman"/>
          <w:color w:val="262626"/>
          <w:sz w:val="24"/>
          <w:szCs w:val="24"/>
          <w:highlight w:val="yellow"/>
        </w:rPr>
        <w:t xml:space="preserve">The study relies on steady-state Aspen HYSYS simulations, which may not fully capture transient operational dynamics, process fluctuations, or startup/shutdown conditions observed in real plants. </w:t>
      </w:r>
    </w:p>
    <w:p w14:paraId="23F5F060" w14:textId="77777777" w:rsidR="00484E69" w:rsidRPr="00416D1B" w:rsidRDefault="00484E69" w:rsidP="00484E69">
      <w:pPr>
        <w:numPr>
          <w:ilvl w:val="0"/>
          <w:numId w:val="23"/>
        </w:numPr>
        <w:spacing w:after="0" w:line="360" w:lineRule="auto"/>
        <w:jc w:val="both"/>
        <w:rPr>
          <w:rFonts w:ascii="Times New Roman" w:hAnsi="Times New Roman" w:cs="Times New Roman"/>
          <w:color w:val="262626"/>
          <w:sz w:val="24"/>
          <w:szCs w:val="24"/>
          <w:highlight w:val="yellow"/>
        </w:rPr>
      </w:pPr>
      <w:r w:rsidRPr="00416D1B">
        <w:rPr>
          <w:rFonts w:ascii="Times New Roman" w:hAnsi="Times New Roman" w:cs="Times New Roman"/>
          <w:b/>
          <w:bCs/>
          <w:color w:val="262626"/>
          <w:sz w:val="24"/>
          <w:szCs w:val="24"/>
          <w:highlight w:val="yellow"/>
        </w:rPr>
        <w:t>Model Assumptions:</w:t>
      </w:r>
    </w:p>
    <w:p w14:paraId="2D136752" w14:textId="77777777" w:rsidR="00484E69" w:rsidRPr="00416D1B" w:rsidRDefault="00484E69" w:rsidP="00484E69">
      <w:pPr>
        <w:spacing w:after="0" w:line="360" w:lineRule="auto"/>
        <w:ind w:left="720"/>
        <w:jc w:val="both"/>
        <w:rPr>
          <w:rFonts w:ascii="Times New Roman" w:hAnsi="Times New Roman" w:cs="Times New Roman"/>
          <w:color w:val="262626"/>
          <w:sz w:val="24"/>
          <w:szCs w:val="24"/>
          <w:highlight w:val="yellow"/>
        </w:rPr>
      </w:pPr>
      <w:r w:rsidRPr="00416D1B">
        <w:rPr>
          <w:rFonts w:ascii="Times New Roman" w:hAnsi="Times New Roman" w:cs="Times New Roman"/>
          <w:color w:val="262626"/>
          <w:sz w:val="24"/>
          <w:szCs w:val="24"/>
          <w:highlight w:val="yellow"/>
        </w:rPr>
        <w:t xml:space="preserve">Thermodynamic and kinetic models (e.g., e-NRTL) are based on established correlations but may introduce uncertainties when applied to complex, real-world gas compositions. </w:t>
      </w:r>
    </w:p>
    <w:p w14:paraId="5C6F8376" w14:textId="77777777" w:rsidR="00484E69" w:rsidRPr="00416D1B" w:rsidRDefault="00484E69" w:rsidP="00484E69">
      <w:pPr>
        <w:numPr>
          <w:ilvl w:val="0"/>
          <w:numId w:val="23"/>
        </w:numPr>
        <w:spacing w:after="0" w:line="360" w:lineRule="auto"/>
        <w:jc w:val="both"/>
        <w:rPr>
          <w:rFonts w:ascii="Times New Roman" w:hAnsi="Times New Roman" w:cs="Times New Roman"/>
          <w:color w:val="262626"/>
          <w:sz w:val="24"/>
          <w:szCs w:val="24"/>
          <w:highlight w:val="yellow"/>
        </w:rPr>
      </w:pPr>
      <w:r w:rsidRPr="00416D1B">
        <w:rPr>
          <w:rFonts w:ascii="Times New Roman" w:hAnsi="Times New Roman" w:cs="Times New Roman"/>
          <w:b/>
          <w:bCs/>
          <w:color w:val="262626"/>
          <w:sz w:val="24"/>
          <w:szCs w:val="24"/>
          <w:highlight w:val="yellow"/>
        </w:rPr>
        <w:t>Lack of Experimental Validation:</w:t>
      </w:r>
    </w:p>
    <w:p w14:paraId="3D133B6E" w14:textId="77777777" w:rsidR="00484E69" w:rsidRPr="00416D1B" w:rsidRDefault="00484E69" w:rsidP="00484E69">
      <w:pPr>
        <w:spacing w:after="0" w:line="360" w:lineRule="auto"/>
        <w:ind w:left="720"/>
        <w:jc w:val="both"/>
        <w:rPr>
          <w:rFonts w:ascii="Times New Roman" w:hAnsi="Times New Roman" w:cs="Times New Roman"/>
          <w:color w:val="262626"/>
          <w:sz w:val="24"/>
          <w:szCs w:val="24"/>
          <w:highlight w:val="yellow"/>
        </w:rPr>
      </w:pPr>
      <w:r w:rsidRPr="00416D1B">
        <w:rPr>
          <w:rFonts w:ascii="Times New Roman" w:hAnsi="Times New Roman" w:cs="Times New Roman"/>
          <w:color w:val="262626"/>
          <w:sz w:val="24"/>
          <w:szCs w:val="24"/>
          <w:highlight w:val="yellow"/>
        </w:rPr>
        <w:t xml:space="preserve">The absence of pilot-scale or industrial validation limits the direct applicability of the findings, and real-world deviations may occur. </w:t>
      </w:r>
    </w:p>
    <w:p w14:paraId="25DBC494" w14:textId="77777777" w:rsidR="00484E69" w:rsidRPr="00416D1B" w:rsidRDefault="00484E69" w:rsidP="00484E69">
      <w:pPr>
        <w:numPr>
          <w:ilvl w:val="0"/>
          <w:numId w:val="23"/>
        </w:numPr>
        <w:spacing w:after="0" w:line="360" w:lineRule="auto"/>
        <w:jc w:val="both"/>
        <w:rPr>
          <w:rFonts w:ascii="Times New Roman" w:hAnsi="Times New Roman" w:cs="Times New Roman"/>
          <w:color w:val="262626"/>
          <w:sz w:val="24"/>
          <w:szCs w:val="24"/>
          <w:highlight w:val="yellow"/>
        </w:rPr>
      </w:pPr>
      <w:r w:rsidRPr="00416D1B">
        <w:rPr>
          <w:rFonts w:ascii="Times New Roman" w:hAnsi="Times New Roman" w:cs="Times New Roman"/>
          <w:b/>
          <w:bCs/>
          <w:color w:val="262626"/>
          <w:sz w:val="24"/>
          <w:szCs w:val="24"/>
          <w:highlight w:val="yellow"/>
        </w:rPr>
        <w:t>Simplified Degradation Analysis:</w:t>
      </w:r>
    </w:p>
    <w:p w14:paraId="7B111E87" w14:textId="77777777" w:rsidR="00484E69" w:rsidRPr="00416D1B" w:rsidRDefault="00484E69" w:rsidP="00484E69">
      <w:pPr>
        <w:spacing w:after="0" w:line="360" w:lineRule="auto"/>
        <w:ind w:left="720"/>
        <w:jc w:val="both"/>
        <w:rPr>
          <w:rFonts w:ascii="Times New Roman" w:hAnsi="Times New Roman" w:cs="Times New Roman"/>
          <w:color w:val="262626"/>
          <w:sz w:val="24"/>
          <w:szCs w:val="24"/>
          <w:highlight w:val="yellow"/>
        </w:rPr>
      </w:pPr>
      <w:r w:rsidRPr="00416D1B">
        <w:rPr>
          <w:rFonts w:ascii="Times New Roman" w:hAnsi="Times New Roman" w:cs="Times New Roman"/>
          <w:color w:val="262626"/>
          <w:sz w:val="24"/>
          <w:szCs w:val="24"/>
          <w:highlight w:val="yellow"/>
        </w:rPr>
        <w:t xml:space="preserve">Solvent degradation and corrosion effects were evaluated conceptually rather than through detailed chemical kinetic modeling or long-term operational data. </w:t>
      </w:r>
    </w:p>
    <w:p w14:paraId="5ACD2D28" w14:textId="77777777" w:rsidR="00484E69" w:rsidRPr="00416D1B" w:rsidRDefault="00484E69" w:rsidP="00484E69">
      <w:pPr>
        <w:numPr>
          <w:ilvl w:val="0"/>
          <w:numId w:val="23"/>
        </w:numPr>
        <w:spacing w:after="0" w:line="360" w:lineRule="auto"/>
        <w:jc w:val="both"/>
        <w:rPr>
          <w:rFonts w:ascii="Times New Roman" w:hAnsi="Times New Roman" w:cs="Times New Roman"/>
          <w:color w:val="262626"/>
          <w:sz w:val="24"/>
          <w:szCs w:val="24"/>
          <w:highlight w:val="yellow"/>
        </w:rPr>
      </w:pPr>
      <w:r w:rsidRPr="00416D1B">
        <w:rPr>
          <w:rFonts w:ascii="Times New Roman" w:hAnsi="Times New Roman" w:cs="Times New Roman"/>
          <w:b/>
          <w:bCs/>
          <w:color w:val="262626"/>
          <w:sz w:val="24"/>
          <w:szCs w:val="24"/>
          <w:highlight w:val="yellow"/>
        </w:rPr>
        <w:t>Economic Generalization:</w:t>
      </w:r>
    </w:p>
    <w:p w14:paraId="0C4A4B26" w14:textId="77777777" w:rsidR="00484E69" w:rsidRPr="00416D1B" w:rsidRDefault="00484E69" w:rsidP="00484E69">
      <w:pPr>
        <w:spacing w:after="0" w:line="360" w:lineRule="auto"/>
        <w:ind w:left="720"/>
        <w:jc w:val="both"/>
        <w:rPr>
          <w:rFonts w:ascii="Times New Roman" w:hAnsi="Times New Roman" w:cs="Times New Roman"/>
          <w:color w:val="262626"/>
          <w:sz w:val="24"/>
          <w:szCs w:val="24"/>
          <w:highlight w:val="yellow"/>
        </w:rPr>
      </w:pPr>
      <w:r w:rsidRPr="00416D1B">
        <w:rPr>
          <w:rFonts w:ascii="Times New Roman" w:hAnsi="Times New Roman" w:cs="Times New Roman"/>
          <w:color w:val="262626"/>
          <w:sz w:val="24"/>
          <w:szCs w:val="24"/>
          <w:highlight w:val="yellow"/>
        </w:rPr>
        <w:t xml:space="preserve">The techno-economic analysis is based on assumed cost parameters and may vary with market fluctuations, regional energy pricing, and plant-specific conditions. </w:t>
      </w:r>
    </w:p>
    <w:p w14:paraId="1931AEB3" w14:textId="77777777" w:rsidR="00484E69" w:rsidRPr="00416D1B" w:rsidRDefault="00484E69" w:rsidP="00484E69">
      <w:pPr>
        <w:numPr>
          <w:ilvl w:val="0"/>
          <w:numId w:val="23"/>
        </w:numPr>
        <w:spacing w:after="0" w:line="360" w:lineRule="auto"/>
        <w:jc w:val="both"/>
        <w:rPr>
          <w:rFonts w:ascii="Times New Roman" w:hAnsi="Times New Roman" w:cs="Times New Roman"/>
          <w:color w:val="262626"/>
          <w:sz w:val="24"/>
          <w:szCs w:val="24"/>
          <w:highlight w:val="yellow"/>
        </w:rPr>
      </w:pPr>
      <w:r w:rsidRPr="00416D1B">
        <w:rPr>
          <w:rFonts w:ascii="Times New Roman" w:hAnsi="Times New Roman" w:cs="Times New Roman"/>
          <w:b/>
          <w:bCs/>
          <w:color w:val="262626"/>
          <w:sz w:val="24"/>
          <w:szCs w:val="24"/>
          <w:highlight w:val="yellow"/>
        </w:rPr>
        <w:t>Environmental Scope:</w:t>
      </w:r>
    </w:p>
    <w:p w14:paraId="2207BDDB" w14:textId="77777777" w:rsidR="00484E69" w:rsidRPr="00416D1B" w:rsidRDefault="00484E69" w:rsidP="00484E69">
      <w:pPr>
        <w:spacing w:after="0" w:line="360" w:lineRule="auto"/>
        <w:ind w:left="720"/>
        <w:jc w:val="both"/>
        <w:rPr>
          <w:rFonts w:ascii="Times New Roman" w:hAnsi="Times New Roman" w:cs="Times New Roman"/>
          <w:color w:val="262626"/>
          <w:sz w:val="24"/>
          <w:szCs w:val="24"/>
        </w:rPr>
      </w:pPr>
      <w:r w:rsidRPr="00416D1B">
        <w:rPr>
          <w:rFonts w:ascii="Times New Roman" w:hAnsi="Times New Roman" w:cs="Times New Roman"/>
          <w:color w:val="262626"/>
          <w:sz w:val="24"/>
          <w:szCs w:val="24"/>
          <w:highlight w:val="yellow"/>
        </w:rPr>
        <w:t>The study does not include a full lifecycle environmental impact assessment, which is necessary to comprehensively evaluate the sustainability of amine-based CO₂ capture systems.</w:t>
      </w:r>
      <w:r w:rsidRPr="00416D1B">
        <w:rPr>
          <w:rFonts w:ascii="Times New Roman" w:hAnsi="Times New Roman" w:cs="Times New Roman"/>
          <w:color w:val="262626"/>
          <w:sz w:val="24"/>
          <w:szCs w:val="24"/>
        </w:rPr>
        <w:t xml:space="preserve"> </w:t>
      </w:r>
    </w:p>
    <w:p w14:paraId="3F5A2002" w14:textId="77777777" w:rsidR="00484E69" w:rsidRDefault="00484E69">
      <w:pPr>
        <w:spacing w:after="0" w:line="360" w:lineRule="auto"/>
        <w:jc w:val="both"/>
        <w:rPr>
          <w:rFonts w:ascii="Times New Roman" w:eastAsia="Times New Roman" w:hAnsi="Times New Roman" w:cs="Times New Roman"/>
          <w:b/>
          <w:bCs/>
          <w:color w:val="262626"/>
          <w:sz w:val="24"/>
          <w:szCs w:val="24"/>
        </w:rPr>
      </w:pPr>
    </w:p>
    <w:p w14:paraId="077536EF" w14:textId="77777777" w:rsidR="00484E69" w:rsidRDefault="00484E69">
      <w:pPr>
        <w:spacing w:after="0" w:line="360" w:lineRule="auto"/>
        <w:jc w:val="both"/>
        <w:rPr>
          <w:rFonts w:ascii="Times New Roman" w:eastAsia="Times New Roman" w:hAnsi="Times New Roman" w:cs="Times New Roman"/>
          <w:b/>
          <w:bCs/>
          <w:color w:val="262626"/>
          <w:sz w:val="24"/>
          <w:szCs w:val="24"/>
        </w:rPr>
      </w:pPr>
    </w:p>
    <w:p w14:paraId="77DD8541" w14:textId="7F8AB601" w:rsidR="00EB421B" w:rsidRPr="00AA64A0" w:rsidRDefault="004C6C37">
      <w:pPr>
        <w:spacing w:after="0" w:line="360" w:lineRule="auto"/>
        <w:jc w:val="both"/>
        <w:rPr>
          <w:rFonts w:ascii="Times New Roman" w:eastAsia="Times New Roman" w:hAnsi="Times New Roman" w:cs="Times New Roman"/>
          <w:color w:val="262626"/>
          <w:sz w:val="24"/>
          <w:szCs w:val="24"/>
        </w:rPr>
      </w:pPr>
      <w:r w:rsidRPr="00AA64A0">
        <w:rPr>
          <w:rFonts w:ascii="Times New Roman" w:eastAsia="Times New Roman" w:hAnsi="Times New Roman" w:cs="Times New Roman"/>
          <w:b/>
          <w:bCs/>
          <w:color w:val="262626"/>
          <w:sz w:val="24"/>
          <w:szCs w:val="24"/>
        </w:rPr>
        <w:t>5. Conclusion</w:t>
      </w:r>
    </w:p>
    <w:p w14:paraId="084E036E" w14:textId="77777777" w:rsidR="00EB421B" w:rsidRPr="00AA64A0" w:rsidRDefault="004C6C37">
      <w:pPr>
        <w:pStyle w:val="NormalWeb"/>
        <w:spacing w:before="0" w:beforeAutospacing="0" w:after="0" w:afterAutospacing="0" w:line="360" w:lineRule="auto"/>
        <w:ind w:firstLine="720"/>
        <w:jc w:val="both"/>
      </w:pPr>
      <w:r w:rsidRPr="00AA64A0">
        <w:t xml:space="preserve">This study systematically evaluated the performance of Monoethanolamine (MEA), Diethanolamine (DEA), and Methyldiethanolamine (MDEA) for CO₂ removal from natural gas using Aspen HYSYS simulation under conditions representative of Niger Delta gas fields. The comparative analysis demonstrated that all three amine solvents are effective for acid gas sweetening but differ significantly in absorption efficiency, energy consumption, stability, and economic performance. MEA exhibited the highest CO₂ removal efficiency (96.0%) and the fastest </w:t>
      </w:r>
      <w:r w:rsidRPr="00AA64A0">
        <w:lastRenderedPageBreak/>
        <w:t>absorption kinetics, confirming its superior reactivity due to its primary amine structure. However, this high performance was offset by elevated regeneration energy demand, higher solvent degradation rate, and increased operational cost, making it less economically sustainable for large-scale applications. DEA showed intermediate performance across all evaluated parameters, balancing moderate efficiency with improved stability and reduced energy demand compared to MEA. MDEA, on the other hand, demonstrated the lowest regeneration energy requirement (2200 kJ/mol CO₂), lowest degradation rate, and best overall economic performance, although with comparatively lower CO₂ removal efficiency. Statistical analysis confirmed that the differences among the solvents were significant (</w:t>
      </w:r>
      <w:r w:rsidRPr="00AA64A0">
        <w:rPr>
          <w:rStyle w:val="Emphasis"/>
          <w:rFonts w:eastAsia="SimSun"/>
        </w:rPr>
        <w:t>p</w:t>
      </w:r>
      <w:r w:rsidRPr="00AA64A0">
        <w:t xml:space="preserve"> &lt; 0.05), particularly in energy consumption and total process cost. Overall, the findings highlight a fundamental trade-off between efficiency and energy sustainability in amine-based CO₂ capture systems.</w:t>
      </w:r>
    </w:p>
    <w:p w14:paraId="33E64D55" w14:textId="77777777" w:rsidR="00EB421B" w:rsidRPr="00AA64A0" w:rsidRDefault="00EB421B">
      <w:pPr>
        <w:spacing w:after="0" w:line="360" w:lineRule="auto"/>
        <w:jc w:val="both"/>
        <w:rPr>
          <w:rFonts w:ascii="Times New Roman" w:hAnsi="Times New Roman" w:cs="Times New Roman"/>
          <w:sz w:val="24"/>
          <w:szCs w:val="24"/>
        </w:rPr>
      </w:pPr>
    </w:p>
    <w:p w14:paraId="25317C77" w14:textId="77777777" w:rsidR="00EB421B" w:rsidRPr="00AA64A0" w:rsidRDefault="004C6C37">
      <w:pPr>
        <w:pStyle w:val="Heading2"/>
        <w:spacing w:after="0" w:line="360" w:lineRule="auto"/>
        <w:rPr>
          <w:szCs w:val="24"/>
        </w:rPr>
      </w:pPr>
      <w:r w:rsidRPr="00AA64A0">
        <w:rPr>
          <w:rStyle w:val="Strong"/>
          <w:b/>
          <w:bCs w:val="0"/>
          <w:szCs w:val="24"/>
        </w:rPr>
        <w:t>6. Recommendations</w:t>
      </w:r>
    </w:p>
    <w:p w14:paraId="768098C0" w14:textId="77777777" w:rsidR="00EB421B" w:rsidRPr="00AA64A0" w:rsidRDefault="004C6C37">
      <w:pPr>
        <w:pStyle w:val="NormalWeb"/>
        <w:spacing w:before="0" w:beforeAutospacing="0" w:after="0" w:afterAutospacing="0" w:line="360" w:lineRule="auto"/>
        <w:jc w:val="both"/>
      </w:pPr>
      <w:r w:rsidRPr="00AA64A0">
        <w:t>Based on the findings of this study, the following recommendations are made:</w:t>
      </w:r>
    </w:p>
    <w:p w14:paraId="3E70EE71"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Adoption of MDEA for Large-Scale Operations:</w:t>
      </w:r>
    </w:p>
    <w:p w14:paraId="0D784616" w14:textId="77777777" w:rsidR="00EB421B" w:rsidRPr="00AA64A0" w:rsidRDefault="004C6C37">
      <w:pPr>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 xml:space="preserve">Methyldiethanolamine should be prioritized for industrial gas sweetening in regions with high energy costs due to its low regeneration energy requirement and superior economic performance. </w:t>
      </w:r>
    </w:p>
    <w:p w14:paraId="5A257615"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6A2FF764"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Use of MEA in High-Removal Applications:</w:t>
      </w:r>
    </w:p>
    <w:p w14:paraId="4D32A985"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 xml:space="preserve">Monoethanolamine is recommended where high CO₂ removal efficiency is critical, such as in strict gas specification compliance systems, despite its higher operational cost. </w:t>
      </w:r>
    </w:p>
    <w:p w14:paraId="2B9E2643"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6D2EB519"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Blended Amine Systems:</w:t>
      </w:r>
    </w:p>
    <w:p w14:paraId="33E67B57"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 xml:space="preserve">Future industrial applications should explore MEA–MDEA or DEA–MDEA blended solvents to combine high reaction kinetics with low energy consumption, thereby optimizing both performance and cost. </w:t>
      </w:r>
    </w:p>
    <w:p w14:paraId="2C168ACE"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77D7BE46"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Process Optimization:</w:t>
      </w:r>
    </w:p>
    <w:p w14:paraId="2AAB8189"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 xml:space="preserve">Further optimization of absorber and stripper operating conditions (temperature, pressure, and solvent circulation rate) is recommended to enhance overall system efficiency. </w:t>
      </w:r>
    </w:p>
    <w:p w14:paraId="10953339" w14:textId="77777777" w:rsidR="00EB421B" w:rsidRPr="00AA64A0" w:rsidRDefault="00EB421B">
      <w:pPr>
        <w:spacing w:after="0" w:line="360" w:lineRule="auto"/>
        <w:ind w:left="720"/>
        <w:jc w:val="both"/>
        <w:rPr>
          <w:rStyle w:val="Strong"/>
          <w:rFonts w:ascii="Times New Roman" w:hAnsi="Times New Roman" w:cs="Times New Roman"/>
          <w:b w:val="0"/>
          <w:bCs w:val="0"/>
          <w:sz w:val="24"/>
          <w:szCs w:val="24"/>
        </w:rPr>
      </w:pPr>
    </w:p>
    <w:p w14:paraId="46DACC00" w14:textId="77777777" w:rsidR="00EB421B" w:rsidRPr="00AA64A0" w:rsidRDefault="004C6C37">
      <w:pPr>
        <w:numPr>
          <w:ilvl w:val="0"/>
          <w:numId w:val="16"/>
        </w:numPr>
        <w:spacing w:after="0" w:line="360" w:lineRule="auto"/>
        <w:jc w:val="both"/>
        <w:rPr>
          <w:rFonts w:ascii="Times New Roman" w:hAnsi="Times New Roman" w:cs="Times New Roman"/>
          <w:sz w:val="24"/>
          <w:szCs w:val="24"/>
        </w:rPr>
      </w:pPr>
      <w:r w:rsidRPr="00AA64A0">
        <w:rPr>
          <w:rStyle w:val="Strong"/>
          <w:rFonts w:ascii="Times New Roman" w:hAnsi="Times New Roman" w:cs="Times New Roman"/>
          <w:sz w:val="24"/>
          <w:szCs w:val="24"/>
        </w:rPr>
        <w:t>Industrial Scale Validation:</w:t>
      </w:r>
    </w:p>
    <w:p w14:paraId="52D101FA" w14:textId="77777777" w:rsidR="00EB421B" w:rsidRPr="00AA64A0" w:rsidRDefault="004C6C37">
      <w:pPr>
        <w:tabs>
          <w:tab w:val="left" w:pos="720"/>
        </w:tabs>
        <w:spacing w:after="0" w:line="360" w:lineRule="auto"/>
        <w:ind w:left="720"/>
        <w:jc w:val="both"/>
        <w:rPr>
          <w:rFonts w:ascii="Times New Roman" w:hAnsi="Times New Roman" w:cs="Times New Roman"/>
          <w:sz w:val="24"/>
          <w:szCs w:val="24"/>
        </w:rPr>
      </w:pPr>
      <w:r w:rsidRPr="00AA64A0">
        <w:rPr>
          <w:rFonts w:ascii="Times New Roman" w:hAnsi="Times New Roman" w:cs="Times New Roman"/>
          <w:sz w:val="24"/>
          <w:szCs w:val="24"/>
        </w:rPr>
        <w:t xml:space="preserve">Pilot-scale or industrial validation studies should be conducted to confirm simulation results under real operating conditions in Niger Delta gas processing facilities. </w:t>
      </w:r>
    </w:p>
    <w:p w14:paraId="4FFECE00" w14:textId="77777777" w:rsidR="00EB421B" w:rsidRPr="00AA64A0" w:rsidRDefault="00EB421B">
      <w:pPr>
        <w:spacing w:after="0" w:line="360" w:lineRule="auto"/>
        <w:jc w:val="both"/>
        <w:rPr>
          <w:rFonts w:ascii="Times New Roman" w:hAnsi="Times New Roman" w:cs="Times New Roman"/>
          <w:sz w:val="24"/>
          <w:szCs w:val="24"/>
        </w:rPr>
      </w:pPr>
    </w:p>
    <w:p w14:paraId="7D31C7F6" w14:textId="10966D52" w:rsidR="00EB421B" w:rsidRPr="00AA64A0" w:rsidRDefault="004C6C37">
      <w:pPr>
        <w:pStyle w:val="Heading2"/>
        <w:spacing w:after="0" w:line="360" w:lineRule="auto"/>
        <w:rPr>
          <w:szCs w:val="24"/>
        </w:rPr>
      </w:pPr>
      <w:r w:rsidRPr="00AA64A0">
        <w:rPr>
          <w:rStyle w:val="Strong"/>
          <w:b/>
          <w:bCs w:val="0"/>
          <w:szCs w:val="24"/>
        </w:rPr>
        <w:t>Overall Contribution</w:t>
      </w:r>
      <w:r w:rsidR="00484E69">
        <w:rPr>
          <w:rStyle w:val="Strong"/>
          <w:b/>
          <w:bCs w:val="0"/>
          <w:szCs w:val="24"/>
        </w:rPr>
        <w:t xml:space="preserve"> of this study: </w:t>
      </w:r>
    </w:p>
    <w:p w14:paraId="79D13322" w14:textId="77777777" w:rsidR="00EB421B" w:rsidRPr="00AA64A0" w:rsidRDefault="004C6C37">
      <w:pPr>
        <w:pStyle w:val="NormalWeb"/>
        <w:spacing w:before="0" w:beforeAutospacing="0" w:after="0" w:afterAutospacing="0" w:line="360" w:lineRule="auto"/>
        <w:jc w:val="both"/>
      </w:pPr>
      <w:r w:rsidRPr="00AA64A0">
        <w:t>The study provides a comparative, data-driven framework for selecting optimal amine solvents for CO₂ removal in natural gas processing, particularly relevant to gas fields in developing regions such as the Niger Delta. The findings contribute to the ongoing global effort to improve carbon capture efficiency while reducing energy penalties in gas sweetening systems.</w:t>
      </w:r>
    </w:p>
    <w:p w14:paraId="205C102A" w14:textId="77777777" w:rsidR="00EB421B" w:rsidRPr="00AA64A0" w:rsidRDefault="00EB421B">
      <w:pPr>
        <w:pStyle w:val="NormalWeb"/>
        <w:spacing w:before="0" w:beforeAutospacing="0" w:after="0" w:afterAutospacing="0" w:line="360" w:lineRule="auto"/>
        <w:jc w:val="both"/>
        <w:rPr>
          <w:color w:val="262626"/>
        </w:rPr>
      </w:pPr>
    </w:p>
    <w:p w14:paraId="2AFE2154" w14:textId="77777777" w:rsidR="00484E69" w:rsidRDefault="00484E69" w:rsidP="00484E69">
      <w:pPr>
        <w:pStyle w:val="bb-text"/>
        <w:shd w:val="clear" w:color="auto" w:fill="FFFFFF"/>
        <w:spacing w:after="0" w:line="276" w:lineRule="auto"/>
        <w:jc w:val="both"/>
        <w:textAlignment w:val="baseline"/>
        <w:rPr>
          <w:rStyle w:val="Strong"/>
          <w:rFonts w:eastAsia="SimSun"/>
          <w:color w:val="262626"/>
        </w:rPr>
      </w:pPr>
      <w:r w:rsidRPr="00484E69">
        <w:rPr>
          <w:rStyle w:val="Strong"/>
          <w:rFonts w:eastAsia="SimSun"/>
          <w:color w:val="262626"/>
        </w:rPr>
        <w:t>Disclaimer (Artificial intelligence)</w:t>
      </w:r>
    </w:p>
    <w:p w14:paraId="286BF368" w14:textId="1B1C6291" w:rsidR="00484E69" w:rsidRPr="00484E69" w:rsidRDefault="00484E69" w:rsidP="00484E69">
      <w:pPr>
        <w:pStyle w:val="bb-text"/>
        <w:shd w:val="clear" w:color="auto" w:fill="FFFFFF"/>
        <w:spacing w:after="0" w:line="276" w:lineRule="auto"/>
        <w:jc w:val="both"/>
        <w:textAlignment w:val="baseline"/>
        <w:rPr>
          <w:color w:val="262626"/>
        </w:rPr>
      </w:pPr>
      <w:r w:rsidRPr="00484E69">
        <w:rPr>
          <w:color w:val="262626"/>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59BD94" w14:textId="5065AB4E" w:rsidR="00484E69" w:rsidRPr="00AA64A0" w:rsidRDefault="00484E69" w:rsidP="00484E69">
      <w:pPr>
        <w:pStyle w:val="bb-text"/>
        <w:shd w:val="clear" w:color="auto" w:fill="FFFFFF"/>
        <w:spacing w:before="0" w:beforeAutospacing="0" w:after="0" w:afterAutospacing="0" w:line="276" w:lineRule="auto"/>
        <w:jc w:val="both"/>
        <w:textAlignment w:val="baseline"/>
        <w:rPr>
          <w:color w:val="262626"/>
        </w:rPr>
      </w:pPr>
      <w:r w:rsidRPr="00484E69">
        <w:rPr>
          <w:color w:val="262626"/>
        </w:rPr>
        <w:t>Details of the AI usage are given below:</w:t>
      </w:r>
    </w:p>
    <w:p w14:paraId="65DFB616" w14:textId="77777777" w:rsidR="00484E69" w:rsidRDefault="00484E69">
      <w:pPr>
        <w:pStyle w:val="NormalWeb"/>
        <w:spacing w:before="0" w:beforeAutospacing="0" w:after="0" w:afterAutospacing="0" w:line="360" w:lineRule="auto"/>
        <w:jc w:val="both"/>
        <w:rPr>
          <w:color w:val="0D0D0D"/>
        </w:rPr>
      </w:pPr>
    </w:p>
    <w:p w14:paraId="16B2E7BE" w14:textId="5D9CDD39" w:rsidR="00EB421B" w:rsidRPr="00AA64A0" w:rsidRDefault="004C6C37">
      <w:pPr>
        <w:pStyle w:val="NormalWeb"/>
        <w:spacing w:before="0" w:beforeAutospacing="0" w:after="0" w:afterAutospacing="0" w:line="360" w:lineRule="auto"/>
        <w:jc w:val="both"/>
        <w:rPr>
          <w:b/>
        </w:rPr>
      </w:pPr>
      <w:proofErr w:type="spellStart"/>
      <w:r w:rsidRPr="00AA64A0">
        <w:rPr>
          <w:color w:val="0D0D0D"/>
        </w:rPr>
        <w:t>OpenAI’s</w:t>
      </w:r>
      <w:proofErr w:type="spellEnd"/>
      <w:r w:rsidRPr="00AA64A0">
        <w:rPr>
          <w:color w:val="0D0D0D"/>
        </w:rPr>
        <w:t xml:space="preserve"> </w:t>
      </w:r>
      <w:proofErr w:type="spellStart"/>
      <w:r w:rsidRPr="00AA64A0">
        <w:rPr>
          <w:color w:val="0D0D0D"/>
        </w:rPr>
        <w:t>ChatGPT</w:t>
      </w:r>
      <w:proofErr w:type="spellEnd"/>
      <w:r w:rsidRPr="00AA64A0">
        <w:rPr>
          <w:color w:val="0D0D0D"/>
        </w:rPr>
        <w:t xml:space="preserve"> (based on GPT-4), were used to assist in the preparation and refinement of this paper</w:t>
      </w:r>
      <w:r w:rsidRPr="00AA64A0">
        <w:rPr>
          <w:i/>
          <w:iCs/>
          <w:color w:val="0D0D0D"/>
        </w:rPr>
        <w:t xml:space="preserve">. </w:t>
      </w:r>
      <w:r w:rsidRPr="00AA64A0">
        <w:rPr>
          <w:color w:val="0D0D0D"/>
        </w:rPr>
        <w:t>That this tools supported the following tasks:</w:t>
      </w:r>
    </w:p>
    <w:p w14:paraId="68712116" w14:textId="77777777" w:rsidR="00EB421B" w:rsidRPr="00AA64A0" w:rsidRDefault="004C6C37">
      <w:pPr>
        <w:numPr>
          <w:ilvl w:val="0"/>
          <w:numId w:val="9"/>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Enhancing scientific phrasing and terminology alignment with journal style. </w:t>
      </w:r>
    </w:p>
    <w:p w14:paraId="570F4A9E" w14:textId="77777777" w:rsidR="00EB421B" w:rsidRPr="00AA64A0" w:rsidRDefault="004C6C37">
      <w:pPr>
        <w:numPr>
          <w:ilvl w:val="0"/>
          <w:numId w:val="9"/>
        </w:numPr>
        <w:spacing w:after="0" w:line="360" w:lineRule="auto"/>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 xml:space="preserve">Formatting references in accordance with </w:t>
      </w:r>
      <w:r w:rsidRPr="00AA64A0">
        <w:rPr>
          <w:rFonts w:ascii="Times New Roman" w:hAnsi="Times New Roman" w:cs="Times New Roman"/>
          <w:i/>
          <w:iCs/>
          <w:color w:val="0D0D0D"/>
          <w:sz w:val="24"/>
          <w:szCs w:val="24"/>
        </w:rPr>
        <w:t>Journal</w:t>
      </w:r>
      <w:r w:rsidRPr="00AA64A0">
        <w:rPr>
          <w:rFonts w:ascii="Times New Roman" w:hAnsi="Times New Roman" w:cs="Times New Roman"/>
          <w:color w:val="0D0D0D"/>
          <w:sz w:val="24"/>
          <w:szCs w:val="24"/>
        </w:rPr>
        <w:t>’s citation style.</w:t>
      </w:r>
    </w:p>
    <w:p w14:paraId="03D02092" w14:textId="77777777" w:rsidR="00484E69" w:rsidRDefault="004C6C37" w:rsidP="00484E69">
      <w:pPr>
        <w:spacing w:after="0" w:line="360" w:lineRule="auto"/>
        <w:ind w:firstLine="360"/>
        <w:jc w:val="both"/>
        <w:rPr>
          <w:rFonts w:ascii="Times New Roman" w:hAnsi="Times New Roman" w:cs="Times New Roman"/>
          <w:color w:val="0D0D0D"/>
          <w:sz w:val="24"/>
          <w:szCs w:val="24"/>
        </w:rPr>
      </w:pPr>
      <w:r w:rsidRPr="00AA64A0">
        <w:rPr>
          <w:rFonts w:ascii="Times New Roman" w:hAnsi="Times New Roman" w:cs="Times New Roman"/>
          <w:color w:val="0D0D0D"/>
          <w:sz w:val="24"/>
          <w:szCs w:val="24"/>
        </w:rPr>
        <w:t>All content was critically reviewed, edited, and verified by the authors to ensure scientific accuracy, originality, and alignment with current evidence. The authors take full responsibility for the integrity, validity, and originality of the manuscript.</w:t>
      </w:r>
      <w:bookmarkStart w:id="1" w:name="_Hlk218867759"/>
      <w:bookmarkStart w:id="2" w:name="_Hlk219125673"/>
    </w:p>
    <w:bookmarkEnd w:id="1"/>
    <w:p w14:paraId="6CF5B81B" w14:textId="77777777" w:rsidR="00C86945" w:rsidRDefault="00C86945" w:rsidP="00C86945">
      <w:pPr>
        <w:rPr>
          <w:sz w:val="28"/>
        </w:rPr>
      </w:pPr>
    </w:p>
    <w:bookmarkEnd w:id="2"/>
    <w:p w14:paraId="20A4E833" w14:textId="77777777" w:rsidR="00963B27" w:rsidRPr="00963B27" w:rsidRDefault="00963B27" w:rsidP="00963B27">
      <w:pPr>
        <w:spacing w:after="0" w:line="360" w:lineRule="auto"/>
        <w:ind w:firstLine="360"/>
        <w:jc w:val="both"/>
        <w:rPr>
          <w:rFonts w:ascii="Times New Roman" w:hAnsi="Times New Roman" w:cs="Times New Roman"/>
          <w:color w:val="0D0D0D"/>
          <w:sz w:val="24"/>
          <w:szCs w:val="24"/>
        </w:rPr>
      </w:pPr>
    </w:p>
    <w:p w14:paraId="775F1150" w14:textId="77777777" w:rsidR="00963B27" w:rsidRPr="00AA64A0" w:rsidRDefault="00963B27">
      <w:pPr>
        <w:spacing w:after="0" w:line="360" w:lineRule="auto"/>
        <w:ind w:firstLine="360"/>
        <w:jc w:val="both"/>
        <w:rPr>
          <w:rFonts w:ascii="Times New Roman" w:hAnsi="Times New Roman" w:cs="Times New Roman"/>
          <w:color w:val="0D0D0D"/>
          <w:sz w:val="24"/>
          <w:szCs w:val="24"/>
        </w:rPr>
      </w:pPr>
    </w:p>
    <w:p w14:paraId="3F66CB0E" w14:textId="77777777" w:rsidR="00EB421B" w:rsidRPr="00AA64A0" w:rsidRDefault="00EB421B">
      <w:pPr>
        <w:pStyle w:val="NormalWeb"/>
        <w:spacing w:before="0" w:beforeAutospacing="0" w:after="0" w:afterAutospacing="0" w:line="276" w:lineRule="auto"/>
        <w:jc w:val="both"/>
        <w:rPr>
          <w:color w:val="262626"/>
        </w:rPr>
      </w:pPr>
    </w:p>
    <w:p w14:paraId="6588AD6E" w14:textId="77777777" w:rsidR="00EB421B" w:rsidRPr="00AA64A0" w:rsidRDefault="004C6C37">
      <w:pPr>
        <w:spacing w:after="0" w:line="240" w:lineRule="auto"/>
        <w:jc w:val="center"/>
        <w:rPr>
          <w:rFonts w:ascii="Times New Roman" w:hAnsi="Times New Roman" w:cs="Times New Roman"/>
          <w:b/>
          <w:color w:val="262626"/>
          <w:sz w:val="28"/>
          <w:szCs w:val="28"/>
        </w:rPr>
      </w:pPr>
      <w:r w:rsidRPr="00AA64A0">
        <w:rPr>
          <w:rFonts w:ascii="Times New Roman" w:hAnsi="Times New Roman" w:cs="Times New Roman"/>
          <w:b/>
          <w:color w:val="262626"/>
          <w:sz w:val="28"/>
          <w:szCs w:val="28"/>
        </w:rPr>
        <w:t>References</w:t>
      </w:r>
    </w:p>
    <w:p w14:paraId="6D5511DB" w14:textId="77777777" w:rsidR="00765CE5" w:rsidRDefault="00765CE5" w:rsidP="00765CE5">
      <w:pPr>
        <w:spacing w:after="0"/>
        <w:jc w:val="both"/>
        <w:rPr>
          <w:color w:val="262626"/>
        </w:rPr>
      </w:pPr>
    </w:p>
    <w:p w14:paraId="77BCF176" w14:textId="77777777"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lastRenderedPageBreak/>
        <w:t xml:space="preserve">International Energy Agency (IEA). (2024). </w:t>
      </w:r>
      <w:r w:rsidRPr="00765CE5">
        <w:rPr>
          <w:rFonts w:ascii="Times New Roman" w:hAnsi="Times New Roman" w:cs="Times New Roman"/>
          <w:i/>
          <w:iCs/>
          <w:color w:val="262626"/>
          <w:sz w:val="24"/>
          <w:szCs w:val="24"/>
          <w:highlight w:val="yellow"/>
        </w:rPr>
        <w:t>World Energy Outlook 2024</w:t>
      </w:r>
      <w:r w:rsidRPr="00765CE5">
        <w:rPr>
          <w:rFonts w:ascii="Times New Roman" w:hAnsi="Times New Roman" w:cs="Times New Roman"/>
          <w:color w:val="262626"/>
          <w:sz w:val="24"/>
          <w:szCs w:val="24"/>
          <w:highlight w:val="yellow"/>
        </w:rPr>
        <w:t>. Paris: IEA.</w:t>
      </w:r>
    </w:p>
    <w:p w14:paraId="526191E7" w14:textId="77777777" w:rsidR="00765CE5" w:rsidRDefault="00765CE5" w:rsidP="00765CE5">
      <w:pPr>
        <w:pStyle w:val="ListParagraph"/>
        <w:spacing w:after="0"/>
        <w:jc w:val="both"/>
        <w:rPr>
          <w:rFonts w:ascii="Times New Roman" w:hAnsi="Times New Roman" w:cs="Times New Roman"/>
          <w:color w:val="262626"/>
          <w:sz w:val="24"/>
          <w:szCs w:val="24"/>
          <w:highlight w:val="yellow"/>
        </w:rPr>
      </w:pPr>
    </w:p>
    <w:p w14:paraId="27A4F252" w14:textId="03545D77"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Khan, F. M., Krishnan, S., &amp; Mahmoud, M. (2023). Simulation and optimization of CO₂ capture using amine solvents in Aspen HYSYS. </w:t>
      </w:r>
      <w:r w:rsidRPr="00765CE5">
        <w:rPr>
          <w:rFonts w:ascii="Times New Roman" w:hAnsi="Times New Roman" w:cs="Times New Roman"/>
          <w:i/>
          <w:iCs/>
          <w:color w:val="262626"/>
          <w:sz w:val="24"/>
          <w:szCs w:val="24"/>
          <w:highlight w:val="yellow"/>
        </w:rPr>
        <w:t>Journal of Natural Gas Science and Engineering</w:t>
      </w:r>
      <w:r w:rsidRPr="00765CE5">
        <w:rPr>
          <w:rFonts w:ascii="Times New Roman" w:hAnsi="Times New Roman" w:cs="Times New Roman"/>
          <w:color w:val="262626"/>
          <w:sz w:val="24"/>
          <w:szCs w:val="24"/>
          <w:highlight w:val="yellow"/>
        </w:rPr>
        <w:t xml:space="preserve">, 109, 104825. </w:t>
      </w:r>
      <w:hyperlink r:id="rId7" w:history="1">
        <w:r w:rsidRPr="00001BDC">
          <w:rPr>
            <w:rStyle w:val="Hyperlink"/>
            <w:rFonts w:ascii="Times New Roman" w:hAnsi="Times New Roman" w:cs="Times New Roman"/>
            <w:sz w:val="24"/>
            <w:szCs w:val="24"/>
            <w:highlight w:val="yellow"/>
          </w:rPr>
          <w:t>https://doi.org/10.1016/j.jngse.2022.104825</w:t>
        </w:r>
      </w:hyperlink>
    </w:p>
    <w:p w14:paraId="56925527" w14:textId="77777777" w:rsidR="00765CE5" w:rsidRPr="00765CE5" w:rsidRDefault="00765CE5" w:rsidP="00765CE5">
      <w:pPr>
        <w:pStyle w:val="ListParagraph"/>
        <w:rPr>
          <w:rFonts w:ascii="Times New Roman" w:hAnsi="Times New Roman" w:cs="Times New Roman"/>
          <w:color w:val="262626"/>
          <w:sz w:val="24"/>
          <w:szCs w:val="24"/>
          <w:highlight w:val="yellow"/>
        </w:rPr>
      </w:pPr>
    </w:p>
    <w:p w14:paraId="0B475376" w14:textId="5722CB98"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Sreedhar, I., </w:t>
      </w:r>
      <w:proofErr w:type="spellStart"/>
      <w:r w:rsidRPr="00765CE5">
        <w:rPr>
          <w:rFonts w:ascii="Times New Roman" w:hAnsi="Times New Roman" w:cs="Times New Roman"/>
          <w:color w:val="262626"/>
          <w:sz w:val="24"/>
          <w:szCs w:val="24"/>
          <w:highlight w:val="yellow"/>
        </w:rPr>
        <w:t>Vaidhiswaran</w:t>
      </w:r>
      <w:proofErr w:type="spellEnd"/>
      <w:r w:rsidRPr="00765CE5">
        <w:rPr>
          <w:rFonts w:ascii="Times New Roman" w:hAnsi="Times New Roman" w:cs="Times New Roman"/>
          <w:color w:val="262626"/>
          <w:sz w:val="24"/>
          <w:szCs w:val="24"/>
          <w:highlight w:val="yellow"/>
        </w:rPr>
        <w:t xml:space="preserve">, R., Kamani, B. M., &amp; Venugopal, A. (2021). Process and engineering trends in CO₂ capture technologies. </w:t>
      </w:r>
      <w:r w:rsidRPr="00765CE5">
        <w:rPr>
          <w:rFonts w:ascii="Times New Roman" w:hAnsi="Times New Roman" w:cs="Times New Roman"/>
          <w:i/>
          <w:iCs/>
          <w:color w:val="262626"/>
          <w:sz w:val="24"/>
          <w:szCs w:val="24"/>
          <w:highlight w:val="yellow"/>
        </w:rPr>
        <w:t>Renewable and Sustainable Energy Reviews</w:t>
      </w:r>
      <w:r w:rsidRPr="00765CE5">
        <w:rPr>
          <w:rFonts w:ascii="Times New Roman" w:hAnsi="Times New Roman" w:cs="Times New Roman"/>
          <w:color w:val="262626"/>
          <w:sz w:val="24"/>
          <w:szCs w:val="24"/>
          <w:highlight w:val="yellow"/>
        </w:rPr>
        <w:t xml:space="preserve">, 138, 110665. </w:t>
      </w:r>
      <w:hyperlink r:id="rId8" w:history="1">
        <w:r w:rsidRPr="00001BDC">
          <w:rPr>
            <w:rStyle w:val="Hyperlink"/>
            <w:rFonts w:ascii="Times New Roman" w:hAnsi="Times New Roman" w:cs="Times New Roman"/>
            <w:sz w:val="24"/>
            <w:szCs w:val="24"/>
            <w:highlight w:val="yellow"/>
          </w:rPr>
          <w:t>https://doi.org/10.1016/j.rser.2020.110665</w:t>
        </w:r>
      </w:hyperlink>
    </w:p>
    <w:p w14:paraId="6CE96F31" w14:textId="77777777" w:rsidR="00765CE5" w:rsidRPr="00765CE5" w:rsidRDefault="00765CE5" w:rsidP="00765CE5">
      <w:pPr>
        <w:pStyle w:val="ListParagraph"/>
        <w:rPr>
          <w:rFonts w:ascii="Times New Roman" w:hAnsi="Times New Roman" w:cs="Times New Roman"/>
          <w:color w:val="262626"/>
          <w:sz w:val="24"/>
          <w:szCs w:val="24"/>
          <w:highlight w:val="yellow"/>
        </w:rPr>
      </w:pPr>
    </w:p>
    <w:p w14:paraId="2BB0E326" w14:textId="7D6FA2B6"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Ding, Y., Alpay, E., &amp; Metcalfe, I. S. (2023). Advances in amine-based solvents for CO₂ capture: Performance and degradation considerations. </w:t>
      </w:r>
      <w:r w:rsidRPr="00765CE5">
        <w:rPr>
          <w:rFonts w:ascii="Times New Roman" w:hAnsi="Times New Roman" w:cs="Times New Roman"/>
          <w:i/>
          <w:iCs/>
          <w:color w:val="262626"/>
          <w:sz w:val="24"/>
          <w:szCs w:val="24"/>
          <w:highlight w:val="yellow"/>
        </w:rPr>
        <w:t>Chemical Engineering Research and Design</w:t>
      </w:r>
      <w:r w:rsidRPr="00765CE5">
        <w:rPr>
          <w:rFonts w:ascii="Times New Roman" w:hAnsi="Times New Roman" w:cs="Times New Roman"/>
          <w:color w:val="262626"/>
          <w:sz w:val="24"/>
          <w:szCs w:val="24"/>
          <w:highlight w:val="yellow"/>
        </w:rPr>
        <w:t xml:space="preserve">, 195, 45–60. </w:t>
      </w:r>
      <w:hyperlink r:id="rId9" w:history="1">
        <w:r w:rsidRPr="00001BDC">
          <w:rPr>
            <w:rStyle w:val="Hyperlink"/>
            <w:rFonts w:ascii="Times New Roman" w:hAnsi="Times New Roman" w:cs="Times New Roman"/>
            <w:sz w:val="24"/>
            <w:szCs w:val="24"/>
            <w:highlight w:val="yellow"/>
          </w:rPr>
          <w:t>https://doi.org/10.1016/j.cherd.2023.03.012</w:t>
        </w:r>
      </w:hyperlink>
    </w:p>
    <w:p w14:paraId="3EC220B2" w14:textId="77777777" w:rsidR="00765CE5" w:rsidRPr="00765CE5" w:rsidRDefault="00765CE5" w:rsidP="00765CE5">
      <w:pPr>
        <w:pStyle w:val="ListParagraph"/>
        <w:rPr>
          <w:rFonts w:ascii="Times New Roman" w:hAnsi="Times New Roman" w:cs="Times New Roman"/>
          <w:color w:val="262626"/>
          <w:sz w:val="24"/>
          <w:szCs w:val="24"/>
          <w:highlight w:val="yellow"/>
        </w:rPr>
      </w:pPr>
    </w:p>
    <w:p w14:paraId="303FF362" w14:textId="2A9FB5F1"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Rochelle, G. T. (2022). Amine scrubbing for CO₂ capture: Status and future directions. </w:t>
      </w:r>
      <w:r w:rsidRPr="00765CE5">
        <w:rPr>
          <w:rFonts w:ascii="Times New Roman" w:hAnsi="Times New Roman" w:cs="Times New Roman"/>
          <w:i/>
          <w:iCs/>
          <w:color w:val="262626"/>
          <w:sz w:val="24"/>
          <w:szCs w:val="24"/>
          <w:highlight w:val="yellow"/>
        </w:rPr>
        <w:t>Current Opinion in Chemical Engineering</w:t>
      </w:r>
      <w:r w:rsidRPr="00765CE5">
        <w:rPr>
          <w:rFonts w:ascii="Times New Roman" w:hAnsi="Times New Roman" w:cs="Times New Roman"/>
          <w:color w:val="262626"/>
          <w:sz w:val="24"/>
          <w:szCs w:val="24"/>
          <w:highlight w:val="yellow"/>
        </w:rPr>
        <w:t xml:space="preserve">, 36, 100831. </w:t>
      </w:r>
      <w:hyperlink r:id="rId10" w:history="1">
        <w:r w:rsidRPr="00001BDC">
          <w:rPr>
            <w:rStyle w:val="Hyperlink"/>
            <w:rFonts w:ascii="Times New Roman" w:hAnsi="Times New Roman" w:cs="Times New Roman"/>
            <w:sz w:val="24"/>
            <w:szCs w:val="24"/>
            <w:highlight w:val="yellow"/>
          </w:rPr>
          <w:t>https://doi.org/10.1016/j.coche.2022.100831</w:t>
        </w:r>
      </w:hyperlink>
      <w:r w:rsidRPr="00765CE5">
        <w:rPr>
          <w:rFonts w:ascii="Times New Roman" w:hAnsi="Times New Roman" w:cs="Times New Roman"/>
          <w:color w:val="262626"/>
          <w:sz w:val="24"/>
          <w:szCs w:val="24"/>
          <w:highlight w:val="yellow"/>
        </w:rPr>
        <w:t xml:space="preserve"> </w:t>
      </w:r>
    </w:p>
    <w:p w14:paraId="4C13AD60" w14:textId="77777777" w:rsidR="00765CE5" w:rsidRPr="00765CE5" w:rsidRDefault="00765CE5" w:rsidP="00765CE5">
      <w:pPr>
        <w:pStyle w:val="ListParagraph"/>
        <w:rPr>
          <w:rFonts w:ascii="Times New Roman" w:hAnsi="Times New Roman" w:cs="Times New Roman"/>
          <w:color w:val="262626"/>
          <w:sz w:val="24"/>
          <w:szCs w:val="24"/>
          <w:highlight w:val="yellow"/>
        </w:rPr>
      </w:pPr>
    </w:p>
    <w:p w14:paraId="34626DF3" w14:textId="77777777"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World Bank. (2024). </w:t>
      </w:r>
      <w:r w:rsidRPr="00765CE5">
        <w:rPr>
          <w:rFonts w:ascii="Times New Roman" w:hAnsi="Times New Roman" w:cs="Times New Roman"/>
          <w:i/>
          <w:iCs/>
          <w:color w:val="262626"/>
          <w:sz w:val="24"/>
          <w:szCs w:val="24"/>
          <w:highlight w:val="yellow"/>
        </w:rPr>
        <w:t>Global Gas Flaring Reduction Partnership (GGFR) Annual Report 2024</w:t>
      </w:r>
      <w:r w:rsidRPr="00765CE5">
        <w:rPr>
          <w:rFonts w:ascii="Times New Roman" w:hAnsi="Times New Roman" w:cs="Times New Roman"/>
          <w:color w:val="262626"/>
          <w:sz w:val="24"/>
          <w:szCs w:val="24"/>
          <w:highlight w:val="yellow"/>
        </w:rPr>
        <w:t>. Washington, DC: World Bank.</w:t>
      </w:r>
    </w:p>
    <w:p w14:paraId="3F20C8A9" w14:textId="77777777" w:rsidR="00765CE5" w:rsidRPr="00765CE5" w:rsidRDefault="00765CE5" w:rsidP="00765CE5">
      <w:pPr>
        <w:pStyle w:val="ListParagraph"/>
        <w:rPr>
          <w:rFonts w:ascii="Times New Roman" w:hAnsi="Times New Roman" w:cs="Times New Roman"/>
          <w:color w:val="262626"/>
          <w:sz w:val="24"/>
          <w:szCs w:val="24"/>
          <w:highlight w:val="yellow"/>
        </w:rPr>
      </w:pPr>
    </w:p>
    <w:p w14:paraId="6D27DFC9" w14:textId="3526A6EE"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Boot-Handford, M. E., </w:t>
      </w:r>
      <w:proofErr w:type="spellStart"/>
      <w:r w:rsidRPr="00765CE5">
        <w:rPr>
          <w:rFonts w:ascii="Times New Roman" w:hAnsi="Times New Roman" w:cs="Times New Roman"/>
          <w:color w:val="262626"/>
          <w:sz w:val="24"/>
          <w:szCs w:val="24"/>
          <w:highlight w:val="yellow"/>
        </w:rPr>
        <w:t>Abanades</w:t>
      </w:r>
      <w:proofErr w:type="spellEnd"/>
      <w:r w:rsidRPr="00765CE5">
        <w:rPr>
          <w:rFonts w:ascii="Times New Roman" w:hAnsi="Times New Roman" w:cs="Times New Roman"/>
          <w:color w:val="262626"/>
          <w:sz w:val="24"/>
          <w:szCs w:val="24"/>
          <w:highlight w:val="yellow"/>
        </w:rPr>
        <w:t xml:space="preserve">, J. C., Anthony, E. J., et al. (2021). Carbon capture and storage update: Energy-efficient CO₂ capture technologies. </w:t>
      </w:r>
      <w:r w:rsidRPr="00765CE5">
        <w:rPr>
          <w:rFonts w:ascii="Times New Roman" w:hAnsi="Times New Roman" w:cs="Times New Roman"/>
          <w:i/>
          <w:iCs/>
          <w:color w:val="262626"/>
          <w:sz w:val="24"/>
          <w:szCs w:val="24"/>
          <w:highlight w:val="yellow"/>
        </w:rPr>
        <w:t>Energy &amp; Environmental Science</w:t>
      </w:r>
      <w:r w:rsidRPr="00765CE5">
        <w:rPr>
          <w:rFonts w:ascii="Times New Roman" w:hAnsi="Times New Roman" w:cs="Times New Roman"/>
          <w:color w:val="262626"/>
          <w:sz w:val="24"/>
          <w:szCs w:val="24"/>
          <w:highlight w:val="yellow"/>
        </w:rPr>
        <w:t xml:space="preserve">, 14(9), 4112–4146. </w:t>
      </w:r>
      <w:hyperlink r:id="rId11" w:history="1">
        <w:r w:rsidRPr="00001BDC">
          <w:rPr>
            <w:rStyle w:val="Hyperlink"/>
            <w:rFonts w:ascii="Times New Roman" w:hAnsi="Times New Roman" w:cs="Times New Roman"/>
            <w:sz w:val="24"/>
            <w:szCs w:val="24"/>
            <w:highlight w:val="yellow"/>
          </w:rPr>
          <w:t>https://doi.org/10.1039/D1EE01587B</w:t>
        </w:r>
      </w:hyperlink>
    </w:p>
    <w:p w14:paraId="26DED526" w14:textId="77777777" w:rsidR="00765CE5" w:rsidRPr="00765CE5" w:rsidRDefault="00765CE5" w:rsidP="00765CE5">
      <w:pPr>
        <w:pStyle w:val="ListParagraph"/>
        <w:rPr>
          <w:rFonts w:ascii="Times New Roman" w:hAnsi="Times New Roman" w:cs="Times New Roman"/>
          <w:color w:val="262626"/>
          <w:sz w:val="24"/>
          <w:szCs w:val="24"/>
          <w:highlight w:val="yellow"/>
        </w:rPr>
      </w:pPr>
    </w:p>
    <w:p w14:paraId="4CB668BC" w14:textId="22643267" w:rsidR="00765CE5" w:rsidRDefault="00765CE5" w:rsidP="00765CE5">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Kather, A., &amp; </w:t>
      </w:r>
      <w:proofErr w:type="spellStart"/>
      <w:r w:rsidRPr="00765CE5">
        <w:rPr>
          <w:rFonts w:ascii="Times New Roman" w:hAnsi="Times New Roman" w:cs="Times New Roman"/>
          <w:color w:val="262626"/>
          <w:sz w:val="24"/>
          <w:szCs w:val="24"/>
          <w:highlight w:val="yellow"/>
        </w:rPr>
        <w:t>Scheffknecht</w:t>
      </w:r>
      <w:proofErr w:type="spellEnd"/>
      <w:r w:rsidRPr="00765CE5">
        <w:rPr>
          <w:rFonts w:ascii="Times New Roman" w:hAnsi="Times New Roman" w:cs="Times New Roman"/>
          <w:color w:val="262626"/>
          <w:sz w:val="24"/>
          <w:szCs w:val="24"/>
          <w:highlight w:val="yellow"/>
        </w:rPr>
        <w:t xml:space="preserve">, G. (2022). Corrosion and operational challenges in CO₂ capture systems. </w:t>
      </w:r>
      <w:r w:rsidRPr="00765CE5">
        <w:rPr>
          <w:rFonts w:ascii="Times New Roman" w:hAnsi="Times New Roman" w:cs="Times New Roman"/>
          <w:i/>
          <w:iCs/>
          <w:color w:val="262626"/>
          <w:sz w:val="24"/>
          <w:szCs w:val="24"/>
          <w:highlight w:val="yellow"/>
        </w:rPr>
        <w:t>Journal of Cleaner Production</w:t>
      </w:r>
      <w:r w:rsidRPr="00765CE5">
        <w:rPr>
          <w:rFonts w:ascii="Times New Roman" w:hAnsi="Times New Roman" w:cs="Times New Roman"/>
          <w:color w:val="262626"/>
          <w:sz w:val="24"/>
          <w:szCs w:val="24"/>
          <w:highlight w:val="yellow"/>
        </w:rPr>
        <w:t xml:space="preserve">, 350, 131456. </w:t>
      </w:r>
      <w:hyperlink r:id="rId12" w:history="1">
        <w:r w:rsidRPr="00001BDC">
          <w:rPr>
            <w:rStyle w:val="Hyperlink"/>
            <w:rFonts w:ascii="Times New Roman" w:hAnsi="Times New Roman" w:cs="Times New Roman"/>
            <w:sz w:val="24"/>
            <w:szCs w:val="24"/>
            <w:highlight w:val="yellow"/>
          </w:rPr>
          <w:t>https://doi.org/10.1016/j.jclepro.2022.131456</w:t>
        </w:r>
      </w:hyperlink>
    </w:p>
    <w:p w14:paraId="78EE5C40" w14:textId="77777777" w:rsidR="00765CE5" w:rsidRPr="00765CE5" w:rsidRDefault="00765CE5" w:rsidP="00765CE5">
      <w:pPr>
        <w:pStyle w:val="ListParagraph"/>
        <w:rPr>
          <w:rFonts w:ascii="Times New Roman" w:hAnsi="Times New Roman" w:cs="Times New Roman"/>
          <w:color w:val="262626"/>
          <w:sz w:val="24"/>
          <w:szCs w:val="24"/>
          <w:highlight w:val="yellow"/>
        </w:rPr>
      </w:pPr>
    </w:p>
    <w:p w14:paraId="7DC2A690" w14:textId="77777777"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Rochelle, G. T. (2022). Amine scrubbing for CO₂ capture: Status and future directions. </w:t>
      </w:r>
      <w:r w:rsidRPr="00765CE5">
        <w:rPr>
          <w:rFonts w:ascii="Times New Roman" w:hAnsi="Times New Roman" w:cs="Times New Roman"/>
          <w:i/>
          <w:iCs/>
          <w:color w:val="262626"/>
          <w:sz w:val="24"/>
          <w:szCs w:val="24"/>
          <w:highlight w:val="yellow"/>
        </w:rPr>
        <w:t>Current Opinion in Chemical Engineering</w:t>
      </w:r>
      <w:r w:rsidRPr="00765CE5">
        <w:rPr>
          <w:rFonts w:ascii="Times New Roman" w:hAnsi="Times New Roman" w:cs="Times New Roman"/>
          <w:color w:val="262626"/>
          <w:sz w:val="24"/>
          <w:szCs w:val="24"/>
          <w:highlight w:val="yellow"/>
        </w:rPr>
        <w:t>, 36, 100831.</w:t>
      </w:r>
    </w:p>
    <w:p w14:paraId="2F7CEDD5"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63C7C089" w14:textId="77777777"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World Bank. (2024). </w:t>
      </w:r>
      <w:r w:rsidRPr="00765CE5">
        <w:rPr>
          <w:rFonts w:ascii="Times New Roman" w:hAnsi="Times New Roman" w:cs="Times New Roman"/>
          <w:i/>
          <w:iCs/>
          <w:color w:val="262626"/>
          <w:sz w:val="24"/>
          <w:szCs w:val="24"/>
          <w:highlight w:val="yellow"/>
        </w:rPr>
        <w:t>Global Gas Flaring Reduction Partnership (GGFR) Annual Report 2024</w:t>
      </w:r>
      <w:r w:rsidRPr="00765CE5">
        <w:rPr>
          <w:rFonts w:ascii="Times New Roman" w:hAnsi="Times New Roman" w:cs="Times New Roman"/>
          <w:color w:val="262626"/>
          <w:sz w:val="24"/>
          <w:szCs w:val="24"/>
          <w:highlight w:val="yellow"/>
        </w:rPr>
        <w:t xml:space="preserve">. Washington, DC. </w:t>
      </w:r>
    </w:p>
    <w:p w14:paraId="01323A57"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674DA611" w14:textId="77777777"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Boot-Handford, M. E., </w:t>
      </w:r>
      <w:proofErr w:type="spellStart"/>
      <w:r w:rsidRPr="00765CE5">
        <w:rPr>
          <w:rFonts w:ascii="Times New Roman" w:hAnsi="Times New Roman" w:cs="Times New Roman"/>
          <w:color w:val="262626"/>
          <w:sz w:val="24"/>
          <w:szCs w:val="24"/>
          <w:highlight w:val="yellow"/>
        </w:rPr>
        <w:t>Abanades</w:t>
      </w:r>
      <w:proofErr w:type="spellEnd"/>
      <w:r w:rsidRPr="00765CE5">
        <w:rPr>
          <w:rFonts w:ascii="Times New Roman" w:hAnsi="Times New Roman" w:cs="Times New Roman"/>
          <w:color w:val="262626"/>
          <w:sz w:val="24"/>
          <w:szCs w:val="24"/>
          <w:highlight w:val="yellow"/>
        </w:rPr>
        <w:t xml:space="preserve">, J. C., Anthony, E. J., et al. (2021). Carbon capture and storage update: Energy-efficient CO₂ capture technologies. </w:t>
      </w:r>
      <w:r w:rsidRPr="00765CE5">
        <w:rPr>
          <w:rFonts w:ascii="Times New Roman" w:hAnsi="Times New Roman" w:cs="Times New Roman"/>
          <w:i/>
          <w:iCs/>
          <w:color w:val="262626"/>
          <w:sz w:val="24"/>
          <w:szCs w:val="24"/>
          <w:highlight w:val="yellow"/>
        </w:rPr>
        <w:t>Energy &amp; Environmental Science</w:t>
      </w:r>
      <w:r w:rsidRPr="00765CE5">
        <w:rPr>
          <w:rFonts w:ascii="Times New Roman" w:hAnsi="Times New Roman" w:cs="Times New Roman"/>
          <w:color w:val="262626"/>
          <w:sz w:val="24"/>
          <w:szCs w:val="24"/>
          <w:highlight w:val="yellow"/>
        </w:rPr>
        <w:t>, 14(9), 4112–4146.</w:t>
      </w:r>
    </w:p>
    <w:p w14:paraId="28E8D117"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385CA98F" w14:textId="77777777"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Kather, A., &amp; </w:t>
      </w:r>
      <w:proofErr w:type="spellStart"/>
      <w:r w:rsidRPr="00765CE5">
        <w:rPr>
          <w:rFonts w:ascii="Times New Roman" w:hAnsi="Times New Roman" w:cs="Times New Roman"/>
          <w:color w:val="262626"/>
          <w:sz w:val="24"/>
          <w:szCs w:val="24"/>
          <w:highlight w:val="yellow"/>
        </w:rPr>
        <w:t>Scheffknecht</w:t>
      </w:r>
      <w:proofErr w:type="spellEnd"/>
      <w:r w:rsidRPr="00765CE5">
        <w:rPr>
          <w:rFonts w:ascii="Times New Roman" w:hAnsi="Times New Roman" w:cs="Times New Roman"/>
          <w:color w:val="262626"/>
          <w:sz w:val="24"/>
          <w:szCs w:val="24"/>
          <w:highlight w:val="yellow"/>
        </w:rPr>
        <w:t xml:space="preserve">, G. (2022). Corrosion and operational challenges in CO₂ capture systems. </w:t>
      </w:r>
      <w:r w:rsidRPr="00765CE5">
        <w:rPr>
          <w:rFonts w:ascii="Times New Roman" w:hAnsi="Times New Roman" w:cs="Times New Roman"/>
          <w:i/>
          <w:iCs/>
          <w:color w:val="262626"/>
          <w:sz w:val="24"/>
          <w:szCs w:val="24"/>
          <w:highlight w:val="yellow"/>
        </w:rPr>
        <w:t>Journal of Cleaner Production</w:t>
      </w:r>
      <w:r w:rsidRPr="00765CE5">
        <w:rPr>
          <w:rFonts w:ascii="Times New Roman" w:hAnsi="Times New Roman" w:cs="Times New Roman"/>
          <w:color w:val="262626"/>
          <w:sz w:val="24"/>
          <w:szCs w:val="24"/>
          <w:highlight w:val="yellow"/>
        </w:rPr>
        <w:t>, 350, 131456.</w:t>
      </w:r>
    </w:p>
    <w:p w14:paraId="55E19483"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4AC58CC7" w14:textId="77777777"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lastRenderedPageBreak/>
        <w:t xml:space="preserve">Ding, Y., Alpay, E., &amp; Metcalfe, I. S. (2023). Advances in amine-based solvents for CO₂ capture. </w:t>
      </w:r>
      <w:r w:rsidRPr="00765CE5">
        <w:rPr>
          <w:rFonts w:ascii="Times New Roman" w:hAnsi="Times New Roman" w:cs="Times New Roman"/>
          <w:i/>
          <w:iCs/>
          <w:color w:val="262626"/>
          <w:sz w:val="24"/>
          <w:szCs w:val="24"/>
          <w:highlight w:val="yellow"/>
        </w:rPr>
        <w:t>Chemical Engineering Research and Design</w:t>
      </w:r>
      <w:r w:rsidRPr="00765CE5">
        <w:rPr>
          <w:rFonts w:ascii="Times New Roman" w:hAnsi="Times New Roman" w:cs="Times New Roman"/>
          <w:color w:val="262626"/>
          <w:sz w:val="24"/>
          <w:szCs w:val="24"/>
          <w:highlight w:val="yellow"/>
        </w:rPr>
        <w:t>, 195, 45–60.</w:t>
      </w:r>
    </w:p>
    <w:p w14:paraId="17B69AF1"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02D1D80B" w14:textId="77777777"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Rochelle, G. T. (2022). Amine scrubbing for CO₂ capture: Status and future directions. </w:t>
      </w:r>
      <w:r w:rsidRPr="00765CE5">
        <w:rPr>
          <w:rFonts w:ascii="Times New Roman" w:hAnsi="Times New Roman" w:cs="Times New Roman"/>
          <w:i/>
          <w:iCs/>
          <w:color w:val="262626"/>
          <w:sz w:val="24"/>
          <w:szCs w:val="24"/>
          <w:highlight w:val="yellow"/>
        </w:rPr>
        <w:t>Current Opinion in Chemical Engineering</w:t>
      </w:r>
      <w:r w:rsidRPr="00765CE5">
        <w:rPr>
          <w:rFonts w:ascii="Times New Roman" w:hAnsi="Times New Roman" w:cs="Times New Roman"/>
          <w:color w:val="262626"/>
          <w:sz w:val="24"/>
          <w:szCs w:val="24"/>
          <w:highlight w:val="yellow"/>
        </w:rPr>
        <w:t>, 36, 100831.</w:t>
      </w:r>
    </w:p>
    <w:p w14:paraId="4759DDFC"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1D3B3738" w14:textId="274463DE"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proofErr w:type="spellStart"/>
      <w:r w:rsidRPr="00765CE5">
        <w:rPr>
          <w:rFonts w:ascii="Times New Roman" w:hAnsi="Times New Roman" w:cs="Times New Roman"/>
          <w:color w:val="262626"/>
          <w:sz w:val="24"/>
          <w:szCs w:val="24"/>
          <w:highlight w:val="yellow"/>
        </w:rPr>
        <w:t>Afkhamipour</w:t>
      </w:r>
      <w:proofErr w:type="spellEnd"/>
      <w:r w:rsidRPr="00765CE5">
        <w:rPr>
          <w:rFonts w:ascii="Times New Roman" w:hAnsi="Times New Roman" w:cs="Times New Roman"/>
          <w:color w:val="262626"/>
          <w:sz w:val="24"/>
          <w:szCs w:val="24"/>
          <w:highlight w:val="yellow"/>
        </w:rPr>
        <w:t xml:space="preserve">, M., &amp; </w:t>
      </w:r>
      <w:proofErr w:type="spellStart"/>
      <w:r w:rsidRPr="00765CE5">
        <w:rPr>
          <w:rFonts w:ascii="Times New Roman" w:hAnsi="Times New Roman" w:cs="Times New Roman"/>
          <w:color w:val="262626"/>
          <w:sz w:val="24"/>
          <w:szCs w:val="24"/>
          <w:highlight w:val="yellow"/>
        </w:rPr>
        <w:t>Mofarahi</w:t>
      </w:r>
      <w:proofErr w:type="spellEnd"/>
      <w:r w:rsidRPr="00765CE5">
        <w:rPr>
          <w:rFonts w:ascii="Times New Roman" w:hAnsi="Times New Roman" w:cs="Times New Roman"/>
          <w:color w:val="262626"/>
          <w:sz w:val="24"/>
          <w:szCs w:val="24"/>
          <w:highlight w:val="yellow"/>
        </w:rPr>
        <w:t xml:space="preserve">, M. (2021). Mass transfer and absorption performance of CO₂ in amine solutions. </w:t>
      </w:r>
      <w:r w:rsidRPr="00765CE5">
        <w:rPr>
          <w:rFonts w:ascii="Times New Roman" w:hAnsi="Times New Roman" w:cs="Times New Roman"/>
          <w:i/>
          <w:iCs/>
          <w:color w:val="262626"/>
          <w:sz w:val="24"/>
          <w:szCs w:val="24"/>
          <w:highlight w:val="yellow"/>
        </w:rPr>
        <w:t>International Journal of Greenhouse Gas Control</w:t>
      </w:r>
      <w:r w:rsidRPr="00765CE5">
        <w:rPr>
          <w:rFonts w:ascii="Times New Roman" w:hAnsi="Times New Roman" w:cs="Times New Roman"/>
          <w:color w:val="262626"/>
          <w:sz w:val="24"/>
          <w:szCs w:val="24"/>
          <w:highlight w:val="yellow"/>
        </w:rPr>
        <w:t xml:space="preserve">, 105, 103234. </w:t>
      </w:r>
      <w:hyperlink r:id="rId13" w:history="1">
        <w:r w:rsidR="002916D1" w:rsidRPr="00001BDC">
          <w:rPr>
            <w:rStyle w:val="Hyperlink"/>
            <w:rFonts w:ascii="Times New Roman" w:hAnsi="Times New Roman" w:cs="Times New Roman"/>
            <w:sz w:val="24"/>
            <w:szCs w:val="24"/>
            <w:highlight w:val="yellow"/>
          </w:rPr>
          <w:t>https://doi.org/10.1016/j.ijggc.2020.103234</w:t>
        </w:r>
      </w:hyperlink>
      <w:r w:rsidRPr="00765CE5">
        <w:rPr>
          <w:rFonts w:ascii="Times New Roman" w:hAnsi="Times New Roman" w:cs="Times New Roman"/>
          <w:color w:val="262626"/>
          <w:sz w:val="24"/>
          <w:szCs w:val="24"/>
          <w:highlight w:val="yellow"/>
        </w:rPr>
        <w:t xml:space="preserve"> </w:t>
      </w:r>
    </w:p>
    <w:p w14:paraId="05B80442"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7B9E2488" w14:textId="77777777" w:rsidR="002916D1" w:rsidRDefault="00765CE5" w:rsidP="002916D1">
      <w:pPr>
        <w:pStyle w:val="ListParagraph"/>
        <w:numPr>
          <w:ilvl w:val="0"/>
          <w:numId w:val="22"/>
        </w:numPr>
        <w:spacing w:after="0"/>
        <w:jc w:val="both"/>
        <w:rPr>
          <w:rFonts w:ascii="Times New Roman" w:hAnsi="Times New Roman" w:cs="Times New Roman"/>
          <w:color w:val="262626"/>
          <w:sz w:val="24"/>
          <w:szCs w:val="24"/>
          <w:highlight w:val="yellow"/>
        </w:rPr>
      </w:pPr>
      <w:r w:rsidRPr="00765CE5">
        <w:rPr>
          <w:rFonts w:ascii="Times New Roman" w:hAnsi="Times New Roman" w:cs="Times New Roman"/>
          <w:color w:val="262626"/>
          <w:sz w:val="24"/>
          <w:szCs w:val="24"/>
          <w:highlight w:val="yellow"/>
        </w:rPr>
        <w:t xml:space="preserve">World Bank. (2024). </w:t>
      </w:r>
      <w:r w:rsidRPr="00765CE5">
        <w:rPr>
          <w:rFonts w:ascii="Times New Roman" w:hAnsi="Times New Roman" w:cs="Times New Roman"/>
          <w:i/>
          <w:iCs/>
          <w:color w:val="262626"/>
          <w:sz w:val="24"/>
          <w:szCs w:val="24"/>
          <w:highlight w:val="yellow"/>
        </w:rPr>
        <w:t>Global Gas Flaring Reduction Partnership (GGFR) Annual Report 2024</w:t>
      </w:r>
      <w:r w:rsidRPr="00765CE5">
        <w:rPr>
          <w:rFonts w:ascii="Times New Roman" w:hAnsi="Times New Roman" w:cs="Times New Roman"/>
          <w:color w:val="262626"/>
          <w:sz w:val="24"/>
          <w:szCs w:val="24"/>
          <w:highlight w:val="yellow"/>
        </w:rPr>
        <w:t>. Washington, DC.</w:t>
      </w:r>
    </w:p>
    <w:p w14:paraId="7CEC72AF"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7515906F" w14:textId="77777777" w:rsidR="002916D1" w:rsidRPr="002916D1" w:rsidRDefault="00765CE5" w:rsidP="002916D1">
      <w:pPr>
        <w:pStyle w:val="ListParagraph"/>
        <w:numPr>
          <w:ilvl w:val="0"/>
          <w:numId w:val="22"/>
        </w:numPr>
        <w:spacing w:after="0"/>
        <w:jc w:val="both"/>
      </w:pPr>
      <w:r w:rsidRPr="00765CE5">
        <w:rPr>
          <w:rFonts w:ascii="Times New Roman" w:hAnsi="Times New Roman" w:cs="Times New Roman"/>
          <w:color w:val="262626"/>
          <w:sz w:val="24"/>
          <w:szCs w:val="24"/>
          <w:highlight w:val="yellow"/>
        </w:rPr>
        <w:t xml:space="preserve">Boot-Handford, M. E., </w:t>
      </w:r>
      <w:proofErr w:type="spellStart"/>
      <w:r w:rsidRPr="00765CE5">
        <w:rPr>
          <w:rFonts w:ascii="Times New Roman" w:hAnsi="Times New Roman" w:cs="Times New Roman"/>
          <w:color w:val="262626"/>
          <w:sz w:val="24"/>
          <w:szCs w:val="24"/>
          <w:highlight w:val="yellow"/>
        </w:rPr>
        <w:t>Abanades</w:t>
      </w:r>
      <w:proofErr w:type="spellEnd"/>
      <w:r w:rsidRPr="00765CE5">
        <w:rPr>
          <w:rFonts w:ascii="Times New Roman" w:hAnsi="Times New Roman" w:cs="Times New Roman"/>
          <w:color w:val="262626"/>
          <w:sz w:val="24"/>
          <w:szCs w:val="24"/>
          <w:highlight w:val="yellow"/>
        </w:rPr>
        <w:t xml:space="preserve">, J. C., Anthony, E. J., et al. (2021). Carbon capture technologies and energy implications. </w:t>
      </w:r>
      <w:r w:rsidRPr="00765CE5">
        <w:rPr>
          <w:rFonts w:ascii="Times New Roman" w:hAnsi="Times New Roman" w:cs="Times New Roman"/>
          <w:i/>
          <w:iCs/>
          <w:color w:val="262626"/>
          <w:sz w:val="24"/>
          <w:szCs w:val="24"/>
          <w:highlight w:val="yellow"/>
        </w:rPr>
        <w:t>Energy &amp; Environmental Science</w:t>
      </w:r>
      <w:r w:rsidRPr="00765CE5">
        <w:rPr>
          <w:rFonts w:ascii="Times New Roman" w:hAnsi="Times New Roman" w:cs="Times New Roman"/>
          <w:color w:val="262626"/>
          <w:sz w:val="24"/>
          <w:szCs w:val="24"/>
          <w:highlight w:val="yellow"/>
        </w:rPr>
        <w:t>, 14(9), 4112–4146.</w:t>
      </w:r>
    </w:p>
    <w:p w14:paraId="5752DA06" w14:textId="77777777" w:rsidR="002916D1" w:rsidRPr="002916D1" w:rsidRDefault="002916D1" w:rsidP="002916D1">
      <w:pPr>
        <w:pStyle w:val="ListParagraph"/>
        <w:rPr>
          <w:rFonts w:ascii="Times New Roman" w:hAnsi="Times New Roman" w:cs="Times New Roman"/>
          <w:color w:val="262626"/>
          <w:sz w:val="24"/>
          <w:szCs w:val="24"/>
          <w:highlight w:val="yellow"/>
        </w:rPr>
      </w:pPr>
    </w:p>
    <w:p w14:paraId="53CAEB2B" w14:textId="2034DED7" w:rsidR="00EB421B" w:rsidRDefault="00765CE5" w:rsidP="00B67C6A">
      <w:pPr>
        <w:pStyle w:val="ListParagraph"/>
        <w:numPr>
          <w:ilvl w:val="0"/>
          <w:numId w:val="22"/>
        </w:numPr>
        <w:spacing w:after="0"/>
        <w:jc w:val="both"/>
      </w:pPr>
      <w:r w:rsidRPr="00765CE5">
        <w:rPr>
          <w:rFonts w:ascii="Times New Roman" w:hAnsi="Times New Roman" w:cs="Times New Roman"/>
          <w:color w:val="262626"/>
          <w:sz w:val="24"/>
          <w:szCs w:val="24"/>
          <w:highlight w:val="yellow"/>
        </w:rPr>
        <w:t xml:space="preserve">Zhang, Z., Wang, S., &amp; Chen, C. (2022). Thermodynamic modeling of CO₂ absorption in aqueous amine solutions. </w:t>
      </w:r>
      <w:r w:rsidRPr="00765CE5">
        <w:rPr>
          <w:rFonts w:ascii="Times New Roman" w:hAnsi="Times New Roman" w:cs="Times New Roman"/>
          <w:i/>
          <w:iCs/>
          <w:color w:val="262626"/>
          <w:sz w:val="24"/>
          <w:szCs w:val="24"/>
          <w:highlight w:val="yellow"/>
        </w:rPr>
        <w:t>Journal of Natural Gas Science and Engineering</w:t>
      </w:r>
      <w:r w:rsidRPr="00765CE5">
        <w:rPr>
          <w:rFonts w:ascii="Times New Roman" w:hAnsi="Times New Roman" w:cs="Times New Roman"/>
          <w:color w:val="262626"/>
          <w:sz w:val="24"/>
          <w:szCs w:val="24"/>
          <w:highlight w:val="yellow"/>
        </w:rPr>
        <w:t>, 100, 104476. https://doi.org/10.1016/j.jngse.2022.104476</w:t>
      </w:r>
      <w:r w:rsidR="004C6C37">
        <w:rPr>
          <w:color w:val="262626"/>
        </w:rPr>
        <w:t xml:space="preserve"> </w:t>
      </w:r>
      <w:r w:rsidR="004C6C37">
        <w:t xml:space="preserve"> </w:t>
      </w:r>
    </w:p>
    <w:sectPr w:rsidR="00EB421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DF10E" w14:textId="77777777" w:rsidR="00271CB8" w:rsidRDefault="00271CB8" w:rsidP="00E2744E">
      <w:pPr>
        <w:spacing w:after="0" w:line="240" w:lineRule="auto"/>
      </w:pPr>
      <w:r>
        <w:separator/>
      </w:r>
    </w:p>
  </w:endnote>
  <w:endnote w:type="continuationSeparator" w:id="0">
    <w:p w14:paraId="6235A024" w14:textId="77777777" w:rsidR="00271CB8" w:rsidRDefault="00271CB8" w:rsidP="00E2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1A23" w14:textId="77777777" w:rsidR="00E2744E" w:rsidRDefault="00E27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0FB1" w14:textId="77777777" w:rsidR="00E2744E" w:rsidRDefault="00E27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3740" w14:textId="77777777" w:rsidR="00E2744E" w:rsidRDefault="00E27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B2B6" w14:textId="77777777" w:rsidR="00271CB8" w:rsidRDefault="00271CB8" w:rsidP="00E2744E">
      <w:pPr>
        <w:spacing w:after="0" w:line="240" w:lineRule="auto"/>
      </w:pPr>
      <w:r>
        <w:separator/>
      </w:r>
    </w:p>
  </w:footnote>
  <w:footnote w:type="continuationSeparator" w:id="0">
    <w:p w14:paraId="5DB2E901" w14:textId="77777777" w:rsidR="00271CB8" w:rsidRDefault="00271CB8" w:rsidP="00E27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0D39" w14:textId="383836E8" w:rsidR="00E2744E" w:rsidRDefault="00271CB8">
    <w:pPr>
      <w:pStyle w:val="Header"/>
    </w:pPr>
    <w:r>
      <w:rPr>
        <w:noProof/>
      </w:rPr>
      <w:pict w14:anchorId="59DE1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04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E048" w14:textId="07022F66" w:rsidR="00E2744E" w:rsidRDefault="00271CB8">
    <w:pPr>
      <w:pStyle w:val="Header"/>
    </w:pPr>
    <w:r>
      <w:rPr>
        <w:noProof/>
      </w:rPr>
      <w:pict w14:anchorId="1BB4E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04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6056" w14:textId="1AA96937" w:rsidR="00E2744E" w:rsidRDefault="00271CB8">
    <w:pPr>
      <w:pStyle w:val="Header"/>
    </w:pPr>
    <w:r>
      <w:rPr>
        <w:noProof/>
      </w:rPr>
      <w:pict w14:anchorId="03381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004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7AE1B6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D8920A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E13A31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4B7C22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570247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FF8C27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76504C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D29C6302"/>
    <w:lvl w:ilvl="0" w:tplc="7FA0BAFC">
      <w:start w:val="1"/>
      <w:numFmt w:val="decimal"/>
      <w:lvlText w:val="%1."/>
      <w:lvlJc w:val="left"/>
      <w:pPr>
        <w:ind w:left="720" w:hanging="360"/>
      </w:pPr>
      <w:rPr>
        <w:rFonts w:eastAsia="Calibri" w:hint="default"/>
        <w:b/>
        <w:color w:val="26262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74B478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3B36DA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DE5042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8D06C7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A18C19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99FCE7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C81E9D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F1A19DE"/>
    <w:multiLevelType w:val="multilevel"/>
    <w:tmpl w:val="090C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F5D30"/>
    <w:multiLevelType w:val="multilevel"/>
    <w:tmpl w:val="6CA6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844EA"/>
    <w:multiLevelType w:val="hybridMultilevel"/>
    <w:tmpl w:val="063A41BA"/>
    <w:lvl w:ilvl="0" w:tplc="8870AB66">
      <w:start w:val="4"/>
      <w:numFmt w:val="decimal"/>
      <w:lvlText w:val="%1."/>
      <w:lvlJc w:val="left"/>
      <w:pPr>
        <w:ind w:left="720" w:hanging="360"/>
      </w:pPr>
      <w:rPr>
        <w:rFonts w:hint="default"/>
        <w:b/>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93B39"/>
    <w:multiLevelType w:val="multilevel"/>
    <w:tmpl w:val="090C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056DF5"/>
    <w:multiLevelType w:val="multilevel"/>
    <w:tmpl w:val="3DF2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E5A18"/>
    <w:multiLevelType w:val="multilevel"/>
    <w:tmpl w:val="4312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E0183"/>
    <w:multiLevelType w:val="hybridMultilevel"/>
    <w:tmpl w:val="08D65A72"/>
    <w:lvl w:ilvl="0" w:tplc="E53A6F4A">
      <w:start w:val="1"/>
      <w:numFmt w:val="decimal"/>
      <w:lvlText w:val="%1."/>
      <w:lvlJc w:val="left"/>
      <w:pPr>
        <w:ind w:left="720" w:hanging="360"/>
      </w:pPr>
      <w:rPr>
        <w:rFonts w:ascii="Calibri" w:hAnsi="Calibri" w:cs="SimSu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1022F"/>
    <w:multiLevelType w:val="multilevel"/>
    <w:tmpl w:val="F45A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80D15"/>
    <w:multiLevelType w:val="hybridMultilevel"/>
    <w:tmpl w:val="E084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3"/>
  </w:num>
  <w:num w:numId="5">
    <w:abstractNumId w:val="0"/>
  </w:num>
  <w:num w:numId="6">
    <w:abstractNumId w:val="4"/>
  </w:num>
  <w:num w:numId="7">
    <w:abstractNumId w:val="2"/>
  </w:num>
  <w:num w:numId="8">
    <w:abstractNumId w:val="14"/>
  </w:num>
  <w:num w:numId="9">
    <w:abstractNumId w:val="3"/>
  </w:num>
  <w:num w:numId="10">
    <w:abstractNumId w:val="7"/>
  </w:num>
  <w:num w:numId="11">
    <w:abstractNumId w:val="8"/>
  </w:num>
  <w:num w:numId="12">
    <w:abstractNumId w:val="12"/>
  </w:num>
  <w:num w:numId="13">
    <w:abstractNumId w:val="13"/>
  </w:num>
  <w:num w:numId="14">
    <w:abstractNumId w:val="9"/>
  </w:num>
  <w:num w:numId="15">
    <w:abstractNumId w:val="11"/>
  </w:num>
  <w:num w:numId="16">
    <w:abstractNumId w:val="10"/>
  </w:num>
  <w:num w:numId="17">
    <w:abstractNumId w:val="20"/>
  </w:num>
  <w:num w:numId="18">
    <w:abstractNumId w:val="22"/>
  </w:num>
  <w:num w:numId="19">
    <w:abstractNumId w:val="16"/>
  </w:num>
  <w:num w:numId="20">
    <w:abstractNumId w:val="19"/>
  </w:num>
  <w:num w:numId="21">
    <w:abstractNumId w:val="15"/>
  </w:num>
  <w:num w:numId="22">
    <w:abstractNumId w:val="21"/>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1B"/>
    <w:rsid w:val="000F3FB2"/>
    <w:rsid w:val="00102629"/>
    <w:rsid w:val="001B57CB"/>
    <w:rsid w:val="00271CB8"/>
    <w:rsid w:val="002916D1"/>
    <w:rsid w:val="00406A87"/>
    <w:rsid w:val="00416D1B"/>
    <w:rsid w:val="00484E69"/>
    <w:rsid w:val="004C6C37"/>
    <w:rsid w:val="005C4A78"/>
    <w:rsid w:val="006B7CB3"/>
    <w:rsid w:val="006E2780"/>
    <w:rsid w:val="00753B89"/>
    <w:rsid w:val="00765CE5"/>
    <w:rsid w:val="00864F2C"/>
    <w:rsid w:val="008849BA"/>
    <w:rsid w:val="008C1CC3"/>
    <w:rsid w:val="00963B27"/>
    <w:rsid w:val="00980575"/>
    <w:rsid w:val="009A2885"/>
    <w:rsid w:val="009C6D76"/>
    <w:rsid w:val="00A50B0B"/>
    <w:rsid w:val="00AA64A0"/>
    <w:rsid w:val="00AC38B6"/>
    <w:rsid w:val="00AD4CE5"/>
    <w:rsid w:val="00B67C6A"/>
    <w:rsid w:val="00C86945"/>
    <w:rsid w:val="00CD53D9"/>
    <w:rsid w:val="00CF55F2"/>
    <w:rsid w:val="00E05472"/>
    <w:rsid w:val="00E21340"/>
    <w:rsid w:val="00E2744E"/>
    <w:rsid w:val="00E6522D"/>
    <w:rsid w:val="00EB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24FE4E"/>
  <w15:docId w15:val="{4C0B6975-00A7-45DC-AE12-6989173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pPr>
      <w:keepNext/>
      <w:keepLines/>
      <w:spacing w:after="267" w:line="248" w:lineRule="auto"/>
      <w:ind w:left="10" w:right="4" w:hanging="10"/>
      <w:jc w:val="both"/>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uiPriority w:val="99"/>
    <w:rPr>
      <w:color w:val="0000FF"/>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text">
    <w:name w:val="bb-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9C6D76"/>
    <w:rPr>
      <w:color w:val="605E5C"/>
      <w:shd w:val="clear" w:color="auto" w:fill="E1DFDD"/>
    </w:rPr>
  </w:style>
  <w:style w:type="paragraph" w:styleId="Header">
    <w:name w:val="header"/>
    <w:basedOn w:val="Normal"/>
    <w:link w:val="HeaderChar"/>
    <w:uiPriority w:val="99"/>
    <w:unhideWhenUsed/>
    <w:rsid w:val="00E27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44E"/>
  </w:style>
  <w:style w:type="paragraph" w:styleId="Footer">
    <w:name w:val="footer"/>
    <w:basedOn w:val="Normal"/>
    <w:link w:val="FooterChar"/>
    <w:uiPriority w:val="99"/>
    <w:unhideWhenUsed/>
    <w:rsid w:val="00E27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rser.2020.110665" TargetMode="External"/><Relationship Id="rId13" Type="http://schemas.openxmlformats.org/officeDocument/2006/relationships/hyperlink" Target="https://doi.org/10.1016/j.ijggc.2020.10323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jngse.2022.104825" TargetMode="External"/><Relationship Id="rId12" Type="http://schemas.openxmlformats.org/officeDocument/2006/relationships/hyperlink" Target="https://doi.org/10.1016/j.jclepro.2022.13145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9/D1EE01587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j.coche.2022.10083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cherd.2023.03.01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18</Pages>
  <Words>5349</Words>
  <Characters>30492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41</cp:revision>
  <dcterms:created xsi:type="dcterms:W3CDTF">2026-04-10T06:27:00Z</dcterms:created>
  <dcterms:modified xsi:type="dcterms:W3CDTF">2026-04-25T11:07:00Z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0a89dfabde5746319d8964a186470cd8</vt:lpwstr>
  </property>
</Properties>
</file>