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5FEAD" w14:textId="77777777" w:rsidR="0084424C" w:rsidRDefault="0084424C" w:rsidP="00441B6F">
      <w:pPr>
        <w:pStyle w:val="Author"/>
        <w:spacing w:line="240" w:lineRule="auto"/>
        <w:rPr>
          <w:rFonts w:ascii="Arial" w:hAnsi="Arial" w:cs="Arial"/>
          <w:sz w:val="36"/>
          <w:szCs w:val="36"/>
        </w:rPr>
      </w:pPr>
      <w:r w:rsidRPr="0084424C">
        <w:rPr>
          <w:rFonts w:ascii="Arial" w:hAnsi="Arial" w:cs="Arial"/>
          <w:sz w:val="36"/>
          <w:szCs w:val="36"/>
        </w:rPr>
        <w:t xml:space="preserve">Original Research Article </w:t>
      </w:r>
    </w:p>
    <w:p w14:paraId="76A2D828" w14:textId="77777777" w:rsidR="00A55DFC" w:rsidRDefault="00A55DFC" w:rsidP="00441B6F">
      <w:pPr>
        <w:pStyle w:val="Author"/>
        <w:spacing w:line="240" w:lineRule="auto"/>
        <w:rPr>
          <w:rFonts w:ascii="Arial" w:hAnsi="Arial" w:cs="Arial"/>
          <w:sz w:val="36"/>
          <w:szCs w:val="36"/>
        </w:rPr>
      </w:pPr>
    </w:p>
    <w:p w14:paraId="0DC1ED0E" w14:textId="445C849D" w:rsidR="00163BC4" w:rsidRPr="00426322" w:rsidRDefault="00E27B7F" w:rsidP="00441B6F">
      <w:pPr>
        <w:pStyle w:val="Author"/>
        <w:spacing w:line="240" w:lineRule="auto"/>
        <w:rPr>
          <w:rFonts w:ascii="Arial" w:hAnsi="Arial" w:cs="Arial"/>
          <w:iCs/>
          <w:kern w:val="28"/>
          <w:sz w:val="36"/>
          <w:szCs w:val="36"/>
        </w:rPr>
      </w:pPr>
      <w:r w:rsidRPr="00E27B7F">
        <w:rPr>
          <w:rFonts w:ascii="Arial" w:hAnsi="Arial" w:cs="Arial"/>
          <w:sz w:val="36"/>
          <w:szCs w:val="36"/>
        </w:rPr>
        <w:t xml:space="preserve">Hypolipidemic Effect of </w:t>
      </w:r>
      <w:r w:rsidRPr="00E27B7F">
        <w:rPr>
          <w:rFonts w:ascii="Arial" w:hAnsi="Arial" w:cs="Arial"/>
          <w:i/>
          <w:iCs/>
          <w:sz w:val="36"/>
          <w:szCs w:val="36"/>
        </w:rPr>
        <w:t>Avicennia marina</w:t>
      </w:r>
      <w:r w:rsidRPr="00E27B7F">
        <w:rPr>
          <w:rFonts w:ascii="Arial" w:hAnsi="Arial" w:cs="Arial"/>
          <w:sz w:val="36"/>
          <w:szCs w:val="36"/>
        </w:rPr>
        <w:t xml:space="preserve"> Fruit Extract in High-Fat Diet and Cigarette Smoke-Induced Hyperlipidemic Rats</w:t>
      </w:r>
      <w:r w:rsidR="00231920" w:rsidRPr="00426322">
        <w:rPr>
          <w:rFonts w:ascii="Arial" w:hAnsi="Arial" w:cs="Arial"/>
          <w:iCs/>
          <w:kern w:val="28"/>
          <w:sz w:val="36"/>
          <w:szCs w:val="36"/>
        </w:rPr>
        <w:t xml:space="preserve"> </w:t>
      </w:r>
    </w:p>
    <w:p w14:paraId="63AFFCA3" w14:textId="77777777" w:rsidR="00A258C3" w:rsidRPr="00790ADA" w:rsidRDefault="00A258C3" w:rsidP="00441B6F">
      <w:pPr>
        <w:pStyle w:val="Author"/>
        <w:spacing w:line="240" w:lineRule="auto"/>
        <w:jc w:val="both"/>
        <w:rPr>
          <w:rFonts w:ascii="Arial" w:hAnsi="Arial" w:cs="Arial"/>
          <w:sz w:val="36"/>
        </w:rPr>
      </w:pPr>
    </w:p>
    <w:p w14:paraId="6E98F315" w14:textId="77777777" w:rsidR="00790ADA" w:rsidRDefault="00790ADA" w:rsidP="00441B6F">
      <w:pPr>
        <w:pStyle w:val="Affiliation"/>
        <w:spacing w:after="0" w:line="240" w:lineRule="auto"/>
        <w:jc w:val="both"/>
        <w:rPr>
          <w:rFonts w:ascii="Arial" w:hAnsi="Arial" w:cs="Arial"/>
        </w:rPr>
      </w:pPr>
    </w:p>
    <w:p w14:paraId="7CB2560D" w14:textId="77777777" w:rsidR="002C57D2" w:rsidRPr="00FB3A86" w:rsidRDefault="002C57D2" w:rsidP="00441B6F">
      <w:pPr>
        <w:pStyle w:val="Affiliation"/>
        <w:spacing w:after="0" w:line="240" w:lineRule="auto"/>
        <w:jc w:val="both"/>
        <w:rPr>
          <w:rFonts w:ascii="Arial" w:hAnsi="Arial" w:cs="Arial"/>
        </w:rPr>
      </w:pPr>
    </w:p>
    <w:p w14:paraId="609C2070" w14:textId="77777777" w:rsidR="00B01FCD" w:rsidRPr="00FB3A86" w:rsidRDefault="00000000" w:rsidP="00441B6F">
      <w:pPr>
        <w:pStyle w:val="Copyright"/>
        <w:spacing w:after="0" w:line="240" w:lineRule="auto"/>
        <w:jc w:val="both"/>
        <w:rPr>
          <w:rFonts w:ascii="Arial" w:hAnsi="Arial" w:cs="Arial"/>
        </w:rPr>
        <w:sectPr w:rsidR="00B01FCD" w:rsidRPr="00FB3A86" w:rsidSect="008830FF">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A6F12E0">
          <v:shapetype id="_x0000_t32" coordsize="21600,21600" o:spt="32" o:oned="t" path="m,l21600,21600e" filled="f">
            <v:path arrowok="t" fillok="f" o:connecttype="none"/>
            <o:lock v:ext="edit" shapetype="t"/>
          </v:shapetype>
          <v:shape id="_x0000_s205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6095624B" w14:textId="1EC227E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DE8CFE1"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6347FC3" w14:textId="77777777" w:rsidTr="001E44FE">
        <w:tc>
          <w:tcPr>
            <w:tcW w:w="9576" w:type="dxa"/>
            <w:shd w:val="clear" w:color="auto" w:fill="F2F2F2"/>
          </w:tcPr>
          <w:p w14:paraId="3367E695" w14:textId="1D017085" w:rsidR="00315525" w:rsidRPr="00315525" w:rsidRDefault="00315525" w:rsidP="00315525">
            <w:pPr>
              <w:pStyle w:val="Body"/>
              <w:rPr>
                <w:rFonts w:ascii="Arial" w:eastAsia="Calibri" w:hAnsi="Arial" w:cs="Arial"/>
                <w:bCs/>
                <w:szCs w:val="22"/>
              </w:rPr>
            </w:pPr>
            <w:r w:rsidRPr="00315525">
              <w:rPr>
                <w:rFonts w:ascii="Arial" w:eastAsia="Calibri" w:hAnsi="Arial" w:cs="Arial"/>
                <w:b/>
                <w:szCs w:val="22"/>
              </w:rPr>
              <w:t>Background</w:t>
            </w:r>
            <w:r>
              <w:rPr>
                <w:rFonts w:ascii="Arial" w:eastAsia="Calibri" w:hAnsi="Arial" w:cs="Arial"/>
                <w:b/>
                <w:szCs w:val="22"/>
              </w:rPr>
              <w:t xml:space="preserve">:  </w:t>
            </w:r>
            <w:r w:rsidRPr="00315525">
              <w:rPr>
                <w:rFonts w:ascii="Arial" w:eastAsia="Calibri" w:hAnsi="Arial" w:cs="Arial"/>
                <w:bCs/>
                <w:szCs w:val="22"/>
              </w:rPr>
              <w:t>Hyperlipidemia, exacerbated by high-fat diet and cigarette smoke exposure, is a key risk factor for cardiovascular diseases, and Avicennia marina fruit extract may offer promising hypolipidemic benefits as a natural therapeutic agent.</w:t>
            </w:r>
          </w:p>
          <w:p w14:paraId="78731CC3" w14:textId="1029ECA3" w:rsidR="00BA1B01" w:rsidRPr="00BA1B01" w:rsidRDefault="00BA1B01" w:rsidP="00315525">
            <w:pPr>
              <w:pStyle w:val="Body"/>
              <w:spacing w:after="0"/>
              <w:rPr>
                <w:rFonts w:ascii="Arial" w:eastAsia="Calibri" w:hAnsi="Arial" w:cs="Arial"/>
                <w:szCs w:val="22"/>
              </w:rPr>
            </w:pPr>
            <w:r w:rsidRPr="00BA1B01">
              <w:rPr>
                <w:rFonts w:ascii="Arial" w:eastAsia="Calibri" w:hAnsi="Arial" w:cs="Arial"/>
                <w:b/>
                <w:szCs w:val="22"/>
              </w:rPr>
              <w:t xml:space="preserve">Aims: </w:t>
            </w:r>
            <w:r w:rsidR="000C488F" w:rsidRPr="000C488F">
              <w:rPr>
                <w:rFonts w:ascii="Arial" w:eastAsia="Calibri" w:hAnsi="Arial" w:cs="Arial"/>
                <w:szCs w:val="22"/>
              </w:rPr>
              <w:t>T</w:t>
            </w:r>
            <w:r w:rsidR="00347589" w:rsidRPr="00347589">
              <w:rPr>
                <w:rFonts w:ascii="Arial" w:eastAsia="Calibri" w:hAnsi="Arial" w:cs="Arial"/>
                <w:szCs w:val="22"/>
              </w:rPr>
              <w:t xml:space="preserve">o evaluate the hypolipidemic effect of ethanol extract of </w:t>
            </w:r>
            <w:r w:rsidR="00347589" w:rsidRPr="00347589">
              <w:rPr>
                <w:rFonts w:ascii="Arial" w:eastAsia="Calibri" w:hAnsi="Arial" w:cs="Arial"/>
                <w:i/>
                <w:iCs/>
                <w:szCs w:val="22"/>
              </w:rPr>
              <w:t>Avicennia marina</w:t>
            </w:r>
            <w:r w:rsidR="00347589" w:rsidRPr="00347589">
              <w:rPr>
                <w:rFonts w:ascii="Arial" w:eastAsia="Calibri" w:hAnsi="Arial" w:cs="Arial"/>
                <w:szCs w:val="22"/>
              </w:rPr>
              <w:t xml:space="preserve"> fruit (EEAF) in hyperlipidemic rats induced by a combination of a high-fat diet and cigarette smoke exposure, based on total cholesterol and triglyceride levels</w:t>
            </w:r>
            <w:r w:rsidR="000C488F" w:rsidRPr="000C488F">
              <w:rPr>
                <w:rFonts w:ascii="Arial" w:eastAsia="Calibri" w:hAnsi="Arial" w:cs="Arial"/>
                <w:szCs w:val="22"/>
              </w:rPr>
              <w:t>.</w:t>
            </w:r>
          </w:p>
          <w:p w14:paraId="73236DCE" w14:textId="7A583B2B"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D66CC" w:rsidRPr="005D66CC">
              <w:rPr>
                <w:rFonts w:ascii="Arial" w:eastAsia="Calibri" w:hAnsi="Arial" w:cs="Arial"/>
                <w:szCs w:val="22"/>
              </w:rPr>
              <w:t>In vivo experimental study</w:t>
            </w:r>
          </w:p>
          <w:p w14:paraId="3138798A" w14:textId="34C18AE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D6237">
              <w:rPr>
                <w:rFonts w:ascii="Arial" w:eastAsia="Calibri" w:hAnsi="Arial" w:cs="Arial"/>
                <w:szCs w:val="22"/>
              </w:rPr>
              <w:t>STIFAR</w:t>
            </w:r>
            <w:r w:rsidR="00E50D1E">
              <w:rPr>
                <w:rFonts w:ascii="Arial" w:eastAsia="Calibri" w:hAnsi="Arial" w:cs="Arial"/>
                <w:szCs w:val="22"/>
              </w:rPr>
              <w:t xml:space="preserve"> Yayasan </w:t>
            </w:r>
            <w:proofErr w:type="spellStart"/>
            <w:r w:rsidR="00E50D1E">
              <w:rPr>
                <w:rFonts w:ascii="Arial" w:eastAsia="Calibri" w:hAnsi="Arial" w:cs="Arial"/>
                <w:szCs w:val="22"/>
              </w:rPr>
              <w:t>Pharmasi</w:t>
            </w:r>
            <w:proofErr w:type="spellEnd"/>
            <w:r w:rsidR="00E50D1E">
              <w:rPr>
                <w:rFonts w:ascii="Arial" w:eastAsia="Calibri" w:hAnsi="Arial" w:cs="Arial"/>
                <w:szCs w:val="22"/>
              </w:rPr>
              <w:t xml:space="preserve"> Semarang, between</w:t>
            </w:r>
            <w:r w:rsidR="00E50D1E" w:rsidRPr="00E50D1E">
              <w:t xml:space="preserve"> </w:t>
            </w:r>
            <w:r w:rsidR="00E50D1E" w:rsidRPr="00E50D1E">
              <w:rPr>
                <w:rFonts w:ascii="Arial" w:eastAsia="Calibri" w:hAnsi="Arial" w:cs="Arial"/>
                <w:szCs w:val="22"/>
              </w:rPr>
              <w:t>October and November 2025.</w:t>
            </w:r>
            <w:r w:rsidR="00E50D1E">
              <w:rPr>
                <w:rFonts w:ascii="Arial" w:eastAsia="Calibri" w:hAnsi="Arial" w:cs="Arial"/>
                <w:szCs w:val="22"/>
              </w:rPr>
              <w:t xml:space="preserve"> </w:t>
            </w:r>
          </w:p>
          <w:p w14:paraId="1AFDC01F" w14:textId="0997566D" w:rsidR="000C488F" w:rsidRPr="000C488F" w:rsidRDefault="00BA1B01" w:rsidP="000C488F">
            <w:pPr>
              <w:pStyle w:val="Body"/>
              <w:spacing w:after="0"/>
              <w:rPr>
                <w:rFonts w:ascii="Arial" w:eastAsia="Calibri" w:hAnsi="Arial" w:cs="Arial"/>
                <w:szCs w:val="22"/>
                <w:lang w:val="en-ID"/>
              </w:rPr>
            </w:pPr>
            <w:r w:rsidRPr="00BA1B01">
              <w:rPr>
                <w:rFonts w:ascii="Arial" w:eastAsia="Calibri" w:hAnsi="Arial" w:cs="Arial"/>
                <w:b/>
                <w:bCs/>
                <w:szCs w:val="22"/>
              </w:rPr>
              <w:t>Methodology:</w:t>
            </w:r>
            <w:r w:rsidRPr="00BA1B01">
              <w:rPr>
                <w:rFonts w:ascii="Arial" w:eastAsia="Calibri" w:hAnsi="Arial" w:cs="Arial"/>
                <w:szCs w:val="22"/>
              </w:rPr>
              <w:t xml:space="preserve"> </w:t>
            </w:r>
            <w:r w:rsidR="00794EE0" w:rsidRPr="00794EE0">
              <w:rPr>
                <w:rFonts w:ascii="Arial" w:eastAsia="Calibri" w:hAnsi="Arial" w:cs="Arial"/>
                <w:szCs w:val="22"/>
              </w:rPr>
              <w:t>An in vivo experimental study was conducted using 25 male Wistar rats. Hyperlipidemia was induced by administering a high-fat diet consisting of quail egg yolk and lard (1:1; 15 mL/kg body weight) combined with cigarette smoke exposure (30 cigarettes/10 rats/day) for 17 days. Rats were randomly divided into five groups (n = 5): negative control (0.5% Na-CMC), positive control (atorvastatin 2.52 mg/kg body weight), and EEAF-treated groups (30, 60, and 120 mg/kg body weight). Treatments were administered orally once daily for 28 days. Serum total cholesterol and triglyceride levels were measured using enzymatic colorimetric methods.</w:t>
            </w:r>
          </w:p>
          <w:p w14:paraId="13C028A0" w14:textId="776C4B1F" w:rsidR="000C488F" w:rsidRPr="000C488F" w:rsidRDefault="000C488F" w:rsidP="000C488F">
            <w:pPr>
              <w:pStyle w:val="Body"/>
              <w:spacing w:after="0"/>
              <w:rPr>
                <w:rFonts w:ascii="Arial" w:eastAsia="Calibri" w:hAnsi="Arial" w:cs="Arial"/>
                <w:szCs w:val="22"/>
                <w:lang w:val="en-ID"/>
              </w:rPr>
            </w:pPr>
            <w:r w:rsidRPr="000C488F">
              <w:rPr>
                <w:rFonts w:ascii="Arial" w:eastAsia="Calibri" w:hAnsi="Arial" w:cs="Arial"/>
                <w:b/>
                <w:bCs/>
                <w:szCs w:val="22"/>
                <w:lang w:val="en-ID"/>
              </w:rPr>
              <w:t>Results:</w:t>
            </w:r>
            <w:r>
              <w:rPr>
                <w:rFonts w:ascii="Arial" w:eastAsia="Calibri" w:hAnsi="Arial" w:cs="Arial"/>
                <w:b/>
                <w:bCs/>
                <w:szCs w:val="22"/>
                <w:lang w:val="en-ID"/>
              </w:rPr>
              <w:t xml:space="preserve"> </w:t>
            </w:r>
            <w:r w:rsidR="00794EE0" w:rsidRPr="00794EE0">
              <w:rPr>
                <w:rFonts w:ascii="Arial" w:eastAsia="Calibri" w:hAnsi="Arial" w:cs="Arial"/>
                <w:szCs w:val="22"/>
              </w:rPr>
              <w:t>Induction significantly increased total cholesterol and triglyceride levels by 159.66 ± 64.30% and 121.88 ± 92.84%, respectively (p &lt; 0.05). EEAF significantly reduced total cholesterol at all doses, with reductions of 47.72 ± 11.20%, 50.90 ± 2.78%, and 58.51 ± 8.69% (p &lt; 0.05 for 30 and 60 mg/</w:t>
            </w:r>
            <w:proofErr w:type="spellStart"/>
            <w:r w:rsidR="00794EE0" w:rsidRPr="00794EE0">
              <w:rPr>
                <w:rFonts w:ascii="Arial" w:eastAsia="Calibri" w:hAnsi="Arial" w:cs="Arial"/>
                <w:szCs w:val="22"/>
              </w:rPr>
              <w:t>kgBW</w:t>
            </w:r>
            <w:proofErr w:type="spellEnd"/>
            <w:r w:rsidR="00794EE0" w:rsidRPr="00794EE0">
              <w:rPr>
                <w:rFonts w:ascii="Arial" w:eastAsia="Calibri" w:hAnsi="Arial" w:cs="Arial"/>
                <w:szCs w:val="22"/>
              </w:rPr>
              <w:t>; p &lt; 0.01 for 120 mg/</w:t>
            </w:r>
            <w:proofErr w:type="spellStart"/>
            <w:r w:rsidR="00794EE0" w:rsidRPr="00794EE0">
              <w:rPr>
                <w:rFonts w:ascii="Arial" w:eastAsia="Calibri" w:hAnsi="Arial" w:cs="Arial"/>
                <w:szCs w:val="22"/>
              </w:rPr>
              <w:t>kgBW</w:t>
            </w:r>
            <w:proofErr w:type="spellEnd"/>
            <w:r w:rsidR="00794EE0" w:rsidRPr="00794EE0">
              <w:rPr>
                <w:rFonts w:ascii="Arial" w:eastAsia="Calibri" w:hAnsi="Arial" w:cs="Arial"/>
                <w:szCs w:val="22"/>
              </w:rPr>
              <w:t>). Triglyceride levels were reduced by 31.61 ± 27.57%, 46.87 ± 9.18%, and 59.16 ± 13.40%, with significant reductions observed at doses of 60 mg/</w:t>
            </w:r>
            <w:proofErr w:type="spellStart"/>
            <w:r w:rsidR="00794EE0" w:rsidRPr="00794EE0">
              <w:rPr>
                <w:rFonts w:ascii="Arial" w:eastAsia="Calibri" w:hAnsi="Arial" w:cs="Arial"/>
                <w:szCs w:val="22"/>
              </w:rPr>
              <w:t>kgBW</w:t>
            </w:r>
            <w:proofErr w:type="spellEnd"/>
            <w:r w:rsidR="00794EE0" w:rsidRPr="00794EE0">
              <w:rPr>
                <w:rFonts w:ascii="Arial" w:eastAsia="Calibri" w:hAnsi="Arial" w:cs="Arial"/>
                <w:szCs w:val="22"/>
              </w:rPr>
              <w:t xml:space="preserve"> (p &lt; 0.05) and 120 mg/</w:t>
            </w:r>
            <w:proofErr w:type="spellStart"/>
            <w:r w:rsidR="00794EE0" w:rsidRPr="00794EE0">
              <w:rPr>
                <w:rFonts w:ascii="Arial" w:eastAsia="Calibri" w:hAnsi="Arial" w:cs="Arial"/>
                <w:szCs w:val="22"/>
              </w:rPr>
              <w:t>kgBW</w:t>
            </w:r>
            <w:proofErr w:type="spellEnd"/>
            <w:r w:rsidR="00794EE0" w:rsidRPr="00794EE0">
              <w:rPr>
                <w:rFonts w:ascii="Arial" w:eastAsia="Calibri" w:hAnsi="Arial" w:cs="Arial"/>
                <w:szCs w:val="22"/>
              </w:rPr>
              <w:t xml:space="preserve"> (p &lt; 0.01) compared to the negative control.</w:t>
            </w:r>
            <w:r w:rsidR="00475C1C">
              <w:rPr>
                <w:rFonts w:ascii="Arial" w:eastAsia="Calibri" w:hAnsi="Arial" w:cs="Arial"/>
                <w:szCs w:val="22"/>
              </w:rPr>
              <w:t xml:space="preserve"> </w:t>
            </w:r>
          </w:p>
          <w:p w14:paraId="223E3317" w14:textId="26D56DE9" w:rsidR="000C488F" w:rsidRPr="000C488F" w:rsidRDefault="000C488F" w:rsidP="000C488F">
            <w:pPr>
              <w:pStyle w:val="Body"/>
              <w:spacing w:after="0"/>
              <w:rPr>
                <w:rFonts w:ascii="Arial" w:eastAsia="Calibri" w:hAnsi="Arial" w:cs="Arial"/>
                <w:szCs w:val="22"/>
                <w:lang w:val="en-ID"/>
              </w:rPr>
            </w:pPr>
            <w:r w:rsidRPr="000C488F">
              <w:rPr>
                <w:rFonts w:ascii="Arial" w:eastAsia="Calibri" w:hAnsi="Arial" w:cs="Arial"/>
                <w:b/>
                <w:bCs/>
                <w:szCs w:val="22"/>
                <w:lang w:val="en-ID"/>
              </w:rPr>
              <w:t>Conclusion:</w:t>
            </w:r>
            <w:r w:rsidR="00D271DE">
              <w:rPr>
                <w:rFonts w:ascii="Arial" w:eastAsia="Calibri" w:hAnsi="Arial" w:cs="Arial"/>
                <w:b/>
                <w:bCs/>
                <w:szCs w:val="22"/>
                <w:lang w:val="en-ID"/>
              </w:rPr>
              <w:t xml:space="preserve"> </w:t>
            </w:r>
            <w:r w:rsidR="00347589" w:rsidRPr="00347589">
              <w:rPr>
                <w:rFonts w:ascii="Arial" w:eastAsia="Calibri" w:hAnsi="Arial" w:cs="Arial"/>
                <w:szCs w:val="22"/>
              </w:rPr>
              <w:t>EEAF demonstrated significant hypolipidemic activity by reducing total cholesterol and triglyceride levels in hyperlipidemic rats. These findings suggest its potential as a natural agent for improving lipid profiles; however, further studies are required to confirm its safety and underlying mechanisms.</w:t>
            </w:r>
            <w:r w:rsidRPr="000C488F">
              <w:rPr>
                <w:rFonts w:ascii="Arial" w:eastAsia="Calibri" w:hAnsi="Arial" w:cs="Arial"/>
                <w:vanish/>
                <w:szCs w:val="22"/>
                <w:lang w:val="en-ID"/>
              </w:rPr>
              <w:t>Top of Form</w:t>
            </w:r>
          </w:p>
          <w:p w14:paraId="473ACA47" w14:textId="77777777" w:rsidR="000C488F" w:rsidRPr="000C488F" w:rsidRDefault="000C488F" w:rsidP="000C488F">
            <w:pPr>
              <w:pStyle w:val="Body"/>
              <w:spacing w:after="0"/>
              <w:rPr>
                <w:rFonts w:ascii="Arial" w:eastAsia="Calibri" w:hAnsi="Arial" w:cs="Arial"/>
                <w:szCs w:val="22"/>
                <w:lang w:val="en-ID"/>
              </w:rPr>
            </w:pPr>
          </w:p>
          <w:p w14:paraId="356EE63A" w14:textId="77777777" w:rsidR="000C488F" w:rsidRPr="000C488F" w:rsidRDefault="000C488F" w:rsidP="000C488F">
            <w:pPr>
              <w:pStyle w:val="Body"/>
              <w:rPr>
                <w:rFonts w:ascii="Arial" w:eastAsia="Calibri" w:hAnsi="Arial" w:cs="Arial"/>
                <w:vanish/>
                <w:szCs w:val="22"/>
                <w:lang w:val="en-ID"/>
              </w:rPr>
            </w:pPr>
            <w:r w:rsidRPr="000C488F">
              <w:rPr>
                <w:rFonts w:ascii="Arial" w:eastAsia="Calibri" w:hAnsi="Arial" w:cs="Arial"/>
                <w:vanish/>
                <w:szCs w:val="22"/>
                <w:lang w:val="en-ID"/>
              </w:rPr>
              <w:t>Bottom of Form</w:t>
            </w:r>
          </w:p>
          <w:p w14:paraId="05D77873" w14:textId="38ED9504" w:rsidR="00505F06" w:rsidRPr="00BA1B01" w:rsidRDefault="00505F06" w:rsidP="00441B6F">
            <w:pPr>
              <w:pStyle w:val="Body"/>
              <w:spacing w:after="0"/>
              <w:rPr>
                <w:rFonts w:ascii="Arial" w:eastAsia="Calibri" w:hAnsi="Arial" w:cs="Arial"/>
                <w:szCs w:val="22"/>
              </w:rPr>
            </w:pPr>
          </w:p>
        </w:tc>
      </w:tr>
    </w:tbl>
    <w:p w14:paraId="17163E37" w14:textId="77777777" w:rsidR="00636EB2" w:rsidRDefault="00636EB2" w:rsidP="00441B6F">
      <w:pPr>
        <w:pStyle w:val="Body"/>
        <w:spacing w:after="0"/>
        <w:rPr>
          <w:rFonts w:ascii="Arial" w:hAnsi="Arial" w:cs="Arial"/>
          <w:i/>
        </w:rPr>
      </w:pPr>
    </w:p>
    <w:p w14:paraId="4B5D7B21" w14:textId="3890EFC0" w:rsidR="00A24E7E" w:rsidRDefault="00A24E7E" w:rsidP="00441B6F">
      <w:pPr>
        <w:pStyle w:val="Body"/>
        <w:spacing w:after="0"/>
        <w:rPr>
          <w:rFonts w:ascii="Arial" w:hAnsi="Arial" w:cs="Arial"/>
          <w:i/>
        </w:rPr>
      </w:pPr>
      <w:r>
        <w:rPr>
          <w:rFonts w:ascii="Arial" w:hAnsi="Arial" w:cs="Arial"/>
          <w:i/>
        </w:rPr>
        <w:t>Keywords:</w:t>
      </w:r>
      <w:r w:rsidR="00486695">
        <w:rPr>
          <w:rFonts w:ascii="Arial" w:hAnsi="Arial" w:cs="Arial"/>
          <w:i/>
        </w:rPr>
        <w:t xml:space="preserve"> Avicennia marina Fruit, Secondary Metabolic, </w:t>
      </w:r>
      <w:r w:rsidR="003B77A6">
        <w:rPr>
          <w:rFonts w:ascii="Arial" w:hAnsi="Arial" w:cs="Arial"/>
          <w:i/>
        </w:rPr>
        <w:t xml:space="preserve">Total </w:t>
      </w:r>
      <w:r w:rsidR="00486695">
        <w:rPr>
          <w:rFonts w:ascii="Arial" w:hAnsi="Arial" w:cs="Arial"/>
          <w:i/>
        </w:rPr>
        <w:t>Cholesterol, Triglyceride</w:t>
      </w:r>
      <w:r w:rsidR="003B77A6">
        <w:rPr>
          <w:rFonts w:ascii="Arial" w:hAnsi="Arial" w:cs="Arial"/>
          <w:i/>
        </w:rPr>
        <w:t>s</w:t>
      </w:r>
      <w:r w:rsidR="003F3C6A">
        <w:rPr>
          <w:rFonts w:ascii="Arial" w:hAnsi="Arial" w:cs="Arial"/>
          <w:i/>
        </w:rPr>
        <w:t xml:space="preserve">, </w:t>
      </w:r>
      <w:r w:rsidR="003F3C6A">
        <w:rPr>
          <w:rFonts w:ascii="Arial" w:eastAsia="Calibri" w:hAnsi="Arial" w:cs="Arial"/>
          <w:i/>
          <w:iCs/>
          <w:szCs w:val="22"/>
        </w:rPr>
        <w:t>H</w:t>
      </w:r>
      <w:r w:rsidR="003F3C6A" w:rsidRPr="003F3C6A">
        <w:rPr>
          <w:rFonts w:ascii="Arial" w:eastAsia="Calibri" w:hAnsi="Arial" w:cs="Arial"/>
          <w:i/>
          <w:iCs/>
          <w:szCs w:val="22"/>
        </w:rPr>
        <w:t xml:space="preserve">ypolipidemic, </w:t>
      </w:r>
      <w:r w:rsidR="003F3C6A">
        <w:rPr>
          <w:rFonts w:ascii="Arial" w:eastAsia="Calibri" w:hAnsi="Arial" w:cs="Arial"/>
          <w:i/>
          <w:iCs/>
          <w:szCs w:val="22"/>
        </w:rPr>
        <w:t>H</w:t>
      </w:r>
      <w:r w:rsidR="003F3C6A" w:rsidRPr="003F3C6A">
        <w:rPr>
          <w:rFonts w:ascii="Arial" w:eastAsia="Calibri" w:hAnsi="Arial" w:cs="Arial"/>
          <w:i/>
          <w:iCs/>
          <w:szCs w:val="22"/>
        </w:rPr>
        <w:t>yperlipidemic</w:t>
      </w:r>
    </w:p>
    <w:p w14:paraId="082DFD62" w14:textId="32FDBD64" w:rsidR="00721D63" w:rsidRPr="004539DB" w:rsidRDefault="00721D63" w:rsidP="00721D63">
      <w:pPr>
        <w:pStyle w:val="Body"/>
        <w:spacing w:after="0"/>
        <w:rPr>
          <w:rFonts w:ascii="Arial" w:hAnsi="Arial" w:cs="Arial"/>
          <w:i/>
          <w:sz w:val="18"/>
          <w:u w:val="single"/>
        </w:rPr>
      </w:pPr>
    </w:p>
    <w:p w14:paraId="08B646BE" w14:textId="77777777" w:rsidR="0024282C" w:rsidRDefault="0024282C" w:rsidP="00441B6F">
      <w:pPr>
        <w:pStyle w:val="Body"/>
        <w:spacing w:after="0"/>
        <w:rPr>
          <w:rFonts w:ascii="Arial" w:hAnsi="Arial" w:cs="Arial"/>
          <w:i/>
          <w:sz w:val="18"/>
        </w:rPr>
      </w:pPr>
    </w:p>
    <w:p w14:paraId="53C48A3D" w14:textId="77777777" w:rsidR="00505F06" w:rsidRPr="00A24E7E" w:rsidRDefault="00505F06" w:rsidP="00441B6F">
      <w:pPr>
        <w:pStyle w:val="Body"/>
        <w:spacing w:after="0"/>
        <w:rPr>
          <w:rFonts w:ascii="Arial" w:hAnsi="Arial" w:cs="Arial"/>
          <w:i/>
        </w:rPr>
      </w:pPr>
    </w:p>
    <w:p w14:paraId="35F82E3D" w14:textId="7332FB74" w:rsidR="007F7B32"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0D12991A" w14:textId="77777777" w:rsidR="00790ADA" w:rsidRDefault="00790ADA" w:rsidP="00441B6F">
      <w:pPr>
        <w:pStyle w:val="AbstHead"/>
        <w:spacing w:after="0"/>
        <w:jc w:val="both"/>
        <w:rPr>
          <w:rFonts w:ascii="Arial" w:hAnsi="Arial" w:cs="Arial"/>
        </w:rPr>
      </w:pPr>
    </w:p>
    <w:p w14:paraId="13BE6267" w14:textId="77777777" w:rsidR="00ED2526" w:rsidRDefault="00ED2526" w:rsidP="009C7DAF">
      <w:pPr>
        <w:pStyle w:val="AbstHead"/>
        <w:spacing w:after="0"/>
        <w:jc w:val="both"/>
        <w:rPr>
          <w:rFonts w:ascii="Arial" w:hAnsi="Arial" w:cs="Arial"/>
          <w:b w:val="0"/>
          <w:bCs/>
          <w:caps w:val="0"/>
          <w:sz w:val="20"/>
          <w:lang w:val="en-ID"/>
        </w:rPr>
      </w:pPr>
      <w:r w:rsidRPr="00ED2526">
        <w:rPr>
          <w:rFonts w:ascii="Arial" w:hAnsi="Arial" w:cs="Arial"/>
          <w:b w:val="0"/>
          <w:bCs/>
          <w:caps w:val="0"/>
          <w:sz w:val="20"/>
        </w:rPr>
        <w:t>Cardiovascular diseases remain the leading cause of mortality worldwide, accounting for approximately 32% of all deaths, of which 85% are attributed to myocardial infarction and stroke. In Indonesia, the prevalence of cerebrovascular disease is 20.7%, while ischemic heart disease accounts for 14.9%. Dyslipidemia is a major contributor to global morbidity and mortality, serving as a primary etiological factor for cardiovascular diseases and related conditions, including atherosclerotic cardiovascular disease</w:t>
      </w:r>
      <w:r w:rsidR="009C7DAF" w:rsidRPr="007D6237">
        <w:rPr>
          <w:rFonts w:ascii="Arial" w:hAnsi="Arial" w:cs="Arial"/>
          <w:b w:val="0"/>
          <w:bCs/>
          <w:caps w:val="0"/>
          <w:sz w:val="20"/>
          <w:lang w:val="en-ID"/>
        </w:rPr>
        <w:t xml:space="preserve"> </w:t>
      </w:r>
      <w:r w:rsidR="009C7DAF" w:rsidRPr="00AB5C1F">
        <w:rPr>
          <w:rFonts w:ascii="Arial" w:hAnsi="Arial" w:cs="Arial"/>
          <w:b w:val="0"/>
          <w:bCs/>
          <w:caps w:val="0"/>
          <w:sz w:val="20"/>
          <w:lang w:val="sv-SE"/>
        </w:rPr>
        <w:fldChar w:fldCharType="begin" w:fldLock="1"/>
      </w:r>
      <w:r w:rsidR="009C7DAF" w:rsidRPr="007D6237">
        <w:rPr>
          <w:rFonts w:ascii="Arial" w:hAnsi="Arial" w:cs="Arial"/>
          <w:b w:val="0"/>
          <w:bCs/>
          <w:caps w:val="0"/>
          <w:sz w:val="20"/>
          <w:lang w:val="en-ID"/>
        </w:rPr>
        <w:instrText>ADDIN CSL_CITATION {"citationItems":[{"id":"ITEM-1","itemData":{"author":[{"dropping-particle":"","family":"Fularski","given":"Piotr","non-dropping-particle":"","parse-names":false,"suffix":""},{"dropping-particle":"","family":"Młynarska","given":"Ewelina","non-dropping-particle":"","parse-names":false,"suffix":""},{"dropping-particle":"","family":"Dybiec","given":"Jill","non-dropping-particle":"","parse-names":false,"suffix":""},{"dropping-particle":"","family":"Baran","given":"Wiktoria","non-dropping-particle":"","parse-names":false,"suffix":""},{"dropping-particle":"","family":"Bartłomiej","given":"D","non-dropping-particle":"","parse-names":false,"suffix":""}],"container-title":"International Journal of Molecular Sciences","id":"ITEM-1","issue":"13288","issued":{"date-parts":[["2023"]]},"page":"1-19","title":"Advances in Treatment of Dyslipidemia","type":"article-journal","volume":"24"},"uris":["http://www.mendeley.com/documents/?uuid=3cdd72e1-aba4-4f97-bd6d-e0ef92df01ba"]}],"mendeley":{"formattedCitation":"(Fularski et al., 2023)","plainTextFormattedCitation":"(Fularski et al., 2023)","previouslyFormattedCitation":"(Fularski et al., 2023)"},"properties":{"noteIndex":0},"schema":"https://github.com/citation-style-language/schema/raw/master/csl-citation.json"}</w:instrText>
      </w:r>
      <w:r w:rsidR="009C7DAF" w:rsidRPr="00AB5C1F">
        <w:rPr>
          <w:rFonts w:ascii="Arial" w:hAnsi="Arial" w:cs="Arial"/>
          <w:b w:val="0"/>
          <w:bCs/>
          <w:caps w:val="0"/>
          <w:sz w:val="20"/>
          <w:lang w:val="sv-SE"/>
        </w:rPr>
        <w:fldChar w:fldCharType="separate"/>
      </w:r>
      <w:r w:rsidR="009C7DAF" w:rsidRPr="007D6237">
        <w:rPr>
          <w:rFonts w:ascii="Arial" w:hAnsi="Arial" w:cs="Arial"/>
          <w:b w:val="0"/>
          <w:bCs/>
          <w:caps w:val="0"/>
          <w:noProof/>
          <w:sz w:val="20"/>
          <w:lang w:val="en-ID"/>
        </w:rPr>
        <w:t>(Fularski et al., 2023)</w:t>
      </w:r>
      <w:r w:rsidR="009C7DAF" w:rsidRPr="00AB5C1F">
        <w:rPr>
          <w:rFonts w:ascii="Arial" w:hAnsi="Arial" w:cs="Arial"/>
          <w:b w:val="0"/>
          <w:bCs/>
          <w:caps w:val="0"/>
          <w:sz w:val="20"/>
          <w:lang w:val="sv-SE"/>
        </w:rPr>
        <w:fldChar w:fldCharType="end"/>
      </w:r>
      <w:r w:rsidR="009C7DAF" w:rsidRPr="007D6237">
        <w:rPr>
          <w:rFonts w:ascii="Arial" w:hAnsi="Arial" w:cs="Arial"/>
          <w:b w:val="0"/>
          <w:bCs/>
          <w:caps w:val="0"/>
          <w:sz w:val="20"/>
          <w:lang w:val="en-ID"/>
        </w:rPr>
        <w:t xml:space="preserve">. </w:t>
      </w:r>
    </w:p>
    <w:p w14:paraId="20ABECC5" w14:textId="52FECEF9" w:rsidR="009C7DAF" w:rsidRPr="007D6237" w:rsidRDefault="00ED2526" w:rsidP="009C7DAF">
      <w:pPr>
        <w:pStyle w:val="AbstHead"/>
        <w:spacing w:after="0"/>
        <w:jc w:val="both"/>
        <w:rPr>
          <w:rFonts w:ascii="Arial" w:hAnsi="Arial" w:cs="Arial"/>
          <w:b w:val="0"/>
          <w:bCs/>
          <w:sz w:val="20"/>
          <w:lang w:val="en-ID"/>
        </w:rPr>
      </w:pPr>
      <w:r w:rsidRPr="00ED2526">
        <w:rPr>
          <w:rFonts w:ascii="Arial" w:hAnsi="Arial" w:cs="Arial"/>
          <w:b w:val="0"/>
          <w:bCs/>
          <w:caps w:val="0"/>
          <w:sz w:val="20"/>
        </w:rPr>
        <w:t>Natural products are known to contain various bioactive secondary metabolites, such as polyphenols, flavonoids, and alkaloids, which play important roles in the regulation of lipoprotein metabolism and lipid homeostasis. These effects are mediated through several mechanisms, including increased endothelial nitric oxide synthase (</w:t>
      </w:r>
      <w:proofErr w:type="spellStart"/>
      <w:r w:rsidRPr="00ED2526">
        <w:rPr>
          <w:rFonts w:ascii="Arial" w:hAnsi="Arial" w:cs="Arial"/>
          <w:b w:val="0"/>
          <w:bCs/>
          <w:caps w:val="0"/>
          <w:sz w:val="20"/>
        </w:rPr>
        <w:t>eNOS</w:t>
      </w:r>
      <w:proofErr w:type="spellEnd"/>
      <w:r w:rsidRPr="00ED2526">
        <w:rPr>
          <w:rFonts w:ascii="Arial" w:hAnsi="Arial" w:cs="Arial"/>
          <w:b w:val="0"/>
          <w:bCs/>
          <w:caps w:val="0"/>
          <w:sz w:val="20"/>
        </w:rPr>
        <w:t>) activity, modulation of reactive oxygen species (ROS), reduced lipid biosynthesis, decreased oxidized low-density lipoprotein (LDL) levels, inhibition of lipid plaque formation, enhanced cholesterol efflux, and reduced platelet activity</w:t>
      </w:r>
      <w:r w:rsidR="009C7DAF" w:rsidRPr="007D6237">
        <w:rPr>
          <w:rFonts w:ascii="Arial" w:hAnsi="Arial" w:cs="Arial"/>
          <w:b w:val="0"/>
          <w:bCs/>
          <w:caps w:val="0"/>
          <w:sz w:val="20"/>
          <w:lang w:val="en-ID"/>
        </w:rPr>
        <w:t xml:space="preserve"> </w:t>
      </w:r>
      <w:r w:rsidR="009C7DAF" w:rsidRPr="00AB5C1F">
        <w:rPr>
          <w:rFonts w:ascii="Arial" w:hAnsi="Arial" w:cs="Arial"/>
          <w:b w:val="0"/>
          <w:bCs/>
          <w:caps w:val="0"/>
          <w:sz w:val="20"/>
          <w:lang w:val="sv-SE"/>
        </w:rPr>
        <w:fldChar w:fldCharType="begin" w:fldLock="1"/>
      </w:r>
      <w:r w:rsidR="009C7DAF" w:rsidRPr="007D6237">
        <w:rPr>
          <w:rFonts w:ascii="Arial" w:hAnsi="Arial" w:cs="Arial"/>
          <w:b w:val="0"/>
          <w:bCs/>
          <w:caps w:val="0"/>
          <w:sz w:val="20"/>
          <w:lang w:val="en-ID"/>
        </w:rPr>
        <w:instrText>ADDIN CSL_CITATION {"citationItems":[{"id":"ITEM-1","itemData":{"DOI":"10.3390/ijms24108476","ISSN":"14220067","PMID":"37239823","abstract":"Atherosclerotic cardiovascular disease (ACVD) is the leading cause of death worldwide. Although current therapies, such as statins, have led to a marked reduction in morbidity and mortality from ACVD, they are associated with considerable residual risk for the disease together with various adverse side effects. Natural compounds are generally well-tolerated; a major recent goal has been to harness their full potential in the prevention and treatment of ACVD, either alone or together with existing pharmacotherapies. Punicalagin (PC) is the main polyphenol present in pomegranates and pomegranate juice and demonstrates many beneficial actions, including anti-inflammatory, antioxidant, and anti-atherogenic properties. The objective of this review is to inform on our current understanding of the pathogenesis of ACVD and the potential mechanisms underlying the beneficial actions of PC and its metabolites in the disease, including the attenuation of dyslipidemia, oxidative stress, endothelial cell dysfunction, foam cell formation, a</w:instrText>
      </w:r>
      <w:r w:rsidR="009C7DAF" w:rsidRPr="00ED2526">
        <w:rPr>
          <w:rFonts w:ascii="Arial" w:hAnsi="Arial" w:cs="Arial"/>
          <w:b w:val="0"/>
          <w:bCs/>
          <w:caps w:val="0"/>
          <w:sz w:val="20"/>
          <w:lang w:val="en-ID"/>
        </w:rPr>
        <w:instrText>nd inflammation mediated by cytokines and immune cells together with the regulation of proliferation and migration of vascular smooth muscle cells. Some of the anti-inflammatory and antioxidant properties of PC and its metabolites are due to their strong radical-scavenging activities. PC and its m</w:instrText>
      </w:r>
      <w:r w:rsidR="009C7DAF" w:rsidRPr="00881B52">
        <w:rPr>
          <w:rFonts w:ascii="Arial" w:hAnsi="Arial" w:cs="Arial"/>
          <w:b w:val="0"/>
          <w:bCs/>
          <w:caps w:val="0"/>
          <w:sz w:val="20"/>
          <w:lang w:val="en-ID"/>
        </w:rPr>
        <w:instrText>etabolites also</w:instrText>
      </w:r>
      <w:r w:rsidR="009C7DAF" w:rsidRPr="007D6237">
        <w:rPr>
          <w:rFonts w:ascii="Arial" w:hAnsi="Arial" w:cs="Arial"/>
          <w:b w:val="0"/>
          <w:bCs/>
          <w:caps w:val="0"/>
          <w:sz w:val="20"/>
          <w:lang w:val="en-ID"/>
        </w:rPr>
        <w:instrText xml:space="preserve"> inhibit the risk factors of atherosclerosis, including hyperlipidemia, diabetes mellitus, inflammation, hypertension, obesity, and non-alcoholic fatty liver disease. Despite the promising findings that have emerged from numerous in vitro, in vivo, and clinical studies, deeper mechanistic insights and large clinical trials are required to harness the full potential of PC and its metabolites in the prevention and treatment of ACVD.","author":[{"dropping-particle":"","family":"Alalawi","given":"Sulaiman","non-dropping-particle":"","parse-names":false,"suffix":""},{"dropping-particle":"","family":"Albalawi","given":"Faizah","non-dropping-particle":"","parse-names":false,"suffix":""},{"dropping-particle":"","family":"Ramji","given":"Dipak P.","non-dropping-particle":"","parse-names":false,"suffix":""}],"container-title":"International Journal of Molecular Sciences","id":"ITEM-1","issue":"10","issued":{"date-parts":[["2023"]]},"page":"1-19","title":"The Role of Punicalagin and Its Metabolites in Atherosclerosis and Risk Factors Associated with the Disease","type":"article-journal","volume":"24"},"uris":["http://www.mendeley.com/documents/?uuid=6b5f0722-8b9b-4681-8a99-2e49976bbc19"]}],"mendeley":{"formattedCitation":"(Alalawi et al., 2023)","plainTextFormattedCitation":"(Alalawi et al., 2023)","previouslyFormattedCitation":"(Alalawi et al., 2023)"},"properties":{"noteIndex":0},"schema":"https://github.com/citation-style-language/schema/raw/master/csl-citation.json"}</w:instrText>
      </w:r>
      <w:r w:rsidR="009C7DAF" w:rsidRPr="00AB5C1F">
        <w:rPr>
          <w:rFonts w:ascii="Arial" w:hAnsi="Arial" w:cs="Arial"/>
          <w:b w:val="0"/>
          <w:bCs/>
          <w:caps w:val="0"/>
          <w:sz w:val="20"/>
          <w:lang w:val="sv-SE"/>
        </w:rPr>
        <w:fldChar w:fldCharType="separate"/>
      </w:r>
      <w:r w:rsidR="009C7DAF" w:rsidRPr="007D6237">
        <w:rPr>
          <w:rFonts w:ascii="Arial" w:hAnsi="Arial" w:cs="Arial"/>
          <w:b w:val="0"/>
          <w:bCs/>
          <w:caps w:val="0"/>
          <w:noProof/>
          <w:sz w:val="20"/>
          <w:lang w:val="en-ID"/>
        </w:rPr>
        <w:t>(Alalawi et al., 2023)</w:t>
      </w:r>
      <w:r w:rsidR="009C7DAF" w:rsidRPr="00AB5C1F">
        <w:rPr>
          <w:rFonts w:ascii="Arial" w:hAnsi="Arial" w:cs="Arial"/>
          <w:b w:val="0"/>
          <w:bCs/>
          <w:caps w:val="0"/>
          <w:sz w:val="20"/>
          <w:lang w:val="sv-SE"/>
        </w:rPr>
        <w:fldChar w:fldCharType="end"/>
      </w:r>
      <w:r w:rsidR="007D6237" w:rsidRPr="007D6237">
        <w:rPr>
          <w:rFonts w:ascii="Arial" w:hAnsi="Arial" w:cs="Arial"/>
          <w:b w:val="0"/>
          <w:bCs/>
          <w:caps w:val="0"/>
          <w:sz w:val="20"/>
          <w:lang w:val="en-ID"/>
        </w:rPr>
        <w:t>.</w:t>
      </w:r>
    </w:p>
    <w:p w14:paraId="48765DE5" w14:textId="0EFDD286" w:rsidR="009C7DAF" w:rsidRDefault="00ED2526" w:rsidP="00441B6F">
      <w:pPr>
        <w:pStyle w:val="AbstHead"/>
        <w:spacing w:after="0"/>
        <w:jc w:val="both"/>
        <w:rPr>
          <w:rFonts w:ascii="Arial" w:hAnsi="Arial" w:cs="Arial"/>
          <w:b w:val="0"/>
          <w:bCs/>
          <w:caps w:val="0"/>
          <w:sz w:val="20"/>
          <w:lang w:val="en-ID"/>
        </w:rPr>
      </w:pPr>
      <w:r w:rsidRPr="00ED2526">
        <w:rPr>
          <w:rFonts w:ascii="Arial" w:hAnsi="Arial" w:cs="Arial"/>
          <w:b w:val="0"/>
          <w:bCs/>
          <w:caps w:val="0"/>
          <w:sz w:val="20"/>
        </w:rPr>
        <w:t>A high-fat diet can disrupt lipid homeostasis and induce dyslipidemia. This condition is associated with increased hepatic lipogenesis and insulin resistance, leading to impaired apolipoprotein B (ApoB) synthesis and very low-density lipoprotein (VLDL) production. It also promotes hepatic steatosis, reflecting abnormal lipid redistribution due to the limited storage capacity of adipose tissue, which ultimately contributes to systemic metabolic disorders. Moreover, increased lipid peroxidation resulting from a high-fat diet can induce oxidative stress (Di Majo et al., 2023). In addition to dietary factors, cigarette smoke exposure has been shown to exacerbate metabolic disturbances, leading to increased lipid profiles, body weight, and blood pressure</w:t>
      </w:r>
      <w:r w:rsidR="00AB5C1F" w:rsidRPr="007D6237">
        <w:rPr>
          <w:rFonts w:ascii="Arial" w:hAnsi="Arial" w:cs="Arial"/>
          <w:b w:val="0"/>
          <w:bCs/>
          <w:caps w:val="0"/>
          <w:sz w:val="20"/>
          <w:lang w:val="en-ID"/>
        </w:rPr>
        <w:t xml:space="preserve">  </w:t>
      </w:r>
      <w:r w:rsidR="00AB5C1F" w:rsidRPr="00AB5C1F">
        <w:rPr>
          <w:rFonts w:ascii="Arial" w:hAnsi="Arial" w:cs="Arial"/>
          <w:b w:val="0"/>
          <w:bCs/>
          <w:caps w:val="0"/>
          <w:sz w:val="20"/>
          <w:lang w:val="sv-SE"/>
        </w:rPr>
        <w:fldChar w:fldCharType="begin" w:fldLock="1"/>
      </w:r>
      <w:r w:rsidR="006E2600">
        <w:rPr>
          <w:rFonts w:ascii="Arial" w:hAnsi="Arial" w:cs="Arial"/>
          <w:b w:val="0"/>
          <w:bCs/>
          <w:caps w:val="0"/>
          <w:sz w:val="20"/>
          <w:lang w:val="en-ID"/>
        </w:rPr>
        <w:instrText>ADDIN CSL_CITATION {"citationItems":[{"id":"ITEM-1","itemData":{"DOI":"10.1371/journal.pone.0234516","ISBN":"1111111111","ISSN":"19326203","PMID":"32559253","abstract":"The prevalence of metabolic syndrome is increased worldwide. Tobacco smoking increases the risk of developing metabolic syndrome. Waterpipe tobacco smoking has become a global trend of tobacco consumption and is as common as cigarette smoking. In this study, the effect of waterpipe tobacco smoke (WTS) on the development of metabolic syndrome in rats was evaluated. Adult Wistar rats were exposed for 19 weeks to either fresh air (control) or WTS for 1 hour daily/ 5 days per week (WTS). Central obesity, systolic blood pressure, lipid profile, glucose hemostasis and levels of leptin and adiponectin were evaluated. The WTS exposure increased body weight, abdominal circumference, systolic blood pressure and fasting glucose compared to control animals (P&lt;0.05), consistent with inducing metabolic syndrome. The retroperitoneal fat, lipid profile and levels of insulin, leptin and adiponectin were not affected by WTS exposure (P&gt;0.05). In conclusion, exposure to WTS has detrimental health effects leading to the development of metabolic syndrome in experimental animals.","author":[{"dropping-particle":"","family":"Al-Sawalha","given":"Nour A.","non-dropping-particle":"","parse-names":false,"suffix":""},{"dropping-particle":"","family":"Almahmmod","given":"Yehya","non-dropping-particle":"","parse-names":false,"suffix":""},{"dropping-particle":"","family":"Awawdeh","given":"Mofleh S.","non-dropping-particle":"","parse-names":false,"suffix":""},{"dropping-particle":"","family":"Alzoubi","given":"Karem H.","non-dropping-particle":"","parse-names":false,"suffix":""},{"dropping-particle":"","family":"Khabour","given":"Omar F.","non-dropping-particle":"","parse-names":false,"suffix":""}],"container-title":"PLoS ONE","id":"ITEM-1","issue":"6","issued":{"date-parts":[["2020"]]},"page":"1-9","title":"Effect of Waterpipe Tobacco Smoke Exposure on The Development of Metabolic Syndrome in Adult Male Rats","type":"article-journal","volume":"15"},"uris":["http://www.mendeley.com/documents/?uuid=84e935fe-2885-49fb-94e2-da8c401b7250"]}],"mendeley":{"formattedCitation":"(Al-Sawalha et al., 2020)","plainTextFormattedCitation":"(Al-Sawalha et al., 2020)","previouslyFormattedCitation":"(Al-Sawalha et al., 2020)"},"properties":{"noteIndex":0},"schema":"https://github.com/citation-style-language/schema/raw/master/csl-citation.json"}</w:instrText>
      </w:r>
      <w:r w:rsidR="00AB5C1F" w:rsidRPr="00AB5C1F">
        <w:rPr>
          <w:rFonts w:ascii="Arial" w:hAnsi="Arial" w:cs="Arial"/>
          <w:b w:val="0"/>
          <w:bCs/>
          <w:caps w:val="0"/>
          <w:sz w:val="20"/>
          <w:lang w:val="sv-SE"/>
        </w:rPr>
        <w:fldChar w:fldCharType="separate"/>
      </w:r>
      <w:r w:rsidR="00AB5C1F" w:rsidRPr="00881B52">
        <w:rPr>
          <w:rFonts w:ascii="Arial" w:hAnsi="Arial" w:cs="Arial"/>
          <w:b w:val="0"/>
          <w:bCs/>
          <w:caps w:val="0"/>
          <w:noProof/>
          <w:sz w:val="20"/>
          <w:lang w:val="en-ID"/>
        </w:rPr>
        <w:t>(Al-Sawalha et al., 2020)</w:t>
      </w:r>
      <w:r w:rsidR="00AB5C1F" w:rsidRPr="00AB5C1F">
        <w:rPr>
          <w:rFonts w:ascii="Arial" w:hAnsi="Arial" w:cs="Arial"/>
          <w:b w:val="0"/>
          <w:bCs/>
          <w:caps w:val="0"/>
          <w:sz w:val="20"/>
          <w:lang w:val="sv-SE"/>
        </w:rPr>
        <w:fldChar w:fldCharType="end"/>
      </w:r>
      <w:r w:rsidR="00AB5C1F" w:rsidRPr="00881B52">
        <w:rPr>
          <w:rFonts w:ascii="Arial" w:hAnsi="Arial" w:cs="Arial"/>
          <w:b w:val="0"/>
          <w:bCs/>
          <w:caps w:val="0"/>
          <w:sz w:val="20"/>
          <w:lang w:val="en-ID"/>
        </w:rPr>
        <w:t>.</w:t>
      </w:r>
    </w:p>
    <w:p w14:paraId="075EE77B" w14:textId="23599509" w:rsidR="00405D80" w:rsidRPr="00ED2526" w:rsidRDefault="00ED2526" w:rsidP="00441B6F">
      <w:pPr>
        <w:pStyle w:val="AbstHead"/>
        <w:spacing w:after="0"/>
        <w:jc w:val="both"/>
        <w:rPr>
          <w:rFonts w:ascii="Arial" w:hAnsi="Arial" w:cs="Arial"/>
          <w:b w:val="0"/>
          <w:bCs/>
          <w:caps w:val="0"/>
          <w:sz w:val="20"/>
          <w:lang w:val="sv-SE"/>
        </w:rPr>
      </w:pPr>
      <w:r w:rsidRPr="00ED2526">
        <w:rPr>
          <w:rFonts w:ascii="Arial" w:hAnsi="Arial" w:cs="Arial"/>
          <w:b w:val="0"/>
          <w:bCs/>
          <w:caps w:val="0"/>
          <w:sz w:val="20"/>
        </w:rPr>
        <w:t xml:space="preserve">The progression of metabolic disorders such as dyslipidemia may be mitigated through natural products with synergistic biological activities, including anti-inflammatory, antioxidant, and antihyperlipidemic effects. The fruit of </w:t>
      </w:r>
      <w:r w:rsidRPr="00ED2526">
        <w:rPr>
          <w:rFonts w:ascii="Arial" w:hAnsi="Arial" w:cs="Arial"/>
          <w:b w:val="0"/>
          <w:bCs/>
          <w:i/>
          <w:iCs/>
          <w:caps w:val="0"/>
          <w:sz w:val="20"/>
        </w:rPr>
        <w:t>Avicennia marina</w:t>
      </w:r>
      <w:r w:rsidRPr="00ED2526">
        <w:rPr>
          <w:rFonts w:ascii="Arial" w:hAnsi="Arial" w:cs="Arial"/>
          <w:b w:val="0"/>
          <w:bCs/>
          <w:caps w:val="0"/>
          <w:sz w:val="20"/>
        </w:rPr>
        <w:t xml:space="preserve"> has been reported to contain phenolic compounds and phenylethanoid glycosides with potent antioxidant and anti-inflammatory properties</w:t>
      </w:r>
      <w:r w:rsidR="00405D80" w:rsidRPr="00405D80">
        <w:rPr>
          <w:rFonts w:ascii="Arial" w:hAnsi="Arial" w:cs="Arial"/>
          <w:b w:val="0"/>
          <w:bCs/>
          <w:sz w:val="20"/>
          <w:shd w:val="clear" w:color="auto" w:fill="FFFFFF"/>
          <w:lang w:val="en-ID"/>
        </w:rPr>
        <w:t xml:space="preserve"> </w:t>
      </w:r>
      <w:r w:rsidR="00405D80" w:rsidRPr="00405D80">
        <w:rPr>
          <w:rFonts w:ascii="Arial" w:hAnsi="Arial" w:cs="Arial"/>
          <w:b w:val="0"/>
          <w:bCs/>
          <w:sz w:val="20"/>
          <w:shd w:val="clear" w:color="auto" w:fill="FFFFFF"/>
          <w:lang w:val="sv-SE"/>
        </w:rPr>
        <w:fldChar w:fldCharType="begin" w:fldLock="1"/>
      </w:r>
      <w:r w:rsidR="00405D80">
        <w:rPr>
          <w:rFonts w:ascii="Arial" w:hAnsi="Arial" w:cs="Arial"/>
          <w:b w:val="0"/>
          <w:bCs/>
          <w:sz w:val="20"/>
          <w:shd w:val="clear" w:color="auto" w:fill="FFFFFF"/>
          <w:lang w:val="en-ID"/>
        </w:rPr>
        <w:instrText>ADDIN CSL_CITATION {"citationItems":[{"id":"ITEM-1","itemData":{"author":[{"dropping-particle":"","family":"Palupi","given":"Dwi Hadi Setya","non-dropping-particle":"","parse-names":false,"suffix":""},{"dropping-particle":"","family":"Haryanti","given":"Sri","non-dropping-particle":"","parse-names":false,"suffix":""},{"dropping-particle":"","family":"Prahasiwi","given":"Masitoh Suryaning","non-dropping-particle":"","parse-names":false,"suffix":""},{"dropping-particle":"","family":"Utomo","given":"Retno Sari","non-dropping-particle":"","parse-names":false,"suffix":""}],"container-title":"Journal of Pharmaceutical Science and Clinical Research","id":"ITEM-1","issue":"1","issued":{"date-parts":[["2025"]]},"page":"100-113","title":"Aktivitas Penghambatan Dipeptidyl peptidase-4 ( DPP-4 ) dan Skrining Fitokimia Ekstrak Buah Api-api ( Avicennia marina )","type":"article-journal","volume":"10"},"uris":["http://www.mendeley.com/documents/?uuid=1da6cb34-ae14-4ae0-aa31-8df5a64213db"]}],"mendeley":{"formattedCitation":"(Palupi et al., 2025)","manualFormatting":"(palupi et al., 2025","plainTextFormattedCitation":"(Palupi et al., 2025)","previouslyFormattedCitation":"(Palupi et al., 2025)"},"properties":{"noteIndex":0},"schema":"https://github.com/citation-style-language/schema/raw/master/csl-citation.json"}</w:instrText>
      </w:r>
      <w:r w:rsidR="00405D80" w:rsidRPr="00405D80">
        <w:rPr>
          <w:rFonts w:ascii="Arial" w:hAnsi="Arial" w:cs="Arial"/>
          <w:b w:val="0"/>
          <w:bCs/>
          <w:sz w:val="20"/>
          <w:shd w:val="clear" w:color="auto" w:fill="FFFFFF"/>
          <w:lang w:val="sv-SE"/>
        </w:rPr>
        <w:fldChar w:fldCharType="separate"/>
      </w:r>
      <w:r w:rsidR="00405D80" w:rsidRPr="00405D80">
        <w:rPr>
          <w:rFonts w:ascii="Arial" w:hAnsi="Arial" w:cs="Arial"/>
          <w:b w:val="0"/>
          <w:bCs/>
          <w:caps w:val="0"/>
          <w:noProof/>
          <w:sz w:val="20"/>
          <w:shd w:val="clear" w:color="auto" w:fill="FFFFFF"/>
          <w:lang w:val="en-ID"/>
        </w:rPr>
        <w:t>(palupi et al., 2025</w:t>
      </w:r>
      <w:r w:rsidR="00405D80" w:rsidRPr="00405D80">
        <w:rPr>
          <w:rFonts w:ascii="Arial" w:hAnsi="Arial" w:cs="Arial"/>
          <w:b w:val="0"/>
          <w:bCs/>
          <w:sz w:val="20"/>
          <w:shd w:val="clear" w:color="auto" w:fill="FFFFFF"/>
          <w:lang w:val="sv-SE"/>
        </w:rPr>
        <w:fldChar w:fldCharType="end"/>
      </w:r>
      <w:r w:rsidR="00405D80" w:rsidRPr="00405D80">
        <w:rPr>
          <w:rFonts w:ascii="Arial" w:hAnsi="Arial" w:cs="Arial"/>
          <w:b w:val="0"/>
          <w:bCs/>
          <w:sz w:val="20"/>
          <w:shd w:val="clear" w:color="auto" w:fill="FFFFFF"/>
          <w:lang w:val="en-ID"/>
        </w:rPr>
        <w:t xml:space="preserve">; </w:t>
      </w:r>
      <w:r w:rsidR="00405D80" w:rsidRPr="00405D80">
        <w:rPr>
          <w:rFonts w:ascii="Arial" w:hAnsi="Arial" w:cs="Arial"/>
          <w:b w:val="0"/>
          <w:bCs/>
          <w:sz w:val="20"/>
          <w:shd w:val="clear" w:color="auto" w:fill="FFFFFF"/>
          <w:lang w:val="sv-SE"/>
        </w:rPr>
        <w:fldChar w:fldCharType="begin" w:fldLock="1"/>
      </w:r>
      <w:r w:rsidR="00405D80" w:rsidRPr="00405D80">
        <w:rPr>
          <w:rFonts w:ascii="Arial" w:hAnsi="Arial" w:cs="Arial"/>
          <w:b w:val="0"/>
          <w:bCs/>
          <w:sz w:val="20"/>
          <w:shd w:val="clear" w:color="auto" w:fill="FFFFFF"/>
          <w:lang w:val="en-ID"/>
        </w:rPr>
        <w:instrText>ADDIN CSL_CITATION {"citationItems":[{"id":"ITEM-1","itemData":{"DOI":"10.32539/bji.v8i1.141","ISSN":"2407-7097","abstract":"Introduction. Bioactive metabolites was isolated from Avicennia marina fruit belongs to a new caffeoyl derivative, maricaffeoylide. It was a class of phenolic compounds such as caffeic acid which had potential as anticancer, anti-inflammatory, and antioxidant activity. One of proinflammatory cytokine that play a role in regulating immune cells against cancer is TNF-α. In-silico analysis is often used to molecular docking. It was carried out to determine the interaction molecule between bioactive compound and receptor. The purpose of this study is to analysed of interaction maricaffeoylide and TNF-α receptor using molecular docking. In this study, molecular docking will be carried out to determine the interaction and affinity of the bond energy. Methods. The method used in this research is experimental which is carried out in silico using molecular docking. Maricaffeoylide was prepared by using Marvin Sketch and TNF-α receptor was downloaded from pdb. Molecular docking was carried out ligand and receptor preparation, validation, molecular tethering using Pyrx-Autodock Vina, and visualization by BIOVIA. Result. The result of the conformation of the maricaffeoylide has an energy of 69.77 kcal/mol. The gridbox is adjusted at center coordinates x = 14.85; y = -6.50; and z = -6.70 and at dimensions x = 31, y = 35, and z = 63 Ǻ. The Lipinski’s rule for drug-likeness was confirmed. Conclusion. Molecular docking of maricaffeoylide against TNF-α receptors was successfully performed with a docking score of -6.1 kcal/mol involving the interaction van der Waals, hydrogen, alkyl, and carbon hydrogen.","author":[{"dropping-particle":"","family":"Setiyabudi","given":"Lulu","non-dropping-particle":"","parse-names":false,"suffix":""},{"dropping-particle":"","family":"Ulya","given":"Nila Fadila","non-dropping-particle":"","parse-names":false,"suffix":""},{"dropping-particle":"","family":"Indratmoko","given":"Septiana","non-dropping-particle":"","parse-names":false,"suffix":""},{"dropping-particle":"","family":"Swandari","given":"Mika Tri Kumala","non-dropping-particle":"","parse-names":false,"suffix":""}],"container-title":"Biomedical Journal of Indonesia","id":"ITEM-1","issue":"1","issued":{"date-parts":[["2022"]]},"page":"20-24","title":"In-silico Analysis Of Maricaffeoylide From Avicennia Marina Using Molecular Docking With Tumor Necrosis Factor Receptor","type":"article-journal","volume":"8"},"uris":["http://www.mendeley.com/documents/?uuid=369f868f-08c3-4add-95c8-a29bc9df15ba"]}],"mendeley":{"formattedCitation":"(Setiyabudi et al., 2022)","manualFormatting":"Setiyabudi et al., 2022)","plainTextFormattedCitation":"(Setiyabudi et al., 2022)","previouslyFormattedCitation":"(Setiyabudi et al., 2022)"},"properties":{"noteIndex":0},"schema":"https://github.com/citation-style-language/schema/raw/master/csl-citation.json"}</w:instrText>
      </w:r>
      <w:r w:rsidR="00405D80" w:rsidRPr="00405D80">
        <w:rPr>
          <w:rFonts w:ascii="Arial" w:hAnsi="Arial" w:cs="Arial"/>
          <w:b w:val="0"/>
          <w:bCs/>
          <w:sz w:val="20"/>
          <w:shd w:val="clear" w:color="auto" w:fill="FFFFFF"/>
          <w:lang w:val="sv-SE"/>
        </w:rPr>
        <w:fldChar w:fldCharType="separate"/>
      </w:r>
      <w:r w:rsidR="00405D80" w:rsidRPr="00405D80">
        <w:rPr>
          <w:rFonts w:ascii="Arial" w:hAnsi="Arial" w:cs="Arial"/>
          <w:b w:val="0"/>
          <w:bCs/>
          <w:caps w:val="0"/>
          <w:noProof/>
          <w:sz w:val="20"/>
          <w:shd w:val="clear" w:color="auto" w:fill="FFFFFF"/>
          <w:lang w:val="en-ID"/>
        </w:rPr>
        <w:t>setiyabudi et al., 2022)</w:t>
      </w:r>
      <w:r w:rsidR="00405D80" w:rsidRPr="00405D80">
        <w:rPr>
          <w:rFonts w:ascii="Arial" w:hAnsi="Arial" w:cs="Arial"/>
          <w:b w:val="0"/>
          <w:bCs/>
          <w:sz w:val="20"/>
          <w:shd w:val="clear" w:color="auto" w:fill="FFFFFF"/>
          <w:lang w:val="sv-SE"/>
        </w:rPr>
        <w:fldChar w:fldCharType="end"/>
      </w:r>
      <w:r w:rsidR="00405D80" w:rsidRPr="00405D80">
        <w:rPr>
          <w:rFonts w:ascii="Arial" w:hAnsi="Arial" w:cs="Arial"/>
          <w:b w:val="0"/>
          <w:bCs/>
          <w:sz w:val="20"/>
          <w:shd w:val="clear" w:color="auto" w:fill="FFFFFF"/>
          <w:lang w:val="en-ID"/>
        </w:rPr>
        <w:t xml:space="preserve">. </w:t>
      </w:r>
      <w:r w:rsidRPr="00ED2526">
        <w:rPr>
          <w:rFonts w:ascii="Arial" w:hAnsi="Arial" w:cs="Arial"/>
          <w:b w:val="0"/>
          <w:bCs/>
          <w:caps w:val="0"/>
          <w:sz w:val="20"/>
          <w:shd w:val="clear" w:color="auto" w:fill="FFFFFF"/>
        </w:rPr>
        <w:t xml:space="preserve">Phenolic compounds derived from caffeic acid in </w:t>
      </w:r>
      <w:r w:rsidRPr="00ED2526">
        <w:rPr>
          <w:rFonts w:ascii="Arial" w:hAnsi="Arial" w:cs="Arial"/>
          <w:b w:val="0"/>
          <w:bCs/>
          <w:i/>
          <w:iCs/>
          <w:caps w:val="0"/>
          <w:sz w:val="20"/>
          <w:shd w:val="clear" w:color="auto" w:fill="FFFFFF"/>
        </w:rPr>
        <w:t>A. marina</w:t>
      </w:r>
      <w:r w:rsidRPr="00ED2526">
        <w:rPr>
          <w:rFonts w:ascii="Arial" w:hAnsi="Arial" w:cs="Arial"/>
          <w:b w:val="0"/>
          <w:bCs/>
          <w:caps w:val="0"/>
          <w:sz w:val="20"/>
          <w:shd w:val="clear" w:color="auto" w:fill="FFFFFF"/>
        </w:rPr>
        <w:t xml:space="preserve"> fruit have demonstrated strong in vitro antioxidant activity using the DPPH method, with an IC</w:t>
      </w:r>
      <w:r w:rsidRPr="00ED2526">
        <w:rPr>
          <w:rFonts w:ascii="Cambria Math" w:hAnsi="Cambria Math" w:cs="Cambria Math"/>
          <w:b w:val="0"/>
          <w:bCs/>
          <w:caps w:val="0"/>
          <w:sz w:val="20"/>
          <w:shd w:val="clear" w:color="auto" w:fill="FFFFFF"/>
        </w:rPr>
        <w:t>₅₀</w:t>
      </w:r>
      <w:r w:rsidRPr="00ED2526">
        <w:rPr>
          <w:rFonts w:ascii="Arial" w:hAnsi="Arial" w:cs="Arial"/>
          <w:b w:val="0"/>
          <w:bCs/>
          <w:caps w:val="0"/>
          <w:sz w:val="20"/>
          <w:shd w:val="clear" w:color="auto" w:fill="FFFFFF"/>
        </w:rPr>
        <w:t xml:space="preserve"> value of 8.72 µg/mL</w:t>
      </w:r>
      <w:r w:rsidR="00405D80" w:rsidRPr="00405D80">
        <w:rPr>
          <w:rFonts w:ascii="Arial" w:hAnsi="Arial" w:cs="Arial"/>
          <w:b w:val="0"/>
          <w:bCs/>
          <w:sz w:val="20"/>
          <w:shd w:val="clear" w:color="auto" w:fill="FFFFFF"/>
          <w:lang w:val="en-ID"/>
        </w:rPr>
        <w:t xml:space="preserve"> </w:t>
      </w:r>
      <w:r w:rsidR="00405D80" w:rsidRPr="00405D80">
        <w:rPr>
          <w:rFonts w:ascii="Arial" w:hAnsi="Arial" w:cs="Arial"/>
          <w:b w:val="0"/>
          <w:bCs/>
          <w:sz w:val="20"/>
          <w:shd w:val="clear" w:color="auto" w:fill="FFFFFF"/>
          <w:lang w:val="sv-SE"/>
        </w:rPr>
        <w:fldChar w:fldCharType="begin" w:fldLock="1"/>
      </w:r>
      <w:r w:rsidR="00405D80" w:rsidRPr="00405D80">
        <w:rPr>
          <w:rFonts w:ascii="Arial" w:hAnsi="Arial" w:cs="Arial"/>
          <w:b w:val="0"/>
          <w:bCs/>
          <w:sz w:val="20"/>
          <w:shd w:val="clear" w:color="auto" w:fill="FFFFFF"/>
          <w:lang w:val="en-ID"/>
        </w:rPr>
        <w:instrText>ADDIN CSL_CITATION {"citationItems":[{"id":"ITEM-1","itemData":{"DOI":"10.12928/pharmaciana.v10i2.13010","ISSN":"2088-4559","abstract":"Aging is a complicated process occurring due to the combination of incremental alterations of the skin and accumulated extrinsic factors that causes both structural and functional disruptions. The extrinsic factor of skin aging is mostly caused by free radicals, UV exposures, and pollution. Prevention is possible by escalating antioxidant intake to scavenge ROS in the skin aging process. Rutin and caffeic acid are recognized for their free radical trapping effects and reported to have potential antiaging activities. This study aimed to identify the potentials of rutin and caffeic acid as antioxidant and antiaging. Rutin and caffeic acid were tested for their antioxidant properties using the DPPH, H2O2, ABTS radical scavenging, and FRAP assays. Meanwhile, their antiaging activities were examined by collagenase, elastase, hyaluronidase, and tyrosinase inhibitory assays. The study drew on the evidence of antioxidant and antiaging properties from the scavenging, ferric ion reducing, and inhibitory activities of rutin and caffeic acid (in ascending order): in scavenging DPPH free radicals (IC50 of rutin = 5.79 µg/mL, IC50 of caffeic ac</w:instrText>
      </w:r>
      <w:r w:rsidR="00405D80" w:rsidRPr="00ED2526">
        <w:rPr>
          <w:rFonts w:ascii="Arial" w:hAnsi="Arial" w:cs="Arial"/>
          <w:b w:val="0"/>
          <w:bCs/>
          <w:sz w:val="20"/>
          <w:shd w:val="clear" w:color="auto" w:fill="FFFFFF"/>
          <w:lang w:val="en-ID"/>
        </w:rPr>
        <w:instrText xml:space="preserve">id = 8.72 µg/mL), scavenging H2O2 (IC50 </w:instrText>
      </w:r>
      <w:r w:rsidR="00405D80" w:rsidRPr="00405D80">
        <w:rPr>
          <w:rFonts w:ascii="Arial" w:hAnsi="Arial" w:cs="Arial"/>
          <w:b w:val="0"/>
          <w:bCs/>
          <w:sz w:val="20"/>
          <w:shd w:val="clear" w:color="auto" w:fill="FFFFFF"/>
          <w:lang w:val="sv-SE"/>
        </w:rPr>
        <w:instrText>rutin = 12.09 µg/ml, IC50 caffeic acid = 15.23 µg/mL), reducing ABTS (IC50 caffeic acid = 6.23 µg/mL, IC50 rutin = 16.59 µg/mL), reducing ferric ions at 50 µg/mL (FRAP of rutin = 480.08 µM Fe(II)/µg, FRAP of caffeic acid= 526.50 µM Fe(II)/µg), inhibiting collagenase (IC50 caffeic acid = 74.42 µg/mL, IC50 rutin = 104.70 µg/mL), inhibiting elastase (IC50 rutin = 46.88 µg/mL, IC50 caffeic acid = 76.95 µg/mL), inhibiting tyrosinase (IC50 rutin = 55.65 µg/mL, IC50 caffeic acid = 145.91 µg/mL), and inhibiting hyaluronidase (IC50 rutin = 114.07 µg/mL, IC50 caffeic acid= 244.45 µg/mL). Rutin and caffeic acid have the potentials as antiaging and antioxidant.","author":[{"dropping-particle":"","family":"Girsang","given":"Ermi","non-dropping-particle":"","pa</w:instrText>
      </w:r>
      <w:r w:rsidR="00405D80" w:rsidRPr="00405D80">
        <w:rPr>
          <w:rFonts w:ascii="Arial" w:hAnsi="Arial" w:cs="Arial"/>
          <w:b w:val="0"/>
          <w:bCs/>
          <w:sz w:val="20"/>
          <w:shd w:val="clear" w:color="auto" w:fill="FFFFFF"/>
          <w:lang w:val="en-ID"/>
        </w:rPr>
        <w:instrText>rse-names":false,"suffix":""},{"dropping-particle":"","family":"Lister","given":"I Nyoman Ehrich","non-dropping-particle":"","parse-names":false,"suffix":""},{"dropping-particle":"","family":"Ginting","given":"Chrismis Novalinda","non-dropping-particle":"","parse-names":false,"suffix":""},{"dropping-particle":"","family":"Sholihah","given":"Ika Adhani","non-dropping-particle":"","parse-names":false,"suffix":""},{"dropping-particle":"","family":"Raif","given":"Martinus Ahmad","non-dropping-particle":"","parse-names":false,"suffix":""},{"dropping-particle":"","family":"Kunardi","given":"Sidharta","non-dropping-particle":"","parse-names":false,"suffix":""},{"dropping-particle":"","family":"Million","given":"Hendy","non-dropping-particle":"","parse-names":false,"suffix":""},{"dropping-particle":"","family":"Widowati","given":"Wahyu","non-dropping-particle":"","parse-names":false,"suffix":""}],"container-title":"Pharmaciana","id":"ITEM-1","issue":"2","issued":{"date-parts":[["2020"]]},"page":"147-156","title":"Antioxidant and Antiaging Activity of Rutin and Caffeic Acid","type":"article-journal","volume":"10"},"uris":["http://www.mendeley.com/documents/?uuid=1c03e53b-395b-470c-96fb-14916524f05f"]}],"mendeley":{"formattedCitation":"(Girsang et al., 2020)","plainTextFormattedCitation":"(Girsang et al., 2020)","previouslyFormattedCitation":"(Girsang et al., 2020)"},"properties":{"noteIndex":0},"schema":"https://github.com/citation-style-language/schema/raw/master/csl-citation.json"}</w:instrText>
      </w:r>
      <w:r w:rsidR="00405D80" w:rsidRPr="00405D80">
        <w:rPr>
          <w:rFonts w:ascii="Arial" w:hAnsi="Arial" w:cs="Arial"/>
          <w:b w:val="0"/>
          <w:bCs/>
          <w:sz w:val="20"/>
          <w:shd w:val="clear" w:color="auto" w:fill="FFFFFF"/>
          <w:lang w:val="sv-SE"/>
        </w:rPr>
        <w:fldChar w:fldCharType="separate"/>
      </w:r>
      <w:r w:rsidR="00405D80" w:rsidRPr="00405D80">
        <w:rPr>
          <w:rFonts w:ascii="Arial" w:hAnsi="Arial" w:cs="Arial"/>
          <w:b w:val="0"/>
          <w:bCs/>
          <w:caps w:val="0"/>
          <w:noProof/>
          <w:sz w:val="20"/>
          <w:shd w:val="clear" w:color="auto" w:fill="FFFFFF"/>
          <w:lang w:val="en-ID"/>
        </w:rPr>
        <w:t>(girsang et al., 2020)</w:t>
      </w:r>
      <w:r w:rsidR="00405D80" w:rsidRPr="00405D80">
        <w:rPr>
          <w:rFonts w:ascii="Arial" w:hAnsi="Arial" w:cs="Arial"/>
          <w:b w:val="0"/>
          <w:bCs/>
          <w:sz w:val="20"/>
          <w:shd w:val="clear" w:color="auto" w:fill="FFFFFF"/>
          <w:lang w:val="sv-SE"/>
        </w:rPr>
        <w:fldChar w:fldCharType="end"/>
      </w:r>
      <w:r w:rsidR="00405D80" w:rsidRPr="00405D80">
        <w:rPr>
          <w:rFonts w:ascii="Arial" w:hAnsi="Arial" w:cs="Arial"/>
          <w:b w:val="0"/>
          <w:bCs/>
          <w:sz w:val="20"/>
          <w:shd w:val="clear" w:color="auto" w:fill="FFFFFF"/>
          <w:lang w:val="en-ID"/>
        </w:rPr>
        <w:t xml:space="preserve">. </w:t>
      </w:r>
      <w:r w:rsidRPr="00ED2526">
        <w:rPr>
          <w:rFonts w:ascii="Arial" w:hAnsi="Arial" w:cs="Arial"/>
          <w:b w:val="0"/>
          <w:bCs/>
          <w:caps w:val="0"/>
          <w:sz w:val="20"/>
          <w:shd w:val="clear" w:color="auto" w:fill="FFFFFF"/>
        </w:rPr>
        <w:t>Phenylethanoid glycosides exhibit anti-inflammatory activity through free radical scavenging and show significant antioxidant effects, as evidenced by reduced malondialdehyde (MDA) and nitric oxide (NO) levels, along with increased activity of endogenous antioxidant enzymes such as superoxide dismutase (SOD) and glutathione peroxidase (GSH-</w:t>
      </w:r>
      <w:proofErr w:type="spellStart"/>
      <w:r w:rsidRPr="00ED2526">
        <w:rPr>
          <w:rFonts w:ascii="Arial" w:hAnsi="Arial" w:cs="Arial"/>
          <w:b w:val="0"/>
          <w:bCs/>
          <w:caps w:val="0"/>
          <w:sz w:val="20"/>
          <w:shd w:val="clear" w:color="auto" w:fill="FFFFFF"/>
        </w:rPr>
        <w:t>Px</w:t>
      </w:r>
      <w:proofErr w:type="spellEnd"/>
      <w:r w:rsidRPr="00ED2526">
        <w:rPr>
          <w:rFonts w:ascii="Arial" w:hAnsi="Arial" w:cs="Arial"/>
          <w:b w:val="0"/>
          <w:bCs/>
          <w:caps w:val="0"/>
          <w:sz w:val="20"/>
          <w:shd w:val="clear" w:color="auto" w:fill="FFFFFF"/>
        </w:rPr>
        <w:t>)</w:t>
      </w:r>
      <w:r w:rsidR="00405D80" w:rsidRPr="00405D80">
        <w:rPr>
          <w:rFonts w:ascii="Arial" w:hAnsi="Arial" w:cs="Arial"/>
          <w:b w:val="0"/>
          <w:bCs/>
          <w:sz w:val="20"/>
          <w:shd w:val="clear" w:color="auto" w:fill="FFFFFF"/>
        </w:rPr>
        <w:t xml:space="preserve"> </w:t>
      </w:r>
      <w:r w:rsidR="00405D80" w:rsidRPr="00405D80">
        <w:rPr>
          <w:rFonts w:ascii="Arial" w:hAnsi="Arial" w:cs="Arial"/>
          <w:b w:val="0"/>
          <w:bCs/>
          <w:sz w:val="20"/>
          <w:shd w:val="clear" w:color="auto" w:fill="FFFFFF"/>
        </w:rPr>
        <w:fldChar w:fldCharType="begin" w:fldLock="1"/>
      </w:r>
      <w:r w:rsidR="00405D80" w:rsidRPr="00405D80">
        <w:rPr>
          <w:rFonts w:ascii="Arial" w:hAnsi="Arial" w:cs="Arial"/>
          <w:b w:val="0"/>
          <w:bCs/>
          <w:sz w:val="20"/>
          <w:shd w:val="clear" w:color="auto" w:fill="FFFFFF"/>
        </w:rPr>
        <w:instrText>ADDIN CSL_CITATION {"citationItems":[{"id":"ITEM-1","itemData":{"DOI":"10.1080/13880209.2020.1837187","ISSN":"17445116","PMID":"33280468","abstract":"Context: Fruit of Avicennia marina (Forsk.) Vierh. (Acanthaceae) is used as a Chinese herb. Studies have found that it contains marinoid J, a novel phenylethanoid glycoside (PG) compound, but its neuroprotective functions are largely unknown. Objective: This study evaluated the effects of marinoid J on vascular dementia (VD) and determined its potential mechanisms of action. Materials and methods: The VD model was established by the ligation of the bilateral common carotid artery in Sprague–Dawley rats, who received daily intragastrically administration of saline, marinoid J (125 or 500 mg/kg body weight/d), or oxiracetam (250 mg/kg body weight/d) for 14 days (20 rats in each group). The Morris water maze (MWM) was used to evaluate cognitive performance. The hippocampus was subjected to histological and proteomic analyses. Results: Marinoid J shortened the escape latency of VD rats (31.07 ± 3.74 s, p &lt; 0.05). It also decreased malondialdehyde (MDA) (27.53%) and nitric oxide (NO) (20.41%) while increasing superoxide dismutase (SOD) (11.26%) and glutathione peroxidase (GSH-Px) (20.38%) content in hippocampus tissues. Proteomic analysis revealed 45 differentially expressed proteins (DEPs) in marinoid J-treated VD rats, which included angiotensin-converting enzyme (ACE), keratin 18 (KRT18), cluster of differentiation 34 (CD34), and synaptotagmin II (SYT2). Conclusions: Marinoid J played a role in protecting hippocampal neurons by regulating a set of proteins that influence oxidative stress and apoptosis, this effect may thereby alleviate the symptoms of VD rats. Thus, pharmacological manipulation of marinoid J may offer a novel opportunity for VD treatment.","author":[{"dropping-particle":"","family":"Yi","given":"Xiang xi","non-dropping-particle":"","parse-names":false,"suffix":""},{"dropping-particle":"","family":"Li","given":"Jia yi","non-dropping-particle":"","parse-names":false,"suffix":""},{"dropping-particle":"","family":"Tang","given":"Zhen zhou","non-dropping-particle":"","parse-names":false,"suffix":""},{"dropping-particle":"","family":"Jiang","given":"Shu","non-dropping-particle":"","parse-names":false,"suffix":""},{"dropping-particle":"","family":"Liu","given":"Yong hong","non-dropping-particle":"","parse-names":false,"suffix":""},{"dropping-particle":"","family":"Deng","given":"Jia gang","non-dropping-particle":"","parse-names":false,"suffix":""},{"dropping-particle":"","family":"Gao","given":"Cheng hai","non-dropping-particle":"","parse-names":false,"suffix":""}],"container-title":"Pharmaceutical Biology","id":"ITEM-1","issue":"1","issued":{"date-parts":[["2020"]]},"page":"1211-1220","publisher":"Taylor &amp; Francis","title":"Marinoid J, A Phenylglycoside From Avicennia marina Fruit, Ameliorates Cognitive Impairment in Rat Vascular Dementia: A Quantitative iTRAQ Proteomic Study","type":"article-journal","volume":"58"},"uris":["http://www.mendeley.com/documents/?uuid=3d34c2c7-cd93-45d8-a14e-87d6d782601e"]}],"mendeley":{"formattedCitation":"(Yi et al., 2020)","plainTextFormattedCitation":"(Yi et al., 2020)","previouslyFormattedCitation":"(Yi et al., 2020)"},"properties":{"noteIndex":0},"schema":"https://github.com/citation-style-language/schema/raw/master/csl-citation.json"}</w:instrText>
      </w:r>
      <w:r w:rsidR="00405D80" w:rsidRPr="00405D80">
        <w:rPr>
          <w:rFonts w:ascii="Arial" w:hAnsi="Arial" w:cs="Arial"/>
          <w:b w:val="0"/>
          <w:bCs/>
          <w:sz w:val="20"/>
          <w:shd w:val="clear" w:color="auto" w:fill="FFFFFF"/>
        </w:rPr>
        <w:fldChar w:fldCharType="separate"/>
      </w:r>
      <w:r w:rsidR="00405D80" w:rsidRPr="00405D80">
        <w:rPr>
          <w:rFonts w:ascii="Arial" w:hAnsi="Arial" w:cs="Arial"/>
          <w:b w:val="0"/>
          <w:bCs/>
          <w:caps w:val="0"/>
          <w:noProof/>
          <w:sz w:val="20"/>
          <w:shd w:val="clear" w:color="auto" w:fill="FFFFFF"/>
        </w:rPr>
        <w:t>(yi et al., 2020)</w:t>
      </w:r>
      <w:r w:rsidR="00405D80" w:rsidRPr="00405D80">
        <w:rPr>
          <w:rFonts w:ascii="Arial" w:hAnsi="Arial" w:cs="Arial"/>
          <w:b w:val="0"/>
          <w:bCs/>
          <w:sz w:val="20"/>
          <w:shd w:val="clear" w:color="auto" w:fill="FFFFFF"/>
        </w:rPr>
        <w:fldChar w:fldCharType="end"/>
      </w:r>
      <w:r w:rsidR="00405D80" w:rsidRPr="00405D80">
        <w:rPr>
          <w:rFonts w:ascii="Arial" w:hAnsi="Arial" w:cs="Arial"/>
          <w:b w:val="0"/>
          <w:bCs/>
          <w:sz w:val="20"/>
          <w:shd w:val="clear" w:color="auto" w:fill="FFFFFF"/>
        </w:rPr>
        <w:t xml:space="preserve">. </w:t>
      </w:r>
      <w:r w:rsidRPr="00ED2526">
        <w:rPr>
          <w:rFonts w:ascii="Arial" w:hAnsi="Arial" w:cs="Arial"/>
          <w:b w:val="0"/>
          <w:bCs/>
          <w:caps w:val="0"/>
          <w:sz w:val="20"/>
          <w:shd w:val="clear" w:color="auto" w:fill="FFFFFF"/>
        </w:rPr>
        <w:t xml:space="preserve">Additionally, </w:t>
      </w:r>
      <w:proofErr w:type="spellStart"/>
      <w:r w:rsidRPr="00ED2526">
        <w:rPr>
          <w:rFonts w:ascii="Arial" w:hAnsi="Arial" w:cs="Arial"/>
          <w:b w:val="0"/>
          <w:bCs/>
          <w:caps w:val="0"/>
          <w:sz w:val="20"/>
          <w:shd w:val="clear" w:color="auto" w:fill="FFFFFF"/>
        </w:rPr>
        <w:t>diethylhydroxylamine</w:t>
      </w:r>
      <w:proofErr w:type="spellEnd"/>
      <w:r w:rsidRPr="00ED2526">
        <w:rPr>
          <w:rFonts w:ascii="Arial" w:hAnsi="Arial" w:cs="Arial"/>
          <w:b w:val="0"/>
          <w:bCs/>
          <w:caps w:val="0"/>
          <w:sz w:val="20"/>
          <w:shd w:val="clear" w:color="auto" w:fill="FFFFFF"/>
        </w:rPr>
        <w:t xml:space="preserve"> compounds present in </w:t>
      </w:r>
      <w:r w:rsidRPr="00ED2526">
        <w:rPr>
          <w:rFonts w:ascii="Arial" w:hAnsi="Arial" w:cs="Arial"/>
          <w:b w:val="0"/>
          <w:bCs/>
          <w:i/>
          <w:iCs/>
          <w:caps w:val="0"/>
          <w:sz w:val="20"/>
          <w:shd w:val="clear" w:color="auto" w:fill="FFFFFF"/>
        </w:rPr>
        <w:t>A. marina</w:t>
      </w:r>
      <w:r w:rsidRPr="00ED2526">
        <w:rPr>
          <w:rFonts w:ascii="Arial" w:hAnsi="Arial" w:cs="Arial"/>
          <w:b w:val="0"/>
          <w:bCs/>
          <w:caps w:val="0"/>
          <w:sz w:val="20"/>
          <w:shd w:val="clear" w:color="auto" w:fill="FFFFFF"/>
        </w:rPr>
        <w:t xml:space="preserve"> have been reported to inhibit hepatic lipid peroxidation</w:t>
      </w:r>
      <w:r w:rsidR="00405D80" w:rsidRPr="00405D80">
        <w:rPr>
          <w:rFonts w:ascii="Arial" w:hAnsi="Arial" w:cs="Arial"/>
          <w:b w:val="0"/>
          <w:bCs/>
          <w:iCs/>
          <w:sz w:val="20"/>
          <w:lang w:val="en-ID"/>
        </w:rPr>
        <w:t xml:space="preserve"> </w:t>
      </w:r>
      <w:r w:rsidR="00405D80" w:rsidRPr="00405D80">
        <w:rPr>
          <w:rFonts w:ascii="Arial" w:hAnsi="Arial" w:cs="Arial"/>
          <w:b w:val="0"/>
          <w:bCs/>
          <w:iCs/>
          <w:sz w:val="20"/>
          <w:lang w:val="sv-SE"/>
        </w:rPr>
        <w:fldChar w:fldCharType="begin" w:fldLock="1"/>
      </w:r>
      <w:r w:rsidR="00405D80" w:rsidRPr="00405D80">
        <w:rPr>
          <w:rFonts w:ascii="Arial" w:hAnsi="Arial" w:cs="Arial"/>
          <w:b w:val="0"/>
          <w:bCs/>
          <w:iCs/>
          <w:sz w:val="20"/>
          <w:lang w:val="en-ID"/>
        </w:rPr>
        <w:instrText>ADDIN CSL_CITATION {"citationItems":[{"id":"ITEM-1","itemData":{"DOI":"10.1016/j.jep.2020.113179","ISSN":"18727573","PMID":"32768642","abstract":"Ethnopharmacological relevance: Avicennia marina (Forssk.) Vierh. is a historic plant, well-known for many centuries in traditional and folk use medicine. A. marina is an evergreen tree belongs to Acanthaceae family. The plant is the most widespread mangrove in the tropical and subtropical regions of Indo-West-Pacific area. Current scientific data confirmed the medicinal values of A. marina. The pharmacological activity of the plant is attributed to the presence of several phytochemical classes. Aim of the study: To evaluate the link between the traditional use of the plant and the scientific data accumulated over time including both the phytochemical analysis and therapeutic activities. Additionally, to evaluate the usage of obtained data for further development of the plant and its products in the pharmaceutical market. Materials and methods: The data related to traditional medicine, therapeutic uses, phytochemical analysis and market availability of A. marina and its products from different geographical regions were collected. The collected data was compared and the research gaps were identified in order to highlight areas that can be employed to improve plant-based research and development. Res</w:instrText>
      </w:r>
      <w:r w:rsidR="00405D80" w:rsidRPr="00ED2526">
        <w:rPr>
          <w:rFonts w:ascii="Arial" w:hAnsi="Arial" w:cs="Arial"/>
          <w:b w:val="0"/>
          <w:bCs/>
          <w:iCs/>
          <w:sz w:val="20"/>
          <w:lang w:val="en-ID"/>
        </w:rPr>
        <w:instrText>ults: Althoug</w:instrText>
      </w:r>
      <w:r w:rsidR="00405D80" w:rsidRPr="00405D80">
        <w:rPr>
          <w:rFonts w:ascii="Arial" w:hAnsi="Arial" w:cs="Arial"/>
          <w:b w:val="0"/>
          <w:bCs/>
          <w:iCs/>
          <w:sz w:val="20"/>
          <w:lang w:val="sv-SE"/>
        </w:rPr>
        <w:instrText>h the wide geographical distribution of the plant, its historic traditional use, richness of phytochemicals and diverse pharmacological activities, the utilization of these data has never been exploited for human health and several gaps were identified. These gaps include the lack of phyto-geographical comparison of the plant, the lack of proper mapping of traditional use to the scientific data and inadequate exploration of plant phytochemicals by researchers. Conclusions: A. marina is an old tree that has evolved over centuries and adapted diverse climates. It contains a pool of potential phytochemic</w:instrText>
      </w:r>
      <w:r w:rsidR="00405D80" w:rsidRPr="00ED2526">
        <w:rPr>
          <w:rFonts w:ascii="Arial" w:hAnsi="Arial" w:cs="Arial"/>
          <w:b w:val="0"/>
          <w:bCs/>
          <w:iCs/>
          <w:sz w:val="20"/>
          <w:lang w:val="sv-SE"/>
        </w:rPr>
        <w:instrText>als that can be employed for the discovery of drugs after careful studies. Scientists are required to invest money and time to explore these renewable and natural sources of drugs and design drug formulations to overcome current difficult to treat health issues and fight against the era of drug resistant.","author":[{"dropping-particle":"","family":"ElDohaji","given":"Leen M.","non-dropping-particle":"","parse-names":false,"suffix":""},{"dropping-particle":"","family":"Hamoda","given":"Alshaimaa M.","non-dropping-particle":"","parse-names":false,"suffix":""},{"dropping-particle":"","family":"Hamdy","given":"Rania","non-dropping-particle":"","parse-names":false,"suffix":""},{"dropping-particle":"","family":"Soliman","given":"Sameh S.M.","non-dropping-particle":"","parse-names":false,"suffix":""}],"container-title":"Journal of Ethnopharmacology","id":"ITEM-1","issue":"February","issued":{"date-parts":[["2020"]]},"page":"1-17","publisher":"Elsevier B.V.","title":"Avicennia marina A Natural Reservoir of Phytopharmaceuticals: Curative Power and Platform of Medicines","type":"article-journal","volume":"263"},"uris":["http://www.mendeley.com/documents/?uuid=97dd8611-a4a4-4f1e-8492-b3da682e9967"]}],"mendeley":{"formattedCitation":"(ElDohaji et al., 2020)","plainTextFormattedCitation":"(ElDohaji et al., 2020)","previouslyFormattedCitation":"(ElDohaji et al., 2020)"},"properties":{"noteIndex":0},"schema":"https://github.com/citation-style-language/schema/raw/master/csl-citation.json"}</w:instrText>
      </w:r>
      <w:r w:rsidR="00405D80" w:rsidRPr="00405D80">
        <w:rPr>
          <w:rFonts w:ascii="Arial" w:hAnsi="Arial" w:cs="Arial"/>
          <w:b w:val="0"/>
          <w:bCs/>
          <w:iCs/>
          <w:sz w:val="20"/>
          <w:lang w:val="sv-SE"/>
        </w:rPr>
        <w:fldChar w:fldCharType="separate"/>
      </w:r>
      <w:r w:rsidR="00405D80" w:rsidRPr="00ED2526">
        <w:rPr>
          <w:rFonts w:ascii="Arial" w:hAnsi="Arial" w:cs="Arial"/>
          <w:b w:val="0"/>
          <w:bCs/>
          <w:iCs/>
          <w:caps w:val="0"/>
          <w:noProof/>
          <w:sz w:val="20"/>
          <w:lang w:val="sv-SE"/>
        </w:rPr>
        <w:t>(eldohaji et al., 2020)</w:t>
      </w:r>
      <w:r w:rsidR="00405D80" w:rsidRPr="00405D80">
        <w:rPr>
          <w:rFonts w:ascii="Arial" w:hAnsi="Arial" w:cs="Arial"/>
          <w:b w:val="0"/>
          <w:bCs/>
          <w:iCs/>
          <w:sz w:val="20"/>
          <w:lang w:val="sv-SE"/>
        </w:rPr>
        <w:fldChar w:fldCharType="end"/>
      </w:r>
    </w:p>
    <w:p w14:paraId="47A2C624" w14:textId="1744DD45" w:rsidR="00405D80" w:rsidRPr="00ED2526" w:rsidRDefault="00405D80" w:rsidP="00441B6F">
      <w:pPr>
        <w:pStyle w:val="AbstHead"/>
        <w:spacing w:after="0"/>
        <w:jc w:val="both"/>
        <w:rPr>
          <w:rFonts w:ascii="Arial" w:hAnsi="Arial" w:cs="Arial"/>
          <w:b w:val="0"/>
          <w:bCs/>
          <w:sz w:val="20"/>
          <w:lang w:val="sv-SE"/>
        </w:rPr>
      </w:pPr>
      <w:r w:rsidRPr="00ED2526">
        <w:rPr>
          <w:rFonts w:ascii="Arial" w:hAnsi="Arial" w:cs="Arial"/>
          <w:b w:val="0"/>
          <w:bCs/>
          <w:caps w:val="0"/>
          <w:sz w:val="20"/>
          <w:lang w:val="sv-SE"/>
        </w:rPr>
        <w:t xml:space="preserve">However, despite the reported antioxidant and anti-inflammatory properties of </w:t>
      </w:r>
      <w:r w:rsidRPr="00ED2526">
        <w:rPr>
          <w:rFonts w:ascii="Arial" w:hAnsi="Arial" w:cs="Arial"/>
          <w:b w:val="0"/>
          <w:bCs/>
          <w:i/>
          <w:iCs/>
          <w:caps w:val="0"/>
          <w:sz w:val="20"/>
          <w:lang w:val="sv-SE"/>
        </w:rPr>
        <w:t>avicennia marina</w:t>
      </w:r>
      <w:r w:rsidRPr="00ED2526">
        <w:rPr>
          <w:rFonts w:ascii="Arial" w:hAnsi="Arial" w:cs="Arial"/>
          <w:b w:val="0"/>
          <w:bCs/>
          <w:caps w:val="0"/>
          <w:sz w:val="20"/>
          <w:lang w:val="sv-SE"/>
        </w:rPr>
        <w:t xml:space="preserve">, its potential effects on lipid profile improvement under conditions of diet- and smoke-induced dyslipidemia remain unclear. Therefore, this study aims to evaluate the antihyperlipidemic effects of </w:t>
      </w:r>
      <w:r w:rsidRPr="00ED2526">
        <w:rPr>
          <w:rFonts w:ascii="Arial" w:hAnsi="Arial" w:cs="Arial"/>
          <w:b w:val="0"/>
          <w:bCs/>
          <w:i/>
          <w:iCs/>
          <w:caps w:val="0"/>
          <w:sz w:val="20"/>
          <w:lang w:val="sv-SE"/>
        </w:rPr>
        <w:t>Avicennia marina</w:t>
      </w:r>
      <w:r w:rsidRPr="00ED2526">
        <w:rPr>
          <w:rFonts w:ascii="Arial" w:hAnsi="Arial" w:cs="Arial"/>
          <w:b w:val="0"/>
          <w:bCs/>
          <w:caps w:val="0"/>
          <w:sz w:val="20"/>
          <w:lang w:val="sv-SE"/>
        </w:rPr>
        <w:t xml:space="preserve"> fruit extract in an experimental model</w:t>
      </w:r>
      <w:r w:rsidRPr="00ED2526">
        <w:rPr>
          <w:rFonts w:ascii="Arial" w:hAnsi="Arial" w:cs="Arial"/>
          <w:b w:val="0"/>
          <w:bCs/>
          <w:sz w:val="20"/>
          <w:lang w:val="sv-SE"/>
        </w:rPr>
        <w:t>.</w:t>
      </w:r>
    </w:p>
    <w:p w14:paraId="07773D3B" w14:textId="77777777" w:rsidR="00790ADA" w:rsidRPr="00ED2526" w:rsidRDefault="00790ADA" w:rsidP="00441B6F">
      <w:pPr>
        <w:pStyle w:val="Body"/>
        <w:spacing w:after="0"/>
        <w:rPr>
          <w:rFonts w:ascii="Arial" w:hAnsi="Arial" w:cs="Arial"/>
          <w:lang w:val="sv-SE"/>
        </w:rPr>
      </w:pPr>
    </w:p>
    <w:p w14:paraId="4D96793A" w14:textId="77777777" w:rsidR="001C0EC0" w:rsidRPr="00ED2526" w:rsidRDefault="001C0EC0" w:rsidP="00441B6F">
      <w:pPr>
        <w:pStyle w:val="Body"/>
        <w:spacing w:after="0"/>
        <w:rPr>
          <w:rFonts w:ascii="Arial" w:hAnsi="Arial" w:cs="Arial"/>
          <w:lang w:val="sv-SE"/>
        </w:rPr>
      </w:pPr>
    </w:p>
    <w:p w14:paraId="0474C599" w14:textId="1615CEB6" w:rsidR="007F7B32" w:rsidRPr="00ED2526" w:rsidRDefault="00902823" w:rsidP="00441B6F">
      <w:pPr>
        <w:pStyle w:val="AbstHead"/>
        <w:spacing w:after="0"/>
        <w:jc w:val="both"/>
        <w:rPr>
          <w:rFonts w:ascii="Arial" w:hAnsi="Arial" w:cs="Arial"/>
          <w:lang w:val="sv-SE"/>
        </w:rPr>
      </w:pPr>
      <w:r w:rsidRPr="00ED2526">
        <w:rPr>
          <w:rFonts w:ascii="Arial" w:hAnsi="Arial" w:cs="Arial"/>
          <w:lang w:val="sv-SE"/>
        </w:rPr>
        <w:t>2. material and method</w:t>
      </w:r>
      <w:r w:rsidR="00000F8F" w:rsidRPr="00ED2526">
        <w:rPr>
          <w:rFonts w:ascii="Arial" w:hAnsi="Arial" w:cs="Arial"/>
          <w:lang w:val="sv-SE"/>
        </w:rPr>
        <w:t xml:space="preserve">s </w:t>
      </w:r>
    </w:p>
    <w:p w14:paraId="0ECD24CC" w14:textId="77777777" w:rsidR="00790ADA" w:rsidRPr="00ED2526" w:rsidRDefault="00790ADA" w:rsidP="00441B6F">
      <w:pPr>
        <w:pStyle w:val="AbstHead"/>
        <w:spacing w:after="0"/>
        <w:jc w:val="both"/>
        <w:rPr>
          <w:rFonts w:ascii="Arial" w:hAnsi="Arial" w:cs="Arial"/>
          <w:lang w:val="sv-SE"/>
        </w:rPr>
      </w:pPr>
    </w:p>
    <w:p w14:paraId="4110B92F" w14:textId="77777777" w:rsidR="009C7DAF" w:rsidRPr="00ED2526" w:rsidRDefault="009C7DAF" w:rsidP="00441B6F">
      <w:pPr>
        <w:pStyle w:val="Body"/>
        <w:spacing w:after="0"/>
        <w:rPr>
          <w:rFonts w:ascii="Arial" w:hAnsi="Arial" w:cs="Arial"/>
          <w:lang w:val="sv-SE"/>
        </w:rPr>
      </w:pPr>
    </w:p>
    <w:p w14:paraId="1BD662C1" w14:textId="7FF3C5AE" w:rsidR="00BB0A63" w:rsidRPr="00ED2526" w:rsidRDefault="00AA74E0" w:rsidP="00441B6F">
      <w:pPr>
        <w:pStyle w:val="Body"/>
        <w:spacing w:after="0"/>
        <w:rPr>
          <w:rFonts w:ascii="Arial" w:hAnsi="Arial" w:cs="Arial"/>
          <w:b/>
          <w:sz w:val="22"/>
          <w:lang w:val="sv-SE"/>
        </w:rPr>
      </w:pPr>
      <w:r w:rsidRPr="00ED2526">
        <w:rPr>
          <w:rFonts w:ascii="Arial" w:hAnsi="Arial" w:cs="Arial"/>
          <w:b/>
          <w:caps/>
          <w:sz w:val="22"/>
          <w:lang w:val="sv-SE"/>
        </w:rPr>
        <w:t xml:space="preserve">2.1 </w:t>
      </w:r>
      <w:r w:rsidR="00BB0A63" w:rsidRPr="00ED2526">
        <w:rPr>
          <w:rFonts w:ascii="Arial" w:hAnsi="Arial" w:cs="Arial"/>
          <w:b/>
          <w:sz w:val="22"/>
          <w:lang w:val="sv-SE"/>
        </w:rPr>
        <w:t>Materials and Equipment</w:t>
      </w:r>
      <w:r w:rsidR="005B0863" w:rsidRPr="00ED2526">
        <w:rPr>
          <w:rFonts w:ascii="Arial" w:hAnsi="Arial" w:cs="Arial"/>
          <w:b/>
          <w:sz w:val="22"/>
          <w:lang w:val="sv-SE"/>
        </w:rPr>
        <w:t>s</w:t>
      </w:r>
    </w:p>
    <w:p w14:paraId="6BD43E85" w14:textId="77777777" w:rsidR="00D06E3D" w:rsidRPr="00ED2526" w:rsidRDefault="00D06E3D" w:rsidP="00441B6F">
      <w:pPr>
        <w:pStyle w:val="Body"/>
        <w:spacing w:after="0"/>
        <w:rPr>
          <w:rFonts w:ascii="Arial" w:hAnsi="Arial" w:cs="Arial"/>
          <w:b/>
          <w:caps/>
          <w:lang w:val="sv-SE"/>
        </w:rPr>
      </w:pPr>
    </w:p>
    <w:p w14:paraId="4A5682EA" w14:textId="786EBB56" w:rsidR="00AA74E0" w:rsidRDefault="00BB0A63" w:rsidP="00441B6F">
      <w:pPr>
        <w:pStyle w:val="Body"/>
        <w:spacing w:after="0"/>
        <w:rPr>
          <w:rFonts w:ascii="Arial" w:hAnsi="Arial" w:cs="Arial"/>
        </w:rPr>
      </w:pPr>
      <w:r w:rsidRPr="00ED2526">
        <w:rPr>
          <w:rFonts w:ascii="Arial" w:hAnsi="Arial" w:cs="Arial"/>
          <w:lang w:val="sv-SE"/>
        </w:rPr>
        <w:t>Material</w:t>
      </w:r>
      <w:r w:rsidR="00DF45BB" w:rsidRPr="00ED2526">
        <w:rPr>
          <w:rFonts w:ascii="Arial" w:hAnsi="Arial" w:cs="Arial"/>
          <w:lang w:val="sv-SE"/>
        </w:rPr>
        <w:t xml:space="preserve"> for extraction</w:t>
      </w:r>
      <w:r w:rsidR="00CA5F44" w:rsidRPr="00ED2526">
        <w:rPr>
          <w:rFonts w:ascii="Arial" w:hAnsi="Arial" w:cs="Arial"/>
          <w:lang w:val="sv-SE"/>
        </w:rPr>
        <w:t xml:space="preserve"> </w:t>
      </w:r>
      <w:r w:rsidRPr="00ED2526">
        <w:rPr>
          <w:rFonts w:ascii="Arial" w:hAnsi="Arial" w:cs="Arial"/>
          <w:lang w:val="sv-SE"/>
        </w:rPr>
        <w:t>i</w:t>
      </w:r>
      <w:r w:rsidR="00DF45BB" w:rsidRPr="00ED2526">
        <w:rPr>
          <w:rFonts w:ascii="Arial" w:hAnsi="Arial" w:cs="Arial"/>
          <w:lang w:val="sv-SE"/>
        </w:rPr>
        <w:t>s</w:t>
      </w:r>
      <w:r w:rsidR="00CA5F44" w:rsidRPr="00ED2526">
        <w:rPr>
          <w:rFonts w:ascii="Arial" w:hAnsi="Arial" w:cs="Arial"/>
          <w:lang w:val="sv-SE"/>
        </w:rPr>
        <w:t xml:space="preserve"> T</w:t>
      </w:r>
      <w:r w:rsidRPr="00ED2526">
        <w:rPr>
          <w:rFonts w:ascii="Arial" w:hAnsi="Arial" w:cs="Arial"/>
          <w:lang w:val="sv-SE"/>
        </w:rPr>
        <w:t>ec</w:t>
      </w:r>
      <w:r w:rsidR="00447355" w:rsidRPr="00ED2526">
        <w:rPr>
          <w:rFonts w:ascii="Arial" w:hAnsi="Arial" w:cs="Arial"/>
          <w:lang w:val="sv-SE"/>
        </w:rPr>
        <w:t>h</w:t>
      </w:r>
      <w:r w:rsidRPr="00ED2526">
        <w:rPr>
          <w:rFonts w:ascii="Arial" w:hAnsi="Arial" w:cs="Arial"/>
          <w:lang w:val="sv-SE"/>
        </w:rPr>
        <w:t>nical grade ethanol 96%</w:t>
      </w:r>
      <w:r w:rsidR="00DF45BB" w:rsidRPr="00ED2526">
        <w:rPr>
          <w:rFonts w:ascii="Arial" w:hAnsi="Arial" w:cs="Arial"/>
          <w:lang w:val="sv-SE"/>
        </w:rPr>
        <w:t>. Materials for screening phytochemical include:</w:t>
      </w:r>
      <w:r w:rsidRPr="00ED2526">
        <w:rPr>
          <w:rFonts w:ascii="Arial" w:hAnsi="Arial" w:cs="Arial"/>
          <w:lang w:val="sv-SE"/>
        </w:rPr>
        <w:t xml:space="preserve"> </w:t>
      </w:r>
      <w:r w:rsidR="00DF45BB" w:rsidRPr="00ED2526">
        <w:rPr>
          <w:rFonts w:ascii="Arial" w:hAnsi="Arial" w:cs="Arial"/>
          <w:lang w:val="sv-SE"/>
        </w:rPr>
        <w:t xml:space="preserve">TLC layer, </w:t>
      </w:r>
      <w:r w:rsidR="00CA5F44" w:rsidRPr="00ED2526">
        <w:rPr>
          <w:rFonts w:ascii="Arial" w:hAnsi="Arial" w:cs="Arial"/>
          <w:noProof/>
          <w:color w:val="000000" w:themeColor="text1"/>
          <w:lang w:val="sv-SE"/>
        </w:rPr>
        <w:t>FeCl</w:t>
      </w:r>
      <w:r w:rsidR="00CA5F44" w:rsidRPr="00ED2526">
        <w:rPr>
          <w:rFonts w:ascii="Arial" w:hAnsi="Arial" w:cs="Arial"/>
          <w:noProof/>
          <w:color w:val="000000" w:themeColor="text1"/>
          <w:vertAlign w:val="subscript"/>
          <w:lang w:val="sv-SE"/>
        </w:rPr>
        <w:t xml:space="preserve">3 </w:t>
      </w:r>
      <w:r w:rsidR="00CA5F44" w:rsidRPr="00ED2526">
        <w:rPr>
          <w:rFonts w:ascii="Arial" w:hAnsi="Arial" w:cs="Arial"/>
          <w:noProof/>
          <w:color w:val="000000" w:themeColor="text1"/>
          <w:lang w:val="sv-SE"/>
        </w:rPr>
        <w:t>5%, Mg powder, Amyl alchohol, Lieberma</w:t>
      </w:r>
      <w:r w:rsidR="00DF45BB" w:rsidRPr="00ED2526">
        <w:rPr>
          <w:rFonts w:ascii="Arial" w:hAnsi="Arial" w:cs="Arial"/>
          <w:noProof/>
          <w:color w:val="000000" w:themeColor="text1"/>
          <w:lang w:val="sv-SE"/>
        </w:rPr>
        <w:t>n</w:t>
      </w:r>
      <w:r w:rsidR="00CA5F44" w:rsidRPr="00ED2526">
        <w:rPr>
          <w:rFonts w:ascii="Arial" w:hAnsi="Arial" w:cs="Arial"/>
          <w:noProof/>
          <w:color w:val="000000" w:themeColor="text1"/>
          <w:lang w:val="sv-SE"/>
        </w:rPr>
        <w:t>n</w:t>
      </w:r>
      <w:r w:rsidR="00DF45BB" w:rsidRPr="00ED2526">
        <w:rPr>
          <w:rFonts w:ascii="Arial" w:hAnsi="Arial" w:cs="Arial"/>
          <w:noProof/>
          <w:color w:val="000000" w:themeColor="text1"/>
          <w:lang w:val="sv-SE"/>
        </w:rPr>
        <w:t>-B</w:t>
      </w:r>
      <w:r w:rsidR="00CA5F44" w:rsidRPr="00ED2526">
        <w:rPr>
          <w:rFonts w:ascii="Arial" w:hAnsi="Arial" w:cs="Arial"/>
          <w:noProof/>
          <w:color w:val="000000" w:themeColor="text1"/>
          <w:lang w:val="sv-SE"/>
        </w:rPr>
        <w:t>u</w:t>
      </w:r>
      <w:r w:rsidR="00DF45BB" w:rsidRPr="00ED2526">
        <w:rPr>
          <w:rFonts w:ascii="Arial" w:hAnsi="Arial" w:cs="Arial"/>
          <w:noProof/>
          <w:color w:val="000000" w:themeColor="text1"/>
          <w:lang w:val="sv-SE"/>
        </w:rPr>
        <w:t>r</w:t>
      </w:r>
      <w:r w:rsidR="00CA5F44" w:rsidRPr="00ED2526">
        <w:rPr>
          <w:rFonts w:ascii="Arial" w:hAnsi="Arial" w:cs="Arial"/>
          <w:noProof/>
          <w:color w:val="000000" w:themeColor="text1"/>
          <w:lang w:val="sv-SE"/>
        </w:rPr>
        <w:t>chard, Mayer, Hager, Glacial acetic acid, Chloroform, Etanol, Methanol, Etyl Acetic,</w:t>
      </w:r>
      <w:r w:rsidR="00AC3408" w:rsidRPr="00ED2526">
        <w:rPr>
          <w:rFonts w:ascii="Arial" w:hAnsi="Arial" w:cs="Arial"/>
          <w:noProof/>
          <w:color w:val="000000" w:themeColor="text1"/>
          <w:lang w:val="sv-SE"/>
        </w:rPr>
        <w:t xml:space="preserve"> Ammonia, Dragendorff, Anisaldehyde-Sulfuric Acid</w:t>
      </w:r>
      <w:r w:rsidR="00DF45BB" w:rsidRPr="00ED2526">
        <w:rPr>
          <w:rFonts w:ascii="Arial" w:hAnsi="Arial" w:cs="Arial"/>
          <w:noProof/>
          <w:color w:val="000000" w:themeColor="text1"/>
          <w:lang w:val="sv-SE"/>
        </w:rPr>
        <w:t xml:space="preserve"> and</w:t>
      </w:r>
      <w:r w:rsidR="00CA5F44" w:rsidRPr="00ED2526">
        <w:rPr>
          <w:rFonts w:ascii="Arial" w:hAnsi="Arial" w:cs="Arial"/>
          <w:noProof/>
          <w:color w:val="000000" w:themeColor="text1"/>
          <w:lang w:val="sv-SE"/>
        </w:rPr>
        <w:t xml:space="preserve"> Aquadest</w:t>
      </w:r>
      <w:r w:rsidR="00DF45BB" w:rsidRPr="00ED2526">
        <w:rPr>
          <w:rFonts w:ascii="Arial" w:hAnsi="Arial" w:cs="Arial"/>
          <w:noProof/>
          <w:color w:val="000000" w:themeColor="text1"/>
          <w:lang w:val="sv-SE"/>
        </w:rPr>
        <w:t>. Materials for in vivo studies include:</w:t>
      </w:r>
      <w:r w:rsidR="00CA5F44" w:rsidRPr="00ED2526">
        <w:rPr>
          <w:rFonts w:ascii="Arial" w:hAnsi="Arial" w:cs="Arial"/>
          <w:noProof/>
          <w:color w:val="000000" w:themeColor="text1"/>
          <w:lang w:val="sv-SE"/>
        </w:rPr>
        <w:t xml:space="preserve"> </w:t>
      </w:r>
      <w:r w:rsidR="00E24D97" w:rsidRPr="00ED2526">
        <w:rPr>
          <w:rFonts w:ascii="Arial" w:hAnsi="Arial" w:cs="Arial"/>
          <w:lang w:val="sv-SE"/>
        </w:rPr>
        <w:t>Quail eggs, Cigarettes, Wistar Rat (</w:t>
      </w:r>
      <w:r w:rsidR="00E24D97" w:rsidRPr="00ED2526">
        <w:rPr>
          <w:rFonts w:ascii="Arial" w:hAnsi="Arial" w:cs="Arial"/>
          <w:i/>
          <w:iCs/>
          <w:lang w:val="sv-SE"/>
        </w:rPr>
        <w:t>Rattus norvegicus</w:t>
      </w:r>
      <w:r w:rsidR="00E24D97" w:rsidRPr="00ED2526">
        <w:rPr>
          <w:rFonts w:ascii="Arial" w:hAnsi="Arial" w:cs="Arial"/>
          <w:lang w:val="sv-SE"/>
        </w:rPr>
        <w:t xml:space="preserve">), Cholesterol </w:t>
      </w:r>
      <w:r w:rsidR="00757498" w:rsidRPr="00ED2526">
        <w:rPr>
          <w:rFonts w:ascii="Arial" w:hAnsi="Arial" w:cs="Arial"/>
          <w:lang w:val="sv-SE"/>
        </w:rPr>
        <w:t xml:space="preserve">MR </w:t>
      </w:r>
      <w:r w:rsidR="00E24D97" w:rsidRPr="00ED2526">
        <w:rPr>
          <w:rFonts w:ascii="Arial" w:hAnsi="Arial" w:cs="Arial"/>
          <w:lang w:val="sv-SE"/>
        </w:rPr>
        <w:t xml:space="preserve">kit </w:t>
      </w:r>
      <w:r w:rsidR="00E24D97" w:rsidRPr="00ED2526">
        <w:rPr>
          <w:rFonts w:ascii="Arial" w:hAnsi="Arial" w:cs="Arial"/>
          <w:lang w:val="sv-SE"/>
        </w:rPr>
        <w:lastRenderedPageBreak/>
        <w:t xml:space="preserve">(Glory </w:t>
      </w:r>
      <w:r w:rsidR="00E24D97">
        <w:rPr>
          <w:rFonts w:ascii="Arial" w:hAnsi="Arial" w:cs="Arial"/>
        </w:rPr>
        <w:t>Diagnostics), Triglyceride</w:t>
      </w:r>
      <w:r w:rsidR="005B0863">
        <w:rPr>
          <w:rFonts w:ascii="Arial" w:hAnsi="Arial" w:cs="Arial"/>
        </w:rPr>
        <w:t xml:space="preserve"> </w:t>
      </w:r>
      <w:r w:rsidR="00757498">
        <w:rPr>
          <w:rFonts w:ascii="Arial" w:hAnsi="Arial" w:cs="Arial"/>
        </w:rPr>
        <w:t xml:space="preserve">MR </w:t>
      </w:r>
      <w:r w:rsidR="005B0863">
        <w:rPr>
          <w:rFonts w:ascii="Arial" w:hAnsi="Arial" w:cs="Arial"/>
        </w:rPr>
        <w:t>kit</w:t>
      </w:r>
      <w:r w:rsidR="00E24D97">
        <w:rPr>
          <w:rFonts w:ascii="Arial" w:hAnsi="Arial" w:cs="Arial"/>
        </w:rPr>
        <w:t xml:space="preserve"> (Glory Diagnostics)</w:t>
      </w:r>
      <w:r w:rsidR="005B0863">
        <w:rPr>
          <w:rFonts w:ascii="Arial" w:hAnsi="Arial" w:cs="Arial"/>
        </w:rPr>
        <w:t xml:space="preserve">. </w:t>
      </w:r>
      <w:r w:rsidR="00E24D97">
        <w:rPr>
          <w:rFonts w:ascii="Arial" w:hAnsi="Arial" w:cs="Arial"/>
        </w:rPr>
        <w:t>Equipment include: Rotary evaporator,</w:t>
      </w:r>
      <w:r w:rsidR="00D3300C">
        <w:rPr>
          <w:rFonts w:ascii="Arial" w:hAnsi="Arial" w:cs="Arial"/>
        </w:rPr>
        <w:t xml:space="preserve"> Water bath,</w:t>
      </w:r>
      <w:r w:rsidR="00E24D97">
        <w:rPr>
          <w:rFonts w:ascii="Arial" w:hAnsi="Arial" w:cs="Arial"/>
        </w:rPr>
        <w:t xml:space="preserve"> Eppendorf, Microcentrifuge, </w:t>
      </w:r>
      <w:proofErr w:type="spellStart"/>
      <w:r w:rsidR="00E24D97">
        <w:rPr>
          <w:rFonts w:ascii="Arial" w:hAnsi="Arial" w:cs="Arial"/>
        </w:rPr>
        <w:t>Microlab</w:t>
      </w:r>
      <w:proofErr w:type="spellEnd"/>
      <w:r w:rsidR="005B0863">
        <w:rPr>
          <w:rFonts w:ascii="Arial" w:hAnsi="Arial" w:cs="Arial"/>
        </w:rPr>
        <w:t xml:space="preserve"> 300 &amp; 300LX</w:t>
      </w:r>
      <w:r w:rsidR="00AA74E0" w:rsidRPr="00FB3A86">
        <w:rPr>
          <w:rFonts w:ascii="Arial" w:hAnsi="Arial" w:cs="Arial"/>
        </w:rPr>
        <w:t xml:space="preserve">  </w:t>
      </w:r>
    </w:p>
    <w:p w14:paraId="73E930D5" w14:textId="77777777" w:rsidR="00505F06" w:rsidRDefault="00505F06" w:rsidP="00441B6F">
      <w:pPr>
        <w:pStyle w:val="Body"/>
        <w:spacing w:after="0"/>
        <w:rPr>
          <w:rFonts w:ascii="Arial" w:hAnsi="Arial" w:cs="Arial"/>
        </w:rPr>
      </w:pPr>
    </w:p>
    <w:p w14:paraId="6C5884F5" w14:textId="2D0652ED" w:rsidR="005B0863" w:rsidRDefault="005B0863" w:rsidP="00441B6F">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Plant Material</w:t>
      </w:r>
    </w:p>
    <w:p w14:paraId="3C9FAC19" w14:textId="77777777" w:rsidR="00D06E3D" w:rsidRDefault="00D06E3D" w:rsidP="00441B6F">
      <w:pPr>
        <w:pStyle w:val="Body"/>
        <w:spacing w:after="0"/>
        <w:rPr>
          <w:rFonts w:ascii="Arial" w:hAnsi="Arial" w:cs="Arial"/>
          <w:b/>
          <w:sz w:val="22"/>
        </w:rPr>
      </w:pPr>
    </w:p>
    <w:p w14:paraId="381CAE13" w14:textId="123C4CA4" w:rsidR="005B0863" w:rsidRDefault="005B0863" w:rsidP="00441B6F">
      <w:pPr>
        <w:pStyle w:val="Body"/>
        <w:spacing w:after="0"/>
        <w:rPr>
          <w:rFonts w:ascii="Arial" w:hAnsi="Arial" w:cs="Arial"/>
        </w:rPr>
      </w:pPr>
      <w:r>
        <w:rPr>
          <w:rFonts w:ascii="Arial" w:hAnsi="Arial" w:cs="Arial"/>
          <w:i/>
          <w:iCs/>
        </w:rPr>
        <w:t>Avicennia marina</w:t>
      </w:r>
      <w:r w:rsidR="001F5286">
        <w:rPr>
          <w:rFonts w:ascii="Arial" w:hAnsi="Arial" w:cs="Arial"/>
          <w:i/>
          <w:iCs/>
        </w:rPr>
        <w:t xml:space="preserve"> </w:t>
      </w:r>
      <w:r w:rsidR="001F5286">
        <w:rPr>
          <w:rFonts w:ascii="Arial" w:hAnsi="Arial" w:cs="Arial"/>
        </w:rPr>
        <w:t>(</w:t>
      </w:r>
      <w:r w:rsidR="001F5286">
        <w:rPr>
          <w:rFonts w:ascii="Arial" w:hAnsi="Arial" w:cs="Arial"/>
          <w:i/>
          <w:iCs/>
        </w:rPr>
        <w:t>A. marina</w:t>
      </w:r>
      <w:r w:rsidR="001F5286">
        <w:rPr>
          <w:rFonts w:ascii="Arial" w:hAnsi="Arial" w:cs="Arial"/>
        </w:rPr>
        <w:t>)</w:t>
      </w:r>
      <w:r>
        <w:rPr>
          <w:rFonts w:ascii="Arial" w:hAnsi="Arial" w:cs="Arial"/>
          <w:i/>
          <w:iCs/>
        </w:rPr>
        <w:t xml:space="preserve"> </w:t>
      </w:r>
      <w:r>
        <w:rPr>
          <w:rFonts w:ascii="Arial" w:hAnsi="Arial" w:cs="Arial"/>
        </w:rPr>
        <w:t xml:space="preserve">fruits was collected  from </w:t>
      </w:r>
      <w:proofErr w:type="spellStart"/>
      <w:r>
        <w:rPr>
          <w:rFonts w:ascii="Arial" w:hAnsi="Arial" w:cs="Arial"/>
        </w:rPr>
        <w:t>Tambakrejo</w:t>
      </w:r>
      <w:proofErr w:type="spellEnd"/>
      <w:r>
        <w:rPr>
          <w:rFonts w:ascii="Arial" w:hAnsi="Arial" w:cs="Arial"/>
        </w:rPr>
        <w:t xml:space="preserve"> Village (Semarang City, Indonesia). Determination was carried out by Biology </w:t>
      </w:r>
      <w:proofErr w:type="spellStart"/>
      <w:r>
        <w:rPr>
          <w:rFonts w:ascii="Arial" w:hAnsi="Arial" w:cs="Arial"/>
        </w:rPr>
        <w:t>Laboratorium</w:t>
      </w:r>
      <w:proofErr w:type="spellEnd"/>
      <w:r>
        <w:rPr>
          <w:rFonts w:ascii="Arial" w:hAnsi="Arial" w:cs="Arial"/>
        </w:rPr>
        <w:t xml:space="preserve"> of STIFAR</w:t>
      </w:r>
      <w:r w:rsidR="00D3300C">
        <w:rPr>
          <w:rFonts w:ascii="Arial" w:hAnsi="Arial" w:cs="Arial"/>
        </w:rPr>
        <w:t xml:space="preserve"> Yayasan Farmasi Semarang (No: 095/EL-WL/XII/2025)</w:t>
      </w:r>
      <w:r w:rsidR="007D6237">
        <w:rPr>
          <w:rFonts w:ascii="Arial" w:hAnsi="Arial" w:cs="Arial"/>
        </w:rPr>
        <w:t>.</w:t>
      </w:r>
    </w:p>
    <w:p w14:paraId="34D52561" w14:textId="77777777" w:rsidR="00D3300C" w:rsidRDefault="00D3300C" w:rsidP="00441B6F">
      <w:pPr>
        <w:pStyle w:val="Body"/>
        <w:spacing w:after="0"/>
        <w:rPr>
          <w:rFonts w:ascii="Arial" w:hAnsi="Arial" w:cs="Arial"/>
        </w:rPr>
      </w:pPr>
    </w:p>
    <w:p w14:paraId="4140FC22" w14:textId="0138852C" w:rsidR="00D3300C" w:rsidRDefault="00D3300C" w:rsidP="00D3300C">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Extraction</w:t>
      </w:r>
    </w:p>
    <w:p w14:paraId="5C1B1391" w14:textId="77777777" w:rsidR="00D06E3D" w:rsidRDefault="00D06E3D" w:rsidP="00D3300C">
      <w:pPr>
        <w:pStyle w:val="Body"/>
        <w:spacing w:after="0"/>
        <w:rPr>
          <w:rFonts w:ascii="Arial" w:hAnsi="Arial" w:cs="Arial"/>
          <w:b/>
          <w:sz w:val="22"/>
        </w:rPr>
      </w:pPr>
    </w:p>
    <w:p w14:paraId="37C67670" w14:textId="22EA3B0E" w:rsidR="00D3300C" w:rsidRDefault="00D3300C" w:rsidP="00D3300C">
      <w:pPr>
        <w:pStyle w:val="Body"/>
        <w:spacing w:after="0"/>
        <w:rPr>
          <w:rFonts w:ascii="Arial" w:hAnsi="Arial" w:cs="Arial"/>
          <w:noProof/>
          <w:color w:val="000000" w:themeColor="text1"/>
        </w:rPr>
      </w:pPr>
      <w:r>
        <w:rPr>
          <w:rFonts w:ascii="Arial" w:hAnsi="Arial" w:cs="Arial"/>
          <w:i/>
          <w:iCs/>
        </w:rPr>
        <w:t>A</w:t>
      </w:r>
      <w:r w:rsidR="001F5286">
        <w:rPr>
          <w:rFonts w:ascii="Arial" w:hAnsi="Arial" w:cs="Arial"/>
          <w:i/>
          <w:iCs/>
        </w:rPr>
        <w:t>.</w:t>
      </w:r>
      <w:r>
        <w:rPr>
          <w:rFonts w:ascii="Arial" w:hAnsi="Arial" w:cs="Arial"/>
          <w:i/>
          <w:iCs/>
        </w:rPr>
        <w:t xml:space="preserve"> marina </w:t>
      </w:r>
      <w:r>
        <w:rPr>
          <w:rFonts w:ascii="Arial" w:hAnsi="Arial" w:cs="Arial"/>
        </w:rPr>
        <w:t xml:space="preserve">fruit powder was extracted using </w:t>
      </w:r>
      <w:proofErr w:type="spellStart"/>
      <w:r>
        <w:rPr>
          <w:rFonts w:ascii="Arial" w:hAnsi="Arial" w:cs="Arial"/>
        </w:rPr>
        <w:t>remaceration</w:t>
      </w:r>
      <w:proofErr w:type="spellEnd"/>
      <w:r>
        <w:rPr>
          <w:rFonts w:ascii="Arial" w:hAnsi="Arial" w:cs="Arial"/>
        </w:rPr>
        <w:t xml:space="preserve"> method. The solvent used was </w:t>
      </w:r>
      <w:proofErr w:type="spellStart"/>
      <w:r>
        <w:rPr>
          <w:rFonts w:ascii="Arial" w:hAnsi="Arial" w:cs="Arial"/>
        </w:rPr>
        <w:t>thecnical</w:t>
      </w:r>
      <w:proofErr w:type="spellEnd"/>
      <w:r>
        <w:rPr>
          <w:rFonts w:ascii="Arial" w:hAnsi="Arial" w:cs="Arial"/>
        </w:rPr>
        <w:t xml:space="preserve"> </w:t>
      </w:r>
      <w:proofErr w:type="spellStart"/>
      <w:r>
        <w:rPr>
          <w:rFonts w:ascii="Arial" w:hAnsi="Arial" w:cs="Arial"/>
        </w:rPr>
        <w:t>garde</w:t>
      </w:r>
      <w:proofErr w:type="spellEnd"/>
      <w:r>
        <w:rPr>
          <w:rFonts w:ascii="Arial" w:hAnsi="Arial" w:cs="Arial"/>
        </w:rPr>
        <w:t xml:space="preserve"> ethanol 96% with a powder to solvent ratio 1:10. </w:t>
      </w:r>
      <w:proofErr w:type="spellStart"/>
      <w:r>
        <w:rPr>
          <w:rFonts w:ascii="Arial" w:hAnsi="Arial" w:cs="Arial"/>
        </w:rPr>
        <w:t>Remaceration</w:t>
      </w:r>
      <w:proofErr w:type="spellEnd"/>
      <w:r>
        <w:rPr>
          <w:rFonts w:ascii="Arial" w:hAnsi="Arial" w:cs="Arial"/>
        </w:rPr>
        <w:t xml:space="preserve"> was carried out for 3x24 hours. The macerate was evaporated at 50</w:t>
      </w:r>
      <w:r w:rsidRPr="00D3300C">
        <w:rPr>
          <w:rFonts w:ascii="Arial" w:hAnsi="Arial" w:cs="Arial"/>
          <w:noProof/>
          <w:color w:val="000000" w:themeColor="text1"/>
          <w:vertAlign w:val="superscript"/>
        </w:rPr>
        <w:t>o</w:t>
      </w:r>
      <w:r>
        <w:rPr>
          <w:rFonts w:ascii="Arial" w:hAnsi="Arial" w:cs="Arial"/>
          <w:noProof/>
          <w:color w:val="000000" w:themeColor="text1"/>
        </w:rPr>
        <w:t>C and thick</w:t>
      </w:r>
      <w:r w:rsidR="00881B52">
        <w:rPr>
          <w:rFonts w:ascii="Arial" w:hAnsi="Arial" w:cs="Arial"/>
          <w:noProof/>
          <w:color w:val="000000" w:themeColor="text1"/>
        </w:rPr>
        <w:t>e</w:t>
      </w:r>
      <w:r>
        <w:rPr>
          <w:rFonts w:ascii="Arial" w:hAnsi="Arial" w:cs="Arial"/>
          <w:noProof/>
          <w:color w:val="000000" w:themeColor="text1"/>
        </w:rPr>
        <w:t>ned at the same temperature using a water bath</w:t>
      </w:r>
      <w:r w:rsidR="001F5286">
        <w:rPr>
          <w:rFonts w:ascii="Arial" w:hAnsi="Arial" w:cs="Arial"/>
          <w:noProof/>
          <w:color w:val="000000" w:themeColor="text1"/>
        </w:rPr>
        <w:t>.</w:t>
      </w:r>
      <w:r w:rsidR="00020B60">
        <w:rPr>
          <w:rFonts w:ascii="Arial" w:hAnsi="Arial" w:cs="Arial"/>
          <w:noProof/>
          <w:color w:val="000000" w:themeColor="text1"/>
        </w:rPr>
        <w:t xml:space="preserve"> </w:t>
      </w:r>
      <w:r w:rsidR="00020B60" w:rsidRPr="00020B60">
        <w:rPr>
          <w:rFonts w:ascii="Arial" w:hAnsi="Arial" w:cs="Arial"/>
          <w:noProof/>
          <w:color w:val="000000" w:themeColor="text1"/>
        </w:rPr>
        <w:t>The percentage yield of the extract was determined using the following equation</w:t>
      </w:r>
      <w:r w:rsidR="00020B60">
        <w:rPr>
          <w:rFonts w:ascii="Arial" w:hAnsi="Arial" w:cs="Arial"/>
          <w:noProof/>
          <w:color w:val="000000" w:themeColor="text1"/>
        </w:rPr>
        <w:t>:</w:t>
      </w:r>
    </w:p>
    <w:p w14:paraId="7F55C891" w14:textId="6F990B4C" w:rsidR="00020B60" w:rsidRPr="00020B60" w:rsidRDefault="00000000" w:rsidP="00D3300C">
      <w:pPr>
        <w:pStyle w:val="Body"/>
        <w:spacing w:after="0"/>
        <w:rPr>
          <w:rFonts w:ascii="Arial" w:hAnsi="Arial" w:cs="Arial"/>
          <w:noProof/>
          <w:color w:val="000000" w:themeColor="text1"/>
        </w:rPr>
      </w:pPr>
      <m:oMathPara>
        <m:oMathParaPr>
          <m:jc m:val="left"/>
        </m:oMathParaPr>
        <m:oMath>
          <m:f>
            <m:fPr>
              <m:ctrlPr>
                <w:rPr>
                  <w:rFonts w:ascii="Cambria Math" w:hAnsi="Cambria Math" w:cs="Arial"/>
                  <w:i/>
                  <w:iCs/>
                </w:rPr>
              </m:ctrlPr>
            </m:fPr>
            <m:num>
              <m:r>
                <w:rPr>
                  <w:rFonts w:ascii="Cambria Math" w:hAnsi="Cambria Math" w:cs="Arial"/>
                </w:rPr>
                <m:t>Extract weight (g)</m:t>
              </m:r>
            </m:num>
            <m:den>
              <m:r>
                <w:rPr>
                  <w:rFonts w:ascii="Cambria Math" w:hAnsi="Cambria Math" w:cs="Arial"/>
                </w:rPr>
                <m:t>Dried powder weight (g)</m:t>
              </m:r>
            </m:den>
          </m:f>
          <m:r>
            <w:rPr>
              <w:rFonts w:ascii="Cambria Math" w:hAnsi="Cambria Math" w:cs="Arial"/>
            </w:rPr>
            <m:t>×100%</m:t>
          </m:r>
        </m:oMath>
      </m:oMathPara>
    </w:p>
    <w:p w14:paraId="1810B98F" w14:textId="77777777" w:rsidR="00D3300C" w:rsidRDefault="00D3300C" w:rsidP="00D3300C">
      <w:pPr>
        <w:pStyle w:val="Body"/>
        <w:spacing w:after="0"/>
        <w:rPr>
          <w:rFonts w:ascii="Arial" w:hAnsi="Arial" w:cs="Arial"/>
          <w:noProof/>
          <w:color w:val="000000" w:themeColor="text1"/>
        </w:rPr>
      </w:pPr>
    </w:p>
    <w:p w14:paraId="7E428BF6" w14:textId="6BD2E8D3" w:rsidR="00D3300C" w:rsidRDefault="00D3300C" w:rsidP="00D3300C">
      <w:pPr>
        <w:pStyle w:val="Body"/>
        <w:spacing w:after="0"/>
        <w:rPr>
          <w:rFonts w:ascii="Arial" w:hAnsi="Arial" w:cs="Arial"/>
          <w:b/>
          <w:sz w:val="22"/>
        </w:rPr>
      </w:pPr>
      <w:r w:rsidRPr="00C30A0F">
        <w:rPr>
          <w:rFonts w:ascii="Arial" w:hAnsi="Arial" w:cs="Arial"/>
          <w:b/>
          <w:caps/>
          <w:sz w:val="22"/>
        </w:rPr>
        <w:t>2.</w:t>
      </w:r>
      <w:r w:rsidR="00035C9B">
        <w:rPr>
          <w:rFonts w:ascii="Arial" w:hAnsi="Arial" w:cs="Arial"/>
          <w:b/>
          <w:caps/>
          <w:sz w:val="22"/>
        </w:rPr>
        <w:t>4</w:t>
      </w:r>
      <w:r w:rsidRPr="00C30A0F">
        <w:rPr>
          <w:rFonts w:ascii="Arial" w:hAnsi="Arial" w:cs="Arial"/>
          <w:b/>
          <w:caps/>
          <w:sz w:val="22"/>
        </w:rPr>
        <w:t xml:space="preserve"> </w:t>
      </w:r>
      <w:r>
        <w:rPr>
          <w:rFonts w:ascii="Arial" w:hAnsi="Arial" w:cs="Arial"/>
          <w:b/>
          <w:sz w:val="22"/>
        </w:rPr>
        <w:t>Screening Phytochemical</w:t>
      </w:r>
    </w:p>
    <w:p w14:paraId="534068A2" w14:textId="77777777" w:rsidR="00D06E3D" w:rsidRDefault="00D06E3D" w:rsidP="00D3300C">
      <w:pPr>
        <w:pStyle w:val="Body"/>
        <w:spacing w:after="0"/>
        <w:rPr>
          <w:rFonts w:ascii="Arial" w:hAnsi="Arial" w:cs="Arial"/>
          <w:b/>
          <w:sz w:val="22"/>
        </w:rPr>
      </w:pPr>
    </w:p>
    <w:p w14:paraId="5B0B3896" w14:textId="5700ECFF" w:rsidR="00D3300C" w:rsidRDefault="001F5286" w:rsidP="00D3300C">
      <w:pPr>
        <w:pStyle w:val="Body"/>
        <w:spacing w:after="0"/>
        <w:rPr>
          <w:rFonts w:ascii="Arial" w:hAnsi="Arial" w:cs="Arial"/>
        </w:rPr>
      </w:pPr>
      <w:r>
        <w:rPr>
          <w:rFonts w:ascii="Arial" w:hAnsi="Arial" w:cs="Arial"/>
          <w:lang w:val="en"/>
        </w:rPr>
        <w:t xml:space="preserve">The </w:t>
      </w:r>
      <w:r w:rsidR="007D6237">
        <w:rPr>
          <w:rFonts w:ascii="Arial" w:hAnsi="Arial" w:cs="Arial"/>
          <w:lang w:val="en"/>
        </w:rPr>
        <w:t>EEAF</w:t>
      </w:r>
      <w:r w:rsidR="00DF45BB">
        <w:rPr>
          <w:rFonts w:ascii="Arial" w:hAnsi="Arial" w:cs="Arial"/>
        </w:rPr>
        <w:t xml:space="preserve"> was subjected to phytochemical screening using preliminary test and confirmation using TLC. The phytochemical screening test include flavonoid, alkaloid, and triterpenoid</w:t>
      </w:r>
      <w:r w:rsidR="00AC3408">
        <w:rPr>
          <w:rFonts w:ascii="Arial" w:hAnsi="Arial" w:cs="Arial"/>
        </w:rPr>
        <w:t>.</w:t>
      </w:r>
    </w:p>
    <w:p w14:paraId="743D4696" w14:textId="77777777" w:rsidR="00AC3408" w:rsidRDefault="00AC3408" w:rsidP="00D3300C">
      <w:pPr>
        <w:pStyle w:val="Body"/>
        <w:spacing w:after="0"/>
        <w:rPr>
          <w:rFonts w:ascii="Arial" w:hAnsi="Arial" w:cs="Arial"/>
        </w:rPr>
      </w:pPr>
    </w:p>
    <w:p w14:paraId="447D4DF6" w14:textId="01917798" w:rsidR="00AC3408" w:rsidRDefault="00AC3408" w:rsidP="00AC3408">
      <w:pPr>
        <w:pStyle w:val="Body"/>
        <w:spacing w:after="0"/>
        <w:rPr>
          <w:rFonts w:ascii="Arial" w:hAnsi="Arial" w:cs="Arial"/>
          <w:b/>
          <w:sz w:val="22"/>
        </w:rPr>
      </w:pPr>
      <w:r w:rsidRPr="00C30A0F">
        <w:rPr>
          <w:rFonts w:ascii="Arial" w:hAnsi="Arial" w:cs="Arial"/>
          <w:b/>
          <w:caps/>
          <w:sz w:val="22"/>
        </w:rPr>
        <w:t>2.</w:t>
      </w:r>
      <w:r w:rsidR="00035C9B">
        <w:rPr>
          <w:rFonts w:ascii="Arial" w:hAnsi="Arial" w:cs="Arial"/>
          <w:b/>
          <w:caps/>
          <w:sz w:val="22"/>
        </w:rPr>
        <w:t>5</w:t>
      </w:r>
      <w:r w:rsidRPr="00C30A0F">
        <w:rPr>
          <w:rFonts w:ascii="Arial" w:hAnsi="Arial" w:cs="Arial"/>
          <w:b/>
          <w:caps/>
          <w:sz w:val="22"/>
        </w:rPr>
        <w:t xml:space="preserve"> </w:t>
      </w:r>
      <w:r>
        <w:rPr>
          <w:rFonts w:ascii="Arial" w:hAnsi="Arial" w:cs="Arial"/>
          <w:b/>
          <w:sz w:val="22"/>
        </w:rPr>
        <w:t>In Vivo Studies</w:t>
      </w:r>
    </w:p>
    <w:p w14:paraId="6044440F" w14:textId="23EBFC00" w:rsidR="005B0863" w:rsidRDefault="005B0863" w:rsidP="00441B6F">
      <w:pPr>
        <w:pStyle w:val="Body"/>
        <w:spacing w:after="0"/>
        <w:rPr>
          <w:rFonts w:ascii="Arial" w:hAnsi="Arial" w:cs="Arial"/>
          <w:b/>
          <w:u w:val="single"/>
        </w:rPr>
      </w:pPr>
    </w:p>
    <w:p w14:paraId="540355D0" w14:textId="4A77BCBE" w:rsidR="00AA74E0" w:rsidRDefault="00AA74E0"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sidR="00035C9B">
        <w:rPr>
          <w:rFonts w:ascii="Arial" w:hAnsi="Arial" w:cs="Arial"/>
          <w:b/>
          <w:u w:val="single"/>
        </w:rPr>
        <w:t>5</w:t>
      </w:r>
      <w:r w:rsidRPr="00902823">
        <w:rPr>
          <w:rFonts w:ascii="Arial" w:hAnsi="Arial" w:cs="Arial"/>
          <w:b/>
          <w:u w:val="single"/>
        </w:rPr>
        <w:t xml:space="preserve">.1 </w:t>
      </w:r>
      <w:r w:rsidR="00AC3408">
        <w:rPr>
          <w:rFonts w:ascii="Arial" w:hAnsi="Arial" w:cs="Arial"/>
          <w:b/>
          <w:u w:val="single"/>
        </w:rPr>
        <w:t>Induction and Treatment Protocol</w:t>
      </w:r>
      <w:r w:rsidRPr="00FB3A86">
        <w:rPr>
          <w:rFonts w:ascii="Arial" w:hAnsi="Arial" w:cs="Arial"/>
        </w:rPr>
        <w:t xml:space="preserve"> </w:t>
      </w:r>
    </w:p>
    <w:p w14:paraId="521B5209" w14:textId="77777777" w:rsidR="00D06E3D" w:rsidRDefault="00D06E3D" w:rsidP="00441B6F">
      <w:pPr>
        <w:pStyle w:val="Body"/>
        <w:spacing w:after="0"/>
        <w:rPr>
          <w:rFonts w:ascii="Arial" w:hAnsi="Arial" w:cs="Arial"/>
        </w:rPr>
      </w:pPr>
    </w:p>
    <w:p w14:paraId="28423C75" w14:textId="7E11AFBC" w:rsidR="00794EE0" w:rsidRPr="00794EE0" w:rsidRDefault="00794EE0" w:rsidP="00794EE0">
      <w:pPr>
        <w:pStyle w:val="Body"/>
        <w:spacing w:after="0"/>
        <w:rPr>
          <w:rFonts w:ascii="Arial" w:hAnsi="Arial" w:cs="Arial"/>
          <w:lang w:val="en-ID"/>
        </w:rPr>
      </w:pPr>
      <w:r w:rsidRPr="00794EE0">
        <w:rPr>
          <w:rFonts w:ascii="Arial" w:hAnsi="Arial" w:cs="Arial"/>
          <w:lang w:val="en-ID"/>
        </w:rPr>
        <w:t>Male Wistar rats weighing 150–200 g, with an average age of 6 weeks, were acclimatized for 7 days prior to the experiment. The rats were then subjected to an induction protocol using a combination of a high-fat diet and cigarette smoke exposure</w:t>
      </w:r>
      <w:r>
        <w:rPr>
          <w:rFonts w:ascii="Arial" w:hAnsi="Arial" w:cs="Arial"/>
          <w:lang w:val="en-ID"/>
        </w:rPr>
        <w:t>. T</w:t>
      </w:r>
      <w:r w:rsidRPr="00794EE0">
        <w:rPr>
          <w:rFonts w:ascii="Arial" w:hAnsi="Arial" w:cs="Arial"/>
          <w:lang w:val="en-ID"/>
        </w:rPr>
        <w:t>he high-fat diet consisted of quail egg yolk and lard in a 1:1 ratio, administered orally at a dose of 15 mL/kg body weight. Cigarette smoke exposure was conducted using 30 cigarettes per 10 rats per day. The induction period lasted for 17 days.</w:t>
      </w:r>
      <w:r>
        <w:rPr>
          <w:rFonts w:ascii="Arial" w:hAnsi="Arial" w:cs="Arial"/>
          <w:lang w:val="en-ID"/>
        </w:rPr>
        <w:t xml:space="preserve"> </w:t>
      </w:r>
      <w:r w:rsidRPr="00794EE0">
        <w:rPr>
          <w:rFonts w:ascii="Arial" w:hAnsi="Arial" w:cs="Arial"/>
          <w:lang w:val="en-ID"/>
        </w:rPr>
        <w:t xml:space="preserve">Following induction, the rats were randomly divided into five groups, with five animals in each group. Group 1 served as the negative control and received 0.5% Na-CMC (2.5 mL/animal). Group 2 served as the positive control and received atorvastatin at a dose of 2.52 mg/kg body weight. Groups 3–5 were treated with ethanol extract of </w:t>
      </w:r>
      <w:r w:rsidRPr="00794EE0">
        <w:rPr>
          <w:rFonts w:ascii="Arial" w:hAnsi="Arial" w:cs="Arial"/>
          <w:i/>
          <w:iCs/>
          <w:lang w:val="en-ID"/>
        </w:rPr>
        <w:t>Avicennia marina</w:t>
      </w:r>
      <w:r w:rsidRPr="00794EE0">
        <w:rPr>
          <w:rFonts w:ascii="Arial" w:hAnsi="Arial" w:cs="Arial"/>
          <w:lang w:val="en-ID"/>
        </w:rPr>
        <w:t xml:space="preserve"> fruit (EEAF) at doses of 30, 60, and 120 mg/kg body weight, respectively.</w:t>
      </w:r>
      <w:r>
        <w:rPr>
          <w:rFonts w:ascii="Arial" w:hAnsi="Arial" w:cs="Arial"/>
          <w:lang w:val="en-ID"/>
        </w:rPr>
        <w:t xml:space="preserve"> </w:t>
      </w:r>
      <w:r w:rsidRPr="00794EE0">
        <w:rPr>
          <w:rFonts w:ascii="Arial" w:hAnsi="Arial" w:cs="Arial"/>
          <w:lang w:val="en-ID"/>
        </w:rPr>
        <w:t>All treatments were administered once daily for 28 days.</w:t>
      </w:r>
    </w:p>
    <w:p w14:paraId="21E01755" w14:textId="77777777" w:rsidR="002F5CC3" w:rsidRDefault="002F5CC3" w:rsidP="002F5CC3">
      <w:pPr>
        <w:pStyle w:val="Body"/>
        <w:spacing w:after="0"/>
        <w:rPr>
          <w:rFonts w:ascii="Arial" w:hAnsi="Arial" w:cs="Arial"/>
          <w:lang w:val="en"/>
        </w:rPr>
      </w:pPr>
    </w:p>
    <w:p w14:paraId="30B480F7" w14:textId="328CD377" w:rsidR="00D06E3D" w:rsidRDefault="00BE7D2E" w:rsidP="00BE7D2E">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sidR="00035C9B">
        <w:rPr>
          <w:rFonts w:ascii="Arial" w:hAnsi="Arial" w:cs="Arial"/>
          <w:b/>
          <w:u w:val="single"/>
        </w:rPr>
        <w:t>5</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1C6292">
        <w:rPr>
          <w:rFonts w:ascii="Arial" w:hAnsi="Arial" w:cs="Arial"/>
          <w:b/>
          <w:u w:val="single"/>
        </w:rPr>
        <w:t>Total Cholesterol and Triglyceride Measurement</w:t>
      </w:r>
    </w:p>
    <w:p w14:paraId="3B2AA298" w14:textId="1E72AF1C" w:rsidR="00BE7D2E" w:rsidRDefault="00BE7D2E" w:rsidP="00BE7D2E">
      <w:pPr>
        <w:pStyle w:val="Body"/>
        <w:spacing w:after="0"/>
        <w:rPr>
          <w:rFonts w:ascii="Arial" w:hAnsi="Arial" w:cs="Arial"/>
        </w:rPr>
      </w:pPr>
      <w:r w:rsidRPr="00FB3A86">
        <w:rPr>
          <w:rFonts w:ascii="Arial" w:hAnsi="Arial" w:cs="Arial"/>
        </w:rPr>
        <w:t xml:space="preserve"> </w:t>
      </w:r>
    </w:p>
    <w:p w14:paraId="1503C392" w14:textId="4D1AD90B" w:rsidR="00BE7D2E" w:rsidRDefault="00BE7D2E" w:rsidP="00D06E3D">
      <w:pPr>
        <w:pStyle w:val="Body"/>
        <w:spacing w:after="0"/>
        <w:rPr>
          <w:rFonts w:ascii="Arial" w:hAnsi="Arial" w:cs="Arial"/>
          <w:lang w:val="en"/>
        </w:rPr>
      </w:pPr>
      <w:r w:rsidRPr="00BE7D2E">
        <w:rPr>
          <w:rFonts w:ascii="Arial" w:hAnsi="Arial" w:cs="Arial"/>
          <w:lang w:val="en"/>
        </w:rPr>
        <w:t>Blood was collected on the first day or before induction (T1), after induction (T17), and after treatment (T45) via retro</w:t>
      </w:r>
      <w:r w:rsidR="00067DA6">
        <w:rPr>
          <w:rFonts w:ascii="Arial" w:hAnsi="Arial" w:cs="Arial"/>
          <w:lang w:val="en"/>
        </w:rPr>
        <w:t xml:space="preserve"> </w:t>
      </w:r>
      <w:r w:rsidRPr="00BE7D2E">
        <w:rPr>
          <w:rFonts w:ascii="Arial" w:hAnsi="Arial" w:cs="Arial"/>
          <w:lang w:val="en"/>
        </w:rPr>
        <w:t>orbital. The blood was centrifuged at 5000 rpm for 10 minutes at 4</w:t>
      </w:r>
      <w:r w:rsidR="00757498">
        <w:rPr>
          <w:rFonts w:ascii="Arial" w:hAnsi="Arial" w:cs="Arial"/>
          <w:vertAlign w:val="superscript"/>
          <w:lang w:val="en"/>
        </w:rPr>
        <w:t>o</w:t>
      </w:r>
      <w:r w:rsidRPr="00BE7D2E">
        <w:rPr>
          <w:rFonts w:ascii="Arial" w:hAnsi="Arial" w:cs="Arial"/>
          <w:lang w:val="en"/>
        </w:rPr>
        <w:t>C. The serum obtained was measured for total cholesterol and triglycerides</w:t>
      </w:r>
      <w:r w:rsidR="001C6292">
        <w:rPr>
          <w:rFonts w:ascii="Arial" w:hAnsi="Arial" w:cs="Arial"/>
          <w:lang w:val="en"/>
        </w:rPr>
        <w:t>.</w:t>
      </w:r>
    </w:p>
    <w:p w14:paraId="59175C05" w14:textId="63574C10" w:rsidR="00AA74E0" w:rsidRDefault="00AA74E0" w:rsidP="00D06E3D">
      <w:pPr>
        <w:pStyle w:val="Body"/>
        <w:spacing w:after="0"/>
        <w:rPr>
          <w:rFonts w:ascii="Arial" w:hAnsi="Arial" w:cs="Arial"/>
        </w:rPr>
      </w:pPr>
    </w:p>
    <w:p w14:paraId="313B1FEA" w14:textId="61588B5B" w:rsidR="001C6292" w:rsidRDefault="00D06E3D" w:rsidP="00D06E3D">
      <w:pPr>
        <w:pStyle w:val="Body"/>
        <w:spacing w:after="0"/>
        <w:rPr>
          <w:rFonts w:ascii="Arial" w:hAnsi="Arial" w:cs="Arial"/>
          <w:b/>
          <w:bCs/>
          <w:i/>
        </w:rPr>
      </w:pPr>
      <w:r w:rsidRPr="00035541">
        <w:rPr>
          <w:rFonts w:ascii="Arial" w:hAnsi="Arial" w:cs="Arial"/>
          <w:b/>
          <w:bCs/>
          <w:i/>
        </w:rPr>
        <w:t>2.</w:t>
      </w:r>
      <w:r w:rsidR="00035C9B">
        <w:rPr>
          <w:rFonts w:ascii="Arial" w:hAnsi="Arial" w:cs="Arial"/>
          <w:b/>
          <w:bCs/>
          <w:i/>
        </w:rPr>
        <w:t>5</w:t>
      </w:r>
      <w:r w:rsidRPr="00035541">
        <w:rPr>
          <w:rFonts w:ascii="Arial" w:hAnsi="Arial" w:cs="Arial"/>
          <w:b/>
          <w:bCs/>
          <w:i/>
        </w:rPr>
        <w:t>.2.1 Total Cholesterol Analysis</w:t>
      </w:r>
    </w:p>
    <w:p w14:paraId="4710BE24" w14:textId="77777777" w:rsidR="00757498" w:rsidRDefault="00757498" w:rsidP="00D06E3D">
      <w:pPr>
        <w:pStyle w:val="Body"/>
        <w:spacing w:after="0"/>
        <w:rPr>
          <w:rFonts w:ascii="Arial" w:hAnsi="Arial" w:cs="Arial"/>
          <w:b/>
          <w:bCs/>
          <w:i/>
        </w:rPr>
      </w:pPr>
    </w:p>
    <w:p w14:paraId="1476F784" w14:textId="77777777" w:rsidR="00447355" w:rsidRDefault="00FD46A8" w:rsidP="00FD46A8">
      <w:pPr>
        <w:pStyle w:val="Body"/>
        <w:spacing w:after="0"/>
        <w:rPr>
          <w:rFonts w:ascii="Arial" w:hAnsi="Arial" w:cs="Arial"/>
          <w:iCs/>
        </w:rPr>
      </w:pPr>
      <w:r w:rsidRPr="00FD46A8">
        <w:rPr>
          <w:rFonts w:ascii="Arial" w:hAnsi="Arial" w:cs="Arial"/>
          <w:iCs/>
        </w:rPr>
        <w:t>Total cholesterol levels were determined using an enzymatic colorimetric method (CHOD-PAP method) with the Cholesterol MR kit</w:t>
      </w:r>
      <w:r w:rsidR="002F5CC3">
        <w:rPr>
          <w:rFonts w:ascii="Arial" w:hAnsi="Arial" w:cs="Arial"/>
          <w:iCs/>
        </w:rPr>
        <w:t xml:space="preserve"> according to the manufacturer’s instruction</w:t>
      </w:r>
      <w:r w:rsidRPr="00FD46A8">
        <w:rPr>
          <w:rFonts w:ascii="Arial" w:hAnsi="Arial" w:cs="Arial"/>
          <w:iCs/>
        </w:rPr>
        <w:t>. Briefly, 5 µL of serum was mixed with 500 µL of the reagent. The mixture was incubated for 10 minutes at room temperature to allow complete color development. Absorbance</w:t>
      </w:r>
      <w:r w:rsidR="00696B46">
        <w:rPr>
          <w:rFonts w:ascii="Arial" w:hAnsi="Arial" w:cs="Arial"/>
          <w:iCs/>
        </w:rPr>
        <w:t xml:space="preserve"> (A)</w:t>
      </w:r>
      <w:r w:rsidRPr="00FD46A8">
        <w:rPr>
          <w:rFonts w:ascii="Arial" w:hAnsi="Arial" w:cs="Arial"/>
          <w:iCs/>
        </w:rPr>
        <w:t xml:space="preserve"> was </w:t>
      </w:r>
      <w:r w:rsidRPr="00FD46A8">
        <w:rPr>
          <w:rFonts w:ascii="Arial" w:hAnsi="Arial" w:cs="Arial"/>
          <w:iCs/>
        </w:rPr>
        <w:lastRenderedPageBreak/>
        <w:t>measured at 500 nm using a spectrophotometer. Total cholesterol concentration was calculated using the following formula</w:t>
      </w:r>
      <w:r w:rsidR="002F5CC3">
        <w:rPr>
          <w:rFonts w:ascii="Arial" w:hAnsi="Arial" w:cs="Arial"/>
          <w:iCs/>
        </w:rPr>
        <w:t>:</w:t>
      </w:r>
    </w:p>
    <w:p w14:paraId="058E9BAB" w14:textId="7408E646" w:rsidR="002F5CC3" w:rsidRDefault="00696B46" w:rsidP="00FD46A8">
      <w:pPr>
        <w:pStyle w:val="Body"/>
        <w:spacing w:after="0"/>
        <w:rPr>
          <w:rFonts w:ascii="Arial" w:hAnsi="Arial" w:cs="Arial"/>
          <w:iCs/>
        </w:rPr>
      </w:pPr>
      <w:r>
        <w:rPr>
          <w:rFonts w:ascii="Arial" w:hAnsi="Arial" w:cs="Arial"/>
          <w:iCs/>
        </w:rPr>
        <w:t xml:space="preserve"> </w:t>
      </w:r>
      <m:oMath>
        <m:f>
          <m:fPr>
            <m:ctrlPr>
              <w:rPr>
                <w:rFonts w:ascii="Cambria Math" w:hAnsi="Cambria Math" w:cs="Arial"/>
                <w:i/>
                <w:iCs/>
              </w:rPr>
            </m:ctrlPr>
          </m:fPr>
          <m:num>
            <m:r>
              <w:rPr>
                <w:rFonts w:ascii="Cambria Math" w:hAnsi="Cambria Math" w:cs="Arial"/>
              </w:rPr>
              <m:t>A sample</m:t>
            </m:r>
          </m:num>
          <m:den>
            <m:r>
              <w:rPr>
                <w:rFonts w:ascii="Cambria Math" w:hAnsi="Cambria Math" w:cs="Arial"/>
              </w:rPr>
              <m:t>A standard</m:t>
            </m:r>
          </m:den>
        </m:f>
        <m:r>
          <w:rPr>
            <w:rFonts w:ascii="Cambria Math" w:hAnsi="Cambria Math" w:cs="Arial"/>
          </w:rPr>
          <m:t>×Concentration Standard</m:t>
        </m:r>
      </m:oMath>
    </w:p>
    <w:p w14:paraId="6A4FD578" w14:textId="454211C3" w:rsidR="00B91A2A" w:rsidRPr="00B91A2A" w:rsidRDefault="00FD46A8" w:rsidP="00FD46A8">
      <w:pPr>
        <w:pStyle w:val="Body"/>
        <w:spacing w:after="0"/>
        <w:rPr>
          <w:rFonts w:ascii="Arial" w:hAnsi="Arial" w:cs="Arial"/>
          <w:iCs/>
          <w:lang w:val="en-ID"/>
        </w:rPr>
      </w:pPr>
      <w:r w:rsidRPr="00FD46A8">
        <w:rPr>
          <w:rFonts w:ascii="Arial" w:hAnsi="Arial" w:cs="Arial"/>
          <w:iCs/>
        </w:rPr>
        <w:t xml:space="preserve">The Cholesterol MR reagent consisted of 200 mM PIPES buffer (pH 7.0), 1 mM sodium cholate, 250 </w:t>
      </w:r>
      <w:proofErr w:type="spellStart"/>
      <w:r w:rsidRPr="00FD46A8">
        <w:rPr>
          <w:rFonts w:ascii="Arial" w:hAnsi="Arial" w:cs="Arial"/>
          <w:iCs/>
        </w:rPr>
        <w:t>kU</w:t>
      </w:r>
      <w:proofErr w:type="spellEnd"/>
      <w:r w:rsidRPr="00FD46A8">
        <w:rPr>
          <w:rFonts w:ascii="Arial" w:hAnsi="Arial" w:cs="Arial"/>
          <w:iCs/>
        </w:rPr>
        <w:t>/L cholesterol esterase, 0.33 mM 4-aminoantipyrine, 4 mM phenol, and 2 g/L non-ionic surfactants.</w:t>
      </w:r>
    </w:p>
    <w:p w14:paraId="79675CE8" w14:textId="77777777" w:rsidR="00757498" w:rsidRPr="00757498" w:rsidRDefault="00757498" w:rsidP="00FD46A8">
      <w:pPr>
        <w:pStyle w:val="Body"/>
        <w:spacing w:after="0"/>
        <w:rPr>
          <w:rFonts w:ascii="Arial" w:hAnsi="Arial" w:cs="Arial"/>
          <w:b/>
          <w:bCs/>
          <w:iCs/>
        </w:rPr>
      </w:pPr>
    </w:p>
    <w:p w14:paraId="6C26D5FF" w14:textId="157514F8" w:rsidR="00D06E3D" w:rsidRPr="00035541" w:rsidRDefault="00D06E3D" w:rsidP="00D06E3D">
      <w:pPr>
        <w:pStyle w:val="Body"/>
        <w:spacing w:after="0"/>
        <w:rPr>
          <w:rFonts w:ascii="Arial" w:hAnsi="Arial" w:cs="Arial"/>
          <w:b/>
          <w:bCs/>
        </w:rPr>
      </w:pPr>
      <w:r w:rsidRPr="00035541">
        <w:rPr>
          <w:rFonts w:ascii="Arial" w:hAnsi="Arial" w:cs="Arial"/>
          <w:b/>
          <w:bCs/>
          <w:i/>
        </w:rPr>
        <w:t>2.</w:t>
      </w:r>
      <w:r w:rsidR="00035C9B">
        <w:rPr>
          <w:rFonts w:ascii="Arial" w:hAnsi="Arial" w:cs="Arial"/>
          <w:b/>
          <w:bCs/>
          <w:i/>
        </w:rPr>
        <w:t>5</w:t>
      </w:r>
      <w:r w:rsidRPr="00035541">
        <w:rPr>
          <w:rFonts w:ascii="Arial" w:hAnsi="Arial" w:cs="Arial"/>
          <w:b/>
          <w:bCs/>
          <w:i/>
        </w:rPr>
        <w:t>.2.2 Triglyceride Analysis</w:t>
      </w:r>
    </w:p>
    <w:p w14:paraId="703221AD" w14:textId="77777777" w:rsidR="00790ADA" w:rsidRDefault="00790ADA" w:rsidP="00D06E3D">
      <w:pPr>
        <w:pStyle w:val="Body"/>
        <w:spacing w:after="0"/>
        <w:rPr>
          <w:rFonts w:ascii="Arial" w:hAnsi="Arial" w:cs="Arial"/>
        </w:rPr>
      </w:pPr>
    </w:p>
    <w:p w14:paraId="2A4CA279" w14:textId="77777777" w:rsidR="00447355" w:rsidRDefault="002F5CC3" w:rsidP="002F5CC3">
      <w:pPr>
        <w:pStyle w:val="Body"/>
        <w:spacing w:after="0"/>
        <w:rPr>
          <w:rFonts w:ascii="Arial" w:hAnsi="Arial" w:cs="Arial"/>
          <w:iCs/>
        </w:rPr>
      </w:pPr>
      <w:r w:rsidRPr="002F5CC3">
        <w:rPr>
          <w:rFonts w:ascii="Arial" w:hAnsi="Arial" w:cs="Arial"/>
          <w:lang w:val="en-ID"/>
        </w:rPr>
        <w:t>Triglyceride levels were measured using the same procedure as described for total cholesterol analysis. Briefly, 5 µL of serum was mixed with 500 µL of triglyceride reagent. The mixture was incubated for 15 minutes at room temperature, and absorbance</w:t>
      </w:r>
      <w:r w:rsidR="00696B46">
        <w:rPr>
          <w:rFonts w:ascii="Arial" w:hAnsi="Arial" w:cs="Arial"/>
          <w:lang w:val="en-ID"/>
        </w:rPr>
        <w:t xml:space="preserve"> (A)</w:t>
      </w:r>
      <w:r w:rsidRPr="002F5CC3">
        <w:rPr>
          <w:rFonts w:ascii="Arial" w:hAnsi="Arial" w:cs="Arial"/>
          <w:lang w:val="en-ID"/>
        </w:rPr>
        <w:t xml:space="preserve"> was measured at 500 nm using a spectrophotometer. Triglyceride concentration was calculated </w:t>
      </w:r>
      <w:r w:rsidRPr="00FD46A8">
        <w:rPr>
          <w:rFonts w:ascii="Arial" w:hAnsi="Arial" w:cs="Arial"/>
          <w:iCs/>
        </w:rPr>
        <w:t>using the following formula</w:t>
      </w:r>
      <w:r>
        <w:rPr>
          <w:rFonts w:ascii="Arial" w:hAnsi="Arial" w:cs="Arial"/>
          <w:iCs/>
        </w:rPr>
        <w:t>:</w:t>
      </w:r>
    </w:p>
    <w:p w14:paraId="2722B61F" w14:textId="2373BDFF" w:rsidR="002F5CC3" w:rsidRDefault="00696B46" w:rsidP="002F5CC3">
      <w:pPr>
        <w:pStyle w:val="Body"/>
        <w:spacing w:after="0"/>
        <w:rPr>
          <w:rFonts w:ascii="Arial" w:hAnsi="Arial" w:cs="Arial"/>
          <w:iCs/>
        </w:rPr>
      </w:pPr>
      <w:r w:rsidRPr="00696B46">
        <w:rPr>
          <w:rFonts w:ascii="Cambria Math" w:hAnsi="Cambria Math" w:cs="Arial"/>
          <w:i/>
          <w:iCs/>
        </w:rPr>
        <w:t xml:space="preserve"> </w:t>
      </w:r>
      <m:oMath>
        <m:f>
          <m:fPr>
            <m:ctrlPr>
              <w:rPr>
                <w:rFonts w:ascii="Cambria Math" w:hAnsi="Cambria Math" w:cs="Arial"/>
                <w:i/>
                <w:iCs/>
              </w:rPr>
            </m:ctrlPr>
          </m:fPr>
          <m:num>
            <m:r>
              <w:rPr>
                <w:rFonts w:ascii="Cambria Math" w:hAnsi="Cambria Math" w:cs="Arial"/>
              </w:rPr>
              <m:t>A sample</m:t>
            </m:r>
          </m:num>
          <m:den>
            <m:r>
              <w:rPr>
                <w:rFonts w:ascii="Cambria Math" w:hAnsi="Cambria Math" w:cs="Arial"/>
              </w:rPr>
              <m:t>A standard</m:t>
            </m:r>
          </m:den>
        </m:f>
        <m:r>
          <w:rPr>
            <w:rFonts w:ascii="Cambria Math" w:hAnsi="Cambria Math" w:cs="Arial"/>
          </w:rPr>
          <m:t>×Concentration Standard</m:t>
        </m:r>
      </m:oMath>
    </w:p>
    <w:p w14:paraId="79B18139" w14:textId="2D6EBB92" w:rsidR="002F5CC3" w:rsidRPr="002F5CC3" w:rsidRDefault="002F5CC3" w:rsidP="002F5CC3">
      <w:pPr>
        <w:pStyle w:val="Body"/>
        <w:spacing w:after="0"/>
        <w:rPr>
          <w:rFonts w:ascii="Arial" w:hAnsi="Arial" w:cs="Arial"/>
          <w:lang w:val="en-ID"/>
        </w:rPr>
      </w:pPr>
      <w:r w:rsidRPr="002F5CC3">
        <w:rPr>
          <w:rFonts w:ascii="Arial" w:hAnsi="Arial" w:cs="Arial"/>
          <w:lang w:val="en-ID"/>
        </w:rPr>
        <w:t xml:space="preserve">The triglyceride reagent consisted of 50 mM PIPES buffer (pH 6.8), lipoprotein lipase (LP) &gt; 12 </w:t>
      </w:r>
      <w:proofErr w:type="spellStart"/>
      <w:r w:rsidRPr="002F5CC3">
        <w:rPr>
          <w:rFonts w:ascii="Arial" w:hAnsi="Arial" w:cs="Arial"/>
          <w:lang w:val="en-ID"/>
        </w:rPr>
        <w:t>kU</w:t>
      </w:r>
      <w:proofErr w:type="spellEnd"/>
      <w:r w:rsidRPr="002F5CC3">
        <w:rPr>
          <w:rFonts w:ascii="Arial" w:hAnsi="Arial" w:cs="Arial"/>
          <w:lang w:val="en-ID"/>
        </w:rPr>
        <w:t xml:space="preserve">/L, glycerol kinase (GK) &gt; 1 </w:t>
      </w:r>
      <w:proofErr w:type="spellStart"/>
      <w:r w:rsidRPr="002F5CC3">
        <w:rPr>
          <w:rFonts w:ascii="Arial" w:hAnsi="Arial" w:cs="Arial"/>
          <w:lang w:val="en-ID"/>
        </w:rPr>
        <w:t>kU</w:t>
      </w:r>
      <w:proofErr w:type="spellEnd"/>
      <w:r w:rsidRPr="002F5CC3">
        <w:rPr>
          <w:rFonts w:ascii="Arial" w:hAnsi="Arial" w:cs="Arial"/>
          <w:lang w:val="en-ID"/>
        </w:rPr>
        <w:t xml:space="preserve">/L, glycerol-3-phosphate oxidase (GPO) &gt; 10 </w:t>
      </w:r>
      <w:proofErr w:type="spellStart"/>
      <w:r w:rsidRPr="002F5CC3">
        <w:rPr>
          <w:rFonts w:ascii="Arial" w:hAnsi="Arial" w:cs="Arial"/>
          <w:lang w:val="en-ID"/>
        </w:rPr>
        <w:t>kU</w:t>
      </w:r>
      <w:proofErr w:type="spellEnd"/>
      <w:r w:rsidRPr="002F5CC3">
        <w:rPr>
          <w:rFonts w:ascii="Arial" w:hAnsi="Arial" w:cs="Arial"/>
          <w:lang w:val="en-ID"/>
        </w:rPr>
        <w:t>/L, adenosine triphosphate (ATP) 2.0 mM, Mg²</w:t>
      </w:r>
      <w:r w:rsidRPr="002F5CC3">
        <w:rPr>
          <w:rFonts w:ascii="Cambria Math" w:hAnsi="Cambria Math" w:cs="Cambria Math"/>
          <w:lang w:val="en-ID"/>
        </w:rPr>
        <w:t>⁺</w:t>
      </w:r>
      <w:r w:rsidRPr="002F5CC3">
        <w:rPr>
          <w:rFonts w:ascii="Arial" w:hAnsi="Arial" w:cs="Arial"/>
          <w:lang w:val="en-ID"/>
        </w:rPr>
        <w:t xml:space="preserve"> 40 mM, peroxidase (POD) &gt; 2.5 </w:t>
      </w:r>
      <w:proofErr w:type="spellStart"/>
      <w:r w:rsidRPr="002F5CC3">
        <w:rPr>
          <w:rFonts w:ascii="Arial" w:hAnsi="Arial" w:cs="Arial"/>
          <w:lang w:val="en-ID"/>
        </w:rPr>
        <w:t>kU</w:t>
      </w:r>
      <w:proofErr w:type="spellEnd"/>
      <w:r w:rsidRPr="002F5CC3">
        <w:rPr>
          <w:rFonts w:ascii="Arial" w:hAnsi="Arial" w:cs="Arial"/>
          <w:lang w:val="en-ID"/>
        </w:rPr>
        <w:t>/L, 4-aminoantipyrine (4-AA) 0.5 mM, phenol 3 mM, and non-ionic surfactants (g/L)</w:t>
      </w:r>
      <w:r>
        <w:rPr>
          <w:rFonts w:ascii="Arial" w:hAnsi="Arial" w:cs="Arial"/>
          <w:lang w:val="en-ID"/>
        </w:rPr>
        <w:t>.</w:t>
      </w:r>
    </w:p>
    <w:p w14:paraId="081E9194" w14:textId="77777777" w:rsidR="00FD46A8" w:rsidRDefault="00FD46A8" w:rsidP="00D06E3D">
      <w:pPr>
        <w:pStyle w:val="Body"/>
        <w:spacing w:after="0"/>
        <w:rPr>
          <w:rFonts w:ascii="Arial" w:hAnsi="Arial" w:cs="Arial"/>
        </w:rPr>
      </w:pPr>
    </w:p>
    <w:p w14:paraId="11FDB2EB" w14:textId="13FDE7F1" w:rsidR="00D06E3D" w:rsidRPr="00035541" w:rsidRDefault="00D06E3D" w:rsidP="00D06E3D">
      <w:pPr>
        <w:pStyle w:val="Body"/>
        <w:spacing w:after="0"/>
        <w:rPr>
          <w:rFonts w:ascii="Arial" w:hAnsi="Arial" w:cs="Arial"/>
          <w:b/>
          <w:bCs/>
        </w:rPr>
      </w:pPr>
      <w:r w:rsidRPr="00035541">
        <w:rPr>
          <w:rFonts w:ascii="Arial" w:hAnsi="Arial" w:cs="Arial"/>
          <w:b/>
          <w:bCs/>
          <w:i/>
        </w:rPr>
        <w:t>2.</w:t>
      </w:r>
      <w:r w:rsidR="00035C9B">
        <w:rPr>
          <w:rFonts w:ascii="Arial" w:hAnsi="Arial" w:cs="Arial"/>
          <w:b/>
          <w:bCs/>
          <w:i/>
        </w:rPr>
        <w:t>5</w:t>
      </w:r>
      <w:r w:rsidRPr="00035541">
        <w:rPr>
          <w:rFonts w:ascii="Arial" w:hAnsi="Arial" w:cs="Arial"/>
          <w:b/>
          <w:bCs/>
          <w:i/>
        </w:rPr>
        <w:t>.2.3 Statistical Analysis</w:t>
      </w:r>
    </w:p>
    <w:p w14:paraId="17A2B532" w14:textId="77777777" w:rsidR="00D06E3D" w:rsidRDefault="00D06E3D" w:rsidP="00D06E3D">
      <w:pPr>
        <w:pStyle w:val="Body"/>
        <w:spacing w:after="0"/>
        <w:rPr>
          <w:rFonts w:ascii="Arial" w:hAnsi="Arial" w:cs="Arial"/>
        </w:rPr>
      </w:pPr>
    </w:p>
    <w:p w14:paraId="457CA335" w14:textId="0AFC3563" w:rsidR="00EF5456" w:rsidRDefault="00EF5456" w:rsidP="00EF5456">
      <w:pPr>
        <w:pStyle w:val="Body"/>
        <w:spacing w:after="0"/>
        <w:rPr>
          <w:rFonts w:ascii="Arial" w:hAnsi="Arial" w:cs="Arial"/>
          <w:lang w:val="en"/>
        </w:rPr>
      </w:pPr>
      <w:r w:rsidRPr="00EF5456">
        <w:rPr>
          <w:rFonts w:ascii="Arial" w:hAnsi="Arial" w:cs="Arial"/>
          <w:lang w:val="en"/>
        </w:rPr>
        <w:t>The percentage decrease data was statistically tested using one-way ANOVA analysis, followed by multiple comparison with LSD</w:t>
      </w:r>
      <w:r w:rsidR="003964DF">
        <w:rPr>
          <w:rFonts w:ascii="Arial" w:hAnsi="Arial" w:cs="Arial"/>
          <w:lang w:val="en"/>
        </w:rPr>
        <w:t>.</w:t>
      </w:r>
      <w:r w:rsidR="00447355">
        <w:rPr>
          <w:rFonts w:ascii="Arial" w:hAnsi="Arial" w:cs="Arial"/>
          <w:lang w:val="en"/>
        </w:rPr>
        <w:t xml:space="preserve"> </w:t>
      </w:r>
      <w:r w:rsidR="00447355" w:rsidRPr="00447355">
        <w:rPr>
          <w:rFonts w:ascii="Arial" w:hAnsi="Arial" w:cs="Arial"/>
        </w:rPr>
        <w:t>Differences were considered to be statistically significant when p &lt; 0.05</w:t>
      </w:r>
      <w:r w:rsidR="00447355">
        <w:rPr>
          <w:rFonts w:ascii="Arial" w:hAnsi="Arial" w:cs="Arial"/>
          <w:lang w:val="en"/>
        </w:rPr>
        <w:t>.</w:t>
      </w:r>
    </w:p>
    <w:p w14:paraId="0E7531DC" w14:textId="77777777" w:rsidR="00447355" w:rsidRDefault="00447355" w:rsidP="00EF5456">
      <w:pPr>
        <w:pStyle w:val="Body"/>
        <w:spacing w:after="0"/>
        <w:rPr>
          <w:rFonts w:ascii="Arial" w:hAnsi="Arial" w:cs="Arial"/>
        </w:rPr>
      </w:pPr>
    </w:p>
    <w:p w14:paraId="4E42DF56" w14:textId="094D4F0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7EECD58" w14:textId="77777777" w:rsidR="00035C9B" w:rsidRDefault="00035C9B" w:rsidP="00441B6F">
      <w:pPr>
        <w:pStyle w:val="Head1"/>
        <w:spacing w:after="0"/>
        <w:jc w:val="both"/>
        <w:rPr>
          <w:rFonts w:ascii="Arial" w:hAnsi="Arial" w:cs="Arial"/>
        </w:rPr>
      </w:pPr>
    </w:p>
    <w:p w14:paraId="723426B7" w14:textId="62571ADD" w:rsidR="00556A85" w:rsidRDefault="00556A85" w:rsidP="00441B6F">
      <w:pPr>
        <w:pStyle w:val="Head1"/>
        <w:spacing w:after="0"/>
        <w:jc w:val="both"/>
        <w:rPr>
          <w:rFonts w:ascii="Arial" w:hAnsi="Arial" w:cs="Arial"/>
          <w:caps w:val="0"/>
        </w:rPr>
      </w:pPr>
      <w:r>
        <w:rPr>
          <w:rFonts w:ascii="Arial" w:hAnsi="Arial" w:cs="Arial"/>
        </w:rPr>
        <w:t xml:space="preserve">3.1 </w:t>
      </w:r>
      <w:r>
        <w:rPr>
          <w:rFonts w:ascii="Arial" w:hAnsi="Arial" w:cs="Arial"/>
          <w:caps w:val="0"/>
        </w:rPr>
        <w:t>Extraction</w:t>
      </w:r>
    </w:p>
    <w:p w14:paraId="77EE012B" w14:textId="77777777" w:rsidR="00556A85" w:rsidRDefault="00556A85" w:rsidP="00441B6F">
      <w:pPr>
        <w:pStyle w:val="Head1"/>
        <w:spacing w:after="0"/>
        <w:jc w:val="both"/>
        <w:rPr>
          <w:rFonts w:ascii="Arial" w:hAnsi="Arial" w:cs="Arial"/>
        </w:rPr>
      </w:pPr>
    </w:p>
    <w:p w14:paraId="371601C3" w14:textId="62494F77" w:rsidR="00035C9B" w:rsidRDefault="00ED2526" w:rsidP="00441B6F">
      <w:pPr>
        <w:pStyle w:val="Body"/>
        <w:spacing w:after="0"/>
        <w:rPr>
          <w:rFonts w:ascii="Arial" w:hAnsi="Arial" w:cs="Arial"/>
        </w:rPr>
      </w:pPr>
      <w:r w:rsidRPr="00ED2526">
        <w:rPr>
          <w:rFonts w:ascii="Arial" w:hAnsi="Arial" w:cs="Arial"/>
        </w:rPr>
        <w:t xml:space="preserve">The extraction yield of </w:t>
      </w:r>
      <w:r w:rsidRPr="00ED2526">
        <w:rPr>
          <w:rFonts w:ascii="Arial" w:hAnsi="Arial" w:cs="Arial"/>
          <w:i/>
          <w:iCs/>
        </w:rPr>
        <w:t>A. marina</w:t>
      </w:r>
      <w:r w:rsidRPr="00ED2526">
        <w:rPr>
          <w:rFonts w:ascii="Arial" w:hAnsi="Arial" w:cs="Arial"/>
        </w:rPr>
        <w:t xml:space="preserve"> fruit obtained by the maceration method is presented in Table 1.</w:t>
      </w:r>
    </w:p>
    <w:p w14:paraId="44503167" w14:textId="77777777" w:rsidR="00ED2526" w:rsidRDefault="00ED2526" w:rsidP="00441B6F">
      <w:pPr>
        <w:pStyle w:val="Body"/>
        <w:spacing w:after="0"/>
        <w:rPr>
          <w:rFonts w:ascii="Arial" w:hAnsi="Arial" w:cs="Arial"/>
        </w:rPr>
      </w:pPr>
    </w:p>
    <w:p w14:paraId="5D57E37A" w14:textId="0DC42DD3" w:rsidR="00035C9B" w:rsidRDefault="00035C9B" w:rsidP="00ED2526">
      <w:pPr>
        <w:tabs>
          <w:tab w:val="left" w:pos="1080"/>
        </w:tabs>
        <w:jc w:val="center"/>
        <w:rPr>
          <w:rFonts w:ascii="Arial" w:hAnsi="Arial"/>
          <w:b/>
        </w:rPr>
      </w:pPr>
      <w:r w:rsidRPr="00035C9B">
        <w:rPr>
          <w:rFonts w:ascii="Arial" w:hAnsi="Arial"/>
          <w:b/>
        </w:rPr>
        <w:t xml:space="preserve">Table 1. Extraction Yield (%) of </w:t>
      </w:r>
      <w:r w:rsidRPr="00035C9B">
        <w:rPr>
          <w:rFonts w:ascii="Arial" w:hAnsi="Arial"/>
          <w:b/>
          <w:i/>
          <w:iCs/>
        </w:rPr>
        <w:t>A. marina</w:t>
      </w:r>
      <w:r w:rsidRPr="00035C9B">
        <w:rPr>
          <w:rFonts w:ascii="Arial" w:hAnsi="Arial"/>
          <w:b/>
        </w:rPr>
        <w:t xml:space="preserve"> Fruit Using the Maceration Method</w:t>
      </w:r>
    </w:p>
    <w:p w14:paraId="0FBEB2A3" w14:textId="77777777" w:rsidR="00035C9B" w:rsidRPr="00DC3180" w:rsidRDefault="00035C9B" w:rsidP="00035C9B">
      <w:pPr>
        <w:tabs>
          <w:tab w:val="left" w:pos="1080"/>
        </w:tabs>
        <w:jc w:val="both"/>
        <w:rPr>
          <w:rFonts w:ascii="Arial" w:hAnsi="Arial"/>
          <w:b/>
        </w:rPr>
      </w:pPr>
    </w:p>
    <w:tbl>
      <w:tblPr>
        <w:tblStyle w:val="TableGrid"/>
        <w:tblW w:w="9130" w:type="dxa"/>
        <w:tblLook w:val="01E0" w:firstRow="1" w:lastRow="1" w:firstColumn="1" w:lastColumn="1" w:noHBand="0" w:noVBand="0"/>
      </w:tblPr>
      <w:tblGrid>
        <w:gridCol w:w="1864"/>
        <w:gridCol w:w="1890"/>
        <w:gridCol w:w="1316"/>
        <w:gridCol w:w="1346"/>
        <w:gridCol w:w="1177"/>
        <w:gridCol w:w="1537"/>
      </w:tblGrid>
      <w:tr w:rsidR="00881B52" w:rsidRPr="00DC3180" w14:paraId="09CCE1A2" w14:textId="77B8EA56" w:rsidTr="00020B60">
        <w:tc>
          <w:tcPr>
            <w:tcW w:w="1864" w:type="dxa"/>
            <w:tcBorders>
              <w:left w:val="single" w:sz="4" w:space="0" w:color="FFFFFF" w:themeColor="background1"/>
              <w:right w:val="single" w:sz="4" w:space="0" w:color="FFFFFF" w:themeColor="background1"/>
            </w:tcBorders>
          </w:tcPr>
          <w:p w14:paraId="21D7DF99" w14:textId="4EDFFFE4" w:rsidR="00881B52" w:rsidRPr="00DC3180" w:rsidRDefault="00881B52" w:rsidP="00697246">
            <w:pPr>
              <w:jc w:val="center"/>
              <w:rPr>
                <w:rFonts w:ascii="Arial" w:hAnsi="Arial"/>
                <w:b/>
                <w:bCs/>
              </w:rPr>
            </w:pPr>
            <w:r>
              <w:rPr>
                <w:rFonts w:ascii="Arial" w:hAnsi="Arial"/>
                <w:b/>
              </w:rPr>
              <w:t>Wet Sample Weight (g)</w:t>
            </w:r>
          </w:p>
        </w:tc>
        <w:tc>
          <w:tcPr>
            <w:tcW w:w="1890" w:type="dxa"/>
            <w:tcBorders>
              <w:left w:val="single" w:sz="4" w:space="0" w:color="FFFFFF" w:themeColor="background1"/>
              <w:right w:val="single" w:sz="4" w:space="0" w:color="FFFFFF" w:themeColor="background1"/>
            </w:tcBorders>
          </w:tcPr>
          <w:p w14:paraId="71A9B5E3" w14:textId="7ABA10B0" w:rsidR="00881B52" w:rsidRPr="00DC3180" w:rsidRDefault="00881B52" w:rsidP="00697246">
            <w:pPr>
              <w:jc w:val="center"/>
              <w:rPr>
                <w:rFonts w:ascii="Arial" w:hAnsi="Arial"/>
                <w:b/>
                <w:bCs/>
              </w:rPr>
            </w:pPr>
            <w:r>
              <w:rPr>
                <w:rFonts w:ascii="Arial" w:hAnsi="Arial"/>
                <w:b/>
                <w:bCs/>
              </w:rPr>
              <w:t>Dried  Powder Weight (g)</w:t>
            </w:r>
          </w:p>
        </w:tc>
        <w:tc>
          <w:tcPr>
            <w:tcW w:w="1316" w:type="dxa"/>
            <w:tcBorders>
              <w:left w:val="single" w:sz="4" w:space="0" w:color="FFFFFF" w:themeColor="background1"/>
              <w:right w:val="single" w:sz="4" w:space="0" w:color="FFFFFF" w:themeColor="background1"/>
            </w:tcBorders>
          </w:tcPr>
          <w:p w14:paraId="10468C63" w14:textId="77777777" w:rsidR="00881B52" w:rsidRDefault="00020B60" w:rsidP="00697246">
            <w:pPr>
              <w:jc w:val="center"/>
              <w:rPr>
                <w:rFonts w:ascii="Arial" w:hAnsi="Arial"/>
                <w:b/>
                <w:bCs/>
              </w:rPr>
            </w:pPr>
            <w:r>
              <w:rPr>
                <w:rFonts w:ascii="Arial" w:hAnsi="Arial"/>
                <w:b/>
                <w:bCs/>
              </w:rPr>
              <w:t>Extract</w:t>
            </w:r>
          </w:p>
          <w:p w14:paraId="29B4A24D" w14:textId="7B29DA5B" w:rsidR="00020B60" w:rsidRDefault="00020B60" w:rsidP="00697246">
            <w:pPr>
              <w:jc w:val="center"/>
              <w:rPr>
                <w:rFonts w:ascii="Arial" w:hAnsi="Arial"/>
                <w:b/>
                <w:bCs/>
              </w:rPr>
            </w:pPr>
            <w:r>
              <w:rPr>
                <w:rFonts w:ascii="Arial" w:hAnsi="Arial"/>
                <w:b/>
                <w:bCs/>
              </w:rPr>
              <w:t>Weight (g)</w:t>
            </w:r>
          </w:p>
        </w:tc>
        <w:tc>
          <w:tcPr>
            <w:tcW w:w="1346" w:type="dxa"/>
            <w:tcBorders>
              <w:left w:val="single" w:sz="4" w:space="0" w:color="FFFFFF" w:themeColor="background1"/>
              <w:right w:val="single" w:sz="4" w:space="0" w:color="FFFFFF" w:themeColor="background1"/>
            </w:tcBorders>
          </w:tcPr>
          <w:p w14:paraId="16B3C658" w14:textId="496102C9" w:rsidR="00881B52" w:rsidRPr="00DC3180" w:rsidRDefault="00881B52" w:rsidP="00697246">
            <w:pPr>
              <w:jc w:val="center"/>
              <w:rPr>
                <w:rFonts w:ascii="Arial" w:hAnsi="Arial"/>
                <w:b/>
                <w:bCs/>
              </w:rPr>
            </w:pPr>
            <w:r>
              <w:rPr>
                <w:rFonts w:ascii="Arial" w:hAnsi="Arial"/>
                <w:b/>
                <w:bCs/>
              </w:rPr>
              <w:t>Yield (%)</w:t>
            </w:r>
          </w:p>
        </w:tc>
        <w:tc>
          <w:tcPr>
            <w:tcW w:w="1177" w:type="dxa"/>
            <w:tcBorders>
              <w:left w:val="single" w:sz="4" w:space="0" w:color="FFFFFF" w:themeColor="background1"/>
              <w:right w:val="single" w:sz="4" w:space="0" w:color="FFFFFF" w:themeColor="background1"/>
            </w:tcBorders>
          </w:tcPr>
          <w:p w14:paraId="2DE8B3A3" w14:textId="5318A413" w:rsidR="00881B52" w:rsidRDefault="00881B52" w:rsidP="00697246">
            <w:pPr>
              <w:jc w:val="center"/>
              <w:rPr>
                <w:rFonts w:ascii="Arial" w:hAnsi="Arial"/>
                <w:b/>
                <w:bCs/>
              </w:rPr>
            </w:pPr>
            <w:r>
              <w:rPr>
                <w:rFonts w:ascii="Arial" w:hAnsi="Arial"/>
                <w:b/>
                <w:bCs/>
              </w:rPr>
              <w:t>Color</w:t>
            </w:r>
          </w:p>
        </w:tc>
        <w:tc>
          <w:tcPr>
            <w:tcW w:w="1537" w:type="dxa"/>
            <w:tcBorders>
              <w:left w:val="single" w:sz="4" w:space="0" w:color="FFFFFF" w:themeColor="background1"/>
              <w:right w:val="single" w:sz="4" w:space="0" w:color="FFFFFF" w:themeColor="background1"/>
            </w:tcBorders>
          </w:tcPr>
          <w:p w14:paraId="0C02CE72" w14:textId="2DEC23DF" w:rsidR="00881B52" w:rsidRDefault="00881B52" w:rsidP="00697246">
            <w:pPr>
              <w:jc w:val="center"/>
              <w:rPr>
                <w:rFonts w:ascii="Arial" w:hAnsi="Arial"/>
                <w:b/>
                <w:bCs/>
              </w:rPr>
            </w:pPr>
            <w:r>
              <w:rPr>
                <w:rFonts w:ascii="Arial" w:hAnsi="Arial"/>
                <w:b/>
                <w:bCs/>
              </w:rPr>
              <w:t>Consistency</w:t>
            </w:r>
          </w:p>
        </w:tc>
      </w:tr>
      <w:tr w:rsidR="00881B52" w:rsidRPr="00DC3180" w14:paraId="397781EC" w14:textId="62B69FCA" w:rsidTr="00020B60">
        <w:trPr>
          <w:trHeight w:val="433"/>
          <w:hidden/>
        </w:trPr>
        <w:tc>
          <w:tcPr>
            <w:tcW w:w="1864" w:type="dxa"/>
            <w:tcBorders>
              <w:left w:val="single" w:sz="4" w:space="0" w:color="FFFFFF" w:themeColor="background1"/>
              <w:right w:val="single" w:sz="4" w:space="0" w:color="FFFFFF" w:themeColor="background1"/>
            </w:tcBorders>
            <w:vAlign w:val="center"/>
          </w:tcPr>
          <w:p w14:paraId="13F8B828" w14:textId="77777777" w:rsidR="00881B52" w:rsidRPr="00D678F7" w:rsidRDefault="00881B52" w:rsidP="00FD618C">
            <w:pPr>
              <w:jc w:val="center"/>
              <w:rPr>
                <w:rFonts w:ascii="Arial" w:hAnsi="Arial"/>
                <w:vanish/>
                <w:sz w:val="20"/>
                <w:szCs w:val="20"/>
              </w:rPr>
            </w:pPr>
          </w:p>
          <w:p w14:paraId="3D8E0756" w14:textId="00D20DB7" w:rsidR="00881B52" w:rsidRPr="00D678F7" w:rsidRDefault="00881B52" w:rsidP="00FD618C">
            <w:pPr>
              <w:jc w:val="center"/>
              <w:rPr>
                <w:rFonts w:ascii="Arial" w:hAnsi="Arial"/>
                <w:sz w:val="20"/>
                <w:szCs w:val="20"/>
              </w:rPr>
            </w:pPr>
            <w:r w:rsidRPr="00D678F7">
              <w:rPr>
                <w:rFonts w:ascii="Arial" w:hAnsi="Arial"/>
                <w:sz w:val="20"/>
                <w:szCs w:val="20"/>
              </w:rPr>
              <w:t>10.000</w:t>
            </w:r>
          </w:p>
        </w:tc>
        <w:tc>
          <w:tcPr>
            <w:tcW w:w="1890" w:type="dxa"/>
            <w:tcBorders>
              <w:left w:val="single" w:sz="4" w:space="0" w:color="FFFFFF" w:themeColor="background1"/>
              <w:right w:val="single" w:sz="4" w:space="0" w:color="FFFFFF" w:themeColor="background1"/>
            </w:tcBorders>
            <w:vAlign w:val="center"/>
          </w:tcPr>
          <w:p w14:paraId="15969174" w14:textId="6472CEFE" w:rsidR="00881B52" w:rsidRPr="00D678F7" w:rsidRDefault="00881B52" w:rsidP="00FD618C">
            <w:pPr>
              <w:jc w:val="center"/>
              <w:rPr>
                <w:rFonts w:ascii="Arial" w:hAnsi="Arial"/>
                <w:sz w:val="20"/>
                <w:szCs w:val="20"/>
              </w:rPr>
            </w:pPr>
            <w:r w:rsidRPr="00D678F7">
              <w:rPr>
                <w:rFonts w:ascii="Arial" w:hAnsi="Arial"/>
                <w:sz w:val="20"/>
                <w:szCs w:val="20"/>
              </w:rPr>
              <w:t>1326,3</w:t>
            </w:r>
          </w:p>
        </w:tc>
        <w:tc>
          <w:tcPr>
            <w:tcW w:w="1316" w:type="dxa"/>
            <w:tcBorders>
              <w:left w:val="single" w:sz="4" w:space="0" w:color="FFFFFF" w:themeColor="background1"/>
              <w:right w:val="single" w:sz="4" w:space="0" w:color="FFFFFF" w:themeColor="background1"/>
            </w:tcBorders>
            <w:vAlign w:val="center"/>
          </w:tcPr>
          <w:p w14:paraId="081BFDC6" w14:textId="770DC7FF" w:rsidR="00881B52" w:rsidRPr="00020B60" w:rsidRDefault="00020B60" w:rsidP="00020B60">
            <w:pPr>
              <w:jc w:val="center"/>
              <w:rPr>
                <w:rFonts w:ascii="Arial" w:hAnsi="Arial" w:cs="Arial"/>
                <w:sz w:val="20"/>
                <w:szCs w:val="20"/>
              </w:rPr>
            </w:pPr>
            <w:r w:rsidRPr="00020B60">
              <w:rPr>
                <w:rFonts w:ascii="Arial" w:hAnsi="Arial" w:cs="Arial"/>
                <w:sz w:val="20"/>
                <w:szCs w:val="20"/>
              </w:rPr>
              <w:t>609,83</w:t>
            </w:r>
          </w:p>
        </w:tc>
        <w:tc>
          <w:tcPr>
            <w:tcW w:w="1346" w:type="dxa"/>
            <w:tcBorders>
              <w:left w:val="single" w:sz="4" w:space="0" w:color="FFFFFF" w:themeColor="background1"/>
              <w:right w:val="single" w:sz="4" w:space="0" w:color="FFFFFF" w:themeColor="background1"/>
            </w:tcBorders>
            <w:vAlign w:val="center"/>
          </w:tcPr>
          <w:p w14:paraId="4C56D007" w14:textId="11C3302E" w:rsidR="00881B52" w:rsidRPr="00697246" w:rsidRDefault="00881B52" w:rsidP="00FD618C">
            <w:pPr>
              <w:jc w:val="center"/>
              <w:rPr>
                <w:rFonts w:ascii="Arial" w:hAnsi="Arial"/>
                <w:b/>
                <w:bCs/>
                <w:sz w:val="20"/>
                <w:szCs w:val="20"/>
              </w:rPr>
            </w:pPr>
            <w:r w:rsidRPr="00697246">
              <w:rPr>
                <w:rFonts w:ascii="Arial" w:hAnsi="Arial" w:cs="Arial"/>
                <w:sz w:val="20"/>
                <w:szCs w:val="20"/>
              </w:rPr>
              <w:t>45,98%</w:t>
            </w:r>
          </w:p>
        </w:tc>
        <w:tc>
          <w:tcPr>
            <w:tcW w:w="1177" w:type="dxa"/>
            <w:tcBorders>
              <w:left w:val="single" w:sz="4" w:space="0" w:color="FFFFFF" w:themeColor="background1"/>
              <w:right w:val="single" w:sz="4" w:space="0" w:color="FFFFFF" w:themeColor="background1"/>
            </w:tcBorders>
            <w:vAlign w:val="center"/>
          </w:tcPr>
          <w:p w14:paraId="602B385E" w14:textId="3A977AF8" w:rsidR="00881B52" w:rsidRPr="00697246" w:rsidRDefault="00881B52" w:rsidP="00FD618C">
            <w:pPr>
              <w:jc w:val="center"/>
              <w:rPr>
                <w:rFonts w:ascii="Arial" w:hAnsi="Arial" w:cs="Arial"/>
                <w:sz w:val="20"/>
                <w:szCs w:val="20"/>
              </w:rPr>
            </w:pPr>
            <w:r w:rsidRPr="00697246">
              <w:rPr>
                <w:rFonts w:ascii="Arial" w:hAnsi="Arial" w:cs="Arial"/>
                <w:sz w:val="20"/>
                <w:szCs w:val="20"/>
              </w:rPr>
              <w:t>Dark Green</w:t>
            </w:r>
          </w:p>
        </w:tc>
        <w:tc>
          <w:tcPr>
            <w:tcW w:w="1537" w:type="dxa"/>
            <w:tcBorders>
              <w:left w:val="single" w:sz="4" w:space="0" w:color="FFFFFF" w:themeColor="background1"/>
              <w:right w:val="single" w:sz="4" w:space="0" w:color="FFFFFF" w:themeColor="background1"/>
            </w:tcBorders>
            <w:vAlign w:val="center"/>
          </w:tcPr>
          <w:p w14:paraId="131CE0F3" w14:textId="17D48FBD" w:rsidR="00881B52" w:rsidRPr="00697246" w:rsidRDefault="00881B52" w:rsidP="00FD618C">
            <w:pPr>
              <w:jc w:val="center"/>
              <w:rPr>
                <w:rFonts w:ascii="Arial" w:hAnsi="Arial" w:cs="Arial"/>
                <w:sz w:val="20"/>
                <w:szCs w:val="20"/>
              </w:rPr>
            </w:pPr>
            <w:r w:rsidRPr="00697246">
              <w:rPr>
                <w:rFonts w:ascii="Arial" w:hAnsi="Arial" w:cs="Arial"/>
                <w:sz w:val="20"/>
                <w:szCs w:val="20"/>
              </w:rPr>
              <w:t>Semi Solid</w:t>
            </w:r>
          </w:p>
        </w:tc>
      </w:tr>
    </w:tbl>
    <w:p w14:paraId="39437C09" w14:textId="77777777" w:rsidR="00035C9B" w:rsidRDefault="00035C9B" w:rsidP="00441B6F">
      <w:pPr>
        <w:pStyle w:val="Body"/>
        <w:spacing w:after="0"/>
        <w:rPr>
          <w:rFonts w:ascii="Arial" w:hAnsi="Arial" w:cs="Arial"/>
        </w:rPr>
      </w:pPr>
    </w:p>
    <w:p w14:paraId="3753B3DF" w14:textId="28C3FCDD" w:rsidR="00E7657E" w:rsidRPr="00556A85" w:rsidRDefault="00E7657E" w:rsidP="00E7657E">
      <w:pPr>
        <w:pStyle w:val="Head1"/>
        <w:spacing w:after="0"/>
        <w:jc w:val="both"/>
        <w:rPr>
          <w:rFonts w:ascii="Arial" w:hAnsi="Arial" w:cs="Arial"/>
          <w:szCs w:val="22"/>
        </w:rPr>
      </w:pPr>
      <w:r w:rsidRPr="00556A85">
        <w:rPr>
          <w:rFonts w:ascii="Arial" w:hAnsi="Arial" w:cs="Arial"/>
          <w:szCs w:val="22"/>
        </w:rPr>
        <w:t xml:space="preserve">3.2 </w:t>
      </w:r>
      <w:r w:rsidR="00ED2526" w:rsidRPr="00556A85">
        <w:rPr>
          <w:rFonts w:ascii="Arial" w:hAnsi="Arial" w:cs="Arial"/>
          <w:caps w:val="0"/>
          <w:szCs w:val="22"/>
        </w:rPr>
        <w:t xml:space="preserve">Phytochemical </w:t>
      </w:r>
      <w:r w:rsidR="00556A85" w:rsidRPr="00556A85">
        <w:rPr>
          <w:rFonts w:ascii="Arial" w:hAnsi="Arial" w:cs="Arial"/>
          <w:caps w:val="0"/>
          <w:szCs w:val="22"/>
        </w:rPr>
        <w:t xml:space="preserve">Screening </w:t>
      </w:r>
    </w:p>
    <w:p w14:paraId="1BCF68F1" w14:textId="77777777" w:rsidR="00035C9B" w:rsidRDefault="00035C9B" w:rsidP="00441B6F">
      <w:pPr>
        <w:pStyle w:val="Body"/>
        <w:spacing w:after="0"/>
        <w:rPr>
          <w:rFonts w:ascii="Arial" w:hAnsi="Arial" w:cs="Arial"/>
        </w:rPr>
      </w:pPr>
    </w:p>
    <w:p w14:paraId="2C9191A2" w14:textId="2576CB20" w:rsidR="00556A85" w:rsidRDefault="00ED2526" w:rsidP="00441B6F">
      <w:pPr>
        <w:pStyle w:val="Body"/>
        <w:spacing w:after="0"/>
        <w:rPr>
          <w:rFonts w:ascii="Arial" w:hAnsi="Arial" w:cs="Arial"/>
        </w:rPr>
      </w:pPr>
      <w:r w:rsidRPr="00ED2526">
        <w:rPr>
          <w:rFonts w:ascii="Arial" w:hAnsi="Arial" w:cs="Arial"/>
        </w:rPr>
        <w:t xml:space="preserve">The phytochemical constituents of the ethanol extract of </w:t>
      </w:r>
      <w:r w:rsidRPr="00ED2526">
        <w:rPr>
          <w:rFonts w:ascii="Arial" w:hAnsi="Arial" w:cs="Arial"/>
          <w:i/>
          <w:iCs/>
        </w:rPr>
        <w:t>A. marina</w:t>
      </w:r>
      <w:r w:rsidRPr="00ED2526">
        <w:rPr>
          <w:rFonts w:ascii="Arial" w:hAnsi="Arial" w:cs="Arial"/>
        </w:rPr>
        <w:t xml:space="preserve"> fruit (EEAF) are presented in Table 2. The results indicate the presence of flavonoids, alkaloids, and triterpenoids. The thin-layer chromatography (TLC) chromatograms of the EEAF are shown in Figure 1.</w:t>
      </w:r>
      <w:r>
        <w:rPr>
          <w:rFonts w:ascii="Arial" w:hAnsi="Arial" w:cs="Arial"/>
        </w:rPr>
        <w:t xml:space="preserve"> </w:t>
      </w:r>
    </w:p>
    <w:p w14:paraId="2F711769" w14:textId="77777777" w:rsidR="00556A85" w:rsidRDefault="00556A85" w:rsidP="00441B6F">
      <w:pPr>
        <w:pStyle w:val="Body"/>
        <w:spacing w:after="0"/>
        <w:rPr>
          <w:rFonts w:ascii="Arial" w:hAnsi="Arial" w:cs="Arial"/>
        </w:rPr>
      </w:pPr>
    </w:p>
    <w:p w14:paraId="7891DE9B" w14:textId="77777777" w:rsidR="006742E9" w:rsidRDefault="006742E9" w:rsidP="00441B6F">
      <w:pPr>
        <w:pStyle w:val="Body"/>
        <w:spacing w:after="0"/>
        <w:rPr>
          <w:rFonts w:ascii="Arial" w:hAnsi="Arial" w:cs="Arial"/>
        </w:rPr>
      </w:pPr>
    </w:p>
    <w:p w14:paraId="56866593" w14:textId="77777777" w:rsidR="006742E9" w:rsidRDefault="006742E9" w:rsidP="00441B6F">
      <w:pPr>
        <w:pStyle w:val="Body"/>
        <w:spacing w:after="0"/>
        <w:rPr>
          <w:rFonts w:ascii="Arial" w:hAnsi="Arial" w:cs="Arial"/>
        </w:rPr>
      </w:pPr>
    </w:p>
    <w:p w14:paraId="266C4FA3" w14:textId="77777777" w:rsidR="006742E9" w:rsidRDefault="006742E9" w:rsidP="00441B6F">
      <w:pPr>
        <w:pStyle w:val="Body"/>
        <w:spacing w:after="0"/>
        <w:rPr>
          <w:rFonts w:ascii="Arial" w:hAnsi="Arial" w:cs="Arial"/>
        </w:rPr>
      </w:pPr>
    </w:p>
    <w:p w14:paraId="118987E2" w14:textId="77777777" w:rsidR="006742E9" w:rsidRDefault="006742E9" w:rsidP="00441B6F">
      <w:pPr>
        <w:pStyle w:val="Body"/>
        <w:spacing w:after="0"/>
        <w:rPr>
          <w:rFonts w:ascii="Arial" w:hAnsi="Arial" w:cs="Arial"/>
        </w:rPr>
      </w:pPr>
    </w:p>
    <w:p w14:paraId="6C871C6F" w14:textId="77777777" w:rsidR="006742E9" w:rsidRDefault="006742E9" w:rsidP="00441B6F">
      <w:pPr>
        <w:pStyle w:val="Body"/>
        <w:spacing w:after="0"/>
        <w:rPr>
          <w:rFonts w:ascii="Arial" w:hAnsi="Arial" w:cs="Arial"/>
        </w:rPr>
      </w:pPr>
    </w:p>
    <w:p w14:paraId="1672CEBA" w14:textId="5C9E2B6F" w:rsidR="009B2B3F" w:rsidRDefault="009B2B3F" w:rsidP="003964DF">
      <w:pPr>
        <w:pStyle w:val="Body"/>
        <w:spacing w:after="0"/>
        <w:ind w:left="851" w:hanging="851"/>
        <w:jc w:val="center"/>
        <w:rPr>
          <w:rFonts w:ascii="Arial" w:hAnsi="Arial" w:cs="Arial"/>
          <w:b/>
          <w:bCs/>
        </w:rPr>
      </w:pPr>
      <w:r w:rsidRPr="009B2B3F">
        <w:rPr>
          <w:rFonts w:ascii="Arial" w:hAnsi="Arial" w:cs="Arial"/>
          <w:b/>
          <w:bCs/>
        </w:rPr>
        <w:lastRenderedPageBreak/>
        <w:t xml:space="preserve">Table 2. Presence of Flavonoids, Alkaloids, and Triterpenoids in </w:t>
      </w:r>
      <w:r w:rsidR="0016167E">
        <w:rPr>
          <w:rFonts w:ascii="Arial" w:hAnsi="Arial" w:cs="Arial"/>
          <w:b/>
          <w:bCs/>
        </w:rPr>
        <w:t>EEAF</w:t>
      </w:r>
    </w:p>
    <w:p w14:paraId="27AA6698" w14:textId="77777777" w:rsidR="009B2B3F" w:rsidRPr="009B2B3F" w:rsidRDefault="009B2B3F" w:rsidP="009B2B3F">
      <w:pPr>
        <w:pStyle w:val="Body"/>
        <w:spacing w:after="0"/>
        <w:ind w:left="851" w:hanging="851"/>
        <w:rPr>
          <w:rFonts w:ascii="Arial" w:hAnsi="Arial" w:cs="Arial"/>
        </w:rPr>
      </w:pPr>
    </w:p>
    <w:tbl>
      <w:tblPr>
        <w:tblStyle w:val="PlainTable2"/>
        <w:tblW w:w="8178" w:type="dxa"/>
        <w:tblInd w:w="108" w:type="dxa"/>
        <w:tblLayout w:type="fixed"/>
        <w:tblLook w:val="01E0" w:firstRow="1" w:lastRow="1" w:firstColumn="1" w:lastColumn="1" w:noHBand="0" w:noVBand="0"/>
      </w:tblPr>
      <w:tblGrid>
        <w:gridCol w:w="3240"/>
        <w:gridCol w:w="3520"/>
        <w:gridCol w:w="1418"/>
      </w:tblGrid>
      <w:tr w:rsidR="00697246" w:rsidRPr="00DC3180" w14:paraId="2A1BBC3E" w14:textId="77777777" w:rsidTr="00396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FFFFFF"/>
              <w:right w:val="single" w:sz="4" w:space="0" w:color="FFFFFF"/>
            </w:tcBorders>
            <w:vAlign w:val="center"/>
          </w:tcPr>
          <w:p w14:paraId="149BDDB0" w14:textId="41EE2DD0" w:rsidR="00697246" w:rsidRPr="00697246" w:rsidRDefault="00697246" w:rsidP="009B2B3F">
            <w:pPr>
              <w:jc w:val="center"/>
              <w:rPr>
                <w:rFonts w:ascii="Arial" w:hAnsi="Arial"/>
                <w:bCs w:val="0"/>
                <w:sz w:val="22"/>
                <w:szCs w:val="22"/>
              </w:rPr>
            </w:pPr>
            <w:r w:rsidRPr="00697246">
              <w:rPr>
                <w:rFonts w:ascii="Arial" w:hAnsi="Arial"/>
                <w:bCs w:val="0"/>
                <w:sz w:val="22"/>
                <w:szCs w:val="22"/>
              </w:rPr>
              <w:t>Phytochemical Compound</w:t>
            </w:r>
          </w:p>
        </w:tc>
        <w:tc>
          <w:tcPr>
            <w:cnfStyle w:val="000010000000" w:firstRow="0" w:lastRow="0" w:firstColumn="0" w:lastColumn="0" w:oddVBand="1" w:evenVBand="0" w:oddHBand="0" w:evenHBand="0" w:firstRowFirstColumn="0" w:firstRowLastColumn="0" w:lastRowFirstColumn="0" w:lastRowLastColumn="0"/>
            <w:tcW w:w="3520" w:type="dxa"/>
            <w:tcBorders>
              <w:left w:val="single" w:sz="4" w:space="0" w:color="FFFFFF"/>
              <w:right w:val="single" w:sz="4" w:space="0" w:color="FFFFFF"/>
            </w:tcBorders>
            <w:vAlign w:val="center"/>
          </w:tcPr>
          <w:p w14:paraId="3A94561F" w14:textId="55DD326A" w:rsidR="00697246" w:rsidRPr="00697246" w:rsidRDefault="00697246" w:rsidP="00697246">
            <w:pPr>
              <w:jc w:val="center"/>
              <w:rPr>
                <w:rFonts w:ascii="Arial" w:hAnsi="Arial"/>
                <w:bCs w:val="0"/>
                <w:sz w:val="22"/>
                <w:szCs w:val="22"/>
              </w:rPr>
            </w:pPr>
            <w:r w:rsidRPr="00697246">
              <w:rPr>
                <w:rFonts w:ascii="Arial" w:hAnsi="Arial"/>
                <w:bCs w:val="0"/>
                <w:sz w:val="22"/>
                <w:szCs w:val="22"/>
              </w:rPr>
              <w:t>Test Method / Reagent</w:t>
            </w:r>
          </w:p>
        </w:tc>
        <w:tc>
          <w:tcPr>
            <w:cnfStyle w:val="000100000000" w:firstRow="0" w:lastRow="0" w:firstColumn="0" w:lastColumn="1" w:oddVBand="0" w:evenVBand="0" w:oddHBand="0" w:evenHBand="0" w:firstRowFirstColumn="0" w:firstRowLastColumn="0" w:lastRowFirstColumn="0" w:lastRowLastColumn="0"/>
            <w:tcW w:w="1418" w:type="dxa"/>
            <w:tcBorders>
              <w:left w:val="single" w:sz="4" w:space="0" w:color="FFFFFF"/>
              <w:right w:val="single" w:sz="4" w:space="0" w:color="FFFFFF"/>
            </w:tcBorders>
            <w:vAlign w:val="center"/>
          </w:tcPr>
          <w:p w14:paraId="67B8AB0A" w14:textId="432D9D4A" w:rsidR="00697246" w:rsidRPr="00697246" w:rsidRDefault="00697246" w:rsidP="00697246">
            <w:pPr>
              <w:jc w:val="center"/>
              <w:rPr>
                <w:rFonts w:ascii="Arial" w:hAnsi="Arial"/>
                <w:bCs w:val="0"/>
                <w:sz w:val="22"/>
                <w:szCs w:val="22"/>
              </w:rPr>
            </w:pPr>
            <w:r w:rsidRPr="00697246">
              <w:rPr>
                <w:rFonts w:ascii="Arial" w:hAnsi="Arial"/>
                <w:bCs w:val="0"/>
                <w:sz w:val="22"/>
                <w:szCs w:val="22"/>
              </w:rPr>
              <w:t>Result</w:t>
            </w:r>
          </w:p>
        </w:tc>
      </w:tr>
      <w:tr w:rsidR="00697246" w:rsidRPr="00DC3180" w14:paraId="34195E0C" w14:textId="77777777" w:rsidTr="003964DF">
        <w:trPr>
          <w:cnfStyle w:val="000000100000" w:firstRow="0" w:lastRow="0" w:firstColumn="0" w:lastColumn="0" w:oddVBand="0" w:evenVBand="0" w:oddHBand="1" w:evenHBand="0" w:firstRowFirstColumn="0" w:firstRowLastColumn="0" w:lastRowFirstColumn="0" w:lastRowLastColumn="0"/>
          <w:trHeight w:val="433"/>
          <w:hidden/>
        </w:trPr>
        <w:tc>
          <w:tcPr>
            <w:cnfStyle w:val="001000000000" w:firstRow="0" w:lastRow="0" w:firstColumn="1" w:lastColumn="0" w:oddVBand="0" w:evenVBand="0" w:oddHBand="0" w:evenHBand="0" w:firstRowFirstColumn="0" w:firstRowLastColumn="0" w:lastRowFirstColumn="0" w:lastRowLastColumn="0"/>
            <w:tcW w:w="3240" w:type="dxa"/>
            <w:tcBorders>
              <w:left w:val="single" w:sz="4" w:space="0" w:color="FFFFFF"/>
              <w:bottom w:val="single" w:sz="4" w:space="0" w:color="FFFFFF"/>
              <w:right w:val="single" w:sz="4" w:space="0" w:color="FFFFFF"/>
            </w:tcBorders>
            <w:vAlign w:val="center"/>
          </w:tcPr>
          <w:p w14:paraId="05116713" w14:textId="77777777" w:rsidR="00697246" w:rsidRPr="00697246" w:rsidRDefault="00697246" w:rsidP="003964DF">
            <w:pPr>
              <w:rPr>
                <w:rFonts w:ascii="Arial" w:hAnsi="Arial"/>
                <w:b w:val="0"/>
                <w:bCs w:val="0"/>
                <w:vanish/>
              </w:rPr>
            </w:pPr>
          </w:p>
          <w:p w14:paraId="07AC017F" w14:textId="322B7F6B" w:rsidR="00697246" w:rsidRPr="00697246" w:rsidRDefault="00697246" w:rsidP="003964DF">
            <w:pPr>
              <w:rPr>
                <w:rFonts w:ascii="Arial" w:hAnsi="Arial"/>
                <w:b w:val="0"/>
                <w:bCs w:val="0"/>
              </w:rPr>
            </w:pPr>
            <w:r w:rsidRPr="00697246">
              <w:rPr>
                <w:rFonts w:ascii="Arial" w:hAnsi="Arial"/>
                <w:b w:val="0"/>
                <w:bCs w:val="0"/>
              </w:rPr>
              <w:t>Flavonoid</w:t>
            </w:r>
          </w:p>
        </w:tc>
        <w:tc>
          <w:tcPr>
            <w:cnfStyle w:val="000010000000" w:firstRow="0" w:lastRow="0" w:firstColumn="0" w:lastColumn="0" w:oddVBand="1" w:evenVBand="0" w:oddHBand="0" w:evenHBand="0" w:firstRowFirstColumn="0" w:firstRowLastColumn="0" w:lastRowFirstColumn="0" w:lastRowLastColumn="0"/>
            <w:tcW w:w="3520" w:type="dxa"/>
            <w:tcBorders>
              <w:left w:val="single" w:sz="4" w:space="0" w:color="FFFFFF"/>
              <w:bottom w:val="single" w:sz="4" w:space="0" w:color="FFFFFF"/>
              <w:right w:val="single" w:sz="4" w:space="0" w:color="FFFFFF"/>
            </w:tcBorders>
          </w:tcPr>
          <w:p w14:paraId="6CC22473" w14:textId="41325386" w:rsidR="00697246" w:rsidRPr="00697246" w:rsidRDefault="00697246" w:rsidP="000D511E">
            <w:pPr>
              <w:jc w:val="both"/>
              <w:rPr>
                <w:rFonts w:ascii="Arial" w:hAnsi="Arial"/>
              </w:rPr>
            </w:pPr>
            <w:r w:rsidRPr="00697246">
              <w:rPr>
                <w:rFonts w:ascii="Arial" w:hAnsi="Arial"/>
              </w:rPr>
              <w:t>Shinoda test (Mg + HCl)</w:t>
            </w:r>
          </w:p>
        </w:tc>
        <w:tc>
          <w:tcPr>
            <w:cnfStyle w:val="000100000000" w:firstRow="0" w:lastRow="0" w:firstColumn="0" w:lastColumn="1" w:oddVBand="0" w:evenVBand="0" w:oddHBand="0" w:evenHBand="0" w:firstRowFirstColumn="0" w:firstRowLastColumn="0" w:lastRowFirstColumn="0" w:lastRowLastColumn="0"/>
            <w:tcW w:w="1418" w:type="dxa"/>
            <w:tcBorders>
              <w:left w:val="single" w:sz="4" w:space="0" w:color="FFFFFF"/>
              <w:bottom w:val="single" w:sz="4" w:space="0" w:color="FFFFFF"/>
              <w:right w:val="single" w:sz="4" w:space="0" w:color="FFFFFF"/>
            </w:tcBorders>
            <w:vAlign w:val="center"/>
          </w:tcPr>
          <w:p w14:paraId="6EFD3C45" w14:textId="7110C3FF" w:rsidR="00697246" w:rsidRPr="00697246" w:rsidRDefault="00697246" w:rsidP="009B2B3F">
            <w:pPr>
              <w:jc w:val="center"/>
              <w:rPr>
                <w:rFonts w:ascii="Arial" w:hAnsi="Arial"/>
                <w:b w:val="0"/>
                <w:bCs w:val="0"/>
              </w:rPr>
            </w:pPr>
            <w:r w:rsidRPr="00697246">
              <w:rPr>
                <w:rFonts w:ascii="Arial" w:hAnsi="Arial" w:cs="Arial"/>
                <w:b w:val="0"/>
                <w:bCs w:val="0"/>
              </w:rPr>
              <w:t>+</w:t>
            </w:r>
          </w:p>
        </w:tc>
      </w:tr>
      <w:tr w:rsidR="009B2B3F" w:rsidRPr="00DC3180" w14:paraId="3A52591A" w14:textId="77777777" w:rsidTr="003964DF">
        <w:trPr>
          <w:trHeight w:val="433"/>
        </w:trPr>
        <w:tc>
          <w:tcPr>
            <w:cnfStyle w:val="001000000000" w:firstRow="0" w:lastRow="0" w:firstColumn="1" w:lastColumn="0" w:oddVBand="0" w:evenVBand="0" w:oddHBand="0" w:evenHBand="0" w:firstRowFirstColumn="0" w:firstRowLastColumn="0" w:lastRowFirstColumn="0" w:lastRowLastColumn="0"/>
            <w:tcW w:w="3240" w:type="dxa"/>
            <w:vMerge w:val="restart"/>
            <w:tcBorders>
              <w:top w:val="single" w:sz="4" w:space="0" w:color="FFFFFF"/>
              <w:left w:val="single" w:sz="4" w:space="0" w:color="FFFFFF"/>
              <w:right w:val="single" w:sz="4" w:space="0" w:color="FFFFFF"/>
            </w:tcBorders>
            <w:vAlign w:val="center"/>
          </w:tcPr>
          <w:p w14:paraId="54D8CA58" w14:textId="06A3407C" w:rsidR="009B2B3F" w:rsidRPr="00697246" w:rsidRDefault="009B2B3F" w:rsidP="003964DF">
            <w:pPr>
              <w:rPr>
                <w:rFonts w:ascii="Arial" w:hAnsi="Arial"/>
                <w:b w:val="0"/>
                <w:bCs w:val="0"/>
                <w:vanish/>
              </w:rPr>
            </w:pPr>
            <w:r w:rsidRPr="00697246">
              <w:rPr>
                <w:rFonts w:ascii="Arial" w:hAnsi="Arial"/>
                <w:b w:val="0"/>
                <w:bCs w:val="0"/>
              </w:rPr>
              <w:t>Alkaloid</w:t>
            </w:r>
          </w:p>
        </w:tc>
        <w:tc>
          <w:tcPr>
            <w:cnfStyle w:val="000010000000" w:firstRow="0" w:lastRow="0" w:firstColumn="0" w:lastColumn="0" w:oddVBand="1" w:evenVBand="0" w:oddHBand="0" w:evenHBand="0" w:firstRowFirstColumn="0" w:firstRowLastColumn="0" w:lastRowFirstColumn="0" w:lastRowLastColumn="0"/>
            <w:tcW w:w="3520" w:type="dxa"/>
            <w:tcBorders>
              <w:top w:val="single" w:sz="4" w:space="0" w:color="FFFFFF"/>
              <w:left w:val="single" w:sz="4" w:space="0" w:color="FFFFFF"/>
              <w:bottom w:val="single" w:sz="4" w:space="0" w:color="FFFFFF"/>
              <w:right w:val="single" w:sz="4" w:space="0" w:color="FFFFFF"/>
            </w:tcBorders>
          </w:tcPr>
          <w:p w14:paraId="1BD784B0" w14:textId="11972AF4" w:rsidR="009B2B3F" w:rsidRPr="00697246" w:rsidRDefault="009B2B3F" w:rsidP="000D511E">
            <w:pPr>
              <w:jc w:val="both"/>
              <w:rPr>
                <w:rFonts w:ascii="Arial" w:hAnsi="Arial"/>
              </w:rPr>
            </w:pPr>
            <w:r w:rsidRPr="00697246">
              <w:rPr>
                <w:rFonts w:ascii="Arial" w:hAnsi="Arial"/>
              </w:rPr>
              <w:t>Mayer</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FFFFFF"/>
              <w:left w:val="single" w:sz="4" w:space="0" w:color="FFFFFF"/>
              <w:bottom w:val="single" w:sz="4" w:space="0" w:color="FFFFFF"/>
              <w:right w:val="single" w:sz="4" w:space="0" w:color="FFFFFF"/>
            </w:tcBorders>
            <w:vAlign w:val="center"/>
          </w:tcPr>
          <w:p w14:paraId="360A0AF0" w14:textId="4FEAE4D7" w:rsidR="009B2B3F" w:rsidRPr="00697246" w:rsidRDefault="009B2B3F" w:rsidP="009B2B3F">
            <w:pPr>
              <w:jc w:val="center"/>
              <w:rPr>
                <w:rFonts w:ascii="Arial" w:hAnsi="Arial" w:cs="Arial"/>
                <w:b w:val="0"/>
                <w:bCs w:val="0"/>
              </w:rPr>
            </w:pPr>
            <w:r w:rsidRPr="00697246">
              <w:rPr>
                <w:rFonts w:ascii="Arial" w:hAnsi="Arial" w:cs="Arial"/>
                <w:b w:val="0"/>
                <w:bCs w:val="0"/>
              </w:rPr>
              <w:t>+</w:t>
            </w:r>
          </w:p>
        </w:tc>
      </w:tr>
      <w:tr w:rsidR="009B2B3F" w:rsidRPr="00DC3180" w14:paraId="59C194ED" w14:textId="77777777" w:rsidTr="003964DF">
        <w:trPr>
          <w:cnfStyle w:val="000000100000" w:firstRow="0" w:lastRow="0" w:firstColumn="0" w:lastColumn="0" w:oddVBand="0" w:evenVBand="0" w:oddHBand="1" w:evenHBand="0" w:firstRowFirstColumn="0" w:firstRowLastColumn="0" w:lastRowFirstColumn="0" w:lastRowLastColumn="0"/>
          <w:trHeight w:val="433"/>
          <w:hidden/>
        </w:trPr>
        <w:tc>
          <w:tcPr>
            <w:cnfStyle w:val="001000000000" w:firstRow="0" w:lastRow="0" w:firstColumn="1" w:lastColumn="0" w:oddVBand="0" w:evenVBand="0" w:oddHBand="0" w:evenHBand="0" w:firstRowFirstColumn="0" w:firstRowLastColumn="0" w:lastRowFirstColumn="0" w:lastRowLastColumn="0"/>
            <w:tcW w:w="3240" w:type="dxa"/>
            <w:vMerge/>
            <w:tcBorders>
              <w:left w:val="single" w:sz="4" w:space="0" w:color="FFFFFF"/>
              <w:bottom w:val="single" w:sz="4" w:space="0" w:color="FFFFFF"/>
              <w:right w:val="single" w:sz="4" w:space="0" w:color="FFFFFF"/>
            </w:tcBorders>
            <w:vAlign w:val="center"/>
          </w:tcPr>
          <w:p w14:paraId="07A4A5F3" w14:textId="77777777" w:rsidR="009B2B3F" w:rsidRPr="00697246" w:rsidRDefault="009B2B3F" w:rsidP="003964DF">
            <w:pPr>
              <w:rPr>
                <w:rFonts w:ascii="Arial" w:hAnsi="Arial"/>
                <w:b w:val="0"/>
                <w:bCs w:val="0"/>
                <w:vanish/>
              </w:rPr>
            </w:pPr>
          </w:p>
        </w:tc>
        <w:tc>
          <w:tcPr>
            <w:cnfStyle w:val="000010000000" w:firstRow="0" w:lastRow="0" w:firstColumn="0" w:lastColumn="0" w:oddVBand="1" w:evenVBand="0" w:oddHBand="0" w:evenHBand="0" w:firstRowFirstColumn="0" w:firstRowLastColumn="0" w:lastRowFirstColumn="0" w:lastRowLastColumn="0"/>
            <w:tcW w:w="3520" w:type="dxa"/>
            <w:tcBorders>
              <w:top w:val="single" w:sz="4" w:space="0" w:color="FFFFFF"/>
              <w:left w:val="single" w:sz="4" w:space="0" w:color="FFFFFF"/>
              <w:bottom w:val="single" w:sz="4" w:space="0" w:color="FFFFFF"/>
              <w:right w:val="single" w:sz="4" w:space="0" w:color="FFFFFF"/>
            </w:tcBorders>
          </w:tcPr>
          <w:p w14:paraId="527F11D3" w14:textId="5A33D4DB" w:rsidR="009B2B3F" w:rsidRPr="00697246" w:rsidRDefault="009B2B3F" w:rsidP="000D511E">
            <w:pPr>
              <w:jc w:val="both"/>
              <w:rPr>
                <w:rFonts w:ascii="Arial" w:hAnsi="Arial"/>
              </w:rPr>
            </w:pPr>
            <w:r w:rsidRPr="00697246">
              <w:rPr>
                <w:rFonts w:ascii="Arial" w:hAnsi="Arial"/>
              </w:rPr>
              <w:t>Hager</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FFFFFF"/>
              <w:left w:val="single" w:sz="4" w:space="0" w:color="FFFFFF"/>
              <w:bottom w:val="single" w:sz="4" w:space="0" w:color="FFFFFF"/>
              <w:right w:val="single" w:sz="4" w:space="0" w:color="FFFFFF"/>
            </w:tcBorders>
            <w:vAlign w:val="center"/>
          </w:tcPr>
          <w:p w14:paraId="6FDBAE7B" w14:textId="0AA7F4E7" w:rsidR="009B2B3F" w:rsidRPr="00697246" w:rsidRDefault="009B2B3F" w:rsidP="009B2B3F">
            <w:pPr>
              <w:jc w:val="center"/>
              <w:rPr>
                <w:rFonts w:ascii="Arial" w:hAnsi="Arial" w:cs="Arial"/>
                <w:b w:val="0"/>
                <w:bCs w:val="0"/>
              </w:rPr>
            </w:pPr>
            <w:r w:rsidRPr="00697246">
              <w:rPr>
                <w:rFonts w:ascii="Arial" w:hAnsi="Arial" w:cs="Arial"/>
                <w:b w:val="0"/>
                <w:bCs w:val="0"/>
              </w:rPr>
              <w:t>+</w:t>
            </w:r>
          </w:p>
        </w:tc>
      </w:tr>
      <w:tr w:rsidR="00697246" w:rsidRPr="00DC3180" w14:paraId="54D2C0E4" w14:textId="77777777" w:rsidTr="003964DF">
        <w:trPr>
          <w:cnfStyle w:val="010000000000" w:firstRow="0" w:lastRow="1" w:firstColumn="0" w:lastColumn="0" w:oddVBand="0" w:evenVBand="0" w:oddHBand="0"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240" w:type="dxa"/>
            <w:tcBorders>
              <w:top w:val="single" w:sz="4" w:space="0" w:color="FFFFFF"/>
              <w:left w:val="single" w:sz="4" w:space="0" w:color="FFFFFF"/>
              <w:right w:val="single" w:sz="4" w:space="0" w:color="FFFFFF"/>
            </w:tcBorders>
            <w:vAlign w:val="center"/>
          </w:tcPr>
          <w:p w14:paraId="3AB9D7F3" w14:textId="1C07F480" w:rsidR="00697246" w:rsidRPr="00697246" w:rsidRDefault="00697246" w:rsidP="003964DF">
            <w:pPr>
              <w:rPr>
                <w:rFonts w:ascii="Arial" w:hAnsi="Arial"/>
                <w:b w:val="0"/>
                <w:bCs w:val="0"/>
                <w:vanish/>
              </w:rPr>
            </w:pPr>
            <w:r w:rsidRPr="00697246">
              <w:rPr>
                <w:rFonts w:ascii="Arial" w:hAnsi="Arial"/>
                <w:b w:val="0"/>
                <w:bCs w:val="0"/>
              </w:rPr>
              <w:t>Triterpenoid</w:t>
            </w:r>
          </w:p>
        </w:tc>
        <w:tc>
          <w:tcPr>
            <w:cnfStyle w:val="000010000000" w:firstRow="0" w:lastRow="0" w:firstColumn="0" w:lastColumn="0" w:oddVBand="1" w:evenVBand="0" w:oddHBand="0" w:evenHBand="0" w:firstRowFirstColumn="0" w:firstRowLastColumn="0" w:lastRowFirstColumn="0" w:lastRowLastColumn="0"/>
            <w:tcW w:w="3520" w:type="dxa"/>
            <w:tcBorders>
              <w:top w:val="single" w:sz="4" w:space="0" w:color="FFFFFF"/>
              <w:left w:val="single" w:sz="4" w:space="0" w:color="FFFFFF"/>
              <w:right w:val="single" w:sz="4" w:space="0" w:color="FFFFFF"/>
            </w:tcBorders>
          </w:tcPr>
          <w:p w14:paraId="069E51C8" w14:textId="4E39A519" w:rsidR="00697246" w:rsidRPr="00697246" w:rsidRDefault="00697246" w:rsidP="000D511E">
            <w:pPr>
              <w:jc w:val="both"/>
              <w:rPr>
                <w:rFonts w:ascii="Arial" w:hAnsi="Arial"/>
                <w:b w:val="0"/>
                <w:bCs w:val="0"/>
              </w:rPr>
            </w:pPr>
            <w:r w:rsidRPr="00697246">
              <w:rPr>
                <w:rFonts w:ascii="Arial" w:hAnsi="Arial" w:cs="Arial"/>
                <w:b w:val="0"/>
                <w:bCs w:val="0"/>
                <w:noProof/>
                <w:color w:val="000000" w:themeColor="text1"/>
              </w:rPr>
              <w:t>Liebermann-Burchard</w:t>
            </w:r>
          </w:p>
        </w:tc>
        <w:tc>
          <w:tcPr>
            <w:cnfStyle w:val="000100000000" w:firstRow="0" w:lastRow="0" w:firstColumn="0" w:lastColumn="1" w:oddVBand="0" w:evenVBand="0" w:oddHBand="0" w:evenHBand="0" w:firstRowFirstColumn="0" w:firstRowLastColumn="0" w:lastRowFirstColumn="0" w:lastRowLastColumn="0"/>
            <w:tcW w:w="1418" w:type="dxa"/>
            <w:tcBorders>
              <w:top w:val="single" w:sz="4" w:space="0" w:color="FFFFFF"/>
              <w:left w:val="single" w:sz="4" w:space="0" w:color="FFFFFF"/>
              <w:right w:val="single" w:sz="4" w:space="0" w:color="FFFFFF"/>
            </w:tcBorders>
            <w:vAlign w:val="center"/>
          </w:tcPr>
          <w:p w14:paraId="02B42A98" w14:textId="2B3C07B3" w:rsidR="00697246" w:rsidRPr="00697246" w:rsidRDefault="00697246" w:rsidP="009B2B3F">
            <w:pPr>
              <w:jc w:val="center"/>
              <w:rPr>
                <w:rFonts w:ascii="Arial" w:hAnsi="Arial" w:cs="Arial"/>
                <w:b w:val="0"/>
                <w:bCs w:val="0"/>
              </w:rPr>
            </w:pPr>
            <w:r w:rsidRPr="00697246">
              <w:rPr>
                <w:rFonts w:ascii="Arial" w:hAnsi="Arial" w:cs="Arial"/>
                <w:b w:val="0"/>
                <w:bCs w:val="0"/>
              </w:rPr>
              <w:t>+</w:t>
            </w:r>
          </w:p>
        </w:tc>
      </w:tr>
    </w:tbl>
    <w:p w14:paraId="070BC143" w14:textId="77777777" w:rsidR="00556A85" w:rsidRDefault="00556A85" w:rsidP="00441B6F">
      <w:pPr>
        <w:pStyle w:val="Body"/>
        <w:spacing w:after="0"/>
        <w:rPr>
          <w:rFonts w:ascii="Arial" w:hAnsi="Arial" w:cs="Arial"/>
        </w:rPr>
      </w:pPr>
    </w:p>
    <w:p w14:paraId="0259A234" w14:textId="77777777" w:rsidR="000F2A01" w:rsidRDefault="000F2A01" w:rsidP="00441B6F">
      <w:pPr>
        <w:pStyle w:val="Body"/>
        <w:spacing w:after="0"/>
        <w:rPr>
          <w:rFonts w:ascii="Arial" w:hAnsi="Arial" w:cs="Arial"/>
        </w:rPr>
      </w:pPr>
    </w:p>
    <w:p w14:paraId="667ABADB" w14:textId="623AF5D2" w:rsidR="000F2A01" w:rsidRDefault="000F2A01" w:rsidP="00FB13B4">
      <w:pPr>
        <w:pStyle w:val="Body"/>
        <w:spacing w:after="0"/>
        <w:jc w:val="center"/>
        <w:rPr>
          <w:rFonts w:ascii="Arial" w:hAnsi="Arial" w:cs="Arial"/>
        </w:rPr>
      </w:pPr>
      <w:r w:rsidRPr="000F2A01">
        <w:rPr>
          <w:rFonts w:ascii="Arial" w:hAnsi="Arial" w:cs="Arial"/>
          <w:noProof/>
        </w:rPr>
        <w:drawing>
          <wp:inline distT="0" distB="0" distL="0" distR="0" wp14:anchorId="6BF32AEF" wp14:editId="6B5716D9">
            <wp:extent cx="1704910" cy="1974474"/>
            <wp:effectExtent l="0" t="0" r="0" b="0"/>
            <wp:docPr id="350928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92811" name=""/>
                    <pic:cNvPicPr/>
                  </pic:nvPicPr>
                  <pic:blipFill>
                    <a:blip r:embed="rId13"/>
                    <a:stretch>
                      <a:fillRect/>
                    </a:stretch>
                  </pic:blipFill>
                  <pic:spPr>
                    <a:xfrm>
                      <a:off x="0" y="0"/>
                      <a:ext cx="1716377" cy="1987754"/>
                    </a:xfrm>
                    <a:prstGeom prst="rect">
                      <a:avLst/>
                    </a:prstGeom>
                  </pic:spPr>
                </pic:pic>
              </a:graphicData>
            </a:graphic>
          </wp:inline>
        </w:drawing>
      </w:r>
      <w:r w:rsidR="00FB13B4">
        <w:rPr>
          <w:rFonts w:ascii="Arial" w:hAnsi="Arial" w:cs="Arial"/>
        </w:rPr>
        <w:t xml:space="preserve">   </w:t>
      </w:r>
      <w:r w:rsidRPr="000F2A01">
        <w:rPr>
          <w:rFonts w:ascii="Arial" w:hAnsi="Arial" w:cs="Arial"/>
          <w:noProof/>
        </w:rPr>
        <w:drawing>
          <wp:inline distT="0" distB="0" distL="0" distR="0" wp14:anchorId="11D7E79E" wp14:editId="325A0F05">
            <wp:extent cx="1778167" cy="1981200"/>
            <wp:effectExtent l="0" t="0" r="0" b="0"/>
            <wp:docPr id="1501624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624430" name=""/>
                    <pic:cNvPicPr/>
                  </pic:nvPicPr>
                  <pic:blipFill>
                    <a:blip r:embed="rId14"/>
                    <a:stretch>
                      <a:fillRect/>
                    </a:stretch>
                  </pic:blipFill>
                  <pic:spPr>
                    <a:xfrm>
                      <a:off x="0" y="0"/>
                      <a:ext cx="1797849" cy="2003129"/>
                    </a:xfrm>
                    <a:prstGeom prst="rect">
                      <a:avLst/>
                    </a:prstGeom>
                  </pic:spPr>
                </pic:pic>
              </a:graphicData>
            </a:graphic>
          </wp:inline>
        </w:drawing>
      </w:r>
    </w:p>
    <w:p w14:paraId="244F973D" w14:textId="77777777" w:rsidR="00FB13B4" w:rsidRDefault="00FB13B4" w:rsidP="00FB13B4">
      <w:pPr>
        <w:pStyle w:val="Body"/>
        <w:spacing w:after="0"/>
        <w:jc w:val="center"/>
        <w:rPr>
          <w:rFonts w:ascii="Arial" w:hAnsi="Arial" w:cs="Arial"/>
        </w:rPr>
      </w:pPr>
    </w:p>
    <w:p w14:paraId="610B65B3" w14:textId="47440795" w:rsidR="00FB13B4" w:rsidRDefault="00FB13B4" w:rsidP="00FB13B4">
      <w:pPr>
        <w:pStyle w:val="Body"/>
        <w:spacing w:after="0"/>
        <w:jc w:val="center"/>
        <w:rPr>
          <w:rFonts w:ascii="Arial" w:hAnsi="Arial" w:cs="Arial"/>
        </w:rPr>
      </w:pPr>
      <w:r w:rsidRPr="0069241B">
        <w:rPr>
          <w:rFonts w:ascii="Arial" w:hAnsi="Arial" w:cs="Arial"/>
          <w:noProof/>
        </w:rPr>
        <w:drawing>
          <wp:inline distT="0" distB="0" distL="0" distR="0" wp14:anchorId="51D17374" wp14:editId="6B47103D">
            <wp:extent cx="1637733" cy="1612320"/>
            <wp:effectExtent l="0" t="0" r="0" b="0"/>
            <wp:docPr id="81147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479326" name=""/>
                    <pic:cNvPicPr/>
                  </pic:nvPicPr>
                  <pic:blipFill>
                    <a:blip r:embed="rId15"/>
                    <a:stretch>
                      <a:fillRect/>
                    </a:stretch>
                  </pic:blipFill>
                  <pic:spPr>
                    <a:xfrm>
                      <a:off x="0" y="0"/>
                      <a:ext cx="1653831" cy="1628168"/>
                    </a:xfrm>
                    <a:prstGeom prst="rect">
                      <a:avLst/>
                    </a:prstGeom>
                  </pic:spPr>
                </pic:pic>
              </a:graphicData>
            </a:graphic>
          </wp:inline>
        </w:drawing>
      </w:r>
    </w:p>
    <w:p w14:paraId="7C0A108D" w14:textId="7E37E3AB" w:rsidR="0069241B" w:rsidRDefault="00FB13B4" w:rsidP="003964DF">
      <w:pPr>
        <w:pStyle w:val="Body"/>
        <w:spacing w:after="0"/>
        <w:ind w:left="1080" w:hanging="1080"/>
        <w:rPr>
          <w:rFonts w:ascii="Arial" w:hAnsi="Arial" w:cs="Arial"/>
        </w:rPr>
      </w:pPr>
      <w:r w:rsidRPr="00FB13B4">
        <w:rPr>
          <w:rFonts w:ascii="Arial" w:hAnsi="Arial" w:cs="Arial"/>
          <w:b/>
          <w:bCs/>
        </w:rPr>
        <w:t>Figure 1.</w:t>
      </w:r>
      <w:r w:rsidRPr="00FB13B4">
        <w:rPr>
          <w:rFonts w:ascii="Arial" w:hAnsi="Arial" w:cs="Arial"/>
        </w:rPr>
        <w:t xml:space="preserve"> TLC chromatograms of the </w:t>
      </w:r>
      <w:r w:rsidR="0016167E">
        <w:rPr>
          <w:rFonts w:ascii="Arial" w:hAnsi="Arial" w:cs="Arial"/>
        </w:rPr>
        <w:t>EEAF</w:t>
      </w:r>
      <w:r w:rsidRPr="00FB13B4">
        <w:rPr>
          <w:rFonts w:ascii="Arial" w:hAnsi="Arial" w:cs="Arial"/>
        </w:rPr>
        <w:t>: (A) flavonoids, (B) alkaloids, and (C) triterpenoids.</w:t>
      </w:r>
      <w:r w:rsidRPr="00FB13B4">
        <w:t xml:space="preserve"> </w:t>
      </w:r>
      <w:r w:rsidRPr="00FB13B4">
        <w:rPr>
          <w:rFonts w:ascii="Arial" w:hAnsi="Arial" w:cs="Arial"/>
        </w:rPr>
        <w:t>The chromatograms were observed under UV light at 254 nm (left) and after spraying with the respective detecting reagents (right)</w:t>
      </w:r>
      <w:r>
        <w:rPr>
          <w:rFonts w:ascii="Arial" w:hAnsi="Arial" w:cs="Arial"/>
        </w:rPr>
        <w:t>.</w:t>
      </w:r>
    </w:p>
    <w:p w14:paraId="78E5115E" w14:textId="77777777" w:rsidR="0089051D" w:rsidRDefault="0089051D" w:rsidP="00441B6F">
      <w:pPr>
        <w:pStyle w:val="Body"/>
        <w:spacing w:after="0"/>
        <w:rPr>
          <w:rFonts w:ascii="Arial" w:hAnsi="Arial" w:cs="Arial"/>
          <w:b/>
          <w:bCs/>
          <w:sz w:val="22"/>
          <w:szCs w:val="22"/>
        </w:rPr>
      </w:pPr>
    </w:p>
    <w:p w14:paraId="59E988A8" w14:textId="5FC08CC3" w:rsidR="00D678F7" w:rsidRDefault="00D678F7" w:rsidP="00441B6F">
      <w:pPr>
        <w:pStyle w:val="Body"/>
        <w:spacing w:after="0"/>
        <w:rPr>
          <w:rFonts w:ascii="Arial" w:hAnsi="Arial" w:cs="Arial"/>
          <w:b/>
          <w:bCs/>
          <w:sz w:val="22"/>
          <w:szCs w:val="22"/>
        </w:rPr>
      </w:pPr>
      <w:r w:rsidRPr="00D678F7">
        <w:rPr>
          <w:rFonts w:ascii="Arial" w:hAnsi="Arial" w:cs="Arial"/>
          <w:b/>
          <w:bCs/>
          <w:sz w:val="22"/>
          <w:szCs w:val="22"/>
        </w:rPr>
        <w:t xml:space="preserve">3.2 </w:t>
      </w:r>
      <w:r>
        <w:rPr>
          <w:rFonts w:ascii="Arial" w:hAnsi="Arial" w:cs="Arial"/>
          <w:b/>
          <w:bCs/>
          <w:sz w:val="22"/>
          <w:szCs w:val="22"/>
        </w:rPr>
        <w:t>In Vivo Studies</w:t>
      </w:r>
    </w:p>
    <w:p w14:paraId="7A9435C4" w14:textId="77777777" w:rsidR="00D678F7" w:rsidRPr="00D678F7" w:rsidRDefault="00D678F7" w:rsidP="00441B6F">
      <w:pPr>
        <w:pStyle w:val="Body"/>
        <w:spacing w:after="0"/>
        <w:rPr>
          <w:rFonts w:ascii="Arial" w:hAnsi="Arial" w:cs="Arial"/>
          <w:b/>
          <w:bCs/>
          <w:sz w:val="22"/>
          <w:szCs w:val="22"/>
        </w:rPr>
      </w:pPr>
    </w:p>
    <w:p w14:paraId="183AC115" w14:textId="3497EEAB" w:rsidR="0089051D" w:rsidRDefault="00C8180C" w:rsidP="00441B6F">
      <w:pPr>
        <w:pStyle w:val="Body"/>
        <w:spacing w:after="0"/>
        <w:rPr>
          <w:rFonts w:ascii="Arial" w:hAnsi="Arial" w:cs="Arial"/>
        </w:rPr>
      </w:pPr>
      <w:r w:rsidRPr="00C8180C">
        <w:rPr>
          <w:rFonts w:ascii="Arial" w:hAnsi="Arial" w:cs="Arial"/>
        </w:rPr>
        <w:t>Induction using a high-fat diet combined with cigarette smoke exposure resulted in a significant increase in total cholesterol and triglyceride levels. The lipid profile parameters measured at baseline (T1) and post-induction (T17) are presented in Table 3.</w:t>
      </w:r>
      <w:r w:rsidR="00614711">
        <w:rPr>
          <w:rFonts w:ascii="Arial" w:hAnsi="Arial" w:cs="Arial"/>
        </w:rPr>
        <w:t xml:space="preserve">.  </w:t>
      </w:r>
    </w:p>
    <w:p w14:paraId="31FA4216" w14:textId="77777777" w:rsidR="006742E9" w:rsidRDefault="006742E9" w:rsidP="00441B6F">
      <w:pPr>
        <w:pStyle w:val="Body"/>
        <w:spacing w:after="0"/>
        <w:rPr>
          <w:rFonts w:ascii="Arial" w:hAnsi="Arial" w:cs="Arial"/>
        </w:rPr>
      </w:pPr>
    </w:p>
    <w:p w14:paraId="14B45510" w14:textId="77777777" w:rsidR="006742E9" w:rsidRDefault="006742E9" w:rsidP="00441B6F">
      <w:pPr>
        <w:pStyle w:val="Body"/>
        <w:spacing w:after="0"/>
        <w:rPr>
          <w:rFonts w:ascii="Arial" w:hAnsi="Arial" w:cs="Arial"/>
        </w:rPr>
      </w:pPr>
    </w:p>
    <w:p w14:paraId="7BCFE3FE" w14:textId="77777777" w:rsidR="006742E9" w:rsidRDefault="006742E9" w:rsidP="00441B6F">
      <w:pPr>
        <w:pStyle w:val="Body"/>
        <w:spacing w:after="0"/>
        <w:rPr>
          <w:rFonts w:ascii="Arial" w:hAnsi="Arial" w:cs="Arial"/>
        </w:rPr>
      </w:pPr>
    </w:p>
    <w:p w14:paraId="1DE2103F" w14:textId="77777777" w:rsidR="006742E9" w:rsidRDefault="006742E9" w:rsidP="00441B6F">
      <w:pPr>
        <w:pStyle w:val="Body"/>
        <w:spacing w:after="0"/>
        <w:rPr>
          <w:rFonts w:ascii="Arial" w:hAnsi="Arial" w:cs="Arial"/>
        </w:rPr>
      </w:pPr>
    </w:p>
    <w:p w14:paraId="0C4324E2" w14:textId="77777777" w:rsidR="00614711" w:rsidRDefault="00614711" w:rsidP="00441B6F">
      <w:pPr>
        <w:pStyle w:val="Body"/>
        <w:spacing w:after="0"/>
        <w:rPr>
          <w:rFonts w:ascii="Arial" w:hAnsi="Arial" w:cs="Arial"/>
        </w:rPr>
      </w:pPr>
    </w:p>
    <w:p w14:paraId="4BD25CDC" w14:textId="4F948A0E" w:rsidR="00DE3C61" w:rsidRDefault="00DE3C61" w:rsidP="00DE3C61">
      <w:pPr>
        <w:pStyle w:val="Body"/>
        <w:spacing w:after="0"/>
        <w:ind w:left="993" w:hanging="993"/>
        <w:rPr>
          <w:rFonts w:ascii="Arial" w:hAnsi="Arial" w:cs="Arial"/>
          <w:b/>
          <w:bCs/>
        </w:rPr>
      </w:pPr>
      <w:r w:rsidRPr="009B2B3F">
        <w:rPr>
          <w:rFonts w:ascii="Arial" w:hAnsi="Arial" w:cs="Arial"/>
          <w:b/>
          <w:bCs/>
        </w:rPr>
        <w:lastRenderedPageBreak/>
        <w:t xml:space="preserve">Table </w:t>
      </w:r>
      <w:r>
        <w:rPr>
          <w:rFonts w:ascii="Arial" w:hAnsi="Arial" w:cs="Arial"/>
          <w:b/>
          <w:bCs/>
        </w:rPr>
        <w:t>3</w:t>
      </w:r>
      <w:r w:rsidRPr="009B2B3F">
        <w:rPr>
          <w:rFonts w:ascii="Arial" w:hAnsi="Arial" w:cs="Arial"/>
          <w:b/>
          <w:bCs/>
        </w:rPr>
        <w:t>.</w:t>
      </w:r>
      <w:r w:rsidRPr="00DE3C61">
        <w:t xml:space="preserve"> </w:t>
      </w:r>
      <w:r w:rsidRPr="00DE3C61">
        <w:rPr>
          <w:rFonts w:ascii="Arial" w:hAnsi="Arial" w:cs="Arial"/>
          <w:b/>
          <w:bCs/>
        </w:rPr>
        <w:t>T</w:t>
      </w:r>
      <w:r w:rsidR="00C8180C" w:rsidRPr="00C8180C">
        <w:t xml:space="preserve"> </w:t>
      </w:r>
      <w:r w:rsidR="00C8180C" w:rsidRPr="00C8180C">
        <w:rPr>
          <w:rFonts w:ascii="Arial" w:hAnsi="Arial" w:cs="Arial"/>
          <w:b/>
          <w:bCs/>
        </w:rPr>
        <w:t>Total cholesterol and triglyceride levels at T1 (baseline) and T17 (post-induction), with percentage increase (%)</w:t>
      </w:r>
    </w:p>
    <w:p w14:paraId="668989A1" w14:textId="77777777" w:rsidR="00DE3C61" w:rsidRDefault="00DE3C61" w:rsidP="00441B6F">
      <w:pPr>
        <w:pStyle w:val="Body"/>
        <w:spacing w:after="0"/>
        <w:rPr>
          <w:rFonts w:ascii="Arial" w:hAnsi="Arial" w:cs="Arial"/>
        </w:rPr>
      </w:pPr>
    </w:p>
    <w:tbl>
      <w:tblPr>
        <w:tblStyle w:val="TableGrid"/>
        <w:tblW w:w="8188" w:type="dxa"/>
        <w:tblLook w:val="01E0" w:firstRow="1" w:lastRow="1" w:firstColumn="1" w:lastColumn="1" w:noHBand="0" w:noVBand="0"/>
      </w:tblPr>
      <w:tblGrid>
        <w:gridCol w:w="1809"/>
        <w:gridCol w:w="1560"/>
        <w:gridCol w:w="2268"/>
        <w:gridCol w:w="2551"/>
      </w:tblGrid>
      <w:tr w:rsidR="00246B82" w:rsidRPr="00DC3180" w14:paraId="79A5FC3F" w14:textId="77777777" w:rsidTr="00317CF3">
        <w:tc>
          <w:tcPr>
            <w:tcW w:w="1809" w:type="dxa"/>
            <w:tcBorders>
              <w:left w:val="single" w:sz="4" w:space="0" w:color="FFFFFF" w:themeColor="background1"/>
              <w:right w:val="single" w:sz="4" w:space="0" w:color="FFFFFF" w:themeColor="background1"/>
            </w:tcBorders>
          </w:tcPr>
          <w:p w14:paraId="067678FA" w14:textId="03C93ABA" w:rsidR="00246B82" w:rsidRPr="00DC3180" w:rsidRDefault="00246B82" w:rsidP="00A27AE4">
            <w:pPr>
              <w:jc w:val="center"/>
              <w:rPr>
                <w:rFonts w:ascii="Arial" w:hAnsi="Arial"/>
                <w:b/>
                <w:bCs/>
              </w:rPr>
            </w:pPr>
            <w:r>
              <w:rPr>
                <w:rFonts w:ascii="Arial" w:hAnsi="Arial"/>
                <w:b/>
              </w:rPr>
              <w:t>Lipid</w:t>
            </w:r>
          </w:p>
        </w:tc>
        <w:tc>
          <w:tcPr>
            <w:tcW w:w="1560" w:type="dxa"/>
            <w:tcBorders>
              <w:left w:val="single" w:sz="4" w:space="0" w:color="FFFFFF" w:themeColor="background1"/>
              <w:right w:val="single" w:sz="4" w:space="0" w:color="FFFFFF" w:themeColor="background1"/>
            </w:tcBorders>
          </w:tcPr>
          <w:p w14:paraId="0A0BB1F7" w14:textId="092D90D4" w:rsidR="00246B82" w:rsidRPr="00DC3180" w:rsidRDefault="00246B82" w:rsidP="00A27AE4">
            <w:pPr>
              <w:jc w:val="center"/>
              <w:rPr>
                <w:rFonts w:ascii="Arial" w:hAnsi="Arial"/>
                <w:b/>
                <w:bCs/>
              </w:rPr>
            </w:pPr>
            <w:r>
              <w:rPr>
                <w:rFonts w:ascii="Arial" w:hAnsi="Arial"/>
                <w:b/>
                <w:bCs/>
              </w:rPr>
              <w:t>T1 (mg/dL)</w:t>
            </w:r>
          </w:p>
        </w:tc>
        <w:tc>
          <w:tcPr>
            <w:tcW w:w="2268" w:type="dxa"/>
            <w:tcBorders>
              <w:left w:val="single" w:sz="4" w:space="0" w:color="FFFFFF" w:themeColor="background1"/>
              <w:right w:val="single" w:sz="4" w:space="0" w:color="FFFFFF" w:themeColor="background1"/>
            </w:tcBorders>
          </w:tcPr>
          <w:p w14:paraId="7DB70B79" w14:textId="2DCF5E76" w:rsidR="00246B82" w:rsidRPr="00DC3180" w:rsidRDefault="00246B82" w:rsidP="00A27AE4">
            <w:pPr>
              <w:jc w:val="center"/>
              <w:rPr>
                <w:rFonts w:ascii="Arial" w:hAnsi="Arial"/>
                <w:b/>
                <w:bCs/>
              </w:rPr>
            </w:pPr>
            <w:r>
              <w:rPr>
                <w:rFonts w:ascii="Arial" w:hAnsi="Arial"/>
                <w:b/>
                <w:bCs/>
              </w:rPr>
              <w:t>T17 (mg/dL)</w:t>
            </w:r>
          </w:p>
        </w:tc>
        <w:tc>
          <w:tcPr>
            <w:tcW w:w="2551" w:type="dxa"/>
            <w:tcBorders>
              <w:left w:val="single" w:sz="4" w:space="0" w:color="FFFFFF" w:themeColor="background1"/>
              <w:right w:val="single" w:sz="4" w:space="0" w:color="FFFFFF" w:themeColor="background1"/>
            </w:tcBorders>
          </w:tcPr>
          <w:p w14:paraId="72400A61" w14:textId="2A111382" w:rsidR="00246B82" w:rsidRDefault="00246B82" w:rsidP="00A27AE4">
            <w:pPr>
              <w:jc w:val="center"/>
              <w:rPr>
                <w:rFonts w:ascii="Arial" w:hAnsi="Arial"/>
                <w:b/>
                <w:bCs/>
              </w:rPr>
            </w:pPr>
            <w:r>
              <w:rPr>
                <w:rFonts w:ascii="Arial" w:hAnsi="Arial"/>
                <w:b/>
                <w:bCs/>
              </w:rPr>
              <w:t>Percent Increase (%)</w:t>
            </w:r>
          </w:p>
        </w:tc>
      </w:tr>
      <w:tr w:rsidR="00246B82" w:rsidRPr="00DC3180" w14:paraId="5D78FD12" w14:textId="77777777" w:rsidTr="007665E4">
        <w:trPr>
          <w:trHeight w:val="87"/>
          <w:hidden/>
        </w:trPr>
        <w:tc>
          <w:tcPr>
            <w:tcW w:w="1809" w:type="dxa"/>
            <w:tcBorders>
              <w:left w:val="single" w:sz="4" w:space="0" w:color="FFFFFF" w:themeColor="background1"/>
              <w:right w:val="single" w:sz="4" w:space="0" w:color="FFFFFF" w:themeColor="background1"/>
            </w:tcBorders>
            <w:vAlign w:val="center"/>
          </w:tcPr>
          <w:p w14:paraId="6FCAF585" w14:textId="77777777" w:rsidR="00246B82" w:rsidRPr="00D678F7" w:rsidRDefault="00246B82" w:rsidP="00F1077C">
            <w:pPr>
              <w:jc w:val="center"/>
              <w:rPr>
                <w:rFonts w:ascii="Arial" w:hAnsi="Arial"/>
                <w:vanish/>
                <w:sz w:val="20"/>
                <w:szCs w:val="20"/>
              </w:rPr>
            </w:pPr>
          </w:p>
          <w:p w14:paraId="5839DA3D" w14:textId="733BA008" w:rsidR="00246B82" w:rsidRPr="00D678F7" w:rsidRDefault="00246B82" w:rsidP="00F1077C">
            <w:pPr>
              <w:jc w:val="center"/>
              <w:rPr>
                <w:rFonts w:ascii="Arial" w:hAnsi="Arial"/>
                <w:sz w:val="20"/>
                <w:szCs w:val="20"/>
              </w:rPr>
            </w:pPr>
            <w:r>
              <w:rPr>
                <w:rFonts w:ascii="Arial" w:hAnsi="Arial"/>
                <w:sz w:val="20"/>
                <w:szCs w:val="20"/>
              </w:rPr>
              <w:t>Total Cholesterol</w:t>
            </w:r>
          </w:p>
        </w:tc>
        <w:tc>
          <w:tcPr>
            <w:tcW w:w="1560" w:type="dxa"/>
            <w:tcBorders>
              <w:left w:val="single" w:sz="4" w:space="0" w:color="FFFFFF" w:themeColor="background1"/>
              <w:right w:val="single" w:sz="4" w:space="0" w:color="FFFFFF" w:themeColor="background1"/>
            </w:tcBorders>
            <w:vAlign w:val="center"/>
          </w:tcPr>
          <w:p w14:paraId="3E7637CB" w14:textId="1389369B" w:rsidR="00246B82" w:rsidRPr="00DE3C61" w:rsidRDefault="00F1077C" w:rsidP="00F1077C">
            <w:pPr>
              <w:jc w:val="center"/>
              <w:rPr>
                <w:rFonts w:ascii="Arial" w:hAnsi="Arial" w:cs="Arial"/>
                <w:sz w:val="20"/>
                <w:szCs w:val="20"/>
              </w:rPr>
            </w:pPr>
            <w:r w:rsidRPr="00DE3C61">
              <w:rPr>
                <w:rFonts w:ascii="Arial" w:hAnsi="Arial" w:cs="Arial"/>
                <w:sz w:val="20"/>
                <w:szCs w:val="20"/>
              </w:rPr>
              <w:t>52</w:t>
            </w:r>
            <w:r w:rsidR="00706050">
              <w:rPr>
                <w:rFonts w:ascii="Arial" w:hAnsi="Arial" w:cs="Arial"/>
                <w:sz w:val="20"/>
                <w:szCs w:val="20"/>
              </w:rPr>
              <w:t>.</w:t>
            </w:r>
            <w:r w:rsidRPr="00DE3C61">
              <w:rPr>
                <w:rFonts w:ascii="Arial" w:hAnsi="Arial" w:cs="Arial"/>
                <w:sz w:val="20"/>
                <w:szCs w:val="20"/>
              </w:rPr>
              <w:t>68 ± 12</w:t>
            </w:r>
            <w:r w:rsidR="00706050">
              <w:rPr>
                <w:rFonts w:ascii="Arial" w:hAnsi="Arial" w:cs="Arial"/>
                <w:sz w:val="20"/>
                <w:szCs w:val="20"/>
              </w:rPr>
              <w:t>.</w:t>
            </w:r>
            <w:r w:rsidRPr="00DE3C61">
              <w:rPr>
                <w:rFonts w:ascii="Arial" w:hAnsi="Arial" w:cs="Arial"/>
                <w:sz w:val="20"/>
                <w:szCs w:val="20"/>
              </w:rPr>
              <w:t>80</w:t>
            </w:r>
          </w:p>
        </w:tc>
        <w:tc>
          <w:tcPr>
            <w:tcW w:w="2268" w:type="dxa"/>
            <w:tcBorders>
              <w:left w:val="single" w:sz="4" w:space="0" w:color="FFFFFF" w:themeColor="background1"/>
              <w:right w:val="single" w:sz="4" w:space="0" w:color="FFFFFF" w:themeColor="background1"/>
            </w:tcBorders>
            <w:vAlign w:val="center"/>
          </w:tcPr>
          <w:p w14:paraId="58473439" w14:textId="544EDEFC" w:rsidR="00246B82" w:rsidRPr="00DE3C61" w:rsidRDefault="00DE3C61" w:rsidP="00F1077C">
            <w:pPr>
              <w:jc w:val="center"/>
              <w:rPr>
                <w:rFonts w:ascii="Arial" w:hAnsi="Arial" w:cs="Arial"/>
                <w:b/>
                <w:bCs/>
                <w:sz w:val="20"/>
                <w:szCs w:val="20"/>
              </w:rPr>
            </w:pPr>
            <w:r w:rsidRPr="00DE3C61">
              <w:rPr>
                <w:rFonts w:ascii="Arial" w:hAnsi="Arial" w:cs="Arial"/>
                <w:sz w:val="20"/>
                <w:szCs w:val="20"/>
              </w:rPr>
              <w:t>130</w:t>
            </w:r>
            <w:r w:rsidR="00706050">
              <w:rPr>
                <w:rFonts w:ascii="Arial" w:hAnsi="Arial" w:cs="Arial"/>
                <w:sz w:val="20"/>
                <w:szCs w:val="20"/>
              </w:rPr>
              <w:t>.</w:t>
            </w:r>
            <w:r w:rsidRPr="00DE3C61">
              <w:rPr>
                <w:rFonts w:ascii="Arial" w:hAnsi="Arial" w:cs="Arial"/>
                <w:sz w:val="20"/>
                <w:szCs w:val="20"/>
              </w:rPr>
              <w:t>48 ± 18</w:t>
            </w:r>
            <w:r w:rsidR="00706050">
              <w:rPr>
                <w:rFonts w:ascii="Arial" w:hAnsi="Arial" w:cs="Arial"/>
                <w:sz w:val="20"/>
                <w:szCs w:val="20"/>
              </w:rPr>
              <w:t>.</w:t>
            </w:r>
            <w:r w:rsidRPr="00DE3C61">
              <w:rPr>
                <w:rFonts w:ascii="Arial" w:hAnsi="Arial" w:cs="Arial"/>
                <w:sz w:val="20"/>
                <w:szCs w:val="20"/>
              </w:rPr>
              <w:t>42</w:t>
            </w:r>
            <w:r w:rsidR="00CF7D23">
              <w:rPr>
                <w:rFonts w:ascii="Arial" w:hAnsi="Arial" w:cs="Arial"/>
                <w:sz w:val="20"/>
                <w:szCs w:val="20"/>
              </w:rPr>
              <w:t>****</w:t>
            </w:r>
          </w:p>
        </w:tc>
        <w:tc>
          <w:tcPr>
            <w:tcW w:w="2551" w:type="dxa"/>
            <w:tcBorders>
              <w:left w:val="single" w:sz="4" w:space="0" w:color="FFFFFF" w:themeColor="background1"/>
              <w:right w:val="single" w:sz="4" w:space="0" w:color="FFFFFF" w:themeColor="background1"/>
            </w:tcBorders>
            <w:vAlign w:val="center"/>
          </w:tcPr>
          <w:p w14:paraId="3EAB4181" w14:textId="2843FC63" w:rsidR="00246B82" w:rsidRPr="00DE3C61" w:rsidRDefault="00DE3C61" w:rsidP="00F1077C">
            <w:pPr>
              <w:jc w:val="center"/>
              <w:rPr>
                <w:rFonts w:ascii="Arial" w:hAnsi="Arial" w:cs="Arial"/>
                <w:sz w:val="20"/>
                <w:szCs w:val="20"/>
              </w:rPr>
            </w:pPr>
            <w:r w:rsidRPr="00DE3C61">
              <w:rPr>
                <w:rFonts w:ascii="Arial" w:hAnsi="Arial" w:cs="Arial"/>
                <w:sz w:val="20"/>
                <w:szCs w:val="20"/>
              </w:rPr>
              <w:t>159</w:t>
            </w:r>
            <w:r w:rsidR="00706050">
              <w:rPr>
                <w:rFonts w:ascii="Arial" w:hAnsi="Arial" w:cs="Arial"/>
                <w:sz w:val="20"/>
                <w:szCs w:val="20"/>
              </w:rPr>
              <w:t>.</w:t>
            </w:r>
            <w:r w:rsidRPr="00DE3C61">
              <w:rPr>
                <w:rFonts w:ascii="Arial" w:hAnsi="Arial" w:cs="Arial"/>
                <w:sz w:val="20"/>
                <w:szCs w:val="20"/>
              </w:rPr>
              <w:t>66</w:t>
            </w:r>
            <w:r w:rsidRPr="00DE3C61">
              <w:rPr>
                <w:rFonts w:ascii="Arial" w:hAnsi="Arial" w:cs="Arial"/>
                <w:sz w:val="20"/>
                <w:szCs w:val="20"/>
              </w:rPr>
              <w:tab/>
              <w:t>± 64</w:t>
            </w:r>
            <w:r w:rsidR="00706050">
              <w:rPr>
                <w:rFonts w:ascii="Arial" w:hAnsi="Arial" w:cs="Arial"/>
                <w:sz w:val="20"/>
                <w:szCs w:val="20"/>
              </w:rPr>
              <w:t>.</w:t>
            </w:r>
            <w:r w:rsidRPr="00DE3C61">
              <w:rPr>
                <w:rFonts w:ascii="Arial" w:hAnsi="Arial" w:cs="Arial"/>
                <w:sz w:val="20"/>
                <w:szCs w:val="20"/>
              </w:rPr>
              <w:t>30</w:t>
            </w:r>
          </w:p>
        </w:tc>
      </w:tr>
      <w:tr w:rsidR="00246B82" w:rsidRPr="00DC3180" w14:paraId="2693B843" w14:textId="77777777" w:rsidTr="007665E4">
        <w:trPr>
          <w:trHeight w:val="120"/>
        </w:trPr>
        <w:tc>
          <w:tcPr>
            <w:tcW w:w="1809" w:type="dxa"/>
            <w:tcBorders>
              <w:left w:val="single" w:sz="4" w:space="0" w:color="FFFFFF" w:themeColor="background1"/>
              <w:right w:val="single" w:sz="4" w:space="0" w:color="FFFFFF" w:themeColor="background1"/>
            </w:tcBorders>
            <w:vAlign w:val="center"/>
          </w:tcPr>
          <w:p w14:paraId="0771C524" w14:textId="6C6C3598" w:rsidR="00246B82" w:rsidRPr="00246B82" w:rsidRDefault="00246B82" w:rsidP="00F1077C">
            <w:pPr>
              <w:jc w:val="center"/>
              <w:rPr>
                <w:rFonts w:ascii="Arial" w:hAnsi="Arial"/>
                <w:vanish/>
                <w:sz w:val="20"/>
                <w:szCs w:val="20"/>
              </w:rPr>
            </w:pPr>
            <w:r w:rsidRPr="00246B82">
              <w:rPr>
                <w:rFonts w:ascii="Arial" w:hAnsi="Arial"/>
                <w:sz w:val="20"/>
                <w:szCs w:val="20"/>
              </w:rPr>
              <w:t>Triglyceride</w:t>
            </w:r>
          </w:p>
        </w:tc>
        <w:tc>
          <w:tcPr>
            <w:tcW w:w="1560" w:type="dxa"/>
            <w:tcBorders>
              <w:left w:val="single" w:sz="4" w:space="0" w:color="FFFFFF" w:themeColor="background1"/>
              <w:right w:val="single" w:sz="4" w:space="0" w:color="FFFFFF" w:themeColor="background1"/>
            </w:tcBorders>
            <w:vAlign w:val="center"/>
          </w:tcPr>
          <w:p w14:paraId="32A4A270" w14:textId="5E355022" w:rsidR="00246B82" w:rsidRPr="00DE3C61" w:rsidRDefault="00DE3C61" w:rsidP="00F1077C">
            <w:pPr>
              <w:jc w:val="center"/>
              <w:rPr>
                <w:rFonts w:ascii="Arial" w:hAnsi="Arial" w:cs="Arial"/>
                <w:sz w:val="20"/>
                <w:szCs w:val="20"/>
              </w:rPr>
            </w:pPr>
            <w:r w:rsidRPr="00DE3C61">
              <w:rPr>
                <w:rFonts w:ascii="Arial" w:hAnsi="Arial" w:cs="Arial"/>
                <w:sz w:val="20"/>
                <w:szCs w:val="20"/>
              </w:rPr>
              <w:t>50</w:t>
            </w:r>
            <w:r w:rsidR="00706050">
              <w:rPr>
                <w:rFonts w:ascii="Arial" w:hAnsi="Arial" w:cs="Arial"/>
                <w:sz w:val="20"/>
                <w:szCs w:val="20"/>
              </w:rPr>
              <w:t>.</w:t>
            </w:r>
            <w:r w:rsidRPr="00DE3C61">
              <w:rPr>
                <w:rFonts w:ascii="Arial" w:hAnsi="Arial" w:cs="Arial"/>
                <w:sz w:val="20"/>
                <w:szCs w:val="20"/>
              </w:rPr>
              <w:t>48 ± 22</w:t>
            </w:r>
            <w:r w:rsidR="00706050">
              <w:rPr>
                <w:rFonts w:ascii="Arial" w:hAnsi="Arial" w:cs="Arial"/>
                <w:sz w:val="20"/>
                <w:szCs w:val="20"/>
              </w:rPr>
              <w:t>.</w:t>
            </w:r>
            <w:r w:rsidRPr="00DE3C61">
              <w:rPr>
                <w:rFonts w:ascii="Arial" w:hAnsi="Arial" w:cs="Arial"/>
                <w:sz w:val="20"/>
                <w:szCs w:val="20"/>
              </w:rPr>
              <w:t>95</w:t>
            </w:r>
          </w:p>
        </w:tc>
        <w:tc>
          <w:tcPr>
            <w:tcW w:w="2268" w:type="dxa"/>
            <w:tcBorders>
              <w:left w:val="single" w:sz="4" w:space="0" w:color="FFFFFF" w:themeColor="background1"/>
              <w:right w:val="single" w:sz="4" w:space="0" w:color="FFFFFF" w:themeColor="background1"/>
            </w:tcBorders>
            <w:vAlign w:val="center"/>
          </w:tcPr>
          <w:p w14:paraId="70F86A8B" w14:textId="26E6BC94" w:rsidR="00246B82" w:rsidRPr="00DE3C61" w:rsidRDefault="00DE3C61" w:rsidP="00F1077C">
            <w:pPr>
              <w:jc w:val="center"/>
              <w:rPr>
                <w:rFonts w:ascii="Arial" w:hAnsi="Arial" w:cs="Arial"/>
                <w:sz w:val="20"/>
                <w:szCs w:val="20"/>
              </w:rPr>
            </w:pPr>
            <w:r w:rsidRPr="00DE3C61">
              <w:rPr>
                <w:rFonts w:ascii="Arial" w:hAnsi="Arial" w:cs="Arial"/>
                <w:sz w:val="20"/>
                <w:szCs w:val="20"/>
              </w:rPr>
              <w:t>96</w:t>
            </w:r>
            <w:r w:rsidR="00706050">
              <w:rPr>
                <w:rFonts w:ascii="Arial" w:hAnsi="Arial" w:cs="Arial"/>
                <w:sz w:val="20"/>
                <w:szCs w:val="20"/>
              </w:rPr>
              <w:t>.</w:t>
            </w:r>
            <w:r w:rsidRPr="00DE3C61">
              <w:rPr>
                <w:rFonts w:ascii="Arial" w:hAnsi="Arial" w:cs="Arial"/>
                <w:sz w:val="20"/>
                <w:szCs w:val="20"/>
              </w:rPr>
              <w:t>88 ± 27</w:t>
            </w:r>
            <w:r w:rsidR="00706050">
              <w:rPr>
                <w:rFonts w:ascii="Arial" w:hAnsi="Arial" w:cs="Arial"/>
                <w:sz w:val="20"/>
                <w:szCs w:val="20"/>
              </w:rPr>
              <w:t>.</w:t>
            </w:r>
            <w:r w:rsidRPr="00DE3C61">
              <w:rPr>
                <w:rFonts w:ascii="Arial" w:hAnsi="Arial" w:cs="Arial"/>
                <w:sz w:val="20"/>
                <w:szCs w:val="20"/>
              </w:rPr>
              <w:t>3</w:t>
            </w:r>
            <w:r w:rsidR="00C8180C">
              <w:rPr>
                <w:rFonts w:ascii="Arial" w:hAnsi="Arial" w:cs="Arial"/>
                <w:sz w:val="20"/>
                <w:szCs w:val="20"/>
              </w:rPr>
              <w:t>0</w:t>
            </w:r>
            <w:r w:rsidR="00CF7D23">
              <w:rPr>
                <w:rFonts w:ascii="Arial" w:hAnsi="Arial" w:cs="Arial"/>
                <w:sz w:val="20"/>
                <w:szCs w:val="20"/>
              </w:rPr>
              <w:t>****</w:t>
            </w:r>
          </w:p>
        </w:tc>
        <w:tc>
          <w:tcPr>
            <w:tcW w:w="2551" w:type="dxa"/>
            <w:tcBorders>
              <w:left w:val="single" w:sz="4" w:space="0" w:color="FFFFFF" w:themeColor="background1"/>
              <w:right w:val="single" w:sz="4" w:space="0" w:color="FFFFFF" w:themeColor="background1"/>
            </w:tcBorders>
            <w:vAlign w:val="center"/>
          </w:tcPr>
          <w:p w14:paraId="051C37C2" w14:textId="24D521DD" w:rsidR="00246B82" w:rsidRPr="00DE3C61" w:rsidRDefault="00DE3C61" w:rsidP="00F1077C">
            <w:pPr>
              <w:jc w:val="center"/>
              <w:rPr>
                <w:rFonts w:ascii="Arial" w:hAnsi="Arial" w:cs="Arial"/>
                <w:sz w:val="20"/>
                <w:szCs w:val="20"/>
              </w:rPr>
            </w:pPr>
            <w:r w:rsidRPr="00DE3C61">
              <w:rPr>
                <w:rFonts w:ascii="Arial" w:hAnsi="Arial" w:cs="Arial"/>
                <w:sz w:val="20"/>
                <w:szCs w:val="20"/>
              </w:rPr>
              <w:t>121</w:t>
            </w:r>
            <w:r w:rsidR="00706050">
              <w:rPr>
                <w:rFonts w:ascii="Arial" w:hAnsi="Arial" w:cs="Arial"/>
                <w:sz w:val="20"/>
                <w:szCs w:val="20"/>
              </w:rPr>
              <w:t>.</w:t>
            </w:r>
            <w:r w:rsidRPr="00DE3C61">
              <w:rPr>
                <w:rFonts w:ascii="Arial" w:hAnsi="Arial" w:cs="Arial"/>
                <w:sz w:val="20"/>
                <w:szCs w:val="20"/>
              </w:rPr>
              <w:t>88</w:t>
            </w:r>
            <w:r w:rsidRPr="00DE3C61">
              <w:rPr>
                <w:rFonts w:ascii="Arial" w:hAnsi="Arial" w:cs="Arial"/>
                <w:sz w:val="20"/>
                <w:szCs w:val="20"/>
              </w:rPr>
              <w:tab/>
              <w:t>± 92</w:t>
            </w:r>
            <w:r w:rsidR="00706050">
              <w:rPr>
                <w:rFonts w:ascii="Arial" w:hAnsi="Arial" w:cs="Arial"/>
                <w:sz w:val="20"/>
                <w:szCs w:val="20"/>
              </w:rPr>
              <w:t>.</w:t>
            </w:r>
            <w:r w:rsidRPr="00DE3C61">
              <w:rPr>
                <w:rFonts w:ascii="Arial" w:hAnsi="Arial" w:cs="Arial"/>
                <w:sz w:val="20"/>
                <w:szCs w:val="20"/>
              </w:rPr>
              <w:t>84</w:t>
            </w:r>
          </w:p>
        </w:tc>
      </w:tr>
    </w:tbl>
    <w:p w14:paraId="2A428BC9" w14:textId="78E63156" w:rsidR="00614711" w:rsidRDefault="006A6FFE" w:rsidP="00441B6F">
      <w:pPr>
        <w:pStyle w:val="Body"/>
        <w:spacing w:after="0"/>
        <w:rPr>
          <w:rFonts w:ascii="Arial" w:hAnsi="Arial" w:cs="Arial"/>
        </w:rPr>
      </w:pPr>
      <w:r w:rsidRPr="006A6FFE">
        <w:rPr>
          <w:rFonts w:ascii="Arial" w:hAnsi="Arial" w:cs="Arial"/>
        </w:rPr>
        <w:t>Data are presented as mean ± SD</w:t>
      </w:r>
      <w:r>
        <w:rPr>
          <w:rFonts w:ascii="Arial" w:hAnsi="Arial" w:cs="Arial"/>
        </w:rPr>
        <w:t xml:space="preserve">, </w:t>
      </w:r>
      <w:r w:rsidR="00CF7D23" w:rsidRPr="00CF7D23">
        <w:rPr>
          <w:rFonts w:ascii="Arial" w:hAnsi="Arial" w:cs="Arial"/>
        </w:rPr>
        <w:t>**** Indicates a statistically significant difference compared with T1 (</w:t>
      </w:r>
      <w:r w:rsidR="00706050">
        <w:rPr>
          <w:rFonts w:ascii="Arial" w:hAnsi="Arial" w:cs="Arial"/>
          <w:i/>
          <w:iCs/>
        </w:rPr>
        <w:t>P</w:t>
      </w:r>
      <w:r w:rsidR="00CF7D23" w:rsidRPr="00CF7D23">
        <w:rPr>
          <w:rFonts w:ascii="Arial" w:hAnsi="Arial" w:cs="Arial"/>
        </w:rPr>
        <w:t xml:space="preserve"> </w:t>
      </w:r>
      <w:r w:rsidR="00706050">
        <w:rPr>
          <w:rFonts w:ascii="Arial" w:hAnsi="Arial" w:cs="Arial"/>
        </w:rPr>
        <w:t xml:space="preserve">= </w:t>
      </w:r>
      <w:r w:rsidR="00CF7D23" w:rsidRPr="00CF7D23">
        <w:rPr>
          <w:rFonts w:ascii="Arial" w:hAnsi="Arial" w:cs="Arial"/>
        </w:rPr>
        <w:t>.000)</w:t>
      </w:r>
    </w:p>
    <w:p w14:paraId="211D647F" w14:textId="77777777" w:rsidR="00F1077C" w:rsidRDefault="00F1077C" w:rsidP="00441B6F">
      <w:pPr>
        <w:pStyle w:val="Body"/>
        <w:spacing w:after="0"/>
        <w:rPr>
          <w:rFonts w:ascii="Arial" w:hAnsi="Arial" w:cs="Arial"/>
        </w:rPr>
      </w:pPr>
    </w:p>
    <w:p w14:paraId="45A771FE" w14:textId="77777777" w:rsidR="00C8180C" w:rsidRPr="00C8180C" w:rsidRDefault="00C8180C" w:rsidP="00C8180C">
      <w:pPr>
        <w:pStyle w:val="Body"/>
        <w:spacing w:after="0"/>
        <w:rPr>
          <w:rFonts w:ascii="Arial" w:hAnsi="Arial" w:cs="Arial"/>
          <w:lang w:val="en-ID"/>
        </w:rPr>
      </w:pPr>
      <w:r w:rsidRPr="00C8180C">
        <w:rPr>
          <w:rFonts w:ascii="Arial" w:hAnsi="Arial" w:cs="Arial"/>
          <w:lang w:val="en-ID"/>
        </w:rPr>
        <w:t xml:space="preserve">Both total cholesterol and triglyceride levels showed a marked increase following induction, indicating successful establishment of the </w:t>
      </w:r>
      <w:proofErr w:type="spellStart"/>
      <w:r w:rsidRPr="00C8180C">
        <w:rPr>
          <w:rFonts w:ascii="Arial" w:hAnsi="Arial" w:cs="Arial"/>
          <w:lang w:val="en-ID"/>
        </w:rPr>
        <w:t>dyslipidemia</w:t>
      </w:r>
      <w:proofErr w:type="spellEnd"/>
      <w:r w:rsidRPr="00C8180C">
        <w:rPr>
          <w:rFonts w:ascii="Arial" w:hAnsi="Arial" w:cs="Arial"/>
          <w:lang w:val="en-ID"/>
        </w:rPr>
        <w:t xml:space="preserve"> model.</w:t>
      </w:r>
    </w:p>
    <w:p w14:paraId="43CD0892" w14:textId="77777777" w:rsidR="00C8180C" w:rsidRPr="00C8180C" w:rsidRDefault="00C8180C" w:rsidP="00C8180C">
      <w:pPr>
        <w:pStyle w:val="Body"/>
        <w:spacing w:after="0"/>
        <w:rPr>
          <w:rFonts w:ascii="Arial" w:hAnsi="Arial" w:cs="Arial"/>
          <w:lang w:val="en-ID"/>
        </w:rPr>
      </w:pPr>
      <w:r w:rsidRPr="00C8180C">
        <w:rPr>
          <w:rFonts w:ascii="Arial" w:hAnsi="Arial" w:cs="Arial"/>
          <w:lang w:val="en-ID"/>
        </w:rPr>
        <w:t>Rats with elevated lipid levels were subsequently treated according to their respective experimental groups for 28 days. The effects of treatment on total cholesterol and triglyceride levels are presented in Tables 4 and 5, respectively, while the percentage reductions are illustrated in Figure 2.</w:t>
      </w:r>
    </w:p>
    <w:p w14:paraId="619230EF" w14:textId="149C2796" w:rsidR="002055B4" w:rsidRPr="00C8180C" w:rsidRDefault="002055B4" w:rsidP="00441B6F">
      <w:pPr>
        <w:pStyle w:val="Body"/>
        <w:spacing w:after="0"/>
        <w:rPr>
          <w:rFonts w:ascii="Arial" w:hAnsi="Arial" w:cs="Arial"/>
          <w:lang w:val="en-ID"/>
        </w:rPr>
      </w:pPr>
    </w:p>
    <w:p w14:paraId="4B8EF0C2" w14:textId="77777777" w:rsidR="006A6FFE" w:rsidRDefault="006A6FFE" w:rsidP="00441B6F">
      <w:pPr>
        <w:pStyle w:val="Body"/>
        <w:spacing w:after="0"/>
        <w:rPr>
          <w:rFonts w:ascii="Arial" w:hAnsi="Arial" w:cs="Arial"/>
        </w:rPr>
      </w:pPr>
    </w:p>
    <w:p w14:paraId="0B056F93" w14:textId="2C09CF1C" w:rsidR="00D635D7" w:rsidRDefault="00D635D7" w:rsidP="00D635D7">
      <w:pPr>
        <w:pStyle w:val="Body"/>
        <w:spacing w:after="0"/>
        <w:ind w:left="993" w:hanging="993"/>
        <w:rPr>
          <w:rFonts w:ascii="Arial" w:hAnsi="Arial" w:cs="Arial"/>
          <w:b/>
          <w:bCs/>
        </w:rPr>
      </w:pPr>
      <w:r w:rsidRPr="009B2B3F">
        <w:rPr>
          <w:rFonts w:ascii="Arial" w:hAnsi="Arial" w:cs="Arial"/>
          <w:b/>
          <w:bCs/>
        </w:rPr>
        <w:t xml:space="preserve">Table </w:t>
      </w:r>
      <w:r w:rsidR="00285CD9">
        <w:rPr>
          <w:rFonts w:ascii="Arial" w:hAnsi="Arial" w:cs="Arial"/>
          <w:b/>
          <w:bCs/>
        </w:rPr>
        <w:t>4</w:t>
      </w:r>
      <w:r w:rsidRPr="009B2B3F">
        <w:rPr>
          <w:rFonts w:ascii="Arial" w:hAnsi="Arial" w:cs="Arial"/>
          <w:b/>
          <w:bCs/>
        </w:rPr>
        <w:t>.</w:t>
      </w:r>
      <w:r w:rsidRPr="00DE3C61">
        <w:t xml:space="preserve"> </w:t>
      </w:r>
      <w:r w:rsidRPr="00DE3C61">
        <w:rPr>
          <w:rFonts w:ascii="Arial" w:hAnsi="Arial" w:cs="Arial"/>
          <w:b/>
          <w:bCs/>
        </w:rPr>
        <w:t xml:space="preserve">Total cholesterol levels </w:t>
      </w:r>
      <w:r w:rsidR="002859D9">
        <w:rPr>
          <w:rFonts w:ascii="Arial" w:hAnsi="Arial" w:cs="Arial"/>
          <w:b/>
          <w:bCs/>
        </w:rPr>
        <w:t>post-</w:t>
      </w:r>
      <w:r w:rsidR="006A6FFE">
        <w:rPr>
          <w:rFonts w:ascii="Arial" w:hAnsi="Arial" w:cs="Arial"/>
          <w:b/>
          <w:bCs/>
        </w:rPr>
        <w:t>induction</w:t>
      </w:r>
      <w:r w:rsidR="002859D9">
        <w:rPr>
          <w:rFonts w:ascii="Arial" w:hAnsi="Arial" w:cs="Arial"/>
          <w:b/>
          <w:bCs/>
        </w:rPr>
        <w:t xml:space="preserve"> (T17)</w:t>
      </w:r>
      <w:r w:rsidR="006A6FFE">
        <w:rPr>
          <w:rFonts w:ascii="Arial" w:hAnsi="Arial" w:cs="Arial"/>
          <w:b/>
          <w:bCs/>
        </w:rPr>
        <w:t xml:space="preserve"> and </w:t>
      </w:r>
      <w:r w:rsidR="002859D9">
        <w:rPr>
          <w:rFonts w:ascii="Arial" w:hAnsi="Arial" w:cs="Arial"/>
          <w:b/>
          <w:bCs/>
        </w:rPr>
        <w:t>post-</w:t>
      </w:r>
      <w:r w:rsidR="006A6FFE">
        <w:rPr>
          <w:rFonts w:ascii="Arial" w:hAnsi="Arial" w:cs="Arial"/>
          <w:b/>
          <w:bCs/>
        </w:rPr>
        <w:t>treatment</w:t>
      </w:r>
      <w:r w:rsidR="002859D9">
        <w:rPr>
          <w:rFonts w:ascii="Arial" w:hAnsi="Arial" w:cs="Arial"/>
          <w:b/>
          <w:bCs/>
        </w:rPr>
        <w:t xml:space="preserve"> (T45)</w:t>
      </w:r>
      <w:r w:rsidRPr="00DE3C61">
        <w:rPr>
          <w:rFonts w:ascii="Arial" w:hAnsi="Arial" w:cs="Arial"/>
          <w:b/>
          <w:bCs/>
        </w:rPr>
        <w:t xml:space="preserve"> with percentage </w:t>
      </w:r>
      <w:r w:rsidR="005F2AA2">
        <w:rPr>
          <w:rFonts w:ascii="Arial" w:hAnsi="Arial" w:cs="Arial"/>
          <w:b/>
          <w:bCs/>
        </w:rPr>
        <w:t xml:space="preserve">decrease </w:t>
      </w:r>
      <w:r w:rsidRPr="00DE3C61">
        <w:rPr>
          <w:rFonts w:ascii="Arial" w:hAnsi="Arial" w:cs="Arial"/>
          <w:b/>
          <w:bCs/>
        </w:rPr>
        <w:t>(%)</w:t>
      </w:r>
    </w:p>
    <w:p w14:paraId="6A96166B" w14:textId="77777777" w:rsidR="00D635D7" w:rsidRDefault="00D635D7" w:rsidP="00D635D7">
      <w:pPr>
        <w:pStyle w:val="Body"/>
        <w:spacing w:after="0"/>
        <w:rPr>
          <w:rFonts w:ascii="Arial" w:hAnsi="Arial" w:cs="Arial"/>
        </w:rPr>
      </w:pPr>
    </w:p>
    <w:tbl>
      <w:tblPr>
        <w:tblStyle w:val="TableGrid"/>
        <w:tblW w:w="8897" w:type="dxa"/>
        <w:tblLook w:val="01E0" w:firstRow="1" w:lastRow="1" w:firstColumn="1" w:lastColumn="1" w:noHBand="0" w:noVBand="0"/>
      </w:tblPr>
      <w:tblGrid>
        <w:gridCol w:w="2093"/>
        <w:gridCol w:w="2266"/>
        <w:gridCol w:w="1987"/>
        <w:gridCol w:w="2551"/>
      </w:tblGrid>
      <w:tr w:rsidR="00D635D7" w:rsidRPr="00DC3180" w14:paraId="09EFD5A5" w14:textId="77777777" w:rsidTr="00A215CA">
        <w:tc>
          <w:tcPr>
            <w:tcW w:w="2093" w:type="dxa"/>
            <w:tcBorders>
              <w:left w:val="single" w:sz="4" w:space="0" w:color="FFFFFF" w:themeColor="background1"/>
              <w:right w:val="single" w:sz="4" w:space="0" w:color="FFFFFF" w:themeColor="background1"/>
            </w:tcBorders>
          </w:tcPr>
          <w:p w14:paraId="1AE6F3AB" w14:textId="2469E133" w:rsidR="00D635D7" w:rsidRPr="00DC3180" w:rsidRDefault="00D635D7" w:rsidP="00A916CB">
            <w:pPr>
              <w:jc w:val="center"/>
              <w:rPr>
                <w:rFonts w:ascii="Arial" w:hAnsi="Arial"/>
                <w:b/>
                <w:bCs/>
              </w:rPr>
            </w:pPr>
            <w:r>
              <w:rPr>
                <w:rFonts w:ascii="Arial" w:hAnsi="Arial"/>
                <w:b/>
                <w:bCs/>
              </w:rPr>
              <w:t>Groups</w:t>
            </w:r>
          </w:p>
        </w:tc>
        <w:tc>
          <w:tcPr>
            <w:tcW w:w="2266" w:type="dxa"/>
            <w:tcBorders>
              <w:left w:val="single" w:sz="4" w:space="0" w:color="FFFFFF" w:themeColor="background1"/>
              <w:right w:val="single" w:sz="4" w:space="0" w:color="FFFFFF" w:themeColor="background1"/>
            </w:tcBorders>
          </w:tcPr>
          <w:p w14:paraId="291EB712" w14:textId="6FB1C8BF" w:rsidR="00D635D7" w:rsidRPr="00DC3180" w:rsidRDefault="00D635D7" w:rsidP="00A916CB">
            <w:pPr>
              <w:jc w:val="center"/>
              <w:rPr>
                <w:rFonts w:ascii="Arial" w:hAnsi="Arial"/>
                <w:b/>
                <w:bCs/>
              </w:rPr>
            </w:pPr>
            <w:r>
              <w:rPr>
                <w:rFonts w:ascii="Arial" w:hAnsi="Arial"/>
                <w:b/>
                <w:bCs/>
              </w:rPr>
              <w:t>T17 (mg/dL)</w:t>
            </w:r>
          </w:p>
        </w:tc>
        <w:tc>
          <w:tcPr>
            <w:tcW w:w="1987" w:type="dxa"/>
            <w:tcBorders>
              <w:left w:val="single" w:sz="4" w:space="0" w:color="FFFFFF" w:themeColor="background1"/>
              <w:right w:val="single" w:sz="4" w:space="0" w:color="FFFFFF" w:themeColor="background1"/>
            </w:tcBorders>
          </w:tcPr>
          <w:p w14:paraId="1A62001D" w14:textId="003F52B5" w:rsidR="00D635D7" w:rsidRPr="00DC3180" w:rsidRDefault="00D635D7" w:rsidP="00A916CB">
            <w:pPr>
              <w:jc w:val="center"/>
              <w:rPr>
                <w:rFonts w:ascii="Arial" w:hAnsi="Arial"/>
                <w:b/>
                <w:bCs/>
              </w:rPr>
            </w:pPr>
            <w:r>
              <w:rPr>
                <w:rFonts w:ascii="Arial" w:hAnsi="Arial"/>
                <w:b/>
                <w:bCs/>
              </w:rPr>
              <w:t>T45 (mg/dL)</w:t>
            </w:r>
          </w:p>
        </w:tc>
        <w:tc>
          <w:tcPr>
            <w:tcW w:w="2551" w:type="dxa"/>
            <w:tcBorders>
              <w:left w:val="single" w:sz="4" w:space="0" w:color="FFFFFF" w:themeColor="background1"/>
              <w:right w:val="single" w:sz="4" w:space="0" w:color="FFFFFF" w:themeColor="background1"/>
            </w:tcBorders>
          </w:tcPr>
          <w:p w14:paraId="3CAB1275" w14:textId="74347F9C" w:rsidR="00D635D7" w:rsidRDefault="00D635D7" w:rsidP="00A916CB">
            <w:pPr>
              <w:jc w:val="center"/>
              <w:rPr>
                <w:rFonts w:ascii="Arial" w:hAnsi="Arial"/>
                <w:b/>
                <w:bCs/>
              </w:rPr>
            </w:pPr>
            <w:r>
              <w:rPr>
                <w:rFonts w:ascii="Arial" w:hAnsi="Arial"/>
                <w:b/>
                <w:bCs/>
              </w:rPr>
              <w:t>Percent Decrease (%)</w:t>
            </w:r>
          </w:p>
        </w:tc>
      </w:tr>
      <w:tr w:rsidR="005F2AA2" w:rsidRPr="00DC3180" w14:paraId="50712E0A" w14:textId="77777777" w:rsidTr="00A215CA">
        <w:trPr>
          <w:trHeight w:val="146"/>
          <w:hidden/>
        </w:trPr>
        <w:tc>
          <w:tcPr>
            <w:tcW w:w="2093" w:type="dxa"/>
            <w:tcBorders>
              <w:left w:val="single" w:sz="4" w:space="0" w:color="FFFFFF" w:themeColor="background1"/>
              <w:right w:val="single" w:sz="4" w:space="0" w:color="FFFFFF" w:themeColor="background1"/>
            </w:tcBorders>
            <w:vAlign w:val="center"/>
          </w:tcPr>
          <w:p w14:paraId="50E3C4D3" w14:textId="77777777" w:rsidR="005F2AA2" w:rsidRPr="00D678F7" w:rsidRDefault="005F2AA2" w:rsidP="005F2AA2">
            <w:pPr>
              <w:jc w:val="center"/>
              <w:rPr>
                <w:rFonts w:ascii="Arial" w:hAnsi="Arial"/>
                <w:vanish/>
                <w:sz w:val="20"/>
                <w:szCs w:val="20"/>
              </w:rPr>
            </w:pPr>
          </w:p>
          <w:p w14:paraId="4D02C119" w14:textId="723BCFEB" w:rsidR="005F2AA2" w:rsidRPr="00D678F7" w:rsidRDefault="005F2AA2" w:rsidP="005F2AA2">
            <w:pPr>
              <w:jc w:val="center"/>
              <w:rPr>
                <w:rFonts w:ascii="Arial" w:hAnsi="Arial"/>
                <w:sz w:val="20"/>
                <w:szCs w:val="20"/>
              </w:rPr>
            </w:pPr>
            <w:r>
              <w:rPr>
                <w:rFonts w:ascii="Arial" w:hAnsi="Arial"/>
                <w:sz w:val="20"/>
                <w:szCs w:val="20"/>
              </w:rPr>
              <w:t>Negative</w:t>
            </w:r>
            <w:r w:rsidR="006A6FFE">
              <w:rPr>
                <w:rFonts w:ascii="Arial" w:hAnsi="Arial"/>
                <w:sz w:val="20"/>
                <w:szCs w:val="20"/>
              </w:rPr>
              <w:t xml:space="preserve"> </w:t>
            </w:r>
          </w:p>
        </w:tc>
        <w:tc>
          <w:tcPr>
            <w:tcW w:w="2266" w:type="dxa"/>
            <w:tcBorders>
              <w:left w:val="single" w:sz="4" w:space="0" w:color="FFFFFF" w:themeColor="background1"/>
              <w:right w:val="single" w:sz="4" w:space="0" w:color="FFFFFF" w:themeColor="background1"/>
            </w:tcBorders>
            <w:vAlign w:val="center"/>
          </w:tcPr>
          <w:p w14:paraId="7DB6ABE1" w14:textId="36AA69E0" w:rsidR="005F2AA2" w:rsidRPr="008F409E" w:rsidRDefault="005F2AA2" w:rsidP="005F2AA2">
            <w:pPr>
              <w:jc w:val="center"/>
              <w:rPr>
                <w:rFonts w:ascii="Arial" w:hAnsi="Arial" w:cs="Arial"/>
                <w:sz w:val="20"/>
                <w:szCs w:val="20"/>
              </w:rPr>
            </w:pPr>
            <w:r w:rsidRPr="008F409E">
              <w:rPr>
                <w:rFonts w:ascii="Arial" w:hAnsi="Arial" w:cs="Arial"/>
                <w:color w:val="000000"/>
                <w:sz w:val="20"/>
                <w:szCs w:val="24"/>
              </w:rPr>
              <w:t>123</w:t>
            </w:r>
            <w:r w:rsidR="00706050">
              <w:rPr>
                <w:rFonts w:ascii="Arial" w:hAnsi="Arial" w:cs="Arial"/>
                <w:color w:val="000000"/>
                <w:sz w:val="20"/>
                <w:szCs w:val="24"/>
              </w:rPr>
              <w:t>.</w:t>
            </w:r>
            <w:r w:rsidRPr="008F409E">
              <w:rPr>
                <w:rFonts w:ascii="Arial" w:hAnsi="Arial" w:cs="Arial"/>
                <w:color w:val="000000"/>
                <w:sz w:val="20"/>
                <w:szCs w:val="24"/>
              </w:rPr>
              <w:t>2</w:t>
            </w:r>
            <w:r w:rsidR="002859D9">
              <w:rPr>
                <w:rFonts w:ascii="Arial" w:hAnsi="Arial" w:cs="Arial"/>
                <w:color w:val="000000"/>
                <w:sz w:val="20"/>
                <w:szCs w:val="24"/>
              </w:rPr>
              <w:t>0</w:t>
            </w:r>
            <w:r w:rsidRPr="008F409E">
              <w:rPr>
                <w:rFonts w:ascii="Arial" w:hAnsi="Arial" w:cs="Arial"/>
                <w:color w:val="000000"/>
                <w:sz w:val="20"/>
                <w:szCs w:val="24"/>
              </w:rPr>
              <w:t xml:space="preserve"> ± 27</w:t>
            </w:r>
            <w:r w:rsidR="00706050">
              <w:rPr>
                <w:rFonts w:ascii="Arial" w:hAnsi="Arial" w:cs="Arial"/>
                <w:color w:val="000000"/>
                <w:sz w:val="20"/>
                <w:szCs w:val="24"/>
              </w:rPr>
              <w:t>.</w:t>
            </w:r>
            <w:r w:rsidRPr="008F409E">
              <w:rPr>
                <w:rFonts w:ascii="Arial" w:hAnsi="Arial" w:cs="Arial"/>
                <w:color w:val="000000"/>
                <w:sz w:val="20"/>
                <w:szCs w:val="24"/>
              </w:rPr>
              <w:t>82</w:t>
            </w:r>
          </w:p>
        </w:tc>
        <w:tc>
          <w:tcPr>
            <w:tcW w:w="1987" w:type="dxa"/>
            <w:tcBorders>
              <w:left w:val="single" w:sz="4" w:space="0" w:color="FFFFFF" w:themeColor="background1"/>
              <w:right w:val="single" w:sz="4" w:space="0" w:color="FFFFFF" w:themeColor="background1"/>
            </w:tcBorders>
            <w:vAlign w:val="center"/>
          </w:tcPr>
          <w:p w14:paraId="63ECC1BC" w14:textId="50AFF986" w:rsidR="005F2AA2" w:rsidRPr="008F409E" w:rsidRDefault="008F409E" w:rsidP="005F2AA2">
            <w:pPr>
              <w:jc w:val="center"/>
              <w:rPr>
                <w:rFonts w:ascii="Arial" w:hAnsi="Arial" w:cs="Arial"/>
                <w:b/>
                <w:bCs/>
                <w:sz w:val="20"/>
                <w:szCs w:val="20"/>
              </w:rPr>
            </w:pPr>
            <w:r w:rsidRPr="008F409E">
              <w:rPr>
                <w:rFonts w:ascii="Arial" w:hAnsi="Arial" w:cs="Arial"/>
                <w:color w:val="000000"/>
                <w:sz w:val="20"/>
                <w:szCs w:val="24"/>
              </w:rPr>
              <w:t>90</w:t>
            </w:r>
            <w:r w:rsidR="002859D9">
              <w:rPr>
                <w:rFonts w:ascii="Arial" w:hAnsi="Arial" w:cs="Arial"/>
                <w:color w:val="000000"/>
                <w:sz w:val="20"/>
                <w:szCs w:val="24"/>
              </w:rPr>
              <w:t>.00</w:t>
            </w:r>
            <w:r w:rsidR="005F2AA2" w:rsidRPr="008F409E">
              <w:rPr>
                <w:rFonts w:ascii="Arial" w:hAnsi="Arial" w:cs="Arial"/>
                <w:color w:val="000000"/>
                <w:sz w:val="20"/>
                <w:szCs w:val="24"/>
              </w:rPr>
              <w:t xml:space="preserve"> ±</w:t>
            </w:r>
            <w:r w:rsidRPr="008F409E">
              <w:rPr>
                <w:rFonts w:ascii="Arial" w:hAnsi="Arial" w:cs="Arial"/>
                <w:color w:val="000000"/>
                <w:sz w:val="20"/>
                <w:szCs w:val="24"/>
              </w:rPr>
              <w:t xml:space="preserve"> 4</w:t>
            </w:r>
            <w:r w:rsidR="00706050">
              <w:rPr>
                <w:rFonts w:ascii="Arial" w:hAnsi="Arial" w:cs="Arial"/>
                <w:color w:val="000000"/>
                <w:sz w:val="20"/>
                <w:szCs w:val="24"/>
              </w:rPr>
              <w:t>.</w:t>
            </w:r>
            <w:r w:rsidRPr="008F409E">
              <w:rPr>
                <w:rFonts w:ascii="Arial" w:hAnsi="Arial" w:cs="Arial"/>
                <w:color w:val="000000"/>
                <w:sz w:val="20"/>
                <w:szCs w:val="24"/>
              </w:rPr>
              <w:t>77</w:t>
            </w:r>
          </w:p>
        </w:tc>
        <w:tc>
          <w:tcPr>
            <w:tcW w:w="2551" w:type="dxa"/>
            <w:tcBorders>
              <w:left w:val="single" w:sz="4" w:space="0" w:color="FFFFFF" w:themeColor="background1"/>
              <w:right w:val="single" w:sz="4" w:space="0" w:color="FFFFFF" w:themeColor="background1"/>
            </w:tcBorders>
            <w:vAlign w:val="center"/>
          </w:tcPr>
          <w:p w14:paraId="0CD131D3" w14:textId="6C276854" w:rsidR="005F2AA2" w:rsidRPr="008F409E" w:rsidRDefault="005F2AA2" w:rsidP="005F2AA2">
            <w:pPr>
              <w:jc w:val="center"/>
              <w:rPr>
                <w:rFonts w:ascii="Arial" w:hAnsi="Arial" w:cs="Arial"/>
                <w:sz w:val="20"/>
                <w:szCs w:val="20"/>
              </w:rPr>
            </w:pPr>
            <w:r w:rsidRPr="008F409E">
              <w:rPr>
                <w:rFonts w:ascii="Arial" w:hAnsi="Arial" w:cs="Arial"/>
                <w:color w:val="000000"/>
                <w:sz w:val="20"/>
                <w:szCs w:val="24"/>
              </w:rPr>
              <w:t>22</w:t>
            </w:r>
            <w:r w:rsidR="00706050">
              <w:rPr>
                <w:rFonts w:ascii="Arial" w:hAnsi="Arial" w:cs="Arial"/>
                <w:color w:val="000000"/>
                <w:sz w:val="20"/>
                <w:szCs w:val="24"/>
              </w:rPr>
              <w:t>.</w:t>
            </w:r>
            <w:r w:rsidRPr="008F409E">
              <w:rPr>
                <w:rFonts w:ascii="Arial" w:hAnsi="Arial" w:cs="Arial"/>
                <w:color w:val="000000"/>
                <w:sz w:val="20"/>
                <w:szCs w:val="24"/>
              </w:rPr>
              <w:t>11 ± 21</w:t>
            </w:r>
            <w:r w:rsidR="00706050">
              <w:rPr>
                <w:rFonts w:ascii="Arial" w:hAnsi="Arial" w:cs="Arial"/>
                <w:color w:val="000000"/>
                <w:sz w:val="20"/>
                <w:szCs w:val="24"/>
              </w:rPr>
              <w:t>.</w:t>
            </w:r>
            <w:r w:rsidRPr="008F409E">
              <w:rPr>
                <w:rFonts w:ascii="Arial" w:hAnsi="Arial" w:cs="Arial"/>
                <w:color w:val="000000"/>
                <w:sz w:val="20"/>
                <w:szCs w:val="24"/>
              </w:rPr>
              <w:t>76</w:t>
            </w:r>
          </w:p>
        </w:tc>
      </w:tr>
      <w:tr w:rsidR="008F409E" w:rsidRPr="00DC3180" w14:paraId="16A1C55B" w14:textId="77777777" w:rsidTr="00A215CA">
        <w:trPr>
          <w:trHeight w:val="67"/>
        </w:trPr>
        <w:tc>
          <w:tcPr>
            <w:tcW w:w="2093" w:type="dxa"/>
            <w:tcBorders>
              <w:left w:val="single" w:sz="4" w:space="0" w:color="FFFFFF" w:themeColor="background1"/>
              <w:right w:val="single" w:sz="4" w:space="0" w:color="FFFFFF" w:themeColor="background1"/>
            </w:tcBorders>
            <w:vAlign w:val="center"/>
          </w:tcPr>
          <w:p w14:paraId="0475FDC0" w14:textId="6ABFB3EE" w:rsidR="008F409E" w:rsidRPr="00D678F7" w:rsidRDefault="008F409E" w:rsidP="008F409E">
            <w:pPr>
              <w:jc w:val="center"/>
              <w:rPr>
                <w:rFonts w:ascii="Arial" w:hAnsi="Arial"/>
                <w:vanish/>
              </w:rPr>
            </w:pPr>
            <w:r>
              <w:rPr>
                <w:rFonts w:ascii="Arial" w:hAnsi="Arial"/>
              </w:rPr>
              <w:t>Positive</w:t>
            </w:r>
          </w:p>
        </w:tc>
        <w:tc>
          <w:tcPr>
            <w:tcW w:w="2266" w:type="dxa"/>
            <w:tcBorders>
              <w:left w:val="single" w:sz="4" w:space="0" w:color="FFFFFF" w:themeColor="background1"/>
              <w:right w:val="single" w:sz="4" w:space="0" w:color="FFFFFF" w:themeColor="background1"/>
            </w:tcBorders>
            <w:vAlign w:val="center"/>
          </w:tcPr>
          <w:p w14:paraId="3D946D8A" w14:textId="42AC838D" w:rsidR="008F409E" w:rsidRPr="00DE3C61" w:rsidRDefault="008F409E" w:rsidP="008F409E">
            <w:pPr>
              <w:jc w:val="center"/>
              <w:rPr>
                <w:rFonts w:ascii="Arial" w:hAnsi="Arial" w:cs="Arial"/>
              </w:rPr>
            </w:pPr>
            <w:r w:rsidRPr="008F409E">
              <w:rPr>
                <w:rFonts w:ascii="Arial" w:hAnsi="Arial" w:cs="Arial"/>
                <w:color w:val="000000"/>
                <w:sz w:val="20"/>
                <w:szCs w:val="24"/>
              </w:rPr>
              <w:t>12</w:t>
            </w:r>
            <w:r>
              <w:rPr>
                <w:rFonts w:ascii="Arial" w:hAnsi="Arial" w:cs="Arial"/>
                <w:color w:val="000000"/>
                <w:sz w:val="20"/>
                <w:szCs w:val="24"/>
              </w:rPr>
              <w:t>5</w:t>
            </w:r>
            <w:r w:rsidR="00706050">
              <w:rPr>
                <w:rFonts w:ascii="Arial" w:hAnsi="Arial" w:cs="Arial"/>
                <w:color w:val="000000"/>
                <w:sz w:val="20"/>
                <w:szCs w:val="24"/>
              </w:rPr>
              <w:t>.</w:t>
            </w:r>
            <w:r>
              <w:rPr>
                <w:rFonts w:ascii="Arial" w:hAnsi="Arial" w:cs="Arial"/>
                <w:color w:val="000000"/>
                <w:sz w:val="20"/>
                <w:szCs w:val="24"/>
              </w:rPr>
              <w:t>4</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13</w:t>
            </w:r>
            <w:r w:rsidR="00706050">
              <w:rPr>
                <w:rFonts w:ascii="Arial" w:hAnsi="Arial" w:cs="Arial"/>
                <w:color w:val="000000"/>
                <w:sz w:val="20"/>
                <w:szCs w:val="24"/>
              </w:rPr>
              <w:t>.</w:t>
            </w:r>
            <w:r>
              <w:rPr>
                <w:rFonts w:ascii="Arial" w:hAnsi="Arial" w:cs="Arial"/>
                <w:color w:val="000000"/>
                <w:sz w:val="20"/>
                <w:szCs w:val="24"/>
              </w:rPr>
              <w:t>15</w:t>
            </w:r>
          </w:p>
        </w:tc>
        <w:tc>
          <w:tcPr>
            <w:tcW w:w="1987" w:type="dxa"/>
            <w:tcBorders>
              <w:left w:val="single" w:sz="4" w:space="0" w:color="FFFFFF" w:themeColor="background1"/>
              <w:right w:val="single" w:sz="4" w:space="0" w:color="FFFFFF" w:themeColor="background1"/>
            </w:tcBorders>
            <w:vAlign w:val="center"/>
          </w:tcPr>
          <w:p w14:paraId="023B2938" w14:textId="0A046FF6" w:rsidR="008F409E" w:rsidRPr="00DE3C61" w:rsidRDefault="008F409E" w:rsidP="008F409E">
            <w:pPr>
              <w:jc w:val="center"/>
              <w:rPr>
                <w:rFonts w:ascii="Arial" w:hAnsi="Arial" w:cs="Arial"/>
              </w:rPr>
            </w:pPr>
            <w:r>
              <w:rPr>
                <w:rFonts w:ascii="Arial" w:hAnsi="Arial" w:cs="Arial"/>
                <w:color w:val="000000"/>
                <w:sz w:val="20"/>
                <w:szCs w:val="24"/>
              </w:rPr>
              <w:t>74</w:t>
            </w:r>
            <w:r w:rsidR="00706050">
              <w:rPr>
                <w:rFonts w:ascii="Arial" w:hAnsi="Arial" w:cs="Arial"/>
                <w:color w:val="000000"/>
                <w:sz w:val="20"/>
                <w:szCs w:val="24"/>
              </w:rPr>
              <w:t>.</w:t>
            </w:r>
            <w:r>
              <w:rPr>
                <w:rFonts w:ascii="Arial" w:hAnsi="Arial" w:cs="Arial"/>
                <w:color w:val="000000"/>
                <w:sz w:val="20"/>
                <w:szCs w:val="24"/>
              </w:rPr>
              <w:t>8</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10</w:t>
            </w:r>
            <w:r w:rsidR="00706050">
              <w:rPr>
                <w:rFonts w:ascii="Arial" w:hAnsi="Arial" w:cs="Arial"/>
                <w:color w:val="000000"/>
                <w:sz w:val="20"/>
                <w:szCs w:val="24"/>
              </w:rPr>
              <w:t>.</w:t>
            </w:r>
            <w:r>
              <w:rPr>
                <w:rFonts w:ascii="Arial" w:hAnsi="Arial" w:cs="Arial"/>
                <w:color w:val="000000"/>
                <w:sz w:val="20"/>
                <w:szCs w:val="24"/>
              </w:rPr>
              <w:t>17</w:t>
            </w:r>
          </w:p>
        </w:tc>
        <w:tc>
          <w:tcPr>
            <w:tcW w:w="2551" w:type="dxa"/>
            <w:tcBorders>
              <w:left w:val="single" w:sz="4" w:space="0" w:color="FFFFFF" w:themeColor="background1"/>
              <w:right w:val="single" w:sz="4" w:space="0" w:color="FFFFFF" w:themeColor="background1"/>
            </w:tcBorders>
            <w:vAlign w:val="center"/>
          </w:tcPr>
          <w:p w14:paraId="32A8F3E7" w14:textId="3B603B46" w:rsidR="008F409E" w:rsidRPr="00DE3C61" w:rsidRDefault="008F409E" w:rsidP="008F409E">
            <w:pPr>
              <w:jc w:val="center"/>
              <w:rPr>
                <w:rFonts w:ascii="Arial" w:hAnsi="Arial" w:cs="Arial"/>
              </w:rPr>
            </w:pPr>
            <w:r>
              <w:rPr>
                <w:rFonts w:ascii="Arial" w:hAnsi="Arial" w:cs="Arial"/>
                <w:color w:val="000000"/>
                <w:sz w:val="20"/>
                <w:szCs w:val="24"/>
              </w:rPr>
              <w:t>40</w:t>
            </w:r>
            <w:r w:rsidR="00706050">
              <w:rPr>
                <w:rFonts w:ascii="Arial" w:hAnsi="Arial" w:cs="Arial"/>
                <w:color w:val="000000"/>
                <w:sz w:val="20"/>
                <w:szCs w:val="24"/>
              </w:rPr>
              <w:t>.</w:t>
            </w:r>
            <w:r>
              <w:rPr>
                <w:rFonts w:ascii="Arial" w:hAnsi="Arial" w:cs="Arial"/>
                <w:color w:val="000000"/>
                <w:sz w:val="20"/>
                <w:szCs w:val="24"/>
              </w:rPr>
              <w:t>26</w:t>
            </w:r>
            <w:r w:rsidRPr="008F409E">
              <w:rPr>
                <w:rFonts w:ascii="Arial" w:hAnsi="Arial" w:cs="Arial"/>
                <w:color w:val="000000"/>
                <w:sz w:val="20"/>
                <w:szCs w:val="24"/>
              </w:rPr>
              <w:t xml:space="preserve"> ± </w:t>
            </w:r>
            <w:r>
              <w:rPr>
                <w:rFonts w:ascii="Arial" w:hAnsi="Arial" w:cs="Arial"/>
                <w:color w:val="000000"/>
                <w:sz w:val="20"/>
                <w:szCs w:val="24"/>
              </w:rPr>
              <w:t>6</w:t>
            </w:r>
            <w:r w:rsidR="00706050">
              <w:rPr>
                <w:rFonts w:ascii="Arial" w:hAnsi="Arial" w:cs="Arial"/>
                <w:color w:val="000000"/>
                <w:sz w:val="20"/>
                <w:szCs w:val="24"/>
              </w:rPr>
              <w:t>.</w:t>
            </w:r>
            <w:r>
              <w:rPr>
                <w:rFonts w:ascii="Arial" w:hAnsi="Arial" w:cs="Arial"/>
                <w:color w:val="000000"/>
                <w:sz w:val="20"/>
                <w:szCs w:val="24"/>
              </w:rPr>
              <w:t>77</w:t>
            </w:r>
          </w:p>
        </w:tc>
      </w:tr>
      <w:tr w:rsidR="008F409E" w:rsidRPr="00DC3180" w14:paraId="59154CA7" w14:textId="77777777" w:rsidTr="00A215CA">
        <w:trPr>
          <w:trHeight w:val="68"/>
        </w:trPr>
        <w:tc>
          <w:tcPr>
            <w:tcW w:w="2093" w:type="dxa"/>
            <w:tcBorders>
              <w:left w:val="single" w:sz="4" w:space="0" w:color="FFFFFF" w:themeColor="background1"/>
              <w:right w:val="single" w:sz="4" w:space="0" w:color="FFFFFF" w:themeColor="background1"/>
            </w:tcBorders>
            <w:vAlign w:val="center"/>
          </w:tcPr>
          <w:p w14:paraId="571CF5C5" w14:textId="7291432A" w:rsidR="008F409E" w:rsidRPr="00D635D7" w:rsidRDefault="0016167E" w:rsidP="008F409E">
            <w:pPr>
              <w:jc w:val="center"/>
              <w:rPr>
                <w:rFonts w:ascii="Arial" w:hAnsi="Arial"/>
                <w:vanish/>
                <w:sz w:val="20"/>
                <w:szCs w:val="20"/>
              </w:rPr>
            </w:pPr>
            <w:r>
              <w:rPr>
                <w:rFonts w:ascii="Arial" w:hAnsi="Arial"/>
                <w:sz w:val="20"/>
                <w:szCs w:val="20"/>
              </w:rPr>
              <w:t>EEAF</w:t>
            </w:r>
            <w:r w:rsidR="008F409E" w:rsidRPr="00D635D7">
              <w:rPr>
                <w:rFonts w:ascii="Arial" w:hAnsi="Arial"/>
                <w:sz w:val="20"/>
                <w:szCs w:val="20"/>
              </w:rPr>
              <w:t xml:space="preserve"> 30mg/kg</w:t>
            </w:r>
            <w:r w:rsidR="006A6FFE">
              <w:rPr>
                <w:rFonts w:ascii="Arial" w:hAnsi="Arial"/>
                <w:sz w:val="20"/>
                <w:szCs w:val="20"/>
              </w:rPr>
              <w:t xml:space="preserve"> </w:t>
            </w:r>
            <w:r w:rsidR="008F409E" w:rsidRPr="00D635D7">
              <w:rPr>
                <w:rFonts w:ascii="Arial" w:hAnsi="Arial"/>
                <w:sz w:val="20"/>
                <w:szCs w:val="20"/>
              </w:rPr>
              <w:t>B</w:t>
            </w:r>
            <w:r w:rsidR="00A215CA">
              <w:rPr>
                <w:rFonts w:ascii="Arial" w:hAnsi="Arial"/>
                <w:sz w:val="20"/>
                <w:szCs w:val="20"/>
              </w:rPr>
              <w:t>W</w:t>
            </w:r>
          </w:p>
        </w:tc>
        <w:tc>
          <w:tcPr>
            <w:tcW w:w="2266" w:type="dxa"/>
            <w:tcBorders>
              <w:left w:val="single" w:sz="4" w:space="0" w:color="FFFFFF" w:themeColor="background1"/>
              <w:right w:val="single" w:sz="4" w:space="0" w:color="FFFFFF" w:themeColor="background1"/>
            </w:tcBorders>
            <w:vAlign w:val="center"/>
          </w:tcPr>
          <w:p w14:paraId="0D0D6BDF" w14:textId="6F3F9581" w:rsidR="008F409E" w:rsidRPr="00DE3C61" w:rsidRDefault="008F409E" w:rsidP="008F409E">
            <w:pPr>
              <w:jc w:val="center"/>
              <w:rPr>
                <w:rFonts w:ascii="Arial" w:hAnsi="Arial" w:cs="Arial"/>
              </w:rPr>
            </w:pPr>
            <w:r w:rsidRPr="008F409E">
              <w:rPr>
                <w:rFonts w:ascii="Arial" w:hAnsi="Arial" w:cs="Arial"/>
                <w:color w:val="000000"/>
                <w:sz w:val="20"/>
                <w:szCs w:val="24"/>
              </w:rPr>
              <w:t>12</w:t>
            </w:r>
            <w:r>
              <w:rPr>
                <w:rFonts w:ascii="Arial" w:hAnsi="Arial" w:cs="Arial"/>
                <w:color w:val="000000"/>
                <w:sz w:val="20"/>
                <w:szCs w:val="24"/>
              </w:rPr>
              <w:t>6</w:t>
            </w:r>
            <w:r w:rsidR="00706050">
              <w:rPr>
                <w:rFonts w:ascii="Arial" w:hAnsi="Arial" w:cs="Arial"/>
                <w:color w:val="000000"/>
                <w:sz w:val="20"/>
                <w:szCs w:val="24"/>
              </w:rPr>
              <w:t>.</w:t>
            </w:r>
            <w:r>
              <w:rPr>
                <w:rFonts w:ascii="Arial" w:hAnsi="Arial" w:cs="Arial"/>
                <w:color w:val="000000"/>
                <w:sz w:val="20"/>
                <w:szCs w:val="24"/>
              </w:rPr>
              <w:t>6</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6</w:t>
            </w:r>
            <w:r w:rsidR="00706050">
              <w:rPr>
                <w:rFonts w:ascii="Arial" w:hAnsi="Arial" w:cs="Arial"/>
                <w:color w:val="000000"/>
                <w:sz w:val="20"/>
                <w:szCs w:val="24"/>
              </w:rPr>
              <w:t>.</w:t>
            </w:r>
            <w:r>
              <w:rPr>
                <w:rFonts w:ascii="Arial" w:hAnsi="Arial" w:cs="Arial"/>
                <w:color w:val="000000"/>
                <w:sz w:val="20"/>
                <w:szCs w:val="24"/>
              </w:rPr>
              <w:t>65</w:t>
            </w:r>
          </w:p>
        </w:tc>
        <w:tc>
          <w:tcPr>
            <w:tcW w:w="1987" w:type="dxa"/>
            <w:tcBorders>
              <w:left w:val="single" w:sz="4" w:space="0" w:color="FFFFFF" w:themeColor="background1"/>
              <w:right w:val="single" w:sz="4" w:space="0" w:color="FFFFFF" w:themeColor="background1"/>
            </w:tcBorders>
            <w:vAlign w:val="center"/>
          </w:tcPr>
          <w:p w14:paraId="56F013AA" w14:textId="6747E185" w:rsidR="008F409E" w:rsidRPr="00DE3C61" w:rsidRDefault="008F409E" w:rsidP="008F409E">
            <w:pPr>
              <w:jc w:val="center"/>
              <w:rPr>
                <w:rFonts w:ascii="Arial" w:hAnsi="Arial" w:cs="Arial"/>
              </w:rPr>
            </w:pPr>
            <w:r>
              <w:rPr>
                <w:rFonts w:ascii="Arial" w:hAnsi="Arial" w:cs="Arial"/>
                <w:color w:val="000000"/>
                <w:sz w:val="20"/>
                <w:szCs w:val="24"/>
              </w:rPr>
              <w:t>65</w:t>
            </w:r>
            <w:r w:rsidR="00706050">
              <w:rPr>
                <w:rFonts w:ascii="Arial" w:hAnsi="Arial" w:cs="Arial"/>
                <w:color w:val="000000"/>
                <w:sz w:val="20"/>
                <w:szCs w:val="24"/>
              </w:rPr>
              <w:t>.</w:t>
            </w:r>
            <w:r>
              <w:rPr>
                <w:rFonts w:ascii="Arial" w:hAnsi="Arial" w:cs="Arial"/>
                <w:color w:val="000000"/>
                <w:sz w:val="20"/>
                <w:szCs w:val="24"/>
              </w:rPr>
              <w:t>6</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11</w:t>
            </w:r>
            <w:r w:rsidR="00706050">
              <w:rPr>
                <w:rFonts w:ascii="Arial" w:hAnsi="Arial" w:cs="Arial"/>
                <w:color w:val="000000"/>
                <w:sz w:val="20"/>
                <w:szCs w:val="24"/>
              </w:rPr>
              <w:t>.</w:t>
            </w:r>
            <w:r>
              <w:rPr>
                <w:rFonts w:ascii="Arial" w:hAnsi="Arial" w:cs="Arial"/>
                <w:color w:val="000000"/>
                <w:sz w:val="20"/>
                <w:szCs w:val="24"/>
              </w:rPr>
              <w:t>7</w:t>
            </w:r>
            <w:r w:rsidRPr="008F409E">
              <w:rPr>
                <w:rFonts w:ascii="Arial" w:hAnsi="Arial" w:cs="Arial"/>
                <w:color w:val="000000"/>
                <w:sz w:val="20"/>
                <w:szCs w:val="24"/>
              </w:rPr>
              <w:t>7</w:t>
            </w:r>
          </w:p>
        </w:tc>
        <w:tc>
          <w:tcPr>
            <w:tcW w:w="2551" w:type="dxa"/>
            <w:tcBorders>
              <w:left w:val="single" w:sz="4" w:space="0" w:color="FFFFFF" w:themeColor="background1"/>
              <w:right w:val="single" w:sz="4" w:space="0" w:color="FFFFFF" w:themeColor="background1"/>
            </w:tcBorders>
            <w:vAlign w:val="center"/>
          </w:tcPr>
          <w:p w14:paraId="532F4FCD" w14:textId="676DFF50" w:rsidR="008F409E" w:rsidRPr="00DE3C61" w:rsidRDefault="008F409E" w:rsidP="008F409E">
            <w:pPr>
              <w:jc w:val="center"/>
              <w:rPr>
                <w:rFonts w:ascii="Arial" w:hAnsi="Arial" w:cs="Arial"/>
              </w:rPr>
            </w:pPr>
            <w:r>
              <w:rPr>
                <w:rFonts w:ascii="Arial" w:hAnsi="Arial" w:cs="Arial"/>
                <w:color w:val="000000"/>
                <w:sz w:val="20"/>
                <w:szCs w:val="24"/>
              </w:rPr>
              <w:t>47</w:t>
            </w:r>
            <w:r w:rsidR="00706050">
              <w:rPr>
                <w:rFonts w:ascii="Arial" w:hAnsi="Arial" w:cs="Arial"/>
                <w:color w:val="000000"/>
                <w:sz w:val="20"/>
                <w:szCs w:val="24"/>
              </w:rPr>
              <w:t>.</w:t>
            </w:r>
            <w:r>
              <w:rPr>
                <w:rFonts w:ascii="Arial" w:hAnsi="Arial" w:cs="Arial"/>
                <w:color w:val="000000"/>
                <w:sz w:val="20"/>
                <w:szCs w:val="24"/>
              </w:rPr>
              <w:t>72</w:t>
            </w:r>
            <w:r w:rsidRPr="008F409E">
              <w:rPr>
                <w:rFonts w:ascii="Arial" w:hAnsi="Arial" w:cs="Arial"/>
                <w:color w:val="000000"/>
                <w:sz w:val="20"/>
                <w:szCs w:val="24"/>
              </w:rPr>
              <w:t xml:space="preserve"> ± </w:t>
            </w:r>
            <w:r>
              <w:rPr>
                <w:rFonts w:ascii="Arial" w:hAnsi="Arial" w:cs="Arial"/>
                <w:color w:val="000000"/>
                <w:sz w:val="20"/>
                <w:szCs w:val="24"/>
              </w:rPr>
              <w:t>11</w:t>
            </w:r>
            <w:r w:rsidR="00706050">
              <w:rPr>
                <w:rFonts w:ascii="Arial" w:hAnsi="Arial" w:cs="Arial"/>
                <w:color w:val="000000"/>
                <w:sz w:val="20"/>
                <w:szCs w:val="24"/>
              </w:rPr>
              <w:t>.</w:t>
            </w:r>
            <w:r>
              <w:rPr>
                <w:rFonts w:ascii="Arial" w:hAnsi="Arial" w:cs="Arial"/>
                <w:color w:val="000000"/>
                <w:sz w:val="20"/>
                <w:szCs w:val="24"/>
              </w:rPr>
              <w:t>2</w:t>
            </w:r>
            <w:r w:rsidR="002859D9">
              <w:rPr>
                <w:rFonts w:ascii="Arial" w:hAnsi="Arial" w:cs="Arial"/>
                <w:color w:val="000000"/>
                <w:sz w:val="20"/>
                <w:szCs w:val="24"/>
              </w:rPr>
              <w:t>0</w:t>
            </w:r>
          </w:p>
        </w:tc>
      </w:tr>
      <w:tr w:rsidR="007E7541" w:rsidRPr="00DC3180" w14:paraId="79F28328" w14:textId="77777777" w:rsidTr="00A215CA">
        <w:trPr>
          <w:trHeight w:val="67"/>
        </w:trPr>
        <w:tc>
          <w:tcPr>
            <w:tcW w:w="2093" w:type="dxa"/>
            <w:tcBorders>
              <w:left w:val="single" w:sz="4" w:space="0" w:color="FFFFFF" w:themeColor="background1"/>
              <w:right w:val="single" w:sz="4" w:space="0" w:color="FFFFFF" w:themeColor="background1"/>
            </w:tcBorders>
          </w:tcPr>
          <w:p w14:paraId="254CA210" w14:textId="49CAA981" w:rsidR="007E7541" w:rsidRPr="00D635D7" w:rsidRDefault="0016167E" w:rsidP="007E7541">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60mg/kg</w:t>
            </w:r>
            <w:r w:rsidR="006A6FFE">
              <w:rPr>
                <w:rFonts w:ascii="Arial" w:hAnsi="Arial"/>
                <w:sz w:val="20"/>
                <w:szCs w:val="20"/>
              </w:rPr>
              <w:t xml:space="preserve"> </w:t>
            </w:r>
            <w:r w:rsidR="007E7541" w:rsidRPr="00D635D7">
              <w:rPr>
                <w:rFonts w:ascii="Arial" w:hAnsi="Arial"/>
                <w:sz w:val="20"/>
                <w:szCs w:val="20"/>
              </w:rPr>
              <w:t>B</w:t>
            </w:r>
            <w:r w:rsidR="00A215CA">
              <w:rPr>
                <w:rFonts w:ascii="Arial" w:hAnsi="Arial"/>
                <w:sz w:val="20"/>
                <w:szCs w:val="20"/>
              </w:rPr>
              <w:t>W</w:t>
            </w:r>
          </w:p>
        </w:tc>
        <w:tc>
          <w:tcPr>
            <w:tcW w:w="2266" w:type="dxa"/>
            <w:tcBorders>
              <w:left w:val="single" w:sz="4" w:space="0" w:color="FFFFFF" w:themeColor="background1"/>
              <w:right w:val="single" w:sz="4" w:space="0" w:color="FFFFFF" w:themeColor="background1"/>
            </w:tcBorders>
            <w:vAlign w:val="center"/>
          </w:tcPr>
          <w:p w14:paraId="07F1FBD5" w14:textId="75577B88" w:rsidR="007E7541" w:rsidRPr="00DE3C61" w:rsidRDefault="007E7541" w:rsidP="007E7541">
            <w:pPr>
              <w:jc w:val="center"/>
              <w:rPr>
                <w:rFonts w:ascii="Arial" w:hAnsi="Arial" w:cs="Arial"/>
              </w:rPr>
            </w:pPr>
            <w:r w:rsidRPr="008F409E">
              <w:rPr>
                <w:rFonts w:ascii="Arial" w:hAnsi="Arial" w:cs="Arial"/>
                <w:color w:val="000000"/>
                <w:sz w:val="20"/>
                <w:szCs w:val="24"/>
              </w:rPr>
              <w:t>1</w:t>
            </w:r>
            <w:r>
              <w:rPr>
                <w:rFonts w:ascii="Arial" w:hAnsi="Arial" w:cs="Arial"/>
                <w:color w:val="000000"/>
                <w:sz w:val="20"/>
                <w:szCs w:val="24"/>
              </w:rPr>
              <w:t>32</w:t>
            </w:r>
            <w:r w:rsidR="00706050">
              <w:rPr>
                <w:rFonts w:ascii="Arial" w:hAnsi="Arial" w:cs="Arial"/>
                <w:color w:val="000000"/>
                <w:sz w:val="20"/>
                <w:szCs w:val="24"/>
              </w:rPr>
              <w:t>.</w:t>
            </w:r>
            <w:r>
              <w:rPr>
                <w:rFonts w:ascii="Arial" w:hAnsi="Arial" w:cs="Arial"/>
                <w:color w:val="000000"/>
                <w:sz w:val="20"/>
                <w:szCs w:val="24"/>
              </w:rPr>
              <w:t>6</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4</w:t>
            </w:r>
            <w:r w:rsidR="00706050">
              <w:rPr>
                <w:rFonts w:ascii="Arial" w:hAnsi="Arial" w:cs="Arial"/>
                <w:color w:val="000000"/>
                <w:sz w:val="20"/>
                <w:szCs w:val="24"/>
              </w:rPr>
              <w:t>.</w:t>
            </w:r>
            <w:r>
              <w:rPr>
                <w:rFonts w:ascii="Arial" w:hAnsi="Arial" w:cs="Arial"/>
                <w:color w:val="000000"/>
                <w:sz w:val="20"/>
                <w:szCs w:val="24"/>
              </w:rPr>
              <w:t>72</w:t>
            </w:r>
          </w:p>
        </w:tc>
        <w:tc>
          <w:tcPr>
            <w:tcW w:w="1987" w:type="dxa"/>
            <w:tcBorders>
              <w:left w:val="single" w:sz="4" w:space="0" w:color="FFFFFF" w:themeColor="background1"/>
              <w:right w:val="single" w:sz="4" w:space="0" w:color="FFFFFF" w:themeColor="background1"/>
            </w:tcBorders>
            <w:vAlign w:val="center"/>
          </w:tcPr>
          <w:p w14:paraId="6956E0CF" w14:textId="095FB889" w:rsidR="007E7541" w:rsidRPr="00DE3C61" w:rsidRDefault="007E7541" w:rsidP="007E7541">
            <w:pPr>
              <w:jc w:val="center"/>
              <w:rPr>
                <w:rFonts w:ascii="Arial" w:hAnsi="Arial" w:cs="Arial"/>
              </w:rPr>
            </w:pPr>
            <w:r>
              <w:rPr>
                <w:rFonts w:ascii="Arial" w:hAnsi="Arial" w:cs="Arial"/>
                <w:color w:val="000000"/>
                <w:sz w:val="20"/>
                <w:szCs w:val="24"/>
              </w:rPr>
              <w:t>65</w:t>
            </w:r>
            <w:r w:rsidR="002859D9">
              <w:rPr>
                <w:rFonts w:ascii="Arial" w:hAnsi="Arial" w:cs="Arial"/>
                <w:color w:val="000000"/>
                <w:sz w:val="20"/>
                <w:szCs w:val="24"/>
              </w:rPr>
              <w:t>.00</w:t>
            </w:r>
            <w:r w:rsidRPr="008F409E">
              <w:rPr>
                <w:rFonts w:ascii="Arial" w:hAnsi="Arial" w:cs="Arial"/>
                <w:color w:val="000000"/>
                <w:sz w:val="20"/>
                <w:szCs w:val="24"/>
              </w:rPr>
              <w:t xml:space="preserve"> ± </w:t>
            </w:r>
            <w:r>
              <w:rPr>
                <w:rFonts w:ascii="Arial" w:hAnsi="Arial" w:cs="Arial"/>
                <w:color w:val="000000"/>
                <w:sz w:val="20"/>
                <w:szCs w:val="24"/>
              </w:rPr>
              <w:t>2</w:t>
            </w:r>
            <w:r w:rsidR="00706050">
              <w:rPr>
                <w:rFonts w:ascii="Arial" w:hAnsi="Arial" w:cs="Arial"/>
                <w:color w:val="000000"/>
                <w:sz w:val="20"/>
                <w:szCs w:val="24"/>
              </w:rPr>
              <w:t>.</w:t>
            </w:r>
            <w:r>
              <w:rPr>
                <w:rFonts w:ascii="Arial" w:hAnsi="Arial" w:cs="Arial"/>
                <w:color w:val="000000"/>
                <w:sz w:val="20"/>
                <w:szCs w:val="24"/>
              </w:rPr>
              <w:t>19</w:t>
            </w:r>
          </w:p>
        </w:tc>
        <w:tc>
          <w:tcPr>
            <w:tcW w:w="2551" w:type="dxa"/>
            <w:tcBorders>
              <w:left w:val="single" w:sz="4" w:space="0" w:color="FFFFFF" w:themeColor="background1"/>
              <w:right w:val="single" w:sz="4" w:space="0" w:color="FFFFFF" w:themeColor="background1"/>
            </w:tcBorders>
            <w:vAlign w:val="center"/>
          </w:tcPr>
          <w:p w14:paraId="44FB5B83" w14:textId="3B767FE1" w:rsidR="007E7541" w:rsidRPr="00DE3C61" w:rsidRDefault="007E7541" w:rsidP="007E7541">
            <w:pPr>
              <w:jc w:val="center"/>
              <w:rPr>
                <w:rFonts w:ascii="Arial" w:hAnsi="Arial" w:cs="Arial"/>
              </w:rPr>
            </w:pPr>
            <w:r>
              <w:rPr>
                <w:rFonts w:ascii="Arial" w:hAnsi="Arial" w:cs="Arial"/>
                <w:color w:val="000000"/>
                <w:sz w:val="20"/>
                <w:szCs w:val="24"/>
              </w:rPr>
              <w:t>50</w:t>
            </w:r>
            <w:r w:rsidR="00706050">
              <w:rPr>
                <w:rFonts w:ascii="Arial" w:hAnsi="Arial" w:cs="Arial"/>
                <w:color w:val="000000"/>
                <w:sz w:val="20"/>
                <w:szCs w:val="24"/>
              </w:rPr>
              <w:t>.</w:t>
            </w:r>
            <w:r>
              <w:rPr>
                <w:rFonts w:ascii="Arial" w:hAnsi="Arial" w:cs="Arial"/>
                <w:color w:val="000000"/>
                <w:sz w:val="20"/>
                <w:szCs w:val="24"/>
              </w:rPr>
              <w:t>90</w:t>
            </w:r>
            <w:r w:rsidRPr="008F409E">
              <w:rPr>
                <w:rFonts w:ascii="Arial" w:hAnsi="Arial" w:cs="Arial"/>
                <w:color w:val="000000"/>
                <w:sz w:val="20"/>
                <w:szCs w:val="24"/>
              </w:rPr>
              <w:t xml:space="preserve"> ± </w:t>
            </w:r>
            <w:r>
              <w:rPr>
                <w:rFonts w:ascii="Arial" w:hAnsi="Arial" w:cs="Arial"/>
                <w:color w:val="000000"/>
                <w:sz w:val="20"/>
                <w:szCs w:val="24"/>
              </w:rPr>
              <w:t>2</w:t>
            </w:r>
            <w:r w:rsidR="00706050">
              <w:rPr>
                <w:rFonts w:ascii="Arial" w:hAnsi="Arial" w:cs="Arial"/>
                <w:color w:val="000000"/>
                <w:sz w:val="20"/>
                <w:szCs w:val="24"/>
              </w:rPr>
              <w:t>.</w:t>
            </w:r>
            <w:r>
              <w:rPr>
                <w:rFonts w:ascii="Arial" w:hAnsi="Arial" w:cs="Arial"/>
                <w:color w:val="000000"/>
                <w:sz w:val="20"/>
                <w:szCs w:val="24"/>
              </w:rPr>
              <w:t>78</w:t>
            </w:r>
          </w:p>
        </w:tc>
      </w:tr>
      <w:tr w:rsidR="007E7541" w:rsidRPr="00DC3180" w14:paraId="2F81EA3A" w14:textId="77777777" w:rsidTr="00A215CA">
        <w:trPr>
          <w:trHeight w:val="67"/>
        </w:trPr>
        <w:tc>
          <w:tcPr>
            <w:tcW w:w="2093" w:type="dxa"/>
            <w:tcBorders>
              <w:left w:val="single" w:sz="4" w:space="0" w:color="FFFFFF" w:themeColor="background1"/>
              <w:right w:val="single" w:sz="4" w:space="0" w:color="FFFFFF" w:themeColor="background1"/>
            </w:tcBorders>
          </w:tcPr>
          <w:p w14:paraId="58225A60" w14:textId="7ED58E74" w:rsidR="007E7541" w:rsidRPr="00D635D7" w:rsidRDefault="0016167E" w:rsidP="007E7541">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120mg/kg</w:t>
            </w:r>
            <w:r w:rsidR="006A6FFE">
              <w:rPr>
                <w:rFonts w:ascii="Arial" w:hAnsi="Arial"/>
                <w:sz w:val="20"/>
                <w:szCs w:val="20"/>
              </w:rPr>
              <w:t xml:space="preserve"> </w:t>
            </w:r>
            <w:r w:rsidR="007E7541" w:rsidRPr="00D635D7">
              <w:rPr>
                <w:rFonts w:ascii="Arial" w:hAnsi="Arial"/>
                <w:sz w:val="20"/>
                <w:szCs w:val="20"/>
              </w:rPr>
              <w:t>B</w:t>
            </w:r>
            <w:r w:rsidR="00A215CA">
              <w:rPr>
                <w:rFonts w:ascii="Arial" w:hAnsi="Arial"/>
                <w:sz w:val="20"/>
                <w:szCs w:val="20"/>
              </w:rPr>
              <w:t>W</w:t>
            </w:r>
          </w:p>
        </w:tc>
        <w:tc>
          <w:tcPr>
            <w:tcW w:w="2266" w:type="dxa"/>
            <w:tcBorders>
              <w:left w:val="single" w:sz="4" w:space="0" w:color="FFFFFF" w:themeColor="background1"/>
              <w:right w:val="single" w:sz="4" w:space="0" w:color="FFFFFF" w:themeColor="background1"/>
            </w:tcBorders>
            <w:vAlign w:val="center"/>
          </w:tcPr>
          <w:p w14:paraId="38F20B30" w14:textId="382B1268" w:rsidR="007E7541" w:rsidRPr="00DE3C61" w:rsidRDefault="007E7541" w:rsidP="007E7541">
            <w:pPr>
              <w:jc w:val="center"/>
              <w:rPr>
                <w:rFonts w:ascii="Arial" w:hAnsi="Arial" w:cs="Arial"/>
              </w:rPr>
            </w:pPr>
            <w:r w:rsidRPr="008F409E">
              <w:rPr>
                <w:rFonts w:ascii="Arial" w:hAnsi="Arial" w:cs="Arial"/>
                <w:color w:val="000000"/>
                <w:sz w:val="20"/>
                <w:szCs w:val="24"/>
              </w:rPr>
              <w:t>1</w:t>
            </w:r>
            <w:r>
              <w:rPr>
                <w:rFonts w:ascii="Arial" w:hAnsi="Arial" w:cs="Arial"/>
                <w:color w:val="000000"/>
                <w:sz w:val="20"/>
                <w:szCs w:val="24"/>
              </w:rPr>
              <w:t>55</w:t>
            </w:r>
            <w:r w:rsidR="00706050">
              <w:rPr>
                <w:rFonts w:ascii="Arial" w:hAnsi="Arial" w:cs="Arial"/>
                <w:color w:val="000000"/>
                <w:sz w:val="20"/>
                <w:szCs w:val="24"/>
              </w:rPr>
              <w:t>.</w:t>
            </w:r>
            <w:r>
              <w:rPr>
                <w:rFonts w:ascii="Arial" w:hAnsi="Arial" w:cs="Arial"/>
                <w:color w:val="000000"/>
                <w:sz w:val="20"/>
                <w:szCs w:val="24"/>
              </w:rPr>
              <w:t>6</w:t>
            </w:r>
            <w:r w:rsidR="002859D9">
              <w:rPr>
                <w:rFonts w:ascii="Arial" w:hAnsi="Arial" w:cs="Arial"/>
                <w:color w:val="000000"/>
                <w:sz w:val="20"/>
                <w:szCs w:val="24"/>
              </w:rPr>
              <w:t>0</w:t>
            </w:r>
            <w:r>
              <w:rPr>
                <w:rFonts w:ascii="Arial" w:hAnsi="Arial" w:cs="Arial"/>
                <w:color w:val="000000"/>
                <w:sz w:val="20"/>
                <w:szCs w:val="24"/>
              </w:rPr>
              <w:t xml:space="preserve"> </w:t>
            </w:r>
            <w:r w:rsidRPr="008F409E">
              <w:rPr>
                <w:rFonts w:ascii="Arial" w:hAnsi="Arial" w:cs="Arial"/>
                <w:color w:val="000000"/>
                <w:sz w:val="20"/>
                <w:szCs w:val="24"/>
              </w:rPr>
              <w:t xml:space="preserve">± </w:t>
            </w:r>
            <w:r>
              <w:rPr>
                <w:rFonts w:ascii="Arial" w:hAnsi="Arial" w:cs="Arial"/>
                <w:color w:val="000000"/>
                <w:sz w:val="20"/>
                <w:szCs w:val="24"/>
              </w:rPr>
              <w:t>5</w:t>
            </w:r>
            <w:r w:rsidR="00706050">
              <w:rPr>
                <w:rFonts w:ascii="Arial" w:hAnsi="Arial" w:cs="Arial"/>
                <w:color w:val="000000"/>
                <w:sz w:val="20"/>
                <w:szCs w:val="24"/>
              </w:rPr>
              <w:t>.</w:t>
            </w:r>
            <w:r>
              <w:rPr>
                <w:rFonts w:ascii="Arial" w:hAnsi="Arial" w:cs="Arial"/>
                <w:color w:val="000000"/>
                <w:sz w:val="20"/>
                <w:szCs w:val="24"/>
              </w:rPr>
              <w:t>39</w:t>
            </w:r>
          </w:p>
        </w:tc>
        <w:tc>
          <w:tcPr>
            <w:tcW w:w="1987" w:type="dxa"/>
            <w:tcBorders>
              <w:left w:val="single" w:sz="4" w:space="0" w:color="FFFFFF" w:themeColor="background1"/>
              <w:right w:val="single" w:sz="4" w:space="0" w:color="FFFFFF" w:themeColor="background1"/>
            </w:tcBorders>
            <w:vAlign w:val="center"/>
          </w:tcPr>
          <w:p w14:paraId="38A40302" w14:textId="3837259A" w:rsidR="007E7541" w:rsidRPr="00DE3C61" w:rsidRDefault="007E7541" w:rsidP="007E7541">
            <w:pPr>
              <w:jc w:val="center"/>
              <w:rPr>
                <w:rFonts w:ascii="Arial" w:hAnsi="Arial" w:cs="Arial"/>
              </w:rPr>
            </w:pPr>
            <w:r>
              <w:rPr>
                <w:rFonts w:ascii="Arial" w:hAnsi="Arial" w:cs="Arial"/>
                <w:color w:val="000000"/>
                <w:sz w:val="20"/>
                <w:szCs w:val="24"/>
              </w:rPr>
              <w:t>64</w:t>
            </w:r>
            <w:r w:rsidR="00706050">
              <w:rPr>
                <w:rFonts w:ascii="Arial" w:hAnsi="Arial" w:cs="Arial"/>
                <w:color w:val="000000"/>
                <w:sz w:val="20"/>
                <w:szCs w:val="24"/>
              </w:rPr>
              <w:t>.</w:t>
            </w:r>
            <w:r>
              <w:rPr>
                <w:rFonts w:ascii="Arial" w:hAnsi="Arial" w:cs="Arial"/>
                <w:color w:val="000000"/>
                <w:sz w:val="20"/>
                <w:szCs w:val="24"/>
              </w:rPr>
              <w:t>2</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11</w:t>
            </w:r>
            <w:r w:rsidR="00706050">
              <w:rPr>
                <w:rFonts w:ascii="Arial" w:hAnsi="Arial" w:cs="Arial"/>
                <w:color w:val="000000"/>
                <w:sz w:val="20"/>
                <w:szCs w:val="24"/>
              </w:rPr>
              <w:t>.</w:t>
            </w:r>
            <w:r>
              <w:rPr>
                <w:rFonts w:ascii="Arial" w:hAnsi="Arial" w:cs="Arial"/>
                <w:color w:val="000000"/>
                <w:sz w:val="20"/>
                <w:szCs w:val="24"/>
              </w:rPr>
              <w:t>63</w:t>
            </w:r>
          </w:p>
        </w:tc>
        <w:tc>
          <w:tcPr>
            <w:tcW w:w="2551" w:type="dxa"/>
            <w:tcBorders>
              <w:left w:val="single" w:sz="4" w:space="0" w:color="FFFFFF" w:themeColor="background1"/>
              <w:right w:val="single" w:sz="4" w:space="0" w:color="FFFFFF" w:themeColor="background1"/>
            </w:tcBorders>
            <w:vAlign w:val="center"/>
          </w:tcPr>
          <w:p w14:paraId="07144403" w14:textId="5C4A37D7" w:rsidR="007E7541" w:rsidRPr="00DE3C61" w:rsidRDefault="007E7541" w:rsidP="007E7541">
            <w:pPr>
              <w:jc w:val="center"/>
              <w:rPr>
                <w:rFonts w:ascii="Arial" w:hAnsi="Arial" w:cs="Arial"/>
              </w:rPr>
            </w:pPr>
            <w:r>
              <w:rPr>
                <w:rFonts w:ascii="Arial" w:hAnsi="Arial" w:cs="Arial"/>
                <w:color w:val="000000"/>
                <w:sz w:val="20"/>
                <w:szCs w:val="24"/>
              </w:rPr>
              <w:t>58</w:t>
            </w:r>
            <w:r w:rsidR="00706050">
              <w:rPr>
                <w:rFonts w:ascii="Arial" w:hAnsi="Arial" w:cs="Arial"/>
                <w:color w:val="000000"/>
                <w:sz w:val="20"/>
                <w:szCs w:val="24"/>
              </w:rPr>
              <w:t>.</w:t>
            </w:r>
            <w:r>
              <w:rPr>
                <w:rFonts w:ascii="Arial" w:hAnsi="Arial" w:cs="Arial"/>
                <w:color w:val="000000"/>
                <w:sz w:val="20"/>
                <w:szCs w:val="24"/>
              </w:rPr>
              <w:t>51</w:t>
            </w:r>
            <w:r w:rsidRPr="008F409E">
              <w:rPr>
                <w:rFonts w:ascii="Arial" w:hAnsi="Arial" w:cs="Arial"/>
                <w:color w:val="000000"/>
                <w:sz w:val="20"/>
                <w:szCs w:val="24"/>
              </w:rPr>
              <w:t xml:space="preserve"> ± </w:t>
            </w:r>
            <w:r>
              <w:rPr>
                <w:rFonts w:ascii="Arial" w:hAnsi="Arial" w:cs="Arial"/>
                <w:color w:val="000000"/>
                <w:sz w:val="20"/>
                <w:szCs w:val="24"/>
              </w:rPr>
              <w:t>8</w:t>
            </w:r>
            <w:r w:rsidR="00706050">
              <w:rPr>
                <w:rFonts w:ascii="Arial" w:hAnsi="Arial" w:cs="Arial"/>
                <w:color w:val="000000"/>
                <w:sz w:val="20"/>
                <w:szCs w:val="24"/>
              </w:rPr>
              <w:t>.</w:t>
            </w:r>
            <w:r>
              <w:rPr>
                <w:rFonts w:ascii="Arial" w:hAnsi="Arial" w:cs="Arial"/>
                <w:color w:val="000000"/>
                <w:sz w:val="20"/>
                <w:szCs w:val="24"/>
              </w:rPr>
              <w:t>69</w:t>
            </w:r>
          </w:p>
        </w:tc>
      </w:tr>
    </w:tbl>
    <w:p w14:paraId="229EC943" w14:textId="482C5D3E" w:rsidR="007E7541" w:rsidRDefault="002859D9" w:rsidP="007E7541">
      <w:pPr>
        <w:pStyle w:val="Body"/>
        <w:spacing w:after="0"/>
        <w:ind w:left="993" w:hanging="993"/>
        <w:rPr>
          <w:rFonts w:ascii="Arial" w:hAnsi="Arial" w:cs="Arial"/>
        </w:rPr>
      </w:pPr>
      <w:r w:rsidRPr="002859D9">
        <w:rPr>
          <w:rFonts w:ascii="Arial" w:hAnsi="Arial" w:cs="Arial"/>
        </w:rPr>
        <w:t>Data are presented as mean ± SD (n = 5)</w:t>
      </w:r>
    </w:p>
    <w:p w14:paraId="683653BF" w14:textId="77777777" w:rsidR="002859D9" w:rsidRPr="002859D9" w:rsidRDefault="002859D9" w:rsidP="007E7541">
      <w:pPr>
        <w:pStyle w:val="Body"/>
        <w:spacing w:after="0"/>
        <w:ind w:left="993" w:hanging="993"/>
        <w:rPr>
          <w:rFonts w:ascii="Arial" w:hAnsi="Arial" w:cs="Arial"/>
        </w:rPr>
      </w:pPr>
    </w:p>
    <w:p w14:paraId="42744445" w14:textId="4513AB46" w:rsidR="007E7541" w:rsidRDefault="007E7541" w:rsidP="007E7541">
      <w:pPr>
        <w:pStyle w:val="Body"/>
        <w:spacing w:after="0"/>
        <w:ind w:left="993" w:hanging="993"/>
        <w:rPr>
          <w:rFonts w:ascii="Arial" w:hAnsi="Arial" w:cs="Arial"/>
          <w:b/>
          <w:bCs/>
        </w:rPr>
      </w:pPr>
      <w:r w:rsidRPr="009B2B3F">
        <w:rPr>
          <w:rFonts w:ascii="Arial" w:hAnsi="Arial" w:cs="Arial"/>
          <w:b/>
          <w:bCs/>
        </w:rPr>
        <w:t xml:space="preserve">Table </w:t>
      </w:r>
      <w:r w:rsidR="00285CD9">
        <w:rPr>
          <w:rFonts w:ascii="Arial" w:hAnsi="Arial" w:cs="Arial"/>
          <w:b/>
          <w:bCs/>
        </w:rPr>
        <w:t>5</w:t>
      </w:r>
      <w:r w:rsidRPr="009B2B3F">
        <w:rPr>
          <w:rFonts w:ascii="Arial" w:hAnsi="Arial" w:cs="Arial"/>
          <w:b/>
          <w:bCs/>
        </w:rPr>
        <w:t>.</w:t>
      </w:r>
      <w:r w:rsidRPr="00DE3C61">
        <w:t xml:space="preserve"> </w:t>
      </w:r>
      <w:r>
        <w:rPr>
          <w:rFonts w:ascii="Arial" w:hAnsi="Arial" w:cs="Arial"/>
          <w:b/>
          <w:bCs/>
        </w:rPr>
        <w:t>Triglyceride</w:t>
      </w:r>
      <w:r w:rsidRPr="00DE3C61">
        <w:rPr>
          <w:rFonts w:ascii="Arial" w:hAnsi="Arial" w:cs="Arial"/>
          <w:b/>
          <w:bCs/>
        </w:rPr>
        <w:t xml:space="preserve"> levels </w:t>
      </w:r>
      <w:r w:rsidR="002859D9">
        <w:rPr>
          <w:rFonts w:ascii="Arial" w:hAnsi="Arial" w:cs="Arial"/>
          <w:b/>
          <w:bCs/>
        </w:rPr>
        <w:t>post-induction (T17) and post-treatment (T45)</w:t>
      </w:r>
      <w:r w:rsidR="002859D9" w:rsidRPr="00DE3C61">
        <w:rPr>
          <w:rFonts w:ascii="Arial" w:hAnsi="Arial" w:cs="Arial"/>
          <w:b/>
          <w:bCs/>
        </w:rPr>
        <w:t xml:space="preserve"> with percentage </w:t>
      </w:r>
      <w:r w:rsidR="002859D9">
        <w:rPr>
          <w:rFonts w:ascii="Arial" w:hAnsi="Arial" w:cs="Arial"/>
          <w:b/>
          <w:bCs/>
        </w:rPr>
        <w:t xml:space="preserve">decrease </w:t>
      </w:r>
      <w:r w:rsidR="002859D9" w:rsidRPr="00DE3C61">
        <w:rPr>
          <w:rFonts w:ascii="Arial" w:hAnsi="Arial" w:cs="Arial"/>
          <w:b/>
          <w:bCs/>
        </w:rPr>
        <w:t>(%)</w:t>
      </w:r>
    </w:p>
    <w:p w14:paraId="016BEE20" w14:textId="77777777" w:rsidR="007E7541" w:rsidRDefault="007E7541" w:rsidP="007E7541">
      <w:pPr>
        <w:pStyle w:val="Body"/>
        <w:spacing w:after="0"/>
        <w:rPr>
          <w:rFonts w:ascii="Arial" w:hAnsi="Arial" w:cs="Arial"/>
        </w:rPr>
      </w:pPr>
    </w:p>
    <w:tbl>
      <w:tblPr>
        <w:tblStyle w:val="TableGrid"/>
        <w:tblW w:w="8897" w:type="dxa"/>
        <w:tblLook w:val="01E0" w:firstRow="1" w:lastRow="1" w:firstColumn="1" w:lastColumn="1" w:noHBand="0" w:noVBand="0"/>
      </w:tblPr>
      <w:tblGrid>
        <w:gridCol w:w="2093"/>
        <w:gridCol w:w="2266"/>
        <w:gridCol w:w="1987"/>
        <w:gridCol w:w="2551"/>
      </w:tblGrid>
      <w:tr w:rsidR="007E7541" w:rsidRPr="00DC3180" w14:paraId="5065536E" w14:textId="77777777" w:rsidTr="00A215CA">
        <w:tc>
          <w:tcPr>
            <w:tcW w:w="2093" w:type="dxa"/>
            <w:tcBorders>
              <w:left w:val="single" w:sz="4" w:space="0" w:color="FFFFFF" w:themeColor="background1"/>
              <w:right w:val="single" w:sz="4" w:space="0" w:color="FFFFFF" w:themeColor="background1"/>
            </w:tcBorders>
          </w:tcPr>
          <w:p w14:paraId="249AFA0C" w14:textId="77777777" w:rsidR="007E7541" w:rsidRPr="00DC3180" w:rsidRDefault="007E7541" w:rsidP="00A916CB">
            <w:pPr>
              <w:jc w:val="center"/>
              <w:rPr>
                <w:rFonts w:ascii="Arial" w:hAnsi="Arial"/>
                <w:b/>
                <w:bCs/>
              </w:rPr>
            </w:pPr>
            <w:r>
              <w:rPr>
                <w:rFonts w:ascii="Arial" w:hAnsi="Arial"/>
                <w:b/>
                <w:bCs/>
              </w:rPr>
              <w:t>Groups</w:t>
            </w:r>
          </w:p>
        </w:tc>
        <w:tc>
          <w:tcPr>
            <w:tcW w:w="2266" w:type="dxa"/>
            <w:tcBorders>
              <w:left w:val="single" w:sz="4" w:space="0" w:color="FFFFFF" w:themeColor="background1"/>
              <w:right w:val="single" w:sz="4" w:space="0" w:color="FFFFFF" w:themeColor="background1"/>
            </w:tcBorders>
          </w:tcPr>
          <w:p w14:paraId="68776F95" w14:textId="77777777" w:rsidR="007E7541" w:rsidRPr="00DC3180" w:rsidRDefault="007E7541" w:rsidP="00A916CB">
            <w:pPr>
              <w:jc w:val="center"/>
              <w:rPr>
                <w:rFonts w:ascii="Arial" w:hAnsi="Arial"/>
                <w:b/>
                <w:bCs/>
              </w:rPr>
            </w:pPr>
            <w:r>
              <w:rPr>
                <w:rFonts w:ascii="Arial" w:hAnsi="Arial"/>
                <w:b/>
                <w:bCs/>
              </w:rPr>
              <w:t>T17 (mg/dL)</w:t>
            </w:r>
          </w:p>
        </w:tc>
        <w:tc>
          <w:tcPr>
            <w:tcW w:w="1987" w:type="dxa"/>
            <w:tcBorders>
              <w:left w:val="single" w:sz="4" w:space="0" w:color="FFFFFF" w:themeColor="background1"/>
              <w:right w:val="single" w:sz="4" w:space="0" w:color="FFFFFF" w:themeColor="background1"/>
            </w:tcBorders>
          </w:tcPr>
          <w:p w14:paraId="49008893" w14:textId="77777777" w:rsidR="007E7541" w:rsidRPr="00DC3180" w:rsidRDefault="007E7541" w:rsidP="00A916CB">
            <w:pPr>
              <w:jc w:val="center"/>
              <w:rPr>
                <w:rFonts w:ascii="Arial" w:hAnsi="Arial"/>
                <w:b/>
                <w:bCs/>
              </w:rPr>
            </w:pPr>
            <w:r>
              <w:rPr>
                <w:rFonts w:ascii="Arial" w:hAnsi="Arial"/>
                <w:b/>
                <w:bCs/>
              </w:rPr>
              <w:t>T45 (mg/dL)</w:t>
            </w:r>
          </w:p>
        </w:tc>
        <w:tc>
          <w:tcPr>
            <w:tcW w:w="2551" w:type="dxa"/>
            <w:tcBorders>
              <w:left w:val="single" w:sz="4" w:space="0" w:color="FFFFFF" w:themeColor="background1"/>
              <w:right w:val="single" w:sz="4" w:space="0" w:color="FFFFFF" w:themeColor="background1"/>
            </w:tcBorders>
          </w:tcPr>
          <w:p w14:paraId="34843EAD" w14:textId="77777777" w:rsidR="007E7541" w:rsidRDefault="007E7541" w:rsidP="00A916CB">
            <w:pPr>
              <w:jc w:val="center"/>
              <w:rPr>
                <w:rFonts w:ascii="Arial" w:hAnsi="Arial"/>
                <w:b/>
                <w:bCs/>
              </w:rPr>
            </w:pPr>
            <w:r>
              <w:rPr>
                <w:rFonts w:ascii="Arial" w:hAnsi="Arial"/>
                <w:b/>
                <w:bCs/>
              </w:rPr>
              <w:t>Percent Decrease (%)</w:t>
            </w:r>
          </w:p>
        </w:tc>
      </w:tr>
      <w:tr w:rsidR="007E7541" w:rsidRPr="00DC3180" w14:paraId="30C21356" w14:textId="77777777" w:rsidTr="00A215CA">
        <w:trPr>
          <w:trHeight w:val="128"/>
          <w:hidden/>
        </w:trPr>
        <w:tc>
          <w:tcPr>
            <w:tcW w:w="2093" w:type="dxa"/>
            <w:tcBorders>
              <w:left w:val="single" w:sz="4" w:space="0" w:color="FFFFFF" w:themeColor="background1"/>
              <w:right w:val="single" w:sz="4" w:space="0" w:color="FFFFFF" w:themeColor="background1"/>
            </w:tcBorders>
            <w:vAlign w:val="center"/>
          </w:tcPr>
          <w:p w14:paraId="5A3E81F8" w14:textId="77777777" w:rsidR="007E7541" w:rsidRPr="00D678F7" w:rsidRDefault="007E7541" w:rsidP="00A916CB">
            <w:pPr>
              <w:jc w:val="center"/>
              <w:rPr>
                <w:rFonts w:ascii="Arial" w:hAnsi="Arial"/>
                <w:vanish/>
                <w:sz w:val="20"/>
                <w:szCs w:val="20"/>
              </w:rPr>
            </w:pPr>
          </w:p>
          <w:p w14:paraId="2B0CED39" w14:textId="77777777" w:rsidR="007E7541" w:rsidRPr="00D678F7" w:rsidRDefault="007E7541" w:rsidP="00A916CB">
            <w:pPr>
              <w:jc w:val="center"/>
              <w:rPr>
                <w:rFonts w:ascii="Arial" w:hAnsi="Arial"/>
                <w:sz w:val="20"/>
                <w:szCs w:val="20"/>
              </w:rPr>
            </w:pPr>
            <w:r>
              <w:rPr>
                <w:rFonts w:ascii="Arial" w:hAnsi="Arial"/>
                <w:sz w:val="20"/>
                <w:szCs w:val="20"/>
              </w:rPr>
              <w:t>Negative</w:t>
            </w:r>
          </w:p>
        </w:tc>
        <w:tc>
          <w:tcPr>
            <w:tcW w:w="2266" w:type="dxa"/>
            <w:tcBorders>
              <w:left w:val="single" w:sz="4" w:space="0" w:color="FFFFFF" w:themeColor="background1"/>
              <w:right w:val="single" w:sz="4" w:space="0" w:color="FFFFFF" w:themeColor="background1"/>
            </w:tcBorders>
            <w:vAlign w:val="center"/>
          </w:tcPr>
          <w:p w14:paraId="29F56D4A" w14:textId="19A93624" w:rsidR="007E7541" w:rsidRPr="008F409E" w:rsidRDefault="007E7541" w:rsidP="00A916CB">
            <w:pPr>
              <w:jc w:val="center"/>
              <w:rPr>
                <w:rFonts w:ascii="Arial" w:hAnsi="Arial" w:cs="Arial"/>
                <w:sz w:val="20"/>
                <w:szCs w:val="20"/>
              </w:rPr>
            </w:pPr>
            <w:r>
              <w:rPr>
                <w:rFonts w:ascii="Arial" w:hAnsi="Arial" w:cs="Arial"/>
                <w:color w:val="000000"/>
                <w:sz w:val="20"/>
                <w:szCs w:val="24"/>
              </w:rPr>
              <w:t>82</w:t>
            </w:r>
            <w:r w:rsidR="00706050">
              <w:rPr>
                <w:rFonts w:ascii="Arial" w:hAnsi="Arial" w:cs="Arial"/>
                <w:color w:val="000000"/>
                <w:sz w:val="20"/>
                <w:szCs w:val="24"/>
              </w:rPr>
              <w:t>.</w:t>
            </w:r>
            <w:r>
              <w:rPr>
                <w:rFonts w:ascii="Arial" w:hAnsi="Arial" w:cs="Arial"/>
                <w:color w:val="000000"/>
                <w:sz w:val="20"/>
                <w:szCs w:val="24"/>
              </w:rPr>
              <w:t>4</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21</w:t>
            </w:r>
            <w:r w:rsidR="00706050">
              <w:rPr>
                <w:rFonts w:ascii="Arial" w:hAnsi="Arial" w:cs="Arial"/>
                <w:color w:val="000000"/>
                <w:sz w:val="20"/>
                <w:szCs w:val="24"/>
              </w:rPr>
              <w:t>.</w:t>
            </w:r>
            <w:r>
              <w:rPr>
                <w:rFonts w:ascii="Arial" w:hAnsi="Arial" w:cs="Arial"/>
                <w:color w:val="000000"/>
                <w:sz w:val="20"/>
                <w:szCs w:val="24"/>
              </w:rPr>
              <w:t>27</w:t>
            </w:r>
          </w:p>
        </w:tc>
        <w:tc>
          <w:tcPr>
            <w:tcW w:w="1987" w:type="dxa"/>
            <w:tcBorders>
              <w:left w:val="single" w:sz="4" w:space="0" w:color="FFFFFF" w:themeColor="background1"/>
              <w:right w:val="single" w:sz="4" w:space="0" w:color="FFFFFF" w:themeColor="background1"/>
            </w:tcBorders>
            <w:vAlign w:val="center"/>
          </w:tcPr>
          <w:p w14:paraId="476E7198" w14:textId="5F509604" w:rsidR="007E7541" w:rsidRPr="008F409E" w:rsidRDefault="007E7541" w:rsidP="00A916CB">
            <w:pPr>
              <w:jc w:val="center"/>
              <w:rPr>
                <w:rFonts w:ascii="Arial" w:hAnsi="Arial" w:cs="Arial"/>
                <w:b/>
                <w:bCs/>
                <w:sz w:val="20"/>
                <w:szCs w:val="20"/>
              </w:rPr>
            </w:pPr>
            <w:r>
              <w:rPr>
                <w:rFonts w:ascii="Arial" w:hAnsi="Arial" w:cs="Arial"/>
                <w:color w:val="000000"/>
                <w:sz w:val="20"/>
                <w:szCs w:val="24"/>
              </w:rPr>
              <w:t>74</w:t>
            </w:r>
            <w:r w:rsidR="002859D9">
              <w:rPr>
                <w:rFonts w:ascii="Arial" w:hAnsi="Arial" w:cs="Arial"/>
                <w:color w:val="000000"/>
                <w:sz w:val="20"/>
                <w:szCs w:val="24"/>
              </w:rPr>
              <w:t>.00</w:t>
            </w:r>
            <w:r w:rsidRPr="008F409E">
              <w:rPr>
                <w:rFonts w:ascii="Arial" w:hAnsi="Arial" w:cs="Arial"/>
                <w:color w:val="000000"/>
                <w:sz w:val="20"/>
                <w:szCs w:val="24"/>
              </w:rPr>
              <w:t xml:space="preserve"> ± </w:t>
            </w:r>
            <w:r>
              <w:rPr>
                <w:rFonts w:ascii="Arial" w:hAnsi="Arial" w:cs="Arial"/>
                <w:color w:val="000000"/>
                <w:sz w:val="20"/>
                <w:szCs w:val="24"/>
              </w:rPr>
              <w:t>14</w:t>
            </w:r>
            <w:r w:rsidR="00706050">
              <w:rPr>
                <w:rFonts w:ascii="Arial" w:hAnsi="Arial" w:cs="Arial"/>
                <w:color w:val="000000"/>
                <w:sz w:val="20"/>
                <w:szCs w:val="24"/>
              </w:rPr>
              <w:t>.</w:t>
            </w:r>
            <w:r>
              <w:rPr>
                <w:rFonts w:ascii="Arial" w:hAnsi="Arial" w:cs="Arial"/>
                <w:color w:val="000000"/>
                <w:sz w:val="20"/>
                <w:szCs w:val="24"/>
              </w:rPr>
              <w:t>06</w:t>
            </w:r>
          </w:p>
        </w:tc>
        <w:tc>
          <w:tcPr>
            <w:tcW w:w="2551" w:type="dxa"/>
            <w:tcBorders>
              <w:left w:val="single" w:sz="4" w:space="0" w:color="FFFFFF" w:themeColor="background1"/>
              <w:right w:val="single" w:sz="4" w:space="0" w:color="FFFFFF" w:themeColor="background1"/>
            </w:tcBorders>
            <w:vAlign w:val="center"/>
          </w:tcPr>
          <w:p w14:paraId="7308B985" w14:textId="140E302E" w:rsidR="007E7541" w:rsidRPr="008F409E" w:rsidRDefault="007E7541" w:rsidP="00A916CB">
            <w:pPr>
              <w:jc w:val="center"/>
              <w:rPr>
                <w:rFonts w:ascii="Arial" w:hAnsi="Arial" w:cs="Arial"/>
                <w:sz w:val="20"/>
                <w:szCs w:val="20"/>
              </w:rPr>
            </w:pPr>
            <w:r>
              <w:rPr>
                <w:rFonts w:ascii="Arial" w:hAnsi="Arial" w:cs="Arial"/>
                <w:color w:val="000000"/>
                <w:sz w:val="20"/>
                <w:szCs w:val="24"/>
              </w:rPr>
              <w:t>3</w:t>
            </w:r>
            <w:r w:rsidR="00706050">
              <w:rPr>
                <w:rFonts w:ascii="Arial" w:hAnsi="Arial" w:cs="Arial"/>
                <w:color w:val="000000"/>
                <w:sz w:val="20"/>
                <w:szCs w:val="24"/>
              </w:rPr>
              <w:t>.</w:t>
            </w:r>
            <w:r>
              <w:rPr>
                <w:rFonts w:ascii="Arial" w:hAnsi="Arial" w:cs="Arial"/>
                <w:color w:val="000000"/>
                <w:sz w:val="20"/>
                <w:szCs w:val="24"/>
              </w:rPr>
              <w:t>7</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27</w:t>
            </w:r>
            <w:r w:rsidR="00706050">
              <w:rPr>
                <w:rFonts w:ascii="Arial" w:hAnsi="Arial" w:cs="Arial"/>
                <w:color w:val="000000"/>
                <w:sz w:val="20"/>
                <w:szCs w:val="24"/>
              </w:rPr>
              <w:t>.</w:t>
            </w:r>
            <w:r>
              <w:rPr>
                <w:rFonts w:ascii="Arial" w:hAnsi="Arial" w:cs="Arial"/>
                <w:color w:val="000000"/>
                <w:sz w:val="20"/>
                <w:szCs w:val="24"/>
              </w:rPr>
              <w:t>86</w:t>
            </w:r>
          </w:p>
        </w:tc>
      </w:tr>
      <w:tr w:rsidR="007E7541" w:rsidRPr="00DC3180" w14:paraId="6CEAF518" w14:textId="77777777" w:rsidTr="00A215CA">
        <w:trPr>
          <w:trHeight w:val="92"/>
        </w:trPr>
        <w:tc>
          <w:tcPr>
            <w:tcW w:w="2093" w:type="dxa"/>
            <w:tcBorders>
              <w:left w:val="single" w:sz="4" w:space="0" w:color="FFFFFF" w:themeColor="background1"/>
              <w:right w:val="single" w:sz="4" w:space="0" w:color="FFFFFF" w:themeColor="background1"/>
            </w:tcBorders>
            <w:vAlign w:val="center"/>
          </w:tcPr>
          <w:p w14:paraId="206C9300" w14:textId="77777777" w:rsidR="007E7541" w:rsidRPr="00D678F7" w:rsidRDefault="007E7541" w:rsidP="00A916CB">
            <w:pPr>
              <w:jc w:val="center"/>
              <w:rPr>
                <w:rFonts w:ascii="Arial" w:hAnsi="Arial"/>
                <w:vanish/>
              </w:rPr>
            </w:pPr>
            <w:r>
              <w:rPr>
                <w:rFonts w:ascii="Arial" w:hAnsi="Arial"/>
              </w:rPr>
              <w:t>Positive</w:t>
            </w:r>
          </w:p>
        </w:tc>
        <w:tc>
          <w:tcPr>
            <w:tcW w:w="2266" w:type="dxa"/>
            <w:tcBorders>
              <w:left w:val="single" w:sz="4" w:space="0" w:color="FFFFFF" w:themeColor="background1"/>
              <w:right w:val="single" w:sz="4" w:space="0" w:color="FFFFFF" w:themeColor="background1"/>
            </w:tcBorders>
            <w:vAlign w:val="center"/>
          </w:tcPr>
          <w:p w14:paraId="005028CB" w14:textId="1653C2DA" w:rsidR="007E7541" w:rsidRPr="00DE3C61" w:rsidRDefault="007E7541" w:rsidP="00A916CB">
            <w:pPr>
              <w:jc w:val="center"/>
              <w:rPr>
                <w:rFonts w:ascii="Arial" w:hAnsi="Arial" w:cs="Arial"/>
              </w:rPr>
            </w:pPr>
            <w:r>
              <w:rPr>
                <w:rFonts w:ascii="Arial" w:hAnsi="Arial" w:cs="Arial"/>
                <w:color w:val="000000"/>
                <w:sz w:val="20"/>
                <w:szCs w:val="24"/>
              </w:rPr>
              <w:t>94</w:t>
            </w:r>
            <w:r w:rsidR="00706050">
              <w:rPr>
                <w:rFonts w:ascii="Arial" w:hAnsi="Arial" w:cs="Arial"/>
                <w:color w:val="000000"/>
                <w:sz w:val="20"/>
                <w:szCs w:val="24"/>
              </w:rPr>
              <w:t>.</w:t>
            </w:r>
            <w:r>
              <w:rPr>
                <w:rFonts w:ascii="Arial" w:hAnsi="Arial" w:cs="Arial"/>
                <w:color w:val="000000"/>
                <w:sz w:val="20"/>
                <w:szCs w:val="24"/>
              </w:rPr>
              <w:t>2</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16</w:t>
            </w:r>
            <w:r w:rsidR="00706050">
              <w:rPr>
                <w:rFonts w:ascii="Arial" w:hAnsi="Arial" w:cs="Arial"/>
                <w:color w:val="000000"/>
                <w:sz w:val="20"/>
                <w:szCs w:val="24"/>
              </w:rPr>
              <w:t>.</w:t>
            </w:r>
            <w:r>
              <w:rPr>
                <w:rFonts w:ascii="Arial" w:hAnsi="Arial" w:cs="Arial"/>
                <w:color w:val="000000"/>
                <w:sz w:val="20"/>
                <w:szCs w:val="24"/>
              </w:rPr>
              <w:t>31</w:t>
            </w:r>
          </w:p>
        </w:tc>
        <w:tc>
          <w:tcPr>
            <w:tcW w:w="1987" w:type="dxa"/>
            <w:tcBorders>
              <w:left w:val="single" w:sz="4" w:space="0" w:color="FFFFFF" w:themeColor="background1"/>
              <w:right w:val="single" w:sz="4" w:space="0" w:color="FFFFFF" w:themeColor="background1"/>
            </w:tcBorders>
            <w:vAlign w:val="center"/>
          </w:tcPr>
          <w:p w14:paraId="1E39934B" w14:textId="1D1A4678" w:rsidR="007E7541" w:rsidRPr="00DE3C61" w:rsidRDefault="007E7541" w:rsidP="00A916CB">
            <w:pPr>
              <w:jc w:val="center"/>
              <w:rPr>
                <w:rFonts w:ascii="Arial" w:hAnsi="Arial" w:cs="Arial"/>
              </w:rPr>
            </w:pPr>
            <w:r>
              <w:rPr>
                <w:rFonts w:ascii="Arial" w:hAnsi="Arial" w:cs="Arial"/>
                <w:color w:val="000000"/>
                <w:sz w:val="20"/>
                <w:szCs w:val="24"/>
              </w:rPr>
              <w:t>44</w:t>
            </w:r>
            <w:r w:rsidR="00706050">
              <w:rPr>
                <w:rFonts w:ascii="Arial" w:hAnsi="Arial" w:cs="Arial"/>
                <w:color w:val="000000"/>
                <w:sz w:val="20"/>
                <w:szCs w:val="24"/>
              </w:rPr>
              <w:t>.</w:t>
            </w:r>
            <w:r>
              <w:rPr>
                <w:rFonts w:ascii="Arial" w:hAnsi="Arial" w:cs="Arial"/>
                <w:color w:val="000000"/>
                <w:sz w:val="20"/>
                <w:szCs w:val="24"/>
              </w:rPr>
              <w:t>4</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12</w:t>
            </w:r>
            <w:r w:rsidR="00706050">
              <w:rPr>
                <w:rFonts w:ascii="Arial" w:hAnsi="Arial" w:cs="Arial"/>
                <w:color w:val="000000"/>
                <w:sz w:val="20"/>
                <w:szCs w:val="24"/>
              </w:rPr>
              <w:t>.</w:t>
            </w:r>
            <w:r>
              <w:rPr>
                <w:rFonts w:ascii="Arial" w:hAnsi="Arial" w:cs="Arial"/>
                <w:color w:val="000000"/>
                <w:sz w:val="20"/>
                <w:szCs w:val="24"/>
              </w:rPr>
              <w:t>6</w:t>
            </w:r>
            <w:r w:rsidR="002859D9">
              <w:rPr>
                <w:rFonts w:ascii="Arial" w:hAnsi="Arial" w:cs="Arial"/>
                <w:color w:val="000000"/>
                <w:sz w:val="20"/>
                <w:szCs w:val="24"/>
              </w:rPr>
              <w:t>0</w:t>
            </w:r>
          </w:p>
        </w:tc>
        <w:tc>
          <w:tcPr>
            <w:tcW w:w="2551" w:type="dxa"/>
            <w:tcBorders>
              <w:left w:val="single" w:sz="4" w:space="0" w:color="FFFFFF" w:themeColor="background1"/>
              <w:right w:val="single" w:sz="4" w:space="0" w:color="FFFFFF" w:themeColor="background1"/>
            </w:tcBorders>
            <w:vAlign w:val="center"/>
          </w:tcPr>
          <w:p w14:paraId="21D469C8" w14:textId="35CFDC01" w:rsidR="007E7541" w:rsidRPr="00DE3C61" w:rsidRDefault="007E7541" w:rsidP="00A916CB">
            <w:pPr>
              <w:jc w:val="center"/>
              <w:rPr>
                <w:rFonts w:ascii="Arial" w:hAnsi="Arial" w:cs="Arial"/>
              </w:rPr>
            </w:pPr>
            <w:r>
              <w:rPr>
                <w:rFonts w:ascii="Arial" w:hAnsi="Arial" w:cs="Arial"/>
                <w:color w:val="000000"/>
                <w:sz w:val="20"/>
                <w:szCs w:val="24"/>
              </w:rPr>
              <w:t>52</w:t>
            </w:r>
            <w:r w:rsidR="00706050">
              <w:rPr>
                <w:rFonts w:ascii="Arial" w:hAnsi="Arial" w:cs="Arial"/>
                <w:color w:val="000000"/>
                <w:sz w:val="20"/>
                <w:szCs w:val="24"/>
              </w:rPr>
              <w:t>.</w:t>
            </w:r>
            <w:r>
              <w:rPr>
                <w:rFonts w:ascii="Arial" w:hAnsi="Arial" w:cs="Arial"/>
                <w:color w:val="000000"/>
                <w:sz w:val="20"/>
                <w:szCs w:val="24"/>
              </w:rPr>
              <w:t>53</w:t>
            </w:r>
            <w:r w:rsidRPr="008F409E">
              <w:rPr>
                <w:rFonts w:ascii="Arial" w:hAnsi="Arial" w:cs="Arial"/>
                <w:color w:val="000000"/>
                <w:sz w:val="20"/>
                <w:szCs w:val="24"/>
              </w:rPr>
              <w:t xml:space="preserve"> ± </w:t>
            </w:r>
            <w:r>
              <w:rPr>
                <w:rFonts w:ascii="Arial" w:hAnsi="Arial" w:cs="Arial"/>
                <w:color w:val="000000"/>
                <w:sz w:val="20"/>
                <w:szCs w:val="24"/>
              </w:rPr>
              <w:t>11</w:t>
            </w:r>
            <w:r w:rsidR="00706050">
              <w:rPr>
                <w:rFonts w:ascii="Arial" w:hAnsi="Arial" w:cs="Arial"/>
                <w:color w:val="000000"/>
                <w:sz w:val="20"/>
                <w:szCs w:val="24"/>
              </w:rPr>
              <w:t>.</w:t>
            </w:r>
            <w:r>
              <w:rPr>
                <w:rFonts w:ascii="Arial" w:hAnsi="Arial" w:cs="Arial"/>
                <w:color w:val="000000"/>
                <w:sz w:val="20"/>
                <w:szCs w:val="24"/>
              </w:rPr>
              <w:t>69</w:t>
            </w:r>
          </w:p>
        </w:tc>
      </w:tr>
      <w:tr w:rsidR="007E7541" w:rsidRPr="00DC3180" w14:paraId="31C69CFB" w14:textId="77777777" w:rsidTr="00A215CA">
        <w:trPr>
          <w:trHeight w:val="225"/>
        </w:trPr>
        <w:tc>
          <w:tcPr>
            <w:tcW w:w="2093" w:type="dxa"/>
            <w:tcBorders>
              <w:left w:val="single" w:sz="4" w:space="0" w:color="FFFFFF" w:themeColor="background1"/>
              <w:right w:val="single" w:sz="4" w:space="0" w:color="FFFFFF" w:themeColor="background1"/>
            </w:tcBorders>
            <w:vAlign w:val="center"/>
          </w:tcPr>
          <w:p w14:paraId="0CC998F3" w14:textId="7A84F210" w:rsidR="007E7541" w:rsidRPr="00D635D7" w:rsidRDefault="0016167E" w:rsidP="00317CF3">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30mg/</w:t>
            </w:r>
            <w:proofErr w:type="spellStart"/>
            <w:r w:rsidR="007E7541"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2CFD663D" w14:textId="2666E410" w:rsidR="007E7541" w:rsidRPr="00DE3C61" w:rsidRDefault="007E7541" w:rsidP="00317CF3">
            <w:pPr>
              <w:jc w:val="center"/>
              <w:rPr>
                <w:rFonts w:ascii="Arial" w:hAnsi="Arial" w:cs="Arial"/>
              </w:rPr>
            </w:pPr>
            <w:r>
              <w:rPr>
                <w:rFonts w:ascii="Arial" w:hAnsi="Arial" w:cs="Arial"/>
                <w:color w:val="000000"/>
                <w:sz w:val="20"/>
                <w:szCs w:val="24"/>
              </w:rPr>
              <w:t>113</w:t>
            </w:r>
            <w:r w:rsidR="00706050">
              <w:rPr>
                <w:rFonts w:ascii="Arial" w:hAnsi="Arial" w:cs="Arial"/>
                <w:color w:val="000000"/>
                <w:sz w:val="20"/>
                <w:szCs w:val="24"/>
              </w:rPr>
              <w:t>.</w:t>
            </w:r>
            <w:r>
              <w:rPr>
                <w:rFonts w:ascii="Arial" w:hAnsi="Arial" w:cs="Arial"/>
                <w:color w:val="000000"/>
                <w:sz w:val="20"/>
                <w:szCs w:val="24"/>
              </w:rPr>
              <w:t>8</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34</w:t>
            </w:r>
            <w:r w:rsidR="00706050">
              <w:rPr>
                <w:rFonts w:ascii="Arial" w:hAnsi="Arial" w:cs="Arial"/>
                <w:color w:val="000000"/>
                <w:sz w:val="20"/>
                <w:szCs w:val="24"/>
              </w:rPr>
              <w:t>.</w:t>
            </w:r>
            <w:r>
              <w:rPr>
                <w:rFonts w:ascii="Arial" w:hAnsi="Arial" w:cs="Arial"/>
                <w:color w:val="000000"/>
                <w:sz w:val="20"/>
                <w:szCs w:val="24"/>
              </w:rPr>
              <w:t>74</w:t>
            </w:r>
          </w:p>
        </w:tc>
        <w:tc>
          <w:tcPr>
            <w:tcW w:w="1987" w:type="dxa"/>
            <w:tcBorders>
              <w:left w:val="single" w:sz="4" w:space="0" w:color="FFFFFF" w:themeColor="background1"/>
              <w:right w:val="single" w:sz="4" w:space="0" w:color="FFFFFF" w:themeColor="background1"/>
            </w:tcBorders>
            <w:vAlign w:val="center"/>
          </w:tcPr>
          <w:p w14:paraId="10480256" w14:textId="308BB3D4" w:rsidR="007E7541" w:rsidRPr="00DE3C61" w:rsidRDefault="007E7541" w:rsidP="00A916CB">
            <w:pPr>
              <w:jc w:val="center"/>
              <w:rPr>
                <w:rFonts w:ascii="Arial" w:hAnsi="Arial" w:cs="Arial"/>
              </w:rPr>
            </w:pPr>
            <w:r>
              <w:rPr>
                <w:rFonts w:ascii="Arial" w:hAnsi="Arial" w:cs="Arial"/>
                <w:color w:val="000000"/>
                <w:sz w:val="20"/>
                <w:szCs w:val="24"/>
              </w:rPr>
              <w:t>70</w:t>
            </w:r>
            <w:r w:rsidR="00706050">
              <w:rPr>
                <w:rFonts w:ascii="Arial" w:hAnsi="Arial" w:cs="Arial"/>
                <w:color w:val="000000"/>
                <w:sz w:val="20"/>
                <w:szCs w:val="24"/>
              </w:rPr>
              <w:t>.</w:t>
            </w:r>
            <w:r>
              <w:rPr>
                <w:rFonts w:ascii="Arial" w:hAnsi="Arial" w:cs="Arial"/>
                <w:color w:val="000000"/>
                <w:sz w:val="20"/>
                <w:szCs w:val="24"/>
              </w:rPr>
              <w:t>2</w:t>
            </w:r>
            <w:r w:rsidR="002859D9">
              <w:rPr>
                <w:rFonts w:ascii="Arial" w:hAnsi="Arial" w:cs="Arial"/>
                <w:color w:val="000000"/>
                <w:sz w:val="20"/>
                <w:szCs w:val="24"/>
              </w:rPr>
              <w:t>0</w:t>
            </w:r>
            <w:r w:rsidRPr="008F409E">
              <w:rPr>
                <w:rFonts w:ascii="Arial" w:hAnsi="Arial" w:cs="Arial"/>
                <w:color w:val="000000"/>
                <w:sz w:val="20"/>
                <w:szCs w:val="24"/>
              </w:rPr>
              <w:t xml:space="preserve"> ± </w:t>
            </w:r>
            <w:r>
              <w:rPr>
                <w:rFonts w:ascii="Arial" w:hAnsi="Arial" w:cs="Arial"/>
                <w:color w:val="000000"/>
                <w:sz w:val="20"/>
                <w:szCs w:val="24"/>
              </w:rPr>
              <w:t>15</w:t>
            </w:r>
            <w:r w:rsidR="00706050">
              <w:rPr>
                <w:rFonts w:ascii="Arial" w:hAnsi="Arial" w:cs="Arial"/>
                <w:color w:val="000000"/>
                <w:sz w:val="20"/>
                <w:szCs w:val="24"/>
              </w:rPr>
              <w:t>.</w:t>
            </w:r>
            <w:r>
              <w:rPr>
                <w:rFonts w:ascii="Arial" w:hAnsi="Arial" w:cs="Arial"/>
                <w:color w:val="000000"/>
                <w:sz w:val="20"/>
                <w:szCs w:val="24"/>
              </w:rPr>
              <w:t>97</w:t>
            </w:r>
          </w:p>
        </w:tc>
        <w:tc>
          <w:tcPr>
            <w:tcW w:w="2551" w:type="dxa"/>
            <w:tcBorders>
              <w:left w:val="single" w:sz="4" w:space="0" w:color="FFFFFF" w:themeColor="background1"/>
              <w:right w:val="single" w:sz="4" w:space="0" w:color="FFFFFF" w:themeColor="background1"/>
            </w:tcBorders>
            <w:vAlign w:val="center"/>
          </w:tcPr>
          <w:p w14:paraId="358E5E5B" w14:textId="5D9CE2E3" w:rsidR="007E7541" w:rsidRPr="00DE3C61" w:rsidRDefault="007E7541" w:rsidP="00A916CB">
            <w:pPr>
              <w:jc w:val="center"/>
              <w:rPr>
                <w:rFonts w:ascii="Arial" w:hAnsi="Arial" w:cs="Arial"/>
              </w:rPr>
            </w:pPr>
            <w:r>
              <w:rPr>
                <w:rFonts w:ascii="Arial" w:hAnsi="Arial" w:cs="Arial"/>
                <w:color w:val="000000"/>
                <w:sz w:val="20"/>
                <w:szCs w:val="24"/>
              </w:rPr>
              <w:t>31</w:t>
            </w:r>
            <w:r w:rsidR="00706050">
              <w:rPr>
                <w:rFonts w:ascii="Arial" w:hAnsi="Arial" w:cs="Arial"/>
                <w:color w:val="000000"/>
                <w:sz w:val="20"/>
                <w:szCs w:val="24"/>
              </w:rPr>
              <w:t>.</w:t>
            </w:r>
            <w:r>
              <w:rPr>
                <w:rFonts w:ascii="Arial" w:hAnsi="Arial" w:cs="Arial"/>
                <w:color w:val="000000"/>
                <w:sz w:val="20"/>
                <w:szCs w:val="24"/>
              </w:rPr>
              <w:t>61</w:t>
            </w:r>
            <w:r w:rsidRPr="008F409E">
              <w:rPr>
                <w:rFonts w:ascii="Arial" w:hAnsi="Arial" w:cs="Arial"/>
                <w:color w:val="000000"/>
                <w:sz w:val="20"/>
                <w:szCs w:val="24"/>
              </w:rPr>
              <w:t xml:space="preserve"> ± </w:t>
            </w:r>
            <w:r>
              <w:rPr>
                <w:rFonts w:ascii="Arial" w:hAnsi="Arial" w:cs="Arial"/>
                <w:color w:val="000000"/>
                <w:sz w:val="20"/>
                <w:szCs w:val="24"/>
              </w:rPr>
              <w:t>27</w:t>
            </w:r>
            <w:r w:rsidR="00706050">
              <w:rPr>
                <w:rFonts w:ascii="Arial" w:hAnsi="Arial" w:cs="Arial"/>
                <w:color w:val="000000"/>
                <w:sz w:val="20"/>
                <w:szCs w:val="24"/>
              </w:rPr>
              <w:t>.</w:t>
            </w:r>
            <w:r>
              <w:rPr>
                <w:rFonts w:ascii="Arial" w:hAnsi="Arial" w:cs="Arial"/>
                <w:color w:val="000000"/>
                <w:sz w:val="20"/>
                <w:szCs w:val="24"/>
              </w:rPr>
              <w:t>57</w:t>
            </w:r>
          </w:p>
        </w:tc>
      </w:tr>
      <w:tr w:rsidR="007E7541" w:rsidRPr="00DC3180" w14:paraId="18A70654" w14:textId="77777777" w:rsidTr="00A215CA">
        <w:trPr>
          <w:trHeight w:val="67"/>
        </w:trPr>
        <w:tc>
          <w:tcPr>
            <w:tcW w:w="2093" w:type="dxa"/>
            <w:tcBorders>
              <w:left w:val="single" w:sz="4" w:space="0" w:color="FFFFFF" w:themeColor="background1"/>
              <w:right w:val="single" w:sz="4" w:space="0" w:color="FFFFFF" w:themeColor="background1"/>
            </w:tcBorders>
            <w:vAlign w:val="center"/>
          </w:tcPr>
          <w:p w14:paraId="2B810D72" w14:textId="235013AC" w:rsidR="007E7541" w:rsidRPr="00D635D7" w:rsidRDefault="0016167E" w:rsidP="00317CF3">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60mg/</w:t>
            </w:r>
            <w:proofErr w:type="spellStart"/>
            <w:r w:rsidR="007E7541"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10ED941A" w14:textId="5447FC7F" w:rsidR="007E7541" w:rsidRPr="007E7541" w:rsidRDefault="007E7541" w:rsidP="00317CF3">
            <w:pPr>
              <w:jc w:val="center"/>
              <w:rPr>
                <w:rFonts w:ascii="Arial" w:hAnsi="Arial" w:cs="Arial"/>
                <w:sz w:val="20"/>
                <w:szCs w:val="20"/>
              </w:rPr>
            </w:pPr>
            <w:r w:rsidRPr="007E7541">
              <w:rPr>
                <w:rFonts w:ascii="Arial" w:hAnsi="Arial" w:cs="Arial"/>
                <w:color w:val="000000"/>
                <w:sz w:val="20"/>
                <w:szCs w:val="20"/>
              </w:rPr>
              <w:t>103</w:t>
            </w:r>
            <w:r w:rsidR="00706050">
              <w:rPr>
                <w:rFonts w:ascii="Arial" w:hAnsi="Arial" w:cs="Arial"/>
                <w:color w:val="000000"/>
                <w:sz w:val="20"/>
                <w:szCs w:val="20"/>
              </w:rPr>
              <w:t>.</w:t>
            </w:r>
            <w:r w:rsidRPr="007E7541">
              <w:rPr>
                <w:rFonts w:ascii="Arial" w:hAnsi="Arial" w:cs="Arial"/>
                <w:color w:val="000000"/>
                <w:sz w:val="20"/>
                <w:szCs w:val="20"/>
              </w:rPr>
              <w:t>2</w:t>
            </w:r>
            <w:r w:rsidR="002859D9">
              <w:rPr>
                <w:rFonts w:ascii="Arial" w:hAnsi="Arial" w:cs="Arial"/>
                <w:color w:val="000000"/>
                <w:sz w:val="20"/>
                <w:szCs w:val="20"/>
              </w:rPr>
              <w:t>0</w:t>
            </w:r>
            <w:r w:rsidRPr="007E7541">
              <w:rPr>
                <w:rFonts w:ascii="Arial" w:hAnsi="Arial" w:cs="Arial"/>
                <w:color w:val="000000"/>
                <w:sz w:val="20"/>
                <w:szCs w:val="20"/>
              </w:rPr>
              <w:t xml:space="preserve"> ± 24</w:t>
            </w:r>
            <w:r w:rsidR="00706050">
              <w:rPr>
                <w:rFonts w:ascii="Arial" w:hAnsi="Arial" w:cs="Arial"/>
                <w:color w:val="000000"/>
                <w:sz w:val="20"/>
                <w:szCs w:val="20"/>
              </w:rPr>
              <w:t>.</w:t>
            </w:r>
            <w:r w:rsidRPr="007E7541">
              <w:rPr>
                <w:rFonts w:ascii="Arial" w:hAnsi="Arial" w:cs="Arial"/>
                <w:color w:val="000000"/>
                <w:sz w:val="20"/>
                <w:szCs w:val="20"/>
              </w:rPr>
              <w:t>55</w:t>
            </w:r>
          </w:p>
        </w:tc>
        <w:tc>
          <w:tcPr>
            <w:tcW w:w="1987" w:type="dxa"/>
            <w:tcBorders>
              <w:left w:val="single" w:sz="4" w:space="0" w:color="FFFFFF" w:themeColor="background1"/>
              <w:right w:val="single" w:sz="4" w:space="0" w:color="FFFFFF" w:themeColor="background1"/>
            </w:tcBorders>
            <w:vAlign w:val="center"/>
          </w:tcPr>
          <w:p w14:paraId="05575A14" w14:textId="7A7E99DD" w:rsidR="007E7541" w:rsidRPr="007E7541" w:rsidRDefault="007E7541" w:rsidP="007E7541">
            <w:pPr>
              <w:jc w:val="center"/>
              <w:rPr>
                <w:rFonts w:ascii="Arial" w:hAnsi="Arial" w:cs="Arial"/>
                <w:sz w:val="20"/>
                <w:szCs w:val="20"/>
              </w:rPr>
            </w:pPr>
            <w:r w:rsidRPr="007E7541">
              <w:rPr>
                <w:rFonts w:ascii="Arial" w:hAnsi="Arial" w:cs="Arial"/>
                <w:color w:val="000000"/>
                <w:sz w:val="20"/>
                <w:szCs w:val="20"/>
              </w:rPr>
              <w:t>53</w:t>
            </w:r>
            <w:r w:rsidR="00706050">
              <w:rPr>
                <w:rFonts w:ascii="Arial" w:hAnsi="Arial" w:cs="Arial"/>
                <w:color w:val="000000"/>
                <w:sz w:val="20"/>
                <w:szCs w:val="20"/>
              </w:rPr>
              <w:t>.</w:t>
            </w:r>
            <w:r w:rsidRPr="007E7541">
              <w:rPr>
                <w:rFonts w:ascii="Arial" w:hAnsi="Arial" w:cs="Arial"/>
                <w:color w:val="000000"/>
                <w:sz w:val="20"/>
                <w:szCs w:val="20"/>
              </w:rPr>
              <w:t>4</w:t>
            </w:r>
            <w:r w:rsidR="002859D9">
              <w:rPr>
                <w:rFonts w:ascii="Arial" w:hAnsi="Arial" w:cs="Arial"/>
                <w:color w:val="000000"/>
                <w:sz w:val="20"/>
                <w:szCs w:val="20"/>
              </w:rPr>
              <w:t>0</w:t>
            </w:r>
            <w:r w:rsidRPr="007E7541">
              <w:rPr>
                <w:rFonts w:ascii="Arial" w:hAnsi="Arial" w:cs="Arial"/>
                <w:color w:val="000000"/>
                <w:sz w:val="20"/>
                <w:szCs w:val="20"/>
              </w:rPr>
              <w:t>± 10</w:t>
            </w:r>
            <w:r w:rsidR="00706050">
              <w:rPr>
                <w:rFonts w:ascii="Arial" w:hAnsi="Arial" w:cs="Arial"/>
                <w:color w:val="000000"/>
                <w:sz w:val="20"/>
                <w:szCs w:val="20"/>
              </w:rPr>
              <w:t>.</w:t>
            </w:r>
            <w:r w:rsidRPr="007E7541">
              <w:rPr>
                <w:rFonts w:ascii="Arial" w:hAnsi="Arial" w:cs="Arial"/>
                <w:color w:val="000000"/>
                <w:sz w:val="20"/>
                <w:szCs w:val="20"/>
              </w:rPr>
              <w:t>97</w:t>
            </w:r>
          </w:p>
        </w:tc>
        <w:tc>
          <w:tcPr>
            <w:tcW w:w="2551" w:type="dxa"/>
            <w:tcBorders>
              <w:left w:val="single" w:sz="4" w:space="0" w:color="FFFFFF" w:themeColor="background1"/>
              <w:right w:val="single" w:sz="4" w:space="0" w:color="FFFFFF" w:themeColor="background1"/>
            </w:tcBorders>
            <w:vAlign w:val="center"/>
          </w:tcPr>
          <w:p w14:paraId="03276053" w14:textId="6172F54A" w:rsidR="007E7541" w:rsidRPr="007E7541" w:rsidRDefault="007E7541" w:rsidP="007E7541">
            <w:pPr>
              <w:jc w:val="center"/>
              <w:rPr>
                <w:rFonts w:ascii="Arial" w:hAnsi="Arial" w:cs="Arial"/>
                <w:sz w:val="20"/>
                <w:szCs w:val="20"/>
              </w:rPr>
            </w:pPr>
            <w:r w:rsidRPr="007E7541">
              <w:rPr>
                <w:rFonts w:ascii="Arial" w:hAnsi="Arial" w:cs="Arial"/>
                <w:color w:val="000000"/>
                <w:sz w:val="20"/>
                <w:szCs w:val="20"/>
              </w:rPr>
              <w:t>46</w:t>
            </w:r>
            <w:r w:rsidR="00706050">
              <w:rPr>
                <w:rFonts w:ascii="Arial" w:hAnsi="Arial" w:cs="Arial"/>
                <w:color w:val="000000"/>
                <w:sz w:val="20"/>
                <w:szCs w:val="20"/>
              </w:rPr>
              <w:t>.</w:t>
            </w:r>
            <w:r w:rsidRPr="007E7541">
              <w:rPr>
                <w:rFonts w:ascii="Arial" w:hAnsi="Arial" w:cs="Arial"/>
                <w:color w:val="000000"/>
                <w:sz w:val="20"/>
                <w:szCs w:val="20"/>
              </w:rPr>
              <w:t>87 ± 9</w:t>
            </w:r>
            <w:r w:rsidR="00706050">
              <w:rPr>
                <w:rFonts w:ascii="Arial" w:hAnsi="Arial" w:cs="Arial"/>
                <w:color w:val="000000"/>
                <w:sz w:val="20"/>
                <w:szCs w:val="20"/>
              </w:rPr>
              <w:t>.</w:t>
            </w:r>
            <w:r w:rsidRPr="007E7541">
              <w:rPr>
                <w:rFonts w:ascii="Arial" w:hAnsi="Arial" w:cs="Arial"/>
                <w:color w:val="000000"/>
                <w:sz w:val="20"/>
                <w:szCs w:val="20"/>
              </w:rPr>
              <w:t>18</w:t>
            </w:r>
          </w:p>
        </w:tc>
      </w:tr>
      <w:tr w:rsidR="007E7541" w:rsidRPr="00DC3180" w14:paraId="51F823F0" w14:textId="77777777" w:rsidTr="00A215CA">
        <w:trPr>
          <w:trHeight w:val="121"/>
        </w:trPr>
        <w:tc>
          <w:tcPr>
            <w:tcW w:w="2093" w:type="dxa"/>
            <w:tcBorders>
              <w:left w:val="single" w:sz="4" w:space="0" w:color="FFFFFF" w:themeColor="background1"/>
              <w:right w:val="single" w:sz="4" w:space="0" w:color="FFFFFF" w:themeColor="background1"/>
            </w:tcBorders>
            <w:vAlign w:val="center"/>
          </w:tcPr>
          <w:p w14:paraId="5AAA8481" w14:textId="04AE0734" w:rsidR="007E7541" w:rsidRPr="00D635D7" w:rsidRDefault="0016167E" w:rsidP="00317CF3">
            <w:pPr>
              <w:jc w:val="center"/>
              <w:rPr>
                <w:rFonts w:ascii="Arial" w:hAnsi="Arial"/>
                <w:vanish/>
                <w:sz w:val="20"/>
                <w:szCs w:val="20"/>
              </w:rPr>
            </w:pPr>
            <w:r>
              <w:rPr>
                <w:rFonts w:ascii="Arial" w:hAnsi="Arial"/>
                <w:sz w:val="20"/>
                <w:szCs w:val="20"/>
              </w:rPr>
              <w:t>EEAF</w:t>
            </w:r>
            <w:r w:rsidR="007E7541" w:rsidRPr="00D635D7">
              <w:rPr>
                <w:rFonts w:ascii="Arial" w:hAnsi="Arial"/>
                <w:sz w:val="20"/>
                <w:szCs w:val="20"/>
              </w:rPr>
              <w:t xml:space="preserve"> 120mg/</w:t>
            </w:r>
            <w:proofErr w:type="spellStart"/>
            <w:r w:rsidR="007E7541" w:rsidRPr="00D635D7">
              <w:rPr>
                <w:rFonts w:ascii="Arial" w:hAnsi="Arial"/>
                <w:sz w:val="20"/>
                <w:szCs w:val="20"/>
              </w:rPr>
              <w:t>kgB</w:t>
            </w:r>
            <w:r w:rsidR="00A215CA">
              <w:rPr>
                <w:rFonts w:ascii="Arial" w:hAnsi="Arial"/>
                <w:sz w:val="20"/>
                <w:szCs w:val="20"/>
              </w:rPr>
              <w:t>W</w:t>
            </w:r>
            <w:proofErr w:type="spellEnd"/>
          </w:p>
        </w:tc>
        <w:tc>
          <w:tcPr>
            <w:tcW w:w="2266" w:type="dxa"/>
            <w:tcBorders>
              <w:left w:val="single" w:sz="4" w:space="0" w:color="FFFFFF" w:themeColor="background1"/>
              <w:right w:val="single" w:sz="4" w:space="0" w:color="FFFFFF" w:themeColor="background1"/>
            </w:tcBorders>
            <w:vAlign w:val="center"/>
          </w:tcPr>
          <w:p w14:paraId="5AAA3E59" w14:textId="68AE874D" w:rsidR="007E7541" w:rsidRPr="007E7541" w:rsidRDefault="007E7541" w:rsidP="00317CF3">
            <w:pPr>
              <w:jc w:val="center"/>
              <w:rPr>
                <w:rFonts w:ascii="Arial" w:hAnsi="Arial" w:cs="Arial"/>
                <w:sz w:val="20"/>
                <w:szCs w:val="20"/>
              </w:rPr>
            </w:pPr>
            <w:r w:rsidRPr="007E7541">
              <w:rPr>
                <w:rFonts w:ascii="Arial" w:hAnsi="Arial" w:cs="Arial"/>
                <w:color w:val="000000"/>
                <w:sz w:val="20"/>
                <w:szCs w:val="20"/>
              </w:rPr>
              <w:t>90</w:t>
            </w:r>
            <w:r w:rsidR="00706050">
              <w:rPr>
                <w:rFonts w:ascii="Arial" w:hAnsi="Arial" w:cs="Arial"/>
                <w:color w:val="000000"/>
                <w:sz w:val="20"/>
                <w:szCs w:val="20"/>
              </w:rPr>
              <w:t>.</w:t>
            </w:r>
            <w:r w:rsidRPr="007E7541">
              <w:rPr>
                <w:rFonts w:ascii="Arial" w:hAnsi="Arial" w:cs="Arial"/>
                <w:color w:val="000000"/>
                <w:sz w:val="20"/>
                <w:szCs w:val="20"/>
              </w:rPr>
              <w:t>8</w:t>
            </w:r>
            <w:r w:rsidR="002859D9">
              <w:rPr>
                <w:rFonts w:ascii="Arial" w:hAnsi="Arial" w:cs="Arial"/>
                <w:color w:val="000000"/>
                <w:sz w:val="20"/>
                <w:szCs w:val="20"/>
              </w:rPr>
              <w:t>0</w:t>
            </w:r>
            <w:r w:rsidRPr="007E7541">
              <w:rPr>
                <w:rFonts w:ascii="Arial" w:hAnsi="Arial" w:cs="Arial"/>
                <w:color w:val="000000"/>
                <w:sz w:val="20"/>
                <w:szCs w:val="20"/>
              </w:rPr>
              <w:t xml:space="preserve"> ± 21</w:t>
            </w:r>
            <w:r w:rsidR="00706050">
              <w:rPr>
                <w:rFonts w:ascii="Arial" w:hAnsi="Arial" w:cs="Arial"/>
                <w:color w:val="000000"/>
                <w:sz w:val="20"/>
                <w:szCs w:val="20"/>
              </w:rPr>
              <w:t>.</w:t>
            </w:r>
            <w:r w:rsidRPr="007E7541">
              <w:rPr>
                <w:rFonts w:ascii="Arial" w:hAnsi="Arial" w:cs="Arial"/>
                <w:color w:val="000000"/>
                <w:sz w:val="20"/>
                <w:szCs w:val="20"/>
              </w:rPr>
              <w:t>68</w:t>
            </w:r>
          </w:p>
        </w:tc>
        <w:tc>
          <w:tcPr>
            <w:tcW w:w="1987" w:type="dxa"/>
            <w:tcBorders>
              <w:left w:val="single" w:sz="4" w:space="0" w:color="FFFFFF" w:themeColor="background1"/>
              <w:right w:val="single" w:sz="4" w:space="0" w:color="FFFFFF" w:themeColor="background1"/>
            </w:tcBorders>
            <w:vAlign w:val="center"/>
          </w:tcPr>
          <w:p w14:paraId="5026D557" w14:textId="65E1A8EC" w:rsidR="007E7541" w:rsidRPr="007E7541" w:rsidRDefault="007E7541" w:rsidP="007E7541">
            <w:pPr>
              <w:jc w:val="center"/>
              <w:rPr>
                <w:rFonts w:ascii="Arial" w:hAnsi="Arial" w:cs="Arial"/>
                <w:sz w:val="20"/>
                <w:szCs w:val="20"/>
              </w:rPr>
            </w:pPr>
            <w:r w:rsidRPr="007E7541">
              <w:rPr>
                <w:rFonts w:ascii="Arial" w:hAnsi="Arial" w:cs="Arial"/>
                <w:color w:val="000000"/>
                <w:sz w:val="20"/>
                <w:szCs w:val="20"/>
              </w:rPr>
              <w:t>34</w:t>
            </w:r>
            <w:r w:rsidR="00706050">
              <w:rPr>
                <w:rFonts w:ascii="Arial" w:hAnsi="Arial" w:cs="Arial"/>
                <w:color w:val="000000"/>
                <w:sz w:val="20"/>
                <w:szCs w:val="20"/>
              </w:rPr>
              <w:t>.</w:t>
            </w:r>
            <w:r w:rsidRPr="007E7541">
              <w:rPr>
                <w:rFonts w:ascii="Arial" w:hAnsi="Arial" w:cs="Arial"/>
                <w:color w:val="000000"/>
                <w:sz w:val="20"/>
                <w:szCs w:val="20"/>
              </w:rPr>
              <w:t>4</w:t>
            </w:r>
            <w:r w:rsidR="002859D9">
              <w:rPr>
                <w:rFonts w:ascii="Arial" w:hAnsi="Arial" w:cs="Arial"/>
                <w:color w:val="000000"/>
                <w:sz w:val="20"/>
                <w:szCs w:val="20"/>
              </w:rPr>
              <w:t>0</w:t>
            </w:r>
            <w:r w:rsidRPr="007E7541">
              <w:rPr>
                <w:rFonts w:ascii="Arial" w:hAnsi="Arial" w:cs="Arial"/>
                <w:color w:val="000000"/>
                <w:sz w:val="20"/>
                <w:szCs w:val="20"/>
              </w:rPr>
              <w:t xml:space="preserve"> ± 7</w:t>
            </w:r>
            <w:r w:rsidR="00706050">
              <w:rPr>
                <w:rFonts w:ascii="Arial" w:hAnsi="Arial" w:cs="Arial"/>
                <w:color w:val="000000"/>
                <w:sz w:val="20"/>
                <w:szCs w:val="20"/>
              </w:rPr>
              <w:t>.</w:t>
            </w:r>
            <w:r w:rsidRPr="007E7541">
              <w:rPr>
                <w:rFonts w:ascii="Arial" w:hAnsi="Arial" w:cs="Arial"/>
                <w:color w:val="000000"/>
                <w:sz w:val="20"/>
                <w:szCs w:val="20"/>
              </w:rPr>
              <w:t>42</w:t>
            </w:r>
          </w:p>
        </w:tc>
        <w:tc>
          <w:tcPr>
            <w:tcW w:w="2551" w:type="dxa"/>
            <w:tcBorders>
              <w:left w:val="single" w:sz="4" w:space="0" w:color="FFFFFF" w:themeColor="background1"/>
              <w:right w:val="single" w:sz="4" w:space="0" w:color="FFFFFF" w:themeColor="background1"/>
            </w:tcBorders>
            <w:vAlign w:val="center"/>
          </w:tcPr>
          <w:p w14:paraId="7CD351DA" w14:textId="3F74389F" w:rsidR="007E7541" w:rsidRPr="007E7541" w:rsidRDefault="007E7541" w:rsidP="007E7541">
            <w:pPr>
              <w:jc w:val="center"/>
              <w:rPr>
                <w:rFonts w:ascii="Arial" w:hAnsi="Arial" w:cs="Arial"/>
                <w:sz w:val="20"/>
                <w:szCs w:val="20"/>
              </w:rPr>
            </w:pPr>
            <w:r w:rsidRPr="007E7541">
              <w:rPr>
                <w:rFonts w:ascii="Arial" w:hAnsi="Arial" w:cs="Arial"/>
                <w:color w:val="000000"/>
                <w:sz w:val="20"/>
                <w:szCs w:val="20"/>
              </w:rPr>
              <w:t>59</w:t>
            </w:r>
            <w:r w:rsidR="00706050">
              <w:rPr>
                <w:rFonts w:ascii="Arial" w:hAnsi="Arial" w:cs="Arial"/>
                <w:color w:val="000000"/>
                <w:sz w:val="20"/>
                <w:szCs w:val="20"/>
              </w:rPr>
              <w:t>.</w:t>
            </w:r>
            <w:r w:rsidRPr="007E7541">
              <w:rPr>
                <w:rFonts w:ascii="Arial" w:hAnsi="Arial" w:cs="Arial"/>
                <w:color w:val="000000"/>
                <w:sz w:val="20"/>
                <w:szCs w:val="20"/>
              </w:rPr>
              <w:t>16 ± 13</w:t>
            </w:r>
            <w:r w:rsidR="00706050">
              <w:rPr>
                <w:rFonts w:ascii="Arial" w:hAnsi="Arial" w:cs="Arial"/>
                <w:color w:val="000000"/>
                <w:sz w:val="20"/>
                <w:szCs w:val="20"/>
              </w:rPr>
              <w:t>.</w:t>
            </w:r>
            <w:r w:rsidRPr="007E7541">
              <w:rPr>
                <w:rFonts w:ascii="Arial" w:hAnsi="Arial" w:cs="Arial"/>
                <w:color w:val="000000"/>
                <w:sz w:val="20"/>
                <w:szCs w:val="20"/>
              </w:rPr>
              <w:t>40</w:t>
            </w:r>
          </w:p>
        </w:tc>
      </w:tr>
    </w:tbl>
    <w:p w14:paraId="44468D5F" w14:textId="4141F037" w:rsidR="007E7541" w:rsidRDefault="002859D9" w:rsidP="00441B6F">
      <w:pPr>
        <w:pStyle w:val="Body"/>
        <w:spacing w:after="0"/>
        <w:rPr>
          <w:rFonts w:ascii="Arial" w:hAnsi="Arial" w:cs="Arial"/>
        </w:rPr>
      </w:pPr>
      <w:r w:rsidRPr="002859D9">
        <w:rPr>
          <w:rFonts w:ascii="Arial" w:hAnsi="Arial" w:cs="Arial"/>
        </w:rPr>
        <w:t>Data are presented as mean ± SD (n = 5)</w:t>
      </w:r>
    </w:p>
    <w:p w14:paraId="0281BA02" w14:textId="77777777" w:rsidR="00C8180C" w:rsidRDefault="00C8180C" w:rsidP="00441B6F">
      <w:pPr>
        <w:pStyle w:val="Body"/>
        <w:spacing w:after="0"/>
        <w:rPr>
          <w:rFonts w:ascii="Arial" w:hAnsi="Arial" w:cs="Arial"/>
        </w:rPr>
      </w:pPr>
    </w:p>
    <w:p w14:paraId="6053EE10" w14:textId="7843CF5B" w:rsidR="00C8180C" w:rsidRDefault="00C8180C" w:rsidP="00441B6F">
      <w:pPr>
        <w:pStyle w:val="Body"/>
        <w:spacing w:after="0"/>
        <w:rPr>
          <w:rFonts w:ascii="Arial" w:hAnsi="Arial" w:cs="Arial"/>
        </w:rPr>
      </w:pPr>
      <w:r w:rsidRPr="00C8180C">
        <w:rPr>
          <w:rFonts w:ascii="Arial" w:hAnsi="Arial" w:cs="Arial"/>
        </w:rPr>
        <w:t>Treatment with EEAF resulted in a reduction in both total cholesterol and triglyceride levels across all dose groups. The highest reduction in total cholesterol was observed in the EEAF 120 mg/kg BW group, while triglyceride levels showed the greatest decrease at the same dose.</w:t>
      </w:r>
    </w:p>
    <w:p w14:paraId="65783719" w14:textId="663593CF" w:rsidR="002E2AEA" w:rsidRDefault="003C5024" w:rsidP="00441B6F">
      <w:pPr>
        <w:pStyle w:val="Body"/>
        <w:spacing w:after="0"/>
      </w:pPr>
      <w:r>
        <w:object w:dxaOrig="6149" w:dyaOrig="7493" w14:anchorId="3D60A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2.75pt;height:234.75pt" o:ole="">
            <v:imagedata r:id="rId16" o:title=""/>
          </v:shape>
          <o:OLEObject Type="Embed" ProgID="Prism9.Document" ShapeID="_x0000_i1026" DrawAspect="Content" ObjectID="_1837840501" r:id="rId17"/>
        </w:object>
      </w:r>
      <w:r>
        <w:t xml:space="preserve"> </w:t>
      </w:r>
      <w:r>
        <w:object w:dxaOrig="6530" w:dyaOrig="7774" w14:anchorId="5BE3F623">
          <v:shape id="_x0000_i1027" type="#_x0000_t75" style="width:201pt;height:239.25pt" o:ole="">
            <v:imagedata r:id="rId18" o:title=""/>
          </v:shape>
          <o:OLEObject Type="Embed" ProgID="Prism9.Document" ShapeID="_x0000_i1027" DrawAspect="Content" ObjectID="_1837840502" r:id="rId19"/>
        </w:object>
      </w:r>
    </w:p>
    <w:p w14:paraId="1A238840" w14:textId="1ED8B9CD" w:rsidR="002055B4" w:rsidRPr="002055B4" w:rsidRDefault="002055B4" w:rsidP="00441B6F">
      <w:pPr>
        <w:pStyle w:val="Body"/>
        <w:spacing w:after="0"/>
        <w:rPr>
          <w:rFonts w:ascii="Arial" w:hAnsi="Arial" w:cs="Arial"/>
          <w:b/>
          <w:bCs/>
        </w:rPr>
      </w:pPr>
      <w:r w:rsidRPr="002055B4">
        <w:rPr>
          <w:rFonts w:ascii="Arial" w:hAnsi="Arial" w:cs="Arial"/>
          <w:b/>
          <w:bCs/>
        </w:rPr>
        <w:t>Fig</w:t>
      </w:r>
      <w:r w:rsidR="00C82FDF">
        <w:rPr>
          <w:rFonts w:ascii="Arial" w:hAnsi="Arial" w:cs="Arial"/>
          <w:b/>
          <w:bCs/>
        </w:rPr>
        <w:t>. 2</w:t>
      </w:r>
      <w:r w:rsidRPr="002055B4">
        <w:rPr>
          <w:rFonts w:ascii="Arial" w:hAnsi="Arial" w:cs="Arial"/>
          <w:b/>
          <w:bCs/>
        </w:rPr>
        <w:t xml:space="preserve">. Effect of different doses of </w:t>
      </w:r>
      <w:r w:rsidR="00657309" w:rsidRPr="00657309">
        <w:rPr>
          <w:rFonts w:ascii="Arial" w:hAnsi="Arial" w:cs="Arial"/>
          <w:b/>
          <w:bCs/>
        </w:rPr>
        <w:t>EEAF</w:t>
      </w:r>
      <w:r w:rsidRPr="00657309">
        <w:rPr>
          <w:rFonts w:ascii="Arial" w:hAnsi="Arial" w:cs="Arial"/>
          <w:b/>
          <w:bCs/>
        </w:rPr>
        <w:t xml:space="preserve"> </w:t>
      </w:r>
      <w:r w:rsidRPr="002055B4">
        <w:rPr>
          <w:rFonts w:ascii="Arial" w:hAnsi="Arial" w:cs="Arial"/>
          <w:b/>
          <w:bCs/>
        </w:rPr>
        <w:t xml:space="preserve">on total cholesterol and triglyceride reduction </w:t>
      </w:r>
    </w:p>
    <w:p w14:paraId="4E6653A8" w14:textId="1D4CB1BE" w:rsidR="00DE3C61" w:rsidRDefault="002055B4" w:rsidP="002055B4">
      <w:pPr>
        <w:pStyle w:val="Body"/>
        <w:spacing w:after="0"/>
        <w:ind w:left="284"/>
        <w:rPr>
          <w:rFonts w:ascii="Arial" w:hAnsi="Arial" w:cs="Arial"/>
        </w:rPr>
      </w:pPr>
      <w:r>
        <w:rPr>
          <w:rFonts w:ascii="Arial" w:hAnsi="Arial" w:cs="Arial"/>
        </w:rPr>
        <w:t>*</w:t>
      </w:r>
      <w:r w:rsidRPr="002055B4">
        <w:rPr>
          <w:rFonts w:ascii="Arial" w:hAnsi="Arial" w:cs="Arial"/>
          <w:b/>
          <w:bCs/>
        </w:rPr>
        <w:t>*</w:t>
      </w:r>
      <w:r w:rsidRPr="002055B4">
        <w:rPr>
          <w:rFonts w:ascii="Arial" w:hAnsi="Arial" w:cs="Arial"/>
        </w:rPr>
        <w:t xml:space="preserve"> indicates a statistically significant difference (</w:t>
      </w:r>
      <w:r w:rsidR="00706050">
        <w:rPr>
          <w:rFonts w:ascii="Arial" w:hAnsi="Arial" w:cs="Arial"/>
          <w:i/>
          <w:iCs/>
        </w:rPr>
        <w:t>P</w:t>
      </w:r>
      <w:r w:rsidRPr="002055B4">
        <w:rPr>
          <w:rFonts w:ascii="Arial" w:hAnsi="Arial" w:cs="Arial"/>
        </w:rPr>
        <w:t xml:space="preserve"> </w:t>
      </w:r>
      <w:r w:rsidR="00706050">
        <w:rPr>
          <w:rFonts w:ascii="Arial" w:hAnsi="Arial" w:cs="Arial"/>
        </w:rPr>
        <w:t>=</w:t>
      </w:r>
      <w:r w:rsidRPr="002055B4">
        <w:rPr>
          <w:rFonts w:ascii="Arial" w:hAnsi="Arial" w:cs="Arial"/>
        </w:rPr>
        <w:t xml:space="preserve"> .01); </w:t>
      </w:r>
      <w:r w:rsidRPr="002055B4">
        <w:rPr>
          <w:rFonts w:ascii="Arial" w:hAnsi="Arial" w:cs="Arial"/>
          <w:b/>
          <w:bCs/>
        </w:rPr>
        <w:t>*</w:t>
      </w:r>
      <w:r w:rsidRPr="002055B4">
        <w:rPr>
          <w:rFonts w:ascii="Arial" w:hAnsi="Arial" w:cs="Arial"/>
        </w:rPr>
        <w:t xml:space="preserve"> indicates a statistically </w:t>
      </w:r>
      <w:r w:rsidR="00C8180C" w:rsidRPr="00C8180C">
        <w:rPr>
          <w:rFonts w:ascii="Arial" w:hAnsi="Arial" w:cs="Arial"/>
        </w:rPr>
        <w:t>significant differences</w:t>
      </w:r>
      <w:r w:rsidRPr="002055B4">
        <w:rPr>
          <w:rFonts w:ascii="Arial" w:hAnsi="Arial" w:cs="Arial"/>
        </w:rPr>
        <w:t xml:space="preserve"> (</w:t>
      </w:r>
      <w:r w:rsidR="00706050">
        <w:rPr>
          <w:rFonts w:ascii="Arial" w:hAnsi="Arial" w:cs="Arial"/>
          <w:i/>
          <w:iCs/>
        </w:rPr>
        <w:t>P</w:t>
      </w:r>
      <w:r w:rsidRPr="002055B4">
        <w:rPr>
          <w:rFonts w:ascii="Arial" w:hAnsi="Arial" w:cs="Arial"/>
        </w:rPr>
        <w:t xml:space="preserve"> </w:t>
      </w:r>
      <w:r w:rsidR="00706050">
        <w:rPr>
          <w:rFonts w:ascii="Arial" w:hAnsi="Arial" w:cs="Arial"/>
        </w:rPr>
        <w:t>=</w:t>
      </w:r>
      <w:r w:rsidRPr="002055B4">
        <w:rPr>
          <w:rFonts w:ascii="Arial" w:hAnsi="Arial" w:cs="Arial"/>
        </w:rPr>
        <w:t xml:space="preserve"> .05)</w:t>
      </w:r>
      <w:r w:rsidR="00C8180C">
        <w:rPr>
          <w:rFonts w:ascii="Arial" w:hAnsi="Arial" w:cs="Arial"/>
        </w:rPr>
        <w:t xml:space="preserve"> </w:t>
      </w:r>
      <w:r w:rsidR="00C8180C" w:rsidRPr="00C8180C">
        <w:rPr>
          <w:rFonts w:ascii="Arial" w:hAnsi="Arial" w:cs="Arial"/>
        </w:rPr>
        <w:t>compared to the negative control group.</w:t>
      </w:r>
    </w:p>
    <w:p w14:paraId="2D7782D6" w14:textId="77777777" w:rsidR="007E7541" w:rsidRDefault="007E7541" w:rsidP="00441B6F">
      <w:pPr>
        <w:pStyle w:val="Body"/>
        <w:spacing w:after="0"/>
        <w:rPr>
          <w:rFonts w:ascii="Arial" w:hAnsi="Arial" w:cs="Arial"/>
        </w:rPr>
      </w:pPr>
    </w:p>
    <w:p w14:paraId="359A3FC5" w14:textId="77777777" w:rsidR="003C5024" w:rsidRDefault="003C5024" w:rsidP="00441B6F">
      <w:pPr>
        <w:pStyle w:val="Body"/>
        <w:spacing w:after="0"/>
        <w:rPr>
          <w:rFonts w:ascii="Arial" w:hAnsi="Arial" w:cs="Arial"/>
        </w:rPr>
      </w:pPr>
    </w:p>
    <w:p w14:paraId="7FF32CD7" w14:textId="260290DD" w:rsidR="00C82FDF" w:rsidRDefault="00C82FDF" w:rsidP="00441B6F">
      <w:pPr>
        <w:pStyle w:val="Body"/>
        <w:spacing w:after="0"/>
        <w:rPr>
          <w:rFonts w:ascii="Arial" w:hAnsi="Arial" w:cs="Arial"/>
          <w:b/>
          <w:bCs/>
          <w:sz w:val="22"/>
          <w:szCs w:val="22"/>
        </w:rPr>
      </w:pPr>
      <w:r w:rsidRPr="00C82FDF">
        <w:rPr>
          <w:rFonts w:ascii="Arial" w:hAnsi="Arial" w:cs="Arial"/>
          <w:b/>
          <w:bCs/>
          <w:sz w:val="22"/>
          <w:szCs w:val="22"/>
        </w:rPr>
        <w:t>4. DISCUSSIONS</w:t>
      </w:r>
    </w:p>
    <w:p w14:paraId="399639D3" w14:textId="77777777" w:rsidR="00C82FDF" w:rsidRDefault="00C82FDF" w:rsidP="00441B6F">
      <w:pPr>
        <w:pStyle w:val="Body"/>
        <w:spacing w:after="0"/>
        <w:rPr>
          <w:rFonts w:ascii="Arial" w:hAnsi="Arial" w:cs="Arial"/>
          <w:b/>
          <w:bCs/>
          <w:sz w:val="22"/>
          <w:szCs w:val="22"/>
        </w:rPr>
      </w:pPr>
    </w:p>
    <w:p w14:paraId="27201FB4" w14:textId="19791CEA" w:rsidR="0021054D" w:rsidRDefault="00C8180C" w:rsidP="00441B6F">
      <w:pPr>
        <w:pStyle w:val="Body"/>
        <w:spacing w:after="0"/>
        <w:rPr>
          <w:rFonts w:ascii="Arial" w:hAnsi="Arial" w:cs="Arial"/>
        </w:rPr>
      </w:pPr>
      <w:r w:rsidRPr="00C8180C">
        <w:rPr>
          <w:rFonts w:ascii="Arial" w:hAnsi="Arial" w:cs="Arial"/>
        </w:rPr>
        <w:t xml:space="preserve">The ethanol extract of </w:t>
      </w:r>
      <w:r w:rsidRPr="00C8180C">
        <w:rPr>
          <w:rFonts w:ascii="Arial" w:hAnsi="Arial" w:cs="Arial"/>
          <w:i/>
          <w:iCs/>
        </w:rPr>
        <w:t>Avicennia marina</w:t>
      </w:r>
      <w:r w:rsidRPr="00C8180C">
        <w:rPr>
          <w:rFonts w:ascii="Arial" w:hAnsi="Arial" w:cs="Arial"/>
        </w:rPr>
        <w:t xml:space="preserve"> fruit (EEAF), obtained through </w:t>
      </w:r>
      <w:proofErr w:type="spellStart"/>
      <w:r w:rsidRPr="00C8180C">
        <w:rPr>
          <w:rFonts w:ascii="Arial" w:hAnsi="Arial" w:cs="Arial"/>
        </w:rPr>
        <w:t>remaceration</w:t>
      </w:r>
      <w:proofErr w:type="spellEnd"/>
      <w:r w:rsidRPr="00C8180C">
        <w:rPr>
          <w:rFonts w:ascii="Arial" w:hAnsi="Arial" w:cs="Arial"/>
        </w:rPr>
        <w:t xml:space="preserve"> for 3 × 24 h using 96% ethanol, yielded 45.98%. This value is slightly lower than that reported by</w:t>
      </w:r>
      <w:r w:rsidR="007C637F" w:rsidRPr="007C637F">
        <w:rPr>
          <w:rFonts w:ascii="Arial" w:hAnsi="Arial" w:cs="Arial"/>
        </w:rPr>
        <w:t xml:space="preserve"> </w:t>
      </w:r>
      <w:r w:rsidR="0021054D">
        <w:rPr>
          <w:rFonts w:ascii="Arial" w:hAnsi="Arial" w:cs="Arial"/>
        </w:rPr>
        <w:fldChar w:fldCharType="begin" w:fldLock="1"/>
      </w:r>
      <w:r w:rsidR="0021054D">
        <w:rPr>
          <w:rFonts w:ascii="Arial" w:hAnsi="Arial" w:cs="Arial"/>
        </w:rPr>
        <w:instrText>ADDIN CSL_CITATION {"citationItems":[{"id":"ITEM-1","itemData":{"author":[{"dropping-particle":"","family":"Utomo","given":"Retno sari","non-dropping-particle":"","parse-names":false,"suffix":""}],"id":"ITEM-1","issued":{"date-parts":[["2025"]]},"number-of-pages":"1-155","publisher":"Sekolah Tinggi Ilmu Farmasi Yayasan Pharmasi Semarang","title":"Kajian Aktivitas Antidiabetes Melitus Fraksi Buah Api-Api (Avicennia marina) pada Tikus Jantan Terinduksi Streptozotocin dan Nikotinamid","type":"thesis"},"uris":["http://www.mendeley.com/documents/?uuid=6df03c00-cf92-4f16-8cbe-54ecf09ebfb3"]}],"mendeley":{"formattedCitation":"(Utomo, 2025)","plainTextFormattedCitation":"(Utomo, 2025)","previouslyFormattedCitation":"(Utomo, 2025)"},"properties":{"noteIndex":0},"schema":"https://github.com/citation-style-language/schema/raw/master/csl-citation.json"}</w:instrText>
      </w:r>
      <w:r w:rsidR="0021054D">
        <w:rPr>
          <w:rFonts w:ascii="Arial" w:hAnsi="Arial" w:cs="Arial"/>
        </w:rPr>
        <w:fldChar w:fldCharType="separate"/>
      </w:r>
      <w:r w:rsidR="0021054D" w:rsidRPr="0021054D">
        <w:rPr>
          <w:rFonts w:ascii="Arial" w:hAnsi="Arial" w:cs="Arial"/>
          <w:noProof/>
        </w:rPr>
        <w:t>(Utomo, 2025)</w:t>
      </w:r>
      <w:r w:rsidR="0021054D">
        <w:rPr>
          <w:rFonts w:ascii="Arial" w:hAnsi="Arial" w:cs="Arial"/>
        </w:rPr>
        <w:fldChar w:fldCharType="end"/>
      </w:r>
      <w:r>
        <w:rPr>
          <w:rFonts w:ascii="Arial" w:hAnsi="Arial" w:cs="Arial"/>
        </w:rPr>
        <w:t>,</w:t>
      </w:r>
      <w:r w:rsidR="0021054D">
        <w:rPr>
          <w:rFonts w:ascii="Arial" w:hAnsi="Arial" w:cs="Arial"/>
        </w:rPr>
        <w:t xml:space="preserve"> </w:t>
      </w:r>
      <w:r w:rsidRPr="00C8180C">
        <w:rPr>
          <w:rFonts w:ascii="Arial" w:hAnsi="Arial" w:cs="Arial"/>
        </w:rPr>
        <w:t>who obtained a yield of 48.06% using a similar extraction method, solvent, and powder-to-solvent ratio. Variations in extraction yield may be attributed to environmental factors such as salinity and soil nutrient composition, which influence the accumulation of secondary metabolites. In addition, climatic conditions, including temperature, rainfall, and humidity, as well as the maturity of the fruit at harvest, may affect plant metabolism and the production of bioactive compounds</w:t>
      </w:r>
      <w:r w:rsidR="007C637F" w:rsidRPr="007C637F">
        <w:rPr>
          <w:rFonts w:ascii="Arial" w:hAnsi="Arial" w:cs="Arial"/>
        </w:rPr>
        <w:t xml:space="preserve"> </w:t>
      </w:r>
      <w:r w:rsidR="0021054D">
        <w:rPr>
          <w:rFonts w:ascii="Arial" w:hAnsi="Arial" w:cs="Arial"/>
        </w:rPr>
        <w:fldChar w:fldCharType="begin" w:fldLock="1"/>
      </w:r>
      <w:r w:rsidR="0021054D">
        <w:rPr>
          <w:rFonts w:ascii="Arial" w:hAnsi="Arial" w:cs="Arial"/>
        </w:rPr>
        <w:instrText>ADDIN CSL_CITATION {"citationItems":[{"id":"ITEM-1","itemData":{"DOI":"10.1186/s40659-019-0246-3","ISSN":"0717-6287","author":[{"dropping-particle":"","family":"Isah","given":"Tasiu","non-dropping-particle":"","parse-names":false,"suffix":""}],"container-title":"Biological Research","id":"ITEM-1","issue":"39","issued":{"date-parts":[["2019"]]},"page":"1-25","publisher":"BioMed Central","title":"Stress and defense responses in plant secondary metabolites production","type":"article-journal","volume":"52"},"uris":["http://www.mendeley.com/documents/?uuid=b14e10a6-4a8a-42e3-b1f8-035d2915f6ab"]}],"mendeley":{"formattedCitation":"(Isah, 2019)","plainTextFormattedCitation":"(Isah, 2019)","previouslyFormattedCitation":"(Isah, 2019)"},"properties":{"noteIndex":0},"schema":"https://github.com/citation-style-language/schema/raw/master/csl-citation.json"}</w:instrText>
      </w:r>
      <w:r w:rsidR="0021054D">
        <w:rPr>
          <w:rFonts w:ascii="Arial" w:hAnsi="Arial" w:cs="Arial"/>
        </w:rPr>
        <w:fldChar w:fldCharType="separate"/>
      </w:r>
      <w:r w:rsidR="0021054D" w:rsidRPr="0021054D">
        <w:rPr>
          <w:rFonts w:ascii="Arial" w:hAnsi="Arial" w:cs="Arial"/>
          <w:noProof/>
        </w:rPr>
        <w:t>(Isah, 2019)</w:t>
      </w:r>
      <w:r w:rsidR="0021054D">
        <w:rPr>
          <w:rFonts w:ascii="Arial" w:hAnsi="Arial" w:cs="Arial"/>
        </w:rPr>
        <w:fldChar w:fldCharType="end"/>
      </w:r>
      <w:r w:rsidR="0021054D">
        <w:rPr>
          <w:rFonts w:ascii="Arial" w:hAnsi="Arial" w:cs="Arial"/>
        </w:rPr>
        <w:t>.</w:t>
      </w:r>
      <w:r w:rsidR="000631E5">
        <w:rPr>
          <w:rFonts w:ascii="Arial" w:hAnsi="Arial" w:cs="Arial"/>
        </w:rPr>
        <w:t xml:space="preserve"> </w:t>
      </w:r>
    </w:p>
    <w:p w14:paraId="040E8B0F" w14:textId="60E57CE2" w:rsidR="000631E5" w:rsidRDefault="00C8180C" w:rsidP="00441B6F">
      <w:pPr>
        <w:pStyle w:val="Body"/>
        <w:spacing w:after="0"/>
        <w:rPr>
          <w:rFonts w:ascii="Arial" w:hAnsi="Arial" w:cs="Arial"/>
        </w:rPr>
      </w:pPr>
      <w:r w:rsidRPr="00C8180C">
        <w:rPr>
          <w:rFonts w:ascii="Arial" w:hAnsi="Arial" w:cs="Arial"/>
        </w:rPr>
        <w:t>Phytochemical screening confirmed the presence of flavonoids, triterpenoids, and alkaloids in EEAF, consistent with previous findings</w:t>
      </w:r>
      <w:r w:rsidR="0021054D">
        <w:rPr>
          <w:rFonts w:ascii="Arial" w:hAnsi="Arial" w:cs="Arial"/>
        </w:rPr>
        <w:t xml:space="preserve"> </w:t>
      </w:r>
      <w:r w:rsidR="0021054D">
        <w:rPr>
          <w:rFonts w:ascii="Arial" w:hAnsi="Arial" w:cs="Arial"/>
        </w:rPr>
        <w:fldChar w:fldCharType="begin" w:fldLock="1"/>
      </w:r>
      <w:r w:rsidR="00BF134C">
        <w:rPr>
          <w:rFonts w:ascii="Arial" w:hAnsi="Arial" w:cs="Arial"/>
        </w:rPr>
        <w:instrText>ADDIN CSL_CITATION {"citationItems":[{"id":"ITEM-1","itemData":{"DOI":"10.36387/jifi.v2i2.321","author":[{"dropping-particle":"","family":"Fernandes","given":"Andrian","non-dropping-particle":"","parse-names":false,"suffix":""},{"dropping-particle":"","family":"Fatmi","given":"Rahimahyuni","non-dropping-particle":"","parse-names":false,"suffix":""}],"container-title":"Jurnal Insan Farmasi Indonesia","id":"ITEM-1","issue":"2","issued":{"date-parts":[["2019"]]},"page":"261-270","title":"Uji Fitokimia dan GC-MS Buah Api-Api (Avicennia marina) (FORSSK.) VIERH)","type":"article-journal","volume":"2"},"uris":["http://www.mendeley.com/documents/?uuid=abaeca3e-4009-42d1-a580-5a0d1e6a4880"]}],"mendeley":{"formattedCitation":"(Fernandes &amp; Fatmi, 2019)","plainTextFormattedCitation":"(Fernandes &amp; Fatmi, 2019)","previouslyFormattedCitation":"(Fernandes &amp; Fatmi, 2019)"},"properties":{"noteIndex":0},"schema":"https://github.com/citation-style-language/schema/raw/master/csl-citation.json"}</w:instrText>
      </w:r>
      <w:r w:rsidR="0021054D">
        <w:rPr>
          <w:rFonts w:ascii="Arial" w:hAnsi="Arial" w:cs="Arial"/>
        </w:rPr>
        <w:fldChar w:fldCharType="separate"/>
      </w:r>
      <w:r w:rsidR="0021054D" w:rsidRPr="0021054D">
        <w:rPr>
          <w:rFonts w:ascii="Arial" w:hAnsi="Arial" w:cs="Arial"/>
          <w:noProof/>
        </w:rPr>
        <w:t>(Fernandes &amp; Fatmi, 2019)</w:t>
      </w:r>
      <w:r w:rsidR="0021054D">
        <w:rPr>
          <w:rFonts w:ascii="Arial" w:hAnsi="Arial" w:cs="Arial"/>
        </w:rPr>
        <w:fldChar w:fldCharType="end"/>
      </w:r>
      <w:r>
        <w:rPr>
          <w:rFonts w:ascii="Arial" w:hAnsi="Arial" w:cs="Arial"/>
        </w:rPr>
        <w:t>.</w:t>
      </w:r>
      <w:r w:rsidR="000631E5" w:rsidRPr="000631E5">
        <w:rPr>
          <w:rFonts w:ascii="Arial" w:hAnsi="Arial" w:cs="Arial"/>
        </w:rPr>
        <w:t xml:space="preserve"> </w:t>
      </w:r>
      <w:r w:rsidRPr="00C8180C">
        <w:rPr>
          <w:rFonts w:ascii="Arial" w:hAnsi="Arial" w:cs="Arial"/>
        </w:rPr>
        <w:t xml:space="preserve">As a mangrove species, </w:t>
      </w:r>
      <w:r w:rsidRPr="00C8180C">
        <w:rPr>
          <w:rFonts w:ascii="Arial" w:hAnsi="Arial" w:cs="Arial"/>
          <w:i/>
          <w:iCs/>
        </w:rPr>
        <w:t>A. marina</w:t>
      </w:r>
      <w:r w:rsidRPr="00C8180C">
        <w:rPr>
          <w:rFonts w:ascii="Arial" w:hAnsi="Arial" w:cs="Arial"/>
        </w:rPr>
        <w:t xml:space="preserve"> is naturally exposed to high salinity conditions, which can induce physiological stress and stimulate the production of secondary metabolites. High salinity reduces water uptake by roots, leading to osmotic stress and physiological drought. These conditions may alter primary metabolic pathways that serve as precursors for secondary metabolite biosynthesis</w:t>
      </w:r>
      <w:r w:rsidR="00BF134C">
        <w:rPr>
          <w:rFonts w:ascii="Arial" w:hAnsi="Arial" w:cs="Arial"/>
        </w:rPr>
        <w:t xml:space="preserve"> </w:t>
      </w:r>
      <w:r w:rsidR="00BF134C">
        <w:rPr>
          <w:rFonts w:ascii="Arial" w:hAnsi="Arial" w:cs="Arial"/>
        </w:rPr>
        <w:fldChar w:fldCharType="begin" w:fldLock="1"/>
      </w:r>
      <w:r w:rsidR="00045908">
        <w:rPr>
          <w:rFonts w:ascii="Arial" w:hAnsi="Arial" w:cs="Arial"/>
        </w:rPr>
        <w:instrText>ADDIN CSL_CITATION {"citationItems":[{"id":"ITEM-1","itemData":{"DOI":"10.1186/s40659-019-0246-3","ISSN":"0717-6287","author":[{"dropping-particle":"","family":"Isah","given":"Tasiu","non-dropping-particle":"","parse-names":false,"suffix":""}],"container-title":"Biological Research","id":"ITEM-1","issue":"39","issued":{"date-parts":[["2019"]]},"page":"1-25","publisher":"BioMed Central","title":"Stress and defense responses in plant secondary metabolites production","type":"article-journal","volume":"52"},"uris":["http://www.mendeley.com/documents/?uuid=b14e10a6-4a8a-42e3-b1f8-035d2915f6ab"]}],"mendeley":{"formattedCitation":"(Isah, 2019)","plainTextFormattedCitation":"(Isah, 2019)","previouslyFormattedCitation":"(Isah, 2019)"},"properties":{"noteIndex":0},"schema":"https://github.com/citation-style-language/schema/raw/master/csl-citation.json"}</w:instrText>
      </w:r>
      <w:r w:rsidR="00BF134C">
        <w:rPr>
          <w:rFonts w:ascii="Arial" w:hAnsi="Arial" w:cs="Arial"/>
        </w:rPr>
        <w:fldChar w:fldCharType="separate"/>
      </w:r>
      <w:r w:rsidR="00BF134C" w:rsidRPr="00BF134C">
        <w:rPr>
          <w:rFonts w:ascii="Arial" w:hAnsi="Arial" w:cs="Arial"/>
          <w:noProof/>
        </w:rPr>
        <w:t>(Isah, 2019)</w:t>
      </w:r>
      <w:r w:rsidR="00BF134C">
        <w:rPr>
          <w:rFonts w:ascii="Arial" w:hAnsi="Arial" w:cs="Arial"/>
        </w:rPr>
        <w:fldChar w:fldCharType="end"/>
      </w:r>
      <w:r w:rsidR="00BF134C">
        <w:rPr>
          <w:rFonts w:ascii="Arial" w:hAnsi="Arial" w:cs="Arial"/>
        </w:rPr>
        <w:t>.</w:t>
      </w:r>
    </w:p>
    <w:p w14:paraId="271ED991" w14:textId="0827BC09" w:rsidR="00045908" w:rsidRDefault="00834CFD" w:rsidP="00441B6F">
      <w:pPr>
        <w:pStyle w:val="Body"/>
        <w:spacing w:after="0"/>
        <w:rPr>
          <w:rFonts w:ascii="Arial" w:hAnsi="Arial" w:cs="Arial"/>
        </w:rPr>
      </w:pPr>
      <w:r w:rsidRPr="00834CFD">
        <w:rPr>
          <w:rFonts w:ascii="Arial" w:hAnsi="Arial" w:cs="Arial"/>
        </w:rPr>
        <w:t>Administration of a high-fat diet consisting of quail egg yolk and lard (1:1) at a dose of 15 mL/kg body weight, combined with cigarette smoke exposure, significantly increased total cholesterol and triglyceride levels by 159.66 ± 64.30% and 121.88 ± 92.84%, respectively</w:t>
      </w:r>
      <w:r>
        <w:rPr>
          <w:rFonts w:ascii="Arial" w:hAnsi="Arial" w:cs="Arial"/>
        </w:rPr>
        <w:t>.</w:t>
      </w:r>
      <w:r w:rsidR="007665E4">
        <w:rPr>
          <w:rFonts w:ascii="Arial" w:hAnsi="Arial" w:cs="Arial"/>
        </w:rPr>
        <w:t xml:space="preserve"> </w:t>
      </w:r>
      <w:r w:rsidR="007665E4" w:rsidRPr="007665E4">
        <w:rPr>
          <w:rFonts w:ascii="Arial" w:hAnsi="Arial" w:cs="Arial"/>
        </w:rPr>
        <w:t>A previous study by</w:t>
      </w:r>
      <w:r w:rsidR="007665E4">
        <w:rPr>
          <w:rFonts w:ascii="Arial" w:hAnsi="Arial" w:cs="Arial"/>
        </w:rPr>
        <w:t xml:space="preserve"> </w:t>
      </w:r>
      <w:r w:rsidR="007665E4">
        <w:rPr>
          <w:rFonts w:ascii="Arial" w:hAnsi="Arial" w:cs="Arial"/>
        </w:rPr>
        <w:fldChar w:fldCharType="begin" w:fldLock="1"/>
      </w:r>
      <w:r w:rsidR="00704BB8">
        <w:rPr>
          <w:rFonts w:ascii="Arial" w:hAnsi="Arial" w:cs="Arial"/>
        </w:rPr>
        <w:instrText>ADDIN CSL_CITATION {"citationItems":[{"id":"ITEM-1","itemData":{"DOI":"10.1038/s41598-019-56538-0","ISBN":"4159801956538","ISSN":"20452322","PMID":"31882854","abstract":"The main objective of this experiment was to determine the effects of yogurt supplementation on fat deposition, oxidative stress, inflammation and fibrosis in the liver of rats with high-fat (HF) diet-induced obesity. Male Wistar rats were used in this study and were separated into the following four different groups: the control, control + yogurt, high fat and high fat+ yogurt groups. The high fat groups received a HF diet for eight weeks. A 5% yogurt (w/w) supplement was also provided to rats fed the HF diet. Yogurt supplementation prevented glucose intolerance and normalized liver-specific enzyme activities in the HF diet-fed rats. Yogurt supplementation also significantly reduced the levels of oxidative stress markers in the plasma and liver of HF diet-fed rats. Moreover, inflammatory cell infiltration, collagen deposition and fibrosis in the liver of HF diet-fed rats were also prevented by yogurt supplementation. Furthermore, yogurt supplementation normalized the intestinal lining and brush border in HF diet-fed rats. This study suggests that yogurt supplementation potentially represents an alternative therapy for the prevention of metabolic syndrome in HF diet-fed rats.","author":[{"dropping-particle":"","family":"Lasker","given":"Shoumen","non-dropping-particle":"","parse-names":false,"suffix":""},{"dropping-particle":"","family":"Rahman","given":"Md Mizanur","non-dropping-particle":"","parse-names":false,"suffix":""},{"dropping-particle":"","family":"Parvez","given":"Faisal","non-dropping-particle":"","parse-names":false,"suffix":""},{"dropping-particle":"","family":"Zamila","given":"Mushfera","non-dropping-particle":"","parse-names":false,"suffix":""},{"dropping-particle":"","family":"Miah","given":"Pintu","non-dropping-partic</w:instrText>
      </w:r>
      <w:r w:rsidR="00704BB8" w:rsidRPr="00C8180C">
        <w:rPr>
          <w:rFonts w:ascii="Arial" w:hAnsi="Arial" w:cs="Arial"/>
          <w:lang w:val="en-ID"/>
        </w:rPr>
        <w:instrText>le":"","parse-names":false,"suffix":""},{"dropping-particle":"","family":"Nahar","given":"Kamrun","non-dropping-particle":"","parse-names":false,"suffix":""},{"dropping-particle":"","family":"Kabir","given":"Fariha","non-dropping-particle":"","parse-names":false,"suffix":""},{"dropping-particle":"","family":"Sharmin","given":"Surovi Binte","non-dropping-particle":"","parse-names":false,"suffix":""},{"dropping-particle":"","family":"Subhan","given":"Nusrat","non-dropping-particle":"","parse-names":false,"suffix":""},{"dropping-particle":"","family":"Ahsan","given":"Gias U.","non-dropping-particle":"","parse-names":false,"suffix":""},{"dropping-particle":"","family":"Alam","given":"Md Ashraful","non-dropping-particle":"","parse-names":false,"suffix":""}],"container-title":"Scientific Reports","id":"ITEM-1","issue":"1","issued":{"date-parts":[["2019"]]},"page":"1-15","publisher":"Springer US","title":"High-fat diet-induced metabolic syndrome and oxidative stress in obese rats are ameliorated by yogurt supplementation","type":"article-journal","volume":"9"},"uris":["http://www.mendeley.com/documents/?uuid=32303bc0-cf64-4e0e-a86f-77110cc4e3dd"]}],"mendeley":{"formattedCitation":"(Lasker et al., 2019)","manualFormatting":"Lasker et al., (2019)","plainTextFormattedCitation":"(Lasker et al., 2019)","previouslyFormattedCitation":"(Lasker et al., 2019)"},"properties":{"noteIndex":0},"schema":"https://github.com/citation-style-language/schema/raw/master/csl-citation.json"}</w:instrText>
      </w:r>
      <w:r w:rsidR="007665E4">
        <w:rPr>
          <w:rFonts w:ascii="Arial" w:hAnsi="Arial" w:cs="Arial"/>
        </w:rPr>
        <w:fldChar w:fldCharType="separate"/>
      </w:r>
      <w:r w:rsidR="007665E4" w:rsidRPr="00C8180C">
        <w:rPr>
          <w:rFonts w:ascii="Arial" w:hAnsi="Arial" w:cs="Arial"/>
          <w:noProof/>
          <w:lang w:val="en-ID"/>
        </w:rPr>
        <w:t>Lasker et al., (2019)</w:t>
      </w:r>
      <w:r w:rsidR="007665E4">
        <w:rPr>
          <w:rFonts w:ascii="Arial" w:hAnsi="Arial" w:cs="Arial"/>
        </w:rPr>
        <w:fldChar w:fldCharType="end"/>
      </w:r>
      <w:r w:rsidR="007665E4" w:rsidRPr="007665E4">
        <w:rPr>
          <w:rFonts w:ascii="Arial" w:hAnsi="Arial" w:cs="Arial"/>
        </w:rPr>
        <w:t xml:space="preserve"> demonstrated that administration of a high-fat diet increased lipid profile parameters, including total cholesterol, triglycerides, and LDL levels, while reducing HDL levels compared to a normal diet.</w:t>
      </w:r>
      <w:r w:rsidR="00713289" w:rsidRPr="00713289">
        <w:rPr>
          <w:rFonts w:ascii="Arial" w:hAnsi="Arial" w:cs="Arial"/>
        </w:rPr>
        <w:t xml:space="preserve"> Similar findings were reported by</w:t>
      </w:r>
      <w:r w:rsidR="00713289" w:rsidRPr="00C8180C">
        <w:rPr>
          <w:rFonts w:ascii="Arial" w:hAnsi="Arial" w:cs="Arial"/>
          <w:lang w:val="en-ID"/>
        </w:rPr>
        <w:t xml:space="preserve"> </w:t>
      </w:r>
      <w:r w:rsidR="00713289">
        <w:rPr>
          <w:rFonts w:ascii="Arial" w:hAnsi="Arial" w:cs="Arial"/>
        </w:rPr>
        <w:fldChar w:fldCharType="begin" w:fldLock="1"/>
      </w:r>
      <w:r w:rsidR="008414BC" w:rsidRPr="00C8180C">
        <w:rPr>
          <w:rFonts w:ascii="Arial" w:hAnsi="Arial" w:cs="Arial"/>
          <w:lang w:val="en-ID"/>
        </w:rPr>
        <w:instrText>ADDIN CSL_CITATION {"citationItems":[{"id":"ITEM-1","itemData":{"DOI":"10.31964/mltj.v1i1.266","abstract":"Metabolic syndrome is lipid and non-lipid metabolism disorder due to the association of several factors such as physiological, clinical, biochemical, and interrelated factors. People with metabolic syndrome can be diagnosed by fulfilling 3 of 5 criteria, including obesity and increased waist circumference, increased TG levels, increased blood pressure, hyperglycemia, and increased High-Density Lipoprotein (HDL) serum. The high-fat diet disrupts tissue lipid metabolism, so insulin resistance occurs due to lipotoxicity. Besides, some studies use a combination of mixtures (fructose, sucrose) and fat-rich food components to build metabolic characteristics in mice that affect human characteristics. The purpose of this study was to make an animal model with a metabolic syndrome marker induced by the High Fat Diet (HFD) consisting of pork oil and chicken egg yolk, as well as fructose from simple and economical ingredients. This study was an experimental study using experimental animals of male Rattus norvegicus strain wistar, which were grouped into three random treatment groups, namely the control group, HFD group, and High Fat Diet Fructose (HFDF) group. The number of samples used was 27 rats, with nine rats in each group. The animal was induced for four weeks, then measured levels of FPG, HD, and TG. From the research that has been done, it is found that there are significant differences in levels of Fasting Plasma Glucose (FPG), High-Density Lipoprotein (HDL), and Triglycerides (TG) (p &lt;0.05). It can be concluded egg yolks, lard, and fructose in high-fat diets combined with fructose can increase levels of FPG, TG and reduce levels of HDL, which are markers of the metabolic syndrome used in this study.","author":[{"dropping-particle":"","family":"Hidayati","given":"Larantika","non-dropping-particle":"","parse-names":false,"suffix":""},{"dropping-particle":"","family":"Widodo","given":"Agung Dwi Wahyu","non-dropping-particle":"","parse-names":false,"suffix":""},{"dropping-particle":"","family":"Hidayat","given":"Boerhan","non-dropping-particle":"","parse-names":false,"suffix":""}],"container-title":"Medical Laboratory Technology Journal","id":"ITEM-1","issue":"1","issued":{"date-parts":[["2020"]]},"page":"13-20","title":"Animal Models with Metabolic Syndrome Markers Induced by High Fat Diet and Fructose","type":"article-journal","volume":"1"},"uris":["http://www.mendeley.com/documents/?uuid=04c523db-b365-4554-a2fd-04cc42bb82af"]}],"mendeley":{"formattedCitation":"(Hidayati et al., 2020)","manualFormatting":"Hidayati et al., (2020)","plainTextFormattedCitation":"(Hidayati et al., 2020)","previouslyFormattedCitation":"(Hidayati et al., 2020)"},"properties":{"noteIndex":0},"schema":"https://github.com/citation-style-language/schema/raw/master/csl-citation.json"}</w:instrText>
      </w:r>
      <w:r w:rsidR="00713289">
        <w:rPr>
          <w:rFonts w:ascii="Arial" w:hAnsi="Arial" w:cs="Arial"/>
        </w:rPr>
        <w:fldChar w:fldCharType="separate"/>
      </w:r>
      <w:r w:rsidR="00713289" w:rsidRPr="00C8180C">
        <w:rPr>
          <w:rFonts w:ascii="Arial" w:hAnsi="Arial" w:cs="Arial"/>
          <w:noProof/>
          <w:lang w:val="en-ID"/>
        </w:rPr>
        <w:t>Hidayati et al., (2020)</w:t>
      </w:r>
      <w:r w:rsidR="00713289">
        <w:rPr>
          <w:rFonts w:ascii="Arial" w:hAnsi="Arial" w:cs="Arial"/>
        </w:rPr>
        <w:fldChar w:fldCharType="end"/>
      </w:r>
      <w:r w:rsidR="00713289" w:rsidRPr="00C8180C">
        <w:rPr>
          <w:rFonts w:ascii="Arial" w:hAnsi="Arial" w:cs="Arial"/>
          <w:lang w:val="en-ID"/>
        </w:rPr>
        <w:t>, who demonstrated that a combination of egg yolk and lard increased triglyceride levels by 92.5%.</w:t>
      </w:r>
      <w:r w:rsidR="005F2ED5" w:rsidRPr="00C8180C">
        <w:rPr>
          <w:rFonts w:ascii="Arial" w:hAnsi="Arial" w:cs="Arial"/>
          <w:lang w:val="en-ID"/>
        </w:rPr>
        <w:t xml:space="preserve"> </w:t>
      </w:r>
      <w:r w:rsidR="005F2ED5" w:rsidRPr="005F2ED5">
        <w:rPr>
          <w:rFonts w:ascii="Arial" w:hAnsi="Arial" w:cs="Arial"/>
        </w:rPr>
        <w:t xml:space="preserve">In comparison, the induction method used in the present study also resulted in a marked increase in triglyceride levels. Notably, the elevation observed in this study may be further influenced by cigarette smoke exposure, which is known to </w:t>
      </w:r>
      <w:r w:rsidR="005F2ED5" w:rsidRPr="005F2ED5">
        <w:rPr>
          <w:rFonts w:ascii="Arial" w:hAnsi="Arial" w:cs="Arial"/>
        </w:rPr>
        <w:lastRenderedPageBreak/>
        <w:t>exacerbate lipid metabolism disorders through oxidative stress and inflammatory pathways.</w:t>
      </w:r>
      <w:r w:rsidR="00713289">
        <w:rPr>
          <w:rFonts w:ascii="Arial" w:hAnsi="Arial" w:cs="Arial"/>
        </w:rPr>
        <w:t xml:space="preserve"> </w:t>
      </w:r>
      <w:r w:rsidR="00045908" w:rsidRPr="00045908">
        <w:rPr>
          <w:rFonts w:ascii="Arial" w:hAnsi="Arial" w:cs="Arial"/>
        </w:rPr>
        <w:t>Previous studies have reported that lard consumption providing approximately 60% of total caloric intake significantly increases the expression of sterol regulatory element-binding protein-1c (SREBP-1c). SREBP-1c is a key transcription factor that regulates the expression of genes involved in lipogenesis. Activation of SREBP-1c promotes the transcription of fatty acid synthase (FAS), a crucial enzyme responsible for the synthesis of fatty acids. Consequently, increased fatty acid synthesis contributes to elevated triglyceride production</w:t>
      </w:r>
      <w:r w:rsidR="00AB3C44">
        <w:rPr>
          <w:rFonts w:ascii="Arial" w:hAnsi="Arial" w:cs="Arial"/>
        </w:rPr>
        <w:t xml:space="preserve"> </w:t>
      </w:r>
      <w:r w:rsidR="00AB3C44">
        <w:rPr>
          <w:rFonts w:ascii="Arial" w:hAnsi="Arial" w:cs="Arial"/>
        </w:rPr>
        <w:fldChar w:fldCharType="begin" w:fldLock="1"/>
      </w:r>
      <w:r w:rsidR="00B50A73">
        <w:rPr>
          <w:rFonts w:ascii="Arial" w:hAnsi="Arial" w:cs="Arial"/>
        </w:rPr>
        <w:instrText>ADDIN CSL_CITATION {"citationItems":[{"id":"ITEM-1","itemData":{"author":[{"dropping-particle":"","family":"Yan","given":"Sisi","non-dropping-particle":"","parse-names":false,"suffix":""},{"dropping-particle":"","family":"Zhou","given":"Huijuan","non-dropping-particle":"","parse-names":false,"suffix":""},{"dropping-particle":"","family":"Liu","given":"Shuiping","non-dropping-particle":"","parse-names":false,"suffix":""},{"dropping-particle":"","family":"Wang","given":"Ji","non-dropping-particle":"","parse-names":false,"suffix":""},{"dropping-particle":"","family":"Zeng","given":"Yu","non-dropping-particle":"","parse-names":false,"suffix":""},{"dropping-particle":"","family":"Matias","given":"Froilan Bernard","non-dropping-particle":"","parse-names":false,"suffix":""},{"dropping-particle":"","family":"Wen","given":"Lixin","non-dropping-particle":"","parse-names":false,"suffix":""}],"container-title":"Lipids in Health and Disease","id":"ITEM-1","issue":"30","issued":{"date-parts":[["2020"]]},"page":"1-9","publisher":"Lipids in Health and Disease","title":"Differential effects of Chinese high-fat dietary habits on lipid metabolism : mechanisms and health implications","type":"article-journal","volume":"19"},"uris":["http://www.mendeley.com/documents/?uuid=de0d1f2d-bb12-426f-847e-caac59a49c56"]}],"mendeley":{"formattedCitation":"(Yan et al., 2020)","plainTextFormattedCitation":"(Yan et al., 2020)","previouslyFormattedCitation":"(Yan et al., 2020)"},"properties":{"noteIndex":0},"schema":"https://github.com/citation-style-language/schema/raw/master/csl-citation.json"}</w:instrText>
      </w:r>
      <w:r w:rsidR="00AB3C44">
        <w:rPr>
          <w:rFonts w:ascii="Arial" w:hAnsi="Arial" w:cs="Arial"/>
        </w:rPr>
        <w:fldChar w:fldCharType="separate"/>
      </w:r>
      <w:r w:rsidR="00AB3C44" w:rsidRPr="00AB3C44">
        <w:rPr>
          <w:rFonts w:ascii="Arial" w:hAnsi="Arial" w:cs="Arial"/>
          <w:noProof/>
        </w:rPr>
        <w:t>(Yan et al., 2020)</w:t>
      </w:r>
      <w:r w:rsidR="00AB3C44">
        <w:rPr>
          <w:rFonts w:ascii="Arial" w:hAnsi="Arial" w:cs="Arial"/>
        </w:rPr>
        <w:fldChar w:fldCharType="end"/>
      </w:r>
      <w:r w:rsidR="00AB3C44">
        <w:rPr>
          <w:rFonts w:ascii="Arial" w:hAnsi="Arial" w:cs="Arial"/>
        </w:rPr>
        <w:t>.</w:t>
      </w:r>
    </w:p>
    <w:p w14:paraId="5BD454FE" w14:textId="68A7D877" w:rsidR="00E81026" w:rsidRDefault="008414BC" w:rsidP="00441B6F">
      <w:pPr>
        <w:pStyle w:val="Body"/>
        <w:spacing w:after="0"/>
        <w:rPr>
          <w:rFonts w:ascii="Arial" w:hAnsi="Arial" w:cs="Arial"/>
        </w:rPr>
      </w:pPr>
      <w:r w:rsidRPr="008414BC">
        <w:rPr>
          <w:rFonts w:ascii="Arial" w:hAnsi="Arial" w:cs="Arial"/>
        </w:rPr>
        <w:t>The use of cigarette smoke in the induction process was intended to exacerbate the hyperlipidemic condition.</w:t>
      </w:r>
      <w:r>
        <w:rPr>
          <w:rFonts w:ascii="Arial" w:hAnsi="Arial" w:cs="Arial"/>
        </w:rPr>
        <w:t xml:space="preserve"> </w:t>
      </w:r>
      <w:r w:rsidRPr="008414BC">
        <w:rPr>
          <w:rFonts w:ascii="Arial" w:hAnsi="Arial" w:cs="Arial"/>
        </w:rPr>
        <w:t>This finding is supported by a previous study by</w:t>
      </w:r>
      <w:r>
        <w:rPr>
          <w:rFonts w:ascii="Arial" w:hAnsi="Arial" w:cs="Arial"/>
        </w:rPr>
        <w:t xml:space="preserve"> </w:t>
      </w:r>
      <w:r>
        <w:rPr>
          <w:rFonts w:ascii="Arial" w:hAnsi="Arial" w:cs="Arial"/>
        </w:rPr>
        <w:fldChar w:fldCharType="begin" w:fldLock="1"/>
      </w:r>
      <w:r w:rsidR="00317CF3">
        <w:rPr>
          <w:rFonts w:ascii="Arial" w:hAnsi="Arial" w:cs="Arial"/>
        </w:rPr>
        <w:instrText>ADDIN CSL_CITATION {"citationItems":[{"id":"ITEM-1","itemData":{"DOI":"10.26502/fjhs.067","author":[{"dropping-particle":"","family":"Nath","given":"Manik Chandra","non-dropping-particle":"","parse-names":false,"suffix":""},{"dropping-particle":"","family":"Rahman","given":"A K M Shahidur","non-dropping-particle":"","parse-names":false,"suffix":""},{"dropping-particle":"","family":"Nath","given":"Mukul Chandra","non-dropping-particle":"","parse-names":false,"suffix":""},{"dropping-particle":"","family":"Dutta","given":"Anup","non-dropping-particle":"","parse-names":false,"suffix":""},{"dropping-particle":"","family":"Khan","given":"Zahid Hasan","non-dropping-particle":"","parse-names":false,"suffix":""},{"dropping-particle":"","family":"Ghosh","given":"Emu","non-dropping-particle":"","parse-names":false,"suffix":""},{"dropping-particle":"","family":"Akhter","given":"Shahnaz","non-dropping-particle":"","parse-names":false,"suffix":""},{"dropping-particle":"","family":"Islam","given":"Saiful","non-dropping-particle":"","parse-names":false,"suffix":""},{"dropping-particle":"","family":"Sultana","given":"Sabrina","non-dropping-particle":"","parse-names":false,"suffix":""}],"container-title":"Fortune Journal of Health Sciences","id":"ITEM-1","issue":"2","issued":{"date-parts":[["2022"]]},"page":"363-373","title":"The Effect of Cigarette Smoking on Fasting Lipid Profile : A Single Center Study","type":"article-journal","volume":"5"},"uris":["http://www.mendeley.com/documents/?uuid=28af9cd7-c9e9-44ae-9f7a-abe65788e8b3"]}],"mendeley":{"formattedCitation":"(Nath et al., 2022)","manualFormatting":"Nath et al., (2022)","plainTextFormattedCitation":"(Nath et al., 2022)","previouslyFormattedCitation":"(Nath et al., 2022)"},"properties":{"noteIndex":0},"schema":"https://github.com/citation-style-language/schema/raw/master/csl-citation.json"}</w:instrText>
      </w:r>
      <w:r>
        <w:rPr>
          <w:rFonts w:ascii="Arial" w:hAnsi="Arial" w:cs="Arial"/>
        </w:rPr>
        <w:fldChar w:fldCharType="separate"/>
      </w:r>
      <w:r w:rsidRPr="008414BC">
        <w:rPr>
          <w:rFonts w:ascii="Arial" w:hAnsi="Arial" w:cs="Arial"/>
          <w:noProof/>
        </w:rPr>
        <w:t xml:space="preserve">Nath et al., </w:t>
      </w:r>
      <w:r>
        <w:rPr>
          <w:rFonts w:ascii="Arial" w:hAnsi="Arial" w:cs="Arial"/>
          <w:noProof/>
        </w:rPr>
        <w:t>(</w:t>
      </w:r>
      <w:r w:rsidRPr="008414BC">
        <w:rPr>
          <w:rFonts w:ascii="Arial" w:hAnsi="Arial" w:cs="Arial"/>
          <w:noProof/>
        </w:rPr>
        <w:t>2022)</w:t>
      </w:r>
      <w:r>
        <w:rPr>
          <w:rFonts w:ascii="Arial" w:hAnsi="Arial" w:cs="Arial"/>
        </w:rPr>
        <w:fldChar w:fldCharType="end"/>
      </w:r>
      <w:r w:rsidRPr="008414BC">
        <w:rPr>
          <w:rFonts w:ascii="Arial" w:hAnsi="Arial" w:cs="Arial"/>
        </w:rPr>
        <w:t>, which reported that smokers have higher total cholesterol and triglyceride levels compared to non-smokers. Furthermore, the degree of smoking was associated with a more pronounced increase in total cholesterol and triglyceride levels</w:t>
      </w:r>
      <w:r w:rsidR="00317CF3">
        <w:rPr>
          <w:rFonts w:ascii="Arial" w:hAnsi="Arial" w:cs="Arial"/>
        </w:rPr>
        <w:t xml:space="preserve">. </w:t>
      </w:r>
      <w:r w:rsidR="00317CF3" w:rsidRPr="00317CF3">
        <w:rPr>
          <w:rFonts w:ascii="Arial" w:hAnsi="Arial" w:cs="Arial"/>
        </w:rPr>
        <w:t>Similar findings were also reported by</w:t>
      </w:r>
      <w:r w:rsidR="00317CF3">
        <w:rPr>
          <w:rFonts w:ascii="Arial" w:hAnsi="Arial" w:cs="Arial"/>
        </w:rPr>
        <w:t xml:space="preserve"> </w:t>
      </w:r>
      <w:r w:rsidR="00317CF3">
        <w:rPr>
          <w:rFonts w:ascii="Arial" w:hAnsi="Arial" w:cs="Arial"/>
        </w:rPr>
        <w:fldChar w:fldCharType="begin" w:fldLock="1"/>
      </w:r>
      <w:r w:rsidR="007665E4">
        <w:rPr>
          <w:rFonts w:ascii="Arial" w:hAnsi="Arial" w:cs="Arial"/>
        </w:rPr>
        <w:instrText>ADDIN CSL_CITATION {"citationItems":[{"id":"ITEM-1","itemData":{"author":[{"dropping-particle":"","family":"Ismail","given":"Naufal Arif","non-dropping-particle":"","parse-names":false,"suffix":""},{"dropping-particle":"","family":"Nabila","given":"Tsavira","non-dropping-particle":"","parse-names":false,"suffix":""},{"dropping-particle":"","family":"Ramadhani","given":"Anastasya Syam","non-dropping-particle":"","parse-names":false,"suffix":""},{"dropping-particle":"","family":"Ahsani","given":"Dwi Nur","non-dropping-particle":"","parse-names":false,"suffix":""}],"container-title":"Physiologyhysiology","id":"ITEM-1","issue":"A","issued":{"date-parts":[["2022"]]},"page":"841-847","title":"Electronic and Conventional Cigarette Exposure Aggravate Metabolic Parameters in High-Fat Diet-Induced Rats","type":"article-journal","volume":"10"},"uris":["http://www.mendeley.com/documents/?uuid=94c5d487-6a49-449b-a5cc-87d1bd8e2215"]}],"mendeley":{"formattedCitation":"(Ismail et al., 2022)","manualFormatting":"Ismail et al., (2022)","plainTextFormattedCitation":"(Ismail et al., 2022)","previouslyFormattedCitation":"(Ismail et al., 2022)"},"properties":{"noteIndex":0},"schema":"https://github.com/citation-style-language/schema/raw/master/csl-citation.json"}</w:instrText>
      </w:r>
      <w:r w:rsidR="00317CF3">
        <w:rPr>
          <w:rFonts w:ascii="Arial" w:hAnsi="Arial" w:cs="Arial"/>
        </w:rPr>
        <w:fldChar w:fldCharType="separate"/>
      </w:r>
      <w:r w:rsidR="00317CF3" w:rsidRPr="00317CF3">
        <w:rPr>
          <w:rFonts w:ascii="Arial" w:hAnsi="Arial" w:cs="Arial"/>
          <w:noProof/>
        </w:rPr>
        <w:t xml:space="preserve">Ismail et al., </w:t>
      </w:r>
      <w:r w:rsidR="00317CF3">
        <w:rPr>
          <w:rFonts w:ascii="Arial" w:hAnsi="Arial" w:cs="Arial"/>
          <w:noProof/>
        </w:rPr>
        <w:t>(</w:t>
      </w:r>
      <w:r w:rsidR="00317CF3" w:rsidRPr="00317CF3">
        <w:rPr>
          <w:rFonts w:ascii="Arial" w:hAnsi="Arial" w:cs="Arial"/>
          <w:noProof/>
        </w:rPr>
        <w:t>2022)</w:t>
      </w:r>
      <w:r w:rsidR="00317CF3">
        <w:rPr>
          <w:rFonts w:ascii="Arial" w:hAnsi="Arial" w:cs="Arial"/>
        </w:rPr>
        <w:fldChar w:fldCharType="end"/>
      </w:r>
      <w:r w:rsidR="00317CF3" w:rsidRPr="00317CF3">
        <w:rPr>
          <w:rFonts w:ascii="Arial" w:hAnsi="Arial" w:cs="Arial"/>
        </w:rPr>
        <w:t>, who compared a high-fat diet with a combination of a high-fat diet and cigarette smoke exposure. The results showed that the combination of a high-fat diet and cigarette smoke exposure resulted in higher increases in total cholesterol and triglyceride levels</w:t>
      </w:r>
      <w:r w:rsidR="00317CF3">
        <w:rPr>
          <w:rFonts w:ascii="Arial" w:hAnsi="Arial" w:cs="Arial"/>
        </w:rPr>
        <w:t xml:space="preserve">. </w:t>
      </w:r>
      <w:r w:rsidR="00834CFD" w:rsidRPr="00834CFD">
        <w:rPr>
          <w:rFonts w:ascii="Arial" w:hAnsi="Arial" w:cs="Arial"/>
        </w:rPr>
        <w:t>The combined use of a high-fat diet and cigarette smoke exposure in this study is suggested to produce a more pronounced increase in lipid profiles compared to a high-fat diet alone</w:t>
      </w:r>
      <w:r w:rsidR="003F490B" w:rsidRPr="003F490B">
        <w:rPr>
          <w:rFonts w:ascii="Arial" w:hAnsi="Arial" w:cs="Arial"/>
        </w:rPr>
        <w:t xml:space="preserve">. This suggests that cigarette smoke acts as an additional aggravating factor, enhancing the development of hyperlipidemia and better reflecting complex pathological conditions observed in </w:t>
      </w:r>
      <w:proofErr w:type="spellStart"/>
      <w:r w:rsidR="003F490B" w:rsidRPr="003F490B">
        <w:rPr>
          <w:rFonts w:ascii="Arial" w:hAnsi="Arial" w:cs="Arial"/>
        </w:rPr>
        <w:t>humans.</w:t>
      </w:r>
      <w:r w:rsidRPr="008414BC">
        <w:rPr>
          <w:rFonts w:ascii="Arial" w:hAnsi="Arial" w:cs="Arial"/>
        </w:rPr>
        <w:t>This</w:t>
      </w:r>
      <w:proofErr w:type="spellEnd"/>
      <w:r w:rsidRPr="008414BC">
        <w:rPr>
          <w:rFonts w:ascii="Arial" w:hAnsi="Arial" w:cs="Arial"/>
        </w:rPr>
        <w:t xml:space="preserve"> effect is associated with the presence of nicotine, which influences lipid metabolism.</w:t>
      </w:r>
      <w:r>
        <w:rPr>
          <w:rFonts w:ascii="Arial" w:hAnsi="Arial" w:cs="Arial"/>
        </w:rPr>
        <w:t xml:space="preserve"> </w:t>
      </w:r>
      <w:r w:rsidRPr="008414BC">
        <w:rPr>
          <w:rFonts w:ascii="Arial" w:hAnsi="Arial" w:cs="Arial"/>
        </w:rPr>
        <w:t>Nicotine stimulates the sympathetic nervous system and promotes the release of catecholamines, which subsequently induce lipolysis. This process increases circulating free fatty acid concentrations and contributes to a reduction in plasma HDL cholesterol levels</w:t>
      </w:r>
      <w:r w:rsidR="005F2ED5">
        <w:rPr>
          <w:rFonts w:ascii="Arial" w:hAnsi="Arial" w:cs="Arial"/>
        </w:rPr>
        <w:t>.</w:t>
      </w:r>
    </w:p>
    <w:p w14:paraId="5A4377BA" w14:textId="4EF2106B" w:rsidR="000631E5" w:rsidRDefault="00283A0B" w:rsidP="00441B6F">
      <w:pPr>
        <w:pStyle w:val="Body"/>
        <w:spacing w:after="0"/>
        <w:rPr>
          <w:rFonts w:ascii="Arial" w:hAnsi="Arial" w:cs="Arial"/>
        </w:rPr>
      </w:pPr>
      <w:r w:rsidRPr="00283A0B">
        <w:rPr>
          <w:rFonts w:ascii="Arial" w:hAnsi="Arial" w:cs="Arial"/>
        </w:rPr>
        <w:t>Administration of EEA</w:t>
      </w:r>
      <w:r w:rsidR="00F802D9">
        <w:rPr>
          <w:rFonts w:ascii="Arial" w:hAnsi="Arial" w:cs="Arial"/>
        </w:rPr>
        <w:t>F</w:t>
      </w:r>
      <w:r w:rsidRPr="00283A0B">
        <w:rPr>
          <w:rFonts w:ascii="Arial" w:hAnsi="Arial" w:cs="Arial"/>
        </w:rPr>
        <w:t xml:space="preserve"> resulted in a significant reduction in total cholesterol and triglyceride levels compared to the negative control group.</w:t>
      </w:r>
      <w:r w:rsidR="00E42D41" w:rsidRPr="00E42D41">
        <w:t xml:space="preserve"> </w:t>
      </w:r>
      <w:r w:rsidR="00580068" w:rsidRPr="00580068">
        <w:t xml:space="preserve">The dose selection </w:t>
      </w:r>
      <w:r w:rsidR="00580068">
        <w:t xml:space="preserve">of EEAF </w:t>
      </w:r>
      <w:r w:rsidR="00580068" w:rsidRPr="00580068">
        <w:t>was based on previous studies using streptozotocin-induced diabetic rat models</w:t>
      </w:r>
      <w:r w:rsidR="00580068">
        <w:t xml:space="preserve"> </w:t>
      </w:r>
      <w:r w:rsidR="00580068">
        <w:fldChar w:fldCharType="begin" w:fldLock="1"/>
      </w:r>
      <w:r w:rsidR="00580068">
        <w:instrText>ADDIN CSL_CITATION {"citationItems":[{"id":"ITEM-1","itemData":{"abstract":"Background: In this study, the anti-diabetic effect of the extract of leaves and fruits of Avicennia marina (A. marina) in streptozotocin (STZ)-induced diabetic male rats was investigated. Methods: An experimental study was conducted on 45 adult male rats in 9 groups of 5 rats. The control group received normal food only. Other groups were made diabetic by injecting them with 60 mg/kg intraperitoneal STZ injection. Diabetic groups were: one Sham Group (STZ only), one Positive Diabetic Group (STZ + 0.5 ml normal saline) and 6 experimental groups, treated with STZ plus 3 incremental doses (30, 60 and 120 mg/kg) of either leaves or fruits extract of A. marina for three consecutive days, using gavage method. 24 hours after the last extract administration, blood samples were taken from the rat hearts., the serum glucose and insulin levels were measured by glucose oxidase and ELISA methods, respectively, one week after the STZ injections and following 8-12 hours of fasting.","author":[{"dropping-particle":"","family":"Kamaei","given":"Leila","non-dropping-particle":"","parse-names":false,"suffix":""},{"dropping-particle":"","family":"Moghadamnia","given":"Davood","non-dropping-particle":"","parse-names":false,"suffix":""}],"container-title":"Iranian Journal of Toxicology","id":"ITEM-1","issue":"2","issued":{"date-parts":[["2019"]]},"page":"7-12","title":"Comparison of Antidiabetic Effect of Aqueous Extract of the Leaves and Fruits of Avicennia Marina in Streptozotocin-induced Diabetic Male Rats","type":"article-journal","volume":"13"},"uris":["http://www.mendeley.com/documents/?uuid=edd57ebf-c0bc-4cc3-ba9e-4e651f0336bd"]}],"mendeley":{"formattedCitation":"(Kamaei &amp; Moghadamnia, 2019)","plainTextFormattedCitation":"(Kamaei &amp; Moghadamnia, 2019)"},"properties":{"noteIndex":0},"schema":"https://github.com/citation-style-language/schema/raw/master/csl-citation.json"}</w:instrText>
      </w:r>
      <w:r w:rsidR="00580068">
        <w:fldChar w:fldCharType="separate"/>
      </w:r>
      <w:r w:rsidR="00580068" w:rsidRPr="00580068">
        <w:rPr>
          <w:noProof/>
        </w:rPr>
        <w:t>(Kamaei &amp; Moghadamnia, 2019)</w:t>
      </w:r>
      <w:r w:rsidR="00580068">
        <w:fldChar w:fldCharType="end"/>
      </w:r>
      <w:r w:rsidR="00580068" w:rsidRPr="00580068">
        <w:t>. Although the disease model differs, streptozotocin-induced diabetes is characterized by oxidative stress, dyslipidemia, and inflammation, which are also central to the present study. Therefore, the previously effective dose is considered relevant for evaluating antihyperlipidemic</w:t>
      </w:r>
      <w:r w:rsidR="00580068">
        <w:t xml:space="preserve"> </w:t>
      </w:r>
      <w:r w:rsidR="00580068" w:rsidRPr="00580068">
        <w:t>effects.</w:t>
      </w:r>
      <w:r w:rsidR="00580068">
        <w:t xml:space="preserve"> </w:t>
      </w:r>
      <w:r w:rsidR="00E42D41" w:rsidRPr="00E42D41">
        <w:rPr>
          <w:rFonts w:ascii="Arial" w:hAnsi="Arial" w:cs="Arial"/>
        </w:rPr>
        <w:t xml:space="preserve">Bioactive compounds present in </w:t>
      </w:r>
      <w:r w:rsidR="00E42D41" w:rsidRPr="00E42D41">
        <w:rPr>
          <w:rFonts w:ascii="Arial" w:hAnsi="Arial" w:cs="Arial"/>
          <w:i/>
          <w:iCs/>
        </w:rPr>
        <w:t>Avicennia marina</w:t>
      </w:r>
      <w:r w:rsidR="00E42D41" w:rsidRPr="00E42D41">
        <w:rPr>
          <w:rFonts w:ascii="Arial" w:hAnsi="Arial" w:cs="Arial"/>
        </w:rPr>
        <w:t xml:space="preserve"> fruit are suggested to contribute to the reduction of total cholesterol and triglyceride levels. This assumption is supported by previous studies indicating that bioactive compounds such as flavonoids and saponins have been widely reported to modulate lipid metabolism and reduce cholesterol levels</w:t>
      </w:r>
      <w:r w:rsidR="00704BB8" w:rsidRPr="00704BB8">
        <w:rPr>
          <w:rFonts w:ascii="Arial" w:hAnsi="Arial" w:cs="Arial"/>
        </w:rPr>
        <w:t xml:space="preserve"> </w:t>
      </w:r>
      <w:r w:rsidR="00704BB8">
        <w:rPr>
          <w:rFonts w:ascii="Arial" w:hAnsi="Arial" w:cs="Arial"/>
        </w:rPr>
        <w:fldChar w:fldCharType="begin" w:fldLock="1"/>
      </w:r>
      <w:r w:rsidR="00543B15">
        <w:rPr>
          <w:rFonts w:ascii="Arial" w:hAnsi="Arial" w:cs="Arial"/>
        </w:rPr>
        <w:instrText>ADDIN CSL_CITATION {"citationItems":[{"id":"ITEM-1","itemData":{"author":[{"dropping-particle":"","family":"Widiyanto","given":"Bagas","non-dropping-particle":"","parse-names":false,"suffix":""},{"dropping-particle":"","family":"Intan","given":"Natasya","non-dropping-particle":"","parse-names":false,"suffix":""},{"dropping-particle":"","family":"Thoyibah","given":"Nurul Kurnia","non-dropping-particle":"","parse-names":false,"suffix":""},{"dropping-particle":"","family":"Sudjudi","given":"Yumna","non-dropping-particle":"","parse-names":false,"suffix":""},{"dropping-particle":"","family":"Faza","given":"Anggita Sabila","non-dropping-particle":"","parse-names":false,"suffix":""}],"container-title":"Jurnal Ilmiah Kesehatan","id":"ITEM-1","issue":"1","issued":{"date-parts":[["2023"]]},"page":"113-120","title":"Kombinasi Ekstrak Daun Sirsak Dan Kunyit Memperbaiki Profil Lipid Pada Tikus Model Metabolic Syndrome The Combination of Soursop and Turmeric Leaf Extracts Improves Lipid Fakultas Kedokteran , Universitas Islam Sultan Agung , Semarang , Indonesia Address","type":"article-journal","volume":"5"},"uris":["http://www.mendeley.com/documents/?uuid=785bee7a-a2a5-48c0-9c38-1e3abee8e0e1"]}],"mendeley":{"formattedCitation":"(Widiyanto et al., 2023)","plainTextFormattedCitation":"(Widiyanto et al., 2023)","previouslyFormattedCitation":"(Widiyanto et al., 2023)"},"properties":{"noteIndex":0},"schema":"https://github.com/citation-style-language/schema/raw/master/csl-citation.json"}</w:instrText>
      </w:r>
      <w:r w:rsidR="00704BB8">
        <w:rPr>
          <w:rFonts w:ascii="Arial" w:hAnsi="Arial" w:cs="Arial"/>
        </w:rPr>
        <w:fldChar w:fldCharType="separate"/>
      </w:r>
      <w:r w:rsidR="00704BB8" w:rsidRPr="00704BB8">
        <w:rPr>
          <w:rFonts w:ascii="Arial" w:hAnsi="Arial" w:cs="Arial"/>
          <w:noProof/>
        </w:rPr>
        <w:t>(Widiyanto et al., 2023)</w:t>
      </w:r>
      <w:r w:rsidR="00704BB8">
        <w:rPr>
          <w:rFonts w:ascii="Arial" w:hAnsi="Arial" w:cs="Arial"/>
        </w:rPr>
        <w:fldChar w:fldCharType="end"/>
      </w:r>
      <w:r w:rsidR="00704BB8">
        <w:rPr>
          <w:rFonts w:ascii="Arial" w:hAnsi="Arial" w:cs="Arial"/>
        </w:rPr>
        <w:t xml:space="preserve">. </w:t>
      </w:r>
      <w:r w:rsidR="002C58DF" w:rsidRPr="002C58DF">
        <w:rPr>
          <w:rFonts w:ascii="Arial" w:hAnsi="Arial" w:cs="Arial"/>
        </w:rPr>
        <w:t xml:space="preserve">This finding is supported by the </w:t>
      </w:r>
      <w:r w:rsidR="000218FB">
        <w:rPr>
          <w:rFonts w:ascii="Arial" w:hAnsi="Arial" w:cs="Arial"/>
        </w:rPr>
        <w:t xml:space="preserve">in silico </w:t>
      </w:r>
      <w:r w:rsidR="002C58DF" w:rsidRPr="002C58DF">
        <w:rPr>
          <w:rFonts w:ascii="Arial" w:hAnsi="Arial" w:cs="Arial"/>
        </w:rPr>
        <w:t>study conducted by</w:t>
      </w:r>
      <w:r w:rsidR="00543B15">
        <w:rPr>
          <w:rFonts w:ascii="Arial" w:hAnsi="Arial" w:cs="Arial"/>
        </w:rPr>
        <w:t xml:space="preserve"> </w:t>
      </w:r>
      <w:r w:rsidR="00543B15">
        <w:rPr>
          <w:rFonts w:ascii="Arial" w:hAnsi="Arial" w:cs="Arial"/>
        </w:rPr>
        <w:fldChar w:fldCharType="begin" w:fldLock="1"/>
      </w:r>
      <w:r w:rsidR="006D2342">
        <w:rPr>
          <w:rFonts w:ascii="Arial" w:hAnsi="Arial" w:cs="Arial"/>
        </w:rPr>
        <w:instrText>ADDIN CSL_CITATION {"citationItems":[{"id":"ITEM-1","itemData":{"author":[{"dropping-particle":"","family":"Aliifah","given":"Khansa","non-dropping-particle":"","parse-names":false,"suffix":""},{"dropping-particle":"","family":"Marisa","given":"Hilma","non-dropping-particle":"","parse-names":false,"suffix":""},{"dropping-particle":"","family":"Lestari","given":"Indah","non-dropping-particle":"","parse-names":false,"suffix":""},{"dropping-particle":"","family":"Septiani","given":"Jelita","non-dropping-particle":"","parse-names":false,"suffix":""},{"dropping-particle":"Al","family":"Ihsani","given":"Jihan","non-dropping-particle":"","parse-names":false,"suffix":""},{"dropping-particle":"","family":"Sains","given":"Fakultas","non-dropping-particle":"","parse-names":false,"suffix":""},{"dropping-particle":"","family":"Farmasi","given":"Program Studi","non-dropping-particle":"","parse-names":false,"suffix":""},{"dropping-particle":"","family":"Muhammadiyah","given":"Universitas","non-dropping-particle":"","parse-names":false,"suffix":""},{"dropping-particle":"","family":"Kampus","given":"Alamat","non-dropping-particle":"","parse-names":false,"suffix":""},{"dropping-particle":"","family":"No","given":"Jl Soekarno-hatta","non-dropping-particle":"","parse-names":false,"suffix":""},{"dropping-particle":"","family":"Kidul","given":"Cipadung","non-dropping-particle":"","parse-names":false,"suffix":""},{"dropping-particle":"","family":"Panyileukan","given":"Kec","non-dropping-particle":"","parse-names":false,"suffix":""},{"dropping-particle":"","family":"Bandung","given":"Kota","non-dropping-particle":"","parse-names":false,"suffix":""}],"container-title":"Jurnal Riset Rumpun Ilmu Kesehatan","id":"ITEM-1","issue":"2","issued":{"date-parts":[["2025"]]},"page":"615-622","title":"Literature Review : Potensi Senyawa Bahan Alam sebagai Inhibitor HMG- CoA Reduktase untuk Terapi Kolesterol Menurut World Health Organization ( WHO ), prevalensi hiperkolesterolemia sebesar 48 % terjadi di Amerika Serikat dan lebih banyak penderita di Ero","type":"article-journal","volume":"4"},"uris":["http://www.mendeley.com/documents/?uuid=7fbbacc6-cd14-4868-bcb2-be47f6d5a14d"]}],"mendeley":{"formattedCitation":"(Aliifah et al., 2025)","manualFormatting":"Aliifah et al., (2025)","plainTextFormattedCitation":"(Aliifah et al., 2025)","previouslyFormattedCitation":"(Aliifah et al., 2025)"},"properties":{"noteIndex":0},"schema":"https://github.com/citation-style-language/schema/raw/master/csl-citation.json"}</w:instrText>
      </w:r>
      <w:r w:rsidR="00543B15">
        <w:rPr>
          <w:rFonts w:ascii="Arial" w:hAnsi="Arial" w:cs="Arial"/>
        </w:rPr>
        <w:fldChar w:fldCharType="separate"/>
      </w:r>
      <w:r w:rsidR="00543B15" w:rsidRPr="00543B15">
        <w:rPr>
          <w:rFonts w:ascii="Arial" w:hAnsi="Arial" w:cs="Arial"/>
          <w:noProof/>
        </w:rPr>
        <w:t xml:space="preserve">Aliifah et al., </w:t>
      </w:r>
      <w:r w:rsidR="00543B15">
        <w:rPr>
          <w:rFonts w:ascii="Arial" w:hAnsi="Arial" w:cs="Arial"/>
          <w:noProof/>
        </w:rPr>
        <w:t>(</w:t>
      </w:r>
      <w:r w:rsidR="00543B15" w:rsidRPr="00543B15">
        <w:rPr>
          <w:rFonts w:ascii="Arial" w:hAnsi="Arial" w:cs="Arial"/>
          <w:noProof/>
        </w:rPr>
        <w:t>2025)</w:t>
      </w:r>
      <w:r w:rsidR="00543B15">
        <w:rPr>
          <w:rFonts w:ascii="Arial" w:hAnsi="Arial" w:cs="Arial"/>
        </w:rPr>
        <w:fldChar w:fldCharType="end"/>
      </w:r>
      <w:r w:rsidR="002C58DF" w:rsidRPr="002C58DF">
        <w:rPr>
          <w:rFonts w:ascii="Arial" w:hAnsi="Arial" w:cs="Arial"/>
        </w:rPr>
        <w:t xml:space="preserve">, </w:t>
      </w:r>
      <w:r w:rsidR="005F4DC1" w:rsidRPr="005F4DC1">
        <w:rPr>
          <w:rFonts w:ascii="Arial" w:hAnsi="Arial" w:cs="Arial"/>
        </w:rPr>
        <w:t>In silico studies have suggested that these compounds may interact with key enzymes such as HMG-CoA reductase. Flavonoids containing hydroxyl groups and aromatic rings can form stable hydrogen bonds with enzyme active sites, enhancing binding affinity. In addition, triterpenoids may contribute structural stability and facilitate favorable interactions within the enzyme cavity, potentially leading to competitive inhibition of HMG-CoA reductase activity</w:t>
      </w:r>
      <w:r w:rsidR="003768F4" w:rsidRPr="003768F4">
        <w:rPr>
          <w:rFonts w:ascii="Arial" w:hAnsi="Arial" w:cs="Arial"/>
        </w:rPr>
        <w:t xml:space="preserve"> These structural characteristics may enable such compounds to mimic natural substrate interactions, thereby potentially contributing to the competitive inhibition of HMG-CoA reductase activity.</w:t>
      </w:r>
    </w:p>
    <w:p w14:paraId="29028608" w14:textId="08F70E90" w:rsidR="000218FB" w:rsidRDefault="006D2342" w:rsidP="00441B6F">
      <w:pPr>
        <w:pStyle w:val="Body"/>
        <w:spacing w:after="0"/>
        <w:rPr>
          <w:rFonts w:ascii="Arial" w:hAnsi="Arial" w:cs="Arial"/>
        </w:rPr>
      </w:pPr>
      <w:r w:rsidRPr="006D2342">
        <w:rPr>
          <w:rFonts w:ascii="Arial" w:hAnsi="Arial" w:cs="Arial"/>
        </w:rPr>
        <w:t xml:space="preserve">At the cellular level, the improvement in total cholesterol and triglyceride levels may be associated with the activation of AMP-activated protein kinase (AMPK) by </w:t>
      </w:r>
      <w:r w:rsidR="003768F4">
        <w:rPr>
          <w:rFonts w:ascii="Arial" w:hAnsi="Arial" w:cs="Arial"/>
        </w:rPr>
        <w:t>bioactive compounds</w:t>
      </w:r>
      <w:r w:rsidRPr="006D2342">
        <w:rPr>
          <w:rFonts w:ascii="Arial" w:hAnsi="Arial" w:cs="Arial"/>
        </w:rPr>
        <w:t xml:space="preserve"> such as flavonoids and other polyphenolic compounds. AMPK acts as a key energy-sensing enzyme that promotes catabolic pathways to generate energy while inhibiting anabolic processes such as lipid synthesis. Activation of AMPK has been reported to reduce lipid accumulation and improve non-alcoholic fatty liver disease (NAFLD) by inducing hepatic fatty acid oxidation</w:t>
      </w:r>
      <w:r>
        <w:rPr>
          <w:rFonts w:ascii="Arial" w:hAnsi="Arial" w:cs="Arial"/>
        </w:rPr>
        <w:t xml:space="preserve"> </w:t>
      </w:r>
      <w:r>
        <w:rPr>
          <w:rFonts w:ascii="Arial" w:hAnsi="Arial" w:cs="Arial"/>
        </w:rPr>
        <w:fldChar w:fldCharType="begin" w:fldLock="1"/>
      </w:r>
      <w:r w:rsidR="006E2600">
        <w:rPr>
          <w:rFonts w:ascii="Arial" w:hAnsi="Arial" w:cs="Arial"/>
        </w:rPr>
        <w:instrText>ADDIN CSL_CITATION {"citationItems":[{"id":"ITEM-1","itemData":{"author":[{"dropping-particle":"","family":"Gupta","given":"Akhil","non-dropping-particle":"","parse-names":false,"suffix":""},{"dropping-particle":"","family":"Singh","given":"Rajesh","non-dropping-particle":"","parse-names":false,"suffix":""}],"container-title":"International Journal of Biochemistry Research &amp; Review","id":"ITEM-1","issue":"2","issued":{"date-parts":[["2025"]]},"page":"147-153","title":"AMP-Activated Protein Kinase ( AMPK ): A Cellular Energy Sensor and the Guardian of Metabolism","type":"article-journal","volume":"34"},"uris":["http://www.mendeley.com/documents/?uuid=a75c3343-738f-4c84-acb3-1c0c33abf1f5"]}],"mendeley":{"formattedCitation":"(Gupta &amp; Singh, 2025)","plainTextFormattedCitation":"(Gupta &amp; Singh, 2025)","previouslyFormattedCitation":"(Gupta &amp; Singh, 2025)"},"properties":{"noteIndex":0},"schema":"https://github.com/citation-style-language/schema/raw/master/csl-citation.json"}</w:instrText>
      </w:r>
      <w:r>
        <w:rPr>
          <w:rFonts w:ascii="Arial" w:hAnsi="Arial" w:cs="Arial"/>
        </w:rPr>
        <w:fldChar w:fldCharType="separate"/>
      </w:r>
      <w:r w:rsidRPr="006D2342">
        <w:rPr>
          <w:rFonts w:ascii="Arial" w:hAnsi="Arial" w:cs="Arial"/>
          <w:noProof/>
        </w:rPr>
        <w:t>(Gupta &amp; Singh, 2025)</w:t>
      </w:r>
      <w:r>
        <w:rPr>
          <w:rFonts w:ascii="Arial" w:hAnsi="Arial" w:cs="Arial"/>
        </w:rPr>
        <w:fldChar w:fldCharType="end"/>
      </w:r>
      <w:r>
        <w:rPr>
          <w:rFonts w:ascii="Arial" w:hAnsi="Arial" w:cs="Arial"/>
        </w:rPr>
        <w:t xml:space="preserve">. </w:t>
      </w:r>
      <w:r w:rsidR="00087A05" w:rsidRPr="00087A05">
        <w:rPr>
          <w:rFonts w:ascii="Arial" w:hAnsi="Arial" w:cs="Arial"/>
        </w:rPr>
        <w:t>This mechanism is further supported by the review conducted by</w:t>
      </w:r>
      <w:r w:rsidR="00087A05">
        <w:rPr>
          <w:rFonts w:ascii="Arial" w:hAnsi="Arial" w:cs="Arial"/>
        </w:rPr>
        <w:t xml:space="preserve"> </w:t>
      </w:r>
      <w:r w:rsidR="00087A05">
        <w:rPr>
          <w:rFonts w:ascii="Arial" w:hAnsi="Arial" w:cs="Arial"/>
        </w:rPr>
        <w:fldChar w:fldCharType="begin" w:fldLock="1"/>
      </w:r>
      <w:r w:rsidR="005D66CC">
        <w:rPr>
          <w:rFonts w:ascii="Arial" w:hAnsi="Arial" w:cs="Arial"/>
        </w:rPr>
        <w:instrText>ADDIN CSL_CITATION {"citationItems":[{"id":"ITEM-1","itemData":{"author":[{"dropping-particle":"","family":"Zhao","given":"Qiqi","non-dropping-particle":"","parse-names":false,"suffix":""},{"dropping-particle":"","family":"Lu","given":"Shengwen","non-dropping-particle":"","parse-names":false,"suffix":""},{"dropping-particle":"","family":"Guan","given":"Yu","non-dropping-particle":"","parse-names":false,"suffix":""},{"dropping-particle":"","family":"Sun","given":"Zhiwen","non-dropping-particle":"","parse-names":false,"suffix":""},{"dropping-particle":"","family":"Qiu","given":"Shi","non-dropping-particle":"","parse-names":false,"suffix":""},{"dropping-particle":"","family":"Zhang","given":"Aihua","non-dropping-particle":"","parse-names":false,"suffix":""}],"container-title":"Lipids in Health and Disease","id":"ITEM-1","issue":"62","issued":{"date-parts":[["2026"]]},"page":"1-27","title":"Dysregulation of the AMPK-SREBP1-FASN axis in MASLD : driving a vicious cycle of lipotoxicity and metabolic-immune crosstalk","type":"article-journal","volume":"25"},"uris":["http://www.mendeley.com/documents/?uuid=031817ab-d979-45c2-ba65-204866c33e0a"]}],"mendeley":{"formattedCitation":"(Zhao et al., 2026)","manualFormatting":"Zhao et al., (2026)","plainTextFormattedCitation":"(Zhao et al., 2026)","previouslyFormattedCitation":"(Zhao et al., 2026)"},"properties":{"noteIndex":0},"schema":"https://github.com/citation-style-language/schema/raw/master/csl-citation.json"}</w:instrText>
      </w:r>
      <w:r w:rsidR="00087A05">
        <w:rPr>
          <w:rFonts w:ascii="Arial" w:hAnsi="Arial" w:cs="Arial"/>
        </w:rPr>
        <w:fldChar w:fldCharType="separate"/>
      </w:r>
      <w:r w:rsidR="00087A05" w:rsidRPr="00087A05">
        <w:rPr>
          <w:rFonts w:ascii="Arial" w:hAnsi="Arial" w:cs="Arial"/>
          <w:noProof/>
        </w:rPr>
        <w:t xml:space="preserve">Zhao et al., </w:t>
      </w:r>
      <w:r w:rsidR="00087A05">
        <w:rPr>
          <w:rFonts w:ascii="Arial" w:hAnsi="Arial" w:cs="Arial"/>
          <w:noProof/>
        </w:rPr>
        <w:t>(</w:t>
      </w:r>
      <w:r w:rsidR="00087A05" w:rsidRPr="00087A05">
        <w:rPr>
          <w:rFonts w:ascii="Arial" w:hAnsi="Arial" w:cs="Arial"/>
          <w:noProof/>
        </w:rPr>
        <w:t>2026)</w:t>
      </w:r>
      <w:r w:rsidR="00087A05">
        <w:rPr>
          <w:rFonts w:ascii="Arial" w:hAnsi="Arial" w:cs="Arial"/>
        </w:rPr>
        <w:fldChar w:fldCharType="end"/>
      </w:r>
      <w:r w:rsidR="00087A05" w:rsidRPr="00087A05">
        <w:rPr>
          <w:rFonts w:ascii="Arial" w:hAnsi="Arial" w:cs="Arial"/>
        </w:rPr>
        <w:t>, which reported that activation of AMPK</w:t>
      </w:r>
      <w:r w:rsidR="00F802D9">
        <w:rPr>
          <w:rFonts w:ascii="Arial" w:hAnsi="Arial" w:cs="Arial"/>
        </w:rPr>
        <w:t xml:space="preserve"> will</w:t>
      </w:r>
      <w:r w:rsidR="00087A05" w:rsidRPr="00087A05">
        <w:rPr>
          <w:rFonts w:ascii="Arial" w:hAnsi="Arial" w:cs="Arial"/>
        </w:rPr>
        <w:t xml:space="preserve"> phosphorylates sterol regulatory element-binding proteins (SREBPs) at serine </w:t>
      </w:r>
      <w:r w:rsidR="00087A05" w:rsidRPr="00087A05">
        <w:rPr>
          <w:rFonts w:ascii="Arial" w:hAnsi="Arial" w:cs="Arial"/>
        </w:rPr>
        <w:lastRenderedPageBreak/>
        <w:t xml:space="preserve">residues. This phosphorylation inhibits the proteolytic cleavage and activation of both SREBP-1c and SREBP-2, thereby suppressing the synthesis of fatty acids and triglycerides as well as the activity of HMG-CoA reductase. Under normal conditions, SREBP1 </w:t>
      </w:r>
      <w:proofErr w:type="spellStart"/>
      <w:r w:rsidR="00087A05" w:rsidRPr="00087A05">
        <w:rPr>
          <w:rFonts w:ascii="Arial" w:hAnsi="Arial" w:cs="Arial"/>
        </w:rPr>
        <w:t>translocates</w:t>
      </w:r>
      <w:proofErr w:type="spellEnd"/>
      <w:r w:rsidR="00087A05" w:rsidRPr="00087A05">
        <w:rPr>
          <w:rFonts w:ascii="Arial" w:hAnsi="Arial" w:cs="Arial"/>
        </w:rPr>
        <w:t xml:space="preserve"> to the nucleus and binds to sterol regulatory elements in the promoter regions of target genes, initiating the transcription of several lipogenic enzymes, including fatty acid synthase, acetyl-CoA carboxylase, and stearoyl-CoA desaturase.</w:t>
      </w:r>
    </w:p>
    <w:p w14:paraId="25823500" w14:textId="3622E4E5" w:rsidR="000B0EC4" w:rsidRDefault="000B0EC4" w:rsidP="00441B6F">
      <w:pPr>
        <w:pStyle w:val="Body"/>
        <w:spacing w:after="0"/>
        <w:rPr>
          <w:rFonts w:ascii="Arial" w:hAnsi="Arial" w:cs="Arial"/>
        </w:rPr>
      </w:pPr>
      <w:r w:rsidRPr="000B0EC4">
        <w:rPr>
          <w:rFonts w:ascii="Arial" w:hAnsi="Arial" w:cs="Arial"/>
        </w:rPr>
        <w:t>This study has several limitations, including the use of an in vivo model without clinical validation and the evaluation of only total cholesterol and triglycerides. In addition, the relatively small sample size and short observation period may not reflect long-term effects. Furthermore, variability in plant growth conditions may influence the secondary metabolite content. Therefore, further studies are required to address these gaps and strengthen the findings of this research.</w:t>
      </w:r>
    </w:p>
    <w:p w14:paraId="03A0675C" w14:textId="77777777" w:rsidR="00087A05" w:rsidRDefault="00087A05" w:rsidP="00441B6F">
      <w:pPr>
        <w:pStyle w:val="Body"/>
        <w:spacing w:after="0"/>
        <w:rPr>
          <w:rFonts w:ascii="Arial" w:hAnsi="Arial" w:cs="Arial"/>
        </w:rPr>
      </w:pPr>
    </w:p>
    <w:p w14:paraId="1EC34D7A" w14:textId="4E3F22EA" w:rsidR="00087A05" w:rsidRDefault="00087A05" w:rsidP="00087A05">
      <w:pPr>
        <w:pStyle w:val="ConcHead"/>
        <w:spacing w:after="0"/>
        <w:jc w:val="both"/>
        <w:rPr>
          <w:rFonts w:ascii="Arial" w:hAnsi="Arial" w:cs="Arial"/>
        </w:rPr>
      </w:pPr>
      <w:r>
        <w:rPr>
          <w:rFonts w:ascii="Arial" w:hAnsi="Arial" w:cs="Arial"/>
        </w:rPr>
        <w:t xml:space="preserve">5. </w:t>
      </w:r>
      <w:r w:rsidRPr="00FB3A86">
        <w:rPr>
          <w:rFonts w:ascii="Arial" w:hAnsi="Arial" w:cs="Arial"/>
        </w:rPr>
        <w:t>Conclusion</w:t>
      </w:r>
    </w:p>
    <w:p w14:paraId="516C2902" w14:textId="77777777" w:rsidR="00790ADA" w:rsidRDefault="00790ADA" w:rsidP="00441B6F">
      <w:pPr>
        <w:pStyle w:val="Body"/>
        <w:spacing w:after="0"/>
        <w:rPr>
          <w:rFonts w:ascii="Arial" w:hAnsi="Arial" w:cs="Arial"/>
        </w:rPr>
      </w:pPr>
    </w:p>
    <w:p w14:paraId="42768312" w14:textId="578EF45E" w:rsidR="00790ADA" w:rsidRPr="00502516" w:rsidRDefault="00087A05" w:rsidP="00441B6F">
      <w:pPr>
        <w:pStyle w:val="Body"/>
        <w:spacing w:after="0"/>
        <w:rPr>
          <w:rFonts w:ascii="Arial" w:hAnsi="Arial" w:cs="Arial"/>
        </w:rPr>
      </w:pPr>
      <w:r w:rsidRPr="00087A05">
        <w:rPr>
          <w:rFonts w:ascii="Arial" w:hAnsi="Arial" w:cs="Arial"/>
        </w:rPr>
        <w:t xml:space="preserve">The </w:t>
      </w:r>
      <w:r w:rsidR="00913B4C">
        <w:rPr>
          <w:rFonts w:ascii="Arial" w:hAnsi="Arial" w:cs="Arial"/>
        </w:rPr>
        <w:t>EEAF</w:t>
      </w:r>
      <w:r w:rsidRPr="00087A05">
        <w:rPr>
          <w:rFonts w:ascii="Arial" w:hAnsi="Arial" w:cs="Arial"/>
        </w:rPr>
        <w:t xml:space="preserve"> was found to contain several secondary metabolites, including flavonoids, triterpenoids, and alkaloids. Administration of this extract significantly reduced total cholesterol and triglyceride levels, which may be associated with the presence of these bioactive compounds.</w:t>
      </w:r>
      <w:r w:rsidR="00FD618C">
        <w:rPr>
          <w:rFonts w:ascii="Arial" w:hAnsi="Arial" w:cs="Arial"/>
        </w:rPr>
        <w:t xml:space="preserve"> </w:t>
      </w:r>
      <w:r w:rsidR="00FD618C" w:rsidRPr="00FD618C">
        <w:rPr>
          <w:rFonts w:ascii="Arial" w:hAnsi="Arial" w:cs="Arial"/>
        </w:rPr>
        <w:t>Administration of EEAF at doses of 30, 60, and 120 mg/kg body weight reduced total cholesterol levels by 47.72 ± 11.20%, 50.90 ± 2.78%, and 58.51 ± 8.69%, respectively, and also decreased triglyceride levels by 31.61 ± 27.57%, 46.87 ± 9.18%, and 59.16 ± 13.40%, respectively.</w:t>
      </w:r>
    </w:p>
    <w:p w14:paraId="29F3CA69" w14:textId="77777777" w:rsidR="00790ADA" w:rsidRDefault="00790ADA" w:rsidP="00441B6F">
      <w:pPr>
        <w:pStyle w:val="Body"/>
        <w:spacing w:after="0"/>
        <w:rPr>
          <w:rFonts w:ascii="Arial" w:hAnsi="Arial" w:cs="Arial"/>
        </w:rPr>
      </w:pPr>
    </w:p>
    <w:p w14:paraId="52ABBFC1" w14:textId="77777777" w:rsidR="00EF1DE0" w:rsidRDefault="00EF1DE0" w:rsidP="00441B6F"/>
    <w:p w14:paraId="6BDE615D" w14:textId="77777777" w:rsidR="00EF1DE0" w:rsidRDefault="00EF1DE0" w:rsidP="00441B6F"/>
    <w:p w14:paraId="40FE2683" w14:textId="77777777" w:rsidR="00EF1DE0" w:rsidRPr="00315186" w:rsidRDefault="00EF1DE0" w:rsidP="00441B6F"/>
    <w:p w14:paraId="6E30C5B9" w14:textId="26C4C81F" w:rsidR="00315186" w:rsidRDefault="00EF1DE0" w:rsidP="009B1181">
      <w:pPr>
        <w:pStyle w:val="ReferHead"/>
        <w:spacing w:after="0"/>
        <w:jc w:val="both"/>
        <w:rPr>
          <w:rFonts w:ascii="Arial" w:hAnsi="Arial" w:cs="Arial"/>
          <w:bCs/>
        </w:rPr>
      </w:pPr>
      <w:r>
        <w:rPr>
          <w:rFonts w:ascii="Arial" w:hAnsi="Arial" w:cs="Arial"/>
          <w:bCs/>
        </w:rPr>
        <w:t xml:space="preserve">Ethical approval </w:t>
      </w:r>
    </w:p>
    <w:p w14:paraId="061A8410" w14:textId="77777777" w:rsidR="009B1181" w:rsidRDefault="009B1181" w:rsidP="009B1181">
      <w:pPr>
        <w:pStyle w:val="ReferHead"/>
        <w:spacing w:after="0"/>
        <w:jc w:val="both"/>
      </w:pPr>
    </w:p>
    <w:p w14:paraId="0A686BF0" w14:textId="75B7FB3B" w:rsidR="005D66CC" w:rsidRDefault="00384206" w:rsidP="00384206">
      <w:pPr>
        <w:jc w:val="both"/>
      </w:pPr>
      <w:r w:rsidRPr="00384206">
        <w:rPr>
          <w:rFonts w:ascii="Arial" w:hAnsi="Arial" w:cs="Arial"/>
        </w:rPr>
        <w:t xml:space="preserve">Animal ethical clearance approval has been obtained and documented by the authors. This study was approved by the Ethics Committee of Health Research, STIFAR Yayasan </w:t>
      </w:r>
      <w:proofErr w:type="spellStart"/>
      <w:r w:rsidRPr="00384206">
        <w:rPr>
          <w:rFonts w:ascii="Arial" w:hAnsi="Arial" w:cs="Arial"/>
        </w:rPr>
        <w:t>Pharmasi</w:t>
      </w:r>
      <w:proofErr w:type="spellEnd"/>
      <w:r w:rsidRPr="00384206">
        <w:rPr>
          <w:rFonts w:ascii="Arial" w:hAnsi="Arial" w:cs="Arial"/>
        </w:rPr>
        <w:t xml:space="preserve"> Semarang, with approval number 782/EVM-NA/KEPK/STIFAR/EC/VI/2025. All experimental procedures involving animals were conducted in accordance with established guidelines for the care and use of laboratory animals.</w:t>
      </w:r>
      <w:r w:rsidR="00FA11A5">
        <w:rPr>
          <w:rFonts w:ascii="Arial" w:hAnsi="Arial" w:cs="Arial"/>
        </w:rPr>
        <w:t xml:space="preserve"> </w:t>
      </w:r>
    </w:p>
    <w:p w14:paraId="169A2E1B" w14:textId="7E79DA20" w:rsidR="005D66CC" w:rsidRDefault="005D66CC" w:rsidP="00441B6F"/>
    <w:p w14:paraId="2B83745F" w14:textId="77777777" w:rsidR="0095110B" w:rsidRPr="003F3C6A" w:rsidRDefault="0095110B" w:rsidP="0095110B">
      <w:pPr>
        <w:rPr>
          <w:b/>
        </w:rPr>
      </w:pPr>
      <w:r w:rsidRPr="003F3C6A">
        <w:rPr>
          <w:b/>
        </w:rPr>
        <w:t>Disclaimer (Artificial intelligence)</w:t>
      </w:r>
    </w:p>
    <w:p w14:paraId="6D142AEA" w14:textId="77777777" w:rsidR="0095110B" w:rsidRPr="003F3C6A" w:rsidRDefault="0095110B" w:rsidP="003F3C6A">
      <w:pPr>
        <w:jc w:val="both"/>
      </w:pPr>
      <w:r w:rsidRPr="003F3C6A">
        <w:t xml:space="preserve">Author(s) hereby declare that NO generative AI technologies such as Large Language Models (ChatGPT, COPILOT, etc.) and text-to-image generators have been used during the writing or editing of this manuscript. </w:t>
      </w:r>
    </w:p>
    <w:p w14:paraId="23B1EA93" w14:textId="77777777" w:rsidR="0095110B" w:rsidRDefault="0095110B" w:rsidP="00441B6F"/>
    <w:p w14:paraId="5CE926F3" w14:textId="77777777" w:rsidR="005D66CC" w:rsidRDefault="005D66CC" w:rsidP="005D66CC">
      <w:pPr>
        <w:pStyle w:val="ReferHead"/>
        <w:spacing w:after="0"/>
        <w:jc w:val="both"/>
        <w:rPr>
          <w:rFonts w:ascii="Arial" w:hAnsi="Arial" w:cs="Arial"/>
        </w:rPr>
      </w:pPr>
      <w:r w:rsidRPr="00FB3A86">
        <w:rPr>
          <w:rFonts w:ascii="Arial" w:hAnsi="Arial" w:cs="Arial"/>
        </w:rPr>
        <w:t>References</w:t>
      </w:r>
    </w:p>
    <w:p w14:paraId="12B6FFB4" w14:textId="77777777" w:rsidR="005D66CC" w:rsidRDefault="005D66CC" w:rsidP="00441B6F"/>
    <w:p w14:paraId="74024776" w14:textId="3F5AA1BB" w:rsidR="00580068" w:rsidRPr="00580068" w:rsidRDefault="005D66CC" w:rsidP="006742E9">
      <w:pPr>
        <w:widowControl w:val="0"/>
        <w:autoSpaceDE w:val="0"/>
        <w:autoSpaceDN w:val="0"/>
        <w:adjustRightInd w:val="0"/>
        <w:ind w:left="480" w:hanging="480"/>
        <w:jc w:val="both"/>
        <w:rPr>
          <w:rFonts w:cs="Helvetica"/>
          <w:noProof/>
        </w:rPr>
      </w:pPr>
      <w:r>
        <w:fldChar w:fldCharType="begin" w:fldLock="1"/>
      </w:r>
      <w:r>
        <w:instrText xml:space="preserve">ADDIN Mendeley Bibliography CSL_BIBLIOGRAPHY </w:instrText>
      </w:r>
      <w:r>
        <w:fldChar w:fldCharType="separate"/>
      </w:r>
      <w:r w:rsidR="00580068" w:rsidRPr="00580068">
        <w:rPr>
          <w:rFonts w:cs="Helvetica"/>
          <w:noProof/>
        </w:rPr>
        <w:t xml:space="preserve">Al-Sawalha, N. A., Almahmmod, Y., Awawdeh, M. S., Alzoubi, K. H., &amp; Khabour, O. F. (2020). Effect of Waterpipe Tobacco Smoke Exposure on The Development of Metabolic Syndrome in Adult Male Rats. </w:t>
      </w:r>
      <w:r w:rsidR="00580068" w:rsidRPr="00580068">
        <w:rPr>
          <w:rFonts w:cs="Helvetica"/>
          <w:i/>
          <w:iCs/>
          <w:noProof/>
        </w:rPr>
        <w:t>PLoS ONE</w:t>
      </w:r>
      <w:r w:rsidR="00580068" w:rsidRPr="00580068">
        <w:rPr>
          <w:rFonts w:cs="Helvetica"/>
          <w:noProof/>
        </w:rPr>
        <w:t xml:space="preserve">, </w:t>
      </w:r>
      <w:r w:rsidR="00580068" w:rsidRPr="00580068">
        <w:rPr>
          <w:rFonts w:cs="Helvetica"/>
          <w:i/>
          <w:iCs/>
          <w:noProof/>
        </w:rPr>
        <w:t>15</w:t>
      </w:r>
      <w:r w:rsidR="00580068" w:rsidRPr="00580068">
        <w:rPr>
          <w:rFonts w:cs="Helvetica"/>
          <w:noProof/>
        </w:rPr>
        <w:t>(6), 1–9. https://doi.org/10.1371/journal.pone.0234516</w:t>
      </w:r>
    </w:p>
    <w:p w14:paraId="167C804B"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Alalawi, S., Albalawi, F., &amp; Ramji, D. P. (2023). The Role of Punicalagin and Its Metabolites in Atherosclerosis and Risk Factors Associated with the Disease. </w:t>
      </w:r>
      <w:r w:rsidRPr="00580068">
        <w:rPr>
          <w:rFonts w:cs="Helvetica"/>
          <w:i/>
          <w:iCs/>
          <w:noProof/>
        </w:rPr>
        <w:t>International Journal of Molecular Sciences</w:t>
      </w:r>
      <w:r w:rsidRPr="00580068">
        <w:rPr>
          <w:rFonts w:cs="Helvetica"/>
          <w:noProof/>
        </w:rPr>
        <w:t xml:space="preserve">, </w:t>
      </w:r>
      <w:r w:rsidRPr="00580068">
        <w:rPr>
          <w:rFonts w:cs="Helvetica"/>
          <w:i/>
          <w:iCs/>
          <w:noProof/>
        </w:rPr>
        <w:t>24</w:t>
      </w:r>
      <w:r w:rsidRPr="00580068">
        <w:rPr>
          <w:rFonts w:cs="Helvetica"/>
          <w:noProof/>
        </w:rPr>
        <w:t>(10), 1–19. https://doi.org/10.3390/ijms24108476</w:t>
      </w:r>
    </w:p>
    <w:p w14:paraId="41526BA1"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Aliifah, K., Marisa, H., Lestari, I., Septiani, J., Ihsani, J. Al, Sains, F., Farmasi, P. S., Muhammadiyah, U., Kampus, A., No, J. S., Kidul, C., Panyileukan, K., &amp; Bandung, K. (2025). Literature Review : Potensi Senyawa Bahan Alam sebagai Inhibitor HMG- CoA Reduktase untuk Terapi Kolesterol Menurut World Health Organization ( WHO ), prevalensi hiperkolesterolemia sebesar 48 % terjadi di Amerika Serikat dan lebih </w:t>
      </w:r>
      <w:r w:rsidRPr="00580068">
        <w:rPr>
          <w:rFonts w:cs="Helvetica"/>
          <w:noProof/>
        </w:rPr>
        <w:lastRenderedPageBreak/>
        <w:t xml:space="preserve">banyak penderita di Ero. </w:t>
      </w:r>
      <w:r w:rsidRPr="00580068">
        <w:rPr>
          <w:rFonts w:cs="Helvetica"/>
          <w:i/>
          <w:iCs/>
          <w:noProof/>
        </w:rPr>
        <w:t>Jurnal Riset Rumpun Ilmu Kesehatan</w:t>
      </w:r>
      <w:r w:rsidRPr="00580068">
        <w:rPr>
          <w:rFonts w:cs="Helvetica"/>
          <w:noProof/>
        </w:rPr>
        <w:t xml:space="preserve">, </w:t>
      </w:r>
      <w:r w:rsidRPr="00580068">
        <w:rPr>
          <w:rFonts w:cs="Helvetica"/>
          <w:i/>
          <w:iCs/>
          <w:noProof/>
        </w:rPr>
        <w:t>4</w:t>
      </w:r>
      <w:r w:rsidRPr="00580068">
        <w:rPr>
          <w:rFonts w:cs="Helvetica"/>
          <w:noProof/>
        </w:rPr>
        <w:t>(2), 615–622.</w:t>
      </w:r>
    </w:p>
    <w:p w14:paraId="11F7C3AD"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Di Majo, D., Sardo, P., Giglia, G., Di Liberto, V., Zummo, F. P., Zizzo, M. G., Caldara, G. F., Rappa, F., Intili, G., van Dijk, R. M., Gallo, D., Ferraro, G., &amp; Gambino, G. (2023). Correlation of Metabolic Syndrome with Redox Homeostasis Biomarkers: Evidence from High-Fat Diet Model in Wistar Rats. </w:t>
      </w:r>
      <w:r w:rsidRPr="00580068">
        <w:rPr>
          <w:rFonts w:cs="Helvetica"/>
          <w:i/>
          <w:iCs/>
          <w:noProof/>
        </w:rPr>
        <w:t>Antioxidants</w:t>
      </w:r>
      <w:r w:rsidRPr="00580068">
        <w:rPr>
          <w:rFonts w:cs="Helvetica"/>
          <w:noProof/>
        </w:rPr>
        <w:t xml:space="preserve">, </w:t>
      </w:r>
      <w:r w:rsidRPr="00580068">
        <w:rPr>
          <w:rFonts w:cs="Helvetica"/>
          <w:i/>
          <w:iCs/>
          <w:noProof/>
        </w:rPr>
        <w:t>12</w:t>
      </w:r>
      <w:r w:rsidRPr="00580068">
        <w:rPr>
          <w:rFonts w:cs="Helvetica"/>
          <w:noProof/>
        </w:rPr>
        <w:t>(1), 1–18. https://doi.org/10.3390/antiox12010089</w:t>
      </w:r>
    </w:p>
    <w:p w14:paraId="691A828F"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ElDohaji, L. M., Hamoda, A. M., Hamdy, R., &amp; Soliman, S. S. M. (2020). Avicennia marina A Natural Reservoir of Phytopharmaceuticals: Curative Power and Platform of Medicines. </w:t>
      </w:r>
      <w:r w:rsidRPr="00580068">
        <w:rPr>
          <w:rFonts w:cs="Helvetica"/>
          <w:i/>
          <w:iCs/>
          <w:noProof/>
        </w:rPr>
        <w:t>Journal of Ethnopharmacology</w:t>
      </w:r>
      <w:r w:rsidRPr="00580068">
        <w:rPr>
          <w:rFonts w:cs="Helvetica"/>
          <w:noProof/>
        </w:rPr>
        <w:t xml:space="preserve">, </w:t>
      </w:r>
      <w:r w:rsidRPr="00580068">
        <w:rPr>
          <w:rFonts w:cs="Helvetica"/>
          <w:i/>
          <w:iCs/>
          <w:noProof/>
        </w:rPr>
        <w:t>263</w:t>
      </w:r>
      <w:r w:rsidRPr="00580068">
        <w:rPr>
          <w:rFonts w:cs="Helvetica"/>
          <w:noProof/>
        </w:rPr>
        <w:t>(February), 1–17. https://doi.org/10.1016/j.jep.2020.113179</w:t>
      </w:r>
    </w:p>
    <w:p w14:paraId="390FA96D"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Fernandes, A., &amp; Fatmi, R. (2019). Uji Fitokimia dan GC-MS Buah Api-Api (Avicennia marina) (FORSSK.) VIERH). </w:t>
      </w:r>
      <w:r w:rsidRPr="00580068">
        <w:rPr>
          <w:rFonts w:cs="Helvetica"/>
          <w:i/>
          <w:iCs/>
          <w:noProof/>
        </w:rPr>
        <w:t>Jurnal Insan Farmasi Indonesia</w:t>
      </w:r>
      <w:r w:rsidRPr="00580068">
        <w:rPr>
          <w:rFonts w:cs="Helvetica"/>
          <w:noProof/>
        </w:rPr>
        <w:t xml:space="preserve">, </w:t>
      </w:r>
      <w:r w:rsidRPr="00580068">
        <w:rPr>
          <w:rFonts w:cs="Helvetica"/>
          <w:i/>
          <w:iCs/>
          <w:noProof/>
        </w:rPr>
        <w:t>2</w:t>
      </w:r>
      <w:r w:rsidRPr="00580068">
        <w:rPr>
          <w:rFonts w:cs="Helvetica"/>
          <w:noProof/>
        </w:rPr>
        <w:t>(2), 261–270. https://doi.org/10.36387/jifi.v2i2.321</w:t>
      </w:r>
    </w:p>
    <w:p w14:paraId="28E38FA5"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Fularski, P., Młynarska, E., Dybiec, J., Baran, W., &amp; Bartłomiej, D. (2023). Advances in Treatment of Dyslipidemia. </w:t>
      </w:r>
      <w:r w:rsidRPr="00580068">
        <w:rPr>
          <w:rFonts w:cs="Helvetica"/>
          <w:i/>
          <w:iCs/>
          <w:noProof/>
        </w:rPr>
        <w:t>International Journal of Molecular Sciences</w:t>
      </w:r>
      <w:r w:rsidRPr="00580068">
        <w:rPr>
          <w:rFonts w:cs="Helvetica"/>
          <w:noProof/>
        </w:rPr>
        <w:t xml:space="preserve">, </w:t>
      </w:r>
      <w:r w:rsidRPr="00580068">
        <w:rPr>
          <w:rFonts w:cs="Helvetica"/>
          <w:i/>
          <w:iCs/>
          <w:noProof/>
        </w:rPr>
        <w:t>24</w:t>
      </w:r>
      <w:r w:rsidRPr="00580068">
        <w:rPr>
          <w:rFonts w:cs="Helvetica"/>
          <w:noProof/>
        </w:rPr>
        <w:t>(13288), 1–19.</w:t>
      </w:r>
    </w:p>
    <w:p w14:paraId="3D0A66A3"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Girsang, E., Lister, I. N. E., Ginting, C. N., Sholihah, I. A., Raif, M. A., Kunardi, S., Million, H., &amp; Widowati, W. (2020). Antioxidant and Antiaging Activity of Rutin and Caffeic Acid. </w:t>
      </w:r>
      <w:r w:rsidRPr="00580068">
        <w:rPr>
          <w:rFonts w:cs="Helvetica"/>
          <w:i/>
          <w:iCs/>
          <w:noProof/>
        </w:rPr>
        <w:t>Pharmaciana</w:t>
      </w:r>
      <w:r w:rsidRPr="00580068">
        <w:rPr>
          <w:rFonts w:cs="Helvetica"/>
          <w:noProof/>
        </w:rPr>
        <w:t xml:space="preserve">, </w:t>
      </w:r>
      <w:r w:rsidRPr="00580068">
        <w:rPr>
          <w:rFonts w:cs="Helvetica"/>
          <w:i/>
          <w:iCs/>
          <w:noProof/>
        </w:rPr>
        <w:t>10</w:t>
      </w:r>
      <w:r w:rsidRPr="00580068">
        <w:rPr>
          <w:rFonts w:cs="Helvetica"/>
          <w:noProof/>
        </w:rPr>
        <w:t>(2), 147–156. https://doi.org/10.12928/pharmaciana.v10i2.13010</w:t>
      </w:r>
    </w:p>
    <w:p w14:paraId="53104FCF"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Gupta, A., &amp; Singh, R. (2025). AMP-Activated Protein Kinase ( AMPK ): A Cellular Energy Sensor and the Guardian of Metabolism. </w:t>
      </w:r>
      <w:r w:rsidRPr="00580068">
        <w:rPr>
          <w:rFonts w:cs="Helvetica"/>
          <w:i/>
          <w:iCs/>
          <w:noProof/>
        </w:rPr>
        <w:t>International Journal of Biochemistry Research &amp; Review</w:t>
      </w:r>
      <w:r w:rsidRPr="00580068">
        <w:rPr>
          <w:rFonts w:cs="Helvetica"/>
          <w:noProof/>
        </w:rPr>
        <w:t xml:space="preserve">, </w:t>
      </w:r>
      <w:r w:rsidRPr="00580068">
        <w:rPr>
          <w:rFonts w:cs="Helvetica"/>
          <w:i/>
          <w:iCs/>
          <w:noProof/>
        </w:rPr>
        <w:t>34</w:t>
      </w:r>
      <w:r w:rsidRPr="00580068">
        <w:rPr>
          <w:rFonts w:cs="Helvetica"/>
          <w:noProof/>
        </w:rPr>
        <w:t>(2), 147–153.</w:t>
      </w:r>
    </w:p>
    <w:p w14:paraId="33D294D0"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Hidayati, L., Widodo, A. D. W., &amp; Hidayat, B. (2020). Animal Models with Metabolic Syndrome Markers Induced by High Fat Diet and Fructose. </w:t>
      </w:r>
      <w:r w:rsidRPr="00580068">
        <w:rPr>
          <w:rFonts w:cs="Helvetica"/>
          <w:i/>
          <w:iCs/>
          <w:noProof/>
        </w:rPr>
        <w:t>Medical Laboratory Technology Journal</w:t>
      </w:r>
      <w:r w:rsidRPr="00580068">
        <w:rPr>
          <w:rFonts w:cs="Helvetica"/>
          <w:noProof/>
        </w:rPr>
        <w:t xml:space="preserve">, </w:t>
      </w:r>
      <w:r w:rsidRPr="00580068">
        <w:rPr>
          <w:rFonts w:cs="Helvetica"/>
          <w:i/>
          <w:iCs/>
          <w:noProof/>
        </w:rPr>
        <w:t>1</w:t>
      </w:r>
      <w:r w:rsidRPr="00580068">
        <w:rPr>
          <w:rFonts w:cs="Helvetica"/>
          <w:noProof/>
        </w:rPr>
        <w:t>(1), 13–20. https://doi.org/10.31964/mltj.v1i1.266</w:t>
      </w:r>
    </w:p>
    <w:p w14:paraId="30A3B685"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Isah, T. (2019). Stress and defense responses in plant secondary metabolites production. </w:t>
      </w:r>
      <w:r w:rsidRPr="00580068">
        <w:rPr>
          <w:rFonts w:cs="Helvetica"/>
          <w:i/>
          <w:iCs/>
          <w:noProof/>
        </w:rPr>
        <w:t>Biological Research</w:t>
      </w:r>
      <w:r w:rsidRPr="00580068">
        <w:rPr>
          <w:rFonts w:cs="Helvetica"/>
          <w:noProof/>
        </w:rPr>
        <w:t xml:space="preserve">, </w:t>
      </w:r>
      <w:r w:rsidRPr="00580068">
        <w:rPr>
          <w:rFonts w:cs="Helvetica"/>
          <w:i/>
          <w:iCs/>
          <w:noProof/>
        </w:rPr>
        <w:t>52</w:t>
      </w:r>
      <w:r w:rsidRPr="00580068">
        <w:rPr>
          <w:rFonts w:cs="Helvetica"/>
          <w:noProof/>
        </w:rPr>
        <w:t>(39), 1–25. https://doi.org/10.1186/s40659-019-0246-3</w:t>
      </w:r>
    </w:p>
    <w:p w14:paraId="139DE6AF"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Ismail, N. A., Nabila, T., Ramadhani, A. S., &amp; Ahsani, D. N. (2022). Electronic and Conventional Cigarette Exposure Aggravate Metabolic Parameters in High-Fat Diet-Induced Rats. </w:t>
      </w:r>
      <w:r w:rsidRPr="00580068">
        <w:rPr>
          <w:rFonts w:cs="Helvetica"/>
          <w:i/>
          <w:iCs/>
          <w:noProof/>
        </w:rPr>
        <w:t>Physiologyhysiology</w:t>
      </w:r>
      <w:r w:rsidRPr="00580068">
        <w:rPr>
          <w:rFonts w:cs="Helvetica"/>
          <w:noProof/>
        </w:rPr>
        <w:t xml:space="preserve">, </w:t>
      </w:r>
      <w:r w:rsidRPr="00580068">
        <w:rPr>
          <w:rFonts w:cs="Helvetica"/>
          <w:i/>
          <w:iCs/>
          <w:noProof/>
        </w:rPr>
        <w:t>10</w:t>
      </w:r>
      <w:r w:rsidRPr="00580068">
        <w:rPr>
          <w:rFonts w:cs="Helvetica"/>
          <w:noProof/>
        </w:rPr>
        <w:t>(A), 841–847.</w:t>
      </w:r>
    </w:p>
    <w:p w14:paraId="2BA77D4D"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Kamaei, L., &amp; Moghadamnia, D. (2019). Comparison of Antidiabetic Effect of Aqueous Extract of the Leaves and Fruits of Avicennia Marina in Streptozotocin-induced Diabetic Male Rats. </w:t>
      </w:r>
      <w:r w:rsidRPr="00580068">
        <w:rPr>
          <w:rFonts w:cs="Helvetica"/>
          <w:i/>
          <w:iCs/>
          <w:noProof/>
        </w:rPr>
        <w:t>Iranian Journal of Toxicology</w:t>
      </w:r>
      <w:r w:rsidRPr="00580068">
        <w:rPr>
          <w:rFonts w:cs="Helvetica"/>
          <w:noProof/>
        </w:rPr>
        <w:t xml:space="preserve">, </w:t>
      </w:r>
      <w:r w:rsidRPr="00580068">
        <w:rPr>
          <w:rFonts w:cs="Helvetica"/>
          <w:i/>
          <w:iCs/>
          <w:noProof/>
        </w:rPr>
        <w:t>13</w:t>
      </w:r>
      <w:r w:rsidRPr="00580068">
        <w:rPr>
          <w:rFonts w:cs="Helvetica"/>
          <w:noProof/>
        </w:rPr>
        <w:t>(2), 7–12. http://www.ijt.ir</w:t>
      </w:r>
    </w:p>
    <w:p w14:paraId="537EAF84"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Lasker, S., Rahman, M. M., Parvez, F., Zamila, M., Miah, P., Nahar, K., Kabir, F., Sharmin, S. B., Subhan, N., Ahsan, G. U., &amp; Alam, M. A. (2019). High-fat diet-induced metabolic syndrome and oxidative stress in obese rats are ameliorated by yogurt supplementation. </w:t>
      </w:r>
      <w:r w:rsidRPr="00580068">
        <w:rPr>
          <w:rFonts w:cs="Helvetica"/>
          <w:i/>
          <w:iCs/>
          <w:noProof/>
        </w:rPr>
        <w:t>Scientific Reports</w:t>
      </w:r>
      <w:r w:rsidRPr="00580068">
        <w:rPr>
          <w:rFonts w:cs="Helvetica"/>
          <w:noProof/>
        </w:rPr>
        <w:t xml:space="preserve">, </w:t>
      </w:r>
      <w:r w:rsidRPr="00580068">
        <w:rPr>
          <w:rFonts w:cs="Helvetica"/>
          <w:i/>
          <w:iCs/>
          <w:noProof/>
        </w:rPr>
        <w:t>9</w:t>
      </w:r>
      <w:r w:rsidRPr="00580068">
        <w:rPr>
          <w:rFonts w:cs="Helvetica"/>
          <w:noProof/>
        </w:rPr>
        <w:t>(1), 1–15. https://doi.org/10.1038/s41598-019-56538-0</w:t>
      </w:r>
    </w:p>
    <w:p w14:paraId="3E202BCD"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Nath, M. C., Rahman, A. K. M. S., Nath, M. C., Dutta, A., Khan, Z. H., Ghosh, E., Akhter, S., Islam, S., &amp; Sultana, S. (2022). The Effect of Cigarette Smoking on Fasting Lipid Profile : A Single Center Study. </w:t>
      </w:r>
      <w:r w:rsidRPr="00580068">
        <w:rPr>
          <w:rFonts w:cs="Helvetica"/>
          <w:i/>
          <w:iCs/>
          <w:noProof/>
        </w:rPr>
        <w:t>Fortune Journal of Health Sciences</w:t>
      </w:r>
      <w:r w:rsidRPr="00580068">
        <w:rPr>
          <w:rFonts w:cs="Helvetica"/>
          <w:noProof/>
        </w:rPr>
        <w:t xml:space="preserve">, </w:t>
      </w:r>
      <w:r w:rsidRPr="00580068">
        <w:rPr>
          <w:rFonts w:cs="Helvetica"/>
          <w:i/>
          <w:iCs/>
          <w:noProof/>
        </w:rPr>
        <w:t>5</w:t>
      </w:r>
      <w:r w:rsidRPr="00580068">
        <w:rPr>
          <w:rFonts w:cs="Helvetica"/>
          <w:noProof/>
        </w:rPr>
        <w:t>(2), 363–373. https://doi.org/10.26502/fjhs.067</w:t>
      </w:r>
    </w:p>
    <w:p w14:paraId="733D30EF"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Palupi, D. H. S., Haryanti, S., Prahasiwi, M. S., &amp; Utomo, R. S. (2025). Aktivitas Penghambatan Dipeptidyl peptidase-4 ( DPP-4 ) dan Skrining Fitokimia Ekstrak Buah Api-api ( Avicennia marina ). </w:t>
      </w:r>
      <w:r w:rsidRPr="00580068">
        <w:rPr>
          <w:rFonts w:cs="Helvetica"/>
          <w:i/>
          <w:iCs/>
          <w:noProof/>
        </w:rPr>
        <w:t>Journal of Pharmaceutical Science and Clinical Research</w:t>
      </w:r>
      <w:r w:rsidRPr="00580068">
        <w:rPr>
          <w:rFonts w:cs="Helvetica"/>
          <w:noProof/>
        </w:rPr>
        <w:t xml:space="preserve">, </w:t>
      </w:r>
      <w:r w:rsidRPr="00580068">
        <w:rPr>
          <w:rFonts w:cs="Helvetica"/>
          <w:i/>
          <w:iCs/>
          <w:noProof/>
        </w:rPr>
        <w:t>10</w:t>
      </w:r>
      <w:r w:rsidRPr="00580068">
        <w:rPr>
          <w:rFonts w:cs="Helvetica"/>
          <w:noProof/>
        </w:rPr>
        <w:t>(1), 100–113.</w:t>
      </w:r>
    </w:p>
    <w:p w14:paraId="0D8B3C62"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Setiyabudi, L., Ulya, N. F., Indratmoko, S., &amp; Swandari, M. T. K. (2022). In-silico Analysis Of Maricaffeoylide From Avicennia Marina Using Molecular Docking With Tumor Necrosis Factor Receptor. </w:t>
      </w:r>
      <w:r w:rsidRPr="00580068">
        <w:rPr>
          <w:rFonts w:cs="Helvetica"/>
          <w:i/>
          <w:iCs/>
          <w:noProof/>
        </w:rPr>
        <w:t>Biomedical Journal of Indonesia</w:t>
      </w:r>
      <w:r w:rsidRPr="00580068">
        <w:rPr>
          <w:rFonts w:cs="Helvetica"/>
          <w:noProof/>
        </w:rPr>
        <w:t xml:space="preserve">, </w:t>
      </w:r>
      <w:r w:rsidRPr="00580068">
        <w:rPr>
          <w:rFonts w:cs="Helvetica"/>
          <w:i/>
          <w:iCs/>
          <w:noProof/>
        </w:rPr>
        <w:t>8</w:t>
      </w:r>
      <w:r w:rsidRPr="00580068">
        <w:rPr>
          <w:rFonts w:cs="Helvetica"/>
          <w:noProof/>
        </w:rPr>
        <w:t>(1), 20–24. https://doi.org/10.32539/bji.v8i1.141</w:t>
      </w:r>
    </w:p>
    <w:p w14:paraId="3198434F"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Utomo, R. sari. (2025). </w:t>
      </w:r>
      <w:r w:rsidRPr="00580068">
        <w:rPr>
          <w:rFonts w:cs="Helvetica"/>
          <w:i/>
          <w:iCs/>
          <w:noProof/>
        </w:rPr>
        <w:t>Kajian Aktivitas Antidiabetes Melitus Fraksi Buah Api-Api (Avicennia marina) pada Tikus Jantan Terinduksi Streptozotocin dan Nikotinamid</w:t>
      </w:r>
      <w:r w:rsidRPr="00580068">
        <w:rPr>
          <w:rFonts w:cs="Helvetica"/>
          <w:noProof/>
        </w:rPr>
        <w:t>. Sekolah Tinggi Ilmu Farmasi Yayasan Pharmasi Semarang.</w:t>
      </w:r>
    </w:p>
    <w:p w14:paraId="395B0105"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lastRenderedPageBreak/>
        <w:t xml:space="preserve">Widiyanto, B., Intan, N., Thoyibah, N. K., Sudjudi, Y., &amp; Faza, A. S. (2023). Kombinasi Ekstrak Daun Sirsak Dan Kunyit Memperbaiki Profil Lipid Pada Tikus Model Metabolic Syndrome The Combination of Soursop and Turmeric Leaf Extracts Improves Lipid Fakultas Kedokteran , Universitas Islam Sultan Agung , Semarang , Indonesia Address. </w:t>
      </w:r>
      <w:r w:rsidRPr="00580068">
        <w:rPr>
          <w:rFonts w:cs="Helvetica"/>
          <w:i/>
          <w:iCs/>
          <w:noProof/>
        </w:rPr>
        <w:t>Jurnal Ilmiah Kesehatan</w:t>
      </w:r>
      <w:r w:rsidRPr="00580068">
        <w:rPr>
          <w:rFonts w:cs="Helvetica"/>
          <w:noProof/>
        </w:rPr>
        <w:t xml:space="preserve">, </w:t>
      </w:r>
      <w:r w:rsidRPr="00580068">
        <w:rPr>
          <w:rFonts w:cs="Helvetica"/>
          <w:i/>
          <w:iCs/>
          <w:noProof/>
        </w:rPr>
        <w:t>5</w:t>
      </w:r>
      <w:r w:rsidRPr="00580068">
        <w:rPr>
          <w:rFonts w:cs="Helvetica"/>
          <w:noProof/>
        </w:rPr>
        <w:t>(1), 113–120.</w:t>
      </w:r>
    </w:p>
    <w:p w14:paraId="7342F60E"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Yan, S., Zhou, H., Liu, S., Wang, J., Zeng, Y., Matias, F. B., &amp; Wen, L. (2020). Differential effects of Chinese high-fat dietary habits on lipid metabolism : mechanisms and health implications. </w:t>
      </w:r>
      <w:r w:rsidRPr="00580068">
        <w:rPr>
          <w:rFonts w:cs="Helvetica"/>
          <w:i/>
          <w:iCs/>
          <w:noProof/>
        </w:rPr>
        <w:t>Lipids in Health and Disease</w:t>
      </w:r>
      <w:r w:rsidRPr="00580068">
        <w:rPr>
          <w:rFonts w:cs="Helvetica"/>
          <w:noProof/>
        </w:rPr>
        <w:t xml:space="preserve">, </w:t>
      </w:r>
      <w:r w:rsidRPr="00580068">
        <w:rPr>
          <w:rFonts w:cs="Helvetica"/>
          <w:i/>
          <w:iCs/>
          <w:noProof/>
        </w:rPr>
        <w:t>19</w:t>
      </w:r>
      <w:r w:rsidRPr="00580068">
        <w:rPr>
          <w:rFonts w:cs="Helvetica"/>
          <w:noProof/>
        </w:rPr>
        <w:t>(30), 1–9.</w:t>
      </w:r>
    </w:p>
    <w:p w14:paraId="6AE65DBC"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Yi, X. xi, Li, J. yi, Tang, Z. zhou, Jiang, S., Liu, Y. hong, Deng, J. gang, &amp; Gao, C. hai. (2020). Marinoid J, A Phenylglycoside From Avicennia marina Fruit, Ameliorates Cognitive Impairment in Rat Vascular Dementia: A Quantitative iTRAQ Proteomic Study. </w:t>
      </w:r>
      <w:r w:rsidRPr="00580068">
        <w:rPr>
          <w:rFonts w:cs="Helvetica"/>
          <w:i/>
          <w:iCs/>
          <w:noProof/>
        </w:rPr>
        <w:t>Pharmaceutical Biology</w:t>
      </w:r>
      <w:r w:rsidRPr="00580068">
        <w:rPr>
          <w:rFonts w:cs="Helvetica"/>
          <w:noProof/>
        </w:rPr>
        <w:t xml:space="preserve">, </w:t>
      </w:r>
      <w:r w:rsidRPr="00580068">
        <w:rPr>
          <w:rFonts w:cs="Helvetica"/>
          <w:i/>
          <w:iCs/>
          <w:noProof/>
        </w:rPr>
        <w:t>58</w:t>
      </w:r>
      <w:r w:rsidRPr="00580068">
        <w:rPr>
          <w:rFonts w:cs="Helvetica"/>
          <w:noProof/>
        </w:rPr>
        <w:t>(1), 1211–1220. https://doi.org/10.1080/13880209.2020.1837187</w:t>
      </w:r>
    </w:p>
    <w:p w14:paraId="22A6EFCF" w14:textId="77777777" w:rsidR="00580068" w:rsidRPr="00580068" w:rsidRDefault="00580068" w:rsidP="006742E9">
      <w:pPr>
        <w:widowControl w:val="0"/>
        <w:autoSpaceDE w:val="0"/>
        <w:autoSpaceDN w:val="0"/>
        <w:adjustRightInd w:val="0"/>
        <w:ind w:left="480" w:hanging="480"/>
        <w:jc w:val="both"/>
        <w:rPr>
          <w:rFonts w:cs="Helvetica"/>
          <w:noProof/>
        </w:rPr>
      </w:pPr>
      <w:r w:rsidRPr="00580068">
        <w:rPr>
          <w:rFonts w:cs="Helvetica"/>
          <w:noProof/>
        </w:rPr>
        <w:t xml:space="preserve">Zhao, Q., Lu, S., Guan, Y., Sun, Z., Qiu, S., &amp; Zhang, A. (2026). Dysregulation of the AMPK-SREBP1-FASN axis in MASLD : driving a vicious cycle of lipotoxicity and metabolic-immune crosstalk. </w:t>
      </w:r>
      <w:r w:rsidRPr="00580068">
        <w:rPr>
          <w:rFonts w:cs="Helvetica"/>
          <w:i/>
          <w:iCs/>
          <w:noProof/>
        </w:rPr>
        <w:t>Lipids in Health and Disease</w:t>
      </w:r>
      <w:r w:rsidRPr="00580068">
        <w:rPr>
          <w:rFonts w:cs="Helvetica"/>
          <w:noProof/>
        </w:rPr>
        <w:t xml:space="preserve">, </w:t>
      </w:r>
      <w:r w:rsidRPr="00580068">
        <w:rPr>
          <w:rFonts w:cs="Helvetica"/>
          <w:i/>
          <w:iCs/>
          <w:noProof/>
        </w:rPr>
        <w:t>25</w:t>
      </w:r>
      <w:r w:rsidRPr="00580068">
        <w:rPr>
          <w:rFonts w:cs="Helvetica"/>
          <w:noProof/>
        </w:rPr>
        <w:t>(62), 1–27.</w:t>
      </w:r>
    </w:p>
    <w:p w14:paraId="035B386D" w14:textId="379DEE2A" w:rsidR="005D66CC" w:rsidRDefault="005D66CC" w:rsidP="006742E9">
      <w:pPr>
        <w:jc w:val="both"/>
      </w:pPr>
      <w:r>
        <w:fldChar w:fldCharType="end"/>
      </w:r>
    </w:p>
    <w:p w14:paraId="0AB66249" w14:textId="051CDF12" w:rsidR="00371FB6" w:rsidRDefault="00371FB6" w:rsidP="006742E9">
      <w:pPr>
        <w:pStyle w:val="ReferHead"/>
        <w:spacing w:after="0"/>
        <w:jc w:val="both"/>
        <w:rPr>
          <w:rFonts w:ascii="Arial" w:hAnsi="Arial" w:cs="Arial"/>
          <w:b w:val="0"/>
          <w:caps w:val="0"/>
          <w:sz w:val="20"/>
        </w:rPr>
      </w:pPr>
    </w:p>
    <w:p w14:paraId="38A17A09" w14:textId="77777777" w:rsidR="005C784C" w:rsidRDefault="005C784C" w:rsidP="006742E9">
      <w:pPr>
        <w:pStyle w:val="ReferHead"/>
        <w:spacing w:after="0"/>
        <w:jc w:val="both"/>
        <w:rPr>
          <w:rFonts w:ascii="Arial" w:hAnsi="Arial" w:cs="Arial"/>
          <w:b w:val="0"/>
          <w:caps w:val="0"/>
          <w:sz w:val="20"/>
        </w:rPr>
      </w:pPr>
    </w:p>
    <w:p w14:paraId="25D374DA" w14:textId="1E4E8CD3" w:rsidR="005C784C" w:rsidRDefault="005C784C" w:rsidP="006742E9">
      <w:pPr>
        <w:pStyle w:val="ReferHead"/>
        <w:spacing w:after="0"/>
        <w:jc w:val="both"/>
        <w:rPr>
          <w:rFonts w:ascii="Arial" w:hAnsi="Arial" w:cs="Arial"/>
          <w:bCs/>
        </w:rPr>
      </w:pPr>
    </w:p>
    <w:p w14:paraId="3C3690E8" w14:textId="77777777" w:rsidR="005C784C" w:rsidRPr="002B685A" w:rsidRDefault="005C784C" w:rsidP="006742E9">
      <w:pPr>
        <w:pStyle w:val="ReferHead"/>
        <w:spacing w:after="0"/>
        <w:jc w:val="both"/>
        <w:rPr>
          <w:rFonts w:ascii="Arial" w:hAnsi="Arial" w:cs="Arial"/>
          <w:bCs/>
        </w:rPr>
      </w:pPr>
    </w:p>
    <w:p w14:paraId="1461F996" w14:textId="1AC1D633" w:rsidR="005C784C" w:rsidRDefault="005C784C" w:rsidP="006742E9">
      <w:pPr>
        <w:pStyle w:val="ReferHead"/>
        <w:spacing w:after="0"/>
        <w:jc w:val="both"/>
        <w:rPr>
          <w:rFonts w:ascii="Arial" w:hAnsi="Arial" w:cs="Arial"/>
          <w:b w:val="0"/>
          <w:caps w:val="0"/>
          <w:sz w:val="20"/>
        </w:rPr>
      </w:pPr>
      <w:r w:rsidRPr="005C784C">
        <w:rPr>
          <w:rFonts w:ascii="Arial" w:hAnsi="Arial" w:cs="Arial"/>
          <w:b w:val="0"/>
          <w:caps w:val="0"/>
          <w:sz w:val="20"/>
        </w:rPr>
        <w:t>.</w:t>
      </w:r>
    </w:p>
    <w:p w14:paraId="0DB0B926" w14:textId="77777777" w:rsidR="0041027F" w:rsidRDefault="0041027F" w:rsidP="006742E9">
      <w:pPr>
        <w:pStyle w:val="ReferHead"/>
        <w:spacing w:after="0"/>
        <w:jc w:val="both"/>
        <w:rPr>
          <w:rFonts w:ascii="Arial" w:hAnsi="Arial" w:cs="Arial"/>
          <w:b w:val="0"/>
          <w:caps w:val="0"/>
          <w:sz w:val="20"/>
        </w:rPr>
      </w:pPr>
    </w:p>
    <w:sectPr w:rsidR="0041027F" w:rsidSect="008830FF">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B5514" w14:textId="77777777" w:rsidR="0029459A" w:rsidRDefault="0029459A" w:rsidP="00C37E61">
      <w:r>
        <w:separator/>
      </w:r>
    </w:p>
  </w:endnote>
  <w:endnote w:type="continuationSeparator" w:id="0">
    <w:p w14:paraId="140322C1" w14:textId="77777777" w:rsidR="0029459A" w:rsidRDefault="0029459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EF03F" w14:textId="110A1F75" w:rsidR="00C37E61" w:rsidRPr="006B35F5" w:rsidRDefault="00B823B9" w:rsidP="006B35F5">
    <w:pPr>
      <w:pStyle w:val="Footer"/>
    </w:pPr>
    <w:r w:rsidRPr="006B35F5">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3F08" w14:textId="77777777" w:rsidR="009E048A" w:rsidRDefault="009E048A">
    <w:pPr>
      <w:pStyle w:val="Footer"/>
      <w:rPr>
        <w:rFonts w:ascii="Arial" w:hAnsi="Arial" w:cs="Arial"/>
        <w:sz w:val="16"/>
      </w:rPr>
    </w:pPr>
  </w:p>
  <w:p w14:paraId="55DED97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14A8A77" w14:textId="77777777" w:rsidR="009E048A" w:rsidRDefault="009E048A">
    <w:pPr>
      <w:pStyle w:val="Footer"/>
      <w:rPr>
        <w:rFonts w:ascii="Arial" w:hAnsi="Arial" w:cs="Arial"/>
        <w:sz w:val="16"/>
      </w:rPr>
    </w:pPr>
  </w:p>
  <w:p w14:paraId="03AEF35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F076ED" w14:textId="77777777" w:rsidR="0029459A" w:rsidRDefault="0029459A" w:rsidP="00C37E61">
      <w:r>
        <w:separator/>
      </w:r>
    </w:p>
  </w:footnote>
  <w:footnote w:type="continuationSeparator" w:id="0">
    <w:p w14:paraId="7EE7F069" w14:textId="77777777" w:rsidR="0029459A" w:rsidRDefault="0029459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5A51B" w14:textId="030C5B49" w:rsidR="008830FF" w:rsidRDefault="00000000">
    <w:pPr>
      <w:pStyle w:val="Header"/>
    </w:pPr>
    <w:r>
      <w:rPr>
        <w:noProof/>
      </w:rPr>
      <w:pict w14:anchorId="656231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233032" o:spid="_x0000_s1026"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DDBF7" w14:textId="5D5EB251" w:rsidR="008830FF" w:rsidRDefault="00000000">
    <w:pPr>
      <w:pStyle w:val="Header"/>
    </w:pPr>
    <w:r>
      <w:rPr>
        <w:noProof/>
      </w:rPr>
      <w:pict w14:anchorId="54C67A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233033" o:spid="_x0000_s1027"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B0EA0" w14:textId="258663F1" w:rsidR="00296529" w:rsidRPr="00296529" w:rsidRDefault="00000000" w:rsidP="00296529">
    <w:pPr>
      <w:ind w:left="2160"/>
      <w:jc w:val="center"/>
      <w:rPr>
        <w:rFonts w:ascii="Times New Roman" w:eastAsia="Calibri" w:hAnsi="Times New Roman"/>
        <w:i/>
        <w:sz w:val="18"/>
        <w:szCs w:val="22"/>
      </w:rPr>
    </w:pPr>
    <w:r>
      <w:rPr>
        <w:noProof/>
      </w:rPr>
      <w:pict w14:anchorId="5F504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233031" o:spid="_x0000_s1025"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UNDER PEER REVIEW&quot;;font-size:1pt" string="UNDER PEER REVIEW"/>
          <w10:wrap anchorx="margin" anchory="margin"/>
        </v:shape>
      </w:pict>
    </w:r>
  </w:p>
  <w:p w14:paraId="47DCD48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DD25F6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AA24E1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9A2B8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883F6B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9B9D52"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93578962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22968795">
    <w:abstractNumId w:val="15"/>
  </w:num>
  <w:num w:numId="3" w16cid:durableId="206459018">
    <w:abstractNumId w:val="23"/>
  </w:num>
  <w:num w:numId="4" w16cid:durableId="55262333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134518881">
    <w:abstractNumId w:val="7"/>
  </w:num>
  <w:num w:numId="6" w16cid:durableId="1822237679">
    <w:abstractNumId w:val="6"/>
  </w:num>
  <w:num w:numId="7" w16cid:durableId="1184245077">
    <w:abstractNumId w:val="1"/>
  </w:num>
  <w:num w:numId="8" w16cid:durableId="541527482">
    <w:abstractNumId w:val="12"/>
  </w:num>
  <w:num w:numId="9" w16cid:durableId="1662463311">
    <w:abstractNumId w:val="25"/>
  </w:num>
  <w:num w:numId="10" w16cid:durableId="227419898">
    <w:abstractNumId w:val="2"/>
  </w:num>
  <w:num w:numId="11" w16cid:durableId="985620348">
    <w:abstractNumId w:val="18"/>
  </w:num>
  <w:num w:numId="12" w16cid:durableId="85461983">
    <w:abstractNumId w:val="3"/>
  </w:num>
  <w:num w:numId="13" w16cid:durableId="849105459">
    <w:abstractNumId w:val="17"/>
  </w:num>
  <w:num w:numId="14" w16cid:durableId="2041196349">
    <w:abstractNumId w:val="8"/>
  </w:num>
  <w:num w:numId="15" w16cid:durableId="1206528999">
    <w:abstractNumId w:val="21"/>
  </w:num>
  <w:num w:numId="16" w16cid:durableId="574163490">
    <w:abstractNumId w:val="5"/>
  </w:num>
  <w:num w:numId="17" w16cid:durableId="1959946251">
    <w:abstractNumId w:val="22"/>
  </w:num>
  <w:num w:numId="18" w16cid:durableId="1449200695">
    <w:abstractNumId w:val="14"/>
  </w:num>
  <w:num w:numId="19" w16cid:durableId="1556502717">
    <w:abstractNumId w:val="28"/>
  </w:num>
  <w:num w:numId="20" w16cid:durableId="21588468">
    <w:abstractNumId w:val="11"/>
  </w:num>
  <w:num w:numId="21" w16cid:durableId="325667012">
    <w:abstractNumId w:val="9"/>
  </w:num>
  <w:num w:numId="22" w16cid:durableId="1978073996">
    <w:abstractNumId w:val="13"/>
  </w:num>
  <w:num w:numId="23" w16cid:durableId="1404982508">
    <w:abstractNumId w:val="19"/>
  </w:num>
  <w:num w:numId="24" w16cid:durableId="1261178800">
    <w:abstractNumId w:val="26"/>
  </w:num>
  <w:num w:numId="25" w16cid:durableId="36971090">
    <w:abstractNumId w:val="4"/>
  </w:num>
  <w:num w:numId="26" w16cid:durableId="450132711">
    <w:abstractNumId w:val="16"/>
  </w:num>
  <w:num w:numId="27" w16cid:durableId="706098660">
    <w:abstractNumId w:val="20"/>
  </w:num>
  <w:num w:numId="28" w16cid:durableId="1669556534">
    <w:abstractNumId w:val="27"/>
  </w:num>
  <w:num w:numId="29" w16cid:durableId="582491714">
    <w:abstractNumId w:val="24"/>
  </w:num>
  <w:num w:numId="30" w16cid:durableId="2902848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0B60"/>
    <w:rsid w:val="000218FB"/>
    <w:rsid w:val="00030174"/>
    <w:rsid w:val="00035541"/>
    <w:rsid w:val="00035C9B"/>
    <w:rsid w:val="0004579C"/>
    <w:rsid w:val="00045908"/>
    <w:rsid w:val="000539A9"/>
    <w:rsid w:val="000631E5"/>
    <w:rsid w:val="00067DA6"/>
    <w:rsid w:val="00084FA5"/>
    <w:rsid w:val="00087A05"/>
    <w:rsid w:val="00090ABE"/>
    <w:rsid w:val="00097F63"/>
    <w:rsid w:val="000A3FDD"/>
    <w:rsid w:val="000A47FA"/>
    <w:rsid w:val="000A65D3"/>
    <w:rsid w:val="000B0EC4"/>
    <w:rsid w:val="000B1E33"/>
    <w:rsid w:val="000C42A0"/>
    <w:rsid w:val="000C488F"/>
    <w:rsid w:val="000D689F"/>
    <w:rsid w:val="000E7B7B"/>
    <w:rsid w:val="000E7D62"/>
    <w:rsid w:val="000F2A01"/>
    <w:rsid w:val="0010235F"/>
    <w:rsid w:val="00103357"/>
    <w:rsid w:val="00123C9F"/>
    <w:rsid w:val="00126190"/>
    <w:rsid w:val="00130F17"/>
    <w:rsid w:val="001320BF"/>
    <w:rsid w:val="00132279"/>
    <w:rsid w:val="0016167E"/>
    <w:rsid w:val="00163BC4"/>
    <w:rsid w:val="001777E6"/>
    <w:rsid w:val="00191062"/>
    <w:rsid w:val="00192B72"/>
    <w:rsid w:val="001A29D8"/>
    <w:rsid w:val="001A5CAA"/>
    <w:rsid w:val="001B0427"/>
    <w:rsid w:val="001C0EC0"/>
    <w:rsid w:val="001C6292"/>
    <w:rsid w:val="001D3A51"/>
    <w:rsid w:val="001E10D2"/>
    <w:rsid w:val="001E25B4"/>
    <w:rsid w:val="001E44FE"/>
    <w:rsid w:val="001F5286"/>
    <w:rsid w:val="00200595"/>
    <w:rsid w:val="00204835"/>
    <w:rsid w:val="002055B4"/>
    <w:rsid w:val="0021054D"/>
    <w:rsid w:val="00231920"/>
    <w:rsid w:val="0023195C"/>
    <w:rsid w:val="00237591"/>
    <w:rsid w:val="0024282C"/>
    <w:rsid w:val="002460DC"/>
    <w:rsid w:val="00246B82"/>
    <w:rsid w:val="00250985"/>
    <w:rsid w:val="002556F6"/>
    <w:rsid w:val="00283105"/>
    <w:rsid w:val="002836E2"/>
    <w:rsid w:val="00283A0B"/>
    <w:rsid w:val="00284C4C"/>
    <w:rsid w:val="002859D9"/>
    <w:rsid w:val="00285CD9"/>
    <w:rsid w:val="00287E68"/>
    <w:rsid w:val="00293A02"/>
    <w:rsid w:val="0029459A"/>
    <w:rsid w:val="00296529"/>
    <w:rsid w:val="002B27FB"/>
    <w:rsid w:val="002B685A"/>
    <w:rsid w:val="002C57D2"/>
    <w:rsid w:val="002C58DF"/>
    <w:rsid w:val="002E0D56"/>
    <w:rsid w:val="002E2AEA"/>
    <w:rsid w:val="002F5CC3"/>
    <w:rsid w:val="00315186"/>
    <w:rsid w:val="00315525"/>
    <w:rsid w:val="00317CF3"/>
    <w:rsid w:val="00331B05"/>
    <w:rsid w:val="0033343E"/>
    <w:rsid w:val="00347589"/>
    <w:rsid w:val="003512C2"/>
    <w:rsid w:val="00371FB6"/>
    <w:rsid w:val="003763C1"/>
    <w:rsid w:val="003768F4"/>
    <w:rsid w:val="00376BBE"/>
    <w:rsid w:val="00384206"/>
    <w:rsid w:val="0039224F"/>
    <w:rsid w:val="003964DF"/>
    <w:rsid w:val="003A43A4"/>
    <w:rsid w:val="003A5924"/>
    <w:rsid w:val="003A7E18"/>
    <w:rsid w:val="003B77A6"/>
    <w:rsid w:val="003C4C86"/>
    <w:rsid w:val="003C5024"/>
    <w:rsid w:val="003C6258"/>
    <w:rsid w:val="003E2904"/>
    <w:rsid w:val="003F3C6A"/>
    <w:rsid w:val="003F490B"/>
    <w:rsid w:val="00401927"/>
    <w:rsid w:val="00405D80"/>
    <w:rsid w:val="0041027F"/>
    <w:rsid w:val="00412475"/>
    <w:rsid w:val="00423789"/>
    <w:rsid w:val="00426322"/>
    <w:rsid w:val="00440F43"/>
    <w:rsid w:val="00441B6F"/>
    <w:rsid w:val="00446221"/>
    <w:rsid w:val="00447355"/>
    <w:rsid w:val="00450E62"/>
    <w:rsid w:val="004539DB"/>
    <w:rsid w:val="00471A80"/>
    <w:rsid w:val="00472645"/>
    <w:rsid w:val="00475C1C"/>
    <w:rsid w:val="00486695"/>
    <w:rsid w:val="004A028C"/>
    <w:rsid w:val="004A1EE4"/>
    <w:rsid w:val="004B4A41"/>
    <w:rsid w:val="004D305E"/>
    <w:rsid w:val="004D4277"/>
    <w:rsid w:val="00502516"/>
    <w:rsid w:val="00505F06"/>
    <w:rsid w:val="00506828"/>
    <w:rsid w:val="00510526"/>
    <w:rsid w:val="0053056E"/>
    <w:rsid w:val="00543B15"/>
    <w:rsid w:val="00550C6D"/>
    <w:rsid w:val="00554FDA"/>
    <w:rsid w:val="00556A85"/>
    <w:rsid w:val="0056023C"/>
    <w:rsid w:val="00580068"/>
    <w:rsid w:val="00583E0C"/>
    <w:rsid w:val="00594DD8"/>
    <w:rsid w:val="005B0863"/>
    <w:rsid w:val="005C2B9E"/>
    <w:rsid w:val="005C784C"/>
    <w:rsid w:val="005D02DB"/>
    <w:rsid w:val="005D17F6"/>
    <w:rsid w:val="005D66CC"/>
    <w:rsid w:val="005E5539"/>
    <w:rsid w:val="005F2AA2"/>
    <w:rsid w:val="005F2ED5"/>
    <w:rsid w:val="005F4DC1"/>
    <w:rsid w:val="00602BF5"/>
    <w:rsid w:val="00614711"/>
    <w:rsid w:val="00617FDD"/>
    <w:rsid w:val="00633614"/>
    <w:rsid w:val="00633F68"/>
    <w:rsid w:val="00636EB2"/>
    <w:rsid w:val="006375B8"/>
    <w:rsid w:val="00657309"/>
    <w:rsid w:val="00660C91"/>
    <w:rsid w:val="0066510A"/>
    <w:rsid w:val="00673F9F"/>
    <w:rsid w:val="006742E9"/>
    <w:rsid w:val="00684DDC"/>
    <w:rsid w:val="00686953"/>
    <w:rsid w:val="00687DEA"/>
    <w:rsid w:val="00687E67"/>
    <w:rsid w:val="0069241B"/>
    <w:rsid w:val="006967F7"/>
    <w:rsid w:val="00696B46"/>
    <w:rsid w:val="00697246"/>
    <w:rsid w:val="006A04DD"/>
    <w:rsid w:val="006A250C"/>
    <w:rsid w:val="006A6FFE"/>
    <w:rsid w:val="006B21D3"/>
    <w:rsid w:val="006B35F5"/>
    <w:rsid w:val="006B57D0"/>
    <w:rsid w:val="006D1313"/>
    <w:rsid w:val="006D2342"/>
    <w:rsid w:val="006D30FF"/>
    <w:rsid w:val="006D6940"/>
    <w:rsid w:val="006E2600"/>
    <w:rsid w:val="006F11EC"/>
    <w:rsid w:val="0070082C"/>
    <w:rsid w:val="00704BB8"/>
    <w:rsid w:val="00706050"/>
    <w:rsid w:val="00713289"/>
    <w:rsid w:val="00720DE5"/>
    <w:rsid w:val="00721D63"/>
    <w:rsid w:val="007369E6"/>
    <w:rsid w:val="00746E59"/>
    <w:rsid w:val="00750673"/>
    <w:rsid w:val="00754C9A"/>
    <w:rsid w:val="0075599A"/>
    <w:rsid w:val="00757498"/>
    <w:rsid w:val="00761D52"/>
    <w:rsid w:val="007665E4"/>
    <w:rsid w:val="0077749E"/>
    <w:rsid w:val="00783218"/>
    <w:rsid w:val="00790ADA"/>
    <w:rsid w:val="00794EE0"/>
    <w:rsid w:val="007A0B9C"/>
    <w:rsid w:val="007C637F"/>
    <w:rsid w:val="007D2288"/>
    <w:rsid w:val="007D6237"/>
    <w:rsid w:val="007E088F"/>
    <w:rsid w:val="007E7541"/>
    <w:rsid w:val="007F7B32"/>
    <w:rsid w:val="00804BC2"/>
    <w:rsid w:val="0081431A"/>
    <w:rsid w:val="0082015A"/>
    <w:rsid w:val="0083216F"/>
    <w:rsid w:val="00834C75"/>
    <w:rsid w:val="00834CFD"/>
    <w:rsid w:val="008414BC"/>
    <w:rsid w:val="0084424C"/>
    <w:rsid w:val="00860000"/>
    <w:rsid w:val="00863BD3"/>
    <w:rsid w:val="008641ED"/>
    <w:rsid w:val="00866D66"/>
    <w:rsid w:val="008671C6"/>
    <w:rsid w:val="00875803"/>
    <w:rsid w:val="00881B52"/>
    <w:rsid w:val="008830FF"/>
    <w:rsid w:val="0089051D"/>
    <w:rsid w:val="008B4558"/>
    <w:rsid w:val="008B459E"/>
    <w:rsid w:val="008D63EE"/>
    <w:rsid w:val="008E13AE"/>
    <w:rsid w:val="008E1506"/>
    <w:rsid w:val="008E710C"/>
    <w:rsid w:val="008F2130"/>
    <w:rsid w:val="008F409E"/>
    <w:rsid w:val="008F4915"/>
    <w:rsid w:val="008F69D6"/>
    <w:rsid w:val="00902823"/>
    <w:rsid w:val="00913B4C"/>
    <w:rsid w:val="0091497E"/>
    <w:rsid w:val="00915CA6"/>
    <w:rsid w:val="00927834"/>
    <w:rsid w:val="009500A6"/>
    <w:rsid w:val="0095110B"/>
    <w:rsid w:val="00957C18"/>
    <w:rsid w:val="009659BA"/>
    <w:rsid w:val="00983040"/>
    <w:rsid w:val="00993851"/>
    <w:rsid w:val="009A011F"/>
    <w:rsid w:val="009B1181"/>
    <w:rsid w:val="009B2B3F"/>
    <w:rsid w:val="009B34C3"/>
    <w:rsid w:val="009B3FB9"/>
    <w:rsid w:val="009C2465"/>
    <w:rsid w:val="009C7DAF"/>
    <w:rsid w:val="009D2BCC"/>
    <w:rsid w:val="009D35A0"/>
    <w:rsid w:val="009D7EB7"/>
    <w:rsid w:val="009E048A"/>
    <w:rsid w:val="009E08E9"/>
    <w:rsid w:val="009E3DB9"/>
    <w:rsid w:val="009E6E35"/>
    <w:rsid w:val="009F0EDA"/>
    <w:rsid w:val="009F6C3A"/>
    <w:rsid w:val="00A03B96"/>
    <w:rsid w:val="00A05B19"/>
    <w:rsid w:val="00A0787B"/>
    <w:rsid w:val="00A1134E"/>
    <w:rsid w:val="00A118CE"/>
    <w:rsid w:val="00A215CA"/>
    <w:rsid w:val="00A24E7E"/>
    <w:rsid w:val="00A258C3"/>
    <w:rsid w:val="00A347C0"/>
    <w:rsid w:val="00A51431"/>
    <w:rsid w:val="00A539AD"/>
    <w:rsid w:val="00A53FEE"/>
    <w:rsid w:val="00A55DFC"/>
    <w:rsid w:val="00A61A61"/>
    <w:rsid w:val="00A62960"/>
    <w:rsid w:val="00A94063"/>
    <w:rsid w:val="00A94D47"/>
    <w:rsid w:val="00AA6219"/>
    <w:rsid w:val="00AA74E0"/>
    <w:rsid w:val="00AB3C44"/>
    <w:rsid w:val="00AB5C1F"/>
    <w:rsid w:val="00AB703F"/>
    <w:rsid w:val="00AC3408"/>
    <w:rsid w:val="00AC6BB8"/>
    <w:rsid w:val="00AE008F"/>
    <w:rsid w:val="00AE6533"/>
    <w:rsid w:val="00B01FCD"/>
    <w:rsid w:val="00B06F98"/>
    <w:rsid w:val="00B1776C"/>
    <w:rsid w:val="00B50A73"/>
    <w:rsid w:val="00B52583"/>
    <w:rsid w:val="00B52896"/>
    <w:rsid w:val="00B53B38"/>
    <w:rsid w:val="00B72445"/>
    <w:rsid w:val="00B823B9"/>
    <w:rsid w:val="00B91A2A"/>
    <w:rsid w:val="00B95236"/>
    <w:rsid w:val="00B96BD9"/>
    <w:rsid w:val="00BA1B01"/>
    <w:rsid w:val="00BA2641"/>
    <w:rsid w:val="00BA3759"/>
    <w:rsid w:val="00BB0A63"/>
    <w:rsid w:val="00BB37AA"/>
    <w:rsid w:val="00BB3D2D"/>
    <w:rsid w:val="00BC2B6F"/>
    <w:rsid w:val="00BC53A0"/>
    <w:rsid w:val="00BE62AD"/>
    <w:rsid w:val="00BE7D2E"/>
    <w:rsid w:val="00BF121F"/>
    <w:rsid w:val="00BF134C"/>
    <w:rsid w:val="00BF1F80"/>
    <w:rsid w:val="00C166EF"/>
    <w:rsid w:val="00C17EB0"/>
    <w:rsid w:val="00C27F5F"/>
    <w:rsid w:val="00C30A0F"/>
    <w:rsid w:val="00C3446D"/>
    <w:rsid w:val="00C37E61"/>
    <w:rsid w:val="00C70F1B"/>
    <w:rsid w:val="00C71A47"/>
    <w:rsid w:val="00C7464C"/>
    <w:rsid w:val="00C8180C"/>
    <w:rsid w:val="00C82FDF"/>
    <w:rsid w:val="00C85588"/>
    <w:rsid w:val="00CA448F"/>
    <w:rsid w:val="00CA5F44"/>
    <w:rsid w:val="00CB500E"/>
    <w:rsid w:val="00CB752B"/>
    <w:rsid w:val="00CD6755"/>
    <w:rsid w:val="00CD6856"/>
    <w:rsid w:val="00CE0089"/>
    <w:rsid w:val="00CE793C"/>
    <w:rsid w:val="00CF193C"/>
    <w:rsid w:val="00CF7D23"/>
    <w:rsid w:val="00D06E3D"/>
    <w:rsid w:val="00D173F1"/>
    <w:rsid w:val="00D271DE"/>
    <w:rsid w:val="00D3300C"/>
    <w:rsid w:val="00D635D7"/>
    <w:rsid w:val="00D678F7"/>
    <w:rsid w:val="00D71CD4"/>
    <w:rsid w:val="00D74CB0"/>
    <w:rsid w:val="00D8295D"/>
    <w:rsid w:val="00DC2A65"/>
    <w:rsid w:val="00DE15F0"/>
    <w:rsid w:val="00DE3C61"/>
    <w:rsid w:val="00DE5663"/>
    <w:rsid w:val="00DE78AA"/>
    <w:rsid w:val="00DF45BB"/>
    <w:rsid w:val="00E04A79"/>
    <w:rsid w:val="00E053D0"/>
    <w:rsid w:val="00E15994"/>
    <w:rsid w:val="00E24D97"/>
    <w:rsid w:val="00E27B7F"/>
    <w:rsid w:val="00E3114E"/>
    <w:rsid w:val="00E31A70"/>
    <w:rsid w:val="00E35B02"/>
    <w:rsid w:val="00E42D41"/>
    <w:rsid w:val="00E50D1E"/>
    <w:rsid w:val="00E66496"/>
    <w:rsid w:val="00E66B35"/>
    <w:rsid w:val="00E66E10"/>
    <w:rsid w:val="00E7657E"/>
    <w:rsid w:val="00E769F6"/>
    <w:rsid w:val="00E81026"/>
    <w:rsid w:val="00E8407C"/>
    <w:rsid w:val="00E84F3C"/>
    <w:rsid w:val="00EA012C"/>
    <w:rsid w:val="00EC5283"/>
    <w:rsid w:val="00EC6A55"/>
    <w:rsid w:val="00ED0288"/>
    <w:rsid w:val="00ED2526"/>
    <w:rsid w:val="00EE52CB"/>
    <w:rsid w:val="00EF1DE0"/>
    <w:rsid w:val="00EF5456"/>
    <w:rsid w:val="00EF581D"/>
    <w:rsid w:val="00EF7E14"/>
    <w:rsid w:val="00EF7FD8"/>
    <w:rsid w:val="00F06F59"/>
    <w:rsid w:val="00F1077C"/>
    <w:rsid w:val="00F17988"/>
    <w:rsid w:val="00F454F6"/>
    <w:rsid w:val="00F469F0"/>
    <w:rsid w:val="00F53273"/>
    <w:rsid w:val="00F5356E"/>
    <w:rsid w:val="00F755E4"/>
    <w:rsid w:val="00F77D02"/>
    <w:rsid w:val="00F802D9"/>
    <w:rsid w:val="00F83412"/>
    <w:rsid w:val="00FA11A5"/>
    <w:rsid w:val="00FB13B4"/>
    <w:rsid w:val="00FB3A86"/>
    <w:rsid w:val="00FD36C8"/>
    <w:rsid w:val="00FD46A8"/>
    <w:rsid w:val="00FD6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rules v:ext="edit">
        <o:r id="V:Rule1" type="connector" idref="#_x0000_s2052"/>
      </o:rules>
    </o:shapelayout>
  </w:shapeDefaults>
  <w:decimalSymbol w:val="."/>
  <w:listSeparator w:val=","/>
  <w14:docId w14:val="2E6F837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475C1C"/>
    <w:pPr>
      <w:keepNext/>
      <w:jc w:val="both"/>
      <w:outlineLvl w:val="1"/>
    </w:pPr>
    <w:rPr>
      <w:rFonts w:eastAsia="MS Mincho"/>
      <w:b/>
      <w:bCs/>
      <w:lang w:val="fr-FR"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TableGridLight">
    <w:name w:val="Grid Table Light"/>
    <w:basedOn w:val="TableNormal"/>
    <w:uiPriority w:val="40"/>
    <w:rsid w:val="00035C9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035C9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56A8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semiHidden/>
    <w:unhideWhenUsed/>
    <w:rsid w:val="001777E6"/>
    <w:rPr>
      <w:rFonts w:ascii="Times New Roman" w:hAnsi="Times New Roman"/>
      <w:sz w:val="24"/>
      <w:szCs w:val="24"/>
    </w:rPr>
  </w:style>
  <w:style w:type="paragraph" w:styleId="CommentSubject">
    <w:name w:val="annotation subject"/>
    <w:basedOn w:val="CommentText"/>
    <w:next w:val="CommentText"/>
    <w:link w:val="CommentSubjectChar"/>
    <w:semiHidden/>
    <w:unhideWhenUsed/>
    <w:rsid w:val="00EC5283"/>
    <w:rPr>
      <w:rFonts w:ascii="Helvetica" w:hAnsi="Helvetica"/>
      <w:b/>
      <w:bCs/>
      <w:lang w:val="en-US" w:eastAsia="en-US"/>
    </w:rPr>
  </w:style>
  <w:style w:type="character" w:customStyle="1" w:styleId="CommentSubjectChar">
    <w:name w:val="Comment Subject Char"/>
    <w:basedOn w:val="CommentTextChar"/>
    <w:link w:val="CommentSubject"/>
    <w:semiHidden/>
    <w:rsid w:val="00EC5283"/>
    <w:rPr>
      <w:rFonts w:ascii="Helvetica" w:hAnsi="Helvetica"/>
      <w:b/>
      <w:bCs/>
      <w:lang w:val="nb-NO" w:eastAsia="nb-NO"/>
    </w:rPr>
  </w:style>
  <w:style w:type="character" w:customStyle="1" w:styleId="Heading2Char">
    <w:name w:val="Heading 2 Char"/>
    <w:basedOn w:val="DefaultParagraphFont"/>
    <w:link w:val="Heading2"/>
    <w:rsid w:val="00475C1C"/>
    <w:rPr>
      <w:rFonts w:ascii="Helvetica" w:eastAsia="MS Mincho" w:hAnsi="Helvetica"/>
      <w:b/>
      <w:bCs/>
      <w:lang w:val="fr-FR"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A0BC1-9EFC-42A2-AC7F-E781A92F45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1567</TotalTime>
  <Pages>11</Pages>
  <Words>11066</Words>
  <Characters>63080</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73999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Acc 101</cp:lastModifiedBy>
  <cp:revision>38</cp:revision>
  <cp:lastPrinted>1999-07-06T11:00:00Z</cp:lastPrinted>
  <dcterms:created xsi:type="dcterms:W3CDTF">2026-02-25T16:26:00Z</dcterms:created>
  <dcterms:modified xsi:type="dcterms:W3CDTF">2026-04-16T04:58:00Z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f7c26a63-5c7c-3e8d-81c5-87f9a525cb2b</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 6th/7th edition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12th edition - Harvard</vt:lpwstr>
  </property>
  <property fmtid="{D5CDD505-2E9C-101B-9397-08002B2CF9AE}" pid="13" name="Mendeley Recent Style Id 4_1">
    <vt:lpwstr>http://www.zotero.org/styles/harvard1</vt:lpwstr>
  </property>
  <property fmtid="{D5CDD505-2E9C-101B-9397-08002B2CF9AE}" pid="14" name="Mendeley Recent Style Name 4_1">
    <vt:lpwstr>Harvard reference format 1 (deprecated)</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4th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9th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http://www.zotero.org/styles/sekolah-tinggi-ilmu-farmasi-yayasan-pharmasi-semarang</vt:lpwstr>
  </property>
  <property fmtid="{D5CDD505-2E9C-101B-9397-08002B2CF9AE}" pid="22" name="Mendeley Recent Style Name 8_1">
    <vt:lpwstr>Sekolah Tinggi Ilmu Farmasi Yayasan Pharmasi Semarang</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GrammarlyDocumentId">
    <vt:lpwstr>eae41c0c-7c2f-4f54-936e-0a562b2e1f31</vt:lpwstr>
  </property>
</Properties>
</file>