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3527" w:rsidRDefault="001B3527" w:rsidP="003A6D49">
      <w:pPr>
        <w:spacing w:line="480" w:lineRule="auto"/>
        <w:jc w:val="center"/>
        <w:rPr>
          <w:sz w:val="24"/>
          <w:szCs w:val="24"/>
        </w:rPr>
      </w:pPr>
      <w:r w:rsidRPr="008669F7">
        <w:rPr>
          <w:sz w:val="24"/>
          <w:szCs w:val="24"/>
        </w:rPr>
        <w:t>Indigenous Knowledge and the Knowledge Society in Uganda: Insights, Lessons, and Challenges</w:t>
      </w:r>
    </w:p>
    <w:p w:rsidR="00821CC0" w:rsidRPr="003A6D49" w:rsidRDefault="00821CC0" w:rsidP="003A6D49">
      <w:pPr>
        <w:spacing w:line="480" w:lineRule="auto"/>
        <w:jc w:val="center"/>
        <w:rPr>
          <w:sz w:val="24"/>
          <w:szCs w:val="24"/>
        </w:rPr>
      </w:pPr>
    </w:p>
    <w:p w:rsidR="001B3527" w:rsidRDefault="00BA486A" w:rsidP="00BA486A">
      <w:pPr>
        <w:spacing w:line="480" w:lineRule="auto"/>
        <w:jc w:val="center"/>
        <w:rPr>
          <w:sz w:val="20"/>
          <w:szCs w:val="20"/>
        </w:rPr>
      </w:pPr>
      <w:r>
        <w:rPr>
          <w:sz w:val="20"/>
          <w:szCs w:val="20"/>
        </w:rPr>
        <w:t>Abstract</w:t>
      </w:r>
    </w:p>
    <w:p w:rsidR="001B3527" w:rsidRDefault="001B3527" w:rsidP="007C2A3B">
      <w:pPr>
        <w:pStyle w:val="NormalWeb"/>
        <w:jc w:val="both"/>
      </w:pPr>
      <w:r>
        <w:t xml:space="preserve">This paper examines the evolving role of </w:t>
      </w:r>
      <w:r w:rsidR="007C2A3B">
        <w:t xml:space="preserve">indigenous knowledge and </w:t>
      </w:r>
      <w:r>
        <w:t>the knowledge society, with particular reference to Uganda. The e</w:t>
      </w:r>
      <w:r w:rsidR="007C2A3B">
        <w:t xml:space="preserve">xpansion of knowledge societies </w:t>
      </w:r>
      <w:r>
        <w:t>driven by rapid technological advancement, continuous innovation, and complex k</w:t>
      </w:r>
      <w:r w:rsidR="007C2A3B">
        <w:t xml:space="preserve">nowledge networks </w:t>
      </w:r>
      <w:r>
        <w:t xml:space="preserve">has intensified concerns about how knowledge is produced, disseminated, and applied in higher education. While universities have traditionally been central to knowledge creation, these transformations increasingly challenge their conventional roles. This study aims to </w:t>
      </w:r>
      <w:proofErr w:type="spellStart"/>
      <w:r>
        <w:t>analyse</w:t>
      </w:r>
      <w:proofErr w:type="spellEnd"/>
      <w:r>
        <w:t xml:space="preserve"> how universities can respond to these changing demands and whether they can retain their central position in knowledge production. A qualitative research design based on documentary review is employed, drawing on existing literature to </w:t>
      </w:r>
      <w:r w:rsidR="007C2A3B">
        <w:t>synthesize</w:t>
      </w:r>
      <w:r>
        <w:t xml:space="preserve"> perspectives on institutional change in higher education. The findings indicate that universities face growing pressure to transition towards more socially engaged, technologically responsive, and market-oriented models. Emerging technologies are expanding access to information while reshaping teaching, research, and innovation </w:t>
      </w:r>
      <w:r w:rsidR="007C2A3B">
        <w:t>processes</w:t>
      </w:r>
      <w:r>
        <w:t xml:space="preserve"> and interdisciplinary and cross-sectoral collaboration is becoming essential. The study concludes that although universities remain pivotal, their continued relevance depends on their ability to adapt to evolving socio-economic and technological conditions. It recommends that universities in Uganda reassess their missions, adopt flexible and technology-driven pedagogies, and strengthen partnerships with industry and communities, while policymakers support innovation, research coll</w:t>
      </w:r>
      <w:r w:rsidR="007C2A3B">
        <w:t xml:space="preserve">aboration, and equitable access in Uganda </w:t>
      </w:r>
    </w:p>
    <w:p w:rsidR="006A4339" w:rsidRDefault="00980DA4"/>
    <w:p w:rsidR="007C2A3B" w:rsidRDefault="007C2A3B">
      <w:pPr>
        <w:rPr>
          <w:sz w:val="24"/>
          <w:szCs w:val="24"/>
        </w:rPr>
      </w:pPr>
      <w:r w:rsidRPr="00C22BF6">
        <w:rPr>
          <w:b/>
        </w:rPr>
        <w:t>Keywords:</w:t>
      </w:r>
      <w:r>
        <w:t xml:space="preserve"> </w:t>
      </w:r>
      <w:r w:rsidRPr="00EC355F">
        <w:rPr>
          <w:sz w:val="24"/>
          <w:szCs w:val="24"/>
        </w:rPr>
        <w:t xml:space="preserve">knowledge society, wisdom, education, </w:t>
      </w:r>
      <w:r>
        <w:rPr>
          <w:sz w:val="24"/>
          <w:szCs w:val="24"/>
        </w:rPr>
        <w:t xml:space="preserve">indigenous knowledge, evolution values </w:t>
      </w:r>
    </w:p>
    <w:p w:rsidR="007C2A3B" w:rsidRDefault="007C2A3B">
      <w:pPr>
        <w:rPr>
          <w:sz w:val="24"/>
          <w:szCs w:val="24"/>
        </w:rPr>
      </w:pPr>
    </w:p>
    <w:p w:rsidR="007C2A3B" w:rsidRDefault="007C2A3B">
      <w:pPr>
        <w:rPr>
          <w:sz w:val="24"/>
          <w:szCs w:val="24"/>
        </w:rPr>
      </w:pPr>
    </w:p>
    <w:p w:rsidR="007C2A3B" w:rsidRPr="00E34471" w:rsidRDefault="007C2A3B">
      <w:pPr>
        <w:rPr>
          <w:b/>
          <w:sz w:val="24"/>
          <w:szCs w:val="24"/>
        </w:rPr>
      </w:pPr>
      <w:r w:rsidRPr="00E34471">
        <w:rPr>
          <w:b/>
          <w:sz w:val="24"/>
          <w:szCs w:val="24"/>
        </w:rPr>
        <w:t>Introduction</w:t>
      </w:r>
    </w:p>
    <w:p w:rsidR="007C2A3B" w:rsidRDefault="007C2A3B"/>
    <w:p w:rsidR="00A552D6" w:rsidRDefault="00A552D6" w:rsidP="00A552D6">
      <w:pPr>
        <w:pStyle w:val="NormalWeb"/>
        <w:spacing w:line="600" w:lineRule="auto"/>
        <w:jc w:val="both"/>
      </w:pPr>
      <w:r>
        <w:t xml:space="preserve">Over the past four decades, increasing attention has been directed toward the transformation of knowledge societies and the evolving role of universities in Uganda and the broader Great Lakes region of East Africa. The region has undergone profound socio-economic and technological changes, fundamentally reshaping the production, dissemination, and application of knowledge (Dyke, 2025). Within this context, higher education institutions have traditionally served as </w:t>
      </w:r>
      <w:r>
        <w:lastRenderedPageBreak/>
        <w:t xml:space="preserve">central sites for the consolidation of knowledge and information. Knowledge production and innovation remain widely </w:t>
      </w:r>
      <w:proofErr w:type="spellStart"/>
      <w:r>
        <w:t>recognised</w:t>
      </w:r>
      <w:proofErr w:type="spellEnd"/>
      <w:r>
        <w:t xml:space="preserve"> as key drivers of economic growth and social development (Innovation and Evolution in Higher Education, 2024). However, the emergence of complex global knowledge networks and collaborative alliances has reconfigured traditional academic practices, placing considerable pressure on universities that have historically relied on internally driven processes of knowledge generation (Markovic et al., 2023).</w:t>
      </w:r>
    </w:p>
    <w:p w:rsidR="00A552D6" w:rsidRDefault="00A552D6" w:rsidP="00A552D6">
      <w:pPr>
        <w:pStyle w:val="NormalWeb"/>
        <w:spacing w:line="600" w:lineRule="auto"/>
        <w:jc w:val="both"/>
      </w:pPr>
      <w:r>
        <w:t xml:space="preserve">The transition toward networked and technologically mediated knowledge systems challenges the conventional dominance of universities as primary knowledge producers. Knowledge is increasingly created across multiple sites, including private sector </w:t>
      </w:r>
      <w:proofErr w:type="spellStart"/>
      <w:r>
        <w:t>organisations</w:t>
      </w:r>
      <w:proofErr w:type="spellEnd"/>
      <w:r>
        <w:t>, research institutes, and transnational partnerships (Olivier et al., 2023). Concurrently, financial constraints exacerbated by global and national economic pressures have reduced public investment in higher education, thereby affecting research productivity, teaching capacity, and equitable access to lifelong learning opportunities (Resources, 2021). These developments raise critical questions regarding the ability of universities to sustain their leadership in knowledge production while adapting to the demands of the contemporary knowledge society.</w:t>
      </w:r>
    </w:p>
    <w:p w:rsidR="00A552D6" w:rsidRDefault="00A552D6" w:rsidP="00A552D6">
      <w:pPr>
        <w:pStyle w:val="NormalWeb"/>
        <w:spacing w:line="600" w:lineRule="auto"/>
        <w:jc w:val="both"/>
      </w:pPr>
      <w:r>
        <w:t xml:space="preserve">While existing literature has largely focused on institutional adaptation through technological innovation, market-oriented reforms, and global collaboration (Finlay et al., 2024), this study introduces a novel perspective by examining the </w:t>
      </w:r>
      <w:r w:rsidRPr="00A552D6">
        <w:rPr>
          <w:rStyle w:val="Strong"/>
          <w:b w:val="0"/>
        </w:rPr>
        <w:t xml:space="preserve">synergistic integration of indigenous knowledge </w:t>
      </w:r>
      <w:r w:rsidRPr="00A552D6">
        <w:rPr>
          <w:rStyle w:val="Strong"/>
          <w:b w:val="0"/>
        </w:rPr>
        <w:lastRenderedPageBreak/>
        <w:t>systems with modern information and knowledge infrastructures</w:t>
      </w:r>
      <w:r w:rsidRPr="00A552D6">
        <w:rPr>
          <w:b/>
        </w:rPr>
        <w:t>.</w:t>
      </w:r>
      <w:r>
        <w:t xml:space="preserve"> Indigenous knowledge, rooted in local cultures, lived experiences, and community practices, represents a rich yet frequently </w:t>
      </w:r>
      <w:proofErr w:type="spellStart"/>
      <w:r>
        <w:t>marginalised</w:t>
      </w:r>
      <w:proofErr w:type="spellEnd"/>
      <w:r>
        <w:t xml:space="preserve"> source of insight (McLaughlin &amp; </w:t>
      </w:r>
      <w:proofErr w:type="spellStart"/>
      <w:r>
        <w:t>Teater</w:t>
      </w:r>
      <w:proofErr w:type="spellEnd"/>
      <w:r>
        <w:t>, 2025). It plays a critical role in areas such as environmental management, health, agriculture, and community resilience, particularly within Global South contexts (Nakamori, 2023). Despite its significance, indigenous knowledge remains insufficiently incorporated into formal higher education and research frameworks (Olmos, 2026). This paper advances the argument that meaningful integration of indigenous and scientific knowledge systems can enhance inclusivity, sustainability, and contextual relevance in knowledge production.</w:t>
      </w:r>
    </w:p>
    <w:p w:rsidR="00A552D6" w:rsidRDefault="005D6643" w:rsidP="00A552D6">
      <w:pPr>
        <w:pStyle w:val="NormalWeb"/>
        <w:spacing w:line="600" w:lineRule="auto"/>
        <w:jc w:val="both"/>
      </w:pPr>
      <w:r>
        <w:t xml:space="preserve">The </w:t>
      </w:r>
      <w:r w:rsidR="00A552D6">
        <w:t xml:space="preserve">study lies in </w:t>
      </w:r>
      <w:proofErr w:type="spellStart"/>
      <w:r w:rsidR="00A552D6">
        <w:t>conceptualising</w:t>
      </w:r>
      <w:proofErr w:type="spellEnd"/>
      <w:r w:rsidR="00A552D6">
        <w:t xml:space="preserve"> universities not only as hubs within global knowledge networks but also as bridging institutions that facilitate dialogue and co-production between indigenous and scientific epistemologies (</w:t>
      </w:r>
      <w:proofErr w:type="spellStart"/>
      <w:r w:rsidR="00A552D6">
        <w:t>Ahadzie</w:t>
      </w:r>
      <w:proofErr w:type="spellEnd"/>
      <w:r w:rsidR="00A552D6">
        <w:t xml:space="preserve"> et al., 2023). Such a synergistic approach has the potential to expand epistemological diversity, generate context-sensitive innovations, and address complex societal challenges more effectively. Furthermore, the paper argues that technological advancements should not be viewed solely as instruments for accelerating knowledge production</w:t>
      </w:r>
      <w:r>
        <w:t xml:space="preserve">. </w:t>
      </w:r>
      <w:r w:rsidR="00A552D6">
        <w:t xml:space="preserve"> </w:t>
      </w:r>
      <w:r>
        <w:t xml:space="preserve">The study </w:t>
      </w:r>
      <w:r w:rsidR="00A552D6">
        <w:t>also as enablers for documenting, preserving, and ethically disseminating indigenous knowledge (</w:t>
      </w:r>
      <w:proofErr w:type="spellStart"/>
      <w:r w:rsidR="00A552D6">
        <w:t>Eng</w:t>
      </w:r>
      <w:proofErr w:type="spellEnd"/>
      <w:r w:rsidR="00A552D6">
        <w:t xml:space="preserve"> et al., 2026). Digital platforms, open knowledge </w:t>
      </w:r>
      <w:r w:rsidR="00A552D6">
        <w:lastRenderedPageBreak/>
        <w:t>systems, and participatory research methodologies can play a pivotal role in this process, provided that issues of ownership, representation, and equity are carefully addressed.</w:t>
      </w:r>
    </w:p>
    <w:p w:rsidR="007C2A3B" w:rsidRDefault="00A552D6" w:rsidP="00E34471">
      <w:pPr>
        <w:pStyle w:val="NormalWeb"/>
        <w:spacing w:line="600" w:lineRule="auto"/>
        <w:jc w:val="both"/>
      </w:pPr>
      <w:r>
        <w:t>Guided by three central assumptions, this study contends that universities must: (1) redefine their missions and practices to accommodate evolving modes of knowledge production and dissemination (Alfred, 2024a); (2) develop economically sustainable models that ensure the continued provision of high-quality education and research; and (3) harness technological innovation not only for efficiency but also to support inclusive and pluralistic knowledge ecosystems. By addressing these dimensions, the paper contributes to ongoing debates on the future of higher education by examining how universities can effectively respond to the complex demands of the knowledge society</w:t>
      </w:r>
      <w:r w:rsidR="005D6643">
        <w:t xml:space="preserve">. </w:t>
      </w:r>
      <w:r>
        <w:t xml:space="preserve"> while maintaining their role as primary knowledge creators and embracing diversified epistemologies in Uganda.</w:t>
      </w:r>
    </w:p>
    <w:p w:rsidR="00CE6C3C" w:rsidRPr="00893100" w:rsidRDefault="00E34471" w:rsidP="00CE6C3C">
      <w:pPr>
        <w:pStyle w:val="NormalWeb"/>
        <w:spacing w:line="600" w:lineRule="auto"/>
        <w:jc w:val="both"/>
        <w:rPr>
          <w:b/>
        </w:rPr>
      </w:pPr>
      <w:r w:rsidRPr="00893100">
        <w:rPr>
          <w:b/>
        </w:rPr>
        <w:t>Methodology</w:t>
      </w:r>
    </w:p>
    <w:p w:rsidR="00CE6C3C" w:rsidRDefault="00CE6C3C" w:rsidP="00CE6C3C">
      <w:pPr>
        <w:pStyle w:val="NormalWeb"/>
        <w:spacing w:line="600" w:lineRule="auto"/>
        <w:jc w:val="both"/>
      </w:pPr>
      <w:r>
        <w:t>This study adopts a qualitative research design grounded in an interpretivist paradigm (Alfred, 2024b). It employs a case study approach to explore the evolving role of universities within the knowledge society, with particular attention to the emerging synergy between indigenous knowledge systems and modern information frameworks (</w:t>
      </w:r>
      <w:proofErr w:type="spellStart"/>
      <w:r>
        <w:t>Mahalle</w:t>
      </w:r>
      <w:proofErr w:type="spellEnd"/>
      <w:r>
        <w:t xml:space="preserve"> et al., 2025). This approach is well suited for capturing complex social phenomena, diverse perspectives, and context-specific insights that cannot be adequately quantified.</w:t>
      </w:r>
    </w:p>
    <w:p w:rsidR="00CE6C3C" w:rsidRPr="00893100" w:rsidRDefault="00CE6C3C" w:rsidP="008669F7">
      <w:pPr>
        <w:pStyle w:val="Heading3"/>
        <w:spacing w:line="480" w:lineRule="auto"/>
        <w:jc w:val="both"/>
        <w:rPr>
          <w:color w:val="auto"/>
        </w:rPr>
      </w:pPr>
      <w:r w:rsidRPr="00893100">
        <w:rPr>
          <w:color w:val="auto"/>
        </w:rPr>
        <w:lastRenderedPageBreak/>
        <w:t>Data Collection Methods</w:t>
      </w:r>
    </w:p>
    <w:p w:rsidR="00CE6C3C" w:rsidRDefault="00CE6C3C" w:rsidP="008669F7">
      <w:pPr>
        <w:pStyle w:val="NormalWeb"/>
        <w:spacing w:line="480" w:lineRule="auto"/>
        <w:jc w:val="both"/>
      </w:pPr>
      <w:r>
        <w:t>Data were collected using two complementary methods: documentary review of existing literature and focused discussions with opinion leaders in society (</w:t>
      </w:r>
      <w:proofErr w:type="spellStart"/>
      <w:r>
        <w:t>Nugroho</w:t>
      </w:r>
      <w:proofErr w:type="spellEnd"/>
      <w:r>
        <w:t xml:space="preserve"> et al., 2022).</w:t>
      </w:r>
    </w:p>
    <w:p w:rsidR="00CE6C3C" w:rsidRPr="00893100" w:rsidRDefault="00CE6C3C" w:rsidP="008669F7">
      <w:pPr>
        <w:pStyle w:val="Heading4"/>
        <w:spacing w:line="480" w:lineRule="auto"/>
        <w:jc w:val="both"/>
        <w:rPr>
          <w:i w:val="0"/>
          <w:color w:val="auto"/>
        </w:rPr>
      </w:pPr>
      <w:r w:rsidRPr="00893100">
        <w:rPr>
          <w:i w:val="0"/>
          <w:color w:val="auto"/>
        </w:rPr>
        <w:t>Documentary Review</w:t>
      </w:r>
    </w:p>
    <w:p w:rsidR="00CE6C3C" w:rsidRDefault="00CE6C3C" w:rsidP="008669F7">
      <w:pPr>
        <w:pStyle w:val="NormalWeb"/>
        <w:spacing w:line="480" w:lineRule="auto"/>
        <w:jc w:val="both"/>
      </w:pPr>
      <w:r>
        <w:t>A systematic documentary review was conducted to examine scholarly and policy-oriented literature on knowledge societies (</w:t>
      </w:r>
      <w:proofErr w:type="spellStart"/>
      <w:r>
        <w:t>Caperchione</w:t>
      </w:r>
      <w:proofErr w:type="spellEnd"/>
      <w:r>
        <w:t xml:space="preserve"> &amp; Bianchi, 2022), higher education transformation, innovation systems, and indigenous knowledge. Sources included peer-reviewed journal articles, academic books, institutional reports, and policy documents from international </w:t>
      </w:r>
      <w:proofErr w:type="spellStart"/>
      <w:r>
        <w:t>organisations</w:t>
      </w:r>
      <w:proofErr w:type="spellEnd"/>
      <w:r>
        <w:t xml:space="preserve"> (</w:t>
      </w:r>
      <w:proofErr w:type="spellStart"/>
      <w:r>
        <w:t>Leniwati</w:t>
      </w:r>
      <w:proofErr w:type="spellEnd"/>
      <w:r>
        <w:t xml:space="preserve"> et al., 2025). The review aimed to identify key themes, theoretical frameworks, and empirical findings relevant to the study objectives.</w:t>
      </w:r>
    </w:p>
    <w:p w:rsidR="00CE6C3C" w:rsidRDefault="00CE6C3C" w:rsidP="008669F7">
      <w:pPr>
        <w:pStyle w:val="NormalWeb"/>
        <w:spacing w:line="480" w:lineRule="auto"/>
        <w:jc w:val="both"/>
      </w:pPr>
      <w:r>
        <w:t xml:space="preserve">The selection of documents followed purposive criteria, </w:t>
      </w:r>
      <w:proofErr w:type="spellStart"/>
      <w:r>
        <w:t>emphasising</w:t>
      </w:r>
      <w:proofErr w:type="spellEnd"/>
      <w:r>
        <w:t xml:space="preserve"> relevance, credibility, and recency. Both global and regional (particularly African) perspectives were included to ensure contextual depth (</w:t>
      </w:r>
      <w:proofErr w:type="spellStart"/>
      <w:r>
        <w:t>Washio</w:t>
      </w:r>
      <w:proofErr w:type="spellEnd"/>
      <w:r>
        <w:t xml:space="preserve"> et al., 2024). This process enabled the development of a strong conceptual foundation and the identification of critical gaps, particularly regarding the integration of indigenous knowledge into contemporary knowledge systems.</w:t>
      </w:r>
    </w:p>
    <w:p w:rsidR="00CE6C3C" w:rsidRPr="005D6643" w:rsidRDefault="00CE6C3C" w:rsidP="008669F7">
      <w:pPr>
        <w:pStyle w:val="Heading4"/>
        <w:spacing w:line="480" w:lineRule="auto"/>
        <w:jc w:val="both"/>
        <w:rPr>
          <w:i w:val="0"/>
          <w:color w:val="auto"/>
        </w:rPr>
      </w:pPr>
      <w:r w:rsidRPr="005D6643">
        <w:rPr>
          <w:i w:val="0"/>
          <w:color w:val="auto"/>
        </w:rPr>
        <w:t>Focused Discussions with Opinion Leaders</w:t>
      </w:r>
    </w:p>
    <w:p w:rsidR="00CE6C3C" w:rsidRDefault="00CE6C3C" w:rsidP="008669F7">
      <w:pPr>
        <w:pStyle w:val="NormalWeb"/>
        <w:spacing w:line="480" w:lineRule="auto"/>
        <w:jc w:val="both"/>
      </w:pPr>
      <w:r>
        <w:t>To complement the documentary evidence, focused discussions were conducted with selected opinion leaders drawn from academia, policymaking institutions, and community leadership structures (Q, 2026). Participants were purposively selected based on their expertise, experience, and influence in areas related to higher education, knowledge production, and indigenous knowledge systems.</w:t>
      </w:r>
    </w:p>
    <w:p w:rsidR="00CE6C3C" w:rsidRDefault="00CE6C3C" w:rsidP="008669F7">
      <w:pPr>
        <w:pStyle w:val="NormalWeb"/>
        <w:spacing w:line="480" w:lineRule="auto"/>
        <w:jc w:val="both"/>
      </w:pPr>
      <w:r>
        <w:lastRenderedPageBreak/>
        <w:t>The discussions were semi-structured, allowing for guided inquiry while maintaining flexibility to explore emerging issues (</w:t>
      </w:r>
      <w:proofErr w:type="spellStart"/>
      <w:r>
        <w:t>Swargiary</w:t>
      </w:r>
      <w:proofErr w:type="spellEnd"/>
      <w:r>
        <w:t>, 2024). Key topics included the changing role of universities in the knowledge society, challenges in knowledge production and dissemination, the relevance and integration of indigenous knowledge, and opportunities for collaboration between universities and societal actors. Data from these discussions were recorded with participants’ consent, transcribed, and prepared for analysis. This method provided in-depth insights into practical experiences, perceptions, and expectations that are often not captured in formal literature (Bates &amp; Taylor, 2022).</w:t>
      </w:r>
    </w:p>
    <w:p w:rsidR="00CE6C3C" w:rsidRPr="00893100" w:rsidRDefault="00CE6C3C" w:rsidP="008669F7">
      <w:pPr>
        <w:pStyle w:val="Heading3"/>
        <w:spacing w:line="480" w:lineRule="auto"/>
        <w:jc w:val="both"/>
        <w:rPr>
          <w:color w:val="auto"/>
        </w:rPr>
      </w:pPr>
      <w:r w:rsidRPr="00893100">
        <w:rPr>
          <w:color w:val="auto"/>
        </w:rPr>
        <w:t>Data Analysis</w:t>
      </w:r>
    </w:p>
    <w:p w:rsidR="00CE6C3C" w:rsidRDefault="00CE6C3C" w:rsidP="008669F7">
      <w:pPr>
        <w:pStyle w:val="NormalWeb"/>
        <w:spacing w:line="480" w:lineRule="auto"/>
        <w:jc w:val="both"/>
      </w:pPr>
      <w:r>
        <w:t xml:space="preserve">The study employed thematic analysis to interpret both documentary and discussion data. This involved systematic coding, identification of recurring patterns, and </w:t>
      </w:r>
      <w:proofErr w:type="spellStart"/>
      <w:r>
        <w:t>organisation</w:t>
      </w:r>
      <w:proofErr w:type="spellEnd"/>
      <w:r>
        <w:t xml:space="preserve"> of data into coherent themes aligned with the research questions (Maher et al., 2026). The analysis was iterative, allowing for continuous refinement of themes and integration of insights across data sources.</w:t>
      </w:r>
    </w:p>
    <w:p w:rsidR="00CE6C3C" w:rsidRPr="00893100" w:rsidRDefault="00CE6C3C" w:rsidP="008669F7">
      <w:pPr>
        <w:pStyle w:val="Heading3"/>
        <w:spacing w:line="480" w:lineRule="auto"/>
        <w:jc w:val="both"/>
        <w:rPr>
          <w:color w:val="auto"/>
        </w:rPr>
      </w:pPr>
      <w:r w:rsidRPr="00893100">
        <w:rPr>
          <w:color w:val="auto"/>
        </w:rPr>
        <w:t>Validity and Reliability</w:t>
      </w:r>
    </w:p>
    <w:p w:rsidR="00CE6C3C" w:rsidRDefault="00CE6C3C" w:rsidP="008669F7">
      <w:pPr>
        <w:pStyle w:val="NormalWeb"/>
        <w:spacing w:line="480" w:lineRule="auto"/>
        <w:jc w:val="both"/>
      </w:pPr>
      <w:r>
        <w:t>To enhance credibility and trustworthiness, the study applied triangulation by combining multiple data sources, including literature and expert perspectives (</w:t>
      </w:r>
      <w:proofErr w:type="spellStart"/>
      <w:r>
        <w:t>Opdenakker</w:t>
      </w:r>
      <w:proofErr w:type="spellEnd"/>
      <w:r>
        <w:t xml:space="preserve"> &amp; </w:t>
      </w:r>
      <w:proofErr w:type="spellStart"/>
      <w:r>
        <w:t>Cuijpers</w:t>
      </w:r>
      <w:proofErr w:type="spellEnd"/>
      <w:r>
        <w:t xml:space="preserve">, 2025). The careful selection of authoritative sources and knowledgeable participants further strengthened the reliability of the findings. Transparency in data collection and analytical procedures contributed to overall methodological </w:t>
      </w:r>
      <w:proofErr w:type="spellStart"/>
      <w:r>
        <w:t>rigour</w:t>
      </w:r>
      <w:proofErr w:type="spellEnd"/>
      <w:r>
        <w:t>.</w:t>
      </w:r>
    </w:p>
    <w:p w:rsidR="00CE6C3C" w:rsidRPr="00893100" w:rsidRDefault="00CE6C3C" w:rsidP="008669F7">
      <w:pPr>
        <w:pStyle w:val="Heading3"/>
        <w:spacing w:line="480" w:lineRule="auto"/>
        <w:jc w:val="both"/>
        <w:rPr>
          <w:color w:val="auto"/>
        </w:rPr>
      </w:pPr>
      <w:r w:rsidRPr="00893100">
        <w:rPr>
          <w:color w:val="auto"/>
        </w:rPr>
        <w:lastRenderedPageBreak/>
        <w:t>Ethical Considerations</w:t>
      </w:r>
    </w:p>
    <w:p w:rsidR="00CE6C3C" w:rsidRDefault="00CE6C3C" w:rsidP="008669F7">
      <w:pPr>
        <w:pStyle w:val="NormalWeb"/>
        <w:spacing w:line="480" w:lineRule="auto"/>
        <w:jc w:val="both"/>
      </w:pPr>
      <w:r>
        <w:t>Ethical standards were strictly observed throughout the study. Participation in focused discussions was voluntary, and informed consent was obtained from all participants (Green et al., 2020). Confidentiality and anonymity were maintained, and all data were used solely for academic purposes. The study also ensured accurate representation of participants’ views and proper acknowledgment of all secondary sources to uphold academic integrity.</w:t>
      </w:r>
    </w:p>
    <w:p w:rsidR="00E34471" w:rsidRPr="005D6643" w:rsidRDefault="005E7AFC" w:rsidP="0069023F">
      <w:pPr>
        <w:pStyle w:val="NormalWeb"/>
        <w:spacing w:line="480" w:lineRule="auto"/>
        <w:jc w:val="both"/>
        <w:rPr>
          <w:b/>
        </w:rPr>
      </w:pPr>
      <w:r w:rsidRPr="005D6643">
        <w:rPr>
          <w:b/>
        </w:rPr>
        <w:t>Results</w:t>
      </w:r>
    </w:p>
    <w:p w:rsidR="0069023F" w:rsidRPr="0069023F" w:rsidRDefault="0069023F" w:rsidP="0069023F">
      <w:pPr>
        <w:pStyle w:val="NormalWeb"/>
        <w:spacing w:line="480" w:lineRule="auto"/>
        <w:jc w:val="both"/>
      </w:pPr>
      <w:r w:rsidRPr="0069023F">
        <w:t xml:space="preserve">The findings of this study reveal that the transformation of higher education within the knowledge society is </w:t>
      </w:r>
      <w:proofErr w:type="spellStart"/>
      <w:r w:rsidRPr="0069023F">
        <w:t>characterised</w:t>
      </w:r>
      <w:proofErr w:type="spellEnd"/>
      <w:r w:rsidRPr="0069023F">
        <w:t xml:space="preserve"> by a shift from traditional, institution-</w:t>
      </w:r>
      <w:proofErr w:type="spellStart"/>
      <w:r w:rsidRPr="0069023F">
        <w:t>centred</w:t>
      </w:r>
      <w:proofErr w:type="spellEnd"/>
      <w:r w:rsidRPr="0069023F">
        <w:t xml:space="preserve"> knowledge production toward more networked, collaborative, and innovation-driven systems (</w:t>
      </w:r>
      <w:proofErr w:type="spellStart"/>
      <w:r w:rsidRPr="0069023F">
        <w:t>Gallouj</w:t>
      </w:r>
      <w:proofErr w:type="spellEnd"/>
      <w:r w:rsidRPr="0069023F">
        <w:t xml:space="preserve"> et al., 2023). This transition is not only structural but also epistemological, requiring universities to rethink how knowledge is created, validated, and disseminated.</w:t>
      </w:r>
    </w:p>
    <w:p w:rsidR="0069023F" w:rsidRPr="0069023F" w:rsidRDefault="0069023F" w:rsidP="0069023F">
      <w:pPr>
        <w:pStyle w:val="Heading3"/>
        <w:spacing w:line="480" w:lineRule="auto"/>
        <w:jc w:val="both"/>
        <w:rPr>
          <w:rFonts w:ascii="Times New Roman" w:hAnsi="Times New Roman" w:cs="Times New Roman"/>
          <w:color w:val="auto"/>
          <w:sz w:val="24"/>
          <w:szCs w:val="24"/>
        </w:rPr>
      </w:pPr>
      <w:r w:rsidRPr="0069023F">
        <w:rPr>
          <w:rFonts w:ascii="Times New Roman" w:hAnsi="Times New Roman" w:cs="Times New Roman"/>
          <w:color w:val="auto"/>
          <w:sz w:val="24"/>
          <w:szCs w:val="24"/>
        </w:rPr>
        <w:t xml:space="preserve">Repositioning Universities as Innovation </w:t>
      </w:r>
    </w:p>
    <w:p w:rsidR="0069023F" w:rsidRDefault="0069023F" w:rsidP="0069023F">
      <w:pPr>
        <w:pStyle w:val="NormalWeb"/>
        <w:spacing w:line="480" w:lineRule="auto"/>
        <w:jc w:val="both"/>
      </w:pPr>
      <w:r w:rsidRPr="0069023F">
        <w:t>A central finding is that research and development (R&amp;D) has emerged as a critical driver of competitiveness in knowledge-based economies. Strengthening R&amp;D capacity is closely linked to the generation of innovative processes, products, and services, thereby positioning universities as key actors in economic and social transformation (</w:t>
      </w:r>
      <w:proofErr w:type="spellStart"/>
      <w:r w:rsidRPr="0069023F">
        <w:t>Esnard</w:t>
      </w:r>
      <w:proofErr w:type="spellEnd"/>
      <w:r w:rsidRPr="0069023F">
        <w:t>, 2024). However, achieving this requires expansion of the research workforce and a reorientation of education systems toward interdisciplinary and future-oriented skills.</w:t>
      </w:r>
    </w:p>
    <w:p w:rsidR="005D6643" w:rsidRPr="0069023F" w:rsidRDefault="005D6643" w:rsidP="0069023F">
      <w:pPr>
        <w:pStyle w:val="NormalWeb"/>
        <w:spacing w:line="480" w:lineRule="auto"/>
        <w:jc w:val="both"/>
      </w:pPr>
    </w:p>
    <w:p w:rsidR="0069023F" w:rsidRPr="0069023F" w:rsidRDefault="0069023F" w:rsidP="0069023F">
      <w:pPr>
        <w:pStyle w:val="NormalWeb"/>
        <w:spacing w:line="480" w:lineRule="auto"/>
        <w:jc w:val="both"/>
      </w:pPr>
      <w:r w:rsidRPr="0069023F">
        <w:lastRenderedPageBreak/>
        <w:t xml:space="preserve">This aligns with projections indicating increasing demand for highly qualified professionals, suggesting that universities must play a proactive role in cultivating dynamic human capital (Tung, 2025). Consequently, higher education institutions are transitioning from knowledge transmitters to innovation ecosystems that actively shape </w:t>
      </w:r>
      <w:proofErr w:type="spellStart"/>
      <w:r w:rsidRPr="0069023F">
        <w:t>labour</w:t>
      </w:r>
      <w:proofErr w:type="spellEnd"/>
      <w:r w:rsidRPr="0069023F">
        <w:t xml:space="preserve"> markets and societal development.</w:t>
      </w:r>
    </w:p>
    <w:p w:rsidR="0069023F" w:rsidRPr="0069023F" w:rsidRDefault="0069023F" w:rsidP="0069023F">
      <w:pPr>
        <w:pStyle w:val="Heading3"/>
        <w:spacing w:line="480" w:lineRule="auto"/>
        <w:jc w:val="both"/>
        <w:rPr>
          <w:rFonts w:ascii="Times New Roman" w:hAnsi="Times New Roman" w:cs="Times New Roman"/>
          <w:color w:val="auto"/>
          <w:sz w:val="24"/>
          <w:szCs w:val="24"/>
        </w:rPr>
      </w:pPr>
      <w:r w:rsidRPr="0069023F">
        <w:rPr>
          <w:rFonts w:ascii="Times New Roman" w:hAnsi="Times New Roman" w:cs="Times New Roman"/>
          <w:color w:val="auto"/>
          <w:sz w:val="24"/>
          <w:szCs w:val="24"/>
        </w:rPr>
        <w:t>Policy Convergence and Strategic Reform</w:t>
      </w:r>
    </w:p>
    <w:p w:rsidR="0069023F" w:rsidRPr="0069023F" w:rsidRDefault="0069023F" w:rsidP="0069023F">
      <w:pPr>
        <w:pStyle w:val="NormalWeb"/>
        <w:spacing w:line="480" w:lineRule="auto"/>
        <w:jc w:val="both"/>
      </w:pPr>
      <w:r w:rsidRPr="0069023F">
        <w:t>The analysis further demonstrates that large-scale policy frameworks, such as the Europe 2020 Strategy, have reinforced the strategic importance of higher education in promoting smart, sustainable, and inclusive growth (</w:t>
      </w:r>
      <w:proofErr w:type="spellStart"/>
      <w:r w:rsidRPr="0069023F">
        <w:t>Holz</w:t>
      </w:r>
      <w:proofErr w:type="spellEnd"/>
      <w:r w:rsidRPr="0069023F">
        <w:t xml:space="preserve"> et al., 2025). These frameworks encourage alignment between education, research, and innovation systems.</w:t>
      </w:r>
    </w:p>
    <w:p w:rsidR="0069023F" w:rsidRPr="0069023F" w:rsidRDefault="0069023F" w:rsidP="0069023F">
      <w:pPr>
        <w:pStyle w:val="NormalWeb"/>
        <w:spacing w:line="480" w:lineRule="auto"/>
        <w:jc w:val="both"/>
      </w:pPr>
      <w:r w:rsidRPr="0069023F">
        <w:t xml:space="preserve">However, they also impose multidimensional pressures on universities to achieve excellence, expand access, and maintain efficiency. This necessitates adaptive institutional strategies, including new governance models, diversified funding mechanisms, and stronger stakeholder engagement (Ali &amp; </w:t>
      </w:r>
      <w:proofErr w:type="spellStart"/>
      <w:r w:rsidRPr="0069023F">
        <w:t>Kamraju</w:t>
      </w:r>
      <w:proofErr w:type="spellEnd"/>
      <w:r w:rsidRPr="0069023F">
        <w:t>, 2025).</w:t>
      </w:r>
    </w:p>
    <w:p w:rsidR="0069023F" w:rsidRPr="0069023F" w:rsidRDefault="0069023F" w:rsidP="0069023F">
      <w:pPr>
        <w:pStyle w:val="Heading3"/>
        <w:spacing w:line="480" w:lineRule="auto"/>
        <w:jc w:val="both"/>
        <w:rPr>
          <w:rFonts w:ascii="Times New Roman" w:hAnsi="Times New Roman" w:cs="Times New Roman"/>
          <w:color w:val="auto"/>
          <w:sz w:val="24"/>
          <w:szCs w:val="24"/>
        </w:rPr>
      </w:pPr>
      <w:r w:rsidRPr="0069023F">
        <w:rPr>
          <w:rFonts w:ascii="Times New Roman" w:hAnsi="Times New Roman" w:cs="Times New Roman"/>
          <w:color w:val="auto"/>
          <w:sz w:val="24"/>
          <w:szCs w:val="24"/>
        </w:rPr>
        <w:t>Emergence of Networked Knowledge Production</w:t>
      </w:r>
    </w:p>
    <w:p w:rsidR="0069023F" w:rsidRPr="0069023F" w:rsidRDefault="0069023F" w:rsidP="0069023F">
      <w:pPr>
        <w:pStyle w:val="NormalWeb"/>
        <w:spacing w:line="480" w:lineRule="auto"/>
        <w:jc w:val="both"/>
      </w:pPr>
      <w:r w:rsidRPr="0069023F">
        <w:t>A key finding is the increasing importance of collaborative knowledge production models, particularly those aligned with the Triple Helix framework involving universities, industry, and government. These models signal a shift away from purely disciplinary knowledge systems (E. Williams, 2026).</w:t>
      </w:r>
    </w:p>
    <w:p w:rsidR="0069023F" w:rsidRPr="0069023F" w:rsidRDefault="0069023F" w:rsidP="0069023F">
      <w:pPr>
        <w:pStyle w:val="NormalWeb"/>
        <w:spacing w:line="480" w:lineRule="auto"/>
        <w:jc w:val="both"/>
      </w:pPr>
      <w:r w:rsidRPr="0069023F">
        <w:lastRenderedPageBreak/>
        <w:t>Such collaborations enhance the relevance and applicability of research while fostering innovation that contributes to socio-economic development (</w:t>
      </w:r>
      <w:proofErr w:type="spellStart"/>
      <w:r w:rsidRPr="0069023F">
        <w:t>Celuch</w:t>
      </w:r>
      <w:proofErr w:type="spellEnd"/>
      <w:r w:rsidRPr="0069023F">
        <w:t>, 2026). Universities are thus embedded within complex global and local networks involving private sector actors, civil society, and international partners.</w:t>
      </w:r>
    </w:p>
    <w:p w:rsidR="0069023F" w:rsidRPr="0069023F" w:rsidRDefault="0069023F" w:rsidP="0069023F">
      <w:pPr>
        <w:pStyle w:val="Heading3"/>
        <w:spacing w:line="480" w:lineRule="auto"/>
        <w:jc w:val="both"/>
        <w:rPr>
          <w:rFonts w:ascii="Times New Roman" w:hAnsi="Times New Roman" w:cs="Times New Roman"/>
          <w:color w:val="auto"/>
          <w:sz w:val="24"/>
          <w:szCs w:val="24"/>
        </w:rPr>
      </w:pPr>
      <w:r w:rsidRPr="0069023F">
        <w:rPr>
          <w:rFonts w:ascii="Times New Roman" w:hAnsi="Times New Roman" w:cs="Times New Roman"/>
          <w:color w:val="auto"/>
          <w:sz w:val="24"/>
          <w:szCs w:val="24"/>
        </w:rPr>
        <w:t>Integration of Indigenous Knowledge Systems</w:t>
      </w:r>
    </w:p>
    <w:p w:rsidR="0069023F" w:rsidRPr="0069023F" w:rsidRDefault="0069023F" w:rsidP="0069023F">
      <w:pPr>
        <w:pStyle w:val="NormalWeb"/>
        <w:spacing w:line="480" w:lineRule="auto"/>
        <w:jc w:val="both"/>
      </w:pPr>
      <w:r w:rsidRPr="0069023F">
        <w:t xml:space="preserve">One of the most significant and novel contributions of this study is the identification of the </w:t>
      </w:r>
      <w:r w:rsidRPr="002815BA">
        <w:rPr>
          <w:rStyle w:val="Strong"/>
          <w:b w:val="0"/>
        </w:rPr>
        <w:t>integration of indigenous knowledge systems with modern knowledge infrastructures</w:t>
      </w:r>
      <w:r w:rsidRPr="0069023F">
        <w:t xml:space="preserve"> as an emerging frontier in higher education (Pandit &amp; Paul, 2023). Indigenous knowledge provides context-specific, culturally embedded insights that remain </w:t>
      </w:r>
      <w:proofErr w:type="spellStart"/>
      <w:r w:rsidRPr="0069023F">
        <w:t>underutilised</w:t>
      </w:r>
      <w:proofErr w:type="spellEnd"/>
      <w:r w:rsidRPr="0069023F">
        <w:t xml:space="preserve"> in formal academic systems.</w:t>
      </w:r>
    </w:p>
    <w:p w:rsidR="0069023F" w:rsidRPr="0069023F" w:rsidRDefault="0069023F" w:rsidP="0069023F">
      <w:pPr>
        <w:pStyle w:val="NormalWeb"/>
        <w:spacing w:line="480" w:lineRule="auto"/>
        <w:jc w:val="both"/>
      </w:pPr>
      <w:r w:rsidRPr="0069023F">
        <w:t>The findings demonstrate that integrating indigenous knowledge into research and teaching enhances innovation diversity, inclusivity, and social relevance (</w:t>
      </w:r>
      <w:proofErr w:type="spellStart"/>
      <w:r w:rsidRPr="0069023F">
        <w:t>Pranjol</w:t>
      </w:r>
      <w:proofErr w:type="spellEnd"/>
      <w:r w:rsidRPr="0069023F">
        <w:t xml:space="preserve"> &amp; Amir, 2025). Universities increasingly function as intermediary platforms facilitating dialogue between local knowledge holders and global scientific communities (Choudhury, 2025).</w:t>
      </w:r>
    </w:p>
    <w:p w:rsidR="0069023F" w:rsidRPr="002815BA" w:rsidRDefault="0069023F" w:rsidP="0069023F">
      <w:pPr>
        <w:pStyle w:val="Heading3"/>
        <w:spacing w:line="480" w:lineRule="auto"/>
        <w:jc w:val="both"/>
        <w:rPr>
          <w:rFonts w:ascii="Times New Roman" w:hAnsi="Times New Roman" w:cs="Times New Roman"/>
          <w:color w:val="auto"/>
          <w:sz w:val="24"/>
          <w:szCs w:val="24"/>
        </w:rPr>
      </w:pPr>
      <w:r w:rsidRPr="002815BA">
        <w:rPr>
          <w:rFonts w:ascii="Times New Roman" w:hAnsi="Times New Roman" w:cs="Times New Roman"/>
          <w:color w:val="auto"/>
          <w:sz w:val="24"/>
          <w:szCs w:val="24"/>
        </w:rPr>
        <w:t>Technological Innovation as an Enabler of Knowledge</w:t>
      </w:r>
    </w:p>
    <w:p w:rsidR="0069023F" w:rsidRPr="0069023F" w:rsidRDefault="0069023F" w:rsidP="0069023F">
      <w:pPr>
        <w:pStyle w:val="NormalWeb"/>
        <w:spacing w:line="480" w:lineRule="auto"/>
        <w:jc w:val="both"/>
      </w:pPr>
      <w:r w:rsidRPr="0069023F">
        <w:t xml:space="preserve">The findings further highlight the dual role of digital technologies. Beyond accelerating knowledge production, they provide new opportunities for documenting, preserving, and disseminating indigenous knowledge (B. Williams, 2025; Maggie &amp; </w:t>
      </w:r>
      <w:proofErr w:type="spellStart"/>
      <w:r w:rsidRPr="0069023F">
        <w:t>Thulisile</w:t>
      </w:r>
      <w:proofErr w:type="spellEnd"/>
      <w:r w:rsidRPr="0069023F">
        <w:t>, 2025).</w:t>
      </w:r>
    </w:p>
    <w:p w:rsidR="0069023F" w:rsidRPr="0069023F" w:rsidRDefault="0069023F" w:rsidP="002815BA">
      <w:pPr>
        <w:pStyle w:val="NormalWeb"/>
        <w:spacing w:line="480" w:lineRule="auto"/>
        <w:jc w:val="both"/>
      </w:pPr>
      <w:r w:rsidRPr="0069023F">
        <w:t xml:space="preserve">This enables more inclusive knowledge ecosystems, where </w:t>
      </w:r>
      <w:proofErr w:type="spellStart"/>
      <w:r w:rsidRPr="0069023F">
        <w:t>marginalised</w:t>
      </w:r>
      <w:proofErr w:type="spellEnd"/>
      <w:r w:rsidRPr="0069023F">
        <w:t xml:space="preserve"> perspectives can be incorporated into mainstream academic discourse. Universities are therefore required to adopt </w:t>
      </w:r>
      <w:r w:rsidRPr="0069023F">
        <w:lastRenderedPageBreak/>
        <w:t>technologies not only for efficiency but also to promote equitable access and participatory knowledge creation.</w:t>
      </w:r>
    </w:p>
    <w:p w:rsidR="0069023F" w:rsidRPr="00117C32" w:rsidRDefault="0069023F" w:rsidP="0069023F">
      <w:pPr>
        <w:pStyle w:val="Heading3"/>
        <w:spacing w:line="480" w:lineRule="auto"/>
        <w:jc w:val="both"/>
        <w:rPr>
          <w:rFonts w:ascii="Times New Roman" w:hAnsi="Times New Roman" w:cs="Times New Roman"/>
          <w:color w:val="auto"/>
          <w:sz w:val="24"/>
          <w:szCs w:val="24"/>
        </w:rPr>
      </w:pPr>
      <w:r w:rsidRPr="00117C32">
        <w:rPr>
          <w:rFonts w:ascii="Times New Roman" w:hAnsi="Times New Roman" w:cs="Times New Roman"/>
          <w:color w:val="auto"/>
          <w:sz w:val="24"/>
          <w:szCs w:val="24"/>
        </w:rPr>
        <w:t>Table 1: Key Transformations in Higher Education within the Knowledge Society</w:t>
      </w:r>
    </w:p>
    <w:tbl>
      <w:tblPr>
        <w:tblStyle w:val="TableGrid"/>
        <w:tblW w:w="0" w:type="auto"/>
        <w:tblLook w:val="04A0" w:firstRow="1" w:lastRow="0" w:firstColumn="1" w:lastColumn="0" w:noHBand="0" w:noVBand="1"/>
      </w:tblPr>
      <w:tblGrid>
        <w:gridCol w:w="9576"/>
      </w:tblGrid>
      <w:tr w:rsidR="00F97100" w:rsidTr="00F97100">
        <w:trPr>
          <w:trHeight w:val="1140"/>
        </w:trPr>
        <w:tc>
          <w:tcPr>
            <w:tcW w:w="9576" w:type="dxa"/>
          </w:tcPr>
          <w:p w:rsidR="00F97100" w:rsidRPr="00972D63" w:rsidRDefault="009F1AA6" w:rsidP="009F1AA6">
            <w:pPr>
              <w:widowControl/>
              <w:autoSpaceDE/>
              <w:autoSpaceDN/>
              <w:spacing w:after="200" w:line="276" w:lineRule="auto"/>
              <w:rPr>
                <w:b/>
                <w:bCs/>
                <w:sz w:val="24"/>
                <w:szCs w:val="24"/>
              </w:rPr>
            </w:pPr>
            <w:r w:rsidRPr="00972D63">
              <w:rPr>
                <w:b/>
                <w:bCs/>
                <w:sz w:val="24"/>
                <w:szCs w:val="24"/>
              </w:rPr>
              <w:t xml:space="preserve">Dimension </w:t>
            </w:r>
            <w:r>
              <w:rPr>
                <w:b/>
                <w:bCs/>
                <w:sz w:val="24"/>
                <w:szCs w:val="24"/>
              </w:rPr>
              <w:t xml:space="preserve">            </w:t>
            </w:r>
            <w:r w:rsidRPr="00972D63">
              <w:rPr>
                <w:b/>
                <w:bCs/>
                <w:sz w:val="24"/>
                <w:szCs w:val="24"/>
              </w:rPr>
              <w:t xml:space="preserve">Traditional Model </w:t>
            </w:r>
            <w:r>
              <w:rPr>
                <w:b/>
                <w:bCs/>
                <w:sz w:val="24"/>
                <w:szCs w:val="24"/>
              </w:rPr>
              <w:t xml:space="preserve">      </w:t>
            </w:r>
            <w:r w:rsidRPr="00972D63">
              <w:rPr>
                <w:b/>
                <w:bCs/>
                <w:sz w:val="24"/>
                <w:szCs w:val="24"/>
              </w:rPr>
              <w:t>Emerging Model</w:t>
            </w:r>
            <w:r>
              <w:rPr>
                <w:b/>
                <w:bCs/>
                <w:sz w:val="24"/>
                <w:szCs w:val="24"/>
              </w:rPr>
              <w:t xml:space="preserve">                  </w:t>
            </w:r>
            <w:r w:rsidRPr="00972D63">
              <w:rPr>
                <w:b/>
                <w:bCs/>
                <w:sz w:val="24"/>
                <w:szCs w:val="24"/>
              </w:rPr>
              <w:t>Key Implication</w:t>
            </w:r>
          </w:p>
        </w:tc>
      </w:tr>
      <w:tr w:rsidR="00F97100" w:rsidTr="00AA69C0">
        <w:trPr>
          <w:trHeight w:val="1340"/>
        </w:trPr>
        <w:tc>
          <w:tcPr>
            <w:tcW w:w="957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8"/>
              <w:gridCol w:w="1910"/>
              <w:gridCol w:w="2906"/>
              <w:gridCol w:w="2696"/>
            </w:tblGrid>
            <w:tr w:rsidR="00F97100" w:rsidRPr="00972D63" w:rsidTr="00972D63">
              <w:trPr>
                <w:tblHeader/>
                <w:tblCellSpacing w:w="15" w:type="dxa"/>
              </w:trPr>
              <w:tc>
                <w:tcPr>
                  <w:tcW w:w="0" w:type="auto"/>
                  <w:vAlign w:val="center"/>
                  <w:hideMark/>
                </w:tcPr>
                <w:p w:rsidR="00F97100" w:rsidRPr="00972D63" w:rsidRDefault="00F97100" w:rsidP="00454DA1">
                  <w:pPr>
                    <w:spacing w:line="480" w:lineRule="auto"/>
                    <w:jc w:val="both"/>
                    <w:rPr>
                      <w:b/>
                      <w:bCs/>
                      <w:sz w:val="24"/>
                      <w:szCs w:val="24"/>
                    </w:rPr>
                  </w:pPr>
                </w:p>
              </w:tc>
              <w:tc>
                <w:tcPr>
                  <w:tcW w:w="0" w:type="auto"/>
                  <w:tcBorders>
                    <w:left w:val="single" w:sz="4" w:space="0" w:color="auto"/>
                    <w:right w:val="single" w:sz="4" w:space="0" w:color="auto"/>
                  </w:tcBorders>
                  <w:vAlign w:val="center"/>
                  <w:hideMark/>
                </w:tcPr>
                <w:p w:rsidR="00F97100" w:rsidRPr="00972D63" w:rsidRDefault="00F97100" w:rsidP="00454DA1">
                  <w:pPr>
                    <w:spacing w:line="480" w:lineRule="auto"/>
                    <w:jc w:val="both"/>
                    <w:rPr>
                      <w:b/>
                      <w:bCs/>
                      <w:sz w:val="24"/>
                      <w:szCs w:val="24"/>
                    </w:rPr>
                  </w:pPr>
                </w:p>
              </w:tc>
              <w:tc>
                <w:tcPr>
                  <w:tcW w:w="0" w:type="auto"/>
                  <w:vAlign w:val="center"/>
                  <w:hideMark/>
                </w:tcPr>
                <w:p w:rsidR="00F97100" w:rsidRPr="00972D63" w:rsidRDefault="00F97100" w:rsidP="00454DA1">
                  <w:pPr>
                    <w:spacing w:line="480" w:lineRule="auto"/>
                    <w:jc w:val="both"/>
                    <w:rPr>
                      <w:b/>
                      <w:bCs/>
                      <w:sz w:val="24"/>
                      <w:szCs w:val="24"/>
                    </w:rPr>
                  </w:pPr>
                </w:p>
              </w:tc>
              <w:tc>
                <w:tcPr>
                  <w:tcW w:w="0" w:type="auto"/>
                  <w:tcBorders>
                    <w:left w:val="single" w:sz="4" w:space="0" w:color="auto"/>
                  </w:tcBorders>
                  <w:vAlign w:val="center"/>
                  <w:hideMark/>
                </w:tcPr>
                <w:p w:rsidR="00F97100" w:rsidRPr="00972D63" w:rsidRDefault="00F97100" w:rsidP="00454DA1">
                  <w:pPr>
                    <w:spacing w:line="480" w:lineRule="auto"/>
                    <w:jc w:val="both"/>
                    <w:rPr>
                      <w:b/>
                      <w:bCs/>
                      <w:sz w:val="24"/>
                      <w:szCs w:val="24"/>
                    </w:rPr>
                  </w:pPr>
                </w:p>
              </w:tc>
            </w:tr>
            <w:tr w:rsidR="00F97100" w:rsidRPr="00972D63" w:rsidTr="00F97100">
              <w:trPr>
                <w:tblCellSpacing w:w="15" w:type="dxa"/>
              </w:trPr>
              <w:tc>
                <w:tcPr>
                  <w:tcW w:w="0" w:type="auto"/>
                  <w:tcBorders>
                    <w:bottom w:val="single" w:sz="4" w:space="0" w:color="auto"/>
                  </w:tcBorders>
                  <w:vAlign w:val="center"/>
                  <w:hideMark/>
                </w:tcPr>
                <w:p w:rsidR="00F97100" w:rsidRPr="00972D63" w:rsidRDefault="00F97100" w:rsidP="00454DA1">
                  <w:pPr>
                    <w:spacing w:line="480" w:lineRule="auto"/>
                    <w:jc w:val="both"/>
                    <w:rPr>
                      <w:sz w:val="24"/>
                      <w:szCs w:val="24"/>
                    </w:rPr>
                  </w:pPr>
                  <w:r w:rsidRPr="00972D63">
                    <w:rPr>
                      <w:sz w:val="24"/>
                      <w:szCs w:val="24"/>
                    </w:rPr>
                    <w:t>Knowledge Production</w:t>
                  </w:r>
                </w:p>
              </w:tc>
              <w:tc>
                <w:tcPr>
                  <w:tcW w:w="0" w:type="auto"/>
                  <w:tcBorders>
                    <w:left w:val="single" w:sz="4" w:space="0" w:color="auto"/>
                    <w:bottom w:val="single" w:sz="4" w:space="0" w:color="auto"/>
                    <w:right w:val="single" w:sz="4" w:space="0" w:color="auto"/>
                  </w:tcBorders>
                  <w:vAlign w:val="center"/>
                  <w:hideMark/>
                </w:tcPr>
                <w:p w:rsidR="00F97100" w:rsidRPr="00972D63" w:rsidRDefault="00F97100" w:rsidP="00454DA1">
                  <w:pPr>
                    <w:spacing w:line="480" w:lineRule="auto"/>
                    <w:jc w:val="both"/>
                    <w:rPr>
                      <w:sz w:val="24"/>
                      <w:szCs w:val="24"/>
                    </w:rPr>
                  </w:pPr>
                  <w:r w:rsidRPr="00972D63">
                    <w:rPr>
                      <w:sz w:val="24"/>
                      <w:szCs w:val="24"/>
                    </w:rPr>
                    <w:t>Institution-</w:t>
                  </w:r>
                  <w:proofErr w:type="spellStart"/>
                  <w:r w:rsidRPr="00972D63">
                    <w:rPr>
                      <w:sz w:val="24"/>
                      <w:szCs w:val="24"/>
                    </w:rPr>
                    <w:t>centred</w:t>
                  </w:r>
                  <w:proofErr w:type="spellEnd"/>
                </w:p>
              </w:tc>
              <w:tc>
                <w:tcPr>
                  <w:tcW w:w="0" w:type="auto"/>
                  <w:tcBorders>
                    <w:bottom w:val="single" w:sz="4" w:space="0" w:color="auto"/>
                  </w:tcBorders>
                  <w:vAlign w:val="center"/>
                  <w:hideMark/>
                </w:tcPr>
                <w:p w:rsidR="00F97100" w:rsidRPr="00972D63" w:rsidRDefault="00F97100" w:rsidP="00454DA1">
                  <w:pPr>
                    <w:spacing w:line="480" w:lineRule="auto"/>
                    <w:jc w:val="both"/>
                    <w:rPr>
                      <w:sz w:val="24"/>
                      <w:szCs w:val="24"/>
                    </w:rPr>
                  </w:pPr>
                  <w:r w:rsidRPr="00972D63">
                    <w:rPr>
                      <w:sz w:val="24"/>
                      <w:szCs w:val="24"/>
                    </w:rPr>
                    <w:t>Networked and collaborative</w:t>
                  </w:r>
                </w:p>
              </w:tc>
              <w:tc>
                <w:tcPr>
                  <w:tcW w:w="0" w:type="auto"/>
                  <w:tcBorders>
                    <w:left w:val="single" w:sz="4" w:space="0" w:color="auto"/>
                    <w:bottom w:val="single" w:sz="4" w:space="0" w:color="auto"/>
                  </w:tcBorders>
                  <w:vAlign w:val="center"/>
                  <w:hideMark/>
                </w:tcPr>
                <w:p w:rsidR="00F97100" w:rsidRPr="00972D63" w:rsidRDefault="00F97100" w:rsidP="00454DA1">
                  <w:pPr>
                    <w:spacing w:line="480" w:lineRule="auto"/>
                    <w:jc w:val="both"/>
                    <w:rPr>
                      <w:sz w:val="24"/>
                      <w:szCs w:val="24"/>
                    </w:rPr>
                  </w:pPr>
                  <w:r w:rsidRPr="00972D63">
                    <w:rPr>
                      <w:sz w:val="24"/>
                      <w:szCs w:val="24"/>
                    </w:rPr>
                    <w:t>Increased external partnerships</w:t>
                  </w:r>
                </w:p>
              </w:tc>
            </w:tr>
            <w:tr w:rsidR="00F97100" w:rsidRPr="00972D63" w:rsidTr="00F97100">
              <w:trPr>
                <w:trHeight w:val="920"/>
                <w:tblCellSpacing w:w="15" w:type="dxa"/>
              </w:trPr>
              <w:tc>
                <w:tcPr>
                  <w:tcW w:w="0" w:type="auto"/>
                  <w:tcBorders>
                    <w:bottom w:val="single" w:sz="4" w:space="0" w:color="auto"/>
                  </w:tcBorders>
                  <w:vAlign w:val="center"/>
                  <w:hideMark/>
                </w:tcPr>
                <w:p w:rsidR="00F97100" w:rsidRPr="00972D63" w:rsidRDefault="00F97100" w:rsidP="00454DA1">
                  <w:pPr>
                    <w:spacing w:line="480" w:lineRule="auto"/>
                    <w:jc w:val="both"/>
                    <w:rPr>
                      <w:sz w:val="24"/>
                      <w:szCs w:val="24"/>
                    </w:rPr>
                  </w:pPr>
                  <w:r w:rsidRPr="00972D63">
                    <w:rPr>
                      <w:sz w:val="24"/>
                      <w:szCs w:val="24"/>
                    </w:rPr>
                    <w:t>Role of Universities</w:t>
                  </w:r>
                </w:p>
              </w:tc>
              <w:tc>
                <w:tcPr>
                  <w:tcW w:w="0" w:type="auto"/>
                  <w:tcBorders>
                    <w:left w:val="single" w:sz="4" w:space="0" w:color="auto"/>
                    <w:bottom w:val="single" w:sz="4" w:space="0" w:color="auto"/>
                    <w:right w:val="single" w:sz="4" w:space="0" w:color="auto"/>
                  </w:tcBorders>
                  <w:vAlign w:val="center"/>
                  <w:hideMark/>
                </w:tcPr>
                <w:p w:rsidR="00F97100" w:rsidRPr="00972D63" w:rsidRDefault="00F97100" w:rsidP="00454DA1">
                  <w:pPr>
                    <w:spacing w:line="480" w:lineRule="auto"/>
                    <w:jc w:val="both"/>
                    <w:rPr>
                      <w:sz w:val="24"/>
                      <w:szCs w:val="24"/>
                    </w:rPr>
                  </w:pPr>
                  <w:r w:rsidRPr="00972D63">
                    <w:rPr>
                      <w:sz w:val="24"/>
                      <w:szCs w:val="24"/>
                    </w:rPr>
                    <w:t>Knowledge transmitters</w:t>
                  </w:r>
                </w:p>
              </w:tc>
              <w:tc>
                <w:tcPr>
                  <w:tcW w:w="0" w:type="auto"/>
                  <w:tcBorders>
                    <w:bottom w:val="single" w:sz="4" w:space="0" w:color="auto"/>
                  </w:tcBorders>
                  <w:vAlign w:val="center"/>
                  <w:hideMark/>
                </w:tcPr>
                <w:p w:rsidR="00F97100" w:rsidRPr="00972D63" w:rsidRDefault="00F97100" w:rsidP="00454DA1">
                  <w:pPr>
                    <w:spacing w:line="480" w:lineRule="auto"/>
                    <w:jc w:val="both"/>
                    <w:rPr>
                      <w:sz w:val="24"/>
                      <w:szCs w:val="24"/>
                    </w:rPr>
                  </w:pPr>
                  <w:r w:rsidRPr="00972D63">
                    <w:rPr>
                      <w:sz w:val="24"/>
                      <w:szCs w:val="24"/>
                    </w:rPr>
                    <w:t>Innovation hubs</w:t>
                  </w:r>
                </w:p>
              </w:tc>
              <w:tc>
                <w:tcPr>
                  <w:tcW w:w="0" w:type="auto"/>
                  <w:tcBorders>
                    <w:left w:val="single" w:sz="4" w:space="0" w:color="auto"/>
                    <w:bottom w:val="single" w:sz="4" w:space="0" w:color="auto"/>
                  </w:tcBorders>
                  <w:vAlign w:val="center"/>
                  <w:hideMark/>
                </w:tcPr>
                <w:p w:rsidR="00F97100" w:rsidRPr="00972D63" w:rsidRDefault="00F97100" w:rsidP="00454DA1">
                  <w:pPr>
                    <w:spacing w:line="480" w:lineRule="auto"/>
                    <w:jc w:val="both"/>
                    <w:rPr>
                      <w:sz w:val="24"/>
                      <w:szCs w:val="24"/>
                    </w:rPr>
                  </w:pPr>
                  <w:r w:rsidRPr="00972D63">
                    <w:rPr>
                      <w:sz w:val="24"/>
                      <w:szCs w:val="24"/>
                    </w:rPr>
                    <w:t>Active role in economic development</w:t>
                  </w:r>
                </w:p>
              </w:tc>
            </w:tr>
            <w:tr w:rsidR="00F97100" w:rsidRPr="00972D63" w:rsidTr="00F97100">
              <w:trPr>
                <w:trHeight w:val="190"/>
                <w:tblCellSpacing w:w="15" w:type="dxa"/>
              </w:trPr>
              <w:tc>
                <w:tcPr>
                  <w:tcW w:w="0" w:type="auto"/>
                  <w:tcBorders>
                    <w:top w:val="single" w:sz="4" w:space="0" w:color="auto"/>
                  </w:tcBorders>
                  <w:vAlign w:val="center"/>
                </w:tcPr>
                <w:p w:rsidR="00F97100" w:rsidRPr="00972D63" w:rsidRDefault="00F97100" w:rsidP="00454DA1">
                  <w:pPr>
                    <w:spacing w:line="480" w:lineRule="auto"/>
                    <w:jc w:val="both"/>
                    <w:rPr>
                      <w:sz w:val="24"/>
                      <w:szCs w:val="24"/>
                    </w:rPr>
                  </w:pPr>
                </w:p>
              </w:tc>
              <w:tc>
                <w:tcPr>
                  <w:tcW w:w="0" w:type="auto"/>
                  <w:tcBorders>
                    <w:top w:val="single" w:sz="4" w:space="0" w:color="auto"/>
                    <w:left w:val="single" w:sz="4" w:space="0" w:color="auto"/>
                    <w:right w:val="single" w:sz="4" w:space="0" w:color="auto"/>
                  </w:tcBorders>
                  <w:vAlign w:val="center"/>
                </w:tcPr>
                <w:p w:rsidR="00F97100" w:rsidRPr="00972D63" w:rsidRDefault="00F97100" w:rsidP="00454DA1">
                  <w:pPr>
                    <w:spacing w:line="480" w:lineRule="auto"/>
                    <w:jc w:val="both"/>
                    <w:rPr>
                      <w:sz w:val="24"/>
                      <w:szCs w:val="24"/>
                    </w:rPr>
                  </w:pPr>
                </w:p>
              </w:tc>
              <w:tc>
                <w:tcPr>
                  <w:tcW w:w="0" w:type="auto"/>
                  <w:tcBorders>
                    <w:top w:val="single" w:sz="4" w:space="0" w:color="auto"/>
                  </w:tcBorders>
                  <w:vAlign w:val="center"/>
                </w:tcPr>
                <w:p w:rsidR="00F97100" w:rsidRPr="00972D63" w:rsidRDefault="00F97100" w:rsidP="00454DA1">
                  <w:pPr>
                    <w:spacing w:line="480" w:lineRule="auto"/>
                    <w:jc w:val="both"/>
                    <w:rPr>
                      <w:sz w:val="24"/>
                      <w:szCs w:val="24"/>
                    </w:rPr>
                  </w:pPr>
                </w:p>
              </w:tc>
              <w:tc>
                <w:tcPr>
                  <w:tcW w:w="0" w:type="auto"/>
                  <w:tcBorders>
                    <w:top w:val="single" w:sz="4" w:space="0" w:color="auto"/>
                    <w:left w:val="single" w:sz="4" w:space="0" w:color="auto"/>
                  </w:tcBorders>
                  <w:vAlign w:val="center"/>
                </w:tcPr>
                <w:p w:rsidR="00F97100" w:rsidRPr="00972D63" w:rsidRDefault="00F97100" w:rsidP="00454DA1">
                  <w:pPr>
                    <w:spacing w:line="480" w:lineRule="auto"/>
                    <w:jc w:val="both"/>
                    <w:rPr>
                      <w:sz w:val="24"/>
                      <w:szCs w:val="24"/>
                    </w:rPr>
                  </w:pPr>
                </w:p>
              </w:tc>
            </w:tr>
            <w:tr w:rsidR="00F97100" w:rsidRPr="00972D63" w:rsidTr="00F97100">
              <w:trPr>
                <w:tblCellSpacing w:w="15" w:type="dxa"/>
              </w:trPr>
              <w:tc>
                <w:tcPr>
                  <w:tcW w:w="0" w:type="auto"/>
                  <w:tcBorders>
                    <w:bottom w:val="single" w:sz="4" w:space="0" w:color="auto"/>
                  </w:tcBorders>
                  <w:vAlign w:val="center"/>
                  <w:hideMark/>
                </w:tcPr>
                <w:p w:rsidR="00F97100" w:rsidRPr="00972D63" w:rsidRDefault="00F97100" w:rsidP="00454DA1">
                  <w:pPr>
                    <w:spacing w:line="480" w:lineRule="auto"/>
                    <w:jc w:val="both"/>
                    <w:rPr>
                      <w:sz w:val="24"/>
                      <w:szCs w:val="24"/>
                    </w:rPr>
                  </w:pPr>
                  <w:r w:rsidRPr="00972D63">
                    <w:rPr>
                      <w:sz w:val="24"/>
                      <w:szCs w:val="24"/>
                    </w:rPr>
                    <w:t>Research Approach</w:t>
                  </w:r>
                </w:p>
              </w:tc>
              <w:tc>
                <w:tcPr>
                  <w:tcW w:w="0" w:type="auto"/>
                  <w:tcBorders>
                    <w:left w:val="single" w:sz="4" w:space="0" w:color="auto"/>
                    <w:bottom w:val="single" w:sz="4" w:space="0" w:color="auto"/>
                    <w:right w:val="single" w:sz="4" w:space="0" w:color="auto"/>
                  </w:tcBorders>
                  <w:vAlign w:val="center"/>
                  <w:hideMark/>
                </w:tcPr>
                <w:p w:rsidR="00F97100" w:rsidRPr="00972D63" w:rsidRDefault="00F97100" w:rsidP="00454DA1">
                  <w:pPr>
                    <w:spacing w:line="480" w:lineRule="auto"/>
                    <w:jc w:val="both"/>
                    <w:rPr>
                      <w:sz w:val="24"/>
                      <w:szCs w:val="24"/>
                    </w:rPr>
                  </w:pPr>
                  <w:r w:rsidRPr="00972D63">
                    <w:rPr>
                      <w:sz w:val="24"/>
                      <w:szCs w:val="24"/>
                    </w:rPr>
                    <w:t>Disciplinary</w:t>
                  </w:r>
                </w:p>
              </w:tc>
              <w:tc>
                <w:tcPr>
                  <w:tcW w:w="0" w:type="auto"/>
                  <w:tcBorders>
                    <w:bottom w:val="single" w:sz="4" w:space="0" w:color="auto"/>
                  </w:tcBorders>
                  <w:vAlign w:val="center"/>
                  <w:hideMark/>
                </w:tcPr>
                <w:p w:rsidR="00F97100" w:rsidRPr="00972D63" w:rsidRDefault="00F97100" w:rsidP="00454DA1">
                  <w:pPr>
                    <w:spacing w:line="480" w:lineRule="auto"/>
                    <w:jc w:val="both"/>
                    <w:rPr>
                      <w:sz w:val="24"/>
                      <w:szCs w:val="24"/>
                    </w:rPr>
                  </w:pPr>
                  <w:r w:rsidRPr="00972D63">
                    <w:rPr>
                      <w:sz w:val="24"/>
                      <w:szCs w:val="24"/>
                    </w:rPr>
                    <w:t>Interdisciplinary</w:t>
                  </w:r>
                </w:p>
              </w:tc>
              <w:tc>
                <w:tcPr>
                  <w:tcW w:w="0" w:type="auto"/>
                  <w:tcBorders>
                    <w:left w:val="single" w:sz="4" w:space="0" w:color="auto"/>
                    <w:bottom w:val="single" w:sz="4" w:space="0" w:color="auto"/>
                  </w:tcBorders>
                  <w:vAlign w:val="center"/>
                  <w:hideMark/>
                </w:tcPr>
                <w:p w:rsidR="00F97100" w:rsidRPr="00972D63" w:rsidRDefault="00F97100" w:rsidP="00454DA1">
                  <w:pPr>
                    <w:spacing w:line="480" w:lineRule="auto"/>
                    <w:jc w:val="both"/>
                    <w:rPr>
                      <w:sz w:val="24"/>
                      <w:szCs w:val="24"/>
                    </w:rPr>
                  </w:pPr>
                  <w:r w:rsidRPr="00972D63">
                    <w:rPr>
                      <w:sz w:val="24"/>
                      <w:szCs w:val="24"/>
                    </w:rPr>
                    <w:t>Broader problem-solving capacity</w:t>
                  </w:r>
                </w:p>
              </w:tc>
            </w:tr>
            <w:tr w:rsidR="00F97100" w:rsidRPr="00972D63" w:rsidTr="00F97100">
              <w:trPr>
                <w:trHeight w:val="860"/>
                <w:tblCellSpacing w:w="15" w:type="dxa"/>
              </w:trPr>
              <w:tc>
                <w:tcPr>
                  <w:tcW w:w="0" w:type="auto"/>
                  <w:tcBorders>
                    <w:bottom w:val="single" w:sz="4" w:space="0" w:color="auto"/>
                  </w:tcBorders>
                  <w:vAlign w:val="center"/>
                  <w:hideMark/>
                </w:tcPr>
                <w:p w:rsidR="00F97100" w:rsidRPr="00972D63" w:rsidRDefault="00F97100" w:rsidP="00454DA1">
                  <w:pPr>
                    <w:spacing w:line="480" w:lineRule="auto"/>
                    <w:jc w:val="both"/>
                    <w:rPr>
                      <w:sz w:val="24"/>
                      <w:szCs w:val="24"/>
                    </w:rPr>
                  </w:pPr>
                  <w:r w:rsidRPr="00972D63">
                    <w:rPr>
                      <w:sz w:val="24"/>
                      <w:szCs w:val="24"/>
                    </w:rPr>
                    <w:t>Knowledge Systems</w:t>
                  </w:r>
                </w:p>
              </w:tc>
              <w:tc>
                <w:tcPr>
                  <w:tcW w:w="0" w:type="auto"/>
                  <w:tcBorders>
                    <w:left w:val="single" w:sz="4" w:space="0" w:color="auto"/>
                    <w:bottom w:val="single" w:sz="4" w:space="0" w:color="auto"/>
                    <w:right w:val="single" w:sz="4" w:space="0" w:color="auto"/>
                  </w:tcBorders>
                  <w:vAlign w:val="center"/>
                  <w:hideMark/>
                </w:tcPr>
                <w:p w:rsidR="00F97100" w:rsidRPr="00972D63" w:rsidRDefault="00F97100" w:rsidP="00454DA1">
                  <w:pPr>
                    <w:spacing w:line="480" w:lineRule="auto"/>
                    <w:jc w:val="both"/>
                    <w:rPr>
                      <w:sz w:val="24"/>
                      <w:szCs w:val="24"/>
                    </w:rPr>
                  </w:pPr>
                  <w:r w:rsidRPr="00972D63">
                    <w:rPr>
                      <w:sz w:val="24"/>
                      <w:szCs w:val="24"/>
                    </w:rPr>
                    <w:t>Scientific dominance</w:t>
                  </w:r>
                </w:p>
              </w:tc>
              <w:tc>
                <w:tcPr>
                  <w:tcW w:w="0" w:type="auto"/>
                  <w:tcBorders>
                    <w:bottom w:val="single" w:sz="4" w:space="0" w:color="auto"/>
                  </w:tcBorders>
                  <w:vAlign w:val="center"/>
                  <w:hideMark/>
                </w:tcPr>
                <w:p w:rsidR="00F97100" w:rsidRPr="00972D63" w:rsidRDefault="00F97100" w:rsidP="00454DA1">
                  <w:pPr>
                    <w:spacing w:line="480" w:lineRule="auto"/>
                    <w:jc w:val="both"/>
                    <w:rPr>
                      <w:sz w:val="24"/>
                      <w:szCs w:val="24"/>
                    </w:rPr>
                  </w:pPr>
                  <w:r w:rsidRPr="00972D63">
                    <w:rPr>
                      <w:sz w:val="24"/>
                      <w:szCs w:val="24"/>
                    </w:rPr>
                    <w:t>Integration with indigenous knowledge</w:t>
                  </w:r>
                </w:p>
              </w:tc>
              <w:tc>
                <w:tcPr>
                  <w:tcW w:w="0" w:type="auto"/>
                  <w:tcBorders>
                    <w:left w:val="single" w:sz="4" w:space="0" w:color="auto"/>
                    <w:bottom w:val="single" w:sz="4" w:space="0" w:color="auto"/>
                  </w:tcBorders>
                  <w:vAlign w:val="center"/>
                  <w:hideMark/>
                </w:tcPr>
                <w:p w:rsidR="00F97100" w:rsidRPr="00972D63" w:rsidRDefault="00F97100" w:rsidP="00454DA1">
                  <w:pPr>
                    <w:spacing w:line="480" w:lineRule="auto"/>
                    <w:jc w:val="both"/>
                    <w:rPr>
                      <w:sz w:val="24"/>
                      <w:szCs w:val="24"/>
                    </w:rPr>
                  </w:pPr>
                  <w:r w:rsidRPr="00972D63">
                    <w:rPr>
                      <w:sz w:val="24"/>
                      <w:szCs w:val="24"/>
                    </w:rPr>
                    <w:t>Greater inclusivity and relevance</w:t>
                  </w:r>
                </w:p>
              </w:tc>
            </w:tr>
            <w:tr w:rsidR="00F97100" w:rsidRPr="00972D63" w:rsidTr="00F97100">
              <w:trPr>
                <w:trHeight w:val="240"/>
                <w:tblCellSpacing w:w="15" w:type="dxa"/>
              </w:trPr>
              <w:tc>
                <w:tcPr>
                  <w:tcW w:w="0" w:type="auto"/>
                  <w:tcBorders>
                    <w:top w:val="single" w:sz="4" w:space="0" w:color="auto"/>
                  </w:tcBorders>
                  <w:vAlign w:val="center"/>
                </w:tcPr>
                <w:p w:rsidR="00F97100" w:rsidRPr="00972D63" w:rsidRDefault="00F97100" w:rsidP="00454DA1">
                  <w:pPr>
                    <w:spacing w:line="480" w:lineRule="auto"/>
                    <w:jc w:val="both"/>
                    <w:rPr>
                      <w:sz w:val="24"/>
                      <w:szCs w:val="24"/>
                    </w:rPr>
                  </w:pPr>
                </w:p>
              </w:tc>
              <w:tc>
                <w:tcPr>
                  <w:tcW w:w="0" w:type="auto"/>
                  <w:tcBorders>
                    <w:top w:val="single" w:sz="4" w:space="0" w:color="auto"/>
                    <w:left w:val="single" w:sz="4" w:space="0" w:color="auto"/>
                    <w:right w:val="single" w:sz="4" w:space="0" w:color="auto"/>
                  </w:tcBorders>
                  <w:vAlign w:val="center"/>
                </w:tcPr>
                <w:p w:rsidR="00F97100" w:rsidRPr="00972D63" w:rsidRDefault="00F97100" w:rsidP="00454DA1">
                  <w:pPr>
                    <w:spacing w:line="480" w:lineRule="auto"/>
                    <w:jc w:val="both"/>
                    <w:rPr>
                      <w:sz w:val="24"/>
                      <w:szCs w:val="24"/>
                    </w:rPr>
                  </w:pPr>
                </w:p>
              </w:tc>
              <w:tc>
                <w:tcPr>
                  <w:tcW w:w="0" w:type="auto"/>
                  <w:tcBorders>
                    <w:top w:val="single" w:sz="4" w:space="0" w:color="auto"/>
                  </w:tcBorders>
                  <w:vAlign w:val="center"/>
                </w:tcPr>
                <w:p w:rsidR="00F97100" w:rsidRPr="00972D63" w:rsidRDefault="00F97100" w:rsidP="00454DA1">
                  <w:pPr>
                    <w:spacing w:line="480" w:lineRule="auto"/>
                    <w:jc w:val="both"/>
                    <w:rPr>
                      <w:sz w:val="24"/>
                      <w:szCs w:val="24"/>
                    </w:rPr>
                  </w:pPr>
                </w:p>
              </w:tc>
              <w:tc>
                <w:tcPr>
                  <w:tcW w:w="0" w:type="auto"/>
                  <w:tcBorders>
                    <w:top w:val="single" w:sz="4" w:space="0" w:color="auto"/>
                    <w:left w:val="single" w:sz="4" w:space="0" w:color="auto"/>
                  </w:tcBorders>
                  <w:vAlign w:val="center"/>
                </w:tcPr>
                <w:p w:rsidR="00F97100" w:rsidRPr="00972D63" w:rsidRDefault="00F97100" w:rsidP="00454DA1">
                  <w:pPr>
                    <w:spacing w:line="480" w:lineRule="auto"/>
                    <w:jc w:val="both"/>
                    <w:rPr>
                      <w:sz w:val="24"/>
                      <w:szCs w:val="24"/>
                    </w:rPr>
                  </w:pPr>
                </w:p>
              </w:tc>
            </w:tr>
            <w:tr w:rsidR="00F97100" w:rsidRPr="00972D63" w:rsidTr="00972D63">
              <w:trPr>
                <w:tblCellSpacing w:w="15" w:type="dxa"/>
              </w:trPr>
              <w:tc>
                <w:tcPr>
                  <w:tcW w:w="0" w:type="auto"/>
                  <w:vAlign w:val="center"/>
                  <w:hideMark/>
                </w:tcPr>
                <w:p w:rsidR="00F97100" w:rsidRPr="00972D63" w:rsidRDefault="00F97100" w:rsidP="00454DA1">
                  <w:pPr>
                    <w:spacing w:line="480" w:lineRule="auto"/>
                    <w:jc w:val="both"/>
                    <w:rPr>
                      <w:sz w:val="24"/>
                      <w:szCs w:val="24"/>
                    </w:rPr>
                  </w:pPr>
                  <w:r w:rsidRPr="00972D63">
                    <w:rPr>
                      <w:sz w:val="24"/>
                      <w:szCs w:val="24"/>
                    </w:rPr>
                    <w:t>Technology Use</w:t>
                  </w:r>
                </w:p>
              </w:tc>
              <w:tc>
                <w:tcPr>
                  <w:tcW w:w="0" w:type="auto"/>
                  <w:tcBorders>
                    <w:left w:val="single" w:sz="4" w:space="0" w:color="auto"/>
                    <w:right w:val="single" w:sz="4" w:space="0" w:color="auto"/>
                  </w:tcBorders>
                  <w:vAlign w:val="center"/>
                  <w:hideMark/>
                </w:tcPr>
                <w:p w:rsidR="00F97100" w:rsidRPr="00972D63" w:rsidRDefault="00F97100" w:rsidP="00454DA1">
                  <w:pPr>
                    <w:spacing w:line="480" w:lineRule="auto"/>
                    <w:jc w:val="both"/>
                    <w:rPr>
                      <w:sz w:val="24"/>
                      <w:szCs w:val="24"/>
                    </w:rPr>
                  </w:pPr>
                  <w:r w:rsidRPr="00972D63">
                    <w:rPr>
                      <w:sz w:val="24"/>
                      <w:szCs w:val="24"/>
                    </w:rPr>
                    <w:t>Support function</w:t>
                  </w:r>
                </w:p>
              </w:tc>
              <w:tc>
                <w:tcPr>
                  <w:tcW w:w="0" w:type="auto"/>
                  <w:vAlign w:val="center"/>
                  <w:hideMark/>
                </w:tcPr>
                <w:p w:rsidR="00F97100" w:rsidRPr="00972D63" w:rsidRDefault="00F97100" w:rsidP="00454DA1">
                  <w:pPr>
                    <w:spacing w:line="480" w:lineRule="auto"/>
                    <w:jc w:val="both"/>
                    <w:rPr>
                      <w:sz w:val="24"/>
                      <w:szCs w:val="24"/>
                    </w:rPr>
                  </w:pPr>
                  <w:r w:rsidRPr="00972D63">
                    <w:rPr>
                      <w:sz w:val="24"/>
                      <w:szCs w:val="24"/>
                    </w:rPr>
                    <w:t>Transformative enabler</w:t>
                  </w:r>
                </w:p>
              </w:tc>
              <w:tc>
                <w:tcPr>
                  <w:tcW w:w="0" w:type="auto"/>
                  <w:tcBorders>
                    <w:left w:val="single" w:sz="4" w:space="0" w:color="auto"/>
                  </w:tcBorders>
                  <w:vAlign w:val="center"/>
                  <w:hideMark/>
                </w:tcPr>
                <w:p w:rsidR="00F97100" w:rsidRPr="00972D63" w:rsidRDefault="00F97100" w:rsidP="00454DA1">
                  <w:pPr>
                    <w:spacing w:line="480" w:lineRule="auto"/>
                    <w:jc w:val="both"/>
                    <w:rPr>
                      <w:sz w:val="24"/>
                      <w:szCs w:val="24"/>
                    </w:rPr>
                  </w:pPr>
                  <w:r w:rsidRPr="00972D63">
                    <w:rPr>
                      <w:sz w:val="24"/>
                      <w:szCs w:val="24"/>
                    </w:rPr>
                    <w:t>Expanded access and participation</w:t>
                  </w:r>
                </w:p>
              </w:tc>
            </w:tr>
          </w:tbl>
          <w:p w:rsidR="00F97100" w:rsidRPr="00972D63" w:rsidRDefault="00F97100" w:rsidP="00F97100">
            <w:pPr>
              <w:rPr>
                <w:b/>
                <w:bCs/>
                <w:sz w:val="24"/>
                <w:szCs w:val="24"/>
              </w:rPr>
            </w:pPr>
          </w:p>
        </w:tc>
      </w:tr>
    </w:tbl>
    <w:p w:rsidR="00616984" w:rsidRPr="00616984" w:rsidRDefault="00616984" w:rsidP="00616984">
      <w:pPr>
        <w:pStyle w:val="Heading3"/>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(Source: Primary Data,</w:t>
      </w:r>
      <w:r w:rsidR="009122DA">
        <w:rPr>
          <w:rFonts w:ascii="Times New Roman" w:hAnsi="Times New Roman" w:cs="Times New Roman"/>
          <w:color w:val="auto"/>
          <w:sz w:val="24"/>
          <w:szCs w:val="24"/>
        </w:rPr>
        <w:t xml:space="preserve"> </w:t>
      </w:r>
      <w:r>
        <w:rPr>
          <w:rFonts w:ascii="Times New Roman" w:hAnsi="Times New Roman" w:cs="Times New Roman"/>
          <w:color w:val="auto"/>
          <w:sz w:val="24"/>
          <w:szCs w:val="24"/>
        </w:rPr>
        <w:t>2025)</w:t>
      </w:r>
    </w:p>
    <w:p w:rsidR="0069023F" w:rsidRPr="005D6643" w:rsidRDefault="0069023F" w:rsidP="0069023F">
      <w:pPr>
        <w:pStyle w:val="Heading3"/>
        <w:spacing w:line="480" w:lineRule="auto"/>
        <w:jc w:val="both"/>
        <w:rPr>
          <w:rFonts w:ascii="Times New Roman" w:hAnsi="Times New Roman" w:cs="Times New Roman"/>
          <w:color w:val="auto"/>
          <w:sz w:val="24"/>
          <w:szCs w:val="24"/>
        </w:rPr>
      </w:pPr>
      <w:r w:rsidRPr="005D6643">
        <w:rPr>
          <w:rFonts w:ascii="Times New Roman" w:hAnsi="Times New Roman" w:cs="Times New Roman"/>
          <w:color w:val="auto"/>
          <w:sz w:val="24"/>
          <w:szCs w:val="24"/>
        </w:rPr>
        <w:t>Persistent Structural and Systemic Challenges</w:t>
      </w:r>
    </w:p>
    <w:p w:rsidR="0069023F" w:rsidRPr="0069023F" w:rsidRDefault="0069023F" w:rsidP="0069023F">
      <w:pPr>
        <w:pStyle w:val="NormalWeb"/>
        <w:spacing w:line="480" w:lineRule="auto"/>
        <w:jc w:val="both"/>
      </w:pPr>
      <w:r w:rsidRPr="0069023F">
        <w:t xml:space="preserve">Despite these developments, several challenges persist. Universities are gradually losing their monopoly over knowledge production as new actors, including private research </w:t>
      </w:r>
      <w:proofErr w:type="spellStart"/>
      <w:r w:rsidRPr="0069023F">
        <w:t>organisations</w:t>
      </w:r>
      <w:proofErr w:type="spellEnd"/>
      <w:r w:rsidRPr="0069023F">
        <w:t xml:space="preserve">, </w:t>
      </w:r>
      <w:r w:rsidRPr="0069023F">
        <w:lastRenderedPageBreak/>
        <w:t>think tanks, and non-governmental entities, enter the knowledge landscape (Bower et al., 2020). Financial constraints and declining public funding further limit institutional capacity and affect both research output and access to education.</w:t>
      </w:r>
    </w:p>
    <w:p w:rsidR="0069023F" w:rsidRPr="005D6643" w:rsidRDefault="0069023F" w:rsidP="00616984">
      <w:pPr>
        <w:pStyle w:val="NormalWeb"/>
        <w:spacing w:line="480" w:lineRule="auto"/>
        <w:jc w:val="both"/>
      </w:pPr>
      <w:r w:rsidRPr="0069023F">
        <w:t xml:space="preserve">Additionally, reform initiatives such as the Bologna Process illustrate the complexity of </w:t>
      </w:r>
      <w:proofErr w:type="spellStart"/>
      <w:r w:rsidRPr="0069023F">
        <w:t>harmonising</w:t>
      </w:r>
      <w:proofErr w:type="spellEnd"/>
      <w:r w:rsidRPr="0069023F">
        <w:t xml:space="preserve"> diverse higher education systems while maintaining quality and relevance (Gowri, 2025). These challenges underscore the need for adaptive and context-sensitive institutional </w:t>
      </w:r>
      <w:r w:rsidR="00616984" w:rsidRPr="0069023F">
        <w:t>strategies.</w:t>
      </w:r>
      <w:r w:rsidR="00616984" w:rsidRPr="005D6643">
        <w:t xml:space="preserve"> </w:t>
      </w:r>
      <w:r w:rsidR="00616984" w:rsidRPr="004132E4">
        <w:rPr>
          <w:b/>
        </w:rPr>
        <w:t>Table</w:t>
      </w:r>
      <w:r w:rsidRPr="004132E4">
        <w:rPr>
          <w:b/>
        </w:rPr>
        <w:t xml:space="preserve"> 2: Opportunities and Challenges in the Transformation of Universities</w:t>
      </w:r>
    </w:p>
    <w:tbl>
      <w:tblPr>
        <w:tblStyle w:val="TableGrid"/>
        <w:tblW w:w="0" w:type="auto"/>
        <w:tblLook w:val="04A0" w:firstRow="1" w:lastRow="0" w:firstColumn="1" w:lastColumn="0" w:noHBand="0" w:noVBand="1"/>
      </w:tblPr>
      <w:tblGrid>
        <w:gridCol w:w="9488"/>
      </w:tblGrid>
      <w:tr w:rsidR="005D6643" w:rsidRPr="005D6643" w:rsidTr="009C12A4">
        <w:trPr>
          <w:trHeight w:val="4607"/>
        </w:trPr>
        <w:tc>
          <w:tcPr>
            <w:tcW w:w="9486" w:type="dxa"/>
          </w:tcPr>
          <w:tbl>
            <w:tblPr>
              <w:tblW w:w="9272" w:type="dxa"/>
              <w:tblCellSpacing w:w="15" w:type="dxa"/>
              <w:tblCellMar>
                <w:top w:w="15" w:type="dxa"/>
                <w:left w:w="15" w:type="dxa"/>
                <w:bottom w:w="15" w:type="dxa"/>
                <w:right w:w="15" w:type="dxa"/>
              </w:tblCellMar>
              <w:tblLook w:val="04A0" w:firstRow="1" w:lastRow="0" w:firstColumn="1" w:lastColumn="0" w:noHBand="0" w:noVBand="1"/>
            </w:tblPr>
            <w:tblGrid>
              <w:gridCol w:w="2026"/>
              <w:gridCol w:w="90"/>
              <w:gridCol w:w="3680"/>
              <w:gridCol w:w="3476"/>
            </w:tblGrid>
            <w:tr w:rsidR="00E9406C" w:rsidRPr="005D6643" w:rsidTr="009C12A4">
              <w:trPr>
                <w:trHeight w:val="486"/>
                <w:tblHeader/>
                <w:tblCellSpacing w:w="15" w:type="dxa"/>
              </w:trPr>
              <w:tc>
                <w:tcPr>
                  <w:tcW w:w="1981" w:type="dxa"/>
                  <w:tcBorders>
                    <w:bottom w:val="single" w:sz="4" w:space="0" w:color="auto"/>
                    <w:right w:val="single" w:sz="4" w:space="0" w:color="auto"/>
                  </w:tcBorders>
                  <w:vAlign w:val="center"/>
                  <w:hideMark/>
                </w:tcPr>
                <w:p w:rsidR="00E9406C" w:rsidRPr="005D6643" w:rsidRDefault="00E9406C" w:rsidP="00742A7D">
                  <w:pPr>
                    <w:spacing w:line="480" w:lineRule="auto"/>
                    <w:jc w:val="both"/>
                    <w:rPr>
                      <w:b/>
                      <w:bCs/>
                      <w:sz w:val="24"/>
                      <w:szCs w:val="24"/>
                    </w:rPr>
                  </w:pPr>
                  <w:r w:rsidRPr="005D6643">
                    <w:rPr>
                      <w:b/>
                      <w:bCs/>
                      <w:sz w:val="24"/>
                      <w:szCs w:val="24"/>
                    </w:rPr>
                    <w:t>Category</w:t>
                  </w:r>
                </w:p>
              </w:tc>
              <w:tc>
                <w:tcPr>
                  <w:tcW w:w="60" w:type="dxa"/>
                  <w:tcBorders>
                    <w:left w:val="single" w:sz="4" w:space="0" w:color="auto"/>
                    <w:bottom w:val="single" w:sz="4" w:space="0" w:color="auto"/>
                  </w:tcBorders>
                  <w:vAlign w:val="center"/>
                </w:tcPr>
                <w:p w:rsidR="00E9406C" w:rsidRPr="005D6643" w:rsidRDefault="00E9406C" w:rsidP="00E9406C">
                  <w:pPr>
                    <w:spacing w:line="480" w:lineRule="auto"/>
                    <w:jc w:val="both"/>
                    <w:rPr>
                      <w:b/>
                      <w:bCs/>
                      <w:sz w:val="24"/>
                      <w:szCs w:val="24"/>
                    </w:rPr>
                  </w:pPr>
                </w:p>
              </w:tc>
              <w:tc>
                <w:tcPr>
                  <w:tcW w:w="0" w:type="auto"/>
                  <w:tcBorders>
                    <w:bottom w:val="single" w:sz="4" w:space="0" w:color="auto"/>
                  </w:tcBorders>
                  <w:vAlign w:val="center"/>
                  <w:hideMark/>
                </w:tcPr>
                <w:p w:rsidR="00E9406C" w:rsidRPr="005D6643" w:rsidRDefault="00E9406C" w:rsidP="00742A7D">
                  <w:pPr>
                    <w:spacing w:line="480" w:lineRule="auto"/>
                    <w:jc w:val="both"/>
                    <w:rPr>
                      <w:b/>
                      <w:bCs/>
                      <w:sz w:val="24"/>
                      <w:szCs w:val="24"/>
                    </w:rPr>
                  </w:pPr>
                  <w:r w:rsidRPr="005D6643">
                    <w:rPr>
                      <w:b/>
                      <w:bCs/>
                      <w:sz w:val="24"/>
                      <w:szCs w:val="24"/>
                    </w:rPr>
                    <w:t>Opportunities</w:t>
                  </w:r>
                </w:p>
              </w:tc>
              <w:tc>
                <w:tcPr>
                  <w:tcW w:w="0" w:type="auto"/>
                  <w:tcBorders>
                    <w:left w:val="single" w:sz="4" w:space="0" w:color="auto"/>
                    <w:bottom w:val="single" w:sz="4" w:space="0" w:color="auto"/>
                  </w:tcBorders>
                  <w:vAlign w:val="center"/>
                  <w:hideMark/>
                </w:tcPr>
                <w:p w:rsidR="00E9406C" w:rsidRPr="005D6643" w:rsidRDefault="00E9406C" w:rsidP="00742A7D">
                  <w:pPr>
                    <w:spacing w:line="480" w:lineRule="auto"/>
                    <w:jc w:val="both"/>
                    <w:rPr>
                      <w:b/>
                      <w:bCs/>
                      <w:sz w:val="24"/>
                      <w:szCs w:val="24"/>
                    </w:rPr>
                  </w:pPr>
                  <w:r w:rsidRPr="005D6643">
                    <w:rPr>
                      <w:b/>
                      <w:bCs/>
                      <w:sz w:val="24"/>
                      <w:szCs w:val="24"/>
                    </w:rPr>
                    <w:t>Challenges</w:t>
                  </w:r>
                </w:p>
              </w:tc>
            </w:tr>
            <w:tr w:rsidR="00E9406C" w:rsidRPr="005D6643" w:rsidTr="009C12A4">
              <w:trPr>
                <w:trHeight w:val="39"/>
                <w:tblHeader/>
                <w:tblCellSpacing w:w="15" w:type="dxa"/>
              </w:trPr>
              <w:tc>
                <w:tcPr>
                  <w:tcW w:w="1981" w:type="dxa"/>
                  <w:tcBorders>
                    <w:top w:val="single" w:sz="4" w:space="0" w:color="auto"/>
                    <w:right w:val="single" w:sz="4" w:space="0" w:color="auto"/>
                  </w:tcBorders>
                  <w:vAlign w:val="center"/>
                </w:tcPr>
                <w:p w:rsidR="00E9406C" w:rsidRPr="005D6643" w:rsidRDefault="00E9406C" w:rsidP="00742A7D">
                  <w:pPr>
                    <w:spacing w:line="480" w:lineRule="auto"/>
                    <w:jc w:val="both"/>
                    <w:rPr>
                      <w:b/>
                      <w:bCs/>
                      <w:sz w:val="24"/>
                      <w:szCs w:val="24"/>
                    </w:rPr>
                  </w:pPr>
                </w:p>
              </w:tc>
              <w:tc>
                <w:tcPr>
                  <w:tcW w:w="60" w:type="dxa"/>
                  <w:tcBorders>
                    <w:top w:val="single" w:sz="4" w:space="0" w:color="auto"/>
                    <w:left w:val="single" w:sz="4" w:space="0" w:color="auto"/>
                  </w:tcBorders>
                  <w:vAlign w:val="center"/>
                </w:tcPr>
                <w:p w:rsidR="00E9406C" w:rsidRPr="005D6643" w:rsidRDefault="00E9406C" w:rsidP="00742A7D">
                  <w:pPr>
                    <w:spacing w:line="480" w:lineRule="auto"/>
                    <w:jc w:val="both"/>
                    <w:rPr>
                      <w:b/>
                      <w:bCs/>
                      <w:sz w:val="24"/>
                      <w:szCs w:val="24"/>
                    </w:rPr>
                  </w:pPr>
                </w:p>
              </w:tc>
              <w:tc>
                <w:tcPr>
                  <w:tcW w:w="0" w:type="auto"/>
                  <w:tcBorders>
                    <w:top w:val="single" w:sz="4" w:space="0" w:color="auto"/>
                  </w:tcBorders>
                  <w:vAlign w:val="center"/>
                </w:tcPr>
                <w:p w:rsidR="00E9406C" w:rsidRPr="005D6643" w:rsidRDefault="00E9406C" w:rsidP="00742A7D">
                  <w:pPr>
                    <w:spacing w:line="480" w:lineRule="auto"/>
                    <w:jc w:val="both"/>
                    <w:rPr>
                      <w:b/>
                      <w:bCs/>
                      <w:sz w:val="24"/>
                      <w:szCs w:val="24"/>
                    </w:rPr>
                  </w:pPr>
                </w:p>
              </w:tc>
              <w:tc>
                <w:tcPr>
                  <w:tcW w:w="0" w:type="auto"/>
                  <w:tcBorders>
                    <w:top w:val="single" w:sz="4" w:space="0" w:color="auto"/>
                    <w:left w:val="single" w:sz="4" w:space="0" w:color="auto"/>
                  </w:tcBorders>
                  <w:vAlign w:val="center"/>
                </w:tcPr>
                <w:p w:rsidR="00E9406C" w:rsidRPr="005D6643" w:rsidRDefault="00E9406C" w:rsidP="00742A7D">
                  <w:pPr>
                    <w:spacing w:line="480" w:lineRule="auto"/>
                    <w:jc w:val="both"/>
                    <w:rPr>
                      <w:b/>
                      <w:bCs/>
                      <w:sz w:val="24"/>
                      <w:szCs w:val="24"/>
                    </w:rPr>
                  </w:pPr>
                </w:p>
              </w:tc>
            </w:tr>
            <w:tr w:rsidR="00E9406C" w:rsidRPr="005D6643" w:rsidTr="009C12A4">
              <w:trPr>
                <w:trHeight w:val="855"/>
                <w:tblCellSpacing w:w="15" w:type="dxa"/>
              </w:trPr>
              <w:tc>
                <w:tcPr>
                  <w:tcW w:w="1981" w:type="dxa"/>
                  <w:tcBorders>
                    <w:bottom w:val="single" w:sz="4" w:space="0" w:color="auto"/>
                    <w:right w:val="single" w:sz="4" w:space="0" w:color="auto"/>
                  </w:tcBorders>
                  <w:vAlign w:val="center"/>
                  <w:hideMark/>
                </w:tcPr>
                <w:p w:rsidR="00E9406C" w:rsidRPr="005D6643" w:rsidRDefault="00E9406C" w:rsidP="00742A7D">
                  <w:pPr>
                    <w:spacing w:line="480" w:lineRule="auto"/>
                    <w:jc w:val="both"/>
                    <w:rPr>
                      <w:sz w:val="24"/>
                      <w:szCs w:val="24"/>
                    </w:rPr>
                  </w:pPr>
                  <w:r w:rsidRPr="005D6643">
                    <w:rPr>
                      <w:sz w:val="24"/>
                      <w:szCs w:val="24"/>
                    </w:rPr>
                    <w:t>Innovation</w:t>
                  </w:r>
                </w:p>
              </w:tc>
              <w:tc>
                <w:tcPr>
                  <w:tcW w:w="60" w:type="dxa"/>
                  <w:tcBorders>
                    <w:left w:val="single" w:sz="4" w:space="0" w:color="auto"/>
                    <w:bottom w:val="single" w:sz="4" w:space="0" w:color="auto"/>
                  </w:tcBorders>
                  <w:vAlign w:val="center"/>
                </w:tcPr>
                <w:p w:rsidR="00E9406C" w:rsidRPr="005D6643" w:rsidRDefault="00E9406C" w:rsidP="00E9406C">
                  <w:pPr>
                    <w:spacing w:line="480" w:lineRule="auto"/>
                    <w:jc w:val="both"/>
                    <w:rPr>
                      <w:sz w:val="24"/>
                      <w:szCs w:val="24"/>
                    </w:rPr>
                  </w:pPr>
                </w:p>
              </w:tc>
              <w:tc>
                <w:tcPr>
                  <w:tcW w:w="0" w:type="auto"/>
                  <w:tcBorders>
                    <w:bottom w:val="single" w:sz="4" w:space="0" w:color="auto"/>
                  </w:tcBorders>
                  <w:vAlign w:val="center"/>
                  <w:hideMark/>
                </w:tcPr>
                <w:p w:rsidR="00E9406C" w:rsidRPr="005D6643" w:rsidRDefault="00E9406C" w:rsidP="00742A7D">
                  <w:pPr>
                    <w:spacing w:line="480" w:lineRule="auto"/>
                    <w:jc w:val="both"/>
                    <w:rPr>
                      <w:sz w:val="24"/>
                      <w:szCs w:val="24"/>
                    </w:rPr>
                  </w:pPr>
                  <w:r w:rsidRPr="005D6643">
                    <w:rPr>
                      <w:sz w:val="24"/>
                      <w:szCs w:val="24"/>
                    </w:rPr>
                    <w:t>Enhanced R&amp;D and knowledge application</w:t>
                  </w:r>
                </w:p>
              </w:tc>
              <w:tc>
                <w:tcPr>
                  <w:tcW w:w="0" w:type="auto"/>
                  <w:tcBorders>
                    <w:left w:val="single" w:sz="4" w:space="0" w:color="auto"/>
                    <w:bottom w:val="single" w:sz="4" w:space="0" w:color="auto"/>
                  </w:tcBorders>
                  <w:vAlign w:val="center"/>
                  <w:hideMark/>
                </w:tcPr>
                <w:p w:rsidR="00E9406C" w:rsidRPr="005D6643" w:rsidRDefault="00E9406C" w:rsidP="00742A7D">
                  <w:pPr>
                    <w:spacing w:line="480" w:lineRule="auto"/>
                    <w:jc w:val="both"/>
                    <w:rPr>
                      <w:sz w:val="24"/>
                      <w:szCs w:val="24"/>
                    </w:rPr>
                  </w:pPr>
                  <w:r w:rsidRPr="005D6643">
                    <w:rPr>
                      <w:sz w:val="24"/>
                      <w:szCs w:val="24"/>
                    </w:rPr>
                    <w:t>Limited funding and infrastructure</w:t>
                  </w:r>
                </w:p>
              </w:tc>
            </w:tr>
            <w:tr w:rsidR="00E9406C" w:rsidRPr="005D6643" w:rsidTr="009C12A4">
              <w:trPr>
                <w:trHeight w:val="224"/>
                <w:tblCellSpacing w:w="15" w:type="dxa"/>
              </w:trPr>
              <w:tc>
                <w:tcPr>
                  <w:tcW w:w="1981" w:type="dxa"/>
                  <w:tcBorders>
                    <w:top w:val="single" w:sz="4" w:space="0" w:color="auto"/>
                    <w:right w:val="single" w:sz="4" w:space="0" w:color="auto"/>
                  </w:tcBorders>
                  <w:vAlign w:val="center"/>
                </w:tcPr>
                <w:p w:rsidR="00E9406C" w:rsidRPr="005D6643" w:rsidRDefault="00E9406C" w:rsidP="00742A7D">
                  <w:pPr>
                    <w:spacing w:line="480" w:lineRule="auto"/>
                    <w:jc w:val="both"/>
                    <w:rPr>
                      <w:sz w:val="24"/>
                      <w:szCs w:val="24"/>
                    </w:rPr>
                  </w:pPr>
                </w:p>
              </w:tc>
              <w:tc>
                <w:tcPr>
                  <w:tcW w:w="60" w:type="dxa"/>
                  <w:tcBorders>
                    <w:top w:val="single" w:sz="4" w:space="0" w:color="auto"/>
                    <w:left w:val="single" w:sz="4" w:space="0" w:color="auto"/>
                  </w:tcBorders>
                  <w:vAlign w:val="center"/>
                </w:tcPr>
                <w:p w:rsidR="00E9406C" w:rsidRPr="005D6643" w:rsidRDefault="00E9406C" w:rsidP="00742A7D">
                  <w:pPr>
                    <w:spacing w:line="480" w:lineRule="auto"/>
                    <w:jc w:val="both"/>
                    <w:rPr>
                      <w:sz w:val="24"/>
                      <w:szCs w:val="24"/>
                    </w:rPr>
                  </w:pPr>
                </w:p>
              </w:tc>
              <w:tc>
                <w:tcPr>
                  <w:tcW w:w="0" w:type="auto"/>
                  <w:tcBorders>
                    <w:top w:val="single" w:sz="4" w:space="0" w:color="auto"/>
                  </w:tcBorders>
                  <w:vAlign w:val="center"/>
                </w:tcPr>
                <w:p w:rsidR="00E9406C" w:rsidRPr="005D6643" w:rsidRDefault="00E9406C" w:rsidP="00742A7D">
                  <w:pPr>
                    <w:spacing w:line="480" w:lineRule="auto"/>
                    <w:jc w:val="both"/>
                    <w:rPr>
                      <w:sz w:val="24"/>
                      <w:szCs w:val="24"/>
                    </w:rPr>
                  </w:pPr>
                </w:p>
              </w:tc>
              <w:tc>
                <w:tcPr>
                  <w:tcW w:w="0" w:type="auto"/>
                  <w:tcBorders>
                    <w:top w:val="single" w:sz="4" w:space="0" w:color="auto"/>
                    <w:left w:val="single" w:sz="4" w:space="0" w:color="auto"/>
                  </w:tcBorders>
                  <w:vAlign w:val="center"/>
                </w:tcPr>
                <w:p w:rsidR="00E9406C" w:rsidRPr="005D6643" w:rsidRDefault="00E9406C" w:rsidP="00742A7D">
                  <w:pPr>
                    <w:spacing w:line="480" w:lineRule="auto"/>
                    <w:jc w:val="both"/>
                    <w:rPr>
                      <w:sz w:val="24"/>
                      <w:szCs w:val="24"/>
                    </w:rPr>
                  </w:pPr>
                </w:p>
              </w:tc>
            </w:tr>
            <w:tr w:rsidR="00E9406C" w:rsidRPr="005D6643" w:rsidTr="009C12A4">
              <w:trPr>
                <w:trHeight w:val="544"/>
                <w:tblCellSpacing w:w="15" w:type="dxa"/>
              </w:trPr>
              <w:tc>
                <w:tcPr>
                  <w:tcW w:w="1981" w:type="dxa"/>
                  <w:tcBorders>
                    <w:bottom w:val="single" w:sz="4" w:space="0" w:color="auto"/>
                    <w:right w:val="single" w:sz="4" w:space="0" w:color="auto"/>
                  </w:tcBorders>
                  <w:vAlign w:val="center"/>
                  <w:hideMark/>
                </w:tcPr>
                <w:p w:rsidR="00E9406C" w:rsidRPr="005D6643" w:rsidRDefault="00E9406C" w:rsidP="00742A7D">
                  <w:pPr>
                    <w:spacing w:line="480" w:lineRule="auto"/>
                    <w:jc w:val="both"/>
                    <w:rPr>
                      <w:sz w:val="24"/>
                      <w:szCs w:val="24"/>
                    </w:rPr>
                  </w:pPr>
                  <w:r w:rsidRPr="005D6643">
                    <w:rPr>
                      <w:sz w:val="24"/>
                      <w:szCs w:val="24"/>
                    </w:rPr>
                    <w:t>Collaboration</w:t>
                  </w:r>
                </w:p>
              </w:tc>
              <w:tc>
                <w:tcPr>
                  <w:tcW w:w="60" w:type="dxa"/>
                  <w:tcBorders>
                    <w:left w:val="single" w:sz="4" w:space="0" w:color="auto"/>
                    <w:bottom w:val="single" w:sz="4" w:space="0" w:color="auto"/>
                  </w:tcBorders>
                  <w:vAlign w:val="center"/>
                </w:tcPr>
                <w:p w:rsidR="00E9406C" w:rsidRPr="005D6643" w:rsidRDefault="00E9406C" w:rsidP="00E9406C">
                  <w:pPr>
                    <w:spacing w:line="480" w:lineRule="auto"/>
                    <w:jc w:val="both"/>
                    <w:rPr>
                      <w:sz w:val="24"/>
                      <w:szCs w:val="24"/>
                    </w:rPr>
                  </w:pPr>
                </w:p>
              </w:tc>
              <w:tc>
                <w:tcPr>
                  <w:tcW w:w="0" w:type="auto"/>
                  <w:tcBorders>
                    <w:bottom w:val="single" w:sz="4" w:space="0" w:color="auto"/>
                  </w:tcBorders>
                  <w:vAlign w:val="center"/>
                  <w:hideMark/>
                </w:tcPr>
                <w:p w:rsidR="00E9406C" w:rsidRPr="005D6643" w:rsidRDefault="00E9406C" w:rsidP="00742A7D">
                  <w:pPr>
                    <w:spacing w:line="480" w:lineRule="auto"/>
                    <w:jc w:val="both"/>
                    <w:rPr>
                      <w:sz w:val="24"/>
                      <w:szCs w:val="24"/>
                    </w:rPr>
                  </w:pPr>
                  <w:r w:rsidRPr="005D6643">
                    <w:rPr>
                      <w:sz w:val="24"/>
                      <w:szCs w:val="24"/>
                    </w:rPr>
                    <w:t>Global and local partnerships</w:t>
                  </w:r>
                </w:p>
              </w:tc>
              <w:tc>
                <w:tcPr>
                  <w:tcW w:w="0" w:type="auto"/>
                  <w:tcBorders>
                    <w:left w:val="single" w:sz="4" w:space="0" w:color="auto"/>
                    <w:bottom w:val="single" w:sz="4" w:space="0" w:color="auto"/>
                  </w:tcBorders>
                  <w:vAlign w:val="center"/>
                  <w:hideMark/>
                </w:tcPr>
                <w:p w:rsidR="00E9406C" w:rsidRPr="005D6643" w:rsidRDefault="00E9406C" w:rsidP="00742A7D">
                  <w:pPr>
                    <w:spacing w:line="480" w:lineRule="auto"/>
                    <w:jc w:val="both"/>
                    <w:rPr>
                      <w:sz w:val="24"/>
                      <w:szCs w:val="24"/>
                    </w:rPr>
                  </w:pPr>
                  <w:r w:rsidRPr="005D6643">
                    <w:rPr>
                      <w:sz w:val="24"/>
                      <w:szCs w:val="24"/>
                    </w:rPr>
                    <w:t>Coordination complexity</w:t>
                  </w:r>
                </w:p>
              </w:tc>
            </w:tr>
            <w:tr w:rsidR="00E9406C" w:rsidRPr="005D6643" w:rsidTr="009C12A4">
              <w:trPr>
                <w:trHeight w:val="1069"/>
                <w:tblCellSpacing w:w="15" w:type="dxa"/>
              </w:trPr>
              <w:tc>
                <w:tcPr>
                  <w:tcW w:w="1981" w:type="dxa"/>
                  <w:tcBorders>
                    <w:bottom w:val="single" w:sz="4" w:space="0" w:color="auto"/>
                    <w:right w:val="single" w:sz="4" w:space="0" w:color="auto"/>
                  </w:tcBorders>
                  <w:vAlign w:val="center"/>
                  <w:hideMark/>
                </w:tcPr>
                <w:p w:rsidR="00E9406C" w:rsidRPr="005D6643" w:rsidRDefault="00E9406C" w:rsidP="00742A7D">
                  <w:pPr>
                    <w:spacing w:line="480" w:lineRule="auto"/>
                    <w:jc w:val="both"/>
                    <w:rPr>
                      <w:sz w:val="24"/>
                      <w:szCs w:val="24"/>
                    </w:rPr>
                  </w:pPr>
                  <w:r w:rsidRPr="005D6643">
                    <w:rPr>
                      <w:sz w:val="24"/>
                      <w:szCs w:val="24"/>
                    </w:rPr>
                    <w:t>Indigenous Knowledge</w:t>
                  </w:r>
                </w:p>
              </w:tc>
              <w:tc>
                <w:tcPr>
                  <w:tcW w:w="60" w:type="dxa"/>
                  <w:tcBorders>
                    <w:left w:val="single" w:sz="4" w:space="0" w:color="auto"/>
                    <w:bottom w:val="single" w:sz="4" w:space="0" w:color="auto"/>
                  </w:tcBorders>
                  <w:vAlign w:val="center"/>
                </w:tcPr>
                <w:p w:rsidR="00E9406C" w:rsidRDefault="00E9406C">
                  <w:pPr>
                    <w:widowControl/>
                    <w:autoSpaceDE/>
                    <w:autoSpaceDN/>
                    <w:spacing w:after="200" w:line="276" w:lineRule="auto"/>
                    <w:rPr>
                      <w:sz w:val="24"/>
                      <w:szCs w:val="24"/>
                    </w:rPr>
                  </w:pPr>
                </w:p>
                <w:p w:rsidR="00E9406C" w:rsidRPr="005D6643" w:rsidRDefault="00E9406C" w:rsidP="00E9406C">
                  <w:pPr>
                    <w:spacing w:line="480" w:lineRule="auto"/>
                    <w:jc w:val="both"/>
                    <w:rPr>
                      <w:sz w:val="24"/>
                      <w:szCs w:val="24"/>
                    </w:rPr>
                  </w:pPr>
                </w:p>
              </w:tc>
              <w:tc>
                <w:tcPr>
                  <w:tcW w:w="0" w:type="auto"/>
                  <w:tcBorders>
                    <w:bottom w:val="single" w:sz="4" w:space="0" w:color="auto"/>
                  </w:tcBorders>
                  <w:vAlign w:val="center"/>
                  <w:hideMark/>
                </w:tcPr>
                <w:p w:rsidR="00E9406C" w:rsidRPr="005D6643" w:rsidRDefault="00E9406C" w:rsidP="00742A7D">
                  <w:pPr>
                    <w:spacing w:line="480" w:lineRule="auto"/>
                    <w:jc w:val="both"/>
                    <w:rPr>
                      <w:sz w:val="24"/>
                      <w:szCs w:val="24"/>
                    </w:rPr>
                  </w:pPr>
                  <w:r w:rsidRPr="005D6643">
                    <w:rPr>
                      <w:sz w:val="24"/>
                      <w:szCs w:val="24"/>
                    </w:rPr>
                    <w:t>Increased inclusivity and sustainability</w:t>
                  </w:r>
                </w:p>
              </w:tc>
              <w:tc>
                <w:tcPr>
                  <w:tcW w:w="0" w:type="auto"/>
                  <w:tcBorders>
                    <w:left w:val="single" w:sz="4" w:space="0" w:color="auto"/>
                    <w:bottom w:val="single" w:sz="4" w:space="0" w:color="auto"/>
                  </w:tcBorders>
                  <w:vAlign w:val="center"/>
                  <w:hideMark/>
                </w:tcPr>
                <w:p w:rsidR="00E9406C" w:rsidRPr="005D6643" w:rsidRDefault="003C0F5B" w:rsidP="00742A7D">
                  <w:pPr>
                    <w:spacing w:line="480" w:lineRule="auto"/>
                    <w:jc w:val="both"/>
                    <w:rPr>
                      <w:sz w:val="24"/>
                      <w:szCs w:val="24"/>
                    </w:rPr>
                  </w:pPr>
                  <w:r w:rsidRPr="005D6643">
                    <w:rPr>
                      <w:sz w:val="24"/>
                      <w:szCs w:val="24"/>
                    </w:rPr>
                    <w:t>Underutilization</w:t>
                  </w:r>
                  <w:r w:rsidR="00E9406C" w:rsidRPr="005D6643">
                    <w:rPr>
                      <w:sz w:val="24"/>
                      <w:szCs w:val="24"/>
                    </w:rPr>
                    <w:t xml:space="preserve"> and ethical concerns</w:t>
                  </w:r>
                </w:p>
              </w:tc>
            </w:tr>
            <w:tr w:rsidR="00E9406C" w:rsidRPr="005D6643" w:rsidTr="009C12A4">
              <w:trPr>
                <w:trHeight w:val="962"/>
                <w:tblCellSpacing w:w="15" w:type="dxa"/>
              </w:trPr>
              <w:tc>
                <w:tcPr>
                  <w:tcW w:w="1981" w:type="dxa"/>
                  <w:tcBorders>
                    <w:bottom w:val="single" w:sz="4" w:space="0" w:color="auto"/>
                    <w:right w:val="single" w:sz="4" w:space="0" w:color="auto"/>
                  </w:tcBorders>
                  <w:vAlign w:val="center"/>
                  <w:hideMark/>
                </w:tcPr>
                <w:p w:rsidR="00E9406C" w:rsidRPr="005D6643" w:rsidRDefault="00E9406C" w:rsidP="00742A7D">
                  <w:pPr>
                    <w:spacing w:line="480" w:lineRule="auto"/>
                    <w:jc w:val="both"/>
                    <w:rPr>
                      <w:sz w:val="24"/>
                      <w:szCs w:val="24"/>
                    </w:rPr>
                  </w:pPr>
                  <w:r w:rsidRPr="005D6643">
                    <w:rPr>
                      <w:sz w:val="24"/>
                      <w:szCs w:val="24"/>
                    </w:rPr>
                    <w:t>Technology</w:t>
                  </w:r>
                </w:p>
              </w:tc>
              <w:tc>
                <w:tcPr>
                  <w:tcW w:w="60" w:type="dxa"/>
                  <w:tcBorders>
                    <w:left w:val="single" w:sz="4" w:space="0" w:color="auto"/>
                    <w:bottom w:val="single" w:sz="4" w:space="0" w:color="auto"/>
                  </w:tcBorders>
                  <w:vAlign w:val="center"/>
                </w:tcPr>
                <w:p w:rsidR="00E9406C" w:rsidRPr="005D6643" w:rsidRDefault="00E9406C" w:rsidP="00E9406C">
                  <w:pPr>
                    <w:spacing w:line="480" w:lineRule="auto"/>
                    <w:jc w:val="both"/>
                    <w:rPr>
                      <w:sz w:val="24"/>
                      <w:szCs w:val="24"/>
                    </w:rPr>
                  </w:pPr>
                </w:p>
              </w:tc>
              <w:tc>
                <w:tcPr>
                  <w:tcW w:w="0" w:type="auto"/>
                  <w:tcBorders>
                    <w:bottom w:val="single" w:sz="4" w:space="0" w:color="auto"/>
                  </w:tcBorders>
                  <w:vAlign w:val="center"/>
                  <w:hideMark/>
                </w:tcPr>
                <w:p w:rsidR="00E9406C" w:rsidRPr="005D6643" w:rsidRDefault="00E9406C" w:rsidP="00742A7D">
                  <w:pPr>
                    <w:spacing w:line="480" w:lineRule="auto"/>
                    <w:jc w:val="both"/>
                    <w:rPr>
                      <w:sz w:val="24"/>
                      <w:szCs w:val="24"/>
                    </w:rPr>
                  </w:pPr>
                  <w:r w:rsidRPr="005D6643">
                    <w:rPr>
                      <w:sz w:val="24"/>
                      <w:szCs w:val="24"/>
                    </w:rPr>
                    <w:t>Expanded access and knowledge sharing</w:t>
                  </w:r>
                </w:p>
              </w:tc>
              <w:tc>
                <w:tcPr>
                  <w:tcW w:w="0" w:type="auto"/>
                  <w:tcBorders>
                    <w:left w:val="single" w:sz="4" w:space="0" w:color="auto"/>
                    <w:bottom w:val="single" w:sz="4" w:space="0" w:color="auto"/>
                  </w:tcBorders>
                  <w:vAlign w:val="center"/>
                  <w:hideMark/>
                </w:tcPr>
                <w:p w:rsidR="00E9406C" w:rsidRPr="005D6643" w:rsidRDefault="00E9406C" w:rsidP="00742A7D">
                  <w:pPr>
                    <w:spacing w:line="480" w:lineRule="auto"/>
                    <w:jc w:val="both"/>
                    <w:rPr>
                      <w:sz w:val="24"/>
                      <w:szCs w:val="24"/>
                    </w:rPr>
                  </w:pPr>
                  <w:r w:rsidRPr="005D6643">
                    <w:rPr>
                      <w:sz w:val="24"/>
                      <w:szCs w:val="24"/>
                    </w:rPr>
                    <w:t>Digital divide and resource gaps</w:t>
                  </w:r>
                </w:p>
              </w:tc>
            </w:tr>
            <w:tr w:rsidR="00E9406C" w:rsidRPr="005D6643" w:rsidTr="009C12A4">
              <w:trPr>
                <w:trHeight w:val="107"/>
                <w:tblCellSpacing w:w="15" w:type="dxa"/>
              </w:trPr>
              <w:tc>
                <w:tcPr>
                  <w:tcW w:w="1981" w:type="dxa"/>
                  <w:tcBorders>
                    <w:top w:val="single" w:sz="4" w:space="0" w:color="auto"/>
                    <w:right w:val="single" w:sz="4" w:space="0" w:color="auto"/>
                  </w:tcBorders>
                  <w:vAlign w:val="center"/>
                </w:tcPr>
                <w:p w:rsidR="00E9406C" w:rsidRPr="005D6643" w:rsidRDefault="00E9406C" w:rsidP="00742A7D">
                  <w:pPr>
                    <w:spacing w:line="480" w:lineRule="auto"/>
                    <w:jc w:val="both"/>
                    <w:rPr>
                      <w:sz w:val="24"/>
                      <w:szCs w:val="24"/>
                    </w:rPr>
                  </w:pPr>
                </w:p>
              </w:tc>
              <w:tc>
                <w:tcPr>
                  <w:tcW w:w="60" w:type="dxa"/>
                  <w:tcBorders>
                    <w:top w:val="single" w:sz="4" w:space="0" w:color="auto"/>
                    <w:left w:val="single" w:sz="4" w:space="0" w:color="auto"/>
                  </w:tcBorders>
                  <w:vAlign w:val="center"/>
                </w:tcPr>
                <w:p w:rsidR="00E9406C" w:rsidRPr="005D6643" w:rsidRDefault="00E9406C" w:rsidP="00742A7D">
                  <w:pPr>
                    <w:spacing w:line="480" w:lineRule="auto"/>
                    <w:jc w:val="both"/>
                    <w:rPr>
                      <w:sz w:val="24"/>
                      <w:szCs w:val="24"/>
                    </w:rPr>
                  </w:pPr>
                </w:p>
              </w:tc>
              <w:tc>
                <w:tcPr>
                  <w:tcW w:w="0" w:type="auto"/>
                  <w:tcBorders>
                    <w:top w:val="single" w:sz="4" w:space="0" w:color="auto"/>
                  </w:tcBorders>
                  <w:vAlign w:val="center"/>
                </w:tcPr>
                <w:p w:rsidR="00E9406C" w:rsidRPr="005D6643" w:rsidRDefault="00E9406C" w:rsidP="00742A7D">
                  <w:pPr>
                    <w:spacing w:line="480" w:lineRule="auto"/>
                    <w:jc w:val="both"/>
                    <w:rPr>
                      <w:sz w:val="24"/>
                      <w:szCs w:val="24"/>
                    </w:rPr>
                  </w:pPr>
                </w:p>
              </w:tc>
              <w:tc>
                <w:tcPr>
                  <w:tcW w:w="0" w:type="auto"/>
                  <w:tcBorders>
                    <w:top w:val="single" w:sz="4" w:space="0" w:color="auto"/>
                    <w:left w:val="single" w:sz="4" w:space="0" w:color="auto"/>
                  </w:tcBorders>
                  <w:vAlign w:val="center"/>
                </w:tcPr>
                <w:p w:rsidR="00E9406C" w:rsidRPr="005D6643" w:rsidRDefault="00E9406C" w:rsidP="00742A7D">
                  <w:pPr>
                    <w:spacing w:line="480" w:lineRule="auto"/>
                    <w:jc w:val="both"/>
                    <w:rPr>
                      <w:sz w:val="24"/>
                      <w:szCs w:val="24"/>
                    </w:rPr>
                  </w:pPr>
                </w:p>
              </w:tc>
            </w:tr>
            <w:tr w:rsidR="00E9406C" w:rsidRPr="005D6643" w:rsidTr="009C12A4">
              <w:trPr>
                <w:trHeight w:val="1079"/>
                <w:tblCellSpacing w:w="15" w:type="dxa"/>
              </w:trPr>
              <w:tc>
                <w:tcPr>
                  <w:tcW w:w="1981" w:type="dxa"/>
                  <w:tcBorders>
                    <w:right w:val="single" w:sz="4" w:space="0" w:color="auto"/>
                  </w:tcBorders>
                  <w:vAlign w:val="center"/>
                  <w:hideMark/>
                </w:tcPr>
                <w:p w:rsidR="00E9406C" w:rsidRPr="005D6643" w:rsidRDefault="00E9406C" w:rsidP="00742A7D">
                  <w:pPr>
                    <w:spacing w:line="480" w:lineRule="auto"/>
                    <w:jc w:val="both"/>
                    <w:rPr>
                      <w:sz w:val="24"/>
                      <w:szCs w:val="24"/>
                    </w:rPr>
                  </w:pPr>
                  <w:r w:rsidRPr="005D6643">
                    <w:rPr>
                      <w:sz w:val="24"/>
                      <w:szCs w:val="24"/>
                    </w:rPr>
                    <w:t>Policy Environment</w:t>
                  </w:r>
                </w:p>
              </w:tc>
              <w:tc>
                <w:tcPr>
                  <w:tcW w:w="60" w:type="dxa"/>
                  <w:tcBorders>
                    <w:left w:val="single" w:sz="4" w:space="0" w:color="auto"/>
                  </w:tcBorders>
                  <w:vAlign w:val="center"/>
                </w:tcPr>
                <w:p w:rsidR="00E9406C" w:rsidRPr="005D6643" w:rsidRDefault="00E9406C" w:rsidP="00E9406C">
                  <w:pPr>
                    <w:spacing w:line="480" w:lineRule="auto"/>
                    <w:jc w:val="both"/>
                    <w:rPr>
                      <w:sz w:val="24"/>
                      <w:szCs w:val="24"/>
                    </w:rPr>
                  </w:pPr>
                </w:p>
              </w:tc>
              <w:tc>
                <w:tcPr>
                  <w:tcW w:w="0" w:type="auto"/>
                  <w:vAlign w:val="center"/>
                  <w:hideMark/>
                </w:tcPr>
                <w:p w:rsidR="00E9406C" w:rsidRPr="005D6643" w:rsidRDefault="00E9406C" w:rsidP="00742A7D">
                  <w:pPr>
                    <w:spacing w:line="480" w:lineRule="auto"/>
                    <w:jc w:val="both"/>
                    <w:rPr>
                      <w:sz w:val="24"/>
                      <w:szCs w:val="24"/>
                    </w:rPr>
                  </w:pPr>
                  <w:r w:rsidRPr="005D6643">
                    <w:rPr>
                      <w:sz w:val="24"/>
                      <w:szCs w:val="24"/>
                    </w:rPr>
                    <w:t>Strategic alignment and reform support</w:t>
                  </w:r>
                </w:p>
              </w:tc>
              <w:tc>
                <w:tcPr>
                  <w:tcW w:w="0" w:type="auto"/>
                  <w:tcBorders>
                    <w:left w:val="single" w:sz="4" w:space="0" w:color="auto"/>
                  </w:tcBorders>
                  <w:vAlign w:val="center"/>
                  <w:hideMark/>
                </w:tcPr>
                <w:p w:rsidR="00E9406C" w:rsidRPr="005D6643" w:rsidRDefault="00E9406C" w:rsidP="00742A7D">
                  <w:pPr>
                    <w:spacing w:line="480" w:lineRule="auto"/>
                    <w:jc w:val="both"/>
                    <w:rPr>
                      <w:sz w:val="24"/>
                      <w:szCs w:val="24"/>
                    </w:rPr>
                  </w:pPr>
                  <w:r w:rsidRPr="005D6643">
                    <w:rPr>
                      <w:sz w:val="24"/>
                      <w:szCs w:val="24"/>
                    </w:rPr>
                    <w:t>Pressure for efficiency and performance</w:t>
                  </w:r>
                </w:p>
              </w:tc>
            </w:tr>
          </w:tbl>
          <w:p w:rsidR="005D6643" w:rsidRPr="005D6643" w:rsidRDefault="005D6643" w:rsidP="0069023F">
            <w:pPr>
              <w:spacing w:line="480" w:lineRule="auto"/>
              <w:jc w:val="both"/>
              <w:rPr>
                <w:sz w:val="24"/>
                <w:szCs w:val="24"/>
              </w:rPr>
            </w:pPr>
          </w:p>
        </w:tc>
      </w:tr>
    </w:tbl>
    <w:p w:rsidR="00616984" w:rsidRPr="00616984" w:rsidRDefault="00616984" w:rsidP="00616984">
      <w:pPr>
        <w:pStyle w:val="Heading3"/>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(Source: Primary Data,</w:t>
      </w:r>
      <w:r w:rsidR="000645B8">
        <w:rPr>
          <w:rFonts w:ascii="Times New Roman" w:hAnsi="Times New Roman" w:cs="Times New Roman"/>
          <w:color w:val="auto"/>
          <w:sz w:val="24"/>
          <w:szCs w:val="24"/>
        </w:rPr>
        <w:t xml:space="preserve"> </w:t>
      </w:r>
      <w:r>
        <w:rPr>
          <w:rFonts w:ascii="Times New Roman" w:hAnsi="Times New Roman" w:cs="Times New Roman"/>
          <w:color w:val="auto"/>
          <w:sz w:val="24"/>
          <w:szCs w:val="24"/>
        </w:rPr>
        <w:t>2025)</w:t>
      </w:r>
    </w:p>
    <w:p w:rsidR="0069023F" w:rsidRPr="0069023F" w:rsidRDefault="0069023F" w:rsidP="0069023F">
      <w:pPr>
        <w:pStyle w:val="NormalWeb"/>
        <w:spacing w:line="480" w:lineRule="auto"/>
        <w:jc w:val="both"/>
      </w:pPr>
      <w:r w:rsidRPr="0069023F">
        <w:t>Overall, the findings suggest that the future of universities in the knowledge society lies in their ability to balance continuity with transformation. While maintaining their core functions of teaching and research, universities must embrace innovation, collaboration, and inclusivity (Kupe, 2024).</w:t>
      </w:r>
    </w:p>
    <w:p w:rsidR="0069023F" w:rsidRPr="0069023F" w:rsidRDefault="0069023F" w:rsidP="0069023F">
      <w:pPr>
        <w:pStyle w:val="NormalWeb"/>
        <w:spacing w:line="480" w:lineRule="auto"/>
        <w:jc w:val="both"/>
      </w:pPr>
      <w:r w:rsidRPr="0069023F">
        <w:t>This study advances a hybrid model of knowledge production in which technological innovation, global networks, and indigenous knowledge systems converge (Crawford, 2023). Such a model repositions universities as dynamic knowledge integrators and facilitators of sustainable development within an increasingly complex and interconnected world (Morales et al., 2025).</w:t>
      </w:r>
    </w:p>
    <w:p w:rsidR="004C3D01" w:rsidRPr="007D7219" w:rsidRDefault="002815BA" w:rsidP="004C3D01">
      <w:pPr>
        <w:pStyle w:val="NormalWeb"/>
        <w:spacing w:line="480" w:lineRule="auto"/>
        <w:jc w:val="both"/>
        <w:rPr>
          <w:b/>
        </w:rPr>
      </w:pPr>
      <w:r w:rsidRPr="007D7219">
        <w:rPr>
          <w:b/>
        </w:rPr>
        <w:t xml:space="preserve">Discussion </w:t>
      </w:r>
    </w:p>
    <w:p w:rsidR="00505E61" w:rsidRDefault="00505E61" w:rsidP="004C3D01">
      <w:pPr>
        <w:pStyle w:val="NormalWeb"/>
        <w:spacing w:line="480" w:lineRule="auto"/>
        <w:jc w:val="both"/>
      </w:pPr>
      <w:r>
        <w:t>A critical insight emerging from this study is that the integration of indigenous knowledge systems (IKS) with contemporary scientific and technological knowledge</w:t>
      </w:r>
      <w:r w:rsidR="00D66B5D">
        <w:fldChar w:fldCharType="begin"/>
      </w:r>
      <w:r w:rsidR="00D66B5D">
        <w:instrText xml:space="preserve"> ADDIN ZOTERO_ITEM CSL_CITATION {"citationID":"MnGWM1tf","properties":{"unsorted":false,"formattedCitation":"(Agnes et al., 2022a)","plainCitation":"(Agnes et al., 2022a)","noteIndex":0},"citationItems":[{"id":3460,"uris":["http://zotero.org/users/local/OjQF1mLY/items/RCCLZVMH"],"itemData":{"id":3460,"type":"book","abstract":"With 2030 less than a decade away, it is paramount to think critically and act urgently if we are to achieve the Sustainable Development Goals. Higher education institutions are uniquely positioned to contribute to the social, economic and environmental transformations that are required to tackle the world's most pressing issues. This report thoroughly discusses the role of higher education institutions in contributing to the 2030 Agenda, through a focus on three interrelated themes: 1) the need to move towards inter- and transdisciplinary modes of producing and circulating knowledge; 2) the imperative of becoming open institutions, fostering epistemic dialogue and integrating diverse ways of knowing; and 3) the demand for a stronger presence in society through proactive engagement and partnering with other societal actors.","ISBN":"978-92-3-100505-3","language":"en","note":"Google-Books-ID: GyNeEAAAQBAJ","number-of-pages":"99","publisher":"UNESCO Publishing","source":"Google Books","title":"Knowledge-driven actions: Transforming higher education for global sustainability: Independent Expert Group on the Universities and the 2030 Agenda","title-short":"Knowledge-driven actions","author":[{"family":"Agnes","given":"Binagwaho"},{"family":"Helena","given":"Bonciani Nader"},{"family":"Melody","given":"Brown Burkins"},{"family":"Anna","given":"Davies"},{"family":"Olav","given":"Hessen","suffix":"Dag"},{"family":"Cheikh","given":"Mbow"},{"family":"Tristan","given":"McCowan"},{"family":"Adrian","given":"Parr"},{"family":"Seeram","given":"Ramakrishna"},{"family":"Jamil","given":"Salmi"},{"family":"Sylvia","given":"Schmelkes"},{"family":"Sol","given":"Serrano"},{"family":"Andy","given":"Stirling"},{"family":"Shijun","given":"Tong"},{"family":"UNESCO","given":""},{"family":"Agenda","given":"UNESCO Global Independent Expert Group on the Universities and the 2030"}],"issued":{"date-parts":[["2022",2,9]]}}}],"schema":"https://github.com/citation-style-language/schema/raw/master/csl-citation.json"} </w:instrText>
      </w:r>
      <w:r w:rsidR="00D66B5D">
        <w:fldChar w:fldCharType="separate"/>
      </w:r>
      <w:r w:rsidR="00D66B5D" w:rsidRPr="00D66B5D">
        <w:t>(Agnes et al., 2022a)</w:t>
      </w:r>
      <w:r w:rsidR="00D66B5D">
        <w:fldChar w:fldCharType="end"/>
      </w:r>
      <w:r w:rsidR="00D66B5D">
        <w:t xml:space="preserve"> . This</w:t>
      </w:r>
      <w:r>
        <w:t xml:space="preserve"> is not a peripheral concern but a central epistemological and developmental imperative in the knowledge society. Rather than existing as parallel or competing systems, these knowledge traditions should be understood as complementary epistemologies that can mutually inform and enrich one another within higher education and broader societal development (Pandit &amp; Paul, 2023).</w:t>
      </w:r>
    </w:p>
    <w:p w:rsidR="00505E61" w:rsidRDefault="00505E61" w:rsidP="004C3D01">
      <w:pPr>
        <w:pStyle w:val="NormalWeb"/>
        <w:spacing w:line="480" w:lineRule="auto"/>
        <w:jc w:val="both"/>
      </w:pPr>
      <w:r>
        <w:t xml:space="preserve">Indigenous knowledge systems are deeply embedded in local histories, cultural practices, and lived experiences. They are </w:t>
      </w:r>
      <w:proofErr w:type="spellStart"/>
      <w:r>
        <w:t>characterised</w:t>
      </w:r>
      <w:proofErr w:type="spellEnd"/>
      <w:r>
        <w:t xml:space="preserve"> by holistic worldviews, relational epistemologies, and context-specific problem-solving approaches that have sustained communities across generations (</w:t>
      </w:r>
      <w:proofErr w:type="spellStart"/>
      <w:r>
        <w:t>Hunjra</w:t>
      </w:r>
      <w:proofErr w:type="spellEnd"/>
      <w:r>
        <w:t xml:space="preserve"> &amp; </w:t>
      </w:r>
      <w:proofErr w:type="spellStart"/>
      <w:r>
        <w:t>Hussainey</w:t>
      </w:r>
      <w:proofErr w:type="spellEnd"/>
      <w:r>
        <w:t xml:space="preserve">, 2024). In contrast to codified scientific knowledge, indigenous knowledge </w:t>
      </w:r>
      <w:r>
        <w:lastRenderedPageBreak/>
        <w:t>is often tacit, orally transmitted, and practice-based, yet it remains highly adaptive and responsive to environmental, social, and economic realities.</w:t>
      </w:r>
    </w:p>
    <w:p w:rsidR="00505E61" w:rsidRDefault="00505E61" w:rsidP="004C3D01">
      <w:pPr>
        <w:pStyle w:val="NormalWeb"/>
        <w:spacing w:line="480" w:lineRule="auto"/>
        <w:jc w:val="both"/>
      </w:pPr>
      <w:r>
        <w:t xml:space="preserve">Contemporary knowledge societies, however, have historically privileged formal scientific knowledge systems, often </w:t>
      </w:r>
      <w:proofErr w:type="spellStart"/>
      <w:r>
        <w:t>marginalising</w:t>
      </w:r>
      <w:proofErr w:type="spellEnd"/>
      <w:r>
        <w:t xml:space="preserve"> indigenous epistemologies within academic and policy frameworks. This epistemic hierarchy has contributed to knowledge asymmetries, where local ways of knowing are undervalued despite their relevance to sustainable development, resilience building, and community well-being (Olmos, 2026). Addressing this imbalance requires a deliberate shift toward epistemic justice and knowledge pluralism.</w:t>
      </w:r>
    </w:p>
    <w:p w:rsidR="00505E61" w:rsidRDefault="00505E61" w:rsidP="004C3D01">
      <w:pPr>
        <w:pStyle w:val="NormalWeb"/>
        <w:spacing w:line="480" w:lineRule="auto"/>
        <w:jc w:val="both"/>
      </w:pPr>
      <w:r>
        <w:t xml:space="preserve">From a theoretical standpoint, the integration of indigenous and scientific knowledge systems can be </w:t>
      </w:r>
      <w:proofErr w:type="spellStart"/>
      <w:r>
        <w:t>conceptualised</w:t>
      </w:r>
      <w:proofErr w:type="spellEnd"/>
      <w:r>
        <w:t xml:space="preserve"> through </w:t>
      </w:r>
      <w:r w:rsidRPr="00B3469B">
        <w:rPr>
          <w:b/>
        </w:rPr>
        <w:t xml:space="preserve">a </w:t>
      </w:r>
      <w:r w:rsidRPr="00B3469B">
        <w:rPr>
          <w:rStyle w:val="Strong"/>
          <w:b w:val="0"/>
        </w:rPr>
        <w:t>synergistic epistemological model</w:t>
      </w:r>
      <w:r w:rsidRPr="00B3469B">
        <w:rPr>
          <w:b/>
        </w:rPr>
        <w:t>,</w:t>
      </w:r>
      <w:r>
        <w:t xml:space="preserve"> where each system contributes distinct but complementary forms of understanding. Scientific knowledge offers methodological </w:t>
      </w:r>
      <w:proofErr w:type="spellStart"/>
      <w:r>
        <w:t>rigour</w:t>
      </w:r>
      <w:proofErr w:type="spellEnd"/>
      <w:r>
        <w:t xml:space="preserve">, abstraction, and </w:t>
      </w:r>
      <w:proofErr w:type="spellStart"/>
      <w:r>
        <w:t>generalisability</w:t>
      </w:r>
      <w:proofErr w:type="spellEnd"/>
      <w:r>
        <w:t>, while indigenous knowledge provides contextual depth, ethical grounding, and long-term ecological and social wisdom (Nakamori, 2023). Their integration therefore enhances the overall robustness, relevance, and inclusivity of knowledge production.</w:t>
      </w:r>
    </w:p>
    <w:p w:rsidR="00505E61" w:rsidRDefault="00505E61" w:rsidP="004C3D01">
      <w:pPr>
        <w:pStyle w:val="NormalWeb"/>
        <w:spacing w:line="480" w:lineRule="auto"/>
        <w:jc w:val="both"/>
      </w:pPr>
      <w:r>
        <w:t xml:space="preserve">Importantly, this study argues that universities occupy a strategic position as </w:t>
      </w:r>
      <w:r w:rsidRPr="00D66B5D">
        <w:rPr>
          <w:rStyle w:val="Strong"/>
          <w:b w:val="0"/>
        </w:rPr>
        <w:t>bridging institutions</w:t>
      </w:r>
      <w:r>
        <w:t xml:space="preserve"> within this integrative framework. They are uniquely placed to facilitate dialogue, translation, and co-production between indigenous knowledge holders and scientific communities (</w:t>
      </w:r>
      <w:proofErr w:type="spellStart"/>
      <w:r>
        <w:t>Ahadzie</w:t>
      </w:r>
      <w:proofErr w:type="spellEnd"/>
      <w:r>
        <w:t xml:space="preserve"> et al., 2023). In this role, universities move beyond their traditional function as transmitters of codified knowledge to become </w:t>
      </w:r>
      <w:r w:rsidRPr="00D66B5D">
        <w:rPr>
          <w:rStyle w:val="Strong"/>
          <w:b w:val="0"/>
        </w:rPr>
        <w:t>epistemic intermediaries</w:t>
      </w:r>
      <w:r>
        <w:t xml:space="preserve"> that enable reciprocal learning and collaborative innovation.</w:t>
      </w:r>
    </w:p>
    <w:p w:rsidR="00505E61" w:rsidRDefault="00505E61" w:rsidP="004C3D01">
      <w:pPr>
        <w:pStyle w:val="NormalWeb"/>
        <w:spacing w:line="480" w:lineRule="auto"/>
        <w:jc w:val="both"/>
      </w:pPr>
      <w:proofErr w:type="spellStart"/>
      <w:r>
        <w:lastRenderedPageBreak/>
        <w:t>Operationalising</w:t>
      </w:r>
      <w:proofErr w:type="spellEnd"/>
      <w:r>
        <w:t xml:space="preserve"> this integration requires institutional transformation at multiple levels. At the curriculum level, indigenous knowledge should be systematically embedded into teaching and learning frameworks, rather than treated as supplementary content</w:t>
      </w:r>
      <w:r w:rsidR="00D66B5D">
        <w:t xml:space="preserve"> </w:t>
      </w:r>
      <w:r w:rsidR="00D66B5D">
        <w:fldChar w:fldCharType="begin"/>
      </w:r>
      <w:r w:rsidR="00D66B5D">
        <w:instrText xml:space="preserve"> ADDIN ZOTERO_ITEM CSL_CITATION {"citationID":"COS5r8sh","properties":{"unsorted":false,"formattedCitation":"(Knoop et al., 2022)","plainCitation":"(Knoop et al., 2022)","noteIndex":0},"citationItems":[{"id":3143,"uris":["http://zotero.org/users/local/OjQF1mLY/items/KZJIYXHG"],"itemData":{"id":3143,"type":"book","ISBN":"978-2-8325-0449-9","language":"en","note":"Google-Books-ID: GtCaEAAAQBAJ","number-of-pages":"223","publisher":"Frontiers Media SA","source":"Google Books","title":"Positive Educational Approaches to Teaching Effectiveness and Student Well-being","author":[{"family":"Knoop","given":"Hans Henrik"},{"family":"Nel","given":"Mirna"},{"family":"Chen","given":"Sufen"},{"family":"Shankland","given":"Rebecca"},{"family":"Zyl","given":"Llewellyn Ellardus Van"},{"family":"Cole","given":"Matthew"}],"issued":{"date-parts":[["2022",11,8]]}}}],"schema":"https://github.com/citation-style-language/schema/raw/master/csl-citation.json"} </w:instrText>
      </w:r>
      <w:r w:rsidR="00D66B5D">
        <w:fldChar w:fldCharType="separate"/>
      </w:r>
      <w:r w:rsidR="00D66B5D" w:rsidRPr="00D66B5D">
        <w:t>(Knoop et al., 2022)</w:t>
      </w:r>
      <w:r w:rsidR="00D66B5D">
        <w:fldChar w:fldCharType="end"/>
      </w:r>
      <w:r>
        <w:t xml:space="preserve">. At the research level, participatory and community-based methodologies should be </w:t>
      </w:r>
      <w:proofErr w:type="spellStart"/>
      <w:r>
        <w:t>prioritised</w:t>
      </w:r>
      <w:proofErr w:type="spellEnd"/>
      <w:r>
        <w:t xml:space="preserve"> to ensure that indigenous knowledge holders are </w:t>
      </w:r>
      <w:proofErr w:type="spellStart"/>
      <w:r>
        <w:t>recognised</w:t>
      </w:r>
      <w:proofErr w:type="spellEnd"/>
      <w:r>
        <w:t xml:space="preserve"> as co-researchers rather than passive informants. At the policy level, frameworks must safeguard intellectual property rights, cultural ownership, and ethical access to indigenous knowledge systems (Peters et al., 2021).</w:t>
      </w:r>
    </w:p>
    <w:p w:rsidR="00505E61" w:rsidRDefault="00505E61" w:rsidP="004C3D01">
      <w:pPr>
        <w:pStyle w:val="NormalWeb"/>
        <w:spacing w:line="480" w:lineRule="auto"/>
        <w:jc w:val="both"/>
      </w:pPr>
      <w:r>
        <w:t xml:space="preserve">Digital transformation further strengthens the feasibility of this integration. Information and communication technologies provide powerful tools for documenting, preserving, and disseminating indigenous knowledge in ways that were previously constrained by oral transmission systems. However, this digital integration must be guided by ethical safeguards to prevent misappropriation, misrepresentation, or commodification of indigenous knowledge (Maggie &amp; </w:t>
      </w:r>
      <w:proofErr w:type="spellStart"/>
      <w:r>
        <w:t>Thulisile</w:t>
      </w:r>
      <w:proofErr w:type="spellEnd"/>
      <w:r>
        <w:t>, 2025).</w:t>
      </w:r>
    </w:p>
    <w:p w:rsidR="00505E61" w:rsidRDefault="00505E61" w:rsidP="004C3D01">
      <w:pPr>
        <w:pStyle w:val="NormalWeb"/>
        <w:spacing w:line="480" w:lineRule="auto"/>
        <w:jc w:val="both"/>
      </w:pPr>
      <w:r>
        <w:t>In the context of sustainable development, the integration of indigenous and scientific knowledge systems offers significant practical value. It enhances environmental stewardship, strengthens community resilience, improves health and agricultural practices, and fosters socially grounded innovation</w:t>
      </w:r>
      <w:r w:rsidR="00D66B5D">
        <w:t xml:space="preserve"> </w:t>
      </w:r>
      <w:r w:rsidR="00D66B5D">
        <w:fldChar w:fldCharType="begin"/>
      </w:r>
      <w:r w:rsidR="00D66B5D">
        <w:instrText xml:space="preserve"> ADDIN ZOTERO_ITEM CSL_CITATION {"citationID":"xHQ4Udph","properties":{"unsorted":false,"formattedCitation":"(Agnes et al., 2022a)","plainCitation":"(Agnes et al., 2022a)","noteIndex":0},"citationItems":[{"id":3460,"uris":["http://zotero.org/users/local/OjQF1mLY/items/RCCLZVMH"],"itemData":{"id":3460,"type":"book","abstract":"With 2030 less than a decade away, it is paramount to think critically and act urgently if we are to achieve the Sustainable Development Goals. Higher education institutions are uniquely positioned to contribute to the social, economic and environmental transformations that are required to tackle the world's most pressing issues. This report thoroughly discusses the role of higher education institutions in contributing to the 2030 Agenda, through a focus on three interrelated themes: 1) the need to move towards inter- and transdisciplinary modes of producing and circulating knowledge; 2) the imperative of becoming open institutions, fostering epistemic dialogue and integrating diverse ways of knowing; and 3) the demand for a stronger presence in society through proactive engagement and partnering with other societal actors.","ISBN":"978-92-3-100505-3","language":"en","note":"Google-Books-ID: GyNeEAAAQBAJ","number-of-pages":"99","publisher":"UNESCO Publishing","source":"Google Books","title":"Knowledge-driven actions: Transforming higher education for global sustainability: Independent Expert Group on the Universities and the 2030 Agenda","title-short":"Knowledge-driven actions","author":[{"family":"Agnes","given":"Binagwaho"},{"family":"Helena","given":"Bonciani Nader"},{"family":"Melody","given":"Brown Burkins"},{"family":"Anna","given":"Davies"},{"family":"Olav","given":"Hessen","suffix":"Dag"},{"family":"Cheikh","given":"Mbow"},{"family":"Tristan","given":"McCowan"},{"family":"Adrian","given":"Parr"},{"family":"Seeram","given":"Ramakrishna"},{"family":"Jamil","given":"Salmi"},{"family":"Sylvia","given":"Schmelkes"},{"family":"Sol","given":"Serrano"},{"family":"Andy","given":"Stirling"},{"family":"Shijun","given":"Tong"},{"family":"UNESCO","given":""},{"family":"Agenda","given":"UNESCO Global Independent Expert Group on the Universities and the 2030"}],"issued":{"date-parts":[["2022",2,9]]}}}],"schema":"https://github.com/citation-style-language/schema/raw/master/csl-citation.json"} </w:instrText>
      </w:r>
      <w:r w:rsidR="00D66B5D">
        <w:fldChar w:fldCharType="separate"/>
      </w:r>
      <w:r w:rsidR="00D66B5D" w:rsidRPr="00D66B5D">
        <w:t>(Agnes et al., 2022a)</w:t>
      </w:r>
      <w:r w:rsidR="00D66B5D">
        <w:fldChar w:fldCharType="end"/>
      </w:r>
      <w:r>
        <w:t xml:space="preserve">. More importantly, it expands the epistemological foundations of the knowledge society by </w:t>
      </w:r>
      <w:proofErr w:type="spellStart"/>
      <w:r>
        <w:t>recognising</w:t>
      </w:r>
      <w:proofErr w:type="spellEnd"/>
      <w:r>
        <w:t xml:space="preserve"> that innovation is not exclusively technological but also cultural, relational, and contextual.</w:t>
      </w:r>
    </w:p>
    <w:p w:rsidR="005E7AFC" w:rsidRDefault="00D66B5D" w:rsidP="0069023F">
      <w:pPr>
        <w:pStyle w:val="NormalWeb"/>
        <w:spacing w:line="480" w:lineRule="auto"/>
        <w:jc w:val="both"/>
      </w:pPr>
      <w:r>
        <w:t xml:space="preserve"> </w:t>
      </w:r>
      <w:r>
        <w:fldChar w:fldCharType="begin"/>
      </w:r>
      <w:r>
        <w:instrText xml:space="preserve"> ADDIN ZOTERO_ITEM CSL_CITATION {"citationID":"qug0uepy","properties":{"unsorted":false,"formattedCitation":"(Agnes et al., 2022b)","plainCitation":"(Agnes et al., 2022b)","noteIndex":0},"citationItems":[{"id":3767,"uris":["http://zotero.org/users/local/OjQF1mLY/items/SRMZ5PCR"],"itemData":{"id":3767,"type":"book","abstract":"With 2030 less than a decade away, it is paramount to think critically and act urgently if we are to achieve the Sustainable Development Goals. Higher education institutions are uniquely positioned to contribute to the social, economic and environmental transformations that are required to tackle the world's most pressing issues. This report thoroughly discusses the role of higher education institutions in contributing to the 2030 Agenda, through a focus on three interrelated themes: 1) the need to move towards inter- and transdisciplinary modes of producing and circulating knowledge; 2) the imperative of becoming open institutions, fostering epistemic dialogue and integrating diverse ways of knowing; and 3) the demand for a stronger presence in society through proactive engagement and partnering with other societal actors.","ISBN":"978-92-3-100505-3","language":"en","note":"Google-Books-ID: GyNeEAAAQBAJ","number-of-pages":"99","publisher":"UNESCO Publishing","source":"Google Books","title":"Knowledge-driven actions: Transforming higher education for global sustainability: Independent Expert Group on the Universities and the 2030 Agenda","title-short":"Knowledge-driven actions","author":[{"family":"Agnes","given":"Binagwaho"},{"family":"Helena","given":"Bonciani Nader"},{"family":"Melody","given":"Brown Burkins"},{"family":"Anna","given":"Davies"},{"family":"Olav","given":"Hessen","suffix":"Dag"},{"family":"Cheikh","given":"Mbow"},{"family":"Tristan","given":"McCowan"},{"family":"Adrian","given":"Parr"},{"family":"Seeram","given":"Ramakrishna"},{"family":"Jamil","given":"Salmi"},{"family":"Sylvia","given":"Schmelkes"},{"family":"Sol","given":"Serrano"},{"family":"Andy","given":"Stirling"},{"family":"Shijun","given":"Tong"},{"family":"UNESCO","given":""},{"family":"Agenda","given":"UNESCO Global Independent Expert Group on the Universities and the 2030"}],"issued":{"date-parts":[["2022",2,9]]}}}],"schema":"https://github.com/citation-style-language/schema/raw/master/csl-citation.json"} </w:instrText>
      </w:r>
      <w:r>
        <w:fldChar w:fldCharType="separate"/>
      </w:r>
      <w:r w:rsidRPr="00D66B5D">
        <w:t xml:space="preserve">Agnes et al., </w:t>
      </w:r>
      <w:r w:rsidR="002B3E0E">
        <w:t>(2022</w:t>
      </w:r>
      <w:r w:rsidRPr="00D66B5D">
        <w:t>)</w:t>
      </w:r>
      <w:r>
        <w:fldChar w:fldCharType="end"/>
      </w:r>
      <w:r w:rsidR="00505E61">
        <w:t xml:space="preserve">Ultimately, this study positions integration not as assimilation, but as </w:t>
      </w:r>
      <w:r w:rsidR="00505E61" w:rsidRPr="00D66B5D">
        <w:rPr>
          <w:rStyle w:val="Strong"/>
          <w:b w:val="0"/>
        </w:rPr>
        <w:t>dialogical co-existence</w:t>
      </w:r>
      <w:r w:rsidR="00505E61" w:rsidRPr="00D66B5D">
        <w:rPr>
          <w:b/>
        </w:rPr>
        <w:t>,</w:t>
      </w:r>
      <w:r w:rsidR="00505E61">
        <w:t xml:space="preserve"> where multiple knowledge systems interact without hierarchical subordination. Such an approach advances epistemic pluralism and redefines the role of </w:t>
      </w:r>
      <w:r w:rsidR="00505E61">
        <w:lastRenderedPageBreak/>
        <w:t>universities as facilitators of inclusive, ethically grounded, and socially responsive knowledge ecosystems (Crawford, 2023; Kupe, 2024).</w:t>
      </w:r>
    </w:p>
    <w:p w:rsidR="004C3D01" w:rsidRPr="00B3469B" w:rsidRDefault="004C3D01" w:rsidP="0069023F">
      <w:pPr>
        <w:pStyle w:val="NormalWeb"/>
        <w:spacing w:line="480" w:lineRule="auto"/>
        <w:jc w:val="both"/>
        <w:rPr>
          <w:b/>
        </w:rPr>
      </w:pPr>
      <w:r w:rsidRPr="00B3469B">
        <w:rPr>
          <w:b/>
        </w:rPr>
        <w:t xml:space="preserve">Conclusion </w:t>
      </w:r>
    </w:p>
    <w:p w:rsidR="004C3D01" w:rsidRDefault="004C3D01" w:rsidP="004C3D01">
      <w:pPr>
        <w:pStyle w:val="NormalWeb"/>
        <w:spacing w:line="480" w:lineRule="auto"/>
        <w:jc w:val="both"/>
      </w:pPr>
      <w:r>
        <w:t>This paper concludes that, the evolving role of universities within the knowledge society, with particular attention to the challenges, expectations, and structural transformations reshaping higher education systems. It was guided by two central questions: how universities can respond effectively to the demands of the knowledge society, and whether they can sustain their traditional role as primary producers of knowledge and providers of higher education. Grounded in a comprehensive review of literature, the study provides strong evidence that the continuity of the traditional university model can no longer be assumed without substantial institutional and epistemic transformation.</w:t>
      </w:r>
    </w:p>
    <w:p w:rsidR="004C3D01" w:rsidRDefault="004C3D01" w:rsidP="004C3D01">
      <w:pPr>
        <w:pStyle w:val="NormalWeb"/>
        <w:spacing w:line="480" w:lineRule="auto"/>
        <w:jc w:val="both"/>
      </w:pPr>
      <w:r>
        <w:t xml:space="preserve">The findings demonstrate that the knowledge society </w:t>
      </w:r>
      <w:proofErr w:type="spellStart"/>
      <w:r>
        <w:t>characterised</w:t>
      </w:r>
      <w:proofErr w:type="spellEnd"/>
      <w:r>
        <w:t xml:space="preserve"> by accelerated knowledge production, rapid technological advancement, and innovation-driven development has fundamentally reconfigured the conditions under which universities operate (Ballinger et al., 2024). Universities are no longer insulated, autonomous entities but are increasingly embedded within interconnected systems involving industry, government, civil society, and global networks of knowledge production. Their relevance and effectiveness therefore depend on their capacity to adapt to these complex environments through enhanced collaboration, interdisciplinary engagement, and responsive knowledge production practices.</w:t>
      </w:r>
    </w:p>
    <w:p w:rsidR="004C3D01" w:rsidRDefault="004C3D01" w:rsidP="004C3D01">
      <w:pPr>
        <w:pStyle w:val="NormalWeb"/>
        <w:spacing w:line="480" w:lineRule="auto"/>
        <w:jc w:val="both"/>
      </w:pPr>
      <w:r>
        <w:t xml:space="preserve">A central conclusion is that systemic reform is not optional but imperative. Universities must undertake comprehensive reconfiguration of their missions, governance structures, and </w:t>
      </w:r>
      <w:r>
        <w:lastRenderedPageBreak/>
        <w:t xml:space="preserve">operational frameworks to align with the dynamic demands of the knowledge </w:t>
      </w:r>
      <w:r w:rsidR="009C12A4">
        <w:t xml:space="preserve">society. </w:t>
      </w:r>
      <w:r>
        <w:t>This includes strategic integration of digital technologies, strengthening research and innovation capacity, and fostering collaborative ecosystems that link academia with broader societal actors (</w:t>
      </w:r>
      <w:proofErr w:type="spellStart"/>
      <w:r>
        <w:t>Mahalle</w:t>
      </w:r>
      <w:proofErr w:type="spellEnd"/>
      <w:r>
        <w:t xml:space="preserve"> et al., 2025). Equally important is the need for universities to </w:t>
      </w:r>
      <w:r w:rsidR="00D0630B">
        <w:t>fulfill</w:t>
      </w:r>
      <w:r>
        <w:t xml:space="preserve"> their social mandate by promoting equity, expanding access, and supporting lifelong learning as integral dimensions of development.</w:t>
      </w:r>
    </w:p>
    <w:p w:rsidR="004C3D01" w:rsidRDefault="004C3D01" w:rsidP="004C3D01">
      <w:pPr>
        <w:pStyle w:val="NormalWeb"/>
        <w:spacing w:line="480" w:lineRule="auto"/>
        <w:jc w:val="both"/>
      </w:pPr>
      <w:r>
        <w:t>Significantly, this study advances a novel conceptual contribution by highlighting the importance of integrating indigenous knowledge systems with contemporary scientific and information infrastructures. This synergy represents a transformative pathway for rethinking knowledge production in more inclusive, context-sensitive, and sustainable terms (Agnes et al., 2022). Rather than positioning indigenous and scientific knowledge as competing epistemologies, the study underscores their potential complementarity in generating socially grounded innovation and enhancing epistemic diversity within higher education systems</w:t>
      </w:r>
      <w:r w:rsidR="00C3182B">
        <w:t xml:space="preserve"> </w:t>
      </w:r>
      <w:r w:rsidR="00C3182B">
        <w:fldChar w:fldCharType="begin"/>
      </w:r>
      <w:r w:rsidR="00C3182B">
        <w:instrText xml:space="preserve"> ADDIN ZOTERO_ITEM CSL_CITATION {"citationID":"z3bu0Aql","properties":{"unsorted":false,"formattedCitation":"(Edberg, 2022)","plainCitation":"(Edberg, 2022)","noteIndex":0},"citationItems":[{"id":6453,"uris":["http://zotero.org/users/local/OjQF1mLY/items/W4LQIP6G"],"itemData":{"id":6453,"type":"book","abstract":"With diversity, including cultural diversity, increasingly become the norm, it has become even more essential for students and those planning to work in public health to have more than a cursory understanding of the important cultural dimension of the human societies and groups with whom they'll be partners. Essentials of Health, Culture, and Diversity: Understanding People, Reducing Disparities, Second Edition examines what is meant by culture and the ways which culture intersects with health issues, and explores how public health efforts can benefit by understanding and working with cultural processes. Using a range of conceptual tools and research methods, this text provides an overview of specific domains where culture and health intersect, including: varying definitions of health/well-being; understandings of health risk; illness causation and treatment theories (ethnomedical systems); healing/curing traditions; the relationship between health risk (vulnerability) and socio-cultural structures; gender and health; and the meaning of 'cultural competency.' A brief review of a range of cases and examples that span several health issues where health problems, as well as health interventions, were impacted by cultural factors.An overview of research methods that focus on obtaining \"cultural data.\"A focus on four current public health issues where culture and health intersect: HIV/AIDS, obesity, youth violence, and the COVID-19 epidemic.An exploration of the ways in which an awareness of the culture-health relationship can inform public health work, both domestic and international.Real-life examples and profiles as well as suggested exercises and activities help readers in understanding concepts and their applicationTwo in-depth case studies on autism spectrum disorder and indigenous historical trauma illustrate the broad scope interactions between culture and healthNavigate eBook Access (included with the printed text) for convenient online or offline access to the digital text from your computer, tablet, or mobile device. Culture and Health Multicultural Health Cutural Diversity and Health Practices Transcultural Patterns of Health and Culture Or similar courses in departments of Public Health, Health Science, Health Education, Nursing/Community Nursing/Public Health Nursing, Allied Health Professions, Medicine, Anthropology, and Sociology © 2023 | 250 pages","ISBN":"978-1-284-22625-6","language":"en","note":"Google-Books-ID: C_9tEAAAQBAJ","number-of-pages":"199","publisher":"Jones &amp; Bartlett Learning","source":"Google Books","title":"Essentials of Health, Culture, and Diversity: .","title-short":"Essentials of Health, Culture, and Diversity","author":[{"family":"Edberg","given":"Mark"}],"issued":{"date-parts":[["2022",3,24]]}}}],"schema":"https://github.com/citation-style-language/schema/raw/master/csl-citation.json"} </w:instrText>
      </w:r>
      <w:r w:rsidR="00C3182B">
        <w:fldChar w:fldCharType="separate"/>
      </w:r>
      <w:r w:rsidR="00C3182B" w:rsidRPr="00C3182B">
        <w:t>(Edberg, 2022)</w:t>
      </w:r>
      <w:r w:rsidR="00C3182B">
        <w:fldChar w:fldCharType="end"/>
      </w:r>
      <w:r>
        <w:t>.</w:t>
      </w:r>
    </w:p>
    <w:p w:rsidR="004C3D01" w:rsidRDefault="004C3D01" w:rsidP="004C3D01">
      <w:pPr>
        <w:pStyle w:val="NormalWeb"/>
        <w:spacing w:line="480" w:lineRule="auto"/>
        <w:jc w:val="both"/>
      </w:pPr>
      <w:r>
        <w:t xml:space="preserve">Technological advancement emerges as both a catalyst and enabling infrastructure for this transformation. Digital technologies have expanded the production, dissemination, and accessibility of knowledge, while simultaneously opening new possibilities for addressing entrenched challenges in higher education, including inequitable access, limited scalability, and restricted knowledge circulation (Maggie &amp; </w:t>
      </w:r>
      <w:proofErr w:type="spellStart"/>
      <w:r>
        <w:t>Thulisile</w:t>
      </w:r>
      <w:proofErr w:type="spellEnd"/>
      <w:r>
        <w:t>, 2025; Peters et al., 2021). However, the effectiveness of these technologies depends on their strategic, ethical, and contextually informed integration into institutional practices.</w:t>
      </w:r>
    </w:p>
    <w:p w:rsidR="004C3D01" w:rsidRDefault="004C3D01" w:rsidP="004C3D01">
      <w:pPr>
        <w:pStyle w:val="NormalWeb"/>
        <w:spacing w:line="480" w:lineRule="auto"/>
        <w:jc w:val="both"/>
      </w:pPr>
      <w:r>
        <w:t xml:space="preserve">In conclusion, the future sustainability of universities in the knowledge society will depend on their ability to balance continuity with transformation. While preserving their core missions of </w:t>
      </w:r>
      <w:r>
        <w:lastRenderedPageBreak/>
        <w:t>teaching and research, universities must evolve into adaptive, networked, and socially responsive institutions. Their continued centrality in knowledge creation will hinge on their capacity to embrace innovation, deepen collaboration, integrate diverse epistemologies, and respond proactively to technological and societal change (</w:t>
      </w:r>
      <w:proofErr w:type="spellStart"/>
      <w:r>
        <w:t>Kedar</w:t>
      </w:r>
      <w:proofErr w:type="spellEnd"/>
      <w:r>
        <w:t>, 2025). Only through such multidimensional transformation can universities remain relevant contributors to economic development, social inclusion, and the advancement of knowledge in an increasingly complex and interconnected global landscape.</w:t>
      </w:r>
    </w:p>
    <w:p w:rsidR="004C3D01" w:rsidRPr="00B3469B" w:rsidRDefault="004C3D01" w:rsidP="004C3D01">
      <w:pPr>
        <w:pStyle w:val="NormalWeb"/>
        <w:spacing w:line="480" w:lineRule="auto"/>
        <w:jc w:val="both"/>
        <w:rPr>
          <w:b/>
        </w:rPr>
      </w:pPr>
      <w:r w:rsidRPr="00B3469B">
        <w:rPr>
          <w:b/>
        </w:rPr>
        <w:t>Recommendations</w:t>
      </w:r>
    </w:p>
    <w:p w:rsidR="00B3469B" w:rsidRDefault="00B3469B" w:rsidP="00363AB3">
      <w:pPr>
        <w:pStyle w:val="NormalWeb"/>
        <w:spacing w:line="480" w:lineRule="auto"/>
        <w:jc w:val="both"/>
      </w:pPr>
      <w:r>
        <w:t xml:space="preserve">Building on the findings of this study, several strategic recommendations are proposed to support universities in effectively responding to the evolving demands of the knowledge society while sustaining their core missions of teaching, research, and knowledge production. These recommendations </w:t>
      </w:r>
      <w:proofErr w:type="spellStart"/>
      <w:r>
        <w:t>emphasise</w:t>
      </w:r>
      <w:proofErr w:type="spellEnd"/>
      <w:r>
        <w:t xml:space="preserve"> institutional transformation, epistemic inclusivity, and system-wide adaptability.</w:t>
      </w:r>
    </w:p>
    <w:p w:rsidR="00B3469B" w:rsidRPr="00363AB3" w:rsidRDefault="00B3469B" w:rsidP="00363AB3">
      <w:pPr>
        <w:pStyle w:val="Heading3"/>
        <w:jc w:val="both"/>
        <w:rPr>
          <w:color w:val="auto"/>
        </w:rPr>
      </w:pPr>
      <w:r w:rsidRPr="00363AB3">
        <w:rPr>
          <w:color w:val="auto"/>
        </w:rPr>
        <w:t>1. Strengthening the Knowledge Triangle</w:t>
      </w:r>
    </w:p>
    <w:p w:rsidR="00B3469B" w:rsidRDefault="001526DA" w:rsidP="00363AB3">
      <w:pPr>
        <w:pStyle w:val="NormalWeb"/>
        <w:spacing w:line="480" w:lineRule="auto"/>
        <w:jc w:val="both"/>
      </w:pPr>
      <w:r>
        <w:t xml:space="preserve">The study that universities </w:t>
      </w:r>
      <w:r w:rsidR="00B3469B">
        <w:t>should reinforce the integration of teaching, research, and innovation as mutually reinforcing dimensions of the knowledge triangle. This requires embedding research-informed teaching, promoting innovation-oriented curricula, and ensuring that knowledge production is directly linked to societal and economic development outcomes. Strengthening this alignment will enhance institutional relevance and impact.</w:t>
      </w:r>
    </w:p>
    <w:p w:rsidR="00B3469B" w:rsidRPr="00363AB3" w:rsidRDefault="00B3469B" w:rsidP="00363AB3">
      <w:pPr>
        <w:pStyle w:val="Heading3"/>
        <w:jc w:val="both"/>
        <w:rPr>
          <w:color w:val="auto"/>
        </w:rPr>
      </w:pPr>
      <w:r w:rsidRPr="00363AB3">
        <w:rPr>
          <w:color w:val="auto"/>
        </w:rPr>
        <w:t>2. Accelerating Digital Transformation and Technological Integration</w:t>
      </w:r>
    </w:p>
    <w:p w:rsidR="00B3469B" w:rsidRDefault="00B3469B" w:rsidP="00363AB3">
      <w:pPr>
        <w:pStyle w:val="NormalWeb"/>
        <w:spacing w:line="480" w:lineRule="auto"/>
        <w:jc w:val="both"/>
      </w:pPr>
      <w:r>
        <w:t xml:space="preserve">Higher education institutions must </w:t>
      </w:r>
      <w:proofErr w:type="spellStart"/>
      <w:r>
        <w:t>prioritise</w:t>
      </w:r>
      <w:proofErr w:type="spellEnd"/>
      <w:r>
        <w:t xml:space="preserve"> comprehensive digital transformation across teaching, research, and administrative systems. Investment in digital infrastructure, e-learning </w:t>
      </w:r>
      <w:r>
        <w:lastRenderedPageBreak/>
        <w:t>platforms, and data-driven research tools is essential for improving access, scalability, and efficiency. Blended and virtual learning models should be further developed to enhance flexibility and inclusivity in higher education delivery.</w:t>
      </w:r>
    </w:p>
    <w:p w:rsidR="00B3469B" w:rsidRPr="00363AB3" w:rsidRDefault="00B3469B" w:rsidP="00363AB3">
      <w:pPr>
        <w:pStyle w:val="Heading3"/>
        <w:jc w:val="both"/>
        <w:rPr>
          <w:color w:val="auto"/>
        </w:rPr>
      </w:pPr>
      <w:r w:rsidRPr="00363AB3">
        <w:rPr>
          <w:color w:val="auto"/>
        </w:rPr>
        <w:t>3. Promoting Institutional Reform and Adaptive Governance</w:t>
      </w:r>
    </w:p>
    <w:p w:rsidR="00B3469B" w:rsidRDefault="00B3469B" w:rsidP="00363AB3">
      <w:pPr>
        <w:pStyle w:val="NormalWeb"/>
        <w:spacing w:line="480" w:lineRule="auto"/>
        <w:jc w:val="both"/>
      </w:pPr>
      <w:r>
        <w:t>There is a need for governance reforms that enhance flexibility, transparency, and acc</w:t>
      </w:r>
      <w:r w:rsidR="00541C33">
        <w:t xml:space="preserve">ountability within universities. </w:t>
      </w:r>
      <w:r>
        <w:t>Leadership structures should be reoriented toward strategic agility, innovation management, and responsiveness to external changes. Strengthening institutional governance capacity is critical for improving efficiency and long-term sustainability.</w:t>
      </w:r>
    </w:p>
    <w:p w:rsidR="00B3469B" w:rsidRPr="00363AB3" w:rsidRDefault="00B3469B" w:rsidP="00363AB3">
      <w:pPr>
        <w:pStyle w:val="Heading3"/>
        <w:jc w:val="both"/>
        <w:rPr>
          <w:color w:val="auto"/>
        </w:rPr>
      </w:pPr>
      <w:r w:rsidRPr="00363AB3">
        <w:rPr>
          <w:color w:val="auto"/>
        </w:rPr>
        <w:t>4. Expanding Networked and Collaborative Knowledge Production</w:t>
      </w:r>
    </w:p>
    <w:p w:rsidR="00B3469B" w:rsidRDefault="00B3469B" w:rsidP="00363AB3">
      <w:pPr>
        <w:pStyle w:val="NormalWeb"/>
        <w:spacing w:line="480" w:lineRule="auto"/>
        <w:jc w:val="both"/>
      </w:pPr>
      <w:r>
        <w:t>Universities should deepen their engagement in collaborative knowledge ecosystems involving industry, government, civil society, and international research networks. Such partnerships facilitate co-production of knowledge, enhance research relevance, and strengthen innovation capacity. This networked approach positions universities as central nodes within broader knowledge systems rather than isolated producers of knowledge.</w:t>
      </w:r>
    </w:p>
    <w:p w:rsidR="00B3469B" w:rsidRPr="00363AB3" w:rsidRDefault="00B3469B" w:rsidP="00363AB3">
      <w:pPr>
        <w:pStyle w:val="Heading3"/>
        <w:jc w:val="both"/>
        <w:rPr>
          <w:color w:val="auto"/>
        </w:rPr>
      </w:pPr>
      <w:r w:rsidRPr="00363AB3">
        <w:rPr>
          <w:b w:val="0"/>
          <w:color w:val="auto"/>
        </w:rPr>
        <w:t>5.</w:t>
      </w:r>
      <w:r w:rsidRPr="00363AB3">
        <w:rPr>
          <w:color w:val="auto"/>
        </w:rPr>
        <w:t xml:space="preserve"> </w:t>
      </w:r>
      <w:r w:rsidR="00363AB3" w:rsidRPr="00363AB3">
        <w:rPr>
          <w:color w:val="auto"/>
        </w:rPr>
        <w:t>Institutionalizing</w:t>
      </w:r>
      <w:r w:rsidRPr="00363AB3">
        <w:rPr>
          <w:color w:val="auto"/>
        </w:rPr>
        <w:t xml:space="preserve"> the Integration of Indigenous Knowledge Systems</w:t>
      </w:r>
    </w:p>
    <w:p w:rsidR="00B3469B" w:rsidRDefault="00B3469B" w:rsidP="00363AB3">
      <w:pPr>
        <w:pStyle w:val="NormalWeb"/>
        <w:spacing w:line="480" w:lineRule="auto"/>
        <w:jc w:val="both"/>
      </w:pPr>
      <w:r>
        <w:t xml:space="preserve">A key recommendation is the deliberate and systematic integration of indigenous knowledge systems into formal academic and research frameworks. Universities should adopt inclusive epistemological approaches that </w:t>
      </w:r>
      <w:proofErr w:type="spellStart"/>
      <w:r>
        <w:t>recognise</w:t>
      </w:r>
      <w:proofErr w:type="spellEnd"/>
      <w:r>
        <w:t xml:space="preserve"> indigenous knowledge alongside scientific paradigms. This can be achieved through community-based participatory research, curriculum reform, and ethical knowledge co-production practices, thereby enhancing contextual relevance, sustainability, and epistemic justice.</w:t>
      </w:r>
    </w:p>
    <w:p w:rsidR="00B3469B" w:rsidRPr="00363AB3" w:rsidRDefault="00B3469B" w:rsidP="00363AB3">
      <w:pPr>
        <w:pStyle w:val="Heading3"/>
        <w:jc w:val="both"/>
        <w:rPr>
          <w:color w:val="auto"/>
        </w:rPr>
      </w:pPr>
      <w:r w:rsidRPr="00363AB3">
        <w:rPr>
          <w:color w:val="auto"/>
        </w:rPr>
        <w:lastRenderedPageBreak/>
        <w:t xml:space="preserve">6. Academic </w:t>
      </w:r>
      <w:proofErr w:type="spellStart"/>
      <w:r w:rsidRPr="00363AB3">
        <w:rPr>
          <w:color w:val="auto"/>
        </w:rPr>
        <w:t>Programmes</w:t>
      </w:r>
      <w:proofErr w:type="spellEnd"/>
      <w:r w:rsidRPr="00363AB3">
        <w:rPr>
          <w:color w:val="auto"/>
        </w:rPr>
        <w:t xml:space="preserve"> with </w:t>
      </w:r>
      <w:proofErr w:type="spellStart"/>
      <w:r w:rsidRPr="00363AB3">
        <w:rPr>
          <w:color w:val="auto"/>
        </w:rPr>
        <w:t>Labour</w:t>
      </w:r>
      <w:proofErr w:type="spellEnd"/>
      <w:r w:rsidRPr="00363AB3">
        <w:rPr>
          <w:color w:val="auto"/>
        </w:rPr>
        <w:t xml:space="preserve"> Societal Needs</w:t>
      </w:r>
    </w:p>
    <w:p w:rsidR="00B3469B" w:rsidRDefault="00B3469B" w:rsidP="00363AB3">
      <w:pPr>
        <w:pStyle w:val="NormalWeb"/>
        <w:spacing w:line="480" w:lineRule="auto"/>
        <w:jc w:val="both"/>
      </w:pPr>
      <w:r>
        <w:t xml:space="preserve">Higher education curricula should be continuously reviewed to ensure alignment with evolving </w:t>
      </w:r>
      <w:proofErr w:type="spellStart"/>
      <w:r>
        <w:t>labour</w:t>
      </w:r>
      <w:proofErr w:type="spellEnd"/>
      <w:r>
        <w:t xml:space="preserve"> market demands and societal priorities. Universities should promote interdisciplinary </w:t>
      </w:r>
      <w:proofErr w:type="spellStart"/>
      <w:r>
        <w:t>programmes</w:t>
      </w:r>
      <w:proofErr w:type="spellEnd"/>
      <w:r>
        <w:t>, entrepreneurship education, and the development of critical, creative, and adaptive competencies required in contemporary knowledge economies.</w:t>
      </w:r>
    </w:p>
    <w:p w:rsidR="00B3469B" w:rsidRPr="00363AB3" w:rsidRDefault="00B3469B" w:rsidP="00363AB3">
      <w:pPr>
        <w:pStyle w:val="Heading3"/>
        <w:jc w:val="both"/>
        <w:rPr>
          <w:color w:val="auto"/>
        </w:rPr>
      </w:pPr>
      <w:r w:rsidRPr="00363AB3">
        <w:rPr>
          <w:color w:val="auto"/>
        </w:rPr>
        <w:t>7. Diversifying Funding Sources and Enhancing Financial Sustainability</w:t>
      </w:r>
    </w:p>
    <w:p w:rsidR="00B3469B" w:rsidRDefault="00B3469B" w:rsidP="00363AB3">
      <w:pPr>
        <w:pStyle w:val="NormalWeb"/>
        <w:spacing w:line="480" w:lineRule="auto"/>
        <w:jc w:val="both"/>
      </w:pPr>
      <w:r>
        <w:t>In response to declining public funding, universities should develop diversified and sustainable financing models. These may include industry partnerships, competitive research grants, consultancy services, and innovation-driven income streams. However, such diversification must be carefully managed to safeguard academic integrity and the public good function of higher education.</w:t>
      </w:r>
    </w:p>
    <w:p w:rsidR="00B3469B" w:rsidRPr="00363AB3" w:rsidRDefault="00B3469B" w:rsidP="00363AB3">
      <w:pPr>
        <w:pStyle w:val="Heading3"/>
        <w:jc w:val="both"/>
        <w:rPr>
          <w:color w:val="auto"/>
        </w:rPr>
      </w:pPr>
      <w:r w:rsidRPr="00363AB3">
        <w:rPr>
          <w:color w:val="auto"/>
        </w:rPr>
        <w:t>8. Strengthening Social Responsibility and Inclusive Access</w:t>
      </w:r>
    </w:p>
    <w:p w:rsidR="00B3469B" w:rsidRDefault="00B3469B" w:rsidP="00363AB3">
      <w:pPr>
        <w:pStyle w:val="NormalWeb"/>
        <w:spacing w:line="480" w:lineRule="auto"/>
        <w:jc w:val="both"/>
      </w:pPr>
      <w:r>
        <w:t>Universities should strengthen their role as socially responsible institutions by promoting equity, inclusion, and widened access to higher education. Expanding lifelong learning opportunities and reducing structural barriers to participation are essential for ensuring that universities contribute meaningfully to social cohesion and inclusive development.</w:t>
      </w:r>
    </w:p>
    <w:p w:rsidR="00B3469B" w:rsidRPr="00363AB3" w:rsidRDefault="00B3469B" w:rsidP="00363AB3">
      <w:pPr>
        <w:pStyle w:val="Heading3"/>
        <w:jc w:val="both"/>
        <w:rPr>
          <w:color w:val="auto"/>
        </w:rPr>
      </w:pPr>
      <w:r w:rsidRPr="00363AB3">
        <w:rPr>
          <w:color w:val="auto"/>
        </w:rPr>
        <w:t xml:space="preserve">9. Fostering a Culture of Continuous Innovation </w:t>
      </w:r>
    </w:p>
    <w:p w:rsidR="00B3469B" w:rsidRDefault="00B3469B" w:rsidP="00363AB3">
      <w:pPr>
        <w:pStyle w:val="NormalWeb"/>
        <w:spacing w:line="480" w:lineRule="auto"/>
        <w:jc w:val="both"/>
      </w:pPr>
      <w:r>
        <w:t>Institutions should cultivate a culture that supports continuous innovation, interdisciplinarity, and responsiveness to change. This includes encouraging emerging fields of research, supporting academic flexibility, and creating institutional environments that enable experimentation and knowledge renewal.</w:t>
      </w:r>
    </w:p>
    <w:p w:rsidR="00B3469B" w:rsidRDefault="00363AB3" w:rsidP="00363AB3">
      <w:pPr>
        <w:pStyle w:val="NormalWeb"/>
        <w:spacing w:line="480" w:lineRule="auto"/>
        <w:jc w:val="both"/>
      </w:pPr>
      <w:r>
        <w:lastRenderedPageBreak/>
        <w:t>Lastly the study recommendation underscores</w:t>
      </w:r>
      <w:r w:rsidR="00B3469B">
        <w:t xml:space="preserve"> the need for universities to evolve into adaptive, networked, and inclusive institutions. By integrating technological advancement, governance reform, collaborative engagement</w:t>
      </w:r>
      <w:r>
        <w:t xml:space="preserve">, and epistemological pluralism </w:t>
      </w:r>
      <w:r w:rsidR="00B3469B">
        <w:t>including the integration of indigenous knowledge sy</w:t>
      </w:r>
      <w:r>
        <w:t xml:space="preserve">stems </w:t>
      </w:r>
      <w:r w:rsidR="00B3469B">
        <w:t>universities can strengthen their capacity to respond effectively to the knowledge society while preserving their foundational role as key producers, preservers, and disseminators of knowledge.</w:t>
      </w:r>
    </w:p>
    <w:p w:rsidR="00EC6DEE" w:rsidRDefault="00EC6DEE" w:rsidP="00363AB3">
      <w:pPr>
        <w:pStyle w:val="NormalWeb"/>
        <w:spacing w:line="480" w:lineRule="auto"/>
        <w:jc w:val="both"/>
      </w:pPr>
      <w:r w:rsidRPr="00EC6DEE">
        <w:t>Disclaimer (Artificial intelligence)</w:t>
      </w:r>
    </w:p>
    <w:p w:rsidR="00EC6DEE" w:rsidRDefault="00EC6DEE" w:rsidP="00EC6DEE">
      <w:pPr>
        <w:pStyle w:val="NormalWeb"/>
        <w:spacing w:line="480" w:lineRule="auto"/>
        <w:jc w:val="both"/>
      </w:pPr>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EC6DEE" w:rsidRDefault="00EC6DEE" w:rsidP="00EC6DEE">
      <w:pPr>
        <w:pStyle w:val="NormalWeb"/>
        <w:spacing w:line="480" w:lineRule="auto"/>
        <w:jc w:val="both"/>
      </w:pPr>
      <w:r>
        <w:t>Details of the AI u</w:t>
      </w:r>
      <w:bookmarkStart w:id="0" w:name="_GoBack"/>
      <w:bookmarkEnd w:id="0"/>
      <w:r>
        <w:t>sage are given below:</w:t>
      </w:r>
    </w:p>
    <w:p w:rsidR="00363AB3" w:rsidRDefault="00980DA4" w:rsidP="00980DA4">
      <w:pPr>
        <w:pStyle w:val="NormalWeb"/>
        <w:numPr>
          <w:ilvl w:val="0"/>
          <w:numId w:val="1"/>
        </w:numPr>
        <w:spacing w:line="480" w:lineRule="auto"/>
      </w:pPr>
      <w:proofErr w:type="spellStart"/>
      <w:r>
        <w:rPr>
          <w:highlight w:val="yellow"/>
        </w:rPr>
        <w:t>C</w:t>
      </w:r>
      <w:r w:rsidR="00C3182B" w:rsidRPr="00EC6DEE">
        <w:rPr>
          <w:highlight w:val="yellow"/>
        </w:rPr>
        <w:t>hatGPT</w:t>
      </w:r>
      <w:proofErr w:type="spellEnd"/>
      <w:r w:rsidR="00C3182B" w:rsidRPr="00EC6DEE">
        <w:rPr>
          <w:highlight w:val="yellow"/>
        </w:rPr>
        <w:t xml:space="preserve"> was engaged in language polishing </w:t>
      </w:r>
    </w:p>
    <w:p w:rsidR="004C3D01" w:rsidRDefault="00C3182B" w:rsidP="004C3D01">
      <w:pPr>
        <w:pStyle w:val="NormalWeb"/>
        <w:spacing w:line="480" w:lineRule="auto"/>
        <w:jc w:val="both"/>
      </w:pPr>
      <w:r>
        <w:t xml:space="preserve">Reference </w:t>
      </w:r>
    </w:p>
    <w:p w:rsidR="00D66B5D" w:rsidRPr="00D66B5D" w:rsidRDefault="00C3182B" w:rsidP="00D66B5D">
      <w:pPr>
        <w:pStyle w:val="Bibliography"/>
      </w:pPr>
      <w:r w:rsidRPr="00EC355F">
        <w:fldChar w:fldCharType="begin"/>
      </w:r>
      <w:r w:rsidRPr="00EC355F">
        <w:instrText xml:space="preserve"> ADDIN ZOTERO_BIBL {"uncited":[],"omitted":[],"custom":[]} CSL_BIBLIOGRAPHY </w:instrText>
      </w:r>
      <w:r w:rsidRPr="00EC355F">
        <w:fldChar w:fldCharType="separate"/>
      </w:r>
      <w:r w:rsidR="00D66B5D" w:rsidRPr="00D66B5D">
        <w:t xml:space="preserve">Agnes, B., Helena, B. N., Melody, B. B., Anna, D., Olav, H., Dag, Cheikh, M., Tristan, M., Adrian, P., Seeram, R., Jamil, S., Sylvia, S., Sol, S., Andy, S., Shijun, T., UNESCO, &amp; Agenda, U. G. I. E. G. on the U. and the 2030. (2022a). </w:t>
      </w:r>
      <w:r w:rsidR="00D66B5D" w:rsidRPr="00D66B5D">
        <w:rPr>
          <w:i/>
          <w:iCs/>
        </w:rPr>
        <w:t>Knowledge-driven actions: Transforming higher education for global sustainability: Independent Expert Group on the Universities and the 2030 Agenda</w:t>
      </w:r>
      <w:r w:rsidR="00D66B5D" w:rsidRPr="00D66B5D">
        <w:t>. UNESCO Publishing.</w:t>
      </w:r>
    </w:p>
    <w:p w:rsidR="00D66B5D" w:rsidRDefault="00D66B5D" w:rsidP="00D66B5D">
      <w:pPr>
        <w:pStyle w:val="Bibliography"/>
      </w:pPr>
      <w:r w:rsidRPr="00D66B5D">
        <w:t xml:space="preserve">Agnes, B., Helena, B. N., Melody, B. B., Anna, D., Olav, H., Dag, Cheikh, M., Tristan, M., Adrian, P., Seeram, R., Jamil, S., Sylvia, S., Sol, S., Andy, S., Shijun, T., UNESCO, &amp; Agenda, U. G. I. E. </w:t>
      </w:r>
      <w:r w:rsidRPr="00D66B5D">
        <w:lastRenderedPageBreak/>
        <w:t xml:space="preserve">G. on the U. and the 2030. (2022b). </w:t>
      </w:r>
      <w:r w:rsidRPr="00D66B5D">
        <w:rPr>
          <w:i/>
          <w:iCs/>
        </w:rPr>
        <w:t>Knowledge-driven actions: Transforming higher education for global sustainability: Independent Expert Group on the Universities and the 2030 Agenda</w:t>
      </w:r>
      <w:r w:rsidRPr="00D66B5D">
        <w:t>. UNESCO Publishing.</w:t>
      </w:r>
    </w:p>
    <w:p w:rsidR="003A6D49" w:rsidRPr="00EC355F" w:rsidRDefault="003A6D49" w:rsidP="003A6D49">
      <w:pPr>
        <w:pStyle w:val="Bibliography"/>
        <w:spacing w:line="276" w:lineRule="auto"/>
        <w:rPr>
          <w:sz w:val="24"/>
          <w:szCs w:val="24"/>
        </w:rPr>
      </w:pPr>
      <w:r w:rsidRPr="00EC355F">
        <w:rPr>
          <w:sz w:val="24"/>
          <w:szCs w:val="24"/>
        </w:rPr>
        <w:fldChar w:fldCharType="begin"/>
      </w:r>
      <w:r w:rsidRPr="00EC355F">
        <w:rPr>
          <w:sz w:val="24"/>
          <w:szCs w:val="24"/>
        </w:rPr>
        <w:instrText xml:space="preserve"> ADDIN ZOTERO_BIBL {"uncited":[],"omitted":[],"custom":[]} CSL_BIBLIOGRAPHY </w:instrText>
      </w:r>
      <w:r w:rsidRPr="00EC355F">
        <w:rPr>
          <w:sz w:val="24"/>
          <w:szCs w:val="24"/>
        </w:rPr>
        <w:fldChar w:fldCharType="separate"/>
      </w:r>
      <w:r w:rsidRPr="00EC355F">
        <w:rPr>
          <w:sz w:val="24"/>
          <w:szCs w:val="24"/>
        </w:rPr>
        <w:t xml:space="preserve">Agnes, B., Helena, B. N., Melody, B. B., Anna, D., Olav, H., Dag, Cheikh, M., Tristan, M., Adrian, P., Seeram, R., Jamil, S., Sylvia, S., Sol, S., Andy, S., Shijun, T., UNESCO, &amp; Agenda, U. G. I. E. G. on the U. and the 2030. (2022). </w:t>
      </w:r>
      <w:r w:rsidRPr="00EC355F">
        <w:rPr>
          <w:i/>
          <w:iCs/>
          <w:sz w:val="24"/>
          <w:szCs w:val="24"/>
        </w:rPr>
        <w:t>Knowledge-driven actions: Transforming higher education for global sustainability: Independent Expert Group on the Universities and the 2030 Agenda</w:t>
      </w:r>
      <w:r w:rsidRPr="00EC355F">
        <w:rPr>
          <w:sz w:val="24"/>
          <w:szCs w:val="24"/>
        </w:rPr>
        <w:t>. UNESCO Publishing.</w:t>
      </w:r>
    </w:p>
    <w:p w:rsidR="003A6D49" w:rsidRPr="00EC355F" w:rsidRDefault="003A6D49" w:rsidP="003A6D49">
      <w:pPr>
        <w:pStyle w:val="Bibliography"/>
        <w:spacing w:line="276" w:lineRule="auto"/>
        <w:rPr>
          <w:sz w:val="24"/>
          <w:szCs w:val="24"/>
        </w:rPr>
      </w:pPr>
      <w:r w:rsidRPr="00EC355F">
        <w:rPr>
          <w:sz w:val="24"/>
          <w:szCs w:val="24"/>
        </w:rPr>
        <w:t xml:space="preserve">Ahadzie, D. K., Proverbs, D., Soetanto, R., &amp; Oladokun, V. O. (2023). </w:t>
      </w:r>
      <w:r w:rsidRPr="00EC355F">
        <w:rPr>
          <w:i/>
          <w:iCs/>
          <w:sz w:val="24"/>
          <w:szCs w:val="24"/>
        </w:rPr>
        <w:t>Handbook of Flood Risk Management and Community Action: An International Perspective</w:t>
      </w:r>
      <w:r w:rsidRPr="00EC355F">
        <w:rPr>
          <w:sz w:val="24"/>
          <w:szCs w:val="24"/>
        </w:rPr>
        <w:t>. Taylor &amp; Francis.</w:t>
      </w:r>
    </w:p>
    <w:p w:rsidR="003A6D49" w:rsidRPr="00EC355F" w:rsidRDefault="003A6D49" w:rsidP="003A6D49">
      <w:pPr>
        <w:pStyle w:val="Bibliography"/>
        <w:spacing w:line="276" w:lineRule="auto"/>
        <w:rPr>
          <w:sz w:val="24"/>
          <w:szCs w:val="24"/>
        </w:rPr>
      </w:pPr>
      <w:r w:rsidRPr="00EC355F">
        <w:rPr>
          <w:sz w:val="24"/>
          <w:szCs w:val="24"/>
        </w:rPr>
        <w:t xml:space="preserve">Akpan, B., &amp; Kennedy, T. J. (2020). </w:t>
      </w:r>
      <w:r w:rsidRPr="00EC355F">
        <w:rPr>
          <w:i/>
          <w:iCs/>
          <w:sz w:val="24"/>
          <w:szCs w:val="24"/>
        </w:rPr>
        <w:t>Science Education in Theory and Practice: An Introductory Guide to Learning Theory</w:t>
      </w:r>
      <w:r w:rsidRPr="00EC355F">
        <w:rPr>
          <w:sz w:val="24"/>
          <w:szCs w:val="24"/>
        </w:rPr>
        <w:t>. Springer Nature.</w:t>
      </w:r>
    </w:p>
    <w:p w:rsidR="003A6D49" w:rsidRPr="00EC355F" w:rsidRDefault="003A6D49" w:rsidP="003A6D49">
      <w:pPr>
        <w:pStyle w:val="Bibliography"/>
        <w:spacing w:line="276" w:lineRule="auto"/>
        <w:rPr>
          <w:sz w:val="24"/>
          <w:szCs w:val="24"/>
        </w:rPr>
      </w:pPr>
      <w:r w:rsidRPr="00EC355F">
        <w:rPr>
          <w:sz w:val="24"/>
          <w:szCs w:val="24"/>
        </w:rPr>
        <w:t xml:space="preserve">Alfred, M., Andile. (2024a). </w:t>
      </w:r>
      <w:r w:rsidRPr="00EC355F">
        <w:rPr>
          <w:i/>
          <w:iCs/>
          <w:sz w:val="24"/>
          <w:szCs w:val="24"/>
        </w:rPr>
        <w:t>Enhancing Research for Academicians in Higher Education</w:t>
      </w:r>
      <w:r w:rsidRPr="00EC355F">
        <w:rPr>
          <w:sz w:val="24"/>
          <w:szCs w:val="24"/>
        </w:rPr>
        <w:t>. IGI Global.</w:t>
      </w:r>
    </w:p>
    <w:p w:rsidR="003A6D49" w:rsidRPr="00EC355F" w:rsidRDefault="003A6D49" w:rsidP="003A6D49">
      <w:pPr>
        <w:pStyle w:val="Bibliography"/>
        <w:spacing w:line="276" w:lineRule="auto"/>
        <w:rPr>
          <w:sz w:val="24"/>
          <w:szCs w:val="24"/>
        </w:rPr>
      </w:pPr>
      <w:r w:rsidRPr="00EC355F">
        <w:rPr>
          <w:sz w:val="24"/>
          <w:szCs w:val="24"/>
        </w:rPr>
        <w:t xml:space="preserve">Alfred, M., Andile. (2024b). </w:t>
      </w:r>
      <w:r w:rsidRPr="00EC355F">
        <w:rPr>
          <w:i/>
          <w:iCs/>
          <w:sz w:val="24"/>
          <w:szCs w:val="24"/>
        </w:rPr>
        <w:t>Enhancing Research for Academicians in Higher Education</w:t>
      </w:r>
      <w:r w:rsidRPr="00EC355F">
        <w:rPr>
          <w:sz w:val="24"/>
          <w:szCs w:val="24"/>
        </w:rPr>
        <w:t>. IGI Global.</w:t>
      </w:r>
    </w:p>
    <w:p w:rsidR="003A6D49" w:rsidRPr="00EC355F" w:rsidRDefault="003A6D49" w:rsidP="003A6D49">
      <w:pPr>
        <w:pStyle w:val="Bibliography"/>
        <w:spacing w:line="276" w:lineRule="auto"/>
        <w:rPr>
          <w:sz w:val="24"/>
          <w:szCs w:val="24"/>
        </w:rPr>
      </w:pPr>
      <w:r w:rsidRPr="00EC355F">
        <w:rPr>
          <w:sz w:val="24"/>
          <w:szCs w:val="24"/>
        </w:rPr>
        <w:t xml:space="preserve">Ali, M. A., &amp; Kamraju, M. (2025). </w:t>
      </w:r>
      <w:r w:rsidRPr="00EC355F">
        <w:rPr>
          <w:i/>
          <w:iCs/>
          <w:sz w:val="24"/>
          <w:szCs w:val="24"/>
        </w:rPr>
        <w:t>Global Climate Governance: Strategies for Effective Management</w:t>
      </w:r>
      <w:r w:rsidRPr="00EC355F">
        <w:rPr>
          <w:sz w:val="24"/>
          <w:szCs w:val="24"/>
        </w:rPr>
        <w:t>. Springer Nature.</w:t>
      </w:r>
    </w:p>
    <w:p w:rsidR="003A6D49" w:rsidRPr="00EC355F" w:rsidRDefault="003A6D49" w:rsidP="003A6D49">
      <w:pPr>
        <w:pStyle w:val="Bibliography"/>
        <w:spacing w:line="276" w:lineRule="auto"/>
        <w:rPr>
          <w:sz w:val="24"/>
          <w:szCs w:val="24"/>
        </w:rPr>
      </w:pPr>
      <w:r w:rsidRPr="00EC355F">
        <w:rPr>
          <w:sz w:val="24"/>
          <w:szCs w:val="24"/>
        </w:rPr>
        <w:t xml:space="preserve">Al-Sharafi, M. A., Al-Emran, M., Tan, G. W.-H., &amp; Ooi, K.-B. (2023). </w:t>
      </w:r>
      <w:r w:rsidRPr="00EC355F">
        <w:rPr>
          <w:i/>
          <w:iCs/>
          <w:sz w:val="24"/>
          <w:szCs w:val="24"/>
        </w:rPr>
        <w:t>Current and Future Trends on Intelligent Technology Adoption: Volume 1</w:t>
      </w:r>
      <w:r w:rsidRPr="00EC355F">
        <w:rPr>
          <w:sz w:val="24"/>
          <w:szCs w:val="24"/>
        </w:rPr>
        <w:t>. Springer Nature.</w:t>
      </w:r>
    </w:p>
    <w:p w:rsidR="003A6D49" w:rsidRPr="00EC355F" w:rsidRDefault="003A6D49" w:rsidP="003A6D49">
      <w:pPr>
        <w:pStyle w:val="Bibliography"/>
        <w:spacing w:line="276" w:lineRule="auto"/>
        <w:rPr>
          <w:sz w:val="24"/>
          <w:szCs w:val="24"/>
        </w:rPr>
      </w:pPr>
      <w:r w:rsidRPr="00EC355F">
        <w:rPr>
          <w:sz w:val="24"/>
          <w:szCs w:val="24"/>
        </w:rPr>
        <w:t xml:space="preserve">Amanda, K., Anél,  du P., Rob, F., Evan, H., &amp; Ceri, W. (2021). </w:t>
      </w:r>
      <w:r w:rsidRPr="00EC355F">
        <w:rPr>
          <w:i/>
          <w:iCs/>
          <w:sz w:val="24"/>
          <w:szCs w:val="24"/>
        </w:rPr>
        <w:t>Teaching and Learning in Environmental Law: Pedagogy, Methodology and Best Practice</w:t>
      </w:r>
      <w:r w:rsidRPr="00EC355F">
        <w:rPr>
          <w:sz w:val="24"/>
          <w:szCs w:val="24"/>
        </w:rPr>
        <w:t>. Edward Elgar Publishing.</w:t>
      </w:r>
    </w:p>
    <w:p w:rsidR="003A6D49" w:rsidRPr="00EC355F" w:rsidRDefault="003A6D49" w:rsidP="003A6D49">
      <w:pPr>
        <w:pStyle w:val="Bibliography"/>
        <w:spacing w:line="276" w:lineRule="auto"/>
        <w:rPr>
          <w:sz w:val="24"/>
          <w:szCs w:val="24"/>
        </w:rPr>
      </w:pPr>
      <w:r w:rsidRPr="00EC355F">
        <w:rPr>
          <w:sz w:val="24"/>
          <w:szCs w:val="24"/>
        </w:rPr>
        <w:t xml:space="preserve">Ballinger, S., Fielding, R., &amp; Tedick, D. J. (2024). </w:t>
      </w:r>
      <w:r w:rsidRPr="00EC355F">
        <w:rPr>
          <w:i/>
          <w:iCs/>
          <w:sz w:val="24"/>
          <w:szCs w:val="24"/>
        </w:rPr>
        <w:t>Teacher Development for Content-Based Language Education: International Perspectives</w:t>
      </w:r>
      <w:r w:rsidRPr="00EC355F">
        <w:rPr>
          <w:sz w:val="24"/>
          <w:szCs w:val="24"/>
        </w:rPr>
        <w:t>. Channel View Publications.</w:t>
      </w:r>
    </w:p>
    <w:p w:rsidR="003A6D49" w:rsidRPr="00EC355F" w:rsidRDefault="003A6D49" w:rsidP="003A6D49">
      <w:pPr>
        <w:pStyle w:val="Bibliography"/>
        <w:spacing w:line="276" w:lineRule="auto"/>
        <w:rPr>
          <w:sz w:val="24"/>
          <w:szCs w:val="24"/>
        </w:rPr>
      </w:pPr>
      <w:r w:rsidRPr="00EC355F">
        <w:rPr>
          <w:sz w:val="24"/>
          <w:szCs w:val="24"/>
        </w:rPr>
        <w:t xml:space="preserve">Bates, E. A., &amp; Taylor, J. C. (2022). </w:t>
      </w:r>
      <w:r w:rsidRPr="00EC355F">
        <w:rPr>
          <w:i/>
          <w:iCs/>
          <w:sz w:val="24"/>
          <w:szCs w:val="24"/>
        </w:rPr>
        <w:t>Domestic Violence Against Men and Boys: Experiences of Male Victims of Intimate Partner Violence</w:t>
      </w:r>
      <w:r w:rsidRPr="00EC355F">
        <w:rPr>
          <w:sz w:val="24"/>
          <w:szCs w:val="24"/>
        </w:rPr>
        <w:t>. Taylor &amp; Francis.</w:t>
      </w:r>
    </w:p>
    <w:p w:rsidR="003A6D49" w:rsidRPr="00EC355F" w:rsidRDefault="003A6D49" w:rsidP="003A6D49">
      <w:pPr>
        <w:pStyle w:val="Bibliography"/>
        <w:spacing w:line="276" w:lineRule="auto"/>
        <w:rPr>
          <w:sz w:val="24"/>
          <w:szCs w:val="24"/>
        </w:rPr>
      </w:pPr>
      <w:r w:rsidRPr="00EC355F">
        <w:rPr>
          <w:sz w:val="24"/>
          <w:szCs w:val="24"/>
        </w:rPr>
        <w:t xml:space="preserve">Bourke, T., Henderson, D., Spooner-Lane, R., &amp; White, S. (2022). </w:t>
      </w:r>
      <w:r w:rsidRPr="00EC355F">
        <w:rPr>
          <w:i/>
          <w:iCs/>
          <w:sz w:val="24"/>
          <w:szCs w:val="24"/>
        </w:rPr>
        <w:t>Reconstructing the Work of Teacher Educators: Finding Spaces in Policy Through Agentic Approaches —Insights from a Research Collective</w:t>
      </w:r>
      <w:r w:rsidRPr="00EC355F">
        <w:rPr>
          <w:sz w:val="24"/>
          <w:szCs w:val="24"/>
        </w:rPr>
        <w:t>. Springer Nature.</w:t>
      </w:r>
    </w:p>
    <w:p w:rsidR="003A6D49" w:rsidRPr="00EC355F" w:rsidRDefault="003A6D49" w:rsidP="003A6D49">
      <w:pPr>
        <w:pStyle w:val="Bibliography"/>
        <w:spacing w:line="276" w:lineRule="auto"/>
        <w:rPr>
          <w:sz w:val="24"/>
          <w:szCs w:val="24"/>
        </w:rPr>
      </w:pPr>
      <w:r w:rsidRPr="00EC355F">
        <w:rPr>
          <w:sz w:val="24"/>
          <w:szCs w:val="24"/>
        </w:rPr>
        <w:t xml:space="preserve">Bower, K., Coyle, D., Cross, R., &amp; Chambers, G. N. (2020). </w:t>
      </w:r>
      <w:r w:rsidRPr="00EC355F">
        <w:rPr>
          <w:i/>
          <w:iCs/>
          <w:sz w:val="24"/>
          <w:szCs w:val="24"/>
        </w:rPr>
        <w:t>Curriculum Integrated Language Teaching: CLIL in Practice</w:t>
      </w:r>
      <w:r w:rsidRPr="00EC355F">
        <w:rPr>
          <w:sz w:val="24"/>
          <w:szCs w:val="24"/>
        </w:rPr>
        <w:t>. Cambridge University Press.</w:t>
      </w:r>
    </w:p>
    <w:p w:rsidR="003A6D49" w:rsidRPr="00EC355F" w:rsidRDefault="003A6D49" w:rsidP="003A6D49">
      <w:pPr>
        <w:pStyle w:val="Bibliography"/>
        <w:spacing w:line="276" w:lineRule="auto"/>
        <w:rPr>
          <w:sz w:val="24"/>
          <w:szCs w:val="24"/>
        </w:rPr>
      </w:pPr>
      <w:r w:rsidRPr="00EC355F">
        <w:rPr>
          <w:i/>
          <w:iCs/>
          <w:sz w:val="24"/>
          <w:szCs w:val="24"/>
        </w:rPr>
        <w:t>Bridging Knowledge Cultures: Rebalancing Power in the Co-Construction of Knowledge</w:t>
      </w:r>
      <w:r w:rsidRPr="00EC355F">
        <w:rPr>
          <w:sz w:val="24"/>
          <w:szCs w:val="24"/>
        </w:rPr>
        <w:t>. (2023). BRILL.</w:t>
      </w:r>
    </w:p>
    <w:p w:rsidR="003A6D49" w:rsidRPr="00EC355F" w:rsidRDefault="003A6D49" w:rsidP="003A6D49">
      <w:pPr>
        <w:pStyle w:val="Bibliography"/>
        <w:spacing w:line="276" w:lineRule="auto"/>
        <w:rPr>
          <w:sz w:val="24"/>
          <w:szCs w:val="24"/>
        </w:rPr>
      </w:pPr>
      <w:r w:rsidRPr="00EC355F">
        <w:rPr>
          <w:sz w:val="24"/>
          <w:szCs w:val="24"/>
        </w:rPr>
        <w:t xml:space="preserve">Caperchione, E., &amp; Bianchi, C. (2022). </w:t>
      </w:r>
      <w:r w:rsidRPr="00EC355F">
        <w:rPr>
          <w:i/>
          <w:iCs/>
          <w:sz w:val="24"/>
          <w:szCs w:val="24"/>
        </w:rPr>
        <w:t>Governance and Performance Management in Public Universities: Current Research and Practice</w:t>
      </w:r>
      <w:r w:rsidRPr="00EC355F">
        <w:rPr>
          <w:sz w:val="24"/>
          <w:szCs w:val="24"/>
        </w:rPr>
        <w:t>. Springer Nature.</w:t>
      </w:r>
    </w:p>
    <w:p w:rsidR="003A6D49" w:rsidRPr="00EC355F" w:rsidRDefault="003A6D49" w:rsidP="003A6D49">
      <w:pPr>
        <w:pStyle w:val="Bibliography"/>
        <w:spacing w:line="276" w:lineRule="auto"/>
        <w:rPr>
          <w:sz w:val="24"/>
          <w:szCs w:val="24"/>
        </w:rPr>
      </w:pPr>
      <w:r w:rsidRPr="00EC355F">
        <w:rPr>
          <w:sz w:val="24"/>
          <w:szCs w:val="24"/>
        </w:rPr>
        <w:t xml:space="preserve">Celuch, K. (2026). </w:t>
      </w:r>
      <w:r w:rsidRPr="00EC355F">
        <w:rPr>
          <w:i/>
          <w:iCs/>
          <w:sz w:val="24"/>
          <w:szCs w:val="24"/>
        </w:rPr>
        <w:t>Event Experience and Design: Transformative Approaches</w:t>
      </w:r>
      <w:r w:rsidRPr="00EC355F">
        <w:rPr>
          <w:sz w:val="24"/>
          <w:szCs w:val="24"/>
        </w:rPr>
        <w:t>. Taylor &amp; Francis.</w:t>
      </w:r>
    </w:p>
    <w:p w:rsidR="003A6D49" w:rsidRPr="00EC355F" w:rsidRDefault="003A6D49" w:rsidP="003A6D49">
      <w:pPr>
        <w:pStyle w:val="Bibliography"/>
        <w:spacing w:line="276" w:lineRule="auto"/>
        <w:rPr>
          <w:sz w:val="24"/>
          <w:szCs w:val="24"/>
        </w:rPr>
      </w:pPr>
      <w:r w:rsidRPr="00EC355F">
        <w:rPr>
          <w:sz w:val="24"/>
          <w:szCs w:val="24"/>
        </w:rPr>
        <w:t xml:space="preserve">Choudhury, Y. (2025). </w:t>
      </w:r>
      <w:r w:rsidRPr="00EC355F">
        <w:rPr>
          <w:i/>
          <w:iCs/>
          <w:sz w:val="24"/>
          <w:szCs w:val="24"/>
        </w:rPr>
        <w:t>Comprehensive Guide to Fisheries Co-Management</w:t>
      </w:r>
      <w:r w:rsidRPr="00EC355F">
        <w:rPr>
          <w:sz w:val="24"/>
          <w:szCs w:val="24"/>
        </w:rPr>
        <w:t>. Educohack Press.</w:t>
      </w:r>
    </w:p>
    <w:p w:rsidR="003A6D49" w:rsidRPr="00EC355F" w:rsidRDefault="003A6D49" w:rsidP="003A6D49">
      <w:pPr>
        <w:pStyle w:val="Bibliography"/>
        <w:spacing w:line="276" w:lineRule="auto"/>
        <w:rPr>
          <w:sz w:val="24"/>
          <w:szCs w:val="24"/>
        </w:rPr>
      </w:pPr>
      <w:r w:rsidRPr="00EC355F">
        <w:rPr>
          <w:sz w:val="24"/>
          <w:szCs w:val="24"/>
        </w:rPr>
        <w:t xml:space="preserve">Crawford, J. (2023). </w:t>
      </w:r>
      <w:r w:rsidRPr="00EC355F">
        <w:rPr>
          <w:i/>
          <w:iCs/>
          <w:sz w:val="24"/>
          <w:szCs w:val="24"/>
        </w:rPr>
        <w:t xml:space="preserve">Leadership for Sustainable and Educational Advancement: Advancing </w:t>
      </w:r>
      <w:r w:rsidRPr="00EC355F">
        <w:rPr>
          <w:i/>
          <w:iCs/>
          <w:sz w:val="24"/>
          <w:szCs w:val="24"/>
        </w:rPr>
        <w:lastRenderedPageBreak/>
        <w:t>Great Leaders and Leadership</w:t>
      </w:r>
      <w:r w:rsidRPr="00EC355F">
        <w:rPr>
          <w:sz w:val="24"/>
          <w:szCs w:val="24"/>
        </w:rPr>
        <w:t>. BoD – Books on Demand.</w:t>
      </w:r>
    </w:p>
    <w:p w:rsidR="003A6D49" w:rsidRPr="00EC355F" w:rsidRDefault="003A6D49" w:rsidP="003A6D49">
      <w:pPr>
        <w:pStyle w:val="Bibliography"/>
        <w:spacing w:line="276" w:lineRule="auto"/>
        <w:rPr>
          <w:sz w:val="24"/>
          <w:szCs w:val="24"/>
        </w:rPr>
      </w:pPr>
      <w:r w:rsidRPr="00EC355F">
        <w:rPr>
          <w:sz w:val="24"/>
          <w:szCs w:val="24"/>
        </w:rPr>
        <w:t xml:space="preserve">Dyke, F. V. (2025). </w:t>
      </w:r>
      <w:r w:rsidRPr="00EC355F">
        <w:rPr>
          <w:i/>
          <w:iCs/>
          <w:sz w:val="24"/>
          <w:szCs w:val="24"/>
        </w:rPr>
        <w:t>Conservation in the Anthropocene: Reshaping Interaction with Nature</w:t>
      </w:r>
      <w:r w:rsidRPr="00EC355F">
        <w:rPr>
          <w:sz w:val="24"/>
          <w:szCs w:val="24"/>
        </w:rPr>
        <w:t>. Taylor &amp; Francis.</w:t>
      </w:r>
    </w:p>
    <w:p w:rsidR="003A6D49" w:rsidRPr="00EC355F" w:rsidRDefault="003A6D49" w:rsidP="003A6D49">
      <w:pPr>
        <w:pStyle w:val="Bibliography"/>
        <w:spacing w:line="276" w:lineRule="auto"/>
        <w:rPr>
          <w:sz w:val="24"/>
          <w:szCs w:val="24"/>
        </w:rPr>
      </w:pPr>
      <w:r w:rsidRPr="00EC355F">
        <w:rPr>
          <w:sz w:val="24"/>
          <w:szCs w:val="24"/>
        </w:rPr>
        <w:t xml:space="preserve">Eng, N., Heales, K., Shantz, A. S., &amp; Block, E. S. (2026). </w:t>
      </w:r>
      <w:r w:rsidRPr="00EC355F">
        <w:rPr>
          <w:i/>
          <w:iCs/>
          <w:sz w:val="24"/>
          <w:szCs w:val="24"/>
        </w:rPr>
        <w:t>Putting Institutional Theory to Work During Times of Crisis</w:t>
      </w:r>
      <w:r w:rsidRPr="00EC355F">
        <w:rPr>
          <w:sz w:val="24"/>
          <w:szCs w:val="24"/>
        </w:rPr>
        <w:t>. Emerald Group Publishing.</w:t>
      </w:r>
    </w:p>
    <w:p w:rsidR="003A6D49" w:rsidRPr="00EC355F" w:rsidRDefault="003A6D49" w:rsidP="003A6D49">
      <w:pPr>
        <w:pStyle w:val="Bibliography"/>
        <w:spacing w:line="276" w:lineRule="auto"/>
        <w:rPr>
          <w:sz w:val="24"/>
          <w:szCs w:val="24"/>
        </w:rPr>
      </w:pPr>
      <w:r w:rsidRPr="00EC355F">
        <w:rPr>
          <w:sz w:val="24"/>
          <w:szCs w:val="24"/>
        </w:rPr>
        <w:t xml:space="preserve">Esnard, T. R. (2024). </w:t>
      </w:r>
      <w:r w:rsidRPr="00EC355F">
        <w:rPr>
          <w:i/>
          <w:iCs/>
          <w:sz w:val="24"/>
          <w:szCs w:val="24"/>
        </w:rPr>
        <w:t>Pursuing Social Justice Agendas in Caribbean Higher Education: Perspectives and Prospects for Small Island Developing States</w:t>
      </w:r>
      <w:r w:rsidRPr="00EC355F">
        <w:rPr>
          <w:sz w:val="24"/>
          <w:szCs w:val="24"/>
        </w:rPr>
        <w:t>. Taylor &amp; Francis.</w:t>
      </w:r>
    </w:p>
    <w:p w:rsidR="003A6D49" w:rsidRPr="00EC355F" w:rsidRDefault="003A6D49" w:rsidP="003A6D49">
      <w:pPr>
        <w:pStyle w:val="Bibliography"/>
        <w:spacing w:line="276" w:lineRule="auto"/>
        <w:rPr>
          <w:sz w:val="24"/>
          <w:szCs w:val="24"/>
        </w:rPr>
      </w:pPr>
      <w:r w:rsidRPr="00EC355F">
        <w:rPr>
          <w:sz w:val="24"/>
          <w:szCs w:val="24"/>
        </w:rPr>
        <w:t xml:space="preserve">Finlay, E., Kilby, P., Spencer, R., &amp; Wu, J. (2024). </w:t>
      </w:r>
      <w:r w:rsidRPr="00EC355F">
        <w:rPr>
          <w:i/>
          <w:iCs/>
          <w:sz w:val="24"/>
          <w:szCs w:val="24"/>
        </w:rPr>
        <w:t>Rethinking Gender in Development Practice: Lessons from the Field</w:t>
      </w:r>
      <w:r w:rsidRPr="00EC355F">
        <w:rPr>
          <w:sz w:val="24"/>
          <w:szCs w:val="24"/>
        </w:rPr>
        <w:t>. Taylor &amp; Francis.</w:t>
      </w:r>
    </w:p>
    <w:p w:rsidR="003A6D49" w:rsidRPr="00EC355F" w:rsidRDefault="003A6D49" w:rsidP="003A6D49">
      <w:pPr>
        <w:pStyle w:val="Bibliography"/>
        <w:spacing w:line="276" w:lineRule="auto"/>
        <w:rPr>
          <w:sz w:val="24"/>
          <w:szCs w:val="24"/>
        </w:rPr>
      </w:pPr>
      <w:r w:rsidRPr="00EC355F">
        <w:rPr>
          <w:sz w:val="24"/>
          <w:szCs w:val="24"/>
        </w:rPr>
        <w:t xml:space="preserve">Gallouj, F., Gallouj, C., Monnoyer, M.-C., &amp; Rubalcaba, L. (2023). </w:t>
      </w:r>
      <w:r w:rsidRPr="00EC355F">
        <w:rPr>
          <w:i/>
          <w:iCs/>
          <w:sz w:val="24"/>
          <w:szCs w:val="24"/>
        </w:rPr>
        <w:t>Elgar Encyclopedia of Services</w:t>
      </w:r>
      <w:r w:rsidRPr="00EC355F">
        <w:rPr>
          <w:sz w:val="24"/>
          <w:szCs w:val="24"/>
        </w:rPr>
        <w:t>. Edward Elgar Publishing.</w:t>
      </w:r>
    </w:p>
    <w:p w:rsidR="003A6D49" w:rsidRPr="00EC355F" w:rsidRDefault="003A6D49" w:rsidP="003A6D49">
      <w:pPr>
        <w:pStyle w:val="Bibliography"/>
        <w:spacing w:line="276" w:lineRule="auto"/>
        <w:rPr>
          <w:sz w:val="24"/>
          <w:szCs w:val="24"/>
        </w:rPr>
      </w:pPr>
      <w:r w:rsidRPr="00EC355F">
        <w:rPr>
          <w:sz w:val="24"/>
          <w:szCs w:val="24"/>
        </w:rPr>
        <w:t xml:space="preserve">Gowri, C. E.-B. A., Editor-Dr Varanasi Jyothsna Lakshmi, Dr Sama Ravinder Reddy, Dr Veeresh C. M, Dr Suman Bala, Dr N. Rajeswari, Dr G. (2025). </w:t>
      </w:r>
      <w:r w:rsidRPr="00EC355F">
        <w:rPr>
          <w:i/>
          <w:iCs/>
          <w:sz w:val="24"/>
          <w:szCs w:val="24"/>
        </w:rPr>
        <w:t>Multidisciplinary Research Area in Arts, Science &amp; Commerce (Volume-1)</w:t>
      </w:r>
      <w:r w:rsidRPr="00EC355F">
        <w:rPr>
          <w:sz w:val="24"/>
          <w:szCs w:val="24"/>
        </w:rPr>
        <w:t>. The Hill Publication.</w:t>
      </w:r>
    </w:p>
    <w:p w:rsidR="003A6D49" w:rsidRPr="00EC355F" w:rsidRDefault="003A6D49" w:rsidP="003A6D49">
      <w:pPr>
        <w:pStyle w:val="Bibliography"/>
        <w:spacing w:line="276" w:lineRule="auto"/>
        <w:rPr>
          <w:sz w:val="24"/>
          <w:szCs w:val="24"/>
        </w:rPr>
      </w:pPr>
      <w:r w:rsidRPr="00EC355F">
        <w:rPr>
          <w:sz w:val="24"/>
          <w:szCs w:val="24"/>
        </w:rPr>
        <w:t xml:space="preserve">Green, G., Boaz, A. L., &amp; Stuttaford, M. C. (2020). </w:t>
      </w:r>
      <w:r w:rsidRPr="00EC355F">
        <w:rPr>
          <w:i/>
          <w:iCs/>
          <w:sz w:val="24"/>
          <w:szCs w:val="24"/>
        </w:rPr>
        <w:t>Public Participation in Health Care: Exploring the Co-Production of Knowledge</w:t>
      </w:r>
      <w:r w:rsidRPr="00EC355F">
        <w:rPr>
          <w:sz w:val="24"/>
          <w:szCs w:val="24"/>
        </w:rPr>
        <w:t>. Frontiers Media SA.</w:t>
      </w:r>
    </w:p>
    <w:p w:rsidR="003A6D49" w:rsidRPr="00EC355F" w:rsidRDefault="003A6D49" w:rsidP="003A6D49">
      <w:pPr>
        <w:pStyle w:val="Bibliography"/>
        <w:spacing w:line="276" w:lineRule="auto"/>
        <w:rPr>
          <w:sz w:val="24"/>
          <w:szCs w:val="24"/>
        </w:rPr>
      </w:pPr>
      <w:r w:rsidRPr="00EC355F">
        <w:rPr>
          <w:sz w:val="24"/>
          <w:szCs w:val="24"/>
        </w:rPr>
        <w:t xml:space="preserve">Holz, O., D?Herdt, K., &amp; Sampermans, D. (2025). </w:t>
      </w:r>
      <w:r w:rsidRPr="00EC355F">
        <w:rPr>
          <w:i/>
          <w:iCs/>
          <w:sz w:val="24"/>
          <w:szCs w:val="24"/>
        </w:rPr>
        <w:t>Active Citizenship Education for a Better Tomorrow: History, Challenges and Perspectives across Europe</w:t>
      </w:r>
      <w:r w:rsidRPr="00EC355F">
        <w:rPr>
          <w:sz w:val="24"/>
          <w:szCs w:val="24"/>
        </w:rPr>
        <w:t>. Waxmann Verlag.</w:t>
      </w:r>
    </w:p>
    <w:p w:rsidR="003A6D49" w:rsidRPr="00EC355F" w:rsidRDefault="003A6D49" w:rsidP="003A6D49">
      <w:pPr>
        <w:pStyle w:val="Bibliography"/>
        <w:spacing w:line="276" w:lineRule="auto"/>
        <w:rPr>
          <w:sz w:val="24"/>
          <w:szCs w:val="24"/>
        </w:rPr>
      </w:pPr>
      <w:r w:rsidRPr="00EC355F">
        <w:rPr>
          <w:sz w:val="24"/>
          <w:szCs w:val="24"/>
        </w:rPr>
        <w:t xml:space="preserve">Hunjra, A. I., &amp; Hussainey, K. (2024). </w:t>
      </w:r>
      <w:r w:rsidRPr="00EC355F">
        <w:rPr>
          <w:i/>
          <w:iCs/>
          <w:sz w:val="24"/>
          <w:szCs w:val="24"/>
        </w:rPr>
        <w:t>The Emerald Handbook of Ethical Finance and Corporate Social Responsibility: A Framework for Sustainable Development</w:t>
      </w:r>
      <w:r w:rsidRPr="00EC355F">
        <w:rPr>
          <w:sz w:val="24"/>
          <w:szCs w:val="24"/>
        </w:rPr>
        <w:t>. Emerald Group Publishing.</w:t>
      </w:r>
    </w:p>
    <w:p w:rsidR="003A6D49" w:rsidRPr="00EC355F" w:rsidRDefault="003A6D49" w:rsidP="003A6D49">
      <w:pPr>
        <w:pStyle w:val="Bibliography"/>
        <w:spacing w:line="276" w:lineRule="auto"/>
        <w:rPr>
          <w:sz w:val="24"/>
          <w:szCs w:val="24"/>
        </w:rPr>
      </w:pPr>
      <w:r w:rsidRPr="00EC355F">
        <w:rPr>
          <w:i/>
          <w:iCs/>
          <w:sz w:val="24"/>
          <w:szCs w:val="24"/>
        </w:rPr>
        <w:t>Innovation and Evolution in Higher Education</w:t>
      </w:r>
      <w:r w:rsidRPr="00EC355F">
        <w:rPr>
          <w:sz w:val="24"/>
          <w:szCs w:val="24"/>
        </w:rPr>
        <w:t>. (2024). BoD – Books on Demand.</w:t>
      </w:r>
    </w:p>
    <w:p w:rsidR="003A6D49" w:rsidRPr="00EC355F" w:rsidRDefault="003A6D49" w:rsidP="003A6D49">
      <w:pPr>
        <w:pStyle w:val="Bibliography"/>
        <w:spacing w:line="276" w:lineRule="auto"/>
        <w:rPr>
          <w:sz w:val="24"/>
          <w:szCs w:val="24"/>
        </w:rPr>
      </w:pPr>
      <w:r w:rsidRPr="00EC355F">
        <w:rPr>
          <w:sz w:val="24"/>
          <w:szCs w:val="24"/>
        </w:rPr>
        <w:t xml:space="preserve">Kaplan, Y. (2025). </w:t>
      </w:r>
      <w:r w:rsidRPr="00EC355F">
        <w:rPr>
          <w:i/>
          <w:iCs/>
          <w:sz w:val="24"/>
          <w:szCs w:val="24"/>
        </w:rPr>
        <w:t>The Circular Economy and Institutional Change: Transformation in Theory and Practice</w:t>
      </w:r>
      <w:r w:rsidRPr="00EC355F">
        <w:rPr>
          <w:sz w:val="24"/>
          <w:szCs w:val="24"/>
        </w:rPr>
        <w:t>. Taylor &amp; Francis.</w:t>
      </w:r>
    </w:p>
    <w:p w:rsidR="003A6D49" w:rsidRPr="00EC355F" w:rsidRDefault="003A6D49" w:rsidP="003A6D49">
      <w:pPr>
        <w:pStyle w:val="Bibliography"/>
        <w:spacing w:line="276" w:lineRule="auto"/>
        <w:rPr>
          <w:sz w:val="24"/>
          <w:szCs w:val="24"/>
        </w:rPr>
      </w:pPr>
      <w:r w:rsidRPr="00EC355F">
        <w:rPr>
          <w:sz w:val="24"/>
          <w:szCs w:val="24"/>
        </w:rPr>
        <w:t xml:space="preserve">Kedar, C. E.-B. A., Editor-Dr Krishna Joshi, Dr Minakshi Madhukar Kamble, Dr Rahul Kumar, Dr A. Joy, Mrs Farida Babu Nadaf, Mr Nikhil Nathrao. (2025). </w:t>
      </w:r>
      <w:r w:rsidRPr="00EC355F">
        <w:rPr>
          <w:i/>
          <w:iCs/>
          <w:sz w:val="24"/>
          <w:szCs w:val="24"/>
        </w:rPr>
        <w:t>Multidisciplinary Research Area in Arts, Science &amp; Commerce (Volume-13)</w:t>
      </w:r>
      <w:r w:rsidRPr="00EC355F">
        <w:rPr>
          <w:sz w:val="24"/>
          <w:szCs w:val="24"/>
        </w:rPr>
        <w:t>. The Hill Publication.</w:t>
      </w:r>
    </w:p>
    <w:p w:rsidR="003A6D49" w:rsidRPr="00EC355F" w:rsidRDefault="003A6D49" w:rsidP="003A6D49">
      <w:pPr>
        <w:pStyle w:val="Bibliography"/>
        <w:spacing w:line="276" w:lineRule="auto"/>
        <w:rPr>
          <w:sz w:val="24"/>
          <w:szCs w:val="24"/>
        </w:rPr>
      </w:pPr>
      <w:r w:rsidRPr="00EC355F">
        <w:rPr>
          <w:sz w:val="24"/>
          <w:szCs w:val="24"/>
        </w:rPr>
        <w:t xml:space="preserve">Kupe, T. (2024). </w:t>
      </w:r>
      <w:r w:rsidRPr="00EC355F">
        <w:rPr>
          <w:i/>
          <w:iCs/>
          <w:sz w:val="24"/>
          <w:szCs w:val="24"/>
        </w:rPr>
        <w:t>Higher Education and SDG4: Quality Education</w:t>
      </w:r>
      <w:r w:rsidRPr="00EC355F">
        <w:rPr>
          <w:sz w:val="24"/>
          <w:szCs w:val="24"/>
        </w:rPr>
        <w:t>. Emerald Group Publishing.</w:t>
      </w:r>
    </w:p>
    <w:p w:rsidR="003A6D49" w:rsidRPr="00EC355F" w:rsidRDefault="003A6D49" w:rsidP="003A6D49">
      <w:pPr>
        <w:pStyle w:val="Bibliography"/>
        <w:spacing w:line="276" w:lineRule="auto"/>
        <w:rPr>
          <w:sz w:val="24"/>
          <w:szCs w:val="24"/>
        </w:rPr>
      </w:pPr>
      <w:r w:rsidRPr="00EC355F">
        <w:rPr>
          <w:sz w:val="24"/>
          <w:szCs w:val="24"/>
        </w:rPr>
        <w:t xml:space="preserve">Leniwati, D., Juanda, A., &amp; Budihardjo, O. (2025). </w:t>
      </w:r>
      <w:r w:rsidRPr="00EC355F">
        <w:rPr>
          <w:i/>
          <w:iCs/>
          <w:sz w:val="24"/>
          <w:szCs w:val="24"/>
        </w:rPr>
        <w:t>PROFESSIONAL ETHICS, BUSINESS LAW, AND FINANCIAL GOVERNANCE FOR SUSTAINABILITY</w:t>
      </w:r>
      <w:r w:rsidRPr="00EC355F">
        <w:rPr>
          <w:sz w:val="24"/>
          <w:szCs w:val="24"/>
        </w:rPr>
        <w:t>. UMMPress.</w:t>
      </w:r>
    </w:p>
    <w:p w:rsidR="003A6D49" w:rsidRPr="00EC355F" w:rsidRDefault="003A6D49" w:rsidP="003A6D49">
      <w:pPr>
        <w:pStyle w:val="Bibliography"/>
        <w:spacing w:line="276" w:lineRule="auto"/>
        <w:rPr>
          <w:sz w:val="24"/>
          <w:szCs w:val="24"/>
        </w:rPr>
      </w:pPr>
      <w:r w:rsidRPr="00EC355F">
        <w:rPr>
          <w:sz w:val="24"/>
          <w:szCs w:val="24"/>
        </w:rPr>
        <w:t xml:space="preserve">Maggie, M., Tlou, &amp; Thulisile, B., Monicca. (2025). </w:t>
      </w:r>
      <w:r w:rsidRPr="00EC355F">
        <w:rPr>
          <w:i/>
          <w:iCs/>
          <w:sz w:val="24"/>
          <w:szCs w:val="24"/>
        </w:rPr>
        <w:t>Revaluation and Preservation of Indigenous Knowledge Systems in Modern Society</w:t>
      </w:r>
      <w:r w:rsidRPr="00EC355F">
        <w:rPr>
          <w:sz w:val="24"/>
          <w:szCs w:val="24"/>
        </w:rPr>
        <w:t>. IGI Global.</w:t>
      </w:r>
    </w:p>
    <w:p w:rsidR="003A6D49" w:rsidRPr="00EC355F" w:rsidRDefault="003A6D49" w:rsidP="003A6D49">
      <w:pPr>
        <w:pStyle w:val="Bibliography"/>
        <w:spacing w:line="276" w:lineRule="auto"/>
        <w:rPr>
          <w:sz w:val="24"/>
          <w:szCs w:val="24"/>
        </w:rPr>
      </w:pPr>
      <w:r w:rsidRPr="00EC355F">
        <w:rPr>
          <w:sz w:val="24"/>
          <w:szCs w:val="24"/>
        </w:rPr>
        <w:t xml:space="preserve">Mahalle, P. N., Shinde, G. R., Wasatkar, N. N., &amp; Anerao, P. R. (2025). </w:t>
      </w:r>
      <w:r w:rsidRPr="00EC355F">
        <w:rPr>
          <w:i/>
          <w:iCs/>
          <w:sz w:val="24"/>
          <w:szCs w:val="24"/>
        </w:rPr>
        <w:t>Transforming Industries, Empowering Societies: A Comprehensive Examination of Industry 5.0 and Society 5.0</w:t>
      </w:r>
      <w:r w:rsidRPr="00EC355F">
        <w:rPr>
          <w:sz w:val="24"/>
          <w:szCs w:val="24"/>
        </w:rPr>
        <w:t>. Elsevier.</w:t>
      </w:r>
    </w:p>
    <w:p w:rsidR="003A6D49" w:rsidRPr="00EC355F" w:rsidRDefault="003A6D49" w:rsidP="003A6D49">
      <w:pPr>
        <w:pStyle w:val="Bibliography"/>
        <w:spacing w:line="276" w:lineRule="auto"/>
        <w:rPr>
          <w:sz w:val="24"/>
          <w:szCs w:val="24"/>
        </w:rPr>
      </w:pPr>
      <w:r w:rsidRPr="00EC355F">
        <w:rPr>
          <w:sz w:val="24"/>
          <w:szCs w:val="24"/>
        </w:rPr>
        <w:t xml:space="preserve">Maher, A. J., Haegele, J. A., &amp; Coates, J. (2026). </w:t>
      </w:r>
      <w:r w:rsidRPr="00EC355F">
        <w:rPr>
          <w:i/>
          <w:iCs/>
          <w:sz w:val="24"/>
          <w:szCs w:val="24"/>
        </w:rPr>
        <w:t>Routledge Handbook of Qualitative Methods for Researching Disability in Physical Education</w:t>
      </w:r>
      <w:r w:rsidRPr="00EC355F">
        <w:rPr>
          <w:sz w:val="24"/>
          <w:szCs w:val="24"/>
        </w:rPr>
        <w:t>. Taylor &amp; Francis.</w:t>
      </w:r>
    </w:p>
    <w:p w:rsidR="003A6D49" w:rsidRPr="00EC355F" w:rsidRDefault="003A6D49" w:rsidP="003A6D49">
      <w:pPr>
        <w:pStyle w:val="Bibliography"/>
        <w:spacing w:line="276" w:lineRule="auto"/>
        <w:rPr>
          <w:sz w:val="24"/>
          <w:szCs w:val="24"/>
        </w:rPr>
      </w:pPr>
      <w:r w:rsidRPr="00EC355F">
        <w:rPr>
          <w:sz w:val="24"/>
          <w:szCs w:val="24"/>
        </w:rPr>
        <w:t xml:space="preserve">Markovic, S., Lindgreen, A., Koporcic, N., &amp; Micevski, M. (2023). </w:t>
      </w:r>
      <w:r w:rsidRPr="00EC355F">
        <w:rPr>
          <w:i/>
          <w:iCs/>
          <w:sz w:val="24"/>
          <w:szCs w:val="24"/>
        </w:rPr>
        <w:t>Approaches to Corporate Social Responsibility: Knowledge, Values, and Actions</w:t>
      </w:r>
      <w:r w:rsidRPr="00EC355F">
        <w:rPr>
          <w:sz w:val="24"/>
          <w:szCs w:val="24"/>
        </w:rPr>
        <w:t>. Taylor &amp; Francis.</w:t>
      </w:r>
    </w:p>
    <w:p w:rsidR="003A6D49" w:rsidRPr="00EC355F" w:rsidRDefault="003A6D49" w:rsidP="003A6D49">
      <w:pPr>
        <w:pStyle w:val="Bibliography"/>
        <w:spacing w:line="276" w:lineRule="auto"/>
        <w:rPr>
          <w:sz w:val="24"/>
          <w:szCs w:val="24"/>
        </w:rPr>
      </w:pPr>
      <w:r w:rsidRPr="00EC355F">
        <w:rPr>
          <w:sz w:val="24"/>
          <w:szCs w:val="24"/>
        </w:rPr>
        <w:t xml:space="preserve">McLaughlin, H., &amp; Teater, B. (2025). </w:t>
      </w:r>
      <w:r w:rsidRPr="00EC355F">
        <w:rPr>
          <w:i/>
          <w:iCs/>
          <w:sz w:val="24"/>
          <w:szCs w:val="24"/>
        </w:rPr>
        <w:t>Research Handbook on Social Work and Societies</w:t>
      </w:r>
      <w:r w:rsidRPr="00EC355F">
        <w:rPr>
          <w:sz w:val="24"/>
          <w:szCs w:val="24"/>
        </w:rPr>
        <w:t xml:space="preserve">. </w:t>
      </w:r>
      <w:r w:rsidRPr="00EC355F">
        <w:rPr>
          <w:sz w:val="24"/>
          <w:szCs w:val="24"/>
        </w:rPr>
        <w:lastRenderedPageBreak/>
        <w:t>Edward Elgar Publishing.</w:t>
      </w:r>
    </w:p>
    <w:p w:rsidR="003A6D49" w:rsidRPr="00EC355F" w:rsidRDefault="003A6D49" w:rsidP="003A6D49">
      <w:pPr>
        <w:pStyle w:val="Bibliography"/>
        <w:spacing w:line="276" w:lineRule="auto"/>
        <w:rPr>
          <w:sz w:val="24"/>
          <w:szCs w:val="24"/>
        </w:rPr>
      </w:pPr>
      <w:r w:rsidRPr="00EC355F">
        <w:rPr>
          <w:sz w:val="24"/>
          <w:szCs w:val="24"/>
        </w:rPr>
        <w:t xml:space="preserve">Morales, L., Andreosso-O’Callaghan, B., &amp; Rajmil, D. (2025). </w:t>
      </w:r>
      <w:r w:rsidRPr="00EC355F">
        <w:rPr>
          <w:i/>
          <w:iCs/>
          <w:sz w:val="24"/>
          <w:szCs w:val="24"/>
        </w:rPr>
        <w:t>Geoeconomics of the Sustainable Development Goals</w:t>
      </w:r>
      <w:r w:rsidRPr="00EC355F">
        <w:rPr>
          <w:sz w:val="24"/>
          <w:szCs w:val="24"/>
        </w:rPr>
        <w:t>. Taylor &amp; Francis.</w:t>
      </w:r>
    </w:p>
    <w:p w:rsidR="003A6D49" w:rsidRPr="00EC355F" w:rsidRDefault="003A6D49" w:rsidP="003A6D49">
      <w:pPr>
        <w:pStyle w:val="Bibliography"/>
        <w:spacing w:line="276" w:lineRule="auto"/>
        <w:rPr>
          <w:sz w:val="24"/>
          <w:szCs w:val="24"/>
        </w:rPr>
      </w:pPr>
      <w:r w:rsidRPr="00EC355F">
        <w:rPr>
          <w:sz w:val="24"/>
          <w:szCs w:val="24"/>
        </w:rPr>
        <w:t xml:space="preserve">Nakamori, Y. (2023). </w:t>
      </w:r>
      <w:r w:rsidRPr="00EC355F">
        <w:rPr>
          <w:i/>
          <w:iCs/>
          <w:sz w:val="24"/>
          <w:szCs w:val="24"/>
        </w:rPr>
        <w:t>Knowledge Technology and Systems: Toward Establishing Knowledge Systems Science</w:t>
      </w:r>
      <w:r w:rsidRPr="00EC355F">
        <w:rPr>
          <w:sz w:val="24"/>
          <w:szCs w:val="24"/>
        </w:rPr>
        <w:t>. Springer Nature.</w:t>
      </w:r>
    </w:p>
    <w:p w:rsidR="003A6D49" w:rsidRPr="00EC355F" w:rsidRDefault="003A6D49" w:rsidP="003A6D49">
      <w:pPr>
        <w:pStyle w:val="Bibliography"/>
        <w:spacing w:line="276" w:lineRule="auto"/>
        <w:rPr>
          <w:sz w:val="24"/>
          <w:szCs w:val="24"/>
        </w:rPr>
      </w:pPr>
      <w:r w:rsidRPr="00EC355F">
        <w:rPr>
          <w:sz w:val="24"/>
          <w:szCs w:val="24"/>
        </w:rPr>
        <w:t xml:space="preserve">Nugroho, F. J., Supriyanto, E. E., Rachmawati, M., Saksono, H., Kustiyono, K., &amp; Rahim, R. (2022). </w:t>
      </w:r>
      <w:r w:rsidRPr="00EC355F">
        <w:rPr>
          <w:i/>
          <w:iCs/>
          <w:sz w:val="24"/>
          <w:szCs w:val="24"/>
        </w:rPr>
        <w:t>MIC 2021: Proceedings of the First Multidiscipline International Conference, MIC 2021, October 30 2021, Jakarta, Indonesia</w:t>
      </w:r>
      <w:r w:rsidRPr="00EC355F">
        <w:rPr>
          <w:sz w:val="24"/>
          <w:szCs w:val="24"/>
        </w:rPr>
        <w:t>. European Alliance for Innovation.</w:t>
      </w:r>
    </w:p>
    <w:p w:rsidR="003A6D49" w:rsidRPr="00EC355F" w:rsidRDefault="003A6D49" w:rsidP="003A6D49">
      <w:pPr>
        <w:pStyle w:val="Bibliography"/>
        <w:spacing w:line="276" w:lineRule="auto"/>
        <w:rPr>
          <w:sz w:val="24"/>
          <w:szCs w:val="24"/>
        </w:rPr>
      </w:pPr>
      <w:r w:rsidRPr="00EC355F">
        <w:rPr>
          <w:sz w:val="24"/>
          <w:szCs w:val="24"/>
        </w:rPr>
        <w:t xml:space="preserve">Olivier, E., Adra, E., Sikandra, K., &amp; Adeeb, Q. (2023). </w:t>
      </w:r>
      <w:r w:rsidRPr="00EC355F">
        <w:rPr>
          <w:i/>
          <w:iCs/>
          <w:sz w:val="24"/>
          <w:szCs w:val="24"/>
        </w:rPr>
        <w:t>Unlocking the power of partnership to address Yemen’s food crisis and strengthen food system resilience</w:t>
      </w:r>
      <w:r w:rsidRPr="00EC355F">
        <w:rPr>
          <w:sz w:val="24"/>
          <w:szCs w:val="24"/>
        </w:rPr>
        <w:t>. Intl Food Policy Res Inst.</w:t>
      </w:r>
    </w:p>
    <w:p w:rsidR="003A6D49" w:rsidRPr="00EC355F" w:rsidRDefault="003A6D49" w:rsidP="003A6D49">
      <w:pPr>
        <w:pStyle w:val="Bibliography"/>
        <w:spacing w:line="276" w:lineRule="auto"/>
        <w:rPr>
          <w:sz w:val="24"/>
          <w:szCs w:val="24"/>
        </w:rPr>
      </w:pPr>
      <w:r w:rsidRPr="00EC355F">
        <w:rPr>
          <w:sz w:val="24"/>
          <w:szCs w:val="24"/>
        </w:rPr>
        <w:t xml:space="preserve">Olmos, Á. M. (2026). </w:t>
      </w:r>
      <w:r w:rsidRPr="00EC355F">
        <w:rPr>
          <w:i/>
          <w:iCs/>
          <w:sz w:val="24"/>
          <w:szCs w:val="24"/>
        </w:rPr>
        <w:t>The Institutionalisation of Historical Musicology in European Conservatories: Models, Regimes, and National Trajectories</w:t>
      </w:r>
      <w:r w:rsidRPr="00EC355F">
        <w:rPr>
          <w:sz w:val="24"/>
          <w:szCs w:val="24"/>
        </w:rPr>
        <w:t>. Discantus.</w:t>
      </w:r>
    </w:p>
    <w:p w:rsidR="003A6D49" w:rsidRPr="00EC355F" w:rsidRDefault="003A6D49" w:rsidP="003A6D49">
      <w:pPr>
        <w:pStyle w:val="Bibliography"/>
        <w:spacing w:line="276" w:lineRule="auto"/>
        <w:rPr>
          <w:sz w:val="24"/>
          <w:szCs w:val="24"/>
        </w:rPr>
      </w:pPr>
      <w:r w:rsidRPr="00EC355F">
        <w:rPr>
          <w:sz w:val="24"/>
          <w:szCs w:val="24"/>
        </w:rPr>
        <w:t xml:space="preserve">Onur, A., &amp; Ufuk, A. (2026). </w:t>
      </w:r>
      <w:r w:rsidRPr="00EC355F">
        <w:rPr>
          <w:i/>
          <w:iCs/>
          <w:sz w:val="24"/>
          <w:szCs w:val="24"/>
        </w:rPr>
        <w:t>Navigating Public Security in the Age of Post-Truth: Challenges and Implications: Challenges and Implications</w:t>
      </w:r>
      <w:r w:rsidRPr="00EC355F">
        <w:rPr>
          <w:sz w:val="24"/>
          <w:szCs w:val="24"/>
        </w:rPr>
        <w:t>. IGI Global.</w:t>
      </w:r>
    </w:p>
    <w:p w:rsidR="003A6D49" w:rsidRPr="00EC355F" w:rsidRDefault="003A6D49" w:rsidP="003A6D49">
      <w:pPr>
        <w:pStyle w:val="Bibliography"/>
        <w:spacing w:line="276" w:lineRule="auto"/>
        <w:rPr>
          <w:sz w:val="24"/>
          <w:szCs w:val="24"/>
        </w:rPr>
      </w:pPr>
      <w:r w:rsidRPr="00EC355F">
        <w:rPr>
          <w:sz w:val="24"/>
          <w:szCs w:val="24"/>
        </w:rPr>
        <w:t xml:space="preserve">Opdenakker, R., &amp; Cuijpers, C. (2025). </w:t>
      </w:r>
      <w:r w:rsidRPr="00EC355F">
        <w:rPr>
          <w:i/>
          <w:iCs/>
          <w:sz w:val="24"/>
          <w:szCs w:val="24"/>
        </w:rPr>
        <w:t>Design Science Methodology for the Management Sciences: From Foundations to Implementation</w:t>
      </w:r>
      <w:r w:rsidRPr="00EC355F">
        <w:rPr>
          <w:sz w:val="24"/>
          <w:szCs w:val="24"/>
        </w:rPr>
        <w:t>. Springer Nature.</w:t>
      </w:r>
    </w:p>
    <w:p w:rsidR="003A6D49" w:rsidRPr="00EC355F" w:rsidRDefault="003A6D49" w:rsidP="003A6D49">
      <w:pPr>
        <w:pStyle w:val="Bibliography"/>
        <w:spacing w:line="276" w:lineRule="auto"/>
        <w:rPr>
          <w:sz w:val="24"/>
          <w:szCs w:val="24"/>
        </w:rPr>
      </w:pPr>
      <w:r w:rsidRPr="00EC355F">
        <w:rPr>
          <w:sz w:val="24"/>
          <w:szCs w:val="24"/>
        </w:rPr>
        <w:t xml:space="preserve">Pandit, J. M., &amp; Paul, B. (2023). </w:t>
      </w:r>
      <w:r w:rsidRPr="00EC355F">
        <w:rPr>
          <w:i/>
          <w:iCs/>
          <w:sz w:val="24"/>
          <w:szCs w:val="24"/>
        </w:rPr>
        <w:t>Strategic Human Resource Management in Higher Education: Roadmap for Indian Institutions</w:t>
      </w:r>
      <w:r w:rsidRPr="00EC355F">
        <w:rPr>
          <w:sz w:val="24"/>
          <w:szCs w:val="24"/>
        </w:rPr>
        <w:t>. Springer Nature.</w:t>
      </w:r>
    </w:p>
    <w:p w:rsidR="003A6D49" w:rsidRPr="00EC355F" w:rsidRDefault="003A6D49" w:rsidP="003A6D49">
      <w:pPr>
        <w:pStyle w:val="Bibliography"/>
        <w:spacing w:line="276" w:lineRule="auto"/>
        <w:rPr>
          <w:sz w:val="24"/>
          <w:szCs w:val="24"/>
        </w:rPr>
      </w:pPr>
      <w:r w:rsidRPr="00EC355F">
        <w:rPr>
          <w:sz w:val="24"/>
          <w:szCs w:val="24"/>
        </w:rPr>
        <w:t xml:space="preserve">Peters, M. A., Besley, T., Tesar, M., Jackson, L., Jandric, P., Arndt, S., &amp; Sturm, S. (2021). </w:t>
      </w:r>
      <w:r w:rsidRPr="00EC355F">
        <w:rPr>
          <w:i/>
          <w:iCs/>
          <w:sz w:val="24"/>
          <w:szCs w:val="24"/>
        </w:rPr>
        <w:t>The Methodology and Philosophy of Collective Writing: An Educational Philosophy and Theory Reader Volume X</w:t>
      </w:r>
      <w:r w:rsidRPr="00EC355F">
        <w:rPr>
          <w:sz w:val="24"/>
          <w:szCs w:val="24"/>
        </w:rPr>
        <w:t>. Taylor &amp; Francis.</w:t>
      </w:r>
    </w:p>
    <w:p w:rsidR="003A6D49" w:rsidRPr="00EC355F" w:rsidRDefault="003A6D49" w:rsidP="003A6D49">
      <w:pPr>
        <w:pStyle w:val="Bibliography"/>
        <w:spacing w:line="276" w:lineRule="auto"/>
        <w:rPr>
          <w:sz w:val="24"/>
          <w:szCs w:val="24"/>
        </w:rPr>
      </w:pPr>
      <w:r w:rsidRPr="00EC355F">
        <w:rPr>
          <w:sz w:val="24"/>
          <w:szCs w:val="24"/>
        </w:rPr>
        <w:t xml:space="preserve">Pranjol, Z., &amp; Amir, A. (2025). </w:t>
      </w:r>
      <w:r w:rsidRPr="00EC355F">
        <w:rPr>
          <w:i/>
          <w:iCs/>
          <w:sz w:val="24"/>
          <w:szCs w:val="24"/>
        </w:rPr>
        <w:t>Reshaping STEM Education: Strategies for Curriculum Decolonization and Institutional Transformation</w:t>
      </w:r>
      <w:r w:rsidRPr="00EC355F">
        <w:rPr>
          <w:sz w:val="24"/>
          <w:szCs w:val="24"/>
        </w:rPr>
        <w:t>. Frontiers Media SA.</w:t>
      </w:r>
    </w:p>
    <w:p w:rsidR="003A6D49" w:rsidRPr="00EC355F" w:rsidRDefault="003A6D49" w:rsidP="003A6D49">
      <w:pPr>
        <w:pStyle w:val="Bibliography"/>
        <w:spacing w:line="276" w:lineRule="auto"/>
        <w:rPr>
          <w:sz w:val="24"/>
          <w:szCs w:val="24"/>
        </w:rPr>
      </w:pPr>
      <w:r w:rsidRPr="00EC355F">
        <w:rPr>
          <w:sz w:val="24"/>
          <w:szCs w:val="24"/>
        </w:rPr>
        <w:t xml:space="preserve">Q, P., S. ;. Furst, M. ;. Speciale, M. ;. Kersbergen, A. ;. Tasew, A. ;. Katembu. (2026). </w:t>
      </w:r>
      <w:r w:rsidRPr="00EC355F">
        <w:rPr>
          <w:i/>
          <w:iCs/>
          <w:sz w:val="24"/>
          <w:szCs w:val="24"/>
        </w:rPr>
        <w:t>Guidelines for gender integration in Farmer Field Schools: Towards gender transformative programmes</w:t>
      </w:r>
      <w:r w:rsidRPr="00EC355F">
        <w:rPr>
          <w:sz w:val="24"/>
          <w:szCs w:val="24"/>
        </w:rPr>
        <w:t>. Food &amp; Agriculture Organization.</w:t>
      </w:r>
    </w:p>
    <w:p w:rsidR="003A6D49" w:rsidRPr="00EC355F" w:rsidRDefault="003A6D49" w:rsidP="003A6D49">
      <w:pPr>
        <w:pStyle w:val="Bibliography"/>
        <w:spacing w:line="276" w:lineRule="auto"/>
        <w:rPr>
          <w:sz w:val="24"/>
          <w:szCs w:val="24"/>
        </w:rPr>
      </w:pPr>
      <w:r w:rsidRPr="00EC355F">
        <w:rPr>
          <w:sz w:val="24"/>
          <w:szCs w:val="24"/>
        </w:rPr>
        <w:t xml:space="preserve">Resources, M. A., Information. (2021). </w:t>
      </w:r>
      <w:r w:rsidRPr="00EC355F">
        <w:rPr>
          <w:i/>
          <w:iCs/>
          <w:sz w:val="24"/>
          <w:szCs w:val="24"/>
        </w:rPr>
        <w:t>Research Anthology on Changing Dynamics of Diversity and Safety in the Workforce</w:t>
      </w:r>
      <w:r w:rsidRPr="00EC355F">
        <w:rPr>
          <w:sz w:val="24"/>
          <w:szCs w:val="24"/>
        </w:rPr>
        <w:t>. IGI Global.</w:t>
      </w:r>
    </w:p>
    <w:p w:rsidR="003A6D49" w:rsidRPr="00EC355F" w:rsidRDefault="003A6D49" w:rsidP="003A6D49">
      <w:pPr>
        <w:pStyle w:val="Bibliography"/>
        <w:spacing w:line="276" w:lineRule="auto"/>
        <w:rPr>
          <w:sz w:val="24"/>
          <w:szCs w:val="24"/>
        </w:rPr>
      </w:pPr>
      <w:r w:rsidRPr="00EC355F">
        <w:rPr>
          <w:sz w:val="24"/>
          <w:szCs w:val="24"/>
        </w:rPr>
        <w:t xml:space="preserve">Safdar, S., Jaafar, M., Laghari, F., &amp; Osmadi, A. (2023). </w:t>
      </w:r>
      <w:r w:rsidRPr="00EC355F">
        <w:rPr>
          <w:i/>
          <w:iCs/>
          <w:sz w:val="24"/>
          <w:szCs w:val="24"/>
        </w:rPr>
        <w:t>What Makes Leadership Responsible and Effective? Reinventing Leadership in the COVID-19 Outbreak</w:t>
      </w:r>
      <w:r w:rsidRPr="00EC355F">
        <w:rPr>
          <w:sz w:val="24"/>
          <w:szCs w:val="24"/>
        </w:rPr>
        <w:t>. Frontiers Media SA.</w:t>
      </w:r>
    </w:p>
    <w:p w:rsidR="003A6D49" w:rsidRPr="00EC355F" w:rsidRDefault="003A6D49" w:rsidP="003A6D49">
      <w:pPr>
        <w:pStyle w:val="Bibliography"/>
        <w:spacing w:line="276" w:lineRule="auto"/>
        <w:rPr>
          <w:sz w:val="24"/>
          <w:szCs w:val="24"/>
        </w:rPr>
      </w:pPr>
      <w:r w:rsidRPr="00EC355F">
        <w:rPr>
          <w:sz w:val="24"/>
          <w:szCs w:val="24"/>
        </w:rPr>
        <w:t xml:space="preserve">SWARGIARY, K. (2024). </w:t>
      </w:r>
      <w:r w:rsidRPr="00EC355F">
        <w:rPr>
          <w:i/>
          <w:iCs/>
          <w:sz w:val="24"/>
          <w:szCs w:val="24"/>
        </w:rPr>
        <w:t>Modern Perspectives on Montessori Philosophy: Adaptations and Applications in the 2020’s</w:t>
      </w:r>
      <w:r w:rsidRPr="00EC355F">
        <w:rPr>
          <w:sz w:val="24"/>
          <w:szCs w:val="24"/>
        </w:rPr>
        <w:t>. ERA, US.</w:t>
      </w:r>
    </w:p>
    <w:p w:rsidR="003A6D49" w:rsidRPr="00EC355F" w:rsidRDefault="003A6D49" w:rsidP="003A6D49">
      <w:pPr>
        <w:pStyle w:val="Bibliography"/>
        <w:spacing w:line="276" w:lineRule="auto"/>
        <w:rPr>
          <w:sz w:val="24"/>
          <w:szCs w:val="24"/>
        </w:rPr>
      </w:pPr>
      <w:r w:rsidRPr="00EC355F">
        <w:rPr>
          <w:sz w:val="24"/>
          <w:szCs w:val="24"/>
        </w:rPr>
        <w:t xml:space="preserve">Tung, T., Minh. (2025). </w:t>
      </w:r>
      <w:r w:rsidRPr="00EC355F">
        <w:rPr>
          <w:i/>
          <w:iCs/>
          <w:sz w:val="24"/>
          <w:szCs w:val="24"/>
        </w:rPr>
        <w:t>Harnessing Happiness and Wisdom for Organizational Well-Being</w:t>
      </w:r>
      <w:r w:rsidRPr="00EC355F">
        <w:rPr>
          <w:sz w:val="24"/>
          <w:szCs w:val="24"/>
        </w:rPr>
        <w:t>. IGI Global.</w:t>
      </w:r>
    </w:p>
    <w:p w:rsidR="003A6D49" w:rsidRPr="00EC355F" w:rsidRDefault="003A6D49" w:rsidP="003A6D49">
      <w:pPr>
        <w:pStyle w:val="Bibliography"/>
        <w:spacing w:line="276" w:lineRule="auto"/>
        <w:rPr>
          <w:sz w:val="24"/>
          <w:szCs w:val="24"/>
        </w:rPr>
      </w:pPr>
      <w:r w:rsidRPr="00EC355F">
        <w:rPr>
          <w:sz w:val="24"/>
          <w:szCs w:val="24"/>
        </w:rPr>
        <w:t xml:space="preserve">Washio, Y., Williams, P. P., &amp; Isaacs, K. (2024). </w:t>
      </w:r>
      <w:r w:rsidRPr="00EC355F">
        <w:rPr>
          <w:i/>
          <w:iCs/>
          <w:sz w:val="24"/>
          <w:szCs w:val="24"/>
        </w:rPr>
        <w:t>Maternal Substance and Alcohol use and Contextual Issues</w:t>
      </w:r>
      <w:r w:rsidRPr="00EC355F">
        <w:rPr>
          <w:sz w:val="24"/>
          <w:szCs w:val="24"/>
        </w:rPr>
        <w:t>. Frontiers Media SA.</w:t>
      </w:r>
    </w:p>
    <w:p w:rsidR="003A6D49" w:rsidRPr="00EC355F" w:rsidRDefault="003A6D49" w:rsidP="003A6D49">
      <w:pPr>
        <w:pStyle w:val="Bibliography"/>
        <w:spacing w:line="276" w:lineRule="auto"/>
        <w:rPr>
          <w:sz w:val="24"/>
          <w:szCs w:val="24"/>
        </w:rPr>
      </w:pPr>
      <w:r w:rsidRPr="00EC355F">
        <w:rPr>
          <w:sz w:val="24"/>
          <w:szCs w:val="24"/>
        </w:rPr>
        <w:t xml:space="preserve">Williams, B., &amp; ChatGPT. (2025a). </w:t>
      </w:r>
      <w:r w:rsidRPr="00EC355F">
        <w:rPr>
          <w:i/>
          <w:iCs/>
          <w:sz w:val="24"/>
          <w:szCs w:val="24"/>
        </w:rPr>
        <w:t>Harnessing Fire: The Art and Science of Prescribed Burns for Ecological Conservation</w:t>
      </w:r>
      <w:r w:rsidRPr="00EC355F">
        <w:rPr>
          <w:sz w:val="24"/>
          <w:szCs w:val="24"/>
        </w:rPr>
        <w:t>. Barrett Williams.</w:t>
      </w:r>
    </w:p>
    <w:p w:rsidR="003A6D49" w:rsidRPr="00EC355F" w:rsidRDefault="003A6D49" w:rsidP="003A6D49">
      <w:pPr>
        <w:pStyle w:val="Bibliography"/>
        <w:spacing w:line="276" w:lineRule="auto"/>
        <w:rPr>
          <w:sz w:val="24"/>
          <w:szCs w:val="24"/>
        </w:rPr>
      </w:pPr>
      <w:r w:rsidRPr="00EC355F">
        <w:rPr>
          <w:sz w:val="24"/>
          <w:szCs w:val="24"/>
        </w:rPr>
        <w:t xml:space="preserve">Williams, B., &amp; ChatGPT. (2025b). </w:t>
      </w:r>
      <w:r w:rsidRPr="00EC355F">
        <w:rPr>
          <w:i/>
          <w:iCs/>
          <w:sz w:val="24"/>
          <w:szCs w:val="24"/>
        </w:rPr>
        <w:t xml:space="preserve">Mastering the Digital Economy: Strategies and Secrets for </w:t>
      </w:r>
      <w:r w:rsidRPr="00EC355F">
        <w:rPr>
          <w:i/>
          <w:iCs/>
          <w:sz w:val="24"/>
          <w:szCs w:val="24"/>
        </w:rPr>
        <w:lastRenderedPageBreak/>
        <w:t>Breakthrough Success</w:t>
      </w:r>
      <w:r w:rsidRPr="00EC355F">
        <w:rPr>
          <w:sz w:val="24"/>
          <w:szCs w:val="24"/>
        </w:rPr>
        <w:t>. Barrett Williams.</w:t>
      </w:r>
    </w:p>
    <w:p w:rsidR="003A6D49" w:rsidRPr="00EC355F" w:rsidRDefault="003A6D49" w:rsidP="003A6D49">
      <w:pPr>
        <w:pStyle w:val="Bibliography"/>
        <w:spacing w:line="276" w:lineRule="auto"/>
        <w:rPr>
          <w:sz w:val="24"/>
          <w:szCs w:val="24"/>
        </w:rPr>
      </w:pPr>
      <w:r w:rsidRPr="00EC355F">
        <w:rPr>
          <w:sz w:val="24"/>
          <w:szCs w:val="24"/>
        </w:rPr>
        <w:t xml:space="preserve">Williams, E. (2026). </w:t>
      </w:r>
      <w:r w:rsidRPr="00EC355F">
        <w:rPr>
          <w:i/>
          <w:iCs/>
          <w:sz w:val="24"/>
          <w:szCs w:val="24"/>
        </w:rPr>
        <w:t>Enabling Change in the Investigation of Rape and Serious Sexual Offending: Learning, Development and Wellbeing</w:t>
      </w:r>
      <w:r w:rsidRPr="00EC355F">
        <w:rPr>
          <w:sz w:val="24"/>
          <w:szCs w:val="24"/>
        </w:rPr>
        <w:t>. Taylor &amp; Francis.</w:t>
      </w:r>
    </w:p>
    <w:p w:rsidR="003A6D49" w:rsidRPr="00EC355F" w:rsidRDefault="003A6D49" w:rsidP="003A6D49">
      <w:pPr>
        <w:pStyle w:val="Bibliography"/>
        <w:spacing w:line="276" w:lineRule="auto"/>
        <w:rPr>
          <w:sz w:val="24"/>
          <w:szCs w:val="24"/>
        </w:rPr>
      </w:pPr>
      <w:r w:rsidRPr="00EC355F">
        <w:rPr>
          <w:sz w:val="24"/>
          <w:szCs w:val="24"/>
        </w:rPr>
        <w:t xml:space="preserve">Wozna, A. (2025). </w:t>
      </w:r>
      <w:r w:rsidRPr="00EC355F">
        <w:rPr>
          <w:i/>
          <w:iCs/>
          <w:sz w:val="24"/>
          <w:szCs w:val="24"/>
        </w:rPr>
        <w:t>Theological Hermeneutics and Mary Daly’s verification process</w:t>
      </w:r>
      <w:r w:rsidRPr="00EC355F">
        <w:rPr>
          <w:sz w:val="24"/>
          <w:szCs w:val="24"/>
        </w:rPr>
        <w:t>. Springer Nature.</w:t>
      </w:r>
    </w:p>
    <w:p w:rsidR="003A6D49" w:rsidRPr="00EC355F" w:rsidRDefault="003A6D49" w:rsidP="003A6D49">
      <w:pPr>
        <w:spacing w:line="276" w:lineRule="auto"/>
        <w:jc w:val="both"/>
        <w:rPr>
          <w:sz w:val="24"/>
          <w:szCs w:val="24"/>
        </w:rPr>
      </w:pPr>
      <w:r w:rsidRPr="00EC355F">
        <w:rPr>
          <w:sz w:val="24"/>
          <w:szCs w:val="24"/>
        </w:rPr>
        <w:fldChar w:fldCharType="end"/>
      </w:r>
    </w:p>
    <w:p w:rsidR="003A6D49" w:rsidRPr="003A6D49" w:rsidRDefault="003A6D49" w:rsidP="003A6D49"/>
    <w:p w:rsidR="00D66B5D" w:rsidRPr="00D66B5D" w:rsidRDefault="00D66B5D" w:rsidP="00D66B5D">
      <w:pPr>
        <w:pStyle w:val="Bibliography"/>
      </w:pPr>
      <w:r w:rsidRPr="00D66B5D">
        <w:t xml:space="preserve">Edberg, M. (2022). </w:t>
      </w:r>
      <w:r w:rsidRPr="00D66B5D">
        <w:rPr>
          <w:i/>
          <w:iCs/>
        </w:rPr>
        <w:t>Essentials of Health, Culture, and Diversity: .</w:t>
      </w:r>
      <w:r w:rsidRPr="00D66B5D">
        <w:t xml:space="preserve"> Jones &amp; Bartlett Learning.</w:t>
      </w:r>
    </w:p>
    <w:p w:rsidR="00D66B5D" w:rsidRPr="00D66B5D" w:rsidRDefault="00D66B5D" w:rsidP="00D66B5D">
      <w:pPr>
        <w:pStyle w:val="Bibliography"/>
      </w:pPr>
      <w:r w:rsidRPr="00D66B5D">
        <w:t xml:space="preserve">Knoop, H. H., Nel, M., Chen, S., Shankland, R., Zyl, L. E. V., &amp; Cole, M. (2022). </w:t>
      </w:r>
      <w:r w:rsidRPr="00D66B5D">
        <w:rPr>
          <w:i/>
          <w:iCs/>
        </w:rPr>
        <w:t>Positive Educational Approaches to Teaching Effectiveness and Student Well-being</w:t>
      </w:r>
      <w:r w:rsidRPr="00D66B5D">
        <w:t>. Frontiers Media SA.</w:t>
      </w:r>
    </w:p>
    <w:p w:rsidR="00C3182B" w:rsidRPr="00C3182B" w:rsidRDefault="00C3182B" w:rsidP="00C3182B">
      <w:pPr>
        <w:spacing w:line="276" w:lineRule="auto"/>
        <w:jc w:val="both"/>
        <w:rPr>
          <w:sz w:val="24"/>
          <w:szCs w:val="24"/>
        </w:rPr>
      </w:pPr>
      <w:r w:rsidRPr="00EC355F">
        <w:rPr>
          <w:sz w:val="24"/>
          <w:szCs w:val="24"/>
        </w:rPr>
        <w:fldChar w:fldCharType="end"/>
      </w:r>
    </w:p>
    <w:p w:rsidR="004C3D01" w:rsidRPr="0069023F" w:rsidRDefault="00C3182B" w:rsidP="004C3D01">
      <w:pPr>
        <w:pStyle w:val="NormalWeb"/>
        <w:spacing w:line="480" w:lineRule="auto"/>
        <w:jc w:val="both"/>
      </w:pPr>
      <w:r>
        <w:t xml:space="preserve"> </w:t>
      </w:r>
    </w:p>
    <w:sectPr w:rsidR="004C3D01" w:rsidRPr="006902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3171F6"/>
    <w:multiLevelType w:val="hybridMultilevel"/>
    <w:tmpl w:val="9D30D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C2MDc1NjMxMTA1NzJU0lEKTi0uzszPAykwrAUArCfTEiwAAAA="/>
  </w:docVars>
  <w:rsids>
    <w:rsidRoot w:val="001B3527"/>
    <w:rsid w:val="000645B8"/>
    <w:rsid w:val="000706BB"/>
    <w:rsid w:val="00117C32"/>
    <w:rsid w:val="001526DA"/>
    <w:rsid w:val="001B3527"/>
    <w:rsid w:val="002071B7"/>
    <w:rsid w:val="002815BA"/>
    <w:rsid w:val="002B3E0E"/>
    <w:rsid w:val="00363AB3"/>
    <w:rsid w:val="003A6D49"/>
    <w:rsid w:val="003C0F5B"/>
    <w:rsid w:val="004132E4"/>
    <w:rsid w:val="004A3548"/>
    <w:rsid w:val="004C3D01"/>
    <w:rsid w:val="004F5D67"/>
    <w:rsid w:val="00505E61"/>
    <w:rsid w:val="00541C33"/>
    <w:rsid w:val="0054331F"/>
    <w:rsid w:val="005D6643"/>
    <w:rsid w:val="005E7AFC"/>
    <w:rsid w:val="00616984"/>
    <w:rsid w:val="0069023F"/>
    <w:rsid w:val="007C2A3B"/>
    <w:rsid w:val="007D7219"/>
    <w:rsid w:val="007E2C30"/>
    <w:rsid w:val="00821CC0"/>
    <w:rsid w:val="008669F7"/>
    <w:rsid w:val="00893100"/>
    <w:rsid w:val="008F4FD6"/>
    <w:rsid w:val="009122DA"/>
    <w:rsid w:val="00972D63"/>
    <w:rsid w:val="00980DA4"/>
    <w:rsid w:val="009C12A4"/>
    <w:rsid w:val="009F1AA6"/>
    <w:rsid w:val="00A552D6"/>
    <w:rsid w:val="00AA69C0"/>
    <w:rsid w:val="00B045DA"/>
    <w:rsid w:val="00B3469B"/>
    <w:rsid w:val="00BA486A"/>
    <w:rsid w:val="00BD7EE0"/>
    <w:rsid w:val="00C22BF6"/>
    <w:rsid w:val="00C3182B"/>
    <w:rsid w:val="00CE6C3C"/>
    <w:rsid w:val="00D0630B"/>
    <w:rsid w:val="00D16464"/>
    <w:rsid w:val="00D227BC"/>
    <w:rsid w:val="00D66B5D"/>
    <w:rsid w:val="00E34471"/>
    <w:rsid w:val="00E9406C"/>
    <w:rsid w:val="00EC6DEE"/>
    <w:rsid w:val="00F8789B"/>
    <w:rsid w:val="00F97100"/>
    <w:rsid w:val="00FE2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05DB7"/>
  <w15:docId w15:val="{3102D4F7-108F-4D69-B2C5-2CC6BC1D8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B3527"/>
    <w:pPr>
      <w:widowControl w:val="0"/>
      <w:autoSpaceDE w:val="0"/>
      <w:autoSpaceDN w:val="0"/>
      <w:spacing w:after="0" w:line="240" w:lineRule="auto"/>
    </w:pPr>
    <w:rPr>
      <w:rFonts w:ascii="Times New Roman" w:eastAsia="Times New Roman" w:hAnsi="Times New Roman" w:cs="Times New Roman"/>
    </w:rPr>
  </w:style>
  <w:style w:type="paragraph" w:styleId="Heading2">
    <w:name w:val="heading 2"/>
    <w:basedOn w:val="Normal"/>
    <w:next w:val="Normal"/>
    <w:link w:val="Heading2Char"/>
    <w:uiPriority w:val="9"/>
    <w:semiHidden/>
    <w:unhideWhenUsed/>
    <w:qFormat/>
    <w:rsid w:val="00B346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E6C3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E6C3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B3527"/>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A552D6"/>
    <w:rPr>
      <w:b/>
      <w:bCs/>
    </w:rPr>
  </w:style>
  <w:style w:type="character" w:styleId="Emphasis">
    <w:name w:val="Emphasis"/>
    <w:basedOn w:val="DefaultParagraphFont"/>
    <w:uiPriority w:val="20"/>
    <w:qFormat/>
    <w:rsid w:val="00E34471"/>
    <w:rPr>
      <w:i/>
      <w:iCs/>
    </w:rPr>
  </w:style>
  <w:style w:type="character" w:customStyle="1" w:styleId="Heading3Char">
    <w:name w:val="Heading 3 Char"/>
    <w:basedOn w:val="DefaultParagraphFont"/>
    <w:link w:val="Heading3"/>
    <w:uiPriority w:val="9"/>
    <w:rsid w:val="00CE6C3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E6C3C"/>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semiHidden/>
    <w:rsid w:val="00B3469B"/>
    <w:rPr>
      <w:rFonts w:asciiTheme="majorHAnsi" w:eastAsiaTheme="majorEastAsia" w:hAnsiTheme="majorHAnsi" w:cstheme="majorBidi"/>
      <w:b/>
      <w:bCs/>
      <w:color w:val="4F81BD" w:themeColor="accent1"/>
      <w:sz w:val="26"/>
      <w:szCs w:val="26"/>
    </w:rPr>
  </w:style>
  <w:style w:type="paragraph" w:styleId="Bibliography">
    <w:name w:val="Bibliography"/>
    <w:basedOn w:val="Normal"/>
    <w:next w:val="Normal"/>
    <w:uiPriority w:val="37"/>
    <w:unhideWhenUsed/>
    <w:rsid w:val="00C3182B"/>
    <w:pPr>
      <w:spacing w:line="480" w:lineRule="auto"/>
      <w:ind w:left="720" w:hanging="720"/>
    </w:pPr>
  </w:style>
  <w:style w:type="table" w:styleId="TableGrid">
    <w:name w:val="Table Grid"/>
    <w:basedOn w:val="TableNormal"/>
    <w:uiPriority w:val="59"/>
    <w:rsid w:val="005D6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171211">
      <w:bodyDiv w:val="1"/>
      <w:marLeft w:val="0"/>
      <w:marRight w:val="0"/>
      <w:marTop w:val="0"/>
      <w:marBottom w:val="0"/>
      <w:divBdr>
        <w:top w:val="none" w:sz="0" w:space="0" w:color="auto"/>
        <w:left w:val="none" w:sz="0" w:space="0" w:color="auto"/>
        <w:bottom w:val="none" w:sz="0" w:space="0" w:color="auto"/>
        <w:right w:val="none" w:sz="0" w:space="0" w:color="auto"/>
      </w:divBdr>
    </w:div>
    <w:div w:id="216626563">
      <w:bodyDiv w:val="1"/>
      <w:marLeft w:val="0"/>
      <w:marRight w:val="0"/>
      <w:marTop w:val="0"/>
      <w:marBottom w:val="0"/>
      <w:divBdr>
        <w:top w:val="none" w:sz="0" w:space="0" w:color="auto"/>
        <w:left w:val="none" w:sz="0" w:space="0" w:color="auto"/>
        <w:bottom w:val="none" w:sz="0" w:space="0" w:color="auto"/>
        <w:right w:val="none" w:sz="0" w:space="0" w:color="auto"/>
      </w:divBdr>
    </w:div>
    <w:div w:id="247350414">
      <w:bodyDiv w:val="1"/>
      <w:marLeft w:val="0"/>
      <w:marRight w:val="0"/>
      <w:marTop w:val="0"/>
      <w:marBottom w:val="0"/>
      <w:divBdr>
        <w:top w:val="none" w:sz="0" w:space="0" w:color="auto"/>
        <w:left w:val="none" w:sz="0" w:space="0" w:color="auto"/>
        <w:bottom w:val="none" w:sz="0" w:space="0" w:color="auto"/>
        <w:right w:val="none" w:sz="0" w:space="0" w:color="auto"/>
      </w:divBdr>
    </w:div>
    <w:div w:id="682702929">
      <w:bodyDiv w:val="1"/>
      <w:marLeft w:val="0"/>
      <w:marRight w:val="0"/>
      <w:marTop w:val="0"/>
      <w:marBottom w:val="0"/>
      <w:divBdr>
        <w:top w:val="none" w:sz="0" w:space="0" w:color="auto"/>
        <w:left w:val="none" w:sz="0" w:space="0" w:color="auto"/>
        <w:bottom w:val="none" w:sz="0" w:space="0" w:color="auto"/>
        <w:right w:val="none" w:sz="0" w:space="0" w:color="auto"/>
      </w:divBdr>
    </w:div>
    <w:div w:id="782386962">
      <w:bodyDiv w:val="1"/>
      <w:marLeft w:val="0"/>
      <w:marRight w:val="0"/>
      <w:marTop w:val="0"/>
      <w:marBottom w:val="0"/>
      <w:divBdr>
        <w:top w:val="none" w:sz="0" w:space="0" w:color="auto"/>
        <w:left w:val="none" w:sz="0" w:space="0" w:color="auto"/>
        <w:bottom w:val="none" w:sz="0" w:space="0" w:color="auto"/>
        <w:right w:val="none" w:sz="0" w:space="0" w:color="auto"/>
      </w:divBdr>
    </w:div>
    <w:div w:id="828012105">
      <w:bodyDiv w:val="1"/>
      <w:marLeft w:val="0"/>
      <w:marRight w:val="0"/>
      <w:marTop w:val="0"/>
      <w:marBottom w:val="0"/>
      <w:divBdr>
        <w:top w:val="none" w:sz="0" w:space="0" w:color="auto"/>
        <w:left w:val="none" w:sz="0" w:space="0" w:color="auto"/>
        <w:bottom w:val="none" w:sz="0" w:space="0" w:color="auto"/>
        <w:right w:val="none" w:sz="0" w:space="0" w:color="auto"/>
      </w:divBdr>
    </w:div>
    <w:div w:id="902721005">
      <w:bodyDiv w:val="1"/>
      <w:marLeft w:val="0"/>
      <w:marRight w:val="0"/>
      <w:marTop w:val="0"/>
      <w:marBottom w:val="0"/>
      <w:divBdr>
        <w:top w:val="none" w:sz="0" w:space="0" w:color="auto"/>
        <w:left w:val="none" w:sz="0" w:space="0" w:color="auto"/>
        <w:bottom w:val="none" w:sz="0" w:space="0" w:color="auto"/>
        <w:right w:val="none" w:sz="0" w:space="0" w:color="auto"/>
      </w:divBdr>
    </w:div>
    <w:div w:id="1052728843">
      <w:bodyDiv w:val="1"/>
      <w:marLeft w:val="0"/>
      <w:marRight w:val="0"/>
      <w:marTop w:val="0"/>
      <w:marBottom w:val="0"/>
      <w:divBdr>
        <w:top w:val="none" w:sz="0" w:space="0" w:color="auto"/>
        <w:left w:val="none" w:sz="0" w:space="0" w:color="auto"/>
        <w:bottom w:val="none" w:sz="0" w:space="0" w:color="auto"/>
        <w:right w:val="none" w:sz="0" w:space="0" w:color="auto"/>
      </w:divBdr>
      <w:divsChild>
        <w:div w:id="1310404216">
          <w:marLeft w:val="0"/>
          <w:marRight w:val="0"/>
          <w:marTop w:val="0"/>
          <w:marBottom w:val="0"/>
          <w:divBdr>
            <w:top w:val="none" w:sz="0" w:space="0" w:color="auto"/>
            <w:left w:val="none" w:sz="0" w:space="0" w:color="auto"/>
            <w:bottom w:val="none" w:sz="0" w:space="0" w:color="auto"/>
            <w:right w:val="none" w:sz="0" w:space="0" w:color="auto"/>
          </w:divBdr>
          <w:divsChild>
            <w:div w:id="1454591193">
              <w:marLeft w:val="0"/>
              <w:marRight w:val="0"/>
              <w:marTop w:val="0"/>
              <w:marBottom w:val="0"/>
              <w:divBdr>
                <w:top w:val="none" w:sz="0" w:space="0" w:color="auto"/>
                <w:left w:val="none" w:sz="0" w:space="0" w:color="auto"/>
                <w:bottom w:val="none" w:sz="0" w:space="0" w:color="auto"/>
                <w:right w:val="none" w:sz="0" w:space="0" w:color="auto"/>
              </w:divBdr>
            </w:div>
          </w:divsChild>
        </w:div>
        <w:div w:id="2107965722">
          <w:marLeft w:val="0"/>
          <w:marRight w:val="0"/>
          <w:marTop w:val="0"/>
          <w:marBottom w:val="0"/>
          <w:divBdr>
            <w:top w:val="none" w:sz="0" w:space="0" w:color="auto"/>
            <w:left w:val="none" w:sz="0" w:space="0" w:color="auto"/>
            <w:bottom w:val="none" w:sz="0" w:space="0" w:color="auto"/>
            <w:right w:val="none" w:sz="0" w:space="0" w:color="auto"/>
          </w:divBdr>
          <w:divsChild>
            <w:div w:id="207882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24</Pages>
  <Words>7859</Words>
  <Characters>44798</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c:creator>
  <cp:lastModifiedBy>SDI PC New 16</cp:lastModifiedBy>
  <cp:revision>38</cp:revision>
  <dcterms:created xsi:type="dcterms:W3CDTF">2026-04-10T08:10:00Z</dcterms:created>
  <dcterms:modified xsi:type="dcterms:W3CDTF">2026-04-11T13:26:00Z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id="r0SRdYjK"/&gt;&lt;style id="http://www.zotero.org/styles/apa" locale="en-US" hasBibliography="1" bibliographyStyleHasBeenSet="1"/&gt;&lt;prefs&gt;&lt;pref name="fieldType" value="Field"/&gt;&lt;pref name="automaticJourna</vt:lpwstr>
  </property>
  <property fmtid="{D5CDD505-2E9C-101B-9397-08002B2CF9AE}" pid="3" name="ZOTERO_PREF_2">
    <vt:lpwstr>lAbbreviations" value="true"/&gt;&lt;/prefs&gt;&lt;/data&gt;</vt:lpwstr>
  </property>
</Properties>
</file>