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48BAE" w14:textId="77777777" w:rsidR="00B546DA" w:rsidRDefault="00B546DA">
      <w:pPr>
        <w:pStyle w:val="Title"/>
        <w:spacing w:after="0"/>
        <w:jc w:val="both"/>
        <w:rPr>
          <w:rFonts w:ascii="Arial" w:hAnsi="Arial" w:cs="Arial"/>
        </w:rPr>
      </w:pPr>
    </w:p>
    <w:p w14:paraId="1BDF42D8" w14:textId="77777777" w:rsidR="00B546DA" w:rsidRDefault="00976ABB">
      <w:pPr>
        <w:pStyle w:val="Author"/>
        <w:spacing w:line="240" w:lineRule="auto"/>
        <w:rPr>
          <w:rFonts w:ascii="Arial" w:hAnsi="Arial" w:cs="Arial"/>
          <w:bCs/>
          <w:iCs/>
          <w:kern w:val="28"/>
          <w:sz w:val="36"/>
        </w:rPr>
      </w:pPr>
      <w:r>
        <w:rPr>
          <w:rFonts w:ascii="Arial" w:hAnsi="Arial" w:cs="Arial"/>
          <w:bCs/>
          <w:iCs/>
          <w:kern w:val="28"/>
          <w:sz w:val="36"/>
        </w:rPr>
        <w:t xml:space="preserve">Digital and Intelligent Empowerment for </w:t>
      </w:r>
      <w:bookmarkStart w:id="0" w:name="_GoBack"/>
      <w:bookmarkEnd w:id="0"/>
      <w:r>
        <w:rPr>
          <w:rFonts w:ascii="Arial" w:hAnsi="Arial" w:cs="Arial"/>
          <w:bCs/>
          <w:iCs/>
          <w:kern w:val="28"/>
          <w:sz w:val="36"/>
        </w:rPr>
        <w:t xml:space="preserve">Precision Teaching: Paradigm Reconstruction of a "Process-oriented" Evaluation Model for Higher Mathematics Blended Teaching </w:t>
      </w:r>
    </w:p>
    <w:p w14:paraId="5F140786" w14:textId="77777777" w:rsidR="00B546DA" w:rsidRDefault="00B546DA">
      <w:pPr>
        <w:pStyle w:val="Author"/>
        <w:spacing w:line="240" w:lineRule="auto"/>
        <w:jc w:val="both"/>
        <w:rPr>
          <w:rFonts w:ascii="Arial" w:hAnsi="Arial" w:cs="Arial"/>
          <w:sz w:val="36"/>
        </w:rPr>
      </w:pPr>
    </w:p>
    <w:p w14:paraId="48C60B5D" w14:textId="77777777" w:rsidR="00B546DA" w:rsidRDefault="00B546DA">
      <w:pPr>
        <w:pStyle w:val="Affiliation"/>
        <w:spacing w:after="0" w:line="240" w:lineRule="auto"/>
        <w:jc w:val="both"/>
        <w:rPr>
          <w:rFonts w:ascii="Arial" w:hAnsi="Arial" w:cs="Arial"/>
        </w:rPr>
      </w:pPr>
    </w:p>
    <w:p w14:paraId="70AECA7F" w14:textId="77777777" w:rsidR="00B546DA" w:rsidRDefault="00B546DA">
      <w:pPr>
        <w:pStyle w:val="Affiliation"/>
        <w:spacing w:after="0" w:line="240" w:lineRule="auto"/>
        <w:jc w:val="both"/>
        <w:rPr>
          <w:rFonts w:ascii="Arial" w:hAnsi="Arial" w:cs="Arial"/>
        </w:rPr>
      </w:pPr>
    </w:p>
    <w:p w14:paraId="7C9B6790" w14:textId="77777777" w:rsidR="00B546DA" w:rsidRDefault="00976ABB">
      <w:pPr>
        <w:pStyle w:val="Copyright"/>
        <w:spacing w:after="0" w:line="240" w:lineRule="auto"/>
        <w:jc w:val="both"/>
        <w:rPr>
          <w:rFonts w:ascii="Arial" w:hAnsi="Arial" w:cs="Arial"/>
        </w:rPr>
        <w:sectPr w:rsidR="00B546DA" w:rsidSect="00EA5876">
          <w:headerReference w:type="even" r:id="rId10"/>
          <w:headerReference w:type="default" r:id="rId11"/>
          <w:headerReference w:type="first" r:id="rId12"/>
          <w:footerReference w:type="first" r:id="rId13"/>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E88FE78" wp14:editId="08971272">
                <wp:extent cx="5303520" cy="635"/>
                <wp:effectExtent l="17145" t="9525" r="13335" b="9525"/>
                <wp:docPr id="174760408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0kvKg0AAAAAIBAAAPAAAAAAAAAAEA&#10;IAAAACIAAABkcnMvZG93bnJldi54bWxQSwECFAAUAAAACACHTuJAsuJL2t4BAAC8AwAADgAAAAAA&#10;AAABACAAAAAfAQAAZHJzL2Uyb0RvYy54bWxQSwUGAAAAAAYABgBZAQAAbwUAAAAA&#10;">
                <v:fill on="f" focussize="0,0"/>
                <v:stroke weight="1.5pt" color="#000000" joinstyle="round"/>
                <v:imagedata o:title=""/>
                <o:lock v:ext="edit" aspectratio="f"/>
                <w10:wrap type="none"/>
                <w10:anchorlock/>
              </v:shape>
            </w:pict>
          </mc:Fallback>
        </mc:AlternateContent>
      </w:r>
      <w:r>
        <w:rPr>
          <w:rFonts w:ascii="Arial" w:hAnsi="Arial" w:cs="Arial"/>
        </w:rPr>
        <w:t>.</w:t>
      </w:r>
    </w:p>
    <w:p w14:paraId="70E10236" w14:textId="77777777" w:rsidR="00B546DA" w:rsidRDefault="00976ABB">
      <w:pPr>
        <w:pStyle w:val="AbstHead"/>
        <w:spacing w:after="0"/>
        <w:jc w:val="both"/>
        <w:rPr>
          <w:rFonts w:ascii="Arial" w:hAnsi="Arial" w:cs="Arial"/>
        </w:rPr>
      </w:pPr>
      <w:r>
        <w:rPr>
          <w:rFonts w:ascii="Arial" w:hAnsi="Arial" w:cs="Arial"/>
        </w:rPr>
        <w:t>ABSTRACT</w:t>
      </w:r>
    </w:p>
    <w:p w14:paraId="031EB80C" w14:textId="77777777" w:rsidR="00B546DA" w:rsidRDefault="00B546D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B546DA" w14:paraId="223323CB" w14:textId="77777777">
        <w:tc>
          <w:tcPr>
            <w:tcW w:w="9576" w:type="dxa"/>
            <w:shd w:val="clear" w:color="auto" w:fill="F2F2F2"/>
          </w:tcPr>
          <w:p w14:paraId="4C876386" w14:textId="77777777" w:rsidR="00B546DA" w:rsidRDefault="00976ABB">
            <w:pPr>
              <w:pStyle w:val="Body"/>
              <w:spacing w:after="0"/>
              <w:rPr>
                <w:rFonts w:ascii="Arial" w:eastAsia="Calibri" w:hAnsi="Arial" w:cs="Arial"/>
                <w:szCs w:val="22"/>
              </w:rPr>
            </w:pPr>
            <w:r>
              <w:rPr>
                <w:rFonts w:ascii="Arial" w:eastAsia="Calibri" w:hAnsi="Arial" w:cs="Arial"/>
                <w:b/>
                <w:szCs w:val="22"/>
              </w:rPr>
              <w:t xml:space="preserve">Aims: </w:t>
            </w:r>
            <w:r>
              <w:rPr>
                <w:rFonts w:ascii="Arial" w:eastAsia="Calibri" w:hAnsi="Arial" w:cs="Arial"/>
                <w:szCs w:val="22"/>
              </w:rPr>
              <w:t>To solve problems like strong subjectivity, unbalanced weights, and lagging evaluation dimensions in blended teaching of Higher Mathematics, and build a process-oriented comprehensive evaluation model empowered by digital intelligence for precision teaching.</w:t>
            </w:r>
          </w:p>
          <w:p w14:paraId="0101EA3F" w14:textId="77777777" w:rsidR="00B546DA" w:rsidRDefault="00976ABB">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Constructed an evaluation system and comprehensive evaluation model based on dual-drive logic of Delphi method and Analytic Hierarchy Process (AHP).</w:t>
            </w:r>
          </w:p>
          <w:p w14:paraId="41841FD8" w14:textId="77777777" w:rsidR="00B546DA" w:rsidRDefault="00976ABB">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Shenyang Normal University, School of Mathematics and Systems Science, between December </w:t>
            </w:r>
            <w:r>
              <w:rPr>
                <w:rFonts w:ascii="Arial" w:hAnsi="Arial" w:cs="Arial" w:hint="eastAsia"/>
                <w:szCs w:val="22"/>
                <w:lang w:eastAsia="zh-CN"/>
              </w:rPr>
              <w:t>2025</w:t>
            </w:r>
            <w:r>
              <w:rPr>
                <w:rFonts w:ascii="Arial" w:eastAsia="Calibri" w:hAnsi="Arial" w:cs="Arial"/>
                <w:szCs w:val="22"/>
              </w:rPr>
              <w:t xml:space="preserve"> and February </w:t>
            </w:r>
            <w:r>
              <w:rPr>
                <w:rFonts w:ascii="Arial" w:hAnsi="Arial" w:cs="Arial" w:hint="eastAsia"/>
                <w:szCs w:val="22"/>
                <w:lang w:eastAsia="zh-CN"/>
              </w:rPr>
              <w:t>2026</w:t>
            </w:r>
            <w:r>
              <w:rPr>
                <w:rFonts w:ascii="Arial" w:eastAsia="Calibri" w:hAnsi="Arial" w:cs="Arial"/>
                <w:szCs w:val="22"/>
              </w:rPr>
              <w:t>.</w:t>
            </w:r>
          </w:p>
          <w:p w14:paraId="04C67AB7" w14:textId="77777777" w:rsidR="00B546DA" w:rsidRDefault="00976ABB">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Established a 15-member interdisciplinary expert consultation pool; screened and optimized indicators through two rounds of Delphi surveys; used AHP to determine indicator weights and conduct consistency tests.</w:t>
            </w:r>
          </w:p>
          <w:p w14:paraId="4D5E63DF" w14:textId="77777777" w:rsidR="00B546DA" w:rsidRDefault="00976ABB">
            <w:pPr>
              <w:pStyle w:val="Body"/>
              <w:spacing w:after="0"/>
              <w:rPr>
                <w:rFonts w:ascii="Arial" w:eastAsia="Calibri" w:hAnsi="Arial" w:cs="Arial"/>
                <w:b/>
                <w:bCs/>
                <w:szCs w:val="22"/>
              </w:rPr>
            </w:pPr>
            <w:r>
              <w:rPr>
                <w:rFonts w:ascii="Arial" w:eastAsia="Calibri" w:hAnsi="Arial" w:cs="Arial"/>
                <w:b/>
                <w:bCs/>
                <w:szCs w:val="22"/>
              </w:rPr>
              <w:t>Results:</w:t>
            </w:r>
            <w:r>
              <w:rPr>
                <w:rFonts w:ascii="Arial" w:eastAsia="Calibri" w:hAnsi="Arial" w:cs="Arial"/>
                <w:szCs w:val="22"/>
              </w:rPr>
              <w:t xml:space="preserve"> The results of AHP weight determination and consistency tests indicate that the "Teaching Support" dimension holds a dominant position, among which "Automated Learning Early Warning and Intervention Response Efficiency" has the highest composite weight (0.112), emerging as a core variable driving precision teaching.</w:t>
            </w:r>
          </w:p>
          <w:p w14:paraId="392A2DFD" w14:textId="77777777" w:rsidR="00B546DA" w:rsidRDefault="00976ABB">
            <w:pPr>
              <w:pStyle w:val="Body"/>
              <w:spacing w:after="0"/>
              <w:rPr>
                <w:rFonts w:ascii="Arial" w:hAnsi="Arial" w:cs="Arial"/>
                <w:szCs w:val="22"/>
                <w:lang w:eastAsia="zh-CN"/>
              </w:rPr>
            </w:pPr>
            <w:r>
              <w:rPr>
                <w:rFonts w:ascii="Arial" w:eastAsia="Calibri" w:hAnsi="Arial" w:cs="Arial"/>
                <w:b/>
                <w:bCs/>
                <w:szCs w:val="22"/>
              </w:rPr>
              <w:t>Conclusion:</w:t>
            </w:r>
            <w:r>
              <w:rPr>
                <w:rFonts w:ascii="Arial" w:eastAsia="Calibri" w:hAnsi="Arial" w:cs="Arial"/>
                <w:szCs w:val="22"/>
              </w:rPr>
              <w:t xml:space="preserve"> The research demonstrates that the focus of evaluation has achieved a paradigm reconstruction from "end-product output" to "process intervention". This model provides decision-making support for the precise implementation of Higher Mathematics teaching reform and offers an operational framework for quality assessment in the digital transformation of higher education.</w:t>
            </w:r>
          </w:p>
        </w:tc>
      </w:tr>
    </w:tbl>
    <w:p w14:paraId="1EF0F744" w14:textId="77777777" w:rsidR="00B546DA" w:rsidRDefault="00B546DA">
      <w:pPr>
        <w:pStyle w:val="Body"/>
        <w:spacing w:after="0"/>
        <w:rPr>
          <w:rFonts w:ascii="Arial" w:hAnsi="Arial" w:cs="Arial"/>
          <w:i/>
        </w:rPr>
      </w:pPr>
    </w:p>
    <w:p w14:paraId="1D4AC159" w14:textId="77777777" w:rsidR="00B546DA" w:rsidRDefault="00976ABB">
      <w:pPr>
        <w:pStyle w:val="Body"/>
        <w:spacing w:after="0"/>
        <w:rPr>
          <w:rFonts w:ascii="Arial" w:hAnsi="Arial" w:cs="Arial"/>
          <w:i/>
          <w:lang w:eastAsia="zh-CN"/>
        </w:rPr>
      </w:pPr>
      <w:r>
        <w:rPr>
          <w:rFonts w:ascii="Arial" w:hAnsi="Arial" w:cs="Arial"/>
          <w:i/>
        </w:rPr>
        <w:t>Keywords: Higher Mathematics; blended teaching; digital and intelligent empowerment; process-oriented; evaluation model</w:t>
      </w:r>
      <w:r>
        <w:rPr>
          <w:rFonts w:ascii="Arial" w:hAnsi="Arial" w:cs="Arial" w:hint="eastAsia"/>
          <w:i/>
          <w:lang w:eastAsia="zh-CN"/>
        </w:rPr>
        <w:t>.</w:t>
      </w:r>
    </w:p>
    <w:p w14:paraId="57E83E69" w14:textId="77777777" w:rsidR="00B546DA" w:rsidRDefault="00B546DA">
      <w:pPr>
        <w:pStyle w:val="Body"/>
        <w:spacing w:after="0"/>
        <w:rPr>
          <w:rFonts w:ascii="Arial" w:hAnsi="Arial" w:cs="Arial"/>
          <w:i/>
          <w:lang w:eastAsia="zh-CN"/>
        </w:rPr>
      </w:pPr>
    </w:p>
    <w:p w14:paraId="03AF1C23" w14:textId="77777777" w:rsidR="00B546DA" w:rsidRDefault="00976ABB">
      <w:pPr>
        <w:pStyle w:val="AbstHead"/>
        <w:spacing w:after="0"/>
        <w:jc w:val="both"/>
        <w:rPr>
          <w:rFonts w:ascii="Arial" w:hAnsi="Arial" w:cs="Arial"/>
        </w:rPr>
      </w:pPr>
      <w:r>
        <w:rPr>
          <w:rFonts w:ascii="Arial" w:hAnsi="Arial" w:cs="Arial"/>
        </w:rPr>
        <w:t>1. INTRODUCTION</w:t>
      </w:r>
    </w:p>
    <w:p w14:paraId="6FD723F5" w14:textId="77777777" w:rsidR="00B546DA" w:rsidRDefault="00B546DA">
      <w:pPr>
        <w:pStyle w:val="Body"/>
        <w:spacing w:after="0"/>
        <w:rPr>
          <w:rFonts w:ascii="Arial" w:hAnsi="Arial" w:cs="Arial"/>
        </w:rPr>
      </w:pPr>
    </w:p>
    <w:p w14:paraId="2B8B6584" w14:textId="190FFA70" w:rsidR="00B546DA" w:rsidRDefault="00976ABB">
      <w:pPr>
        <w:pStyle w:val="Body"/>
        <w:spacing w:after="0"/>
        <w:rPr>
          <w:rFonts w:ascii="Arial" w:hAnsi="Arial" w:cs="Arial"/>
        </w:rPr>
      </w:pPr>
      <w:r w:rsidRPr="00FA423A">
        <w:rPr>
          <w:rFonts w:ascii="Arial" w:hAnsi="Arial" w:cs="Arial"/>
          <w:color w:val="EE0000"/>
        </w:rPr>
        <w:t>The "Opinions of the Ministry of Education</w:t>
      </w:r>
      <w:r w:rsidR="00FA423A" w:rsidRPr="00FA423A">
        <w:rPr>
          <w:rFonts w:ascii="Arial" w:hAnsi="Arial" w:cs="Arial" w:hint="eastAsia"/>
          <w:color w:val="EE0000"/>
          <w:lang w:eastAsia="zh-CN"/>
        </w:rPr>
        <w:t xml:space="preserve"> </w:t>
      </w:r>
      <w:r w:rsidR="00FA423A" w:rsidRPr="00FA423A">
        <w:rPr>
          <w:rFonts w:ascii="Arial" w:hAnsi="Arial" w:cs="Arial"/>
          <w:color w:val="EE0000"/>
          <w:lang w:eastAsia="zh-CN"/>
        </w:rPr>
        <w:t>of China</w:t>
      </w:r>
      <w:r w:rsidRPr="00FA423A">
        <w:rPr>
          <w:rFonts w:ascii="Arial" w:hAnsi="Arial" w:cs="Arial"/>
          <w:color w:val="EE0000"/>
        </w:rPr>
        <w:t xml:space="preserve"> on Implementing the Excellent Teacher Training Program 2.0" clearly states that new teaching models such as flipped classrooms and blended learning should be promoted, forming an autonomous, cooperative, and exploratory learning model that organically combines and deeply integrates online and offline teaching</w:t>
      </w:r>
      <w:r w:rsidR="00FA423A" w:rsidRPr="00FA423A">
        <w:rPr>
          <w:rFonts w:ascii="Arial" w:hAnsi="Arial" w:cs="Arial" w:hint="eastAsia"/>
          <w:color w:val="EE0000"/>
          <w:lang w:eastAsia="zh-CN"/>
        </w:rPr>
        <w:t xml:space="preserve"> (</w:t>
      </w:r>
      <w:r w:rsidR="00FA423A" w:rsidRPr="00FA423A">
        <w:rPr>
          <w:rFonts w:ascii="Arial" w:hAnsi="Arial" w:cs="Arial"/>
          <w:color w:val="EE0000"/>
          <w:lang w:eastAsia="zh-CN"/>
        </w:rPr>
        <w:t>Ministry of Education of China</w:t>
      </w:r>
      <w:r w:rsidR="00FA423A" w:rsidRPr="00FA423A">
        <w:rPr>
          <w:rFonts w:ascii="Arial" w:hAnsi="Arial" w:cs="Arial" w:hint="eastAsia"/>
          <w:color w:val="EE0000"/>
          <w:lang w:eastAsia="zh-CN"/>
        </w:rPr>
        <w:t>, 2018)</w:t>
      </w:r>
      <w:r w:rsidRPr="00FA423A">
        <w:rPr>
          <w:rFonts w:ascii="Arial" w:hAnsi="Arial" w:cs="Arial"/>
          <w:color w:val="EE0000"/>
        </w:rPr>
        <w:t>.</w:t>
      </w:r>
      <w:r>
        <w:rPr>
          <w:rFonts w:ascii="Arial" w:hAnsi="Arial" w:cs="Arial"/>
        </w:rPr>
        <w:t xml:space="preserve"> With the comprehensive and in-depth advancement of the education digitalization strategy, blended learning, as a teaching model that integrates the advantages of traditional and online teaching, has been widely applied in higher education. As a core basic course in universities, advanced mathematics, with its rigorous teaching logic and continuous knowledge system, makes it difficult for traditional classrooms to meet the personalized learning needs of students with different professional backgrounds and mathematical foundations</w:t>
      </w:r>
      <w:r w:rsidR="009F7D94">
        <w:rPr>
          <w:rFonts w:ascii="Arial" w:hAnsi="Arial" w:cs="Arial" w:hint="eastAsia"/>
          <w:lang w:eastAsia="zh-CN"/>
        </w:rPr>
        <w:t xml:space="preserve"> (</w:t>
      </w:r>
      <w:r w:rsidR="009F7D94" w:rsidRPr="009F7D94">
        <w:rPr>
          <w:rFonts w:ascii="Arial" w:hAnsi="Arial" w:cs="Arial" w:hint="eastAsia"/>
          <w:color w:val="EE0000"/>
          <w:lang w:eastAsia="zh-CN"/>
        </w:rPr>
        <w:t>Tong et al., 2023</w:t>
      </w:r>
      <w:r w:rsidR="009F7D94">
        <w:rPr>
          <w:rFonts w:ascii="Arial" w:hAnsi="Arial" w:cs="Arial" w:hint="eastAsia"/>
          <w:color w:val="EE0000"/>
          <w:lang w:eastAsia="zh-CN"/>
        </w:rPr>
        <w:t xml:space="preserve">; </w:t>
      </w:r>
      <w:r w:rsidR="009F7D94" w:rsidRPr="009F7D94">
        <w:rPr>
          <w:color w:val="EE0000"/>
          <w:lang w:eastAsia="zh-CN"/>
        </w:rPr>
        <w:t>Phong</w:t>
      </w:r>
      <w:r w:rsidR="009F7D94">
        <w:rPr>
          <w:rFonts w:hint="eastAsia"/>
          <w:color w:val="EE0000"/>
          <w:lang w:eastAsia="zh-CN"/>
        </w:rPr>
        <w:t xml:space="preserve"> et al., 2025</w:t>
      </w:r>
      <w:r w:rsidR="009F7D94">
        <w:rPr>
          <w:rFonts w:ascii="Arial" w:hAnsi="Arial" w:cs="Arial" w:hint="eastAsia"/>
          <w:lang w:eastAsia="zh-CN"/>
        </w:rPr>
        <w:t>)</w:t>
      </w:r>
      <w:r>
        <w:rPr>
          <w:rFonts w:ascii="Arial" w:hAnsi="Arial" w:cs="Arial"/>
        </w:rPr>
        <w:t>.</w:t>
      </w:r>
    </w:p>
    <w:p w14:paraId="1DC24801" w14:textId="77777777" w:rsidR="00B546DA" w:rsidRDefault="00B546DA">
      <w:pPr>
        <w:pStyle w:val="Body"/>
        <w:spacing w:after="0"/>
        <w:rPr>
          <w:rFonts w:ascii="Arial" w:hAnsi="Arial" w:cs="Arial"/>
        </w:rPr>
      </w:pPr>
    </w:p>
    <w:p w14:paraId="41511A0B" w14:textId="048B0291" w:rsidR="00B546DA" w:rsidRDefault="00976ABB">
      <w:pPr>
        <w:pStyle w:val="Body"/>
        <w:spacing w:after="0"/>
        <w:rPr>
          <w:rFonts w:ascii="Arial" w:hAnsi="Arial" w:cs="Arial"/>
        </w:rPr>
      </w:pPr>
      <w:r>
        <w:rPr>
          <w:rFonts w:ascii="Arial" w:hAnsi="Arial" w:cs="Arial"/>
        </w:rPr>
        <w:t xml:space="preserve">In recent years, many universities have begun to introduce blended learning models into the teaching practice of advanced mathematics </w:t>
      </w:r>
      <w:r>
        <w:rPr>
          <w:rFonts w:ascii="Arial" w:hAnsi="Arial" w:cs="Arial" w:hint="eastAsia"/>
          <w:lang w:eastAsia="zh-CN"/>
        </w:rPr>
        <w:t>(</w:t>
      </w:r>
      <w:r w:rsidR="002C2973" w:rsidRPr="00FA423A">
        <w:rPr>
          <w:rFonts w:ascii="Arial" w:hAnsi="Arial" w:cs="Arial"/>
          <w:color w:val="EE0000"/>
          <w:lang w:eastAsia="zh-CN"/>
        </w:rPr>
        <w:t>Tytler</w:t>
      </w:r>
      <w:r w:rsidR="002C2973" w:rsidRPr="00FA423A">
        <w:rPr>
          <w:rFonts w:ascii="Arial" w:hAnsi="Arial" w:cs="Arial" w:hint="eastAsia"/>
          <w:color w:val="EE0000"/>
          <w:lang w:eastAsia="zh-CN"/>
        </w:rPr>
        <w:t xml:space="preserve"> et al., 2023</w:t>
      </w:r>
      <w:r w:rsidR="002C2973">
        <w:rPr>
          <w:rFonts w:ascii="Arial" w:hAnsi="Arial" w:cs="Arial" w:hint="eastAsia"/>
          <w:color w:val="EE0000"/>
          <w:lang w:eastAsia="zh-CN"/>
        </w:rPr>
        <w:t xml:space="preserve">; </w:t>
      </w:r>
      <w:r>
        <w:rPr>
          <w:rFonts w:ascii="Arial" w:hAnsi="Arial" w:cs="Arial" w:hint="eastAsia"/>
          <w:lang w:eastAsia="zh-CN"/>
        </w:rPr>
        <w:t>Cui, 2026; Yang, 2026)</w:t>
      </w:r>
      <w:r>
        <w:rPr>
          <w:rFonts w:ascii="Arial" w:hAnsi="Arial" w:cs="Arial"/>
        </w:rPr>
        <w:t xml:space="preserve">. Through the integration of teaching spaces, teaching times, teaching methods, and teaching evaluations </w:t>
      </w:r>
      <w:r>
        <w:rPr>
          <w:rFonts w:ascii="Arial" w:hAnsi="Arial" w:cs="Arial" w:hint="eastAsia"/>
          <w:lang w:eastAsia="zh-CN"/>
        </w:rPr>
        <w:t>(</w:t>
      </w:r>
      <w:r w:rsidR="002C2973" w:rsidRPr="002C2973">
        <w:rPr>
          <w:rFonts w:ascii="Arial" w:hAnsi="Arial" w:cs="Arial" w:hint="eastAsia"/>
          <w:color w:val="EE0000"/>
          <w:lang w:eastAsia="zh-CN"/>
        </w:rPr>
        <w:t>Wang et al.</w:t>
      </w:r>
      <w:r w:rsidRPr="002C2973">
        <w:rPr>
          <w:rFonts w:ascii="Arial" w:hAnsi="Arial" w:cs="Arial" w:hint="eastAsia"/>
          <w:color w:val="EE0000"/>
          <w:lang w:eastAsia="zh-CN"/>
        </w:rPr>
        <w:t>, 202</w:t>
      </w:r>
      <w:r w:rsidR="002C2973" w:rsidRPr="002C2973">
        <w:rPr>
          <w:rFonts w:ascii="Arial" w:hAnsi="Arial" w:cs="Arial" w:hint="eastAsia"/>
          <w:color w:val="EE0000"/>
          <w:lang w:eastAsia="zh-CN"/>
        </w:rPr>
        <w:t>5</w:t>
      </w:r>
      <w:r>
        <w:rPr>
          <w:rFonts w:ascii="Arial" w:hAnsi="Arial" w:cs="Arial" w:hint="eastAsia"/>
          <w:lang w:eastAsia="zh-CN"/>
        </w:rPr>
        <w:t>)</w:t>
      </w:r>
      <w:r>
        <w:rPr>
          <w:rFonts w:ascii="Arial" w:hAnsi="Arial" w:cs="Arial"/>
        </w:rPr>
        <w:t xml:space="preserve">, a complete process of pre-class autonomous preview, in-class deep exploration, and post-class precise review has been reshaped, achieving remarkable results in creating learning environments, improving academic performance and pass rates, enhancing student satisfaction, and increasing teaching efficiency </w:t>
      </w:r>
      <w:r>
        <w:rPr>
          <w:rFonts w:ascii="Arial" w:hAnsi="Arial" w:cs="Arial" w:hint="eastAsia"/>
          <w:lang w:eastAsia="zh-CN"/>
        </w:rPr>
        <w:t>(</w:t>
      </w:r>
      <w:r>
        <w:rPr>
          <w:lang w:eastAsia="zh-CN"/>
        </w:rPr>
        <w:t>Srivastav</w:t>
      </w:r>
      <w:r>
        <w:rPr>
          <w:rFonts w:hint="eastAsia"/>
          <w:lang w:eastAsia="zh-CN"/>
        </w:rPr>
        <w:t xml:space="preserve">a &amp; </w:t>
      </w:r>
      <w:r>
        <w:rPr>
          <w:lang w:eastAsia="zh-CN"/>
        </w:rPr>
        <w:t>Scott</w:t>
      </w:r>
      <w:r>
        <w:rPr>
          <w:rFonts w:hint="eastAsia"/>
          <w:lang w:eastAsia="zh-CN"/>
        </w:rPr>
        <w:t xml:space="preserve">, 2026; </w:t>
      </w:r>
      <w:r>
        <w:rPr>
          <w:lang w:eastAsia="zh-CN"/>
        </w:rPr>
        <w:t>Bowles</w:t>
      </w:r>
      <w:r>
        <w:rPr>
          <w:rFonts w:hint="eastAsia"/>
          <w:lang w:eastAsia="zh-CN"/>
        </w:rPr>
        <w:t xml:space="preserve"> et al., 2025</w:t>
      </w:r>
      <w:r>
        <w:rPr>
          <w:rFonts w:ascii="Arial" w:hAnsi="Arial" w:cs="Arial" w:hint="eastAsia"/>
          <w:lang w:eastAsia="zh-CN"/>
        </w:rPr>
        <w:t>)</w:t>
      </w:r>
      <w:r>
        <w:rPr>
          <w:rFonts w:ascii="Arial" w:hAnsi="Arial" w:cs="Arial"/>
        </w:rPr>
        <w:t xml:space="preserve">. However, at the same time, problems such as ambiguous evaluation standards for blended learning and a mismatch between evaluation standards and teaching models have become prominent </w:t>
      </w:r>
      <w:r>
        <w:rPr>
          <w:rFonts w:ascii="Arial" w:hAnsi="Arial" w:cs="Arial" w:hint="eastAsia"/>
          <w:lang w:eastAsia="zh-CN"/>
        </w:rPr>
        <w:t>(</w:t>
      </w:r>
      <w:r w:rsidR="0079234B" w:rsidRPr="0079234B">
        <w:rPr>
          <w:rFonts w:ascii="Arial" w:hAnsi="Arial" w:cs="Arial"/>
          <w:color w:val="EE0000"/>
          <w:lang w:eastAsia="zh-CN"/>
        </w:rPr>
        <w:t>Zerihun</w:t>
      </w:r>
      <w:r w:rsidR="0079234B" w:rsidRPr="0079234B">
        <w:rPr>
          <w:rFonts w:ascii="Arial" w:hAnsi="Arial" w:cs="Arial" w:hint="eastAsia"/>
          <w:color w:val="EE0000"/>
          <w:lang w:eastAsia="zh-CN"/>
        </w:rPr>
        <w:t xml:space="preserve"> </w:t>
      </w:r>
      <w:r w:rsidR="0079234B" w:rsidRPr="0079234B">
        <w:rPr>
          <w:rFonts w:ascii="Arial" w:hAnsi="Arial" w:cs="Arial"/>
          <w:color w:val="EE0000"/>
          <w:lang w:eastAsia="zh-CN"/>
        </w:rPr>
        <w:t>&amp; Mabaso</w:t>
      </w:r>
      <w:r w:rsidR="0079234B" w:rsidRPr="0079234B">
        <w:rPr>
          <w:rFonts w:ascii="Arial" w:hAnsi="Arial" w:cs="Arial" w:hint="eastAsia"/>
          <w:color w:val="EE0000"/>
          <w:lang w:eastAsia="zh-CN"/>
        </w:rPr>
        <w:t>, 2025</w:t>
      </w:r>
      <w:r>
        <w:rPr>
          <w:rFonts w:ascii="Arial" w:hAnsi="Arial" w:cs="Arial" w:hint="eastAsia"/>
          <w:lang w:eastAsia="zh-CN"/>
        </w:rPr>
        <w:t xml:space="preserve">; </w:t>
      </w:r>
      <w:r w:rsidR="003D12CD" w:rsidRPr="003D12CD">
        <w:rPr>
          <w:rFonts w:ascii="Arial" w:hAnsi="Arial" w:cs="Arial"/>
          <w:color w:val="EE0000"/>
          <w:lang w:eastAsia="zh-CN"/>
        </w:rPr>
        <w:t>Price &amp; Winchester</w:t>
      </w:r>
      <w:r w:rsidR="003D12CD" w:rsidRPr="003D12CD">
        <w:rPr>
          <w:rFonts w:ascii="Arial" w:hAnsi="Arial" w:cs="Arial" w:hint="eastAsia"/>
          <w:color w:val="EE0000"/>
          <w:lang w:eastAsia="zh-CN"/>
        </w:rPr>
        <w:t>,</w:t>
      </w:r>
      <w:r w:rsidR="003D12CD" w:rsidRPr="003D12CD">
        <w:rPr>
          <w:rFonts w:ascii="Arial" w:hAnsi="Arial" w:cs="Arial"/>
          <w:color w:val="EE0000"/>
          <w:lang w:eastAsia="zh-CN"/>
        </w:rPr>
        <w:t xml:space="preserve"> 2025</w:t>
      </w:r>
      <w:r>
        <w:rPr>
          <w:rFonts w:ascii="Arial" w:hAnsi="Arial" w:cs="Arial" w:hint="eastAsia"/>
          <w:lang w:eastAsia="zh-CN"/>
        </w:rPr>
        <w:t>)</w:t>
      </w:r>
      <w:r>
        <w:rPr>
          <w:rFonts w:ascii="Arial" w:hAnsi="Arial" w:cs="Arial"/>
        </w:rPr>
        <w:t xml:space="preserve">. How to evaluate the effectiveness of blended learning and construct a scientific, standardized, and operational evaluation model for blended learning is not only a practical need for improving teaching quality but also a key link in deepening course teaching reform and implementing the requirements of the education digitalization strategy. Currently, research on the evaluation of blended learning mostly focuses on the construction of general indicator systems </w:t>
      </w:r>
      <w:r>
        <w:rPr>
          <w:rFonts w:ascii="Arial" w:hAnsi="Arial" w:cs="Arial" w:hint="eastAsia"/>
          <w:lang w:eastAsia="zh-CN"/>
        </w:rPr>
        <w:t>(Gong et al., 2025;</w:t>
      </w:r>
      <w:r w:rsidRPr="008377A8">
        <w:rPr>
          <w:rFonts w:ascii="Arial" w:hAnsi="Arial" w:cs="Arial" w:hint="eastAsia"/>
          <w:color w:val="EE0000"/>
          <w:lang w:eastAsia="zh-CN"/>
        </w:rPr>
        <w:t xml:space="preserve"> </w:t>
      </w:r>
      <w:r w:rsidR="008377A8" w:rsidRPr="008377A8">
        <w:rPr>
          <w:rFonts w:ascii="Arial" w:hAnsi="Arial" w:cs="Arial" w:hint="eastAsia"/>
          <w:color w:val="EE0000"/>
          <w:lang w:eastAsia="zh-CN"/>
        </w:rPr>
        <w:t>Li</w:t>
      </w:r>
      <w:r w:rsidRPr="008377A8">
        <w:rPr>
          <w:rFonts w:ascii="Arial" w:hAnsi="Arial" w:cs="Arial" w:hint="eastAsia"/>
          <w:color w:val="EE0000"/>
          <w:lang w:eastAsia="zh-CN"/>
        </w:rPr>
        <w:t xml:space="preserve"> et al., 2025</w:t>
      </w:r>
      <w:r>
        <w:rPr>
          <w:rFonts w:ascii="Arial" w:hAnsi="Arial" w:cs="Arial" w:hint="eastAsia"/>
          <w:lang w:eastAsia="zh-CN"/>
        </w:rPr>
        <w:t>)</w:t>
      </w:r>
      <w:r>
        <w:rPr>
          <w:rFonts w:ascii="Arial" w:hAnsi="Arial" w:cs="Arial"/>
        </w:rPr>
        <w:t>, while targeted research for the discipline of advanced mathematics is still relatively weak</w:t>
      </w:r>
      <w:r w:rsidR="003D12CD">
        <w:rPr>
          <w:rFonts w:ascii="Arial" w:hAnsi="Arial" w:cs="Arial" w:hint="eastAsia"/>
          <w:lang w:eastAsia="zh-CN"/>
        </w:rPr>
        <w:t>.</w:t>
      </w:r>
      <w:r w:rsidR="00FA423A">
        <w:rPr>
          <w:rFonts w:ascii="Arial" w:hAnsi="Arial" w:cs="Arial" w:hint="eastAsia"/>
          <w:lang w:eastAsia="zh-CN"/>
        </w:rPr>
        <w:t xml:space="preserve"> </w:t>
      </w:r>
    </w:p>
    <w:p w14:paraId="5F60DD01" w14:textId="77777777" w:rsidR="00B546DA" w:rsidRDefault="00B546DA">
      <w:pPr>
        <w:pStyle w:val="Body"/>
        <w:spacing w:after="0"/>
        <w:rPr>
          <w:rFonts w:ascii="Arial" w:hAnsi="Arial" w:cs="Arial"/>
        </w:rPr>
      </w:pPr>
    </w:p>
    <w:p w14:paraId="220B545E" w14:textId="29089CC6" w:rsidR="00B546DA" w:rsidRPr="00C63B2D" w:rsidRDefault="00C63B2D">
      <w:pPr>
        <w:pStyle w:val="Body"/>
        <w:spacing w:after="0"/>
        <w:rPr>
          <w:rFonts w:ascii="Arial" w:hAnsi="Arial" w:cs="Arial"/>
          <w:color w:val="EE0000"/>
        </w:rPr>
      </w:pPr>
      <w:r w:rsidRPr="00C63B2D">
        <w:rPr>
          <w:rFonts w:ascii="Arial" w:hAnsi="Arial" w:cs="Arial"/>
          <w:color w:val="EE0000"/>
        </w:rPr>
        <w:t>Based on the perspective of precise teaching empowered by digital intelligence, this study adopts the Delphi method and the Analytic Hierarchy Process</w:t>
      </w:r>
      <w:r>
        <w:rPr>
          <w:rFonts w:ascii="Arial" w:hAnsi="Arial" w:cs="Arial" w:hint="eastAsia"/>
          <w:color w:val="EE0000"/>
          <w:lang w:eastAsia="zh-CN"/>
        </w:rPr>
        <w:t xml:space="preserve"> (AHP)</w:t>
      </w:r>
      <w:r w:rsidRPr="00C63B2D">
        <w:rPr>
          <w:rFonts w:ascii="Arial" w:hAnsi="Arial" w:cs="Arial"/>
          <w:color w:val="EE0000"/>
        </w:rPr>
        <w:t xml:space="preserve"> (</w:t>
      </w:r>
      <w:r w:rsidR="003A3C78">
        <w:rPr>
          <w:rFonts w:ascii="Arial" w:hAnsi="Arial" w:cs="Arial" w:hint="eastAsia"/>
          <w:color w:val="EE0000"/>
          <w:lang w:eastAsia="zh-CN"/>
        </w:rPr>
        <w:t xml:space="preserve">Li &amp; Gu, 2023; </w:t>
      </w:r>
      <w:r w:rsidRPr="00C63B2D">
        <w:rPr>
          <w:rFonts w:ascii="Arial" w:hAnsi="Arial" w:cs="Arial"/>
          <w:color w:val="EE0000"/>
        </w:rPr>
        <w:t>Xu, 202</w:t>
      </w:r>
      <w:r w:rsidR="003A3C78">
        <w:rPr>
          <w:rFonts w:ascii="Arial" w:hAnsi="Arial" w:cs="Arial" w:hint="eastAsia"/>
          <w:color w:val="EE0000"/>
          <w:lang w:eastAsia="zh-CN"/>
        </w:rPr>
        <w:t>4</w:t>
      </w:r>
      <w:r w:rsidRPr="00C63B2D">
        <w:rPr>
          <w:rFonts w:ascii="Arial" w:hAnsi="Arial" w:cs="Arial"/>
          <w:color w:val="EE0000"/>
        </w:rPr>
        <w:t>), following the research path of "initial indicator proposal - screening and optimization - weight quantification", to construct a process-oriented evaluation model suitable for blended learning in advanced mathematics. The aim is to provide a scientific basis and theoretical reference for the precise evaluation and reform practice of blended learning in advanced mathematics</w:t>
      </w:r>
      <w:r w:rsidR="00976ABB" w:rsidRPr="00C63B2D">
        <w:rPr>
          <w:rFonts w:ascii="Arial" w:hAnsi="Arial" w:cs="Arial"/>
          <w:color w:val="EE0000"/>
        </w:rPr>
        <w:t>.</w:t>
      </w:r>
    </w:p>
    <w:p w14:paraId="27B06E4B" w14:textId="77777777" w:rsidR="00B546DA" w:rsidRDefault="00B546DA">
      <w:pPr>
        <w:pStyle w:val="Body"/>
        <w:spacing w:after="0"/>
        <w:rPr>
          <w:rFonts w:ascii="Arial" w:hAnsi="Arial" w:cs="Arial"/>
        </w:rPr>
      </w:pPr>
    </w:p>
    <w:p w14:paraId="36840C69" w14:textId="77777777" w:rsidR="00B546DA" w:rsidRDefault="00976ABB">
      <w:pPr>
        <w:pStyle w:val="AbstHead"/>
        <w:spacing w:after="0"/>
        <w:jc w:val="both"/>
        <w:rPr>
          <w:rFonts w:ascii="Arial" w:hAnsi="Arial" w:cs="Arial"/>
        </w:rPr>
      </w:pPr>
      <w:r>
        <w:rPr>
          <w:rFonts w:ascii="Arial" w:hAnsi="Arial" w:cs="Arial"/>
        </w:rPr>
        <w:t>2.</w:t>
      </w:r>
      <w:r>
        <w:rPr>
          <w:rFonts w:ascii="Arial" w:hAnsi="Arial" w:cs="Arial" w:hint="eastAsia"/>
          <w:lang w:eastAsia="zh-CN"/>
        </w:rPr>
        <w:t xml:space="preserve"> </w:t>
      </w:r>
      <w:r>
        <w:rPr>
          <w:rFonts w:ascii="Arial" w:hAnsi="Arial" w:cs="Arial"/>
        </w:rPr>
        <w:t>methodology</w:t>
      </w:r>
    </w:p>
    <w:p w14:paraId="02DCF7D5" w14:textId="77777777" w:rsidR="00B546DA" w:rsidRDefault="00B546DA">
      <w:pPr>
        <w:pStyle w:val="Body"/>
        <w:spacing w:after="0"/>
        <w:rPr>
          <w:rFonts w:ascii="Arial" w:hAnsi="Arial" w:cs="Arial"/>
        </w:rPr>
      </w:pPr>
    </w:p>
    <w:p w14:paraId="721C5821" w14:textId="77777777" w:rsidR="00B546DA" w:rsidRDefault="00976ABB">
      <w:pPr>
        <w:pStyle w:val="Body"/>
        <w:spacing w:after="0"/>
        <w:rPr>
          <w:rFonts w:ascii="Arial" w:hAnsi="Arial" w:cs="Arial"/>
        </w:rPr>
      </w:pPr>
      <w:r>
        <w:rPr>
          <w:rFonts w:ascii="Arial" w:hAnsi="Arial" w:cs="Arial"/>
        </w:rPr>
        <w:t>To construct a robust and scientifically valid evaluation model, this research utilizes a dual-drive methodological framework combining the Delphi method and the</w:t>
      </w:r>
      <w:r>
        <w:rPr>
          <w:rFonts w:ascii="Arial" w:hAnsi="Arial" w:cs="Arial" w:hint="eastAsia"/>
          <w:lang w:eastAsia="zh-CN"/>
        </w:rPr>
        <w:t xml:space="preserve"> </w:t>
      </w:r>
      <w:r>
        <w:rPr>
          <w:rFonts w:ascii="Arial" w:hAnsi="Arial" w:cs="Arial"/>
        </w:rPr>
        <w:t>AHP. The integration of these two methods allows for the synthesis of expert qualitative judgment with rigorous quantitative weight determination, ensuring both the authority and the logical consistency of the resulting indicator system.</w:t>
      </w:r>
    </w:p>
    <w:p w14:paraId="446DDB35" w14:textId="77777777" w:rsidR="00B546DA" w:rsidRDefault="00B546DA">
      <w:pPr>
        <w:pStyle w:val="Body"/>
        <w:spacing w:after="0"/>
        <w:rPr>
          <w:rFonts w:ascii="Arial" w:hAnsi="Arial" w:cs="Arial"/>
        </w:rPr>
      </w:pPr>
    </w:p>
    <w:p w14:paraId="457F5C57" w14:textId="77777777" w:rsidR="00B546DA" w:rsidRDefault="00976ABB">
      <w:pPr>
        <w:pStyle w:val="Body"/>
        <w:spacing w:after="0"/>
        <w:rPr>
          <w:rFonts w:ascii="Arial" w:hAnsi="Arial" w:cs="Arial"/>
          <w:b/>
          <w:bCs/>
          <w:sz w:val="22"/>
          <w:szCs w:val="22"/>
          <w:lang w:eastAsia="zh-CN"/>
        </w:rPr>
      </w:pPr>
      <w:r>
        <w:rPr>
          <w:rFonts w:ascii="Arial" w:hAnsi="Arial" w:cs="Arial"/>
          <w:b/>
          <w:bCs/>
          <w:sz w:val="22"/>
          <w:szCs w:val="22"/>
          <w:lang w:eastAsia="zh-CN"/>
        </w:rPr>
        <w:t>2.1 The Construction of the Evaluation Index System for Blended Teaching of Advanced Mathematics</w:t>
      </w:r>
    </w:p>
    <w:p w14:paraId="42065883" w14:textId="77777777" w:rsidR="00B546DA" w:rsidRDefault="00B546DA">
      <w:pPr>
        <w:pStyle w:val="Body"/>
        <w:spacing w:after="0"/>
        <w:rPr>
          <w:rFonts w:ascii="Arial" w:hAnsi="Arial" w:cs="Arial"/>
          <w:b/>
          <w:bCs/>
          <w:sz w:val="22"/>
          <w:szCs w:val="22"/>
          <w:lang w:eastAsia="zh-CN"/>
        </w:rPr>
      </w:pPr>
    </w:p>
    <w:p w14:paraId="087E6A71" w14:textId="77777777" w:rsidR="00B546DA" w:rsidRDefault="00976ABB">
      <w:pPr>
        <w:pStyle w:val="Body"/>
        <w:spacing w:after="0"/>
        <w:rPr>
          <w:rFonts w:ascii="Arial" w:hAnsi="Arial" w:cs="Arial"/>
          <w:b/>
          <w:bCs/>
          <w:lang w:eastAsia="zh-CN"/>
        </w:rPr>
      </w:pPr>
      <w:r>
        <w:rPr>
          <w:rFonts w:ascii="Arial" w:hAnsi="Arial" w:cs="Arial"/>
          <w:b/>
          <w:bCs/>
          <w:lang w:eastAsia="zh-CN"/>
        </w:rPr>
        <w:t>2.1.1 Selection and Profile of the Expert Consultation Pool</w:t>
      </w:r>
    </w:p>
    <w:p w14:paraId="74C62426" w14:textId="77777777" w:rsidR="00B546DA" w:rsidRDefault="00B546DA">
      <w:pPr>
        <w:pStyle w:val="Body"/>
        <w:spacing w:after="0"/>
        <w:rPr>
          <w:rFonts w:ascii="Arial" w:hAnsi="Arial" w:cs="Arial"/>
          <w:b/>
          <w:bCs/>
          <w:sz w:val="22"/>
          <w:szCs w:val="22"/>
          <w:lang w:eastAsia="zh-CN"/>
        </w:rPr>
      </w:pPr>
    </w:p>
    <w:p w14:paraId="7065C15C" w14:textId="77777777" w:rsidR="00B546DA" w:rsidRDefault="00976ABB">
      <w:pPr>
        <w:pStyle w:val="Body"/>
        <w:spacing w:after="0"/>
        <w:rPr>
          <w:rFonts w:ascii="Arial" w:hAnsi="Arial" w:cs="Arial"/>
        </w:rPr>
      </w:pPr>
      <w:r>
        <w:rPr>
          <w:rFonts w:ascii="Arial" w:hAnsi="Arial" w:cs="Arial"/>
        </w:rPr>
        <w:t>The validity of a Delphi study is heavily dependent on the professional maturity and representativeness of the selected expert panel.</w:t>
      </w:r>
      <w:r>
        <w:rPr>
          <w:rFonts w:ascii="Arial" w:hAnsi="Arial" w:cs="Arial" w:hint="eastAsia"/>
          <w:lang w:eastAsia="zh-CN"/>
        </w:rPr>
        <w:t xml:space="preserve"> </w:t>
      </w:r>
      <w:r>
        <w:rPr>
          <w:rFonts w:ascii="Arial" w:hAnsi="Arial" w:cs="Arial"/>
        </w:rPr>
        <w:t>For this study, a consultation pool of 15 cross-disciplinary experts was established, encompassing specialists in Higher Mathematics pedagogy, educational technology, and administrative quality monitoring. These individuals were selected based on their academic qualifications, professional titles, and extensive experience in blended teaching environments</w:t>
      </w:r>
      <w:r>
        <w:rPr>
          <w:rFonts w:ascii="Arial" w:hAnsi="Arial" w:cs="Arial" w:hint="eastAsia"/>
          <w:lang w:eastAsia="zh-CN"/>
        </w:rPr>
        <w:t>, a</w:t>
      </w:r>
      <w:r>
        <w:rPr>
          <w:rFonts w:ascii="Arial" w:hAnsi="Arial" w:cs="Arial"/>
          <w:lang w:eastAsia="zh-CN"/>
        </w:rPr>
        <w:t>s shown in Table 1</w:t>
      </w:r>
      <w:r>
        <w:rPr>
          <w:rFonts w:ascii="Arial" w:hAnsi="Arial" w:cs="Arial"/>
        </w:rPr>
        <w:t>.</w:t>
      </w:r>
    </w:p>
    <w:p w14:paraId="0AB7D47F" w14:textId="77777777" w:rsidR="00B546DA" w:rsidRDefault="00B546DA">
      <w:pPr>
        <w:pStyle w:val="Body"/>
        <w:spacing w:after="0"/>
        <w:rPr>
          <w:rFonts w:ascii="Arial" w:hAnsi="Arial" w:cs="Arial"/>
          <w:lang w:eastAsia="zh-CN"/>
        </w:rPr>
      </w:pPr>
    </w:p>
    <w:p w14:paraId="495FB92B" w14:textId="77777777" w:rsidR="00B546DA" w:rsidRDefault="00976ABB">
      <w:pPr>
        <w:pStyle w:val="Body"/>
        <w:spacing w:after="0"/>
        <w:rPr>
          <w:rFonts w:ascii="Arial" w:hAnsi="Arial" w:cs="Arial"/>
          <w:lang w:eastAsia="zh-CN"/>
        </w:rPr>
      </w:pPr>
      <w:r>
        <w:rPr>
          <w:rFonts w:ascii="Arial" w:hAnsi="Arial" w:cs="Arial"/>
          <w:lang w:eastAsia="zh-CN"/>
        </w:rPr>
        <w:t>The high concentration of doctoral-level experts and seasoned practitioners (over 20 years in the field) provides a robust foundation for identifying the nuanced requirements of mathematics education within a digital framework. The panel's familiarity with the Delphi and AHP methods further ensures that the consultative feedback is grounded in an understanding of the research methodology's constraints and strengths.</w:t>
      </w:r>
    </w:p>
    <w:p w14:paraId="79CEC15C" w14:textId="77777777" w:rsidR="00FA423A" w:rsidRDefault="00FA423A">
      <w:pPr>
        <w:pStyle w:val="Body"/>
        <w:spacing w:after="0"/>
        <w:rPr>
          <w:rFonts w:ascii="Arial" w:hAnsi="Arial" w:cs="Arial"/>
          <w:lang w:eastAsia="zh-CN"/>
        </w:rPr>
      </w:pPr>
    </w:p>
    <w:p w14:paraId="429E30CE" w14:textId="77777777" w:rsidR="008377A8" w:rsidRDefault="008377A8">
      <w:pPr>
        <w:tabs>
          <w:tab w:val="left" w:pos="1080"/>
        </w:tabs>
        <w:jc w:val="both"/>
        <w:rPr>
          <w:rFonts w:ascii="Arial" w:hAnsi="Arial"/>
          <w:b/>
        </w:rPr>
      </w:pPr>
    </w:p>
    <w:p w14:paraId="784F86D3" w14:textId="63EE28C0" w:rsidR="00B546DA" w:rsidRDefault="00976ABB">
      <w:pPr>
        <w:tabs>
          <w:tab w:val="left" w:pos="1080"/>
        </w:tabs>
        <w:jc w:val="both"/>
        <w:rPr>
          <w:rFonts w:ascii="Arial" w:hAnsi="Arial"/>
          <w:b/>
        </w:rPr>
      </w:pPr>
      <w:r>
        <w:rPr>
          <w:rFonts w:ascii="Arial" w:hAnsi="Arial"/>
          <w:b/>
        </w:rPr>
        <w:t>Table 1.</w:t>
      </w:r>
      <w:r>
        <w:rPr>
          <w:rFonts w:ascii="Arial" w:hAnsi="Arial"/>
          <w:b/>
        </w:rPr>
        <w:tab/>
        <w:t>Statistics of Expert Profiles</w:t>
      </w:r>
    </w:p>
    <w:p w14:paraId="1DF4558C" w14:textId="77777777" w:rsidR="00B546DA" w:rsidRDefault="00B546DA">
      <w:pPr>
        <w:tabs>
          <w:tab w:val="left" w:pos="1080"/>
        </w:tabs>
        <w:jc w:val="both"/>
        <w:rPr>
          <w:rFonts w:ascii="Arial" w:hAnsi="Arial"/>
          <w:b/>
          <w:lang w:eastAsia="zh-CN"/>
        </w:rPr>
      </w:pP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736"/>
        <w:gridCol w:w="2737"/>
        <w:gridCol w:w="2735"/>
      </w:tblGrid>
      <w:tr w:rsidR="00B546DA" w14:paraId="74C1117F" w14:textId="77777777">
        <w:tc>
          <w:tcPr>
            <w:tcW w:w="1667" w:type="pct"/>
            <w:tcBorders>
              <w:top w:val="single" w:sz="12" w:space="0" w:color="000000"/>
              <w:left w:val="nil"/>
              <w:bottom w:val="nil"/>
              <w:right w:val="nil"/>
            </w:tcBorders>
            <w:vAlign w:val="center"/>
          </w:tcPr>
          <w:p w14:paraId="4182B04E" w14:textId="77777777" w:rsidR="00B546DA" w:rsidRDefault="00976ABB">
            <w:pPr>
              <w:snapToGrid w:val="0"/>
              <w:rPr>
                <w:rFonts w:ascii="Arial" w:eastAsia="Google Sans" w:hAnsi="Arial" w:cs="Arial"/>
                <w:b/>
                <w:bCs/>
              </w:rPr>
            </w:pPr>
            <w:r>
              <w:rPr>
                <w:rFonts w:ascii="Arial" w:eastAsia="Google Sans" w:hAnsi="Arial" w:cs="Arial"/>
                <w:b/>
                <w:bCs/>
              </w:rPr>
              <w:t>Professional Dimension</w:t>
            </w:r>
          </w:p>
        </w:tc>
        <w:tc>
          <w:tcPr>
            <w:tcW w:w="1667" w:type="pct"/>
            <w:tcBorders>
              <w:top w:val="single" w:sz="12" w:space="0" w:color="000000"/>
              <w:left w:val="nil"/>
              <w:bottom w:val="nil"/>
              <w:right w:val="nil"/>
            </w:tcBorders>
            <w:vAlign w:val="center"/>
          </w:tcPr>
          <w:p w14:paraId="4DB26F03" w14:textId="77777777" w:rsidR="00B546DA" w:rsidRDefault="00976ABB">
            <w:pPr>
              <w:snapToGrid w:val="0"/>
              <w:rPr>
                <w:rFonts w:ascii="Arial" w:eastAsia="Google Sans" w:hAnsi="Arial" w:cs="Arial"/>
                <w:b/>
                <w:bCs/>
              </w:rPr>
            </w:pPr>
            <w:r>
              <w:rPr>
                <w:rFonts w:ascii="Arial" w:eastAsia="Google Sans" w:hAnsi="Arial" w:cs="Arial"/>
                <w:b/>
                <w:bCs/>
              </w:rPr>
              <w:t>Distribution and Metrics</w:t>
            </w:r>
          </w:p>
        </w:tc>
        <w:tc>
          <w:tcPr>
            <w:tcW w:w="1666" w:type="pct"/>
            <w:tcBorders>
              <w:top w:val="single" w:sz="12" w:space="0" w:color="000000"/>
              <w:left w:val="nil"/>
              <w:bottom w:val="nil"/>
              <w:right w:val="nil"/>
            </w:tcBorders>
            <w:vAlign w:val="center"/>
          </w:tcPr>
          <w:p w14:paraId="5159954A" w14:textId="77777777" w:rsidR="00B546DA" w:rsidRDefault="00976ABB">
            <w:pPr>
              <w:snapToGrid w:val="0"/>
              <w:rPr>
                <w:rFonts w:ascii="Arial" w:eastAsia="Google Sans" w:hAnsi="Arial" w:cs="Arial"/>
                <w:b/>
                <w:bCs/>
              </w:rPr>
            </w:pPr>
            <w:r>
              <w:rPr>
                <w:rFonts w:ascii="Arial" w:eastAsia="Google Sans" w:hAnsi="Arial" w:cs="Arial"/>
                <w:b/>
                <w:bCs/>
              </w:rPr>
              <w:t>Percentage (%)</w:t>
            </w:r>
          </w:p>
        </w:tc>
      </w:tr>
      <w:tr w:rsidR="00B546DA" w14:paraId="66191984" w14:textId="77777777">
        <w:trPr>
          <w:trHeight w:val="414"/>
        </w:trPr>
        <w:tc>
          <w:tcPr>
            <w:tcW w:w="1667" w:type="pct"/>
            <w:tcBorders>
              <w:top w:val="single" w:sz="4" w:space="0" w:color="000000"/>
              <w:left w:val="nil"/>
              <w:bottom w:val="nil"/>
              <w:right w:val="nil"/>
            </w:tcBorders>
            <w:vAlign w:val="center"/>
          </w:tcPr>
          <w:p w14:paraId="2DC91845" w14:textId="77777777" w:rsidR="00B546DA" w:rsidRDefault="00976ABB">
            <w:pPr>
              <w:snapToGrid w:val="0"/>
              <w:rPr>
                <w:rFonts w:ascii="Arial" w:eastAsia="Google Sans" w:hAnsi="Arial" w:cs="Arial"/>
              </w:rPr>
            </w:pPr>
            <w:r>
              <w:rPr>
                <w:rFonts w:ascii="Arial" w:eastAsia="Google Sans" w:hAnsi="Arial" w:cs="Arial"/>
              </w:rPr>
              <w:t>Academic Titles</w:t>
            </w:r>
          </w:p>
        </w:tc>
        <w:tc>
          <w:tcPr>
            <w:tcW w:w="1667" w:type="pct"/>
            <w:tcBorders>
              <w:top w:val="single" w:sz="4" w:space="0" w:color="000000"/>
              <w:left w:val="nil"/>
              <w:bottom w:val="nil"/>
              <w:right w:val="nil"/>
            </w:tcBorders>
            <w:vAlign w:val="center"/>
          </w:tcPr>
          <w:p w14:paraId="16B4CE89" w14:textId="77777777" w:rsidR="00B546DA" w:rsidRDefault="00976ABB">
            <w:pPr>
              <w:snapToGrid w:val="0"/>
              <w:rPr>
                <w:rFonts w:ascii="Arial" w:eastAsia="Google Sans" w:hAnsi="Arial" w:cs="Arial"/>
              </w:rPr>
            </w:pPr>
            <w:r>
              <w:rPr>
                <w:rFonts w:ascii="Arial" w:eastAsia="Google Sans" w:hAnsi="Arial" w:cs="Arial"/>
              </w:rPr>
              <w:t>Professors (4) / Associate Professors (6) / Lecturers (5)</w:t>
            </w:r>
          </w:p>
        </w:tc>
        <w:tc>
          <w:tcPr>
            <w:tcW w:w="1666" w:type="pct"/>
            <w:tcBorders>
              <w:top w:val="single" w:sz="4" w:space="0" w:color="000000"/>
              <w:left w:val="nil"/>
              <w:bottom w:val="nil"/>
              <w:right w:val="nil"/>
            </w:tcBorders>
            <w:vAlign w:val="center"/>
          </w:tcPr>
          <w:p w14:paraId="31640B7A" w14:textId="77777777" w:rsidR="00B546DA" w:rsidRDefault="00976ABB">
            <w:pPr>
              <w:snapToGrid w:val="0"/>
              <w:rPr>
                <w:rFonts w:ascii="Arial" w:eastAsia="Google Sans" w:hAnsi="Arial" w:cs="Arial"/>
              </w:rPr>
            </w:pPr>
            <w:r>
              <w:rPr>
                <w:rFonts w:ascii="Arial" w:eastAsia="Google Sans" w:hAnsi="Arial" w:cs="Arial"/>
              </w:rPr>
              <w:t>26.7 / 40.0 / 33.3</w:t>
            </w:r>
          </w:p>
        </w:tc>
      </w:tr>
      <w:tr w:rsidR="00B546DA" w14:paraId="04BCF068" w14:textId="77777777">
        <w:trPr>
          <w:trHeight w:val="414"/>
        </w:trPr>
        <w:tc>
          <w:tcPr>
            <w:tcW w:w="1667" w:type="pct"/>
            <w:tcBorders>
              <w:top w:val="nil"/>
              <w:left w:val="nil"/>
              <w:bottom w:val="nil"/>
              <w:right w:val="nil"/>
            </w:tcBorders>
            <w:vAlign w:val="center"/>
          </w:tcPr>
          <w:p w14:paraId="6BF4C0C1" w14:textId="77777777" w:rsidR="00B546DA" w:rsidRDefault="00976ABB">
            <w:pPr>
              <w:snapToGrid w:val="0"/>
              <w:rPr>
                <w:rFonts w:ascii="Arial" w:eastAsia="Google Sans" w:hAnsi="Arial" w:cs="Arial"/>
              </w:rPr>
            </w:pPr>
            <w:r>
              <w:rPr>
                <w:rFonts w:ascii="Arial" w:eastAsia="Google Sans" w:hAnsi="Arial" w:cs="Arial"/>
              </w:rPr>
              <w:t>Educational Background</w:t>
            </w:r>
          </w:p>
        </w:tc>
        <w:tc>
          <w:tcPr>
            <w:tcW w:w="1667" w:type="pct"/>
            <w:tcBorders>
              <w:top w:val="nil"/>
              <w:left w:val="nil"/>
              <w:bottom w:val="nil"/>
              <w:right w:val="nil"/>
            </w:tcBorders>
            <w:vAlign w:val="center"/>
          </w:tcPr>
          <w:p w14:paraId="2793AA38" w14:textId="77777777" w:rsidR="00B546DA" w:rsidRDefault="00976ABB">
            <w:pPr>
              <w:snapToGrid w:val="0"/>
              <w:rPr>
                <w:rFonts w:ascii="Arial" w:eastAsia="Google Sans" w:hAnsi="Arial" w:cs="Arial"/>
              </w:rPr>
            </w:pPr>
            <w:r>
              <w:rPr>
                <w:rFonts w:ascii="Arial" w:eastAsia="Google Sans" w:hAnsi="Arial" w:cs="Arial"/>
              </w:rPr>
              <w:t>Doctoral Degree (12) / Master's Degree (3)</w:t>
            </w:r>
          </w:p>
        </w:tc>
        <w:tc>
          <w:tcPr>
            <w:tcW w:w="1666" w:type="pct"/>
            <w:tcBorders>
              <w:top w:val="nil"/>
              <w:left w:val="nil"/>
              <w:bottom w:val="nil"/>
              <w:right w:val="nil"/>
            </w:tcBorders>
            <w:vAlign w:val="center"/>
          </w:tcPr>
          <w:p w14:paraId="66F5F4CB" w14:textId="77777777" w:rsidR="00B546DA" w:rsidRDefault="00976ABB">
            <w:pPr>
              <w:snapToGrid w:val="0"/>
              <w:rPr>
                <w:rFonts w:ascii="Arial" w:eastAsia="Google Sans" w:hAnsi="Arial" w:cs="Arial"/>
              </w:rPr>
            </w:pPr>
            <w:r>
              <w:rPr>
                <w:rFonts w:ascii="Arial" w:eastAsia="Google Sans" w:hAnsi="Arial" w:cs="Arial"/>
              </w:rPr>
              <w:t>80.0 / 20.0</w:t>
            </w:r>
          </w:p>
        </w:tc>
      </w:tr>
      <w:tr w:rsidR="00B546DA" w14:paraId="6976EACF" w14:textId="77777777">
        <w:trPr>
          <w:trHeight w:val="414"/>
        </w:trPr>
        <w:tc>
          <w:tcPr>
            <w:tcW w:w="1667" w:type="pct"/>
            <w:tcBorders>
              <w:top w:val="nil"/>
              <w:left w:val="nil"/>
              <w:bottom w:val="nil"/>
              <w:right w:val="nil"/>
            </w:tcBorders>
            <w:vAlign w:val="center"/>
          </w:tcPr>
          <w:p w14:paraId="5F5F8565" w14:textId="77777777" w:rsidR="00B546DA" w:rsidRDefault="00976ABB">
            <w:pPr>
              <w:snapToGrid w:val="0"/>
              <w:rPr>
                <w:rFonts w:ascii="Arial" w:eastAsia="Google Sans" w:hAnsi="Arial" w:cs="Arial"/>
              </w:rPr>
            </w:pPr>
            <w:r>
              <w:rPr>
                <w:rFonts w:ascii="Arial" w:eastAsia="Google Sans" w:hAnsi="Arial" w:cs="Arial"/>
              </w:rPr>
              <w:t>Years of Experience</w:t>
            </w:r>
          </w:p>
        </w:tc>
        <w:tc>
          <w:tcPr>
            <w:tcW w:w="1667" w:type="pct"/>
            <w:tcBorders>
              <w:top w:val="nil"/>
              <w:left w:val="nil"/>
              <w:bottom w:val="nil"/>
              <w:right w:val="nil"/>
            </w:tcBorders>
            <w:vAlign w:val="center"/>
          </w:tcPr>
          <w:p w14:paraId="6E8D55B2" w14:textId="77777777" w:rsidR="00B546DA" w:rsidRDefault="00976ABB">
            <w:pPr>
              <w:snapToGrid w:val="0"/>
              <w:rPr>
                <w:rFonts w:ascii="Arial" w:eastAsia="Google Sans" w:hAnsi="Arial" w:cs="Arial"/>
              </w:rPr>
            </w:pPr>
            <w:r>
              <w:rPr>
                <w:rFonts w:ascii="Arial" w:eastAsia="Google Sans" w:hAnsi="Arial" w:cs="Arial"/>
              </w:rPr>
              <w:t>21+ Years (6) / 11-20 Years (9)</w:t>
            </w:r>
          </w:p>
        </w:tc>
        <w:tc>
          <w:tcPr>
            <w:tcW w:w="1666" w:type="pct"/>
            <w:tcBorders>
              <w:top w:val="nil"/>
              <w:left w:val="nil"/>
              <w:bottom w:val="nil"/>
              <w:right w:val="nil"/>
            </w:tcBorders>
            <w:vAlign w:val="center"/>
          </w:tcPr>
          <w:p w14:paraId="3F1D7DFB" w14:textId="77777777" w:rsidR="00B546DA" w:rsidRDefault="00976ABB">
            <w:pPr>
              <w:snapToGrid w:val="0"/>
              <w:rPr>
                <w:rFonts w:ascii="Arial" w:eastAsia="Google Sans" w:hAnsi="Arial" w:cs="Arial"/>
              </w:rPr>
            </w:pPr>
            <w:r>
              <w:rPr>
                <w:rFonts w:ascii="Arial" w:eastAsia="Google Sans" w:hAnsi="Arial" w:cs="Arial"/>
              </w:rPr>
              <w:t>40.0 / 60.0</w:t>
            </w:r>
          </w:p>
        </w:tc>
      </w:tr>
      <w:tr w:rsidR="00B546DA" w14:paraId="5CBCC2BB" w14:textId="77777777">
        <w:trPr>
          <w:trHeight w:val="414"/>
        </w:trPr>
        <w:tc>
          <w:tcPr>
            <w:tcW w:w="1667" w:type="pct"/>
            <w:tcBorders>
              <w:top w:val="nil"/>
              <w:left w:val="nil"/>
              <w:bottom w:val="nil"/>
              <w:right w:val="nil"/>
            </w:tcBorders>
            <w:vAlign w:val="center"/>
          </w:tcPr>
          <w:p w14:paraId="121B053B" w14:textId="77777777" w:rsidR="00B546DA" w:rsidRDefault="00976ABB">
            <w:pPr>
              <w:snapToGrid w:val="0"/>
              <w:rPr>
                <w:rFonts w:ascii="Arial" w:eastAsia="Google Sans" w:hAnsi="Arial" w:cs="Arial"/>
              </w:rPr>
            </w:pPr>
            <w:r>
              <w:rPr>
                <w:rFonts w:ascii="Arial" w:eastAsia="Google Sans" w:hAnsi="Arial" w:cs="Arial"/>
              </w:rPr>
              <w:t>Blended</w:t>
            </w:r>
            <w:r>
              <w:rPr>
                <w:rFonts w:ascii="Arial" w:hAnsi="Arial" w:cs="Arial" w:hint="eastAsia"/>
                <w:lang w:eastAsia="zh-CN"/>
              </w:rPr>
              <w:t xml:space="preserve"> </w:t>
            </w:r>
            <w:r>
              <w:rPr>
                <w:rFonts w:ascii="Arial" w:eastAsia="Google Sans" w:hAnsi="Arial" w:cs="Arial"/>
              </w:rPr>
              <w:t>Teaching Experience</w:t>
            </w:r>
          </w:p>
        </w:tc>
        <w:tc>
          <w:tcPr>
            <w:tcW w:w="1667" w:type="pct"/>
            <w:tcBorders>
              <w:top w:val="nil"/>
              <w:left w:val="nil"/>
              <w:bottom w:val="nil"/>
              <w:right w:val="nil"/>
            </w:tcBorders>
            <w:vAlign w:val="center"/>
          </w:tcPr>
          <w:p w14:paraId="31A46FD7" w14:textId="77777777" w:rsidR="00B546DA" w:rsidRDefault="00976ABB">
            <w:pPr>
              <w:snapToGrid w:val="0"/>
              <w:rPr>
                <w:rFonts w:ascii="Arial" w:eastAsia="Google Sans" w:hAnsi="Arial" w:cs="Arial"/>
              </w:rPr>
            </w:pPr>
            <w:r>
              <w:rPr>
                <w:rFonts w:ascii="Arial" w:eastAsia="Google Sans" w:hAnsi="Arial" w:cs="Arial"/>
              </w:rPr>
              <w:t>7+ Years (5) / Others (10)</w:t>
            </w:r>
          </w:p>
        </w:tc>
        <w:tc>
          <w:tcPr>
            <w:tcW w:w="1666" w:type="pct"/>
            <w:tcBorders>
              <w:top w:val="nil"/>
              <w:left w:val="nil"/>
              <w:bottom w:val="nil"/>
              <w:right w:val="nil"/>
            </w:tcBorders>
            <w:vAlign w:val="center"/>
          </w:tcPr>
          <w:p w14:paraId="0C6368EB" w14:textId="77777777" w:rsidR="00B546DA" w:rsidRDefault="00976ABB">
            <w:pPr>
              <w:snapToGrid w:val="0"/>
              <w:rPr>
                <w:rFonts w:ascii="Arial" w:eastAsia="Google Sans" w:hAnsi="Arial" w:cs="Arial"/>
              </w:rPr>
            </w:pPr>
            <w:r>
              <w:rPr>
                <w:rFonts w:ascii="Arial" w:eastAsia="Google Sans" w:hAnsi="Arial" w:cs="Arial"/>
              </w:rPr>
              <w:t>33.3 / 66.7</w:t>
            </w:r>
          </w:p>
        </w:tc>
      </w:tr>
      <w:tr w:rsidR="00B546DA" w14:paraId="5F29FB15" w14:textId="77777777">
        <w:trPr>
          <w:trHeight w:val="414"/>
        </w:trPr>
        <w:tc>
          <w:tcPr>
            <w:tcW w:w="1667" w:type="pct"/>
            <w:tcBorders>
              <w:top w:val="nil"/>
              <w:left w:val="nil"/>
              <w:bottom w:val="single" w:sz="12" w:space="0" w:color="000000"/>
              <w:right w:val="nil"/>
            </w:tcBorders>
            <w:vAlign w:val="center"/>
          </w:tcPr>
          <w:p w14:paraId="50876516" w14:textId="77777777" w:rsidR="00B546DA" w:rsidRDefault="00976ABB">
            <w:pPr>
              <w:snapToGrid w:val="0"/>
              <w:rPr>
                <w:rFonts w:ascii="Arial" w:eastAsia="Google Sans" w:hAnsi="Arial" w:cs="Arial"/>
              </w:rPr>
            </w:pPr>
            <w:r>
              <w:rPr>
                <w:rFonts w:ascii="Arial" w:eastAsia="Google Sans" w:hAnsi="Arial" w:cs="Arial"/>
              </w:rPr>
              <w:t>Methodological Familiarity</w:t>
            </w:r>
          </w:p>
        </w:tc>
        <w:tc>
          <w:tcPr>
            <w:tcW w:w="1667" w:type="pct"/>
            <w:tcBorders>
              <w:top w:val="nil"/>
              <w:left w:val="nil"/>
              <w:bottom w:val="single" w:sz="12" w:space="0" w:color="000000"/>
              <w:right w:val="nil"/>
            </w:tcBorders>
            <w:vAlign w:val="center"/>
          </w:tcPr>
          <w:p w14:paraId="753DDF12" w14:textId="77777777" w:rsidR="00B546DA" w:rsidRDefault="00976ABB">
            <w:pPr>
              <w:snapToGrid w:val="0"/>
              <w:rPr>
                <w:rFonts w:ascii="Arial" w:eastAsia="Google Sans" w:hAnsi="Arial" w:cs="Arial"/>
              </w:rPr>
            </w:pPr>
            <w:r>
              <w:rPr>
                <w:rFonts w:ascii="Arial" w:eastAsia="Google Sans" w:hAnsi="Arial" w:cs="Arial"/>
              </w:rPr>
              <w:t>Highly Familiar (7) / Moderately Familiar (8)</w:t>
            </w:r>
          </w:p>
        </w:tc>
        <w:tc>
          <w:tcPr>
            <w:tcW w:w="1666" w:type="pct"/>
            <w:tcBorders>
              <w:top w:val="nil"/>
              <w:left w:val="nil"/>
              <w:bottom w:val="single" w:sz="12" w:space="0" w:color="000000"/>
              <w:right w:val="nil"/>
            </w:tcBorders>
            <w:vAlign w:val="center"/>
          </w:tcPr>
          <w:p w14:paraId="61A3ACD3" w14:textId="77777777" w:rsidR="00B546DA" w:rsidRDefault="00976ABB">
            <w:pPr>
              <w:snapToGrid w:val="0"/>
              <w:rPr>
                <w:rFonts w:ascii="Arial" w:eastAsia="Google Sans" w:hAnsi="Arial" w:cs="Arial"/>
              </w:rPr>
            </w:pPr>
            <w:r>
              <w:rPr>
                <w:rFonts w:ascii="Arial" w:eastAsia="Google Sans" w:hAnsi="Arial" w:cs="Arial"/>
              </w:rPr>
              <w:t>46.7 / 53.3</w:t>
            </w:r>
          </w:p>
        </w:tc>
      </w:tr>
    </w:tbl>
    <w:p w14:paraId="68924C10" w14:textId="77777777" w:rsidR="00B546DA" w:rsidRDefault="00B546DA">
      <w:pPr>
        <w:pStyle w:val="Body"/>
        <w:spacing w:after="0"/>
        <w:rPr>
          <w:rFonts w:ascii="Arial" w:hAnsi="Arial" w:cs="Arial"/>
          <w:lang w:eastAsia="zh-CN"/>
        </w:rPr>
      </w:pPr>
    </w:p>
    <w:p w14:paraId="4F7CF02E" w14:textId="77777777" w:rsidR="00B546DA" w:rsidRDefault="00976ABB">
      <w:pPr>
        <w:pStyle w:val="Body"/>
        <w:spacing w:after="0"/>
        <w:rPr>
          <w:rFonts w:ascii="Arial" w:hAnsi="Arial" w:cs="Arial"/>
          <w:lang w:eastAsia="zh-CN"/>
        </w:rPr>
      </w:pPr>
      <w:r>
        <w:rPr>
          <w:rFonts w:ascii="Arial" w:hAnsi="Arial" w:cs="Arial"/>
          <w:b/>
          <w:caps/>
        </w:rPr>
        <w:t>2.</w:t>
      </w:r>
      <w:r>
        <w:rPr>
          <w:rFonts w:ascii="Arial" w:hAnsi="Arial" w:cs="Arial" w:hint="eastAsia"/>
          <w:b/>
          <w:caps/>
          <w:lang w:eastAsia="zh-CN"/>
        </w:rPr>
        <w:t>1.2</w:t>
      </w:r>
      <w:r>
        <w:rPr>
          <w:rFonts w:ascii="Arial" w:hAnsi="Arial" w:cs="Arial"/>
          <w:b/>
          <w:caps/>
        </w:rPr>
        <w:t xml:space="preserve"> </w:t>
      </w:r>
      <w:r>
        <w:rPr>
          <w:rFonts w:ascii="Arial" w:hAnsi="Arial" w:cs="Arial"/>
          <w:b/>
        </w:rPr>
        <w:t>Initial Indicator Drafting and First-Round Delphi Consultation</w:t>
      </w:r>
    </w:p>
    <w:p w14:paraId="071703E9" w14:textId="77777777" w:rsidR="00B546DA" w:rsidRDefault="00B546DA">
      <w:pPr>
        <w:pStyle w:val="Body"/>
        <w:spacing w:after="0"/>
        <w:rPr>
          <w:rFonts w:ascii="Arial" w:hAnsi="Arial" w:cs="Arial"/>
          <w:lang w:eastAsia="zh-CN"/>
        </w:rPr>
      </w:pPr>
    </w:p>
    <w:p w14:paraId="18FDA40A" w14:textId="77777777" w:rsidR="00B546DA" w:rsidRDefault="00976ABB">
      <w:pPr>
        <w:pStyle w:val="Body"/>
        <w:spacing w:after="0"/>
        <w:rPr>
          <w:rFonts w:ascii="Arial" w:hAnsi="Arial" w:cs="Arial"/>
        </w:rPr>
      </w:pPr>
      <w:r>
        <w:rPr>
          <w:rFonts w:ascii="Arial" w:hAnsi="Arial" w:cs="Arial"/>
        </w:rPr>
        <w:t>The research path followed a systematic trajectory of "initial drafting—screening and optimization—weighting." The initial framework was constructed by synthesizing the core requirements of the "Evaluation Indicator System for Undergraduate Teaching in Regular Higher Education Institutions" with the specific practical characteristics of Higher Mathematics blended learning.</w:t>
      </w:r>
      <w:r>
        <w:rPr>
          <w:rFonts w:ascii="Arial" w:hAnsi="Arial" w:cs="Arial" w:hint="eastAsia"/>
          <w:lang w:eastAsia="zh-CN"/>
        </w:rPr>
        <w:t xml:space="preserve"> </w:t>
      </w:r>
      <w:r>
        <w:rPr>
          <w:rFonts w:ascii="Arial" w:hAnsi="Arial" w:cs="Arial"/>
        </w:rPr>
        <w:t>This preliminary framework comprised 5 primary dimensions and 27 secondary indicators.</w:t>
      </w:r>
    </w:p>
    <w:p w14:paraId="558AD56B" w14:textId="77777777" w:rsidR="00B546DA" w:rsidRDefault="00B546DA">
      <w:pPr>
        <w:pStyle w:val="Body"/>
        <w:spacing w:after="0"/>
        <w:rPr>
          <w:rFonts w:ascii="Arial" w:hAnsi="Arial" w:cs="Arial"/>
        </w:rPr>
      </w:pPr>
    </w:p>
    <w:p w14:paraId="4A2A5624" w14:textId="77777777" w:rsidR="00B546DA" w:rsidRDefault="00976ABB">
      <w:pPr>
        <w:pStyle w:val="Body"/>
        <w:spacing w:after="0"/>
        <w:rPr>
          <w:rFonts w:ascii="Arial" w:hAnsi="Arial" w:cs="Arial"/>
        </w:rPr>
      </w:pPr>
      <w:r>
        <w:rPr>
          <w:rFonts w:ascii="Arial" w:hAnsi="Arial" w:cs="Arial"/>
        </w:rPr>
        <w:t>The first round of Delphi consultation aimed to filter redundant indicators and refine the terminology to reflect the demands of the digital transformation. Statistical analysis of this round revealed an expert authority coefficient (</w:t>
      </w:r>
      <m:oMath>
        <m:sSub>
          <m:sSubPr>
            <m:ctrlPr>
              <w:rPr>
                <w:rFonts w:ascii="Cambria Math" w:hAnsi="Cambria Math" w:cs="Arial"/>
              </w:rPr>
            </m:ctrlPr>
          </m:sSubPr>
          <m:e>
            <m:r>
              <m:rPr>
                <m:nor/>
              </m:rPr>
              <w:rPr>
                <w:rFonts w:ascii="Arial" w:hAnsi="Arial" w:cs="Arial"/>
              </w:rPr>
              <m:t>C</m:t>
            </m:r>
          </m:e>
          <m:sub>
            <m:r>
              <m:rPr>
                <m:nor/>
              </m:rPr>
              <w:rPr>
                <w:rFonts w:ascii="Arial" w:hAnsi="Arial" w:cs="Arial"/>
              </w:rPr>
              <m:t>r</m:t>
            </m:r>
          </m:sub>
        </m:sSub>
      </m:oMath>
      <w:r>
        <w:rPr>
          <w:rFonts w:ascii="Arial" w:hAnsi="Arial" w:cs="Arial"/>
        </w:rPr>
        <w:t>) of 0.87, which indicates a high degree of reliability and representative authority.16 The expert authority coefficient is a function of the judgment basis (</w:t>
      </w:r>
      <m:oMath>
        <m:sSub>
          <m:sSubPr>
            <m:ctrlPr>
              <w:rPr>
                <w:rFonts w:ascii="Cambria Math" w:hAnsi="Cambria Math" w:cs="Arial"/>
              </w:rPr>
            </m:ctrlPr>
          </m:sSubPr>
          <m:e>
            <m:r>
              <m:rPr>
                <m:nor/>
              </m:rPr>
              <w:rPr>
                <w:rFonts w:ascii="Arial" w:hAnsi="Arial" w:cs="Arial"/>
              </w:rPr>
              <m:t>C</m:t>
            </m:r>
          </m:e>
          <m:sub>
            <m:r>
              <m:rPr>
                <m:nor/>
              </m:rPr>
              <w:rPr>
                <w:rFonts w:ascii="Arial" w:hAnsi="Arial" w:cs="Arial"/>
              </w:rPr>
              <m:t>s</m:t>
            </m:r>
          </m:sub>
        </m:sSub>
      </m:oMath>
      <w:r>
        <w:rPr>
          <w:rFonts w:ascii="Arial" w:hAnsi="Arial" w:cs="Arial"/>
        </w:rPr>
        <w:t>) and the expert's self-assessed familiarity with the content (</w:t>
      </w:r>
      <m:oMath>
        <m:sSub>
          <m:sSubPr>
            <m:ctrlPr>
              <w:rPr>
                <w:rFonts w:ascii="Cambria Math" w:hAnsi="Cambria Math" w:cs="Arial"/>
              </w:rPr>
            </m:ctrlPr>
          </m:sSubPr>
          <m:e>
            <m:r>
              <m:rPr>
                <m:nor/>
              </m:rPr>
              <w:rPr>
                <w:rFonts w:ascii="Arial" w:hAnsi="Arial" w:cs="Arial"/>
              </w:rPr>
              <m:t>C</m:t>
            </m:r>
          </m:e>
          <m:sub>
            <m:r>
              <m:rPr>
                <m:nor/>
              </m:rPr>
              <w:rPr>
                <w:rFonts w:ascii="Arial" w:hAnsi="Arial" w:cs="Arial"/>
              </w:rPr>
              <m:t>a</m:t>
            </m:r>
          </m:sub>
        </m:sSub>
      </m:oMath>
      <w:r>
        <w:rPr>
          <w:rFonts w:ascii="Arial" w:hAnsi="Arial" w:cs="Arial"/>
        </w:rPr>
        <w:t>):</w:t>
      </w:r>
    </w:p>
    <w:p w14:paraId="55378EF9" w14:textId="77777777" w:rsidR="00B546DA" w:rsidRDefault="00B546DA">
      <w:pPr>
        <w:pStyle w:val="Body"/>
        <w:spacing w:after="0"/>
        <w:rPr>
          <w:rFonts w:ascii="Arial" w:hAnsi="Arial" w:cs="Arial"/>
        </w:rPr>
      </w:pPr>
    </w:p>
    <w:p w14:paraId="4F74D5E0" w14:textId="77777777" w:rsidR="00B546DA" w:rsidRDefault="00976ABB">
      <w:pPr>
        <w:pStyle w:val="Body"/>
        <w:spacing w:after="0"/>
        <w:rPr>
          <w:rFonts w:ascii="Arial" w:hAnsi="Arial" w:cs="Arial"/>
        </w:rPr>
      </w:pPr>
      <w:r>
        <w:rPr>
          <w:rFonts w:ascii="Arial" w:hAnsi="Arial" w:cs="Arial"/>
        </w:rPr>
        <w:t xml:space="preserve">As shown in Table </w:t>
      </w:r>
      <w:r>
        <w:rPr>
          <w:rFonts w:ascii="Arial" w:hAnsi="Arial" w:cs="Arial" w:hint="eastAsia"/>
          <w:lang w:eastAsia="zh-CN"/>
        </w:rPr>
        <w:t>2, t</w:t>
      </w:r>
      <w:r>
        <w:rPr>
          <w:rFonts w:ascii="Arial" w:hAnsi="Arial" w:cs="Arial"/>
        </w:rPr>
        <w:t>he results of the first round showed that the experts reached a high level of consensus, as evidenced by the Coefficient of Variation (CV) and the Kendall coordination coefficient.</w:t>
      </w:r>
    </w:p>
    <w:p w14:paraId="503DD009" w14:textId="77777777" w:rsidR="00B546DA" w:rsidRDefault="00B546DA">
      <w:pPr>
        <w:pStyle w:val="Body"/>
        <w:spacing w:after="0"/>
        <w:rPr>
          <w:rFonts w:ascii="Arial" w:hAnsi="Arial" w:cs="Arial"/>
          <w:lang w:eastAsia="zh-CN"/>
        </w:rPr>
      </w:pPr>
    </w:p>
    <w:p w14:paraId="6E62C50E" w14:textId="77777777" w:rsidR="00B546DA" w:rsidRDefault="00976ABB">
      <w:pPr>
        <w:tabs>
          <w:tab w:val="left" w:pos="1080"/>
        </w:tabs>
        <w:jc w:val="both"/>
        <w:rPr>
          <w:rFonts w:ascii="Arial" w:hAnsi="Arial"/>
          <w:b/>
        </w:rPr>
      </w:pPr>
      <w:r>
        <w:rPr>
          <w:rFonts w:ascii="Arial" w:hAnsi="Arial"/>
          <w:b/>
        </w:rPr>
        <w:t xml:space="preserve">Table </w:t>
      </w:r>
      <w:r>
        <w:rPr>
          <w:rFonts w:ascii="Arial" w:hAnsi="Arial" w:hint="eastAsia"/>
          <w:b/>
          <w:lang w:eastAsia="zh-CN"/>
        </w:rPr>
        <w:t>2</w:t>
      </w:r>
      <w:r>
        <w:rPr>
          <w:rFonts w:ascii="Arial" w:hAnsi="Arial"/>
          <w:b/>
        </w:rPr>
        <w:t>.</w:t>
      </w:r>
      <w:r>
        <w:rPr>
          <w:rFonts w:ascii="Arial" w:hAnsi="Arial"/>
          <w:b/>
        </w:rPr>
        <w:tab/>
        <w:t>Statistical Results of the First Round of Expert Consultation</w:t>
      </w:r>
    </w:p>
    <w:p w14:paraId="5E2E977B" w14:textId="77777777" w:rsidR="00B546DA" w:rsidRDefault="00B546DA">
      <w:pPr>
        <w:tabs>
          <w:tab w:val="left" w:pos="1080"/>
        </w:tabs>
        <w:jc w:val="both"/>
        <w:rPr>
          <w:rFonts w:ascii="Arial" w:hAnsi="Arial"/>
          <w:b/>
          <w:lang w:eastAsia="zh-CN"/>
        </w:rPr>
      </w:pP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476"/>
        <w:gridCol w:w="1295"/>
        <w:gridCol w:w="1461"/>
        <w:gridCol w:w="1290"/>
        <w:gridCol w:w="1291"/>
        <w:gridCol w:w="1395"/>
      </w:tblGrid>
      <w:tr w:rsidR="00B546DA" w14:paraId="60F26FC7" w14:textId="77777777">
        <w:tc>
          <w:tcPr>
            <w:tcW w:w="910" w:type="pct"/>
            <w:tcBorders>
              <w:top w:val="single" w:sz="12" w:space="0" w:color="000000"/>
              <w:left w:val="nil"/>
              <w:bottom w:val="nil"/>
              <w:right w:val="nil"/>
            </w:tcBorders>
            <w:vAlign w:val="center"/>
          </w:tcPr>
          <w:p w14:paraId="3C762B04" w14:textId="77777777" w:rsidR="00B546DA" w:rsidRDefault="00976ABB">
            <w:pPr>
              <w:jc w:val="both"/>
              <w:rPr>
                <w:b/>
                <w:bCs/>
              </w:rPr>
            </w:pPr>
            <w:r>
              <w:rPr>
                <w:b/>
                <w:bCs/>
              </w:rPr>
              <w:t>Evaluation Level</w:t>
            </w:r>
          </w:p>
        </w:tc>
        <w:tc>
          <w:tcPr>
            <w:tcW w:w="800" w:type="pct"/>
            <w:tcBorders>
              <w:top w:val="single" w:sz="12" w:space="0" w:color="auto"/>
            </w:tcBorders>
            <w:vAlign w:val="center"/>
          </w:tcPr>
          <w:p w14:paraId="1C5D106C" w14:textId="77777777" w:rsidR="00B546DA" w:rsidRDefault="00976ABB">
            <w:pPr>
              <w:jc w:val="both"/>
              <w:rPr>
                <w:b/>
                <w:bCs/>
                <w:lang w:eastAsia="zh-CN"/>
              </w:rPr>
            </w:pPr>
            <w:r>
              <w:rPr>
                <w:b/>
                <w:bCs/>
              </w:rPr>
              <w:t>C</w:t>
            </w:r>
            <w:r>
              <w:rPr>
                <w:rFonts w:hint="eastAsia"/>
                <w:b/>
                <w:bCs/>
                <w:lang w:eastAsia="zh-CN"/>
              </w:rPr>
              <w:t>V</w:t>
            </w:r>
          </w:p>
        </w:tc>
        <w:tc>
          <w:tcPr>
            <w:tcW w:w="867" w:type="pct"/>
            <w:tcBorders>
              <w:top w:val="single" w:sz="12" w:space="0" w:color="auto"/>
            </w:tcBorders>
            <w:vAlign w:val="center"/>
          </w:tcPr>
          <w:p w14:paraId="394BBC27" w14:textId="77777777" w:rsidR="00B546DA" w:rsidRDefault="00976ABB">
            <w:pPr>
              <w:jc w:val="both"/>
              <w:rPr>
                <w:b/>
                <w:bCs/>
              </w:rPr>
            </w:pPr>
            <w:r>
              <w:rPr>
                <w:b/>
                <w:bCs/>
              </w:rPr>
              <w:t>Coordination coefficient</w:t>
            </w:r>
          </w:p>
        </w:tc>
        <w:tc>
          <w:tcPr>
            <w:tcW w:w="797" w:type="pct"/>
            <w:tcBorders>
              <w:top w:val="single" w:sz="12" w:space="0" w:color="auto"/>
            </w:tcBorders>
            <w:vAlign w:val="center"/>
          </w:tcPr>
          <w:p w14:paraId="297DF17F" w14:textId="77777777" w:rsidR="00B546DA" w:rsidRDefault="00976ABB">
            <w:pPr>
              <w:jc w:val="both"/>
              <w:rPr>
                <w:b/>
                <w:bCs/>
              </w:rPr>
            </w:pPr>
            <w:r>
              <w:rPr>
                <w:b/>
                <w:bCs/>
              </w:rPr>
              <w:t>chi-square value</w:t>
            </w:r>
          </w:p>
        </w:tc>
        <w:tc>
          <w:tcPr>
            <w:tcW w:w="797" w:type="pct"/>
            <w:tcBorders>
              <w:top w:val="single" w:sz="12" w:space="0" w:color="000000"/>
              <w:left w:val="nil"/>
              <w:bottom w:val="nil"/>
              <w:right w:val="nil"/>
            </w:tcBorders>
            <w:vAlign w:val="center"/>
          </w:tcPr>
          <w:p w14:paraId="5FA659FF" w14:textId="77777777" w:rsidR="00B546DA" w:rsidRDefault="00976ABB">
            <w:pPr>
              <w:rPr>
                <w:b/>
                <w:bCs/>
              </w:rPr>
            </w:pPr>
            <w:r>
              <w:rPr>
                <w:b/>
                <w:bCs/>
              </w:rPr>
              <w:t>Degree of freedom</w:t>
            </w:r>
          </w:p>
        </w:tc>
        <w:tc>
          <w:tcPr>
            <w:tcW w:w="828" w:type="pct"/>
            <w:tcBorders>
              <w:top w:val="single" w:sz="12" w:space="0" w:color="000000"/>
              <w:left w:val="nil"/>
              <w:bottom w:val="nil"/>
              <w:right w:val="nil"/>
            </w:tcBorders>
            <w:vAlign w:val="center"/>
          </w:tcPr>
          <w:p w14:paraId="0BD762B5" w14:textId="77777777" w:rsidR="00B546DA" w:rsidRDefault="00976ABB">
            <w:pPr>
              <w:jc w:val="both"/>
              <w:rPr>
                <w:b/>
                <w:bCs/>
              </w:rPr>
            </w:pPr>
            <w:r>
              <w:rPr>
                <w:b/>
                <w:bCs/>
              </w:rPr>
              <w:t>Significance</w:t>
            </w:r>
          </w:p>
        </w:tc>
      </w:tr>
      <w:tr w:rsidR="00B546DA" w14:paraId="261D4FB5" w14:textId="77777777">
        <w:trPr>
          <w:trHeight w:val="414"/>
        </w:trPr>
        <w:tc>
          <w:tcPr>
            <w:tcW w:w="910" w:type="pct"/>
            <w:tcBorders>
              <w:top w:val="single" w:sz="4" w:space="0" w:color="000000"/>
              <w:left w:val="nil"/>
              <w:bottom w:val="nil"/>
              <w:right w:val="nil"/>
            </w:tcBorders>
            <w:vAlign w:val="center"/>
          </w:tcPr>
          <w:p w14:paraId="4FB6FDB5" w14:textId="77777777" w:rsidR="00B546DA" w:rsidRDefault="00976ABB">
            <w:pPr>
              <w:jc w:val="both"/>
            </w:pPr>
            <w:r>
              <w:t>Primary Dimension Layer</w:t>
            </w:r>
          </w:p>
        </w:tc>
        <w:tc>
          <w:tcPr>
            <w:tcW w:w="800" w:type="pct"/>
            <w:tcBorders>
              <w:bottom w:val="nil"/>
            </w:tcBorders>
            <w:vAlign w:val="center"/>
          </w:tcPr>
          <w:p w14:paraId="3A2FEF7B" w14:textId="77777777" w:rsidR="00B546DA" w:rsidRDefault="00976ABB">
            <w:pPr>
              <w:jc w:val="both"/>
            </w:pPr>
            <w:r>
              <w:t>0 - 0.11</w:t>
            </w:r>
          </w:p>
        </w:tc>
        <w:tc>
          <w:tcPr>
            <w:tcW w:w="867" w:type="pct"/>
            <w:tcBorders>
              <w:bottom w:val="nil"/>
            </w:tcBorders>
            <w:vAlign w:val="center"/>
          </w:tcPr>
          <w:p w14:paraId="5C031CA5" w14:textId="77777777" w:rsidR="00B546DA" w:rsidRDefault="00976ABB">
            <w:pPr>
              <w:jc w:val="both"/>
            </w:pPr>
            <w:r>
              <w:t>0.352</w:t>
            </w:r>
          </w:p>
        </w:tc>
        <w:tc>
          <w:tcPr>
            <w:tcW w:w="797" w:type="pct"/>
            <w:tcBorders>
              <w:bottom w:val="nil"/>
            </w:tcBorders>
            <w:vAlign w:val="center"/>
          </w:tcPr>
          <w:p w14:paraId="7E6ED368" w14:textId="77777777" w:rsidR="00B546DA" w:rsidRDefault="00976ABB">
            <w:pPr>
              <w:jc w:val="both"/>
            </w:pPr>
            <w:r>
              <w:t>21.12</w:t>
            </w:r>
          </w:p>
        </w:tc>
        <w:tc>
          <w:tcPr>
            <w:tcW w:w="797" w:type="pct"/>
            <w:tcBorders>
              <w:top w:val="single" w:sz="4" w:space="0" w:color="000000"/>
              <w:left w:val="nil"/>
              <w:bottom w:val="nil"/>
              <w:right w:val="nil"/>
            </w:tcBorders>
            <w:vAlign w:val="center"/>
          </w:tcPr>
          <w:p w14:paraId="7CB14B71" w14:textId="77777777" w:rsidR="00B546DA" w:rsidRDefault="00976ABB">
            <w:pPr>
              <w:jc w:val="both"/>
            </w:pPr>
            <w:r>
              <w:t>4</w:t>
            </w:r>
          </w:p>
        </w:tc>
        <w:tc>
          <w:tcPr>
            <w:tcW w:w="828" w:type="pct"/>
            <w:tcBorders>
              <w:top w:val="single" w:sz="4" w:space="0" w:color="000000"/>
              <w:left w:val="nil"/>
              <w:bottom w:val="nil"/>
              <w:right w:val="nil"/>
            </w:tcBorders>
            <w:vAlign w:val="center"/>
          </w:tcPr>
          <w:p w14:paraId="38A82842" w14:textId="77777777" w:rsidR="00B546DA" w:rsidRDefault="00976ABB">
            <w:pPr>
              <w:jc w:val="both"/>
            </w:pPr>
            <w:r>
              <w:t>&lt; 0.001</w:t>
            </w:r>
          </w:p>
        </w:tc>
      </w:tr>
      <w:tr w:rsidR="00B546DA" w14:paraId="06BDFA72" w14:textId="77777777">
        <w:trPr>
          <w:trHeight w:val="414"/>
        </w:trPr>
        <w:tc>
          <w:tcPr>
            <w:tcW w:w="910" w:type="pct"/>
            <w:tcBorders>
              <w:top w:val="nil"/>
              <w:left w:val="nil"/>
              <w:bottom w:val="single" w:sz="12" w:space="0" w:color="000000"/>
              <w:right w:val="nil"/>
            </w:tcBorders>
            <w:vAlign w:val="center"/>
          </w:tcPr>
          <w:p w14:paraId="4D87A387" w14:textId="77777777" w:rsidR="00B546DA" w:rsidRDefault="00976ABB">
            <w:pPr>
              <w:jc w:val="both"/>
            </w:pPr>
            <w:r>
              <w:t>Secondary Indicator Layer</w:t>
            </w:r>
          </w:p>
        </w:tc>
        <w:tc>
          <w:tcPr>
            <w:tcW w:w="800" w:type="pct"/>
            <w:tcBorders>
              <w:top w:val="nil"/>
              <w:bottom w:val="single" w:sz="12" w:space="0" w:color="auto"/>
            </w:tcBorders>
            <w:vAlign w:val="center"/>
          </w:tcPr>
          <w:p w14:paraId="67994489" w14:textId="77777777" w:rsidR="00B546DA" w:rsidRDefault="00976ABB">
            <w:pPr>
              <w:jc w:val="both"/>
            </w:pPr>
            <w:r>
              <w:t>0.06 - 0.22</w:t>
            </w:r>
          </w:p>
        </w:tc>
        <w:tc>
          <w:tcPr>
            <w:tcW w:w="867" w:type="pct"/>
            <w:tcBorders>
              <w:top w:val="nil"/>
              <w:bottom w:val="single" w:sz="12" w:space="0" w:color="auto"/>
            </w:tcBorders>
            <w:vAlign w:val="center"/>
          </w:tcPr>
          <w:p w14:paraId="7DE73B72" w14:textId="77777777" w:rsidR="00B546DA" w:rsidRDefault="00976ABB">
            <w:pPr>
              <w:jc w:val="both"/>
            </w:pPr>
            <w:r>
              <w:t>0.284</w:t>
            </w:r>
          </w:p>
        </w:tc>
        <w:tc>
          <w:tcPr>
            <w:tcW w:w="797" w:type="pct"/>
            <w:tcBorders>
              <w:top w:val="nil"/>
              <w:bottom w:val="single" w:sz="12" w:space="0" w:color="auto"/>
            </w:tcBorders>
            <w:vAlign w:val="center"/>
          </w:tcPr>
          <w:p w14:paraId="2AE07209" w14:textId="77777777" w:rsidR="00B546DA" w:rsidRDefault="00976ABB">
            <w:pPr>
              <w:jc w:val="both"/>
            </w:pPr>
            <w:r>
              <w:t>110.76</w:t>
            </w:r>
          </w:p>
        </w:tc>
        <w:tc>
          <w:tcPr>
            <w:tcW w:w="797" w:type="pct"/>
            <w:tcBorders>
              <w:top w:val="nil"/>
              <w:left w:val="nil"/>
              <w:bottom w:val="single" w:sz="12" w:space="0" w:color="000000"/>
              <w:right w:val="nil"/>
            </w:tcBorders>
            <w:vAlign w:val="center"/>
          </w:tcPr>
          <w:p w14:paraId="7F839337" w14:textId="77777777" w:rsidR="00B546DA" w:rsidRDefault="00976ABB">
            <w:pPr>
              <w:jc w:val="both"/>
            </w:pPr>
            <w:r>
              <w:t>26</w:t>
            </w:r>
          </w:p>
        </w:tc>
        <w:tc>
          <w:tcPr>
            <w:tcW w:w="828" w:type="pct"/>
            <w:tcBorders>
              <w:top w:val="nil"/>
              <w:left w:val="nil"/>
              <w:bottom w:val="single" w:sz="12" w:space="0" w:color="000000"/>
              <w:right w:val="nil"/>
            </w:tcBorders>
            <w:vAlign w:val="center"/>
          </w:tcPr>
          <w:p w14:paraId="75B39DE9" w14:textId="77777777" w:rsidR="00B546DA" w:rsidRDefault="00976ABB">
            <w:pPr>
              <w:jc w:val="both"/>
            </w:pPr>
            <w:r>
              <w:t>&lt; 0.001</w:t>
            </w:r>
          </w:p>
        </w:tc>
      </w:tr>
    </w:tbl>
    <w:p w14:paraId="413D9233" w14:textId="77777777" w:rsidR="00B546DA" w:rsidRDefault="00B546DA">
      <w:pPr>
        <w:pStyle w:val="Body"/>
        <w:spacing w:after="0"/>
        <w:rPr>
          <w:rFonts w:ascii="Arial" w:hAnsi="Arial" w:cs="Arial"/>
          <w:lang w:eastAsia="zh-CN"/>
        </w:rPr>
      </w:pPr>
    </w:p>
    <w:p w14:paraId="721E7D80" w14:textId="77777777" w:rsidR="00B546DA" w:rsidRDefault="00976ABB">
      <w:pPr>
        <w:pStyle w:val="Body"/>
        <w:spacing w:after="0"/>
        <w:rPr>
          <w:rFonts w:ascii="Arial" w:hAnsi="Arial" w:cs="Arial"/>
          <w:lang w:eastAsia="zh-CN"/>
        </w:rPr>
      </w:pPr>
      <w:r>
        <w:rPr>
          <w:rFonts w:ascii="Arial" w:hAnsi="Arial" w:cs="Arial"/>
          <w:lang w:eastAsia="zh-CN"/>
        </w:rPr>
        <w:t>During this phase, qualitative feedback provided by the experts led to the integration of overlapping indicators. For example, the indicators for "difficulty gradient" and "stratified guidance" were merged into a single metric: "Resource difficulty is tiered (basic, advanced, extended) to adapt to the stratified teaching needs of students with different mathematical foundations".</w:t>
      </w:r>
      <w:r>
        <w:rPr>
          <w:rFonts w:ascii="Arial" w:hAnsi="Arial" w:cs="Arial" w:hint="eastAsia"/>
          <w:lang w:eastAsia="zh-CN"/>
        </w:rPr>
        <w:t xml:space="preserve"> </w:t>
      </w:r>
      <w:r>
        <w:rPr>
          <w:rFonts w:ascii="Arial" w:hAnsi="Arial" w:cs="Arial"/>
          <w:lang w:eastAsia="zh-CN"/>
        </w:rPr>
        <w:t>Furthermore, to respond to the ethical and technical requirements of the digital age, new indicators regarding "platform data security and privacy protection" and "automated learning early warning efficiency" were introduced.</w:t>
      </w:r>
    </w:p>
    <w:p w14:paraId="16C18293" w14:textId="77777777" w:rsidR="00B546DA" w:rsidRDefault="00B546DA">
      <w:pPr>
        <w:pStyle w:val="Body"/>
        <w:spacing w:after="0"/>
        <w:rPr>
          <w:rFonts w:ascii="Arial" w:hAnsi="Arial" w:cs="Arial"/>
          <w:lang w:eastAsia="zh-CN"/>
        </w:rPr>
      </w:pPr>
    </w:p>
    <w:p w14:paraId="18BB0A9C" w14:textId="77777777" w:rsidR="00B546DA" w:rsidRDefault="00976ABB">
      <w:pPr>
        <w:pStyle w:val="Body"/>
        <w:spacing w:after="0"/>
        <w:rPr>
          <w:rFonts w:ascii="Arial" w:hAnsi="Arial" w:cs="Arial"/>
          <w:lang w:eastAsia="zh-CN"/>
        </w:rPr>
      </w:pPr>
      <w:r>
        <w:rPr>
          <w:rFonts w:ascii="Arial" w:hAnsi="Arial" w:cs="Arial"/>
          <w:b/>
          <w:caps/>
        </w:rPr>
        <w:t>2.</w:t>
      </w:r>
      <w:r>
        <w:rPr>
          <w:rFonts w:ascii="Arial" w:hAnsi="Arial" w:cs="Arial" w:hint="eastAsia"/>
          <w:b/>
          <w:caps/>
          <w:lang w:eastAsia="zh-CN"/>
        </w:rPr>
        <w:t>1.3</w:t>
      </w:r>
      <w:r>
        <w:rPr>
          <w:rFonts w:ascii="Arial" w:hAnsi="Arial" w:cs="Arial"/>
          <w:b/>
          <w:caps/>
        </w:rPr>
        <w:t xml:space="preserve"> </w:t>
      </w:r>
      <w:r>
        <w:rPr>
          <w:rFonts w:ascii="Arial" w:hAnsi="Arial" w:cs="Arial"/>
          <w:b/>
        </w:rPr>
        <w:t>Second-Round Delphi and Finalization of the Indicator System</w:t>
      </w:r>
    </w:p>
    <w:p w14:paraId="5A92C7E8" w14:textId="77777777" w:rsidR="00B546DA" w:rsidRDefault="00B546DA">
      <w:pPr>
        <w:pStyle w:val="Body"/>
        <w:spacing w:after="0"/>
        <w:rPr>
          <w:rFonts w:ascii="Arial" w:hAnsi="Arial" w:cs="Arial"/>
          <w:lang w:eastAsia="zh-CN"/>
        </w:rPr>
      </w:pPr>
    </w:p>
    <w:p w14:paraId="4C0BE2D3" w14:textId="77777777" w:rsidR="00B546DA" w:rsidRDefault="00976ABB">
      <w:pPr>
        <w:pStyle w:val="Body"/>
        <w:spacing w:after="0"/>
        <w:rPr>
          <w:rFonts w:ascii="Arial" w:hAnsi="Arial" w:cs="Arial"/>
          <w:lang w:eastAsia="zh-CN"/>
        </w:rPr>
      </w:pPr>
      <w:r>
        <w:rPr>
          <w:rFonts w:ascii="Arial" w:hAnsi="Arial" w:cs="Arial"/>
          <w:lang w:eastAsia="zh-CN"/>
        </w:rPr>
        <w:t xml:space="preserve">The second round focused on verifying the consensus on the refined system. As shown in Table </w:t>
      </w:r>
      <w:r>
        <w:rPr>
          <w:rFonts w:ascii="Arial" w:hAnsi="Arial" w:cs="Arial" w:hint="eastAsia"/>
          <w:lang w:eastAsia="zh-CN"/>
        </w:rPr>
        <w:t>3</w:t>
      </w:r>
      <w:r>
        <w:rPr>
          <w:rFonts w:ascii="Arial" w:hAnsi="Arial" w:cs="Arial"/>
          <w:lang w:eastAsia="zh-CN"/>
        </w:rPr>
        <w:t>,</w:t>
      </w:r>
      <w:r>
        <w:rPr>
          <w:rFonts w:ascii="Arial" w:hAnsi="Arial" w:cs="Arial" w:hint="eastAsia"/>
          <w:lang w:eastAsia="zh-CN"/>
        </w:rPr>
        <w:t xml:space="preserve"> t</w:t>
      </w:r>
      <w:r>
        <w:rPr>
          <w:rFonts w:ascii="Arial" w:hAnsi="Arial" w:cs="Arial"/>
          <w:lang w:eastAsia="zh-CN"/>
        </w:rPr>
        <w:t>he results indicated a significant improvement in the Kendall coordination coefficient, suggesting a successful convergence of expert opinions and a decrease in the dispersion of scores.</w:t>
      </w:r>
      <w:r>
        <w:rPr>
          <w:rFonts w:ascii="Arial" w:hAnsi="Arial" w:cs="Arial" w:hint="eastAsia"/>
          <w:lang w:eastAsia="zh-CN"/>
        </w:rPr>
        <w:t xml:space="preserve"> </w:t>
      </w:r>
      <w:r>
        <w:rPr>
          <w:rFonts w:ascii="Arial" w:hAnsi="Arial" w:cs="Arial"/>
          <w:lang w:eastAsia="zh-CN"/>
        </w:rPr>
        <w:t>This convergence is a critical prerequisite for the subsequent AHP analysis, as it ensures that the inputs for the pairwise comparison matrices are grounded in a stable expert consensus.</w:t>
      </w:r>
    </w:p>
    <w:p w14:paraId="7F09A6CB" w14:textId="77777777" w:rsidR="00B546DA" w:rsidRDefault="00B546DA">
      <w:pPr>
        <w:pStyle w:val="Body"/>
        <w:spacing w:after="0"/>
        <w:rPr>
          <w:rFonts w:ascii="Arial" w:hAnsi="Arial" w:cs="Arial"/>
          <w:lang w:eastAsia="zh-CN"/>
        </w:rPr>
      </w:pPr>
    </w:p>
    <w:p w14:paraId="3050BA66" w14:textId="77777777" w:rsidR="00B546DA" w:rsidRDefault="00976ABB">
      <w:pPr>
        <w:tabs>
          <w:tab w:val="left" w:pos="1080"/>
        </w:tabs>
        <w:jc w:val="both"/>
        <w:rPr>
          <w:rFonts w:ascii="Arial" w:hAnsi="Arial"/>
          <w:b/>
        </w:rPr>
      </w:pPr>
      <w:r>
        <w:rPr>
          <w:rFonts w:ascii="Arial" w:hAnsi="Arial"/>
          <w:b/>
        </w:rPr>
        <w:t xml:space="preserve">Table </w:t>
      </w:r>
      <w:r>
        <w:rPr>
          <w:rFonts w:ascii="Arial" w:hAnsi="Arial" w:hint="eastAsia"/>
          <w:b/>
          <w:lang w:eastAsia="zh-CN"/>
        </w:rPr>
        <w:t>3</w:t>
      </w:r>
      <w:r>
        <w:rPr>
          <w:rFonts w:ascii="Arial" w:hAnsi="Arial"/>
          <w:b/>
        </w:rPr>
        <w:t>.</w:t>
      </w:r>
      <w:r>
        <w:rPr>
          <w:rFonts w:ascii="Arial" w:hAnsi="Arial"/>
          <w:b/>
        </w:rPr>
        <w:tab/>
        <w:t xml:space="preserve">Statistical Results of the </w:t>
      </w:r>
      <w:r>
        <w:rPr>
          <w:rFonts w:ascii="Arial" w:hAnsi="Arial" w:hint="eastAsia"/>
          <w:b/>
          <w:lang w:eastAsia="zh-CN"/>
        </w:rPr>
        <w:t>Second</w:t>
      </w:r>
      <w:r>
        <w:rPr>
          <w:rFonts w:ascii="Arial" w:hAnsi="Arial"/>
          <w:b/>
        </w:rPr>
        <w:t xml:space="preserve"> Round of Expert Consultation</w:t>
      </w:r>
    </w:p>
    <w:p w14:paraId="240BB040" w14:textId="77777777" w:rsidR="00B546DA" w:rsidRDefault="00B546DA">
      <w:pPr>
        <w:tabs>
          <w:tab w:val="left" w:pos="1080"/>
        </w:tabs>
        <w:jc w:val="both"/>
        <w:rPr>
          <w:rFonts w:ascii="Arial" w:hAnsi="Arial"/>
          <w:b/>
          <w:lang w:eastAsia="zh-CN"/>
        </w:rPr>
      </w:pP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476"/>
        <w:gridCol w:w="1295"/>
        <w:gridCol w:w="1461"/>
        <w:gridCol w:w="1290"/>
        <w:gridCol w:w="1291"/>
        <w:gridCol w:w="1395"/>
      </w:tblGrid>
      <w:tr w:rsidR="00B546DA" w14:paraId="227EA1C3" w14:textId="77777777">
        <w:tc>
          <w:tcPr>
            <w:tcW w:w="910" w:type="pct"/>
            <w:tcBorders>
              <w:top w:val="single" w:sz="12" w:space="0" w:color="000000"/>
              <w:left w:val="nil"/>
              <w:bottom w:val="nil"/>
              <w:right w:val="nil"/>
            </w:tcBorders>
            <w:vAlign w:val="center"/>
          </w:tcPr>
          <w:p w14:paraId="6F754EE1" w14:textId="77777777" w:rsidR="00B546DA" w:rsidRDefault="00976ABB">
            <w:pPr>
              <w:jc w:val="both"/>
              <w:rPr>
                <w:rFonts w:ascii="Arial" w:hAnsi="Arial" w:cs="Arial"/>
                <w:b/>
                <w:bCs/>
              </w:rPr>
            </w:pPr>
            <w:r>
              <w:rPr>
                <w:rFonts w:ascii="Arial" w:hAnsi="Arial" w:cs="Arial"/>
                <w:b/>
                <w:bCs/>
              </w:rPr>
              <w:t>Evaluation Level</w:t>
            </w:r>
          </w:p>
        </w:tc>
        <w:tc>
          <w:tcPr>
            <w:tcW w:w="800" w:type="pct"/>
            <w:tcBorders>
              <w:top w:val="single" w:sz="12" w:space="0" w:color="auto"/>
            </w:tcBorders>
            <w:vAlign w:val="center"/>
          </w:tcPr>
          <w:p w14:paraId="02600075" w14:textId="77777777" w:rsidR="00B546DA" w:rsidRDefault="00976ABB">
            <w:pPr>
              <w:jc w:val="both"/>
              <w:rPr>
                <w:rFonts w:ascii="Arial" w:hAnsi="Arial" w:cs="Arial"/>
                <w:b/>
                <w:bCs/>
                <w:lang w:eastAsia="zh-CN"/>
              </w:rPr>
            </w:pPr>
            <w:r>
              <w:rPr>
                <w:rFonts w:ascii="Arial" w:hAnsi="Arial" w:cs="Arial"/>
                <w:b/>
                <w:bCs/>
              </w:rPr>
              <w:t>C</w:t>
            </w:r>
            <w:r>
              <w:rPr>
                <w:rFonts w:ascii="Arial" w:hAnsi="Arial" w:cs="Arial"/>
                <w:b/>
                <w:bCs/>
                <w:lang w:eastAsia="zh-CN"/>
              </w:rPr>
              <w:t>V</w:t>
            </w:r>
          </w:p>
        </w:tc>
        <w:tc>
          <w:tcPr>
            <w:tcW w:w="867" w:type="pct"/>
            <w:tcBorders>
              <w:top w:val="single" w:sz="12" w:space="0" w:color="auto"/>
            </w:tcBorders>
            <w:vAlign w:val="center"/>
          </w:tcPr>
          <w:p w14:paraId="37FE3F94" w14:textId="77777777" w:rsidR="00B546DA" w:rsidRDefault="00976ABB">
            <w:pPr>
              <w:jc w:val="both"/>
              <w:rPr>
                <w:rFonts w:ascii="Arial" w:hAnsi="Arial" w:cs="Arial"/>
                <w:b/>
                <w:bCs/>
              </w:rPr>
            </w:pPr>
            <w:r>
              <w:rPr>
                <w:rFonts w:ascii="Arial" w:hAnsi="Arial" w:cs="Arial"/>
                <w:b/>
                <w:bCs/>
              </w:rPr>
              <w:t>Coordination coefficient</w:t>
            </w:r>
          </w:p>
        </w:tc>
        <w:tc>
          <w:tcPr>
            <w:tcW w:w="797" w:type="pct"/>
            <w:tcBorders>
              <w:top w:val="single" w:sz="12" w:space="0" w:color="auto"/>
            </w:tcBorders>
            <w:vAlign w:val="center"/>
          </w:tcPr>
          <w:p w14:paraId="2FD9D7A7" w14:textId="77777777" w:rsidR="00B546DA" w:rsidRDefault="00976ABB">
            <w:pPr>
              <w:jc w:val="both"/>
              <w:rPr>
                <w:rFonts w:ascii="Arial" w:hAnsi="Arial" w:cs="Arial"/>
                <w:b/>
                <w:bCs/>
              </w:rPr>
            </w:pPr>
            <w:r>
              <w:rPr>
                <w:rFonts w:ascii="Arial" w:hAnsi="Arial" w:cs="Arial"/>
                <w:b/>
                <w:bCs/>
              </w:rPr>
              <w:t>chi-square value</w:t>
            </w:r>
          </w:p>
        </w:tc>
        <w:tc>
          <w:tcPr>
            <w:tcW w:w="797" w:type="pct"/>
            <w:tcBorders>
              <w:top w:val="single" w:sz="12" w:space="0" w:color="000000"/>
              <w:left w:val="nil"/>
              <w:bottom w:val="nil"/>
              <w:right w:val="nil"/>
            </w:tcBorders>
            <w:vAlign w:val="center"/>
          </w:tcPr>
          <w:p w14:paraId="5332E5B4" w14:textId="77777777" w:rsidR="00B546DA" w:rsidRDefault="00976ABB">
            <w:pPr>
              <w:rPr>
                <w:rFonts w:ascii="Arial" w:hAnsi="Arial" w:cs="Arial"/>
                <w:b/>
                <w:bCs/>
              </w:rPr>
            </w:pPr>
            <w:r>
              <w:rPr>
                <w:rFonts w:ascii="Arial" w:hAnsi="Arial" w:cs="Arial"/>
                <w:b/>
                <w:bCs/>
              </w:rPr>
              <w:t>Degree of freedom</w:t>
            </w:r>
          </w:p>
        </w:tc>
        <w:tc>
          <w:tcPr>
            <w:tcW w:w="828" w:type="pct"/>
            <w:tcBorders>
              <w:top w:val="single" w:sz="12" w:space="0" w:color="000000"/>
              <w:left w:val="nil"/>
              <w:bottom w:val="nil"/>
              <w:right w:val="nil"/>
            </w:tcBorders>
            <w:vAlign w:val="center"/>
          </w:tcPr>
          <w:p w14:paraId="62A30188" w14:textId="77777777" w:rsidR="00B546DA" w:rsidRDefault="00976ABB">
            <w:pPr>
              <w:jc w:val="both"/>
              <w:rPr>
                <w:rFonts w:ascii="Arial" w:hAnsi="Arial" w:cs="Arial"/>
                <w:b/>
                <w:bCs/>
              </w:rPr>
            </w:pPr>
            <w:r>
              <w:rPr>
                <w:rFonts w:ascii="Arial" w:hAnsi="Arial" w:cs="Arial"/>
                <w:b/>
                <w:bCs/>
              </w:rPr>
              <w:t>Significance</w:t>
            </w:r>
          </w:p>
        </w:tc>
      </w:tr>
      <w:tr w:rsidR="00B546DA" w14:paraId="0F21B898" w14:textId="77777777">
        <w:trPr>
          <w:trHeight w:val="414"/>
        </w:trPr>
        <w:tc>
          <w:tcPr>
            <w:tcW w:w="910" w:type="pct"/>
            <w:tcBorders>
              <w:top w:val="single" w:sz="4" w:space="0" w:color="000000"/>
              <w:left w:val="nil"/>
              <w:bottom w:val="nil"/>
              <w:right w:val="nil"/>
            </w:tcBorders>
            <w:vAlign w:val="center"/>
          </w:tcPr>
          <w:p w14:paraId="6F108A22" w14:textId="77777777" w:rsidR="00B546DA" w:rsidRDefault="00976ABB">
            <w:pPr>
              <w:jc w:val="both"/>
              <w:rPr>
                <w:rFonts w:ascii="Arial" w:hAnsi="Arial" w:cs="Arial"/>
              </w:rPr>
            </w:pPr>
            <w:r>
              <w:rPr>
                <w:rFonts w:ascii="Arial" w:hAnsi="Arial" w:cs="Arial"/>
              </w:rPr>
              <w:t>Primary Dimension Layer</w:t>
            </w:r>
          </w:p>
        </w:tc>
        <w:tc>
          <w:tcPr>
            <w:tcW w:w="800" w:type="pct"/>
            <w:tcBorders>
              <w:bottom w:val="nil"/>
            </w:tcBorders>
            <w:vAlign w:val="center"/>
          </w:tcPr>
          <w:p w14:paraId="68902173" w14:textId="77777777" w:rsidR="00B546DA" w:rsidRDefault="00976ABB">
            <w:pPr>
              <w:jc w:val="both"/>
              <w:rPr>
                <w:rFonts w:ascii="Arial" w:hAnsi="Arial" w:cs="Arial"/>
              </w:rPr>
            </w:pPr>
            <w:r>
              <w:rPr>
                <w:rFonts w:ascii="Arial" w:hAnsi="Arial" w:cs="Arial"/>
              </w:rPr>
              <w:t>0.08 - 0.15</w:t>
            </w:r>
          </w:p>
        </w:tc>
        <w:tc>
          <w:tcPr>
            <w:tcW w:w="867" w:type="pct"/>
            <w:tcBorders>
              <w:bottom w:val="nil"/>
            </w:tcBorders>
            <w:vAlign w:val="center"/>
          </w:tcPr>
          <w:p w14:paraId="7C603694" w14:textId="77777777" w:rsidR="00B546DA" w:rsidRDefault="00976ABB">
            <w:pPr>
              <w:jc w:val="both"/>
              <w:rPr>
                <w:rFonts w:ascii="Arial" w:hAnsi="Arial" w:cs="Arial"/>
              </w:rPr>
            </w:pPr>
            <w:r>
              <w:rPr>
                <w:rFonts w:ascii="Arial" w:hAnsi="Arial" w:cs="Arial"/>
              </w:rPr>
              <w:t>0.536</w:t>
            </w:r>
          </w:p>
        </w:tc>
        <w:tc>
          <w:tcPr>
            <w:tcW w:w="797" w:type="pct"/>
            <w:tcBorders>
              <w:bottom w:val="nil"/>
            </w:tcBorders>
            <w:vAlign w:val="center"/>
          </w:tcPr>
          <w:p w14:paraId="121ACAFF" w14:textId="77777777" w:rsidR="00B546DA" w:rsidRDefault="00976ABB">
            <w:pPr>
              <w:jc w:val="both"/>
              <w:rPr>
                <w:rFonts w:ascii="Arial" w:hAnsi="Arial" w:cs="Arial"/>
              </w:rPr>
            </w:pPr>
            <w:r>
              <w:rPr>
                <w:rFonts w:ascii="Arial" w:hAnsi="Arial" w:cs="Arial"/>
              </w:rPr>
              <w:t>32.16</w:t>
            </w:r>
          </w:p>
        </w:tc>
        <w:tc>
          <w:tcPr>
            <w:tcW w:w="797" w:type="pct"/>
            <w:tcBorders>
              <w:top w:val="single" w:sz="4" w:space="0" w:color="000000"/>
              <w:left w:val="nil"/>
              <w:bottom w:val="nil"/>
              <w:right w:val="nil"/>
            </w:tcBorders>
            <w:vAlign w:val="center"/>
          </w:tcPr>
          <w:p w14:paraId="28EA5C99" w14:textId="77777777" w:rsidR="00B546DA" w:rsidRDefault="00976ABB">
            <w:pPr>
              <w:jc w:val="both"/>
              <w:rPr>
                <w:rFonts w:ascii="Arial" w:hAnsi="Arial" w:cs="Arial"/>
              </w:rPr>
            </w:pPr>
            <w:r>
              <w:rPr>
                <w:rFonts w:ascii="Arial" w:hAnsi="Arial" w:cs="Arial"/>
              </w:rPr>
              <w:t>4</w:t>
            </w:r>
          </w:p>
        </w:tc>
        <w:tc>
          <w:tcPr>
            <w:tcW w:w="828" w:type="pct"/>
            <w:tcBorders>
              <w:top w:val="single" w:sz="4" w:space="0" w:color="000000"/>
              <w:left w:val="nil"/>
              <w:bottom w:val="nil"/>
              <w:right w:val="nil"/>
            </w:tcBorders>
            <w:vAlign w:val="center"/>
          </w:tcPr>
          <w:p w14:paraId="41EF29C1" w14:textId="77777777" w:rsidR="00B546DA" w:rsidRDefault="00976ABB">
            <w:pPr>
              <w:jc w:val="both"/>
              <w:rPr>
                <w:rFonts w:ascii="Arial" w:hAnsi="Arial" w:cs="Arial"/>
              </w:rPr>
            </w:pPr>
            <w:r>
              <w:rPr>
                <w:rFonts w:ascii="Arial" w:hAnsi="Arial" w:cs="Arial"/>
              </w:rPr>
              <w:t>&lt; 0.001</w:t>
            </w:r>
          </w:p>
        </w:tc>
      </w:tr>
      <w:tr w:rsidR="00B546DA" w14:paraId="66996F6D" w14:textId="77777777">
        <w:trPr>
          <w:trHeight w:val="414"/>
        </w:trPr>
        <w:tc>
          <w:tcPr>
            <w:tcW w:w="910" w:type="pct"/>
            <w:tcBorders>
              <w:top w:val="nil"/>
              <w:left w:val="nil"/>
              <w:bottom w:val="single" w:sz="12" w:space="0" w:color="000000"/>
              <w:right w:val="nil"/>
            </w:tcBorders>
            <w:vAlign w:val="center"/>
          </w:tcPr>
          <w:p w14:paraId="1BB34CC7" w14:textId="77777777" w:rsidR="00B546DA" w:rsidRDefault="00976ABB">
            <w:pPr>
              <w:jc w:val="both"/>
              <w:rPr>
                <w:rFonts w:ascii="Arial" w:hAnsi="Arial" w:cs="Arial"/>
              </w:rPr>
            </w:pPr>
            <w:r>
              <w:rPr>
                <w:rFonts w:ascii="Arial" w:hAnsi="Arial" w:cs="Arial"/>
              </w:rPr>
              <w:t>Secondary Indicator Layer</w:t>
            </w:r>
          </w:p>
        </w:tc>
        <w:tc>
          <w:tcPr>
            <w:tcW w:w="800" w:type="pct"/>
            <w:tcBorders>
              <w:top w:val="nil"/>
              <w:bottom w:val="single" w:sz="12" w:space="0" w:color="auto"/>
            </w:tcBorders>
            <w:vAlign w:val="center"/>
          </w:tcPr>
          <w:p w14:paraId="4895328D" w14:textId="77777777" w:rsidR="00B546DA" w:rsidRDefault="00976ABB">
            <w:pPr>
              <w:jc w:val="both"/>
              <w:rPr>
                <w:rFonts w:ascii="Arial" w:hAnsi="Arial" w:cs="Arial"/>
              </w:rPr>
            </w:pPr>
            <w:r>
              <w:rPr>
                <w:rFonts w:ascii="Arial" w:hAnsi="Arial" w:cs="Arial"/>
              </w:rPr>
              <w:t>0.07 - 0.20</w:t>
            </w:r>
          </w:p>
        </w:tc>
        <w:tc>
          <w:tcPr>
            <w:tcW w:w="867" w:type="pct"/>
            <w:tcBorders>
              <w:top w:val="nil"/>
              <w:bottom w:val="single" w:sz="12" w:space="0" w:color="auto"/>
            </w:tcBorders>
            <w:vAlign w:val="center"/>
          </w:tcPr>
          <w:p w14:paraId="1EC13746" w14:textId="77777777" w:rsidR="00B546DA" w:rsidRDefault="00976ABB">
            <w:pPr>
              <w:jc w:val="both"/>
              <w:rPr>
                <w:rFonts w:ascii="Arial" w:hAnsi="Arial" w:cs="Arial"/>
              </w:rPr>
            </w:pPr>
            <w:r>
              <w:rPr>
                <w:rFonts w:ascii="Arial" w:hAnsi="Arial" w:cs="Arial"/>
              </w:rPr>
              <w:t>0.428</w:t>
            </w:r>
          </w:p>
        </w:tc>
        <w:tc>
          <w:tcPr>
            <w:tcW w:w="797" w:type="pct"/>
            <w:tcBorders>
              <w:top w:val="nil"/>
              <w:bottom w:val="single" w:sz="12" w:space="0" w:color="auto"/>
            </w:tcBorders>
            <w:vAlign w:val="center"/>
          </w:tcPr>
          <w:p w14:paraId="7572290E" w14:textId="77777777" w:rsidR="00B546DA" w:rsidRDefault="00976ABB">
            <w:pPr>
              <w:jc w:val="both"/>
              <w:rPr>
                <w:rFonts w:ascii="Arial" w:hAnsi="Arial" w:cs="Arial"/>
              </w:rPr>
            </w:pPr>
            <w:r>
              <w:rPr>
                <w:rFonts w:ascii="Arial" w:hAnsi="Arial" w:cs="Arial"/>
              </w:rPr>
              <w:t>154.08</w:t>
            </w:r>
          </w:p>
        </w:tc>
        <w:tc>
          <w:tcPr>
            <w:tcW w:w="797" w:type="pct"/>
            <w:tcBorders>
              <w:top w:val="nil"/>
              <w:left w:val="nil"/>
              <w:bottom w:val="single" w:sz="12" w:space="0" w:color="000000"/>
              <w:right w:val="nil"/>
            </w:tcBorders>
            <w:vAlign w:val="center"/>
          </w:tcPr>
          <w:p w14:paraId="379DF9DE" w14:textId="77777777" w:rsidR="00B546DA" w:rsidRDefault="00976ABB">
            <w:pPr>
              <w:jc w:val="both"/>
              <w:rPr>
                <w:rFonts w:ascii="Arial" w:hAnsi="Arial" w:cs="Arial"/>
              </w:rPr>
            </w:pPr>
            <w:r>
              <w:rPr>
                <w:rFonts w:ascii="Arial" w:hAnsi="Arial" w:cs="Arial"/>
              </w:rPr>
              <w:t>24</w:t>
            </w:r>
          </w:p>
        </w:tc>
        <w:tc>
          <w:tcPr>
            <w:tcW w:w="828" w:type="pct"/>
            <w:tcBorders>
              <w:top w:val="nil"/>
              <w:left w:val="nil"/>
              <w:bottom w:val="single" w:sz="12" w:space="0" w:color="000000"/>
              <w:right w:val="nil"/>
            </w:tcBorders>
            <w:vAlign w:val="center"/>
          </w:tcPr>
          <w:p w14:paraId="4287962F" w14:textId="77777777" w:rsidR="00B546DA" w:rsidRDefault="00976ABB">
            <w:pPr>
              <w:jc w:val="both"/>
              <w:rPr>
                <w:rFonts w:ascii="Arial" w:hAnsi="Arial" w:cs="Arial"/>
              </w:rPr>
            </w:pPr>
            <w:r>
              <w:rPr>
                <w:rFonts w:ascii="Arial" w:hAnsi="Arial" w:cs="Arial"/>
              </w:rPr>
              <w:t>&lt; 0.001</w:t>
            </w:r>
          </w:p>
        </w:tc>
      </w:tr>
    </w:tbl>
    <w:p w14:paraId="27548716" w14:textId="77777777" w:rsidR="00B546DA" w:rsidRDefault="00B546DA">
      <w:pPr>
        <w:pStyle w:val="Body"/>
        <w:spacing w:after="0"/>
        <w:rPr>
          <w:rFonts w:ascii="Arial" w:hAnsi="Arial" w:cs="Arial"/>
          <w:lang w:eastAsia="zh-CN"/>
        </w:rPr>
      </w:pPr>
    </w:p>
    <w:p w14:paraId="70CF0C57" w14:textId="77777777" w:rsidR="00B546DA" w:rsidRDefault="00976ABB">
      <w:pPr>
        <w:pStyle w:val="Body"/>
        <w:spacing w:after="0"/>
        <w:rPr>
          <w:rFonts w:ascii="Arial" w:hAnsi="Arial" w:cs="Arial"/>
          <w:lang w:eastAsia="zh-CN"/>
        </w:rPr>
      </w:pPr>
      <w:r>
        <w:rPr>
          <w:rFonts w:ascii="Arial" w:hAnsi="Arial" w:cs="Arial"/>
          <w:lang w:eastAsia="zh-CN"/>
        </w:rPr>
        <w:t>The finalized evaluation system consists of 25 indicators across five core dimensions: Teaching Objectives, Teaching Content, Teaching Implementation, Teaching Effectiveness, and Teaching Support. This structure not only reflects the internal logic of Higher Mathematics instruction but also explicitly incorporates the dimensions of digital empowerment and process intervention.</w:t>
      </w:r>
    </w:p>
    <w:p w14:paraId="52194C08" w14:textId="77777777" w:rsidR="00B546DA" w:rsidRDefault="00B546DA">
      <w:pPr>
        <w:pStyle w:val="Body"/>
        <w:spacing w:after="0"/>
        <w:rPr>
          <w:rFonts w:ascii="Arial" w:hAnsi="Arial" w:cs="Arial"/>
          <w:lang w:eastAsia="zh-CN"/>
        </w:rPr>
      </w:pPr>
    </w:p>
    <w:p w14:paraId="2F86B46F" w14:textId="77777777" w:rsidR="00B546DA" w:rsidRDefault="00976ABB">
      <w:pPr>
        <w:pStyle w:val="Body"/>
        <w:spacing w:after="0"/>
        <w:rPr>
          <w:rFonts w:ascii="Arial" w:hAnsi="Arial" w:cs="Arial"/>
          <w:b/>
          <w:bCs/>
          <w:sz w:val="22"/>
          <w:szCs w:val="22"/>
          <w:lang w:eastAsia="zh-CN"/>
        </w:rPr>
      </w:pPr>
      <w:r>
        <w:rPr>
          <w:rFonts w:ascii="Arial" w:hAnsi="Arial" w:cs="Arial"/>
          <w:b/>
          <w:bCs/>
          <w:sz w:val="22"/>
          <w:szCs w:val="22"/>
          <w:lang w:eastAsia="zh-CN"/>
        </w:rPr>
        <w:t>2.</w:t>
      </w:r>
      <w:r>
        <w:rPr>
          <w:rFonts w:ascii="Arial" w:hAnsi="Arial" w:cs="Arial" w:hint="eastAsia"/>
          <w:b/>
          <w:bCs/>
          <w:sz w:val="22"/>
          <w:szCs w:val="22"/>
          <w:lang w:eastAsia="zh-CN"/>
        </w:rPr>
        <w:t>2</w:t>
      </w:r>
      <w:r>
        <w:rPr>
          <w:rFonts w:ascii="Arial" w:hAnsi="Arial" w:cs="Arial"/>
          <w:b/>
          <w:bCs/>
          <w:sz w:val="22"/>
          <w:szCs w:val="22"/>
          <w:lang w:eastAsia="zh-CN"/>
        </w:rPr>
        <w:t xml:space="preserve"> Quantitative Weighting and Model Consistency Analysis</w:t>
      </w:r>
    </w:p>
    <w:p w14:paraId="5DC4E4E2" w14:textId="77777777" w:rsidR="00B546DA" w:rsidRDefault="00B546DA">
      <w:pPr>
        <w:pStyle w:val="Body"/>
        <w:spacing w:after="0"/>
        <w:rPr>
          <w:rFonts w:ascii="Arial" w:hAnsi="Arial" w:cs="Arial"/>
          <w:lang w:eastAsia="zh-CN"/>
        </w:rPr>
      </w:pPr>
    </w:p>
    <w:p w14:paraId="658D94C8" w14:textId="77777777" w:rsidR="00B546DA" w:rsidRDefault="00976ABB">
      <w:pPr>
        <w:pStyle w:val="Body"/>
        <w:spacing w:after="0"/>
        <w:rPr>
          <w:rFonts w:ascii="Arial" w:hAnsi="Arial" w:cs="Arial"/>
          <w:lang w:eastAsia="zh-CN"/>
        </w:rPr>
      </w:pPr>
      <w:r>
        <w:rPr>
          <w:rFonts w:ascii="Arial" w:hAnsi="Arial" w:cs="Arial"/>
          <w:lang w:eastAsia="zh-CN"/>
        </w:rPr>
        <w:t>Following the consensus achieved through the Delphi rounds, the</w:t>
      </w:r>
      <w:r>
        <w:rPr>
          <w:rFonts w:ascii="Arial" w:hAnsi="Arial" w:cs="Arial" w:hint="eastAsia"/>
          <w:lang w:eastAsia="zh-CN"/>
        </w:rPr>
        <w:t xml:space="preserve"> </w:t>
      </w:r>
      <w:r>
        <w:rPr>
          <w:rFonts w:ascii="Arial" w:hAnsi="Arial" w:cs="Arial"/>
          <w:lang w:eastAsia="zh-CN"/>
        </w:rPr>
        <w:t>AHP was employed to quantify the relative importance of each indicator. Experts used the Saaty 1-9 scale to perform pairwise comparisons, which were then converted into standardized weights. This process allows the model to capture the "non-linear" importance of various factors in a complex educational system.</w:t>
      </w:r>
    </w:p>
    <w:p w14:paraId="03919EF7" w14:textId="77777777" w:rsidR="00B546DA" w:rsidRDefault="00B546DA">
      <w:pPr>
        <w:pStyle w:val="Body"/>
        <w:spacing w:after="0"/>
        <w:rPr>
          <w:rFonts w:ascii="Arial" w:hAnsi="Arial" w:cs="Arial"/>
          <w:lang w:eastAsia="zh-CN"/>
        </w:rPr>
      </w:pPr>
    </w:p>
    <w:p w14:paraId="048C2933" w14:textId="77777777" w:rsidR="00B546DA" w:rsidRDefault="00976ABB">
      <w:pPr>
        <w:pStyle w:val="Body"/>
        <w:spacing w:after="0"/>
        <w:rPr>
          <w:rFonts w:ascii="Arial" w:hAnsi="Arial" w:cs="Arial"/>
          <w:b/>
          <w:bCs/>
          <w:lang w:eastAsia="zh-CN"/>
        </w:rPr>
      </w:pPr>
      <w:r>
        <w:rPr>
          <w:rFonts w:ascii="Arial" w:hAnsi="Arial" w:cs="Arial"/>
          <w:b/>
          <w:bCs/>
          <w:lang w:eastAsia="zh-CN"/>
        </w:rPr>
        <w:t>2.2.1 Hierarchical Structure and Weight Distribution</w:t>
      </w:r>
    </w:p>
    <w:p w14:paraId="1015373D" w14:textId="77777777" w:rsidR="00B546DA" w:rsidRDefault="00B546DA">
      <w:pPr>
        <w:pStyle w:val="Body"/>
        <w:spacing w:after="0"/>
        <w:rPr>
          <w:rFonts w:ascii="Arial" w:hAnsi="Arial" w:cs="Arial"/>
          <w:lang w:eastAsia="zh-CN"/>
        </w:rPr>
      </w:pPr>
    </w:p>
    <w:p w14:paraId="18F4CAFF" w14:textId="77777777" w:rsidR="00B546DA" w:rsidRDefault="00976ABB">
      <w:pPr>
        <w:pStyle w:val="Body"/>
        <w:spacing w:after="0"/>
        <w:rPr>
          <w:rFonts w:ascii="Arial" w:hAnsi="Arial" w:cs="Arial"/>
          <w:lang w:eastAsia="zh-CN"/>
        </w:rPr>
      </w:pPr>
      <w:r>
        <w:rPr>
          <w:rFonts w:ascii="Arial" w:hAnsi="Arial" w:cs="Arial"/>
          <w:lang w:eastAsia="zh-CN"/>
        </w:rPr>
        <w:t>The final weight distribution of the evaluation index system for the blended teaching of advanced mathematics is shown in Table 4.</w:t>
      </w:r>
      <w:r>
        <w:rPr>
          <w:rFonts w:ascii="Arial" w:hAnsi="Arial" w:cs="Arial" w:hint="eastAsia"/>
          <w:lang w:eastAsia="zh-CN"/>
        </w:rPr>
        <w:t xml:space="preserve"> </w:t>
      </w:r>
      <w:r>
        <w:rPr>
          <w:rFonts w:ascii="Arial" w:hAnsi="Arial" w:cs="Arial"/>
          <w:lang w:eastAsia="zh-CN"/>
        </w:rPr>
        <w:t>The weighting results reveal a striking emphasis on the infrastructural and support dimensions of the blended teaching system. The "Teaching Support" dimension emerged with an overwhelming relative weight, indicating that the stability and intelligence of the digital environment are considered the primary drivers of quality in the current digital transformation phase.</w:t>
      </w:r>
      <w:r>
        <w:rPr>
          <w:rFonts w:ascii="Arial" w:hAnsi="Arial" w:cs="Arial" w:hint="eastAsia"/>
          <w:lang w:eastAsia="zh-CN"/>
        </w:rPr>
        <w:t xml:space="preserve"> </w:t>
      </w:r>
    </w:p>
    <w:p w14:paraId="021C5615" w14:textId="77777777" w:rsidR="00B546DA" w:rsidRDefault="00B546DA">
      <w:pPr>
        <w:pStyle w:val="Body"/>
        <w:spacing w:after="0"/>
        <w:rPr>
          <w:rFonts w:ascii="Arial" w:hAnsi="Arial" w:cs="Arial"/>
          <w:lang w:eastAsia="zh-CN"/>
        </w:rPr>
      </w:pPr>
    </w:p>
    <w:p w14:paraId="141F1502" w14:textId="77777777" w:rsidR="00B546DA" w:rsidRDefault="00976ABB">
      <w:pPr>
        <w:tabs>
          <w:tab w:val="left" w:pos="1080"/>
        </w:tabs>
        <w:jc w:val="both"/>
        <w:rPr>
          <w:rFonts w:ascii="Arial" w:hAnsi="Arial"/>
          <w:b/>
        </w:rPr>
      </w:pPr>
      <w:r>
        <w:rPr>
          <w:rFonts w:ascii="Arial" w:hAnsi="Arial"/>
          <w:b/>
        </w:rPr>
        <w:t xml:space="preserve">Table </w:t>
      </w:r>
      <w:r>
        <w:rPr>
          <w:rFonts w:ascii="Arial" w:hAnsi="Arial" w:hint="eastAsia"/>
          <w:b/>
          <w:lang w:eastAsia="zh-CN"/>
        </w:rPr>
        <w:t>4</w:t>
      </w:r>
      <w:r>
        <w:rPr>
          <w:rFonts w:ascii="Arial" w:hAnsi="Arial"/>
          <w:b/>
        </w:rPr>
        <w:t>.</w:t>
      </w:r>
      <w:r>
        <w:rPr>
          <w:rFonts w:ascii="Arial" w:hAnsi="Arial"/>
          <w:b/>
        </w:rPr>
        <w:tab/>
        <w:t>Evaluation Indicator System and Weight Distribution for Blended Teaching of Higher Mathematics</w:t>
      </w:r>
    </w:p>
    <w:p w14:paraId="0775BC1C" w14:textId="77777777" w:rsidR="00B546DA" w:rsidRDefault="00B546DA">
      <w:pPr>
        <w:pStyle w:val="Body"/>
        <w:spacing w:after="0"/>
        <w:rPr>
          <w:rFonts w:ascii="Arial" w:hAnsi="Arial" w:cs="Arial"/>
          <w:lang w:eastAsia="zh-CN"/>
        </w:rPr>
      </w:pPr>
    </w:p>
    <w:tbl>
      <w:tblPr>
        <w:tblStyle w:val="Style13"/>
        <w:tblW w:w="5000" w:type="pct"/>
        <w:jc w:val="center"/>
        <w:tblBorders>
          <w:top w:val="none" w:sz="6" w:space="0" w:color="000000"/>
          <w:left w:val="none" w:sz="6" w:space="0" w:color="000000"/>
          <w:bottom w:val="none" w:sz="6" w:space="0" w:color="000000"/>
          <w:right w:val="none" w:sz="6" w:space="0" w:color="000000"/>
          <w:insideH w:val="none" w:sz="6" w:space="0" w:color="000000"/>
          <w:insideV w:val="none" w:sz="6" w:space="0" w:color="000000"/>
        </w:tblBorders>
        <w:tblLook w:val="04A0" w:firstRow="1" w:lastRow="0" w:firstColumn="1" w:lastColumn="0" w:noHBand="0" w:noVBand="1"/>
      </w:tblPr>
      <w:tblGrid>
        <w:gridCol w:w="1656"/>
        <w:gridCol w:w="790"/>
        <w:gridCol w:w="3526"/>
        <w:gridCol w:w="1093"/>
        <w:gridCol w:w="1143"/>
      </w:tblGrid>
      <w:tr w:rsidR="00B546DA" w14:paraId="5056CF26" w14:textId="77777777">
        <w:trPr>
          <w:tblHeader/>
          <w:jc w:val="center"/>
        </w:trPr>
        <w:tc>
          <w:tcPr>
            <w:tcW w:w="1009" w:type="pct"/>
            <w:tcBorders>
              <w:top w:val="single" w:sz="12" w:space="0" w:color="000000"/>
              <w:left w:val="nil"/>
              <w:bottom w:val="nil"/>
              <w:right w:val="nil"/>
            </w:tcBorders>
            <w:tcMar>
              <w:top w:w="-1" w:type="dxa"/>
              <w:left w:w="-1" w:type="dxa"/>
              <w:bottom w:w="-1" w:type="dxa"/>
              <w:right w:w="-1" w:type="dxa"/>
            </w:tcMar>
            <w:vAlign w:val="center"/>
          </w:tcPr>
          <w:p w14:paraId="4ABE2223" w14:textId="77777777" w:rsidR="00B546DA" w:rsidRDefault="00976ABB">
            <w:pPr>
              <w:rPr>
                <w:rFonts w:ascii="Arial" w:hAnsi="Arial"/>
                <w:b/>
                <w:bCs/>
              </w:rPr>
            </w:pPr>
            <w:r>
              <w:rPr>
                <w:rFonts w:ascii="Arial" w:hAnsi="Arial"/>
                <w:b/>
                <w:bCs/>
              </w:rPr>
              <w:t xml:space="preserve">Primary Indicator </w:t>
            </w:r>
          </w:p>
          <w:p w14:paraId="7B3079BE" w14:textId="77777777" w:rsidR="00B546DA" w:rsidRDefault="00976ABB">
            <w:pPr>
              <w:rPr>
                <w:rFonts w:ascii="Arial" w:hAnsi="Arial"/>
                <w:b/>
                <w:bCs/>
              </w:rPr>
            </w:pPr>
            <w:r>
              <w:rPr>
                <w:rFonts w:ascii="Arial" w:hAnsi="Arial"/>
                <w:b/>
                <w:bCs/>
              </w:rPr>
              <w:t>(Level 1)</w:t>
            </w:r>
          </w:p>
        </w:tc>
        <w:tc>
          <w:tcPr>
            <w:tcW w:w="481" w:type="pct"/>
            <w:tcBorders>
              <w:top w:val="single" w:sz="12" w:space="0" w:color="000000"/>
              <w:left w:val="nil"/>
              <w:bottom w:val="nil"/>
              <w:right w:val="nil"/>
            </w:tcBorders>
            <w:tcMar>
              <w:top w:w="-1" w:type="dxa"/>
              <w:left w:w="-1" w:type="dxa"/>
              <w:bottom w:w="-1" w:type="dxa"/>
              <w:right w:w="-1" w:type="dxa"/>
            </w:tcMar>
            <w:vAlign w:val="center"/>
          </w:tcPr>
          <w:p w14:paraId="0DBB76D9" w14:textId="77777777" w:rsidR="00B546DA" w:rsidRDefault="00976ABB">
            <w:pPr>
              <w:rPr>
                <w:rFonts w:ascii="Arial" w:hAnsi="Arial"/>
                <w:b/>
                <w:bCs/>
              </w:rPr>
            </w:pPr>
            <w:r>
              <w:rPr>
                <w:rFonts w:ascii="Arial" w:hAnsi="Arial"/>
                <w:b/>
                <w:bCs/>
              </w:rPr>
              <w:t xml:space="preserve">Weight </w:t>
            </w:r>
          </w:p>
          <w:p w14:paraId="6BCB0A04" w14:textId="77777777" w:rsidR="00B546DA" w:rsidRDefault="00976ABB">
            <w:pPr>
              <w:rPr>
                <w:rFonts w:ascii="Arial" w:hAnsi="Arial"/>
                <w:b/>
                <w:bCs/>
              </w:rPr>
            </w:pPr>
            <w:r>
              <w:rPr>
                <w:rFonts w:ascii="Arial" w:hAnsi="Arial"/>
                <w:b/>
                <w:bCs/>
              </w:rPr>
              <w:t>(W1)</w:t>
            </w:r>
          </w:p>
        </w:tc>
        <w:tc>
          <w:tcPr>
            <w:tcW w:w="2148" w:type="pct"/>
            <w:tcBorders>
              <w:top w:val="single" w:sz="12" w:space="0" w:color="000000"/>
              <w:left w:val="nil"/>
              <w:bottom w:val="nil"/>
              <w:right w:val="nil"/>
            </w:tcBorders>
            <w:tcMar>
              <w:top w:w="-1" w:type="dxa"/>
              <w:left w:w="-1" w:type="dxa"/>
              <w:bottom w:w="-1" w:type="dxa"/>
              <w:right w:w="-1" w:type="dxa"/>
            </w:tcMar>
            <w:vAlign w:val="center"/>
          </w:tcPr>
          <w:p w14:paraId="674C3B94" w14:textId="77777777" w:rsidR="00B546DA" w:rsidRDefault="00976ABB">
            <w:pPr>
              <w:rPr>
                <w:rFonts w:ascii="Arial" w:hAnsi="Arial"/>
                <w:b/>
                <w:bCs/>
              </w:rPr>
            </w:pPr>
            <w:r>
              <w:rPr>
                <w:rFonts w:ascii="Arial" w:hAnsi="Arial"/>
                <w:b/>
                <w:bCs/>
              </w:rPr>
              <w:t>Secondary Indicator (Level 2)</w:t>
            </w:r>
          </w:p>
        </w:tc>
        <w:tc>
          <w:tcPr>
            <w:tcW w:w="666" w:type="pct"/>
            <w:tcBorders>
              <w:top w:val="single" w:sz="12" w:space="0" w:color="000000"/>
              <w:left w:val="nil"/>
              <w:bottom w:val="nil"/>
              <w:right w:val="nil"/>
            </w:tcBorders>
            <w:tcMar>
              <w:top w:w="-1" w:type="dxa"/>
              <w:left w:w="-1" w:type="dxa"/>
              <w:bottom w:w="-1" w:type="dxa"/>
              <w:right w:w="-1" w:type="dxa"/>
            </w:tcMar>
            <w:vAlign w:val="center"/>
          </w:tcPr>
          <w:p w14:paraId="72968DFB" w14:textId="77777777" w:rsidR="00B546DA" w:rsidRDefault="00976ABB">
            <w:pPr>
              <w:jc w:val="both"/>
              <w:rPr>
                <w:rFonts w:ascii="Arial" w:hAnsi="Arial"/>
                <w:b/>
                <w:bCs/>
              </w:rPr>
            </w:pPr>
            <w:r>
              <w:rPr>
                <w:rFonts w:ascii="Arial" w:hAnsi="Arial"/>
                <w:b/>
                <w:bCs/>
              </w:rPr>
              <w:t xml:space="preserve">Weight </w:t>
            </w:r>
          </w:p>
          <w:p w14:paraId="14D1C1A2" w14:textId="77777777" w:rsidR="00B546DA" w:rsidRDefault="00976ABB">
            <w:pPr>
              <w:jc w:val="both"/>
              <w:rPr>
                <w:rFonts w:ascii="Arial" w:hAnsi="Arial"/>
                <w:b/>
                <w:bCs/>
              </w:rPr>
            </w:pPr>
            <w:r>
              <w:rPr>
                <w:rFonts w:ascii="Arial" w:hAnsi="Arial"/>
                <w:b/>
                <w:bCs/>
              </w:rPr>
              <w:t>(W2)</w:t>
            </w:r>
          </w:p>
        </w:tc>
        <w:tc>
          <w:tcPr>
            <w:tcW w:w="697" w:type="pct"/>
            <w:tcBorders>
              <w:top w:val="single" w:sz="12" w:space="0" w:color="000000"/>
              <w:left w:val="nil"/>
              <w:bottom w:val="nil"/>
              <w:right w:val="nil"/>
            </w:tcBorders>
            <w:tcMar>
              <w:top w:w="-1" w:type="dxa"/>
              <w:left w:w="-1" w:type="dxa"/>
              <w:bottom w:w="-1" w:type="dxa"/>
              <w:right w:w="-1" w:type="dxa"/>
            </w:tcMar>
            <w:vAlign w:val="center"/>
          </w:tcPr>
          <w:p w14:paraId="4DFE299C" w14:textId="77777777" w:rsidR="00B546DA" w:rsidRDefault="00976ABB">
            <w:pPr>
              <w:jc w:val="both"/>
              <w:rPr>
                <w:rFonts w:ascii="Arial" w:hAnsi="Arial"/>
                <w:b/>
                <w:bCs/>
              </w:rPr>
            </w:pPr>
            <w:r>
              <w:rPr>
                <w:rFonts w:ascii="Arial" w:hAnsi="Arial"/>
                <w:b/>
                <w:bCs/>
              </w:rPr>
              <w:t xml:space="preserve">Composite Weight </w:t>
            </w:r>
          </w:p>
          <w:p w14:paraId="2A8F23A2" w14:textId="77777777" w:rsidR="00B546DA" w:rsidRDefault="00976ABB">
            <w:pPr>
              <w:jc w:val="both"/>
              <w:rPr>
                <w:rFonts w:ascii="Arial" w:hAnsi="Arial"/>
                <w:b/>
                <w:bCs/>
              </w:rPr>
            </w:pPr>
            <w:r>
              <w:rPr>
                <w:rFonts w:ascii="Arial" w:hAnsi="Arial"/>
                <w:b/>
                <w:bCs/>
              </w:rPr>
              <w:t>(W1×W2)</w:t>
            </w:r>
          </w:p>
        </w:tc>
      </w:tr>
      <w:tr w:rsidR="00B546DA" w14:paraId="5F4556EC" w14:textId="77777777">
        <w:trPr>
          <w:jc w:val="center"/>
        </w:trPr>
        <w:tc>
          <w:tcPr>
            <w:tcW w:w="1009" w:type="pct"/>
            <w:vMerge w:val="restart"/>
            <w:tcBorders>
              <w:top w:val="single" w:sz="4" w:space="0" w:color="000000"/>
              <w:left w:val="nil"/>
              <w:right w:val="nil"/>
            </w:tcBorders>
            <w:tcMar>
              <w:top w:w="-1" w:type="dxa"/>
              <w:left w:w="-1" w:type="dxa"/>
              <w:bottom w:w="-1" w:type="dxa"/>
              <w:right w:w="-1" w:type="dxa"/>
            </w:tcMar>
            <w:vAlign w:val="center"/>
          </w:tcPr>
          <w:p w14:paraId="2D55C1B8" w14:textId="77777777" w:rsidR="00B546DA" w:rsidRDefault="00976ABB">
            <w:pPr>
              <w:rPr>
                <w:rFonts w:ascii="Arial" w:hAnsi="Arial"/>
              </w:rPr>
            </w:pPr>
            <w:r>
              <w:rPr>
                <w:rFonts w:ascii="Arial" w:hAnsi="Arial"/>
              </w:rPr>
              <w:t>A. Teaching Objectives</w:t>
            </w:r>
          </w:p>
        </w:tc>
        <w:tc>
          <w:tcPr>
            <w:tcW w:w="481" w:type="pct"/>
            <w:vMerge w:val="restart"/>
            <w:tcBorders>
              <w:top w:val="single" w:sz="4" w:space="0" w:color="000000"/>
              <w:left w:val="nil"/>
              <w:right w:val="nil"/>
            </w:tcBorders>
            <w:tcMar>
              <w:top w:w="-1" w:type="dxa"/>
              <w:left w:w="-1" w:type="dxa"/>
              <w:bottom w:w="-1" w:type="dxa"/>
              <w:right w:w="-1" w:type="dxa"/>
            </w:tcMar>
            <w:vAlign w:val="center"/>
          </w:tcPr>
          <w:p w14:paraId="4DF56C4F" w14:textId="77777777" w:rsidR="00B546DA" w:rsidRDefault="00976ABB">
            <w:pPr>
              <w:rPr>
                <w:rFonts w:ascii="Arial" w:hAnsi="Arial"/>
              </w:rPr>
            </w:pPr>
            <w:r>
              <w:rPr>
                <w:rFonts w:ascii="Arial" w:hAnsi="Arial"/>
              </w:rPr>
              <w:t>0.132</w:t>
            </w:r>
          </w:p>
        </w:tc>
        <w:tc>
          <w:tcPr>
            <w:tcW w:w="2148" w:type="pct"/>
            <w:tcBorders>
              <w:top w:val="single" w:sz="4" w:space="0" w:color="000000"/>
              <w:left w:val="nil"/>
              <w:bottom w:val="nil"/>
              <w:right w:val="nil"/>
            </w:tcBorders>
            <w:tcMar>
              <w:top w:w="-1" w:type="dxa"/>
              <w:left w:w="-1" w:type="dxa"/>
              <w:bottom w:w="-1" w:type="dxa"/>
              <w:right w:w="-1" w:type="dxa"/>
            </w:tcMar>
            <w:vAlign w:val="center"/>
          </w:tcPr>
          <w:p w14:paraId="5B4902F1" w14:textId="77777777" w:rsidR="00B546DA" w:rsidRDefault="00976ABB">
            <w:pPr>
              <w:rPr>
                <w:rFonts w:ascii="Arial" w:hAnsi="Arial"/>
              </w:rPr>
            </w:pPr>
            <w:r>
              <w:rPr>
                <w:rFonts w:ascii="Arial" w:hAnsi="Arial"/>
              </w:rPr>
              <w:t>A1 Alignment with standards &amp; talent programs</w:t>
            </w:r>
          </w:p>
        </w:tc>
        <w:tc>
          <w:tcPr>
            <w:tcW w:w="666" w:type="pct"/>
            <w:tcBorders>
              <w:top w:val="single" w:sz="4" w:space="0" w:color="000000"/>
              <w:left w:val="nil"/>
              <w:bottom w:val="nil"/>
              <w:right w:val="nil"/>
            </w:tcBorders>
            <w:tcMar>
              <w:top w:w="-1" w:type="dxa"/>
              <w:left w:w="-1" w:type="dxa"/>
              <w:bottom w:w="-1" w:type="dxa"/>
              <w:right w:w="-1" w:type="dxa"/>
            </w:tcMar>
            <w:vAlign w:val="center"/>
          </w:tcPr>
          <w:p w14:paraId="1B02B524" w14:textId="77777777" w:rsidR="00B546DA" w:rsidRDefault="00976ABB">
            <w:pPr>
              <w:rPr>
                <w:rFonts w:ascii="Arial" w:hAnsi="Arial"/>
              </w:rPr>
            </w:pPr>
            <w:r>
              <w:rPr>
                <w:rFonts w:ascii="Arial" w:hAnsi="Arial"/>
              </w:rPr>
              <w:t>0.288</w:t>
            </w:r>
          </w:p>
        </w:tc>
        <w:tc>
          <w:tcPr>
            <w:tcW w:w="697" w:type="pct"/>
            <w:tcBorders>
              <w:top w:val="single" w:sz="4" w:space="0" w:color="000000"/>
              <w:left w:val="nil"/>
              <w:bottom w:val="nil"/>
              <w:right w:val="nil"/>
            </w:tcBorders>
            <w:tcMar>
              <w:top w:w="-1" w:type="dxa"/>
              <w:left w:w="-1" w:type="dxa"/>
              <w:bottom w:w="-1" w:type="dxa"/>
              <w:right w:w="-1" w:type="dxa"/>
            </w:tcMar>
            <w:vAlign w:val="center"/>
          </w:tcPr>
          <w:p w14:paraId="51EBD488" w14:textId="77777777" w:rsidR="00B546DA" w:rsidRDefault="00976ABB">
            <w:pPr>
              <w:rPr>
                <w:rFonts w:ascii="Arial" w:hAnsi="Arial"/>
              </w:rPr>
            </w:pPr>
            <w:r>
              <w:rPr>
                <w:rFonts w:ascii="Arial" w:hAnsi="Arial"/>
              </w:rPr>
              <w:t>0.038</w:t>
            </w:r>
          </w:p>
        </w:tc>
      </w:tr>
      <w:tr w:rsidR="00B546DA" w14:paraId="78C85261" w14:textId="77777777">
        <w:trPr>
          <w:jc w:val="center"/>
        </w:trPr>
        <w:tc>
          <w:tcPr>
            <w:tcW w:w="1009" w:type="pct"/>
            <w:vMerge/>
            <w:tcBorders>
              <w:left w:val="nil"/>
              <w:right w:val="nil"/>
            </w:tcBorders>
            <w:tcMar>
              <w:top w:w="-1" w:type="dxa"/>
              <w:left w:w="-1" w:type="dxa"/>
              <w:bottom w:w="-1" w:type="dxa"/>
              <w:right w:w="-1" w:type="dxa"/>
            </w:tcMar>
            <w:vAlign w:val="center"/>
          </w:tcPr>
          <w:p w14:paraId="02247CB2" w14:textId="77777777" w:rsidR="00B546DA" w:rsidRDefault="00B546DA">
            <w:pPr>
              <w:rPr>
                <w:rFonts w:ascii="Arial" w:hAnsi="Arial"/>
              </w:rPr>
            </w:pPr>
          </w:p>
        </w:tc>
        <w:tc>
          <w:tcPr>
            <w:tcW w:w="481" w:type="pct"/>
            <w:vMerge/>
            <w:tcBorders>
              <w:left w:val="nil"/>
              <w:right w:val="nil"/>
            </w:tcBorders>
            <w:tcMar>
              <w:top w:w="-1" w:type="dxa"/>
              <w:left w:w="-1" w:type="dxa"/>
              <w:bottom w:w="-1" w:type="dxa"/>
              <w:right w:w="-1" w:type="dxa"/>
            </w:tcMar>
            <w:vAlign w:val="center"/>
          </w:tcPr>
          <w:p w14:paraId="4CD06DCA" w14:textId="77777777" w:rsidR="00B546DA" w:rsidRDefault="00B546DA">
            <w:pPr>
              <w:rPr>
                <w:rFonts w:ascii="Arial" w:hAnsi="Arial"/>
              </w:rPr>
            </w:pPr>
          </w:p>
        </w:tc>
        <w:tc>
          <w:tcPr>
            <w:tcW w:w="2148" w:type="pct"/>
            <w:tcBorders>
              <w:top w:val="nil"/>
              <w:left w:val="nil"/>
              <w:bottom w:val="nil"/>
              <w:right w:val="nil"/>
            </w:tcBorders>
            <w:tcMar>
              <w:top w:w="-1" w:type="dxa"/>
              <w:left w:w="-1" w:type="dxa"/>
              <w:bottom w:w="-1" w:type="dxa"/>
              <w:right w:w="-1" w:type="dxa"/>
            </w:tcMar>
            <w:vAlign w:val="center"/>
          </w:tcPr>
          <w:p w14:paraId="7310AFE8" w14:textId="77777777" w:rsidR="00B546DA" w:rsidRDefault="00976ABB">
            <w:pPr>
              <w:rPr>
                <w:rFonts w:ascii="Arial" w:hAnsi="Arial"/>
              </w:rPr>
            </w:pPr>
            <w:r>
              <w:rPr>
                <w:rFonts w:ascii="Arial" w:hAnsi="Arial"/>
              </w:rPr>
              <w:t>A2 Integration of knowledge, ability &amp; values</w:t>
            </w:r>
          </w:p>
        </w:tc>
        <w:tc>
          <w:tcPr>
            <w:tcW w:w="666" w:type="pct"/>
            <w:tcBorders>
              <w:top w:val="nil"/>
              <w:left w:val="nil"/>
              <w:bottom w:val="nil"/>
              <w:right w:val="nil"/>
            </w:tcBorders>
            <w:tcMar>
              <w:top w:w="-1" w:type="dxa"/>
              <w:left w:w="-1" w:type="dxa"/>
              <w:bottom w:w="-1" w:type="dxa"/>
              <w:right w:w="-1" w:type="dxa"/>
            </w:tcMar>
            <w:vAlign w:val="center"/>
          </w:tcPr>
          <w:p w14:paraId="623939BC" w14:textId="77777777" w:rsidR="00B546DA" w:rsidRDefault="00976ABB">
            <w:pPr>
              <w:rPr>
                <w:rFonts w:ascii="Arial" w:hAnsi="Arial"/>
              </w:rPr>
            </w:pPr>
            <w:r>
              <w:rPr>
                <w:rFonts w:ascii="Arial" w:hAnsi="Arial"/>
              </w:rPr>
              <w:t>0.258</w:t>
            </w:r>
          </w:p>
        </w:tc>
        <w:tc>
          <w:tcPr>
            <w:tcW w:w="697" w:type="pct"/>
            <w:tcBorders>
              <w:top w:val="nil"/>
              <w:left w:val="nil"/>
              <w:bottom w:val="nil"/>
              <w:right w:val="nil"/>
            </w:tcBorders>
            <w:tcMar>
              <w:top w:w="-1" w:type="dxa"/>
              <w:left w:w="-1" w:type="dxa"/>
              <w:bottom w:w="-1" w:type="dxa"/>
              <w:right w:w="-1" w:type="dxa"/>
            </w:tcMar>
            <w:vAlign w:val="center"/>
          </w:tcPr>
          <w:p w14:paraId="4868D536" w14:textId="77777777" w:rsidR="00B546DA" w:rsidRDefault="00976ABB">
            <w:pPr>
              <w:rPr>
                <w:rFonts w:ascii="Arial" w:hAnsi="Arial"/>
              </w:rPr>
            </w:pPr>
            <w:r>
              <w:rPr>
                <w:rFonts w:ascii="Arial" w:hAnsi="Arial"/>
              </w:rPr>
              <w:t>0.034</w:t>
            </w:r>
          </w:p>
        </w:tc>
      </w:tr>
      <w:tr w:rsidR="00B546DA" w14:paraId="58B73CE2" w14:textId="77777777">
        <w:trPr>
          <w:jc w:val="center"/>
        </w:trPr>
        <w:tc>
          <w:tcPr>
            <w:tcW w:w="1009" w:type="pct"/>
            <w:vMerge/>
            <w:tcBorders>
              <w:left w:val="nil"/>
              <w:right w:val="nil"/>
            </w:tcBorders>
            <w:tcMar>
              <w:top w:w="-1" w:type="dxa"/>
              <w:left w:w="-1" w:type="dxa"/>
              <w:bottom w:w="-1" w:type="dxa"/>
              <w:right w:w="-1" w:type="dxa"/>
            </w:tcMar>
            <w:vAlign w:val="center"/>
          </w:tcPr>
          <w:p w14:paraId="380D444E" w14:textId="77777777" w:rsidR="00B546DA" w:rsidRDefault="00B546DA">
            <w:pPr>
              <w:rPr>
                <w:rFonts w:ascii="Arial" w:hAnsi="Arial"/>
              </w:rPr>
            </w:pPr>
          </w:p>
        </w:tc>
        <w:tc>
          <w:tcPr>
            <w:tcW w:w="481" w:type="pct"/>
            <w:vMerge/>
            <w:tcBorders>
              <w:left w:val="nil"/>
              <w:right w:val="nil"/>
            </w:tcBorders>
            <w:tcMar>
              <w:top w:w="-1" w:type="dxa"/>
              <w:left w:w="-1" w:type="dxa"/>
              <w:bottom w:w="-1" w:type="dxa"/>
              <w:right w:w="-1" w:type="dxa"/>
            </w:tcMar>
            <w:vAlign w:val="center"/>
          </w:tcPr>
          <w:p w14:paraId="700241EB" w14:textId="77777777" w:rsidR="00B546DA" w:rsidRDefault="00B546DA">
            <w:pPr>
              <w:rPr>
                <w:rFonts w:ascii="Arial" w:hAnsi="Arial"/>
              </w:rPr>
            </w:pPr>
          </w:p>
        </w:tc>
        <w:tc>
          <w:tcPr>
            <w:tcW w:w="2148" w:type="pct"/>
            <w:tcBorders>
              <w:top w:val="nil"/>
              <w:left w:val="nil"/>
              <w:bottom w:val="nil"/>
              <w:right w:val="nil"/>
            </w:tcBorders>
            <w:tcMar>
              <w:top w:w="-1" w:type="dxa"/>
              <w:left w:w="-1" w:type="dxa"/>
              <w:bottom w:w="-1" w:type="dxa"/>
              <w:right w:w="-1" w:type="dxa"/>
            </w:tcMar>
            <w:vAlign w:val="center"/>
          </w:tcPr>
          <w:p w14:paraId="21A7CF8E" w14:textId="77777777" w:rsidR="00B546DA" w:rsidRDefault="00976ABB">
            <w:pPr>
              <w:rPr>
                <w:rFonts w:ascii="Arial" w:hAnsi="Arial"/>
              </w:rPr>
            </w:pPr>
            <w:r>
              <w:rPr>
                <w:rFonts w:ascii="Arial" w:hAnsi="Arial"/>
              </w:rPr>
              <w:t>A3 Mathematics as a cross-disciplinary tool</w:t>
            </w:r>
          </w:p>
        </w:tc>
        <w:tc>
          <w:tcPr>
            <w:tcW w:w="666" w:type="pct"/>
            <w:tcBorders>
              <w:top w:val="nil"/>
              <w:left w:val="nil"/>
              <w:bottom w:val="nil"/>
              <w:right w:val="nil"/>
            </w:tcBorders>
            <w:tcMar>
              <w:top w:w="-1" w:type="dxa"/>
              <w:left w:w="-1" w:type="dxa"/>
              <w:bottom w:w="-1" w:type="dxa"/>
              <w:right w:w="-1" w:type="dxa"/>
            </w:tcMar>
            <w:vAlign w:val="center"/>
          </w:tcPr>
          <w:p w14:paraId="3DD245BD" w14:textId="77777777" w:rsidR="00B546DA" w:rsidRDefault="00976ABB">
            <w:pPr>
              <w:rPr>
                <w:rFonts w:ascii="Arial" w:hAnsi="Arial"/>
              </w:rPr>
            </w:pPr>
            <w:r>
              <w:rPr>
                <w:rFonts w:ascii="Arial" w:hAnsi="Arial"/>
              </w:rPr>
              <w:t>0.212</w:t>
            </w:r>
          </w:p>
        </w:tc>
        <w:tc>
          <w:tcPr>
            <w:tcW w:w="697" w:type="pct"/>
            <w:tcBorders>
              <w:top w:val="nil"/>
              <w:left w:val="nil"/>
              <w:bottom w:val="nil"/>
              <w:right w:val="nil"/>
            </w:tcBorders>
            <w:tcMar>
              <w:top w:w="-1" w:type="dxa"/>
              <w:left w:w="-1" w:type="dxa"/>
              <w:bottom w:w="-1" w:type="dxa"/>
              <w:right w:w="-1" w:type="dxa"/>
            </w:tcMar>
            <w:vAlign w:val="center"/>
          </w:tcPr>
          <w:p w14:paraId="46CA449E" w14:textId="77777777" w:rsidR="00B546DA" w:rsidRDefault="00976ABB">
            <w:pPr>
              <w:rPr>
                <w:rFonts w:ascii="Arial" w:hAnsi="Arial"/>
              </w:rPr>
            </w:pPr>
            <w:r>
              <w:rPr>
                <w:rFonts w:ascii="Arial" w:hAnsi="Arial"/>
              </w:rPr>
              <w:t>0.028</w:t>
            </w:r>
          </w:p>
        </w:tc>
      </w:tr>
      <w:tr w:rsidR="00B546DA" w14:paraId="2C52E49A" w14:textId="77777777">
        <w:trPr>
          <w:jc w:val="center"/>
        </w:trPr>
        <w:tc>
          <w:tcPr>
            <w:tcW w:w="1009" w:type="pct"/>
            <w:vMerge/>
            <w:tcBorders>
              <w:left w:val="nil"/>
              <w:right w:val="nil"/>
            </w:tcBorders>
            <w:tcMar>
              <w:top w:w="-1" w:type="dxa"/>
              <w:left w:w="-1" w:type="dxa"/>
              <w:bottom w:w="-1" w:type="dxa"/>
              <w:right w:w="-1" w:type="dxa"/>
            </w:tcMar>
            <w:vAlign w:val="center"/>
          </w:tcPr>
          <w:p w14:paraId="08A7A1FE" w14:textId="77777777" w:rsidR="00B546DA" w:rsidRDefault="00B546DA">
            <w:pPr>
              <w:rPr>
                <w:rFonts w:ascii="Arial" w:hAnsi="Arial"/>
              </w:rPr>
            </w:pPr>
          </w:p>
        </w:tc>
        <w:tc>
          <w:tcPr>
            <w:tcW w:w="481" w:type="pct"/>
            <w:vMerge/>
            <w:tcBorders>
              <w:left w:val="nil"/>
              <w:right w:val="nil"/>
            </w:tcBorders>
            <w:tcMar>
              <w:top w:w="-1" w:type="dxa"/>
              <w:left w:w="-1" w:type="dxa"/>
              <w:bottom w:w="-1" w:type="dxa"/>
              <w:right w:w="-1" w:type="dxa"/>
            </w:tcMar>
            <w:vAlign w:val="center"/>
          </w:tcPr>
          <w:p w14:paraId="21FE325D" w14:textId="77777777" w:rsidR="00B546DA" w:rsidRDefault="00B546DA">
            <w:pPr>
              <w:rPr>
                <w:rFonts w:ascii="Arial" w:hAnsi="Arial"/>
              </w:rPr>
            </w:pPr>
          </w:p>
        </w:tc>
        <w:tc>
          <w:tcPr>
            <w:tcW w:w="2148" w:type="pct"/>
            <w:tcBorders>
              <w:top w:val="nil"/>
              <w:left w:val="nil"/>
              <w:bottom w:val="nil"/>
              <w:right w:val="nil"/>
            </w:tcBorders>
            <w:tcMar>
              <w:top w:w="-1" w:type="dxa"/>
              <w:left w:w="-1" w:type="dxa"/>
              <w:bottom w:w="-1" w:type="dxa"/>
              <w:right w:w="-1" w:type="dxa"/>
            </w:tcMar>
            <w:vAlign w:val="center"/>
          </w:tcPr>
          <w:p w14:paraId="2FDEF041" w14:textId="77777777" w:rsidR="00B546DA" w:rsidRDefault="00976ABB">
            <w:pPr>
              <w:rPr>
                <w:rFonts w:ascii="Arial" w:hAnsi="Arial"/>
              </w:rPr>
            </w:pPr>
            <w:r>
              <w:rPr>
                <w:rFonts w:ascii="Arial" w:hAnsi="Arial"/>
              </w:rPr>
              <w:t>A4 Online/offline role &amp; task division</w:t>
            </w:r>
          </w:p>
        </w:tc>
        <w:tc>
          <w:tcPr>
            <w:tcW w:w="666" w:type="pct"/>
            <w:tcBorders>
              <w:top w:val="nil"/>
              <w:left w:val="nil"/>
              <w:bottom w:val="nil"/>
              <w:right w:val="nil"/>
            </w:tcBorders>
            <w:tcMar>
              <w:top w:w="-1" w:type="dxa"/>
              <w:left w:w="-1" w:type="dxa"/>
              <w:bottom w:w="-1" w:type="dxa"/>
              <w:right w:w="-1" w:type="dxa"/>
            </w:tcMar>
            <w:vAlign w:val="center"/>
          </w:tcPr>
          <w:p w14:paraId="16B3B89F" w14:textId="77777777" w:rsidR="00B546DA" w:rsidRDefault="00976ABB">
            <w:pPr>
              <w:rPr>
                <w:rFonts w:ascii="Arial" w:hAnsi="Arial"/>
              </w:rPr>
            </w:pPr>
            <w:r>
              <w:rPr>
                <w:rFonts w:ascii="Arial" w:hAnsi="Arial"/>
              </w:rPr>
              <w:t>0.144</w:t>
            </w:r>
          </w:p>
        </w:tc>
        <w:tc>
          <w:tcPr>
            <w:tcW w:w="697" w:type="pct"/>
            <w:tcBorders>
              <w:top w:val="nil"/>
              <w:left w:val="nil"/>
              <w:bottom w:val="nil"/>
              <w:right w:val="nil"/>
            </w:tcBorders>
            <w:tcMar>
              <w:top w:w="-1" w:type="dxa"/>
              <w:left w:w="-1" w:type="dxa"/>
              <w:bottom w:w="-1" w:type="dxa"/>
              <w:right w:w="-1" w:type="dxa"/>
            </w:tcMar>
            <w:vAlign w:val="center"/>
          </w:tcPr>
          <w:p w14:paraId="07BE586C" w14:textId="77777777" w:rsidR="00B546DA" w:rsidRDefault="00976ABB">
            <w:pPr>
              <w:rPr>
                <w:rFonts w:ascii="Arial" w:hAnsi="Arial"/>
              </w:rPr>
            </w:pPr>
            <w:r>
              <w:rPr>
                <w:rFonts w:ascii="Arial" w:hAnsi="Arial"/>
              </w:rPr>
              <w:t>0.019</w:t>
            </w:r>
          </w:p>
        </w:tc>
      </w:tr>
      <w:tr w:rsidR="00B546DA" w14:paraId="2F561495" w14:textId="77777777">
        <w:trPr>
          <w:jc w:val="center"/>
        </w:trPr>
        <w:tc>
          <w:tcPr>
            <w:tcW w:w="1009" w:type="pct"/>
            <w:vMerge/>
            <w:tcBorders>
              <w:left w:val="nil"/>
              <w:bottom w:val="nil"/>
              <w:right w:val="nil"/>
            </w:tcBorders>
            <w:tcMar>
              <w:top w:w="-1" w:type="dxa"/>
              <w:left w:w="-1" w:type="dxa"/>
              <w:bottom w:w="-1" w:type="dxa"/>
              <w:right w:w="-1" w:type="dxa"/>
            </w:tcMar>
            <w:vAlign w:val="center"/>
          </w:tcPr>
          <w:p w14:paraId="0318B8B9" w14:textId="77777777" w:rsidR="00B546DA" w:rsidRDefault="00B546DA">
            <w:pPr>
              <w:rPr>
                <w:rFonts w:ascii="Arial" w:hAnsi="Arial"/>
              </w:rPr>
            </w:pPr>
          </w:p>
        </w:tc>
        <w:tc>
          <w:tcPr>
            <w:tcW w:w="481" w:type="pct"/>
            <w:vMerge/>
            <w:tcBorders>
              <w:left w:val="nil"/>
              <w:bottom w:val="nil"/>
              <w:right w:val="nil"/>
            </w:tcBorders>
            <w:tcMar>
              <w:top w:w="-1" w:type="dxa"/>
              <w:left w:w="-1" w:type="dxa"/>
              <w:bottom w:w="-1" w:type="dxa"/>
              <w:right w:w="-1" w:type="dxa"/>
            </w:tcMar>
            <w:vAlign w:val="center"/>
          </w:tcPr>
          <w:p w14:paraId="66733D56" w14:textId="77777777" w:rsidR="00B546DA" w:rsidRDefault="00B546DA">
            <w:pPr>
              <w:rPr>
                <w:rFonts w:ascii="Arial" w:hAnsi="Arial"/>
              </w:rPr>
            </w:pPr>
          </w:p>
        </w:tc>
        <w:tc>
          <w:tcPr>
            <w:tcW w:w="2148" w:type="pct"/>
            <w:tcBorders>
              <w:top w:val="nil"/>
              <w:left w:val="nil"/>
              <w:bottom w:val="nil"/>
              <w:right w:val="nil"/>
            </w:tcBorders>
            <w:tcMar>
              <w:top w:w="-1" w:type="dxa"/>
              <w:left w:w="-1" w:type="dxa"/>
              <w:bottom w:w="-1" w:type="dxa"/>
              <w:right w:w="-1" w:type="dxa"/>
            </w:tcMar>
            <w:vAlign w:val="center"/>
          </w:tcPr>
          <w:p w14:paraId="6E050BEB" w14:textId="77777777" w:rsidR="00B546DA" w:rsidRDefault="00976ABB">
            <w:pPr>
              <w:rPr>
                <w:rFonts w:ascii="Arial" w:hAnsi="Arial"/>
              </w:rPr>
            </w:pPr>
            <w:r>
              <w:rPr>
                <w:rFonts w:ascii="Arial" w:hAnsi="Arial"/>
              </w:rPr>
              <w:t>A5 Quantifiable &amp; observable target setting</w:t>
            </w:r>
          </w:p>
        </w:tc>
        <w:tc>
          <w:tcPr>
            <w:tcW w:w="666" w:type="pct"/>
            <w:tcBorders>
              <w:top w:val="nil"/>
              <w:left w:val="nil"/>
              <w:bottom w:val="nil"/>
              <w:right w:val="nil"/>
            </w:tcBorders>
            <w:tcMar>
              <w:top w:w="-1" w:type="dxa"/>
              <w:left w:w="-1" w:type="dxa"/>
              <w:bottom w:w="-1" w:type="dxa"/>
              <w:right w:w="-1" w:type="dxa"/>
            </w:tcMar>
            <w:vAlign w:val="center"/>
          </w:tcPr>
          <w:p w14:paraId="52A73AFE" w14:textId="77777777" w:rsidR="00B546DA" w:rsidRDefault="00976ABB">
            <w:pPr>
              <w:rPr>
                <w:rFonts w:ascii="Arial" w:hAnsi="Arial"/>
              </w:rPr>
            </w:pPr>
            <w:r>
              <w:rPr>
                <w:rFonts w:ascii="Arial" w:hAnsi="Arial"/>
              </w:rPr>
              <w:t>0.098</w:t>
            </w:r>
          </w:p>
        </w:tc>
        <w:tc>
          <w:tcPr>
            <w:tcW w:w="697" w:type="pct"/>
            <w:tcBorders>
              <w:top w:val="nil"/>
              <w:left w:val="nil"/>
              <w:bottom w:val="nil"/>
              <w:right w:val="nil"/>
            </w:tcBorders>
            <w:tcMar>
              <w:top w:w="-1" w:type="dxa"/>
              <w:left w:w="-1" w:type="dxa"/>
              <w:bottom w:w="-1" w:type="dxa"/>
              <w:right w:w="-1" w:type="dxa"/>
            </w:tcMar>
            <w:vAlign w:val="center"/>
          </w:tcPr>
          <w:p w14:paraId="748F0F97" w14:textId="77777777" w:rsidR="00B546DA" w:rsidRDefault="00976ABB">
            <w:pPr>
              <w:rPr>
                <w:rFonts w:ascii="Arial" w:hAnsi="Arial"/>
              </w:rPr>
            </w:pPr>
            <w:r>
              <w:rPr>
                <w:rFonts w:ascii="Arial" w:hAnsi="Arial"/>
              </w:rPr>
              <w:t>0.013</w:t>
            </w:r>
          </w:p>
        </w:tc>
      </w:tr>
      <w:tr w:rsidR="00B546DA" w14:paraId="09AFF49C" w14:textId="77777777">
        <w:trPr>
          <w:jc w:val="center"/>
        </w:trPr>
        <w:tc>
          <w:tcPr>
            <w:tcW w:w="1009" w:type="pct"/>
            <w:vMerge w:val="restart"/>
            <w:tcBorders>
              <w:top w:val="nil"/>
              <w:left w:val="nil"/>
              <w:right w:val="nil"/>
            </w:tcBorders>
            <w:tcMar>
              <w:top w:w="-1" w:type="dxa"/>
              <w:left w:w="-1" w:type="dxa"/>
              <w:bottom w:w="-1" w:type="dxa"/>
              <w:right w:w="-1" w:type="dxa"/>
            </w:tcMar>
            <w:vAlign w:val="center"/>
          </w:tcPr>
          <w:p w14:paraId="1460745E" w14:textId="77777777" w:rsidR="00B546DA" w:rsidRDefault="00976ABB">
            <w:pPr>
              <w:rPr>
                <w:rFonts w:ascii="Arial" w:hAnsi="Arial"/>
              </w:rPr>
            </w:pPr>
            <w:r>
              <w:rPr>
                <w:rFonts w:ascii="Arial" w:hAnsi="Arial"/>
              </w:rPr>
              <w:t>B. Teaching Content</w:t>
            </w:r>
          </w:p>
        </w:tc>
        <w:tc>
          <w:tcPr>
            <w:tcW w:w="481" w:type="pct"/>
            <w:vMerge w:val="restart"/>
            <w:tcBorders>
              <w:top w:val="nil"/>
              <w:left w:val="nil"/>
              <w:right w:val="nil"/>
            </w:tcBorders>
            <w:tcMar>
              <w:top w:w="-1" w:type="dxa"/>
              <w:left w:w="-1" w:type="dxa"/>
              <w:bottom w:w="-1" w:type="dxa"/>
              <w:right w:w="-1" w:type="dxa"/>
            </w:tcMar>
            <w:vAlign w:val="center"/>
          </w:tcPr>
          <w:p w14:paraId="535D04A0" w14:textId="77777777" w:rsidR="00B546DA" w:rsidRDefault="00976ABB">
            <w:pPr>
              <w:rPr>
                <w:rFonts w:ascii="Arial" w:hAnsi="Arial"/>
              </w:rPr>
            </w:pPr>
            <w:r>
              <w:rPr>
                <w:rFonts w:ascii="Arial" w:hAnsi="Arial"/>
              </w:rPr>
              <w:t>0.125</w:t>
            </w:r>
          </w:p>
        </w:tc>
        <w:tc>
          <w:tcPr>
            <w:tcW w:w="2148" w:type="pct"/>
            <w:tcBorders>
              <w:top w:val="nil"/>
              <w:left w:val="nil"/>
              <w:bottom w:val="nil"/>
              <w:right w:val="nil"/>
            </w:tcBorders>
            <w:tcMar>
              <w:top w:w="-1" w:type="dxa"/>
              <w:left w:w="-1" w:type="dxa"/>
              <w:bottom w:w="-1" w:type="dxa"/>
              <w:right w:w="-1" w:type="dxa"/>
            </w:tcMar>
            <w:vAlign w:val="center"/>
          </w:tcPr>
          <w:p w14:paraId="32875D18" w14:textId="77777777" w:rsidR="00B546DA" w:rsidRDefault="00976ABB">
            <w:pPr>
              <w:rPr>
                <w:rFonts w:ascii="Arial" w:hAnsi="Arial"/>
              </w:rPr>
            </w:pPr>
            <w:r>
              <w:rPr>
                <w:rFonts w:ascii="Arial" w:hAnsi="Arial"/>
              </w:rPr>
              <w:t>B1 Core logic and coverage of key difficulties</w:t>
            </w:r>
          </w:p>
        </w:tc>
        <w:tc>
          <w:tcPr>
            <w:tcW w:w="666" w:type="pct"/>
            <w:tcBorders>
              <w:top w:val="nil"/>
              <w:left w:val="nil"/>
              <w:bottom w:val="nil"/>
              <w:right w:val="nil"/>
            </w:tcBorders>
            <w:tcMar>
              <w:top w:w="-1" w:type="dxa"/>
              <w:left w:w="-1" w:type="dxa"/>
              <w:bottom w:w="-1" w:type="dxa"/>
              <w:right w:w="-1" w:type="dxa"/>
            </w:tcMar>
            <w:vAlign w:val="center"/>
          </w:tcPr>
          <w:p w14:paraId="0E0B3BF0" w14:textId="77777777" w:rsidR="00B546DA" w:rsidRDefault="00976ABB">
            <w:pPr>
              <w:rPr>
                <w:rFonts w:ascii="Arial" w:hAnsi="Arial"/>
              </w:rPr>
            </w:pPr>
            <w:r>
              <w:rPr>
                <w:rFonts w:ascii="Arial" w:hAnsi="Arial"/>
              </w:rPr>
              <w:t>0.256</w:t>
            </w:r>
          </w:p>
        </w:tc>
        <w:tc>
          <w:tcPr>
            <w:tcW w:w="697" w:type="pct"/>
            <w:tcBorders>
              <w:top w:val="nil"/>
              <w:left w:val="nil"/>
              <w:bottom w:val="nil"/>
              <w:right w:val="nil"/>
            </w:tcBorders>
            <w:tcMar>
              <w:top w:w="-1" w:type="dxa"/>
              <w:left w:w="-1" w:type="dxa"/>
              <w:bottom w:w="-1" w:type="dxa"/>
              <w:right w:w="-1" w:type="dxa"/>
            </w:tcMar>
            <w:vAlign w:val="center"/>
          </w:tcPr>
          <w:p w14:paraId="60070DF9" w14:textId="77777777" w:rsidR="00B546DA" w:rsidRDefault="00976ABB">
            <w:pPr>
              <w:rPr>
                <w:rFonts w:ascii="Arial" w:hAnsi="Arial"/>
              </w:rPr>
            </w:pPr>
            <w:r>
              <w:rPr>
                <w:rFonts w:ascii="Arial" w:hAnsi="Arial"/>
              </w:rPr>
              <w:t>0.032</w:t>
            </w:r>
          </w:p>
        </w:tc>
      </w:tr>
      <w:tr w:rsidR="00B546DA" w14:paraId="3CE35E6C" w14:textId="77777777">
        <w:trPr>
          <w:jc w:val="center"/>
        </w:trPr>
        <w:tc>
          <w:tcPr>
            <w:tcW w:w="1009" w:type="pct"/>
            <w:vMerge/>
            <w:tcBorders>
              <w:left w:val="nil"/>
              <w:right w:val="nil"/>
            </w:tcBorders>
            <w:tcMar>
              <w:top w:w="-1" w:type="dxa"/>
              <w:left w:w="-1" w:type="dxa"/>
              <w:bottom w:w="-1" w:type="dxa"/>
              <w:right w:w="-1" w:type="dxa"/>
            </w:tcMar>
            <w:vAlign w:val="center"/>
          </w:tcPr>
          <w:p w14:paraId="3E47AE68" w14:textId="77777777" w:rsidR="00B546DA" w:rsidRDefault="00B546DA">
            <w:pPr>
              <w:rPr>
                <w:rFonts w:ascii="Arial" w:hAnsi="Arial"/>
              </w:rPr>
            </w:pPr>
          </w:p>
        </w:tc>
        <w:tc>
          <w:tcPr>
            <w:tcW w:w="481" w:type="pct"/>
            <w:vMerge/>
            <w:tcBorders>
              <w:left w:val="nil"/>
              <w:right w:val="nil"/>
            </w:tcBorders>
            <w:tcMar>
              <w:top w:w="-1" w:type="dxa"/>
              <w:left w:w="-1" w:type="dxa"/>
              <w:bottom w:w="-1" w:type="dxa"/>
              <w:right w:w="-1" w:type="dxa"/>
            </w:tcMar>
            <w:vAlign w:val="center"/>
          </w:tcPr>
          <w:p w14:paraId="5EFAAC4A" w14:textId="77777777" w:rsidR="00B546DA" w:rsidRDefault="00B546DA">
            <w:pPr>
              <w:rPr>
                <w:rFonts w:ascii="Arial" w:hAnsi="Arial"/>
              </w:rPr>
            </w:pPr>
          </w:p>
        </w:tc>
        <w:tc>
          <w:tcPr>
            <w:tcW w:w="2148" w:type="pct"/>
            <w:tcBorders>
              <w:top w:val="nil"/>
              <w:left w:val="nil"/>
              <w:bottom w:val="nil"/>
              <w:right w:val="nil"/>
            </w:tcBorders>
            <w:tcMar>
              <w:top w:w="-1" w:type="dxa"/>
              <w:left w:w="-1" w:type="dxa"/>
              <w:bottom w:w="-1" w:type="dxa"/>
              <w:right w:w="-1" w:type="dxa"/>
            </w:tcMar>
            <w:vAlign w:val="center"/>
          </w:tcPr>
          <w:p w14:paraId="51B06AEC" w14:textId="77777777" w:rsidR="00B546DA" w:rsidRDefault="00976ABB">
            <w:pPr>
              <w:rPr>
                <w:rFonts w:ascii="Arial" w:hAnsi="Arial"/>
              </w:rPr>
            </w:pPr>
            <w:r>
              <w:rPr>
                <w:rFonts w:ascii="Arial" w:hAnsi="Arial"/>
              </w:rPr>
              <w:t>B2 Deep logic bridge: online and offline resources</w:t>
            </w:r>
          </w:p>
        </w:tc>
        <w:tc>
          <w:tcPr>
            <w:tcW w:w="666" w:type="pct"/>
            <w:tcBorders>
              <w:top w:val="nil"/>
              <w:left w:val="nil"/>
              <w:bottom w:val="nil"/>
              <w:right w:val="nil"/>
            </w:tcBorders>
            <w:tcMar>
              <w:top w:w="-1" w:type="dxa"/>
              <w:left w:w="-1" w:type="dxa"/>
              <w:bottom w:w="-1" w:type="dxa"/>
              <w:right w:w="-1" w:type="dxa"/>
            </w:tcMar>
            <w:vAlign w:val="center"/>
          </w:tcPr>
          <w:p w14:paraId="7802C9FB" w14:textId="77777777" w:rsidR="00B546DA" w:rsidRDefault="00976ABB">
            <w:pPr>
              <w:rPr>
                <w:rFonts w:ascii="Arial" w:hAnsi="Arial"/>
              </w:rPr>
            </w:pPr>
            <w:r>
              <w:rPr>
                <w:rFonts w:ascii="Arial" w:hAnsi="Arial"/>
              </w:rPr>
              <w:t>0.232</w:t>
            </w:r>
          </w:p>
        </w:tc>
        <w:tc>
          <w:tcPr>
            <w:tcW w:w="697" w:type="pct"/>
            <w:tcBorders>
              <w:top w:val="nil"/>
              <w:left w:val="nil"/>
              <w:bottom w:val="nil"/>
              <w:right w:val="nil"/>
            </w:tcBorders>
            <w:tcMar>
              <w:top w:w="-1" w:type="dxa"/>
              <w:left w:w="-1" w:type="dxa"/>
              <w:bottom w:w="-1" w:type="dxa"/>
              <w:right w:w="-1" w:type="dxa"/>
            </w:tcMar>
            <w:vAlign w:val="center"/>
          </w:tcPr>
          <w:p w14:paraId="1E0B91C1" w14:textId="77777777" w:rsidR="00B546DA" w:rsidRDefault="00976ABB">
            <w:pPr>
              <w:rPr>
                <w:rFonts w:ascii="Arial" w:hAnsi="Arial"/>
              </w:rPr>
            </w:pPr>
            <w:r>
              <w:rPr>
                <w:rFonts w:ascii="Arial" w:hAnsi="Arial"/>
              </w:rPr>
              <w:t>0.029</w:t>
            </w:r>
          </w:p>
        </w:tc>
      </w:tr>
      <w:tr w:rsidR="00B546DA" w14:paraId="5B4A2807" w14:textId="77777777">
        <w:trPr>
          <w:jc w:val="center"/>
        </w:trPr>
        <w:tc>
          <w:tcPr>
            <w:tcW w:w="1009" w:type="pct"/>
            <w:vMerge/>
            <w:tcBorders>
              <w:left w:val="nil"/>
              <w:right w:val="nil"/>
            </w:tcBorders>
            <w:tcMar>
              <w:top w:w="-1" w:type="dxa"/>
              <w:left w:w="-1" w:type="dxa"/>
              <w:bottom w:w="-1" w:type="dxa"/>
              <w:right w:w="-1" w:type="dxa"/>
            </w:tcMar>
            <w:vAlign w:val="center"/>
          </w:tcPr>
          <w:p w14:paraId="79AA2FBF" w14:textId="77777777" w:rsidR="00B546DA" w:rsidRDefault="00B546DA">
            <w:pPr>
              <w:rPr>
                <w:rFonts w:ascii="Arial" w:hAnsi="Arial"/>
              </w:rPr>
            </w:pPr>
          </w:p>
        </w:tc>
        <w:tc>
          <w:tcPr>
            <w:tcW w:w="481" w:type="pct"/>
            <w:vMerge/>
            <w:tcBorders>
              <w:left w:val="nil"/>
              <w:right w:val="nil"/>
            </w:tcBorders>
            <w:tcMar>
              <w:top w:w="-1" w:type="dxa"/>
              <w:left w:w="-1" w:type="dxa"/>
              <w:bottom w:w="-1" w:type="dxa"/>
              <w:right w:w="-1" w:type="dxa"/>
            </w:tcMar>
            <w:vAlign w:val="center"/>
          </w:tcPr>
          <w:p w14:paraId="10F69C6A" w14:textId="77777777" w:rsidR="00B546DA" w:rsidRDefault="00B546DA">
            <w:pPr>
              <w:rPr>
                <w:rFonts w:ascii="Arial" w:hAnsi="Arial"/>
              </w:rPr>
            </w:pPr>
          </w:p>
        </w:tc>
        <w:tc>
          <w:tcPr>
            <w:tcW w:w="2148" w:type="pct"/>
            <w:tcBorders>
              <w:top w:val="nil"/>
              <w:left w:val="nil"/>
              <w:bottom w:val="nil"/>
              <w:right w:val="nil"/>
            </w:tcBorders>
            <w:tcMar>
              <w:top w:w="-1" w:type="dxa"/>
              <w:left w:w="-1" w:type="dxa"/>
              <w:bottom w:w="-1" w:type="dxa"/>
              <w:right w:w="-1" w:type="dxa"/>
            </w:tcMar>
            <w:vAlign w:val="center"/>
          </w:tcPr>
          <w:p w14:paraId="5FDB42E2" w14:textId="77777777" w:rsidR="00B546DA" w:rsidRDefault="00976ABB">
            <w:pPr>
              <w:rPr>
                <w:rFonts w:ascii="Arial" w:hAnsi="Arial"/>
              </w:rPr>
            </w:pPr>
            <w:r>
              <w:rPr>
                <w:rFonts w:ascii="Arial" w:hAnsi="Arial"/>
              </w:rPr>
              <w:t>B3 Tiered resource difficulty for stratified needs</w:t>
            </w:r>
          </w:p>
        </w:tc>
        <w:tc>
          <w:tcPr>
            <w:tcW w:w="666" w:type="pct"/>
            <w:tcBorders>
              <w:top w:val="nil"/>
              <w:left w:val="nil"/>
              <w:bottom w:val="nil"/>
              <w:right w:val="nil"/>
            </w:tcBorders>
            <w:tcMar>
              <w:top w:w="-1" w:type="dxa"/>
              <w:left w:w="-1" w:type="dxa"/>
              <w:bottom w:w="-1" w:type="dxa"/>
              <w:right w:w="-1" w:type="dxa"/>
            </w:tcMar>
            <w:vAlign w:val="center"/>
          </w:tcPr>
          <w:p w14:paraId="79A1B0AA" w14:textId="77777777" w:rsidR="00B546DA" w:rsidRDefault="00976ABB">
            <w:pPr>
              <w:rPr>
                <w:rFonts w:ascii="Arial" w:hAnsi="Arial"/>
              </w:rPr>
            </w:pPr>
            <w:r>
              <w:rPr>
                <w:rFonts w:ascii="Arial" w:hAnsi="Arial"/>
              </w:rPr>
              <w:t>0.216</w:t>
            </w:r>
          </w:p>
        </w:tc>
        <w:tc>
          <w:tcPr>
            <w:tcW w:w="697" w:type="pct"/>
            <w:tcBorders>
              <w:top w:val="nil"/>
              <w:left w:val="nil"/>
              <w:bottom w:val="nil"/>
              <w:right w:val="nil"/>
            </w:tcBorders>
            <w:tcMar>
              <w:top w:w="-1" w:type="dxa"/>
              <w:left w:w="-1" w:type="dxa"/>
              <w:bottom w:w="-1" w:type="dxa"/>
              <w:right w:w="-1" w:type="dxa"/>
            </w:tcMar>
            <w:vAlign w:val="center"/>
          </w:tcPr>
          <w:p w14:paraId="4B035E6C" w14:textId="77777777" w:rsidR="00B546DA" w:rsidRDefault="00976ABB">
            <w:pPr>
              <w:rPr>
                <w:rFonts w:ascii="Arial" w:hAnsi="Arial"/>
              </w:rPr>
            </w:pPr>
            <w:r>
              <w:rPr>
                <w:rFonts w:ascii="Arial" w:hAnsi="Arial"/>
              </w:rPr>
              <w:t>0.027</w:t>
            </w:r>
          </w:p>
        </w:tc>
      </w:tr>
      <w:tr w:rsidR="00B546DA" w14:paraId="43918295" w14:textId="77777777">
        <w:trPr>
          <w:jc w:val="center"/>
        </w:trPr>
        <w:tc>
          <w:tcPr>
            <w:tcW w:w="1009" w:type="pct"/>
            <w:vMerge/>
            <w:tcBorders>
              <w:left w:val="nil"/>
              <w:right w:val="nil"/>
            </w:tcBorders>
            <w:tcMar>
              <w:top w:w="-1" w:type="dxa"/>
              <w:left w:w="-1" w:type="dxa"/>
              <w:bottom w:w="-1" w:type="dxa"/>
              <w:right w:w="-1" w:type="dxa"/>
            </w:tcMar>
            <w:vAlign w:val="center"/>
          </w:tcPr>
          <w:p w14:paraId="46EE89BB" w14:textId="77777777" w:rsidR="00B546DA" w:rsidRDefault="00B546DA">
            <w:pPr>
              <w:rPr>
                <w:rFonts w:ascii="Arial" w:hAnsi="Arial"/>
              </w:rPr>
            </w:pPr>
          </w:p>
        </w:tc>
        <w:tc>
          <w:tcPr>
            <w:tcW w:w="481" w:type="pct"/>
            <w:vMerge/>
            <w:tcBorders>
              <w:left w:val="nil"/>
              <w:right w:val="nil"/>
            </w:tcBorders>
            <w:tcMar>
              <w:top w:w="-1" w:type="dxa"/>
              <w:left w:w="-1" w:type="dxa"/>
              <w:bottom w:w="-1" w:type="dxa"/>
              <w:right w:w="-1" w:type="dxa"/>
            </w:tcMar>
            <w:vAlign w:val="center"/>
          </w:tcPr>
          <w:p w14:paraId="4826A812" w14:textId="77777777" w:rsidR="00B546DA" w:rsidRDefault="00B546DA">
            <w:pPr>
              <w:rPr>
                <w:rFonts w:ascii="Arial" w:hAnsi="Arial"/>
              </w:rPr>
            </w:pPr>
          </w:p>
        </w:tc>
        <w:tc>
          <w:tcPr>
            <w:tcW w:w="2148" w:type="pct"/>
            <w:tcBorders>
              <w:top w:val="nil"/>
              <w:left w:val="nil"/>
              <w:bottom w:val="nil"/>
              <w:right w:val="nil"/>
            </w:tcBorders>
            <w:tcMar>
              <w:top w:w="-1" w:type="dxa"/>
              <w:left w:w="-1" w:type="dxa"/>
              <w:bottom w:w="-1" w:type="dxa"/>
              <w:right w:w="-1" w:type="dxa"/>
            </w:tcMar>
            <w:vAlign w:val="center"/>
          </w:tcPr>
          <w:p w14:paraId="0E0A8BEA" w14:textId="77777777" w:rsidR="00B546DA" w:rsidRDefault="00976ABB">
            <w:pPr>
              <w:rPr>
                <w:rFonts w:ascii="Arial" w:hAnsi="Arial"/>
              </w:rPr>
            </w:pPr>
            <w:r>
              <w:rPr>
                <w:rFonts w:ascii="Arial" w:hAnsi="Arial"/>
              </w:rPr>
              <w:t>B4 Ideological integration and value guidance</w:t>
            </w:r>
          </w:p>
        </w:tc>
        <w:tc>
          <w:tcPr>
            <w:tcW w:w="666" w:type="pct"/>
            <w:tcBorders>
              <w:top w:val="nil"/>
              <w:left w:val="nil"/>
              <w:bottom w:val="nil"/>
              <w:right w:val="nil"/>
            </w:tcBorders>
            <w:tcMar>
              <w:top w:w="-1" w:type="dxa"/>
              <w:left w:w="-1" w:type="dxa"/>
              <w:bottom w:w="-1" w:type="dxa"/>
              <w:right w:w="-1" w:type="dxa"/>
            </w:tcMar>
            <w:vAlign w:val="center"/>
          </w:tcPr>
          <w:p w14:paraId="45A64D86" w14:textId="77777777" w:rsidR="00B546DA" w:rsidRDefault="00976ABB">
            <w:pPr>
              <w:rPr>
                <w:rFonts w:ascii="Arial" w:hAnsi="Arial"/>
              </w:rPr>
            </w:pPr>
            <w:r>
              <w:rPr>
                <w:rFonts w:ascii="Arial" w:hAnsi="Arial"/>
              </w:rPr>
              <w:t>0.168</w:t>
            </w:r>
          </w:p>
        </w:tc>
        <w:tc>
          <w:tcPr>
            <w:tcW w:w="697" w:type="pct"/>
            <w:tcBorders>
              <w:top w:val="nil"/>
              <w:left w:val="nil"/>
              <w:bottom w:val="nil"/>
              <w:right w:val="nil"/>
            </w:tcBorders>
            <w:tcMar>
              <w:top w:w="-1" w:type="dxa"/>
              <w:left w:w="-1" w:type="dxa"/>
              <w:bottom w:w="-1" w:type="dxa"/>
              <w:right w:w="-1" w:type="dxa"/>
            </w:tcMar>
            <w:vAlign w:val="center"/>
          </w:tcPr>
          <w:p w14:paraId="17F8EC64" w14:textId="77777777" w:rsidR="00B546DA" w:rsidRDefault="00976ABB">
            <w:pPr>
              <w:rPr>
                <w:rFonts w:ascii="Arial" w:hAnsi="Arial"/>
              </w:rPr>
            </w:pPr>
            <w:r>
              <w:rPr>
                <w:rFonts w:ascii="Arial" w:hAnsi="Arial"/>
              </w:rPr>
              <w:t>0.021</w:t>
            </w:r>
          </w:p>
        </w:tc>
      </w:tr>
      <w:tr w:rsidR="00B546DA" w14:paraId="3F481E51" w14:textId="77777777">
        <w:trPr>
          <w:jc w:val="center"/>
        </w:trPr>
        <w:tc>
          <w:tcPr>
            <w:tcW w:w="1009" w:type="pct"/>
            <w:vMerge/>
            <w:tcBorders>
              <w:left w:val="nil"/>
              <w:bottom w:val="nil"/>
              <w:right w:val="nil"/>
            </w:tcBorders>
            <w:tcMar>
              <w:top w:w="-1" w:type="dxa"/>
              <w:left w:w="-1" w:type="dxa"/>
              <w:bottom w:w="-1" w:type="dxa"/>
              <w:right w:w="-1" w:type="dxa"/>
            </w:tcMar>
            <w:vAlign w:val="center"/>
          </w:tcPr>
          <w:p w14:paraId="404B6831" w14:textId="77777777" w:rsidR="00B546DA" w:rsidRDefault="00B546DA">
            <w:pPr>
              <w:rPr>
                <w:rFonts w:ascii="Arial" w:hAnsi="Arial"/>
              </w:rPr>
            </w:pPr>
          </w:p>
        </w:tc>
        <w:tc>
          <w:tcPr>
            <w:tcW w:w="481" w:type="pct"/>
            <w:vMerge/>
            <w:tcBorders>
              <w:left w:val="nil"/>
              <w:bottom w:val="nil"/>
              <w:right w:val="nil"/>
            </w:tcBorders>
            <w:tcMar>
              <w:top w:w="-1" w:type="dxa"/>
              <w:left w:w="-1" w:type="dxa"/>
              <w:bottom w:w="-1" w:type="dxa"/>
              <w:right w:w="-1" w:type="dxa"/>
            </w:tcMar>
            <w:vAlign w:val="center"/>
          </w:tcPr>
          <w:p w14:paraId="27E90661" w14:textId="77777777" w:rsidR="00B546DA" w:rsidRDefault="00B546DA">
            <w:pPr>
              <w:rPr>
                <w:rFonts w:ascii="Arial" w:hAnsi="Arial"/>
              </w:rPr>
            </w:pPr>
          </w:p>
        </w:tc>
        <w:tc>
          <w:tcPr>
            <w:tcW w:w="2148" w:type="pct"/>
            <w:tcBorders>
              <w:top w:val="nil"/>
              <w:left w:val="nil"/>
              <w:bottom w:val="nil"/>
              <w:right w:val="nil"/>
            </w:tcBorders>
            <w:tcMar>
              <w:top w:w="-1" w:type="dxa"/>
              <w:left w:w="-1" w:type="dxa"/>
              <w:bottom w:w="-1" w:type="dxa"/>
              <w:right w:w="-1" w:type="dxa"/>
            </w:tcMar>
            <w:vAlign w:val="center"/>
          </w:tcPr>
          <w:p w14:paraId="31A68444" w14:textId="77777777" w:rsidR="00B546DA" w:rsidRDefault="00976ABB">
            <w:pPr>
              <w:rPr>
                <w:rFonts w:ascii="Arial" w:hAnsi="Arial"/>
              </w:rPr>
            </w:pPr>
            <w:r>
              <w:rPr>
                <w:rFonts w:ascii="Arial" w:hAnsi="Arial"/>
              </w:rPr>
              <w:t>B5 Case selection: academic frontiers &amp; apps</w:t>
            </w:r>
          </w:p>
        </w:tc>
        <w:tc>
          <w:tcPr>
            <w:tcW w:w="666" w:type="pct"/>
            <w:tcBorders>
              <w:top w:val="nil"/>
              <w:left w:val="nil"/>
              <w:bottom w:val="nil"/>
              <w:right w:val="nil"/>
            </w:tcBorders>
            <w:tcMar>
              <w:top w:w="-1" w:type="dxa"/>
              <w:left w:w="-1" w:type="dxa"/>
              <w:bottom w:w="-1" w:type="dxa"/>
              <w:right w:w="-1" w:type="dxa"/>
            </w:tcMar>
            <w:vAlign w:val="center"/>
          </w:tcPr>
          <w:p w14:paraId="5C2CF40D" w14:textId="77777777" w:rsidR="00B546DA" w:rsidRDefault="00976ABB">
            <w:pPr>
              <w:rPr>
                <w:rFonts w:ascii="Arial" w:hAnsi="Arial"/>
              </w:rPr>
            </w:pPr>
            <w:r>
              <w:rPr>
                <w:rFonts w:ascii="Arial" w:hAnsi="Arial"/>
              </w:rPr>
              <w:t>0.128</w:t>
            </w:r>
          </w:p>
        </w:tc>
        <w:tc>
          <w:tcPr>
            <w:tcW w:w="697" w:type="pct"/>
            <w:tcBorders>
              <w:top w:val="nil"/>
              <w:left w:val="nil"/>
              <w:bottom w:val="nil"/>
              <w:right w:val="nil"/>
            </w:tcBorders>
            <w:tcMar>
              <w:top w:w="-1" w:type="dxa"/>
              <w:left w:w="-1" w:type="dxa"/>
              <w:bottom w:w="-1" w:type="dxa"/>
              <w:right w:w="-1" w:type="dxa"/>
            </w:tcMar>
            <w:vAlign w:val="center"/>
          </w:tcPr>
          <w:p w14:paraId="439B7E46" w14:textId="77777777" w:rsidR="00B546DA" w:rsidRDefault="00976ABB">
            <w:pPr>
              <w:rPr>
                <w:rFonts w:ascii="Arial" w:hAnsi="Arial"/>
              </w:rPr>
            </w:pPr>
            <w:r>
              <w:rPr>
                <w:rFonts w:ascii="Arial" w:hAnsi="Arial"/>
              </w:rPr>
              <w:t>0.016</w:t>
            </w:r>
          </w:p>
        </w:tc>
      </w:tr>
      <w:tr w:rsidR="00B546DA" w14:paraId="3A3129E0" w14:textId="77777777">
        <w:trPr>
          <w:jc w:val="center"/>
        </w:trPr>
        <w:tc>
          <w:tcPr>
            <w:tcW w:w="1009" w:type="pct"/>
            <w:vMerge w:val="restart"/>
            <w:tcBorders>
              <w:top w:val="nil"/>
              <w:left w:val="nil"/>
              <w:right w:val="nil"/>
            </w:tcBorders>
            <w:tcMar>
              <w:top w:w="-1" w:type="dxa"/>
              <w:left w:w="-1" w:type="dxa"/>
              <w:bottom w:w="-1" w:type="dxa"/>
              <w:right w:w="-1" w:type="dxa"/>
            </w:tcMar>
            <w:vAlign w:val="center"/>
          </w:tcPr>
          <w:p w14:paraId="4CBFEFED" w14:textId="77777777" w:rsidR="00B546DA" w:rsidRDefault="00976ABB">
            <w:pPr>
              <w:rPr>
                <w:rFonts w:ascii="Arial" w:hAnsi="Arial"/>
              </w:rPr>
            </w:pPr>
            <w:r>
              <w:rPr>
                <w:rFonts w:ascii="Arial" w:hAnsi="Arial"/>
              </w:rPr>
              <w:t>C. Teaching Implementation</w:t>
            </w:r>
          </w:p>
        </w:tc>
        <w:tc>
          <w:tcPr>
            <w:tcW w:w="481" w:type="pct"/>
            <w:vMerge w:val="restart"/>
            <w:tcBorders>
              <w:top w:val="nil"/>
              <w:left w:val="nil"/>
              <w:right w:val="nil"/>
            </w:tcBorders>
            <w:tcMar>
              <w:top w:w="-1" w:type="dxa"/>
              <w:left w:w="-1" w:type="dxa"/>
              <w:bottom w:w="-1" w:type="dxa"/>
              <w:right w:w="-1" w:type="dxa"/>
            </w:tcMar>
            <w:vAlign w:val="center"/>
          </w:tcPr>
          <w:p w14:paraId="7A644384" w14:textId="77777777" w:rsidR="00B546DA" w:rsidRDefault="00976ABB">
            <w:pPr>
              <w:rPr>
                <w:rFonts w:ascii="Arial" w:hAnsi="Arial"/>
              </w:rPr>
            </w:pPr>
            <w:r>
              <w:rPr>
                <w:rFonts w:ascii="Arial" w:hAnsi="Arial"/>
              </w:rPr>
              <w:t>0.118</w:t>
            </w:r>
          </w:p>
        </w:tc>
        <w:tc>
          <w:tcPr>
            <w:tcW w:w="2148" w:type="pct"/>
            <w:tcBorders>
              <w:top w:val="nil"/>
              <w:left w:val="nil"/>
              <w:bottom w:val="nil"/>
              <w:right w:val="nil"/>
            </w:tcBorders>
            <w:tcMar>
              <w:top w:w="-1" w:type="dxa"/>
              <w:left w:w="-1" w:type="dxa"/>
              <w:bottom w:w="-1" w:type="dxa"/>
              <w:right w:w="-1" w:type="dxa"/>
            </w:tcMar>
            <w:vAlign w:val="center"/>
          </w:tcPr>
          <w:p w14:paraId="737F18C9" w14:textId="77777777" w:rsidR="00B546DA" w:rsidRDefault="00976ABB">
            <w:pPr>
              <w:rPr>
                <w:rFonts w:ascii="Arial" w:hAnsi="Arial"/>
              </w:rPr>
            </w:pPr>
            <w:r>
              <w:rPr>
                <w:rFonts w:ascii="Arial" w:hAnsi="Arial"/>
              </w:rPr>
              <w:t>C1 Platform functionality and data support</w:t>
            </w:r>
          </w:p>
        </w:tc>
        <w:tc>
          <w:tcPr>
            <w:tcW w:w="666" w:type="pct"/>
            <w:tcBorders>
              <w:top w:val="nil"/>
              <w:left w:val="nil"/>
              <w:bottom w:val="nil"/>
              <w:right w:val="nil"/>
            </w:tcBorders>
            <w:tcMar>
              <w:top w:w="-1" w:type="dxa"/>
              <w:left w:w="-1" w:type="dxa"/>
              <w:bottom w:w="-1" w:type="dxa"/>
              <w:right w:w="-1" w:type="dxa"/>
            </w:tcMar>
            <w:vAlign w:val="center"/>
          </w:tcPr>
          <w:p w14:paraId="6DE6BE58" w14:textId="77777777" w:rsidR="00B546DA" w:rsidRDefault="00976ABB">
            <w:pPr>
              <w:rPr>
                <w:rFonts w:ascii="Arial" w:hAnsi="Arial"/>
              </w:rPr>
            </w:pPr>
            <w:r>
              <w:rPr>
                <w:rFonts w:ascii="Arial" w:hAnsi="Arial"/>
              </w:rPr>
              <w:t>0.220</w:t>
            </w:r>
          </w:p>
        </w:tc>
        <w:tc>
          <w:tcPr>
            <w:tcW w:w="697" w:type="pct"/>
            <w:tcBorders>
              <w:top w:val="nil"/>
              <w:left w:val="nil"/>
              <w:bottom w:val="nil"/>
              <w:right w:val="nil"/>
            </w:tcBorders>
            <w:tcMar>
              <w:top w:w="-1" w:type="dxa"/>
              <w:left w:w="-1" w:type="dxa"/>
              <w:bottom w:w="-1" w:type="dxa"/>
              <w:right w:w="-1" w:type="dxa"/>
            </w:tcMar>
            <w:vAlign w:val="center"/>
          </w:tcPr>
          <w:p w14:paraId="48212264" w14:textId="77777777" w:rsidR="00B546DA" w:rsidRDefault="00976ABB">
            <w:pPr>
              <w:rPr>
                <w:rFonts w:ascii="Arial" w:hAnsi="Arial"/>
              </w:rPr>
            </w:pPr>
            <w:r>
              <w:rPr>
                <w:rFonts w:ascii="Arial" w:hAnsi="Arial"/>
              </w:rPr>
              <w:t>0.026</w:t>
            </w:r>
          </w:p>
        </w:tc>
      </w:tr>
      <w:tr w:rsidR="00B546DA" w14:paraId="394B9F79" w14:textId="77777777">
        <w:trPr>
          <w:jc w:val="center"/>
        </w:trPr>
        <w:tc>
          <w:tcPr>
            <w:tcW w:w="1009" w:type="pct"/>
            <w:vMerge/>
            <w:tcBorders>
              <w:left w:val="nil"/>
              <w:right w:val="nil"/>
            </w:tcBorders>
            <w:tcMar>
              <w:top w:w="-1" w:type="dxa"/>
              <w:left w:w="-1" w:type="dxa"/>
              <w:bottom w:w="-1" w:type="dxa"/>
              <w:right w:w="-1" w:type="dxa"/>
            </w:tcMar>
            <w:vAlign w:val="center"/>
          </w:tcPr>
          <w:p w14:paraId="0B203E29" w14:textId="77777777" w:rsidR="00B546DA" w:rsidRDefault="00B546DA">
            <w:pPr>
              <w:rPr>
                <w:rFonts w:ascii="Arial" w:hAnsi="Arial"/>
              </w:rPr>
            </w:pPr>
          </w:p>
        </w:tc>
        <w:tc>
          <w:tcPr>
            <w:tcW w:w="481" w:type="pct"/>
            <w:vMerge/>
            <w:tcBorders>
              <w:left w:val="nil"/>
              <w:right w:val="nil"/>
            </w:tcBorders>
            <w:tcMar>
              <w:top w:w="-1" w:type="dxa"/>
              <w:left w:w="-1" w:type="dxa"/>
              <w:bottom w:w="-1" w:type="dxa"/>
              <w:right w:w="-1" w:type="dxa"/>
            </w:tcMar>
            <w:vAlign w:val="center"/>
          </w:tcPr>
          <w:p w14:paraId="6EFD5ED1" w14:textId="77777777" w:rsidR="00B546DA" w:rsidRDefault="00B546DA">
            <w:pPr>
              <w:rPr>
                <w:rFonts w:ascii="Arial" w:hAnsi="Arial"/>
              </w:rPr>
            </w:pPr>
          </w:p>
        </w:tc>
        <w:tc>
          <w:tcPr>
            <w:tcW w:w="2148" w:type="pct"/>
            <w:tcBorders>
              <w:top w:val="nil"/>
              <w:left w:val="nil"/>
              <w:bottom w:val="nil"/>
              <w:right w:val="nil"/>
            </w:tcBorders>
            <w:tcMar>
              <w:top w:w="-1" w:type="dxa"/>
              <w:left w:w="-1" w:type="dxa"/>
              <w:bottom w:w="-1" w:type="dxa"/>
              <w:right w:w="-1" w:type="dxa"/>
            </w:tcMar>
            <w:vAlign w:val="center"/>
          </w:tcPr>
          <w:p w14:paraId="092B7369" w14:textId="77777777" w:rsidR="00B546DA" w:rsidRDefault="00976ABB">
            <w:pPr>
              <w:rPr>
                <w:rFonts w:ascii="Arial" w:hAnsi="Arial"/>
              </w:rPr>
            </w:pPr>
            <w:r>
              <w:rPr>
                <w:rFonts w:ascii="Arial" w:hAnsi="Arial"/>
              </w:rPr>
              <w:t>C2 High-frequency interaction design</w:t>
            </w:r>
          </w:p>
        </w:tc>
        <w:tc>
          <w:tcPr>
            <w:tcW w:w="666" w:type="pct"/>
            <w:tcBorders>
              <w:top w:val="nil"/>
              <w:left w:val="nil"/>
              <w:bottom w:val="nil"/>
              <w:right w:val="nil"/>
            </w:tcBorders>
            <w:tcMar>
              <w:top w:w="-1" w:type="dxa"/>
              <w:left w:w="-1" w:type="dxa"/>
              <w:bottom w:w="-1" w:type="dxa"/>
              <w:right w:w="-1" w:type="dxa"/>
            </w:tcMar>
            <w:vAlign w:val="center"/>
          </w:tcPr>
          <w:p w14:paraId="62F743CE" w14:textId="77777777" w:rsidR="00B546DA" w:rsidRDefault="00976ABB">
            <w:pPr>
              <w:rPr>
                <w:rFonts w:ascii="Arial" w:hAnsi="Arial"/>
              </w:rPr>
            </w:pPr>
            <w:r>
              <w:rPr>
                <w:rFonts w:ascii="Arial" w:hAnsi="Arial"/>
              </w:rPr>
              <w:t>0.212</w:t>
            </w:r>
          </w:p>
        </w:tc>
        <w:tc>
          <w:tcPr>
            <w:tcW w:w="697" w:type="pct"/>
            <w:tcBorders>
              <w:top w:val="nil"/>
              <w:left w:val="nil"/>
              <w:bottom w:val="nil"/>
              <w:right w:val="nil"/>
            </w:tcBorders>
            <w:tcMar>
              <w:top w:w="-1" w:type="dxa"/>
              <w:left w:w="-1" w:type="dxa"/>
              <w:bottom w:w="-1" w:type="dxa"/>
              <w:right w:w="-1" w:type="dxa"/>
            </w:tcMar>
            <w:vAlign w:val="center"/>
          </w:tcPr>
          <w:p w14:paraId="42F12CAC" w14:textId="77777777" w:rsidR="00B546DA" w:rsidRDefault="00976ABB">
            <w:pPr>
              <w:rPr>
                <w:rFonts w:ascii="Arial" w:hAnsi="Arial"/>
              </w:rPr>
            </w:pPr>
            <w:r>
              <w:rPr>
                <w:rFonts w:ascii="Arial" w:hAnsi="Arial"/>
              </w:rPr>
              <w:t>0.025</w:t>
            </w:r>
          </w:p>
        </w:tc>
      </w:tr>
      <w:tr w:rsidR="00B546DA" w14:paraId="1C4C169F" w14:textId="77777777">
        <w:trPr>
          <w:jc w:val="center"/>
        </w:trPr>
        <w:tc>
          <w:tcPr>
            <w:tcW w:w="1009" w:type="pct"/>
            <w:vMerge/>
            <w:tcBorders>
              <w:left w:val="nil"/>
              <w:right w:val="nil"/>
            </w:tcBorders>
            <w:tcMar>
              <w:top w:w="-1" w:type="dxa"/>
              <w:left w:w="-1" w:type="dxa"/>
              <w:bottom w:w="-1" w:type="dxa"/>
              <w:right w:w="-1" w:type="dxa"/>
            </w:tcMar>
            <w:vAlign w:val="center"/>
          </w:tcPr>
          <w:p w14:paraId="2531A865" w14:textId="77777777" w:rsidR="00B546DA" w:rsidRDefault="00B546DA">
            <w:pPr>
              <w:rPr>
                <w:rFonts w:ascii="Arial" w:hAnsi="Arial"/>
              </w:rPr>
            </w:pPr>
          </w:p>
        </w:tc>
        <w:tc>
          <w:tcPr>
            <w:tcW w:w="481" w:type="pct"/>
            <w:vMerge/>
            <w:tcBorders>
              <w:left w:val="nil"/>
              <w:right w:val="nil"/>
            </w:tcBorders>
            <w:tcMar>
              <w:top w:w="-1" w:type="dxa"/>
              <w:left w:w="-1" w:type="dxa"/>
              <w:bottom w:w="-1" w:type="dxa"/>
              <w:right w:w="-1" w:type="dxa"/>
            </w:tcMar>
            <w:vAlign w:val="center"/>
          </w:tcPr>
          <w:p w14:paraId="7D15F072" w14:textId="77777777" w:rsidR="00B546DA" w:rsidRDefault="00B546DA">
            <w:pPr>
              <w:rPr>
                <w:rFonts w:ascii="Arial" w:hAnsi="Arial"/>
              </w:rPr>
            </w:pPr>
          </w:p>
        </w:tc>
        <w:tc>
          <w:tcPr>
            <w:tcW w:w="2148" w:type="pct"/>
            <w:tcBorders>
              <w:top w:val="nil"/>
              <w:left w:val="nil"/>
              <w:bottom w:val="nil"/>
              <w:right w:val="nil"/>
            </w:tcBorders>
            <w:tcMar>
              <w:top w:w="-1" w:type="dxa"/>
              <w:left w:w="-1" w:type="dxa"/>
              <w:bottom w:w="-1" w:type="dxa"/>
              <w:right w:w="-1" w:type="dxa"/>
            </w:tcMar>
            <w:vAlign w:val="center"/>
          </w:tcPr>
          <w:p w14:paraId="4DB649BD" w14:textId="77777777" w:rsidR="00B546DA" w:rsidRDefault="00976ABB">
            <w:pPr>
              <w:rPr>
                <w:rFonts w:ascii="Arial" w:hAnsi="Arial"/>
              </w:rPr>
            </w:pPr>
            <w:r>
              <w:rPr>
                <w:rFonts w:ascii="Arial" w:hAnsi="Arial"/>
              </w:rPr>
              <w:t>C3 Offline focus on breaking through difficulties</w:t>
            </w:r>
          </w:p>
        </w:tc>
        <w:tc>
          <w:tcPr>
            <w:tcW w:w="666" w:type="pct"/>
            <w:tcBorders>
              <w:top w:val="nil"/>
              <w:left w:val="nil"/>
              <w:bottom w:val="nil"/>
              <w:right w:val="nil"/>
            </w:tcBorders>
            <w:tcMar>
              <w:top w:w="-1" w:type="dxa"/>
              <w:left w:w="-1" w:type="dxa"/>
              <w:bottom w:w="-1" w:type="dxa"/>
              <w:right w:w="-1" w:type="dxa"/>
            </w:tcMar>
            <w:vAlign w:val="center"/>
          </w:tcPr>
          <w:p w14:paraId="6537A91B" w14:textId="77777777" w:rsidR="00B546DA" w:rsidRDefault="00976ABB">
            <w:pPr>
              <w:rPr>
                <w:rFonts w:ascii="Arial" w:hAnsi="Arial"/>
              </w:rPr>
            </w:pPr>
            <w:r>
              <w:rPr>
                <w:rFonts w:ascii="Arial" w:hAnsi="Arial"/>
              </w:rPr>
              <w:t>0.203</w:t>
            </w:r>
          </w:p>
        </w:tc>
        <w:tc>
          <w:tcPr>
            <w:tcW w:w="697" w:type="pct"/>
            <w:tcBorders>
              <w:top w:val="nil"/>
              <w:left w:val="nil"/>
              <w:bottom w:val="nil"/>
              <w:right w:val="nil"/>
            </w:tcBorders>
            <w:tcMar>
              <w:top w:w="-1" w:type="dxa"/>
              <w:left w:w="-1" w:type="dxa"/>
              <w:bottom w:w="-1" w:type="dxa"/>
              <w:right w:w="-1" w:type="dxa"/>
            </w:tcMar>
            <w:vAlign w:val="center"/>
          </w:tcPr>
          <w:p w14:paraId="235F5BA9" w14:textId="77777777" w:rsidR="00B546DA" w:rsidRDefault="00976ABB">
            <w:pPr>
              <w:rPr>
                <w:rFonts w:ascii="Arial" w:hAnsi="Arial"/>
              </w:rPr>
            </w:pPr>
            <w:r>
              <w:rPr>
                <w:rFonts w:ascii="Arial" w:hAnsi="Arial"/>
              </w:rPr>
              <w:t>0.024</w:t>
            </w:r>
          </w:p>
        </w:tc>
      </w:tr>
      <w:tr w:rsidR="00B546DA" w14:paraId="20B3BC71" w14:textId="77777777">
        <w:trPr>
          <w:jc w:val="center"/>
        </w:trPr>
        <w:tc>
          <w:tcPr>
            <w:tcW w:w="1009" w:type="pct"/>
            <w:vMerge/>
            <w:tcBorders>
              <w:left w:val="nil"/>
              <w:right w:val="nil"/>
            </w:tcBorders>
            <w:tcMar>
              <w:top w:w="-1" w:type="dxa"/>
              <w:left w:w="-1" w:type="dxa"/>
              <w:bottom w:w="-1" w:type="dxa"/>
              <w:right w:w="-1" w:type="dxa"/>
            </w:tcMar>
            <w:vAlign w:val="center"/>
          </w:tcPr>
          <w:p w14:paraId="2E0C9C64" w14:textId="77777777" w:rsidR="00B546DA" w:rsidRDefault="00B546DA">
            <w:pPr>
              <w:rPr>
                <w:rFonts w:ascii="Arial" w:hAnsi="Arial"/>
              </w:rPr>
            </w:pPr>
          </w:p>
        </w:tc>
        <w:tc>
          <w:tcPr>
            <w:tcW w:w="481" w:type="pct"/>
            <w:vMerge/>
            <w:tcBorders>
              <w:left w:val="nil"/>
              <w:right w:val="nil"/>
            </w:tcBorders>
            <w:tcMar>
              <w:top w:w="-1" w:type="dxa"/>
              <w:left w:w="-1" w:type="dxa"/>
              <w:bottom w:w="-1" w:type="dxa"/>
              <w:right w:w="-1" w:type="dxa"/>
            </w:tcMar>
            <w:vAlign w:val="center"/>
          </w:tcPr>
          <w:p w14:paraId="34D87EDF" w14:textId="77777777" w:rsidR="00B546DA" w:rsidRDefault="00B546DA">
            <w:pPr>
              <w:rPr>
                <w:rFonts w:ascii="Arial" w:hAnsi="Arial"/>
              </w:rPr>
            </w:pPr>
          </w:p>
        </w:tc>
        <w:tc>
          <w:tcPr>
            <w:tcW w:w="2148" w:type="pct"/>
            <w:tcBorders>
              <w:top w:val="nil"/>
              <w:left w:val="nil"/>
              <w:bottom w:val="nil"/>
              <w:right w:val="nil"/>
            </w:tcBorders>
            <w:tcMar>
              <w:top w:w="-1" w:type="dxa"/>
              <w:left w:w="-1" w:type="dxa"/>
              <w:bottom w:w="-1" w:type="dxa"/>
              <w:right w:w="-1" w:type="dxa"/>
            </w:tcMar>
            <w:vAlign w:val="center"/>
          </w:tcPr>
          <w:p w14:paraId="708802FB" w14:textId="77777777" w:rsidR="00B546DA" w:rsidRDefault="00976ABB">
            <w:pPr>
              <w:rPr>
                <w:rFonts w:ascii="Arial" w:hAnsi="Arial"/>
              </w:rPr>
            </w:pPr>
            <w:r>
              <w:rPr>
                <w:rFonts w:ascii="Arial" w:hAnsi="Arial"/>
              </w:rPr>
              <w:t>C4 Seamless online-offline phase switching</w:t>
            </w:r>
          </w:p>
        </w:tc>
        <w:tc>
          <w:tcPr>
            <w:tcW w:w="666" w:type="pct"/>
            <w:tcBorders>
              <w:top w:val="nil"/>
              <w:left w:val="nil"/>
              <w:bottom w:val="nil"/>
              <w:right w:val="nil"/>
            </w:tcBorders>
            <w:tcMar>
              <w:top w:w="-1" w:type="dxa"/>
              <w:left w:w="-1" w:type="dxa"/>
              <w:bottom w:w="-1" w:type="dxa"/>
              <w:right w:w="-1" w:type="dxa"/>
            </w:tcMar>
            <w:vAlign w:val="center"/>
          </w:tcPr>
          <w:p w14:paraId="2CE74C73" w14:textId="77777777" w:rsidR="00B546DA" w:rsidRDefault="00976ABB">
            <w:pPr>
              <w:rPr>
                <w:rFonts w:ascii="Arial" w:hAnsi="Arial"/>
              </w:rPr>
            </w:pPr>
            <w:r>
              <w:rPr>
                <w:rFonts w:ascii="Arial" w:hAnsi="Arial"/>
              </w:rPr>
              <w:t>0.195</w:t>
            </w:r>
          </w:p>
        </w:tc>
        <w:tc>
          <w:tcPr>
            <w:tcW w:w="697" w:type="pct"/>
            <w:tcBorders>
              <w:top w:val="nil"/>
              <w:left w:val="nil"/>
              <w:bottom w:val="nil"/>
              <w:right w:val="nil"/>
            </w:tcBorders>
            <w:tcMar>
              <w:top w:w="-1" w:type="dxa"/>
              <w:left w:w="-1" w:type="dxa"/>
              <w:bottom w:w="-1" w:type="dxa"/>
              <w:right w:w="-1" w:type="dxa"/>
            </w:tcMar>
            <w:vAlign w:val="center"/>
          </w:tcPr>
          <w:p w14:paraId="406C9598" w14:textId="77777777" w:rsidR="00B546DA" w:rsidRDefault="00976ABB">
            <w:pPr>
              <w:rPr>
                <w:rFonts w:ascii="Arial" w:hAnsi="Arial"/>
              </w:rPr>
            </w:pPr>
            <w:r>
              <w:rPr>
                <w:rFonts w:ascii="Arial" w:hAnsi="Arial"/>
              </w:rPr>
              <w:t>0.023</w:t>
            </w:r>
          </w:p>
        </w:tc>
      </w:tr>
      <w:tr w:rsidR="00B546DA" w14:paraId="100A4A05" w14:textId="77777777">
        <w:trPr>
          <w:jc w:val="center"/>
        </w:trPr>
        <w:tc>
          <w:tcPr>
            <w:tcW w:w="1009" w:type="pct"/>
            <w:vMerge/>
            <w:tcBorders>
              <w:left w:val="nil"/>
              <w:bottom w:val="nil"/>
              <w:right w:val="nil"/>
            </w:tcBorders>
            <w:tcMar>
              <w:top w:w="-1" w:type="dxa"/>
              <w:left w:w="-1" w:type="dxa"/>
              <w:bottom w:w="-1" w:type="dxa"/>
              <w:right w:w="-1" w:type="dxa"/>
            </w:tcMar>
            <w:vAlign w:val="center"/>
          </w:tcPr>
          <w:p w14:paraId="2A50F4D2" w14:textId="77777777" w:rsidR="00B546DA" w:rsidRDefault="00B546DA">
            <w:pPr>
              <w:rPr>
                <w:rFonts w:ascii="Arial" w:hAnsi="Arial"/>
              </w:rPr>
            </w:pPr>
          </w:p>
        </w:tc>
        <w:tc>
          <w:tcPr>
            <w:tcW w:w="481" w:type="pct"/>
            <w:vMerge/>
            <w:tcBorders>
              <w:left w:val="nil"/>
              <w:bottom w:val="nil"/>
              <w:right w:val="nil"/>
            </w:tcBorders>
            <w:tcMar>
              <w:top w:w="-1" w:type="dxa"/>
              <w:left w:w="-1" w:type="dxa"/>
              <w:bottom w:w="-1" w:type="dxa"/>
              <w:right w:w="-1" w:type="dxa"/>
            </w:tcMar>
            <w:vAlign w:val="center"/>
          </w:tcPr>
          <w:p w14:paraId="7ECCF7D9" w14:textId="77777777" w:rsidR="00B546DA" w:rsidRDefault="00B546DA">
            <w:pPr>
              <w:rPr>
                <w:rFonts w:ascii="Arial" w:hAnsi="Arial"/>
              </w:rPr>
            </w:pPr>
          </w:p>
        </w:tc>
        <w:tc>
          <w:tcPr>
            <w:tcW w:w="2148" w:type="pct"/>
            <w:tcBorders>
              <w:top w:val="nil"/>
              <w:left w:val="nil"/>
              <w:bottom w:val="nil"/>
              <w:right w:val="nil"/>
            </w:tcBorders>
            <w:tcMar>
              <w:top w:w="-1" w:type="dxa"/>
              <w:left w:w="-1" w:type="dxa"/>
              <w:bottom w:w="-1" w:type="dxa"/>
              <w:right w:w="-1" w:type="dxa"/>
            </w:tcMar>
            <w:vAlign w:val="center"/>
          </w:tcPr>
          <w:p w14:paraId="184D3EB0" w14:textId="77777777" w:rsidR="00B546DA" w:rsidRDefault="00976ABB">
            <w:pPr>
              <w:rPr>
                <w:rFonts w:ascii="Arial" w:hAnsi="Arial"/>
              </w:rPr>
            </w:pPr>
            <w:r>
              <w:rPr>
                <w:rFonts w:ascii="Arial" w:hAnsi="Arial"/>
              </w:rPr>
              <w:t>C5 24h response and precision guidance</w:t>
            </w:r>
          </w:p>
        </w:tc>
        <w:tc>
          <w:tcPr>
            <w:tcW w:w="666" w:type="pct"/>
            <w:tcBorders>
              <w:top w:val="nil"/>
              <w:left w:val="nil"/>
              <w:bottom w:val="nil"/>
              <w:right w:val="nil"/>
            </w:tcBorders>
            <w:tcMar>
              <w:top w:w="-1" w:type="dxa"/>
              <w:left w:w="-1" w:type="dxa"/>
              <w:bottom w:w="-1" w:type="dxa"/>
              <w:right w:w="-1" w:type="dxa"/>
            </w:tcMar>
            <w:vAlign w:val="center"/>
          </w:tcPr>
          <w:p w14:paraId="666AAD58" w14:textId="77777777" w:rsidR="00B546DA" w:rsidRDefault="00976ABB">
            <w:pPr>
              <w:rPr>
                <w:rFonts w:ascii="Arial" w:hAnsi="Arial"/>
              </w:rPr>
            </w:pPr>
            <w:r>
              <w:rPr>
                <w:rFonts w:ascii="Arial" w:hAnsi="Arial"/>
              </w:rPr>
              <w:t>0.169</w:t>
            </w:r>
          </w:p>
        </w:tc>
        <w:tc>
          <w:tcPr>
            <w:tcW w:w="697" w:type="pct"/>
            <w:tcBorders>
              <w:top w:val="nil"/>
              <w:left w:val="nil"/>
              <w:bottom w:val="nil"/>
              <w:right w:val="nil"/>
            </w:tcBorders>
            <w:tcMar>
              <w:top w:w="-1" w:type="dxa"/>
              <w:left w:w="-1" w:type="dxa"/>
              <w:bottom w:w="-1" w:type="dxa"/>
              <w:right w:w="-1" w:type="dxa"/>
            </w:tcMar>
            <w:vAlign w:val="center"/>
          </w:tcPr>
          <w:p w14:paraId="2588E6C8" w14:textId="77777777" w:rsidR="00B546DA" w:rsidRDefault="00976ABB">
            <w:pPr>
              <w:rPr>
                <w:rFonts w:ascii="Arial" w:hAnsi="Arial"/>
              </w:rPr>
            </w:pPr>
            <w:r>
              <w:rPr>
                <w:rFonts w:ascii="Arial" w:hAnsi="Arial"/>
              </w:rPr>
              <w:t>0.020</w:t>
            </w:r>
          </w:p>
        </w:tc>
      </w:tr>
      <w:tr w:rsidR="00B546DA" w14:paraId="4833C683" w14:textId="77777777">
        <w:trPr>
          <w:jc w:val="center"/>
        </w:trPr>
        <w:tc>
          <w:tcPr>
            <w:tcW w:w="1009" w:type="pct"/>
            <w:vMerge w:val="restart"/>
            <w:tcBorders>
              <w:top w:val="nil"/>
              <w:left w:val="nil"/>
              <w:right w:val="nil"/>
            </w:tcBorders>
            <w:tcMar>
              <w:top w:w="-1" w:type="dxa"/>
              <w:left w:w="-1" w:type="dxa"/>
              <w:bottom w:w="-1" w:type="dxa"/>
              <w:right w:w="-1" w:type="dxa"/>
            </w:tcMar>
            <w:vAlign w:val="center"/>
          </w:tcPr>
          <w:p w14:paraId="75C6609A" w14:textId="77777777" w:rsidR="00B546DA" w:rsidRDefault="00976ABB">
            <w:pPr>
              <w:rPr>
                <w:rFonts w:ascii="Arial" w:hAnsi="Arial"/>
              </w:rPr>
            </w:pPr>
            <w:r>
              <w:rPr>
                <w:rFonts w:ascii="Arial" w:hAnsi="Arial"/>
              </w:rPr>
              <w:t>D. Teaching Effectiveness</w:t>
            </w:r>
          </w:p>
        </w:tc>
        <w:tc>
          <w:tcPr>
            <w:tcW w:w="481" w:type="pct"/>
            <w:vMerge w:val="restart"/>
            <w:tcBorders>
              <w:top w:val="nil"/>
              <w:left w:val="nil"/>
              <w:right w:val="nil"/>
            </w:tcBorders>
            <w:tcMar>
              <w:top w:w="-1" w:type="dxa"/>
              <w:left w:w="-1" w:type="dxa"/>
              <w:bottom w:w="-1" w:type="dxa"/>
              <w:right w:w="-1" w:type="dxa"/>
            </w:tcMar>
            <w:vAlign w:val="center"/>
          </w:tcPr>
          <w:p w14:paraId="5674FC64" w14:textId="77777777" w:rsidR="00B546DA" w:rsidRDefault="00976ABB">
            <w:pPr>
              <w:rPr>
                <w:rFonts w:ascii="Arial" w:hAnsi="Arial"/>
              </w:rPr>
            </w:pPr>
            <w:r>
              <w:rPr>
                <w:rFonts w:ascii="Arial" w:hAnsi="Arial"/>
              </w:rPr>
              <w:t>0.089</w:t>
            </w:r>
          </w:p>
        </w:tc>
        <w:tc>
          <w:tcPr>
            <w:tcW w:w="2148" w:type="pct"/>
            <w:tcBorders>
              <w:top w:val="nil"/>
              <w:left w:val="nil"/>
              <w:bottom w:val="nil"/>
              <w:right w:val="nil"/>
            </w:tcBorders>
            <w:tcMar>
              <w:top w:w="-1" w:type="dxa"/>
              <w:left w:w="-1" w:type="dxa"/>
              <w:bottom w:w="-1" w:type="dxa"/>
              <w:right w:w="-1" w:type="dxa"/>
            </w:tcMar>
            <w:vAlign w:val="center"/>
          </w:tcPr>
          <w:p w14:paraId="61035953" w14:textId="77777777" w:rsidR="00B546DA" w:rsidRDefault="00976ABB">
            <w:pPr>
              <w:rPr>
                <w:rFonts w:ascii="Arial" w:hAnsi="Arial"/>
              </w:rPr>
            </w:pPr>
            <w:r>
              <w:rPr>
                <w:rFonts w:ascii="Arial" w:hAnsi="Arial"/>
              </w:rPr>
              <w:t>D1 Mastery of concepts, theorems, and skills</w:t>
            </w:r>
          </w:p>
        </w:tc>
        <w:tc>
          <w:tcPr>
            <w:tcW w:w="666" w:type="pct"/>
            <w:tcBorders>
              <w:top w:val="nil"/>
              <w:left w:val="nil"/>
              <w:bottom w:val="nil"/>
              <w:right w:val="nil"/>
            </w:tcBorders>
            <w:tcMar>
              <w:top w:w="-1" w:type="dxa"/>
              <w:left w:w="-1" w:type="dxa"/>
              <w:bottom w:w="-1" w:type="dxa"/>
              <w:right w:w="-1" w:type="dxa"/>
            </w:tcMar>
            <w:vAlign w:val="center"/>
          </w:tcPr>
          <w:p w14:paraId="5886AC8D" w14:textId="77777777" w:rsidR="00B546DA" w:rsidRDefault="00976ABB">
            <w:pPr>
              <w:rPr>
                <w:rFonts w:ascii="Arial" w:hAnsi="Arial"/>
              </w:rPr>
            </w:pPr>
            <w:r>
              <w:rPr>
                <w:rFonts w:ascii="Arial" w:hAnsi="Arial"/>
              </w:rPr>
              <w:t>0.225</w:t>
            </w:r>
          </w:p>
        </w:tc>
        <w:tc>
          <w:tcPr>
            <w:tcW w:w="697" w:type="pct"/>
            <w:tcBorders>
              <w:top w:val="nil"/>
              <w:left w:val="nil"/>
              <w:bottom w:val="nil"/>
              <w:right w:val="nil"/>
            </w:tcBorders>
            <w:tcMar>
              <w:top w:w="-1" w:type="dxa"/>
              <w:left w:w="-1" w:type="dxa"/>
              <w:bottom w:w="-1" w:type="dxa"/>
              <w:right w:w="-1" w:type="dxa"/>
            </w:tcMar>
            <w:vAlign w:val="center"/>
          </w:tcPr>
          <w:p w14:paraId="4196908A" w14:textId="77777777" w:rsidR="00B546DA" w:rsidRDefault="00976ABB">
            <w:pPr>
              <w:rPr>
                <w:rFonts w:ascii="Arial" w:hAnsi="Arial"/>
              </w:rPr>
            </w:pPr>
            <w:r>
              <w:rPr>
                <w:rFonts w:ascii="Arial" w:hAnsi="Arial"/>
              </w:rPr>
              <w:t>0.020</w:t>
            </w:r>
          </w:p>
        </w:tc>
      </w:tr>
      <w:tr w:rsidR="00B546DA" w14:paraId="6120D555" w14:textId="77777777">
        <w:trPr>
          <w:jc w:val="center"/>
        </w:trPr>
        <w:tc>
          <w:tcPr>
            <w:tcW w:w="1009" w:type="pct"/>
            <w:vMerge/>
            <w:tcBorders>
              <w:left w:val="nil"/>
              <w:right w:val="nil"/>
            </w:tcBorders>
            <w:tcMar>
              <w:top w:w="-1" w:type="dxa"/>
              <w:left w:w="-1" w:type="dxa"/>
              <w:bottom w:w="-1" w:type="dxa"/>
              <w:right w:w="-1" w:type="dxa"/>
            </w:tcMar>
            <w:vAlign w:val="center"/>
          </w:tcPr>
          <w:p w14:paraId="05537B44" w14:textId="77777777" w:rsidR="00B546DA" w:rsidRDefault="00B546DA">
            <w:pPr>
              <w:rPr>
                <w:rFonts w:ascii="Arial" w:hAnsi="Arial"/>
              </w:rPr>
            </w:pPr>
          </w:p>
        </w:tc>
        <w:tc>
          <w:tcPr>
            <w:tcW w:w="481" w:type="pct"/>
            <w:vMerge/>
            <w:tcBorders>
              <w:left w:val="nil"/>
              <w:right w:val="nil"/>
            </w:tcBorders>
            <w:tcMar>
              <w:top w:w="-1" w:type="dxa"/>
              <w:left w:w="-1" w:type="dxa"/>
              <w:bottom w:w="-1" w:type="dxa"/>
              <w:right w:w="-1" w:type="dxa"/>
            </w:tcMar>
            <w:vAlign w:val="center"/>
          </w:tcPr>
          <w:p w14:paraId="6EAC93DA" w14:textId="77777777" w:rsidR="00B546DA" w:rsidRDefault="00B546DA">
            <w:pPr>
              <w:rPr>
                <w:rFonts w:ascii="Arial" w:hAnsi="Arial"/>
              </w:rPr>
            </w:pPr>
          </w:p>
        </w:tc>
        <w:tc>
          <w:tcPr>
            <w:tcW w:w="2148" w:type="pct"/>
            <w:tcBorders>
              <w:top w:val="nil"/>
              <w:left w:val="nil"/>
              <w:bottom w:val="nil"/>
              <w:right w:val="nil"/>
            </w:tcBorders>
            <w:tcMar>
              <w:top w:w="-1" w:type="dxa"/>
              <w:left w:w="-1" w:type="dxa"/>
              <w:bottom w:w="-1" w:type="dxa"/>
              <w:right w:w="-1" w:type="dxa"/>
            </w:tcMar>
            <w:vAlign w:val="center"/>
          </w:tcPr>
          <w:p w14:paraId="6DB0FC37" w14:textId="77777777" w:rsidR="00B546DA" w:rsidRDefault="00976ABB">
            <w:pPr>
              <w:rPr>
                <w:rFonts w:ascii="Arial" w:hAnsi="Arial"/>
              </w:rPr>
            </w:pPr>
            <w:r>
              <w:rPr>
                <w:rFonts w:ascii="Arial" w:hAnsi="Arial"/>
              </w:rPr>
              <w:t>D2 Mathematical thinking in solving real problems</w:t>
            </w:r>
          </w:p>
        </w:tc>
        <w:tc>
          <w:tcPr>
            <w:tcW w:w="666" w:type="pct"/>
            <w:tcBorders>
              <w:top w:val="nil"/>
              <w:left w:val="nil"/>
              <w:bottom w:val="nil"/>
              <w:right w:val="nil"/>
            </w:tcBorders>
            <w:tcMar>
              <w:top w:w="-1" w:type="dxa"/>
              <w:left w:w="-1" w:type="dxa"/>
              <w:bottom w:w="-1" w:type="dxa"/>
              <w:right w:w="-1" w:type="dxa"/>
            </w:tcMar>
            <w:vAlign w:val="center"/>
          </w:tcPr>
          <w:p w14:paraId="39C8CB15" w14:textId="77777777" w:rsidR="00B546DA" w:rsidRDefault="00976ABB">
            <w:pPr>
              <w:rPr>
                <w:rFonts w:ascii="Arial" w:hAnsi="Arial"/>
              </w:rPr>
            </w:pPr>
            <w:r>
              <w:rPr>
                <w:rFonts w:ascii="Arial" w:hAnsi="Arial"/>
              </w:rPr>
              <w:t>0.213</w:t>
            </w:r>
          </w:p>
        </w:tc>
        <w:tc>
          <w:tcPr>
            <w:tcW w:w="697" w:type="pct"/>
            <w:tcBorders>
              <w:top w:val="nil"/>
              <w:left w:val="nil"/>
              <w:bottom w:val="nil"/>
              <w:right w:val="nil"/>
            </w:tcBorders>
            <w:tcMar>
              <w:top w:w="-1" w:type="dxa"/>
              <w:left w:w="-1" w:type="dxa"/>
              <w:bottom w:w="-1" w:type="dxa"/>
              <w:right w:w="-1" w:type="dxa"/>
            </w:tcMar>
            <w:vAlign w:val="center"/>
          </w:tcPr>
          <w:p w14:paraId="6723BD44" w14:textId="77777777" w:rsidR="00B546DA" w:rsidRDefault="00976ABB">
            <w:pPr>
              <w:rPr>
                <w:rFonts w:ascii="Arial" w:hAnsi="Arial"/>
              </w:rPr>
            </w:pPr>
            <w:r>
              <w:rPr>
                <w:rFonts w:ascii="Arial" w:hAnsi="Arial"/>
              </w:rPr>
              <w:t>0.019</w:t>
            </w:r>
          </w:p>
        </w:tc>
      </w:tr>
      <w:tr w:rsidR="00B546DA" w14:paraId="1AAB067C" w14:textId="77777777">
        <w:trPr>
          <w:jc w:val="center"/>
        </w:trPr>
        <w:tc>
          <w:tcPr>
            <w:tcW w:w="1009" w:type="pct"/>
            <w:vMerge/>
            <w:tcBorders>
              <w:left w:val="nil"/>
              <w:right w:val="nil"/>
            </w:tcBorders>
            <w:tcMar>
              <w:top w:w="-1" w:type="dxa"/>
              <w:left w:w="-1" w:type="dxa"/>
              <w:bottom w:w="-1" w:type="dxa"/>
              <w:right w:w="-1" w:type="dxa"/>
            </w:tcMar>
            <w:vAlign w:val="center"/>
          </w:tcPr>
          <w:p w14:paraId="43A512D8" w14:textId="77777777" w:rsidR="00B546DA" w:rsidRDefault="00B546DA">
            <w:pPr>
              <w:rPr>
                <w:rFonts w:ascii="Arial" w:hAnsi="Arial"/>
              </w:rPr>
            </w:pPr>
          </w:p>
        </w:tc>
        <w:tc>
          <w:tcPr>
            <w:tcW w:w="481" w:type="pct"/>
            <w:vMerge/>
            <w:tcBorders>
              <w:left w:val="nil"/>
              <w:right w:val="nil"/>
            </w:tcBorders>
            <w:tcMar>
              <w:top w:w="-1" w:type="dxa"/>
              <w:left w:w="-1" w:type="dxa"/>
              <w:bottom w:w="-1" w:type="dxa"/>
              <w:right w:w="-1" w:type="dxa"/>
            </w:tcMar>
            <w:vAlign w:val="center"/>
          </w:tcPr>
          <w:p w14:paraId="2ED0B0B3" w14:textId="77777777" w:rsidR="00B546DA" w:rsidRDefault="00B546DA">
            <w:pPr>
              <w:rPr>
                <w:rFonts w:ascii="Arial" w:hAnsi="Arial"/>
              </w:rPr>
            </w:pPr>
          </w:p>
        </w:tc>
        <w:tc>
          <w:tcPr>
            <w:tcW w:w="2148" w:type="pct"/>
            <w:tcBorders>
              <w:top w:val="nil"/>
              <w:left w:val="nil"/>
              <w:bottom w:val="nil"/>
              <w:right w:val="nil"/>
            </w:tcBorders>
            <w:tcMar>
              <w:top w:w="-1" w:type="dxa"/>
              <w:left w:w="-1" w:type="dxa"/>
              <w:bottom w:w="-1" w:type="dxa"/>
              <w:right w:w="-1" w:type="dxa"/>
            </w:tcMar>
            <w:vAlign w:val="center"/>
          </w:tcPr>
          <w:p w14:paraId="1717A0C4" w14:textId="77777777" w:rsidR="00B546DA" w:rsidRDefault="00976ABB">
            <w:pPr>
              <w:rPr>
                <w:rFonts w:ascii="Arial" w:hAnsi="Arial"/>
              </w:rPr>
            </w:pPr>
            <w:r>
              <w:rPr>
                <w:rFonts w:ascii="Arial" w:hAnsi="Arial"/>
              </w:rPr>
              <w:t>D3 Active participation and self-directed study</w:t>
            </w:r>
          </w:p>
        </w:tc>
        <w:tc>
          <w:tcPr>
            <w:tcW w:w="666" w:type="pct"/>
            <w:tcBorders>
              <w:top w:val="nil"/>
              <w:left w:val="nil"/>
              <w:bottom w:val="nil"/>
              <w:right w:val="nil"/>
            </w:tcBorders>
            <w:tcMar>
              <w:top w:w="-1" w:type="dxa"/>
              <w:left w:w="-1" w:type="dxa"/>
              <w:bottom w:w="-1" w:type="dxa"/>
              <w:right w:w="-1" w:type="dxa"/>
            </w:tcMar>
            <w:vAlign w:val="center"/>
          </w:tcPr>
          <w:p w14:paraId="007F3B99" w14:textId="77777777" w:rsidR="00B546DA" w:rsidRDefault="00976ABB">
            <w:pPr>
              <w:rPr>
                <w:rFonts w:ascii="Arial" w:hAnsi="Arial"/>
              </w:rPr>
            </w:pPr>
            <w:r>
              <w:rPr>
                <w:rFonts w:ascii="Arial" w:hAnsi="Arial"/>
              </w:rPr>
              <w:t>0.202</w:t>
            </w:r>
          </w:p>
        </w:tc>
        <w:tc>
          <w:tcPr>
            <w:tcW w:w="697" w:type="pct"/>
            <w:tcBorders>
              <w:top w:val="nil"/>
              <w:left w:val="nil"/>
              <w:bottom w:val="nil"/>
              <w:right w:val="nil"/>
            </w:tcBorders>
            <w:tcMar>
              <w:top w:w="-1" w:type="dxa"/>
              <w:left w:w="-1" w:type="dxa"/>
              <w:bottom w:w="-1" w:type="dxa"/>
              <w:right w:w="-1" w:type="dxa"/>
            </w:tcMar>
            <w:vAlign w:val="center"/>
          </w:tcPr>
          <w:p w14:paraId="2C1E1F7F" w14:textId="77777777" w:rsidR="00B546DA" w:rsidRDefault="00976ABB">
            <w:pPr>
              <w:rPr>
                <w:rFonts w:ascii="Arial" w:hAnsi="Arial"/>
              </w:rPr>
            </w:pPr>
            <w:r>
              <w:rPr>
                <w:rFonts w:ascii="Arial" w:hAnsi="Arial"/>
              </w:rPr>
              <w:t>0.018</w:t>
            </w:r>
          </w:p>
        </w:tc>
      </w:tr>
      <w:tr w:rsidR="00B546DA" w14:paraId="34ED98F5" w14:textId="77777777">
        <w:trPr>
          <w:jc w:val="center"/>
        </w:trPr>
        <w:tc>
          <w:tcPr>
            <w:tcW w:w="1009" w:type="pct"/>
            <w:vMerge/>
            <w:tcBorders>
              <w:left w:val="nil"/>
              <w:right w:val="nil"/>
            </w:tcBorders>
            <w:tcMar>
              <w:top w:w="-1" w:type="dxa"/>
              <w:left w:w="-1" w:type="dxa"/>
              <w:bottom w:w="-1" w:type="dxa"/>
              <w:right w:w="-1" w:type="dxa"/>
            </w:tcMar>
            <w:vAlign w:val="center"/>
          </w:tcPr>
          <w:p w14:paraId="2E247CA1" w14:textId="77777777" w:rsidR="00B546DA" w:rsidRDefault="00B546DA">
            <w:pPr>
              <w:rPr>
                <w:rFonts w:ascii="Arial" w:hAnsi="Arial"/>
              </w:rPr>
            </w:pPr>
          </w:p>
        </w:tc>
        <w:tc>
          <w:tcPr>
            <w:tcW w:w="481" w:type="pct"/>
            <w:vMerge/>
            <w:tcBorders>
              <w:left w:val="nil"/>
              <w:right w:val="nil"/>
            </w:tcBorders>
            <w:tcMar>
              <w:top w:w="-1" w:type="dxa"/>
              <w:left w:w="-1" w:type="dxa"/>
              <w:bottom w:w="-1" w:type="dxa"/>
              <w:right w:w="-1" w:type="dxa"/>
            </w:tcMar>
            <w:vAlign w:val="center"/>
          </w:tcPr>
          <w:p w14:paraId="48CE09D0" w14:textId="77777777" w:rsidR="00B546DA" w:rsidRDefault="00B546DA">
            <w:pPr>
              <w:rPr>
                <w:rFonts w:ascii="Arial" w:hAnsi="Arial"/>
              </w:rPr>
            </w:pPr>
          </w:p>
        </w:tc>
        <w:tc>
          <w:tcPr>
            <w:tcW w:w="2148" w:type="pct"/>
            <w:tcBorders>
              <w:top w:val="nil"/>
              <w:left w:val="nil"/>
              <w:bottom w:val="nil"/>
              <w:right w:val="nil"/>
            </w:tcBorders>
            <w:tcMar>
              <w:top w:w="-1" w:type="dxa"/>
              <w:left w:w="-1" w:type="dxa"/>
              <w:bottom w:w="-1" w:type="dxa"/>
              <w:right w:w="-1" w:type="dxa"/>
            </w:tcMar>
            <w:vAlign w:val="center"/>
          </w:tcPr>
          <w:p w14:paraId="235B402D" w14:textId="77777777" w:rsidR="00B546DA" w:rsidRDefault="00976ABB">
            <w:pPr>
              <w:rPr>
                <w:rFonts w:ascii="Arial" w:hAnsi="Arial"/>
              </w:rPr>
            </w:pPr>
            <w:r>
              <w:rPr>
                <w:rFonts w:ascii="Arial" w:hAnsi="Arial"/>
              </w:rPr>
              <w:t>D4 Satisfaction and perceived achievement</w:t>
            </w:r>
          </w:p>
        </w:tc>
        <w:tc>
          <w:tcPr>
            <w:tcW w:w="666" w:type="pct"/>
            <w:tcBorders>
              <w:top w:val="nil"/>
              <w:left w:val="nil"/>
              <w:bottom w:val="nil"/>
              <w:right w:val="nil"/>
            </w:tcBorders>
            <w:tcMar>
              <w:top w:w="-1" w:type="dxa"/>
              <w:left w:w="-1" w:type="dxa"/>
              <w:bottom w:w="-1" w:type="dxa"/>
              <w:right w:w="-1" w:type="dxa"/>
            </w:tcMar>
            <w:vAlign w:val="center"/>
          </w:tcPr>
          <w:p w14:paraId="7EB9C4C7" w14:textId="77777777" w:rsidR="00B546DA" w:rsidRDefault="00976ABB">
            <w:pPr>
              <w:rPr>
                <w:rFonts w:ascii="Arial" w:hAnsi="Arial"/>
              </w:rPr>
            </w:pPr>
            <w:r>
              <w:rPr>
                <w:rFonts w:ascii="Arial" w:hAnsi="Arial"/>
              </w:rPr>
              <w:t>0.191</w:t>
            </w:r>
          </w:p>
        </w:tc>
        <w:tc>
          <w:tcPr>
            <w:tcW w:w="697" w:type="pct"/>
            <w:tcBorders>
              <w:top w:val="nil"/>
              <w:left w:val="nil"/>
              <w:bottom w:val="nil"/>
              <w:right w:val="nil"/>
            </w:tcBorders>
            <w:tcMar>
              <w:top w:w="-1" w:type="dxa"/>
              <w:left w:w="-1" w:type="dxa"/>
              <w:bottom w:w="-1" w:type="dxa"/>
              <w:right w:w="-1" w:type="dxa"/>
            </w:tcMar>
            <w:vAlign w:val="center"/>
          </w:tcPr>
          <w:p w14:paraId="37BEFC9B" w14:textId="77777777" w:rsidR="00B546DA" w:rsidRDefault="00976ABB">
            <w:pPr>
              <w:rPr>
                <w:rFonts w:ascii="Arial" w:hAnsi="Arial"/>
              </w:rPr>
            </w:pPr>
            <w:r>
              <w:rPr>
                <w:rFonts w:ascii="Arial" w:hAnsi="Arial"/>
              </w:rPr>
              <w:t>0.017</w:t>
            </w:r>
          </w:p>
        </w:tc>
      </w:tr>
      <w:tr w:rsidR="00B546DA" w14:paraId="3D1C7D21" w14:textId="77777777">
        <w:trPr>
          <w:jc w:val="center"/>
        </w:trPr>
        <w:tc>
          <w:tcPr>
            <w:tcW w:w="1009" w:type="pct"/>
            <w:vMerge/>
            <w:tcBorders>
              <w:left w:val="nil"/>
              <w:bottom w:val="nil"/>
              <w:right w:val="nil"/>
            </w:tcBorders>
            <w:tcMar>
              <w:top w:w="-1" w:type="dxa"/>
              <w:left w:w="-1" w:type="dxa"/>
              <w:bottom w:w="-1" w:type="dxa"/>
              <w:right w:w="-1" w:type="dxa"/>
            </w:tcMar>
            <w:vAlign w:val="center"/>
          </w:tcPr>
          <w:p w14:paraId="1A11AFE5" w14:textId="77777777" w:rsidR="00B546DA" w:rsidRDefault="00B546DA">
            <w:pPr>
              <w:rPr>
                <w:rFonts w:ascii="Arial" w:hAnsi="Arial"/>
              </w:rPr>
            </w:pPr>
          </w:p>
        </w:tc>
        <w:tc>
          <w:tcPr>
            <w:tcW w:w="481" w:type="pct"/>
            <w:vMerge/>
            <w:tcBorders>
              <w:left w:val="nil"/>
              <w:bottom w:val="nil"/>
              <w:right w:val="nil"/>
            </w:tcBorders>
            <w:tcMar>
              <w:top w:w="-1" w:type="dxa"/>
              <w:left w:w="-1" w:type="dxa"/>
              <w:bottom w:w="-1" w:type="dxa"/>
              <w:right w:w="-1" w:type="dxa"/>
            </w:tcMar>
            <w:vAlign w:val="center"/>
          </w:tcPr>
          <w:p w14:paraId="3395A335" w14:textId="77777777" w:rsidR="00B546DA" w:rsidRDefault="00B546DA">
            <w:pPr>
              <w:rPr>
                <w:rFonts w:ascii="Arial" w:hAnsi="Arial"/>
              </w:rPr>
            </w:pPr>
          </w:p>
        </w:tc>
        <w:tc>
          <w:tcPr>
            <w:tcW w:w="2148" w:type="pct"/>
            <w:tcBorders>
              <w:top w:val="nil"/>
              <w:left w:val="nil"/>
              <w:bottom w:val="nil"/>
              <w:right w:val="nil"/>
            </w:tcBorders>
            <w:tcMar>
              <w:top w:w="-1" w:type="dxa"/>
              <w:left w:w="-1" w:type="dxa"/>
              <w:bottom w:w="-1" w:type="dxa"/>
              <w:right w:w="-1" w:type="dxa"/>
            </w:tcMar>
            <w:vAlign w:val="center"/>
          </w:tcPr>
          <w:p w14:paraId="0EA2F8E1" w14:textId="77777777" w:rsidR="00B546DA" w:rsidRDefault="00976ABB">
            <w:pPr>
              <w:rPr>
                <w:rFonts w:ascii="Arial" w:hAnsi="Arial"/>
              </w:rPr>
            </w:pPr>
            <w:r>
              <w:rPr>
                <w:rFonts w:ascii="Arial" w:hAnsi="Arial"/>
              </w:rPr>
              <w:t>D5 Transferability to subsequent courses</w:t>
            </w:r>
          </w:p>
        </w:tc>
        <w:tc>
          <w:tcPr>
            <w:tcW w:w="666" w:type="pct"/>
            <w:tcBorders>
              <w:top w:val="nil"/>
              <w:left w:val="nil"/>
              <w:bottom w:val="nil"/>
              <w:right w:val="nil"/>
            </w:tcBorders>
            <w:tcMar>
              <w:top w:w="-1" w:type="dxa"/>
              <w:left w:w="-1" w:type="dxa"/>
              <w:bottom w:w="-1" w:type="dxa"/>
              <w:right w:w="-1" w:type="dxa"/>
            </w:tcMar>
            <w:vAlign w:val="center"/>
          </w:tcPr>
          <w:p w14:paraId="1D32944D" w14:textId="77777777" w:rsidR="00B546DA" w:rsidRDefault="00976ABB">
            <w:pPr>
              <w:rPr>
                <w:rFonts w:ascii="Arial" w:hAnsi="Arial"/>
              </w:rPr>
            </w:pPr>
            <w:r>
              <w:rPr>
                <w:rFonts w:ascii="Arial" w:hAnsi="Arial"/>
              </w:rPr>
              <w:t>0.169</w:t>
            </w:r>
          </w:p>
        </w:tc>
        <w:tc>
          <w:tcPr>
            <w:tcW w:w="697" w:type="pct"/>
            <w:tcBorders>
              <w:top w:val="nil"/>
              <w:left w:val="nil"/>
              <w:bottom w:val="nil"/>
              <w:right w:val="nil"/>
            </w:tcBorders>
            <w:tcMar>
              <w:top w:w="-1" w:type="dxa"/>
              <w:left w:w="-1" w:type="dxa"/>
              <w:bottom w:w="-1" w:type="dxa"/>
              <w:right w:w="-1" w:type="dxa"/>
            </w:tcMar>
            <w:vAlign w:val="center"/>
          </w:tcPr>
          <w:p w14:paraId="3870092B" w14:textId="77777777" w:rsidR="00B546DA" w:rsidRDefault="00976ABB">
            <w:pPr>
              <w:rPr>
                <w:rFonts w:ascii="Arial" w:hAnsi="Arial"/>
              </w:rPr>
            </w:pPr>
            <w:r>
              <w:rPr>
                <w:rFonts w:ascii="Arial" w:hAnsi="Arial"/>
              </w:rPr>
              <w:t>0.015</w:t>
            </w:r>
          </w:p>
        </w:tc>
      </w:tr>
      <w:tr w:rsidR="00B546DA" w14:paraId="63615BEB" w14:textId="77777777">
        <w:trPr>
          <w:jc w:val="center"/>
        </w:trPr>
        <w:tc>
          <w:tcPr>
            <w:tcW w:w="1009" w:type="pct"/>
            <w:vMerge w:val="restart"/>
            <w:tcBorders>
              <w:top w:val="nil"/>
              <w:left w:val="nil"/>
              <w:right w:val="nil"/>
            </w:tcBorders>
            <w:tcMar>
              <w:top w:w="-1" w:type="dxa"/>
              <w:left w:w="-1" w:type="dxa"/>
              <w:bottom w:w="-1" w:type="dxa"/>
              <w:right w:w="-1" w:type="dxa"/>
            </w:tcMar>
            <w:vAlign w:val="center"/>
          </w:tcPr>
          <w:p w14:paraId="08F931E9" w14:textId="77777777" w:rsidR="00B546DA" w:rsidRDefault="00976ABB">
            <w:pPr>
              <w:rPr>
                <w:rFonts w:ascii="Arial" w:hAnsi="Arial"/>
              </w:rPr>
            </w:pPr>
            <w:r>
              <w:rPr>
                <w:rFonts w:ascii="Arial" w:hAnsi="Arial"/>
              </w:rPr>
              <w:t>E. Teaching Support</w:t>
            </w:r>
          </w:p>
        </w:tc>
        <w:tc>
          <w:tcPr>
            <w:tcW w:w="481" w:type="pct"/>
            <w:vMerge w:val="restart"/>
            <w:tcBorders>
              <w:top w:val="nil"/>
              <w:left w:val="nil"/>
              <w:right w:val="nil"/>
            </w:tcBorders>
            <w:tcMar>
              <w:top w:w="-1" w:type="dxa"/>
              <w:left w:w="-1" w:type="dxa"/>
              <w:bottom w:w="-1" w:type="dxa"/>
              <w:right w:w="-1" w:type="dxa"/>
            </w:tcMar>
            <w:vAlign w:val="center"/>
          </w:tcPr>
          <w:p w14:paraId="5AFC5FBB" w14:textId="77777777" w:rsidR="00B546DA" w:rsidRDefault="00976ABB">
            <w:pPr>
              <w:rPr>
                <w:rFonts w:ascii="Arial" w:hAnsi="Arial"/>
              </w:rPr>
            </w:pPr>
            <w:r>
              <w:rPr>
                <w:rFonts w:ascii="Arial" w:hAnsi="Arial"/>
              </w:rPr>
              <w:t>0.536</w:t>
            </w:r>
          </w:p>
        </w:tc>
        <w:tc>
          <w:tcPr>
            <w:tcW w:w="2148" w:type="pct"/>
            <w:tcBorders>
              <w:top w:val="nil"/>
              <w:left w:val="nil"/>
              <w:bottom w:val="nil"/>
              <w:right w:val="nil"/>
            </w:tcBorders>
            <w:tcMar>
              <w:top w:w="-1" w:type="dxa"/>
              <w:left w:w="-1" w:type="dxa"/>
              <w:bottom w:w="-1" w:type="dxa"/>
              <w:right w:w="-1" w:type="dxa"/>
            </w:tcMar>
            <w:vAlign w:val="center"/>
          </w:tcPr>
          <w:p w14:paraId="1EF16998" w14:textId="77777777" w:rsidR="00B546DA" w:rsidRDefault="00976ABB">
            <w:pPr>
              <w:rPr>
                <w:rFonts w:ascii="Arial" w:hAnsi="Arial"/>
              </w:rPr>
            </w:pPr>
            <w:r>
              <w:rPr>
                <w:rFonts w:ascii="Arial" w:hAnsi="Arial"/>
              </w:rPr>
              <w:t>E1 Stability of facilities and digital resources</w:t>
            </w:r>
          </w:p>
        </w:tc>
        <w:tc>
          <w:tcPr>
            <w:tcW w:w="666" w:type="pct"/>
            <w:tcBorders>
              <w:top w:val="nil"/>
              <w:left w:val="nil"/>
              <w:bottom w:val="nil"/>
              <w:right w:val="nil"/>
            </w:tcBorders>
            <w:tcMar>
              <w:top w:w="-1" w:type="dxa"/>
              <w:left w:w="-1" w:type="dxa"/>
              <w:bottom w:w="-1" w:type="dxa"/>
              <w:right w:w="-1" w:type="dxa"/>
            </w:tcMar>
            <w:vAlign w:val="center"/>
          </w:tcPr>
          <w:p w14:paraId="2E6CABD6" w14:textId="77777777" w:rsidR="00B546DA" w:rsidRDefault="00976ABB">
            <w:pPr>
              <w:rPr>
                <w:rFonts w:ascii="Arial" w:hAnsi="Arial"/>
              </w:rPr>
            </w:pPr>
            <w:r>
              <w:rPr>
                <w:rFonts w:ascii="Arial" w:hAnsi="Arial"/>
              </w:rPr>
              <w:t>0.201</w:t>
            </w:r>
          </w:p>
        </w:tc>
        <w:tc>
          <w:tcPr>
            <w:tcW w:w="697" w:type="pct"/>
            <w:tcBorders>
              <w:top w:val="nil"/>
              <w:left w:val="nil"/>
              <w:bottom w:val="nil"/>
              <w:right w:val="nil"/>
            </w:tcBorders>
            <w:tcMar>
              <w:top w:w="-1" w:type="dxa"/>
              <w:left w:w="-1" w:type="dxa"/>
              <w:bottom w:w="-1" w:type="dxa"/>
              <w:right w:w="-1" w:type="dxa"/>
            </w:tcMar>
            <w:vAlign w:val="center"/>
          </w:tcPr>
          <w:p w14:paraId="1A08EC63" w14:textId="77777777" w:rsidR="00B546DA" w:rsidRDefault="00976ABB">
            <w:pPr>
              <w:rPr>
                <w:rFonts w:ascii="Arial" w:hAnsi="Arial"/>
              </w:rPr>
            </w:pPr>
            <w:r>
              <w:rPr>
                <w:rFonts w:ascii="Arial" w:hAnsi="Arial"/>
              </w:rPr>
              <w:t>0.108</w:t>
            </w:r>
          </w:p>
        </w:tc>
      </w:tr>
      <w:tr w:rsidR="00B546DA" w14:paraId="44C4CE9E" w14:textId="77777777">
        <w:trPr>
          <w:jc w:val="center"/>
        </w:trPr>
        <w:tc>
          <w:tcPr>
            <w:tcW w:w="1009" w:type="pct"/>
            <w:vMerge/>
            <w:tcBorders>
              <w:left w:val="nil"/>
              <w:right w:val="nil"/>
            </w:tcBorders>
            <w:tcMar>
              <w:top w:w="-1" w:type="dxa"/>
              <w:left w:w="-1" w:type="dxa"/>
              <w:bottom w:w="-1" w:type="dxa"/>
              <w:right w:w="-1" w:type="dxa"/>
            </w:tcMar>
            <w:vAlign w:val="center"/>
          </w:tcPr>
          <w:p w14:paraId="29102AED" w14:textId="77777777" w:rsidR="00B546DA" w:rsidRDefault="00B546DA">
            <w:pPr>
              <w:rPr>
                <w:rFonts w:ascii="Arial" w:hAnsi="Arial"/>
              </w:rPr>
            </w:pPr>
          </w:p>
        </w:tc>
        <w:tc>
          <w:tcPr>
            <w:tcW w:w="481" w:type="pct"/>
            <w:vMerge/>
            <w:tcBorders>
              <w:left w:val="nil"/>
              <w:right w:val="nil"/>
            </w:tcBorders>
            <w:tcMar>
              <w:top w:w="-1" w:type="dxa"/>
              <w:left w:w="-1" w:type="dxa"/>
              <w:bottom w:w="-1" w:type="dxa"/>
              <w:right w:w="-1" w:type="dxa"/>
            </w:tcMar>
            <w:vAlign w:val="center"/>
          </w:tcPr>
          <w:p w14:paraId="6C4B96CB" w14:textId="77777777" w:rsidR="00B546DA" w:rsidRDefault="00B546DA">
            <w:pPr>
              <w:rPr>
                <w:rFonts w:ascii="Arial" w:hAnsi="Arial"/>
              </w:rPr>
            </w:pPr>
          </w:p>
        </w:tc>
        <w:tc>
          <w:tcPr>
            <w:tcW w:w="2148" w:type="pct"/>
            <w:tcBorders>
              <w:top w:val="nil"/>
              <w:left w:val="nil"/>
              <w:bottom w:val="nil"/>
              <w:right w:val="nil"/>
            </w:tcBorders>
            <w:tcMar>
              <w:top w:w="-1" w:type="dxa"/>
              <w:left w:w="-1" w:type="dxa"/>
              <w:bottom w:w="-1" w:type="dxa"/>
              <w:right w:w="-1" w:type="dxa"/>
            </w:tcMar>
            <w:vAlign w:val="center"/>
          </w:tcPr>
          <w:p w14:paraId="2AE4DBA4" w14:textId="77777777" w:rsidR="00B546DA" w:rsidRDefault="00976ABB">
            <w:pPr>
              <w:rPr>
                <w:rFonts w:ascii="Arial" w:hAnsi="Arial"/>
              </w:rPr>
            </w:pPr>
            <w:r>
              <w:rPr>
                <w:rFonts w:ascii="Arial" w:hAnsi="Arial"/>
              </w:rPr>
              <w:t>E2 Teacher digital literacy and model mastery</w:t>
            </w:r>
          </w:p>
        </w:tc>
        <w:tc>
          <w:tcPr>
            <w:tcW w:w="666" w:type="pct"/>
            <w:tcBorders>
              <w:top w:val="nil"/>
              <w:left w:val="nil"/>
              <w:bottom w:val="nil"/>
              <w:right w:val="nil"/>
            </w:tcBorders>
            <w:tcMar>
              <w:top w:w="-1" w:type="dxa"/>
              <w:left w:w="-1" w:type="dxa"/>
              <w:bottom w:w="-1" w:type="dxa"/>
              <w:right w:w="-1" w:type="dxa"/>
            </w:tcMar>
            <w:vAlign w:val="center"/>
          </w:tcPr>
          <w:p w14:paraId="28CAD9A7" w14:textId="77777777" w:rsidR="00B546DA" w:rsidRDefault="00976ABB">
            <w:pPr>
              <w:rPr>
                <w:rFonts w:ascii="Arial" w:hAnsi="Arial"/>
              </w:rPr>
            </w:pPr>
            <w:r>
              <w:rPr>
                <w:rFonts w:ascii="Arial" w:hAnsi="Arial"/>
              </w:rPr>
              <w:t>0.201</w:t>
            </w:r>
          </w:p>
        </w:tc>
        <w:tc>
          <w:tcPr>
            <w:tcW w:w="697" w:type="pct"/>
            <w:tcBorders>
              <w:top w:val="nil"/>
              <w:left w:val="nil"/>
              <w:bottom w:val="nil"/>
              <w:right w:val="nil"/>
            </w:tcBorders>
            <w:tcMar>
              <w:top w:w="-1" w:type="dxa"/>
              <w:left w:w="-1" w:type="dxa"/>
              <w:bottom w:w="-1" w:type="dxa"/>
              <w:right w:w="-1" w:type="dxa"/>
            </w:tcMar>
            <w:vAlign w:val="center"/>
          </w:tcPr>
          <w:p w14:paraId="090CA28E" w14:textId="77777777" w:rsidR="00B546DA" w:rsidRDefault="00976ABB">
            <w:pPr>
              <w:rPr>
                <w:rFonts w:ascii="Arial" w:hAnsi="Arial"/>
              </w:rPr>
            </w:pPr>
            <w:r>
              <w:rPr>
                <w:rFonts w:ascii="Arial" w:hAnsi="Arial"/>
              </w:rPr>
              <w:t>0.108</w:t>
            </w:r>
          </w:p>
        </w:tc>
      </w:tr>
      <w:tr w:rsidR="00B546DA" w14:paraId="68804986" w14:textId="77777777">
        <w:trPr>
          <w:jc w:val="center"/>
        </w:trPr>
        <w:tc>
          <w:tcPr>
            <w:tcW w:w="1009" w:type="pct"/>
            <w:vMerge/>
            <w:tcBorders>
              <w:left w:val="nil"/>
              <w:right w:val="nil"/>
            </w:tcBorders>
            <w:tcMar>
              <w:top w:w="-1" w:type="dxa"/>
              <w:left w:w="-1" w:type="dxa"/>
              <w:bottom w:w="-1" w:type="dxa"/>
              <w:right w:w="-1" w:type="dxa"/>
            </w:tcMar>
            <w:vAlign w:val="center"/>
          </w:tcPr>
          <w:p w14:paraId="4D37639B" w14:textId="77777777" w:rsidR="00B546DA" w:rsidRDefault="00B546DA">
            <w:pPr>
              <w:rPr>
                <w:rFonts w:ascii="Arial" w:hAnsi="Arial"/>
              </w:rPr>
            </w:pPr>
          </w:p>
        </w:tc>
        <w:tc>
          <w:tcPr>
            <w:tcW w:w="481" w:type="pct"/>
            <w:vMerge/>
            <w:tcBorders>
              <w:left w:val="nil"/>
              <w:right w:val="nil"/>
            </w:tcBorders>
            <w:tcMar>
              <w:top w:w="-1" w:type="dxa"/>
              <w:left w:w="-1" w:type="dxa"/>
              <w:bottom w:w="-1" w:type="dxa"/>
              <w:right w:w="-1" w:type="dxa"/>
            </w:tcMar>
            <w:vAlign w:val="center"/>
          </w:tcPr>
          <w:p w14:paraId="60F513D6" w14:textId="77777777" w:rsidR="00B546DA" w:rsidRDefault="00B546DA">
            <w:pPr>
              <w:rPr>
                <w:rFonts w:ascii="Arial" w:hAnsi="Arial"/>
              </w:rPr>
            </w:pPr>
          </w:p>
        </w:tc>
        <w:tc>
          <w:tcPr>
            <w:tcW w:w="2148" w:type="pct"/>
            <w:tcBorders>
              <w:top w:val="nil"/>
              <w:left w:val="nil"/>
              <w:bottom w:val="nil"/>
              <w:right w:val="nil"/>
            </w:tcBorders>
            <w:tcMar>
              <w:top w:w="-1" w:type="dxa"/>
              <w:left w:w="-1" w:type="dxa"/>
              <w:bottom w:w="-1" w:type="dxa"/>
              <w:right w:w="-1" w:type="dxa"/>
            </w:tcMar>
            <w:vAlign w:val="center"/>
          </w:tcPr>
          <w:p w14:paraId="3506F37A" w14:textId="77777777" w:rsidR="00B546DA" w:rsidRDefault="00976ABB">
            <w:pPr>
              <w:rPr>
                <w:rFonts w:ascii="Arial" w:hAnsi="Arial"/>
              </w:rPr>
            </w:pPr>
            <w:r>
              <w:rPr>
                <w:rFonts w:ascii="Arial" w:hAnsi="Arial"/>
              </w:rPr>
              <w:t>E3 Dynamic monitoring and management systems</w:t>
            </w:r>
          </w:p>
        </w:tc>
        <w:tc>
          <w:tcPr>
            <w:tcW w:w="666" w:type="pct"/>
            <w:tcBorders>
              <w:top w:val="nil"/>
              <w:left w:val="nil"/>
              <w:bottom w:val="nil"/>
              <w:right w:val="nil"/>
            </w:tcBorders>
            <w:tcMar>
              <w:top w:w="-1" w:type="dxa"/>
              <w:left w:w="-1" w:type="dxa"/>
              <w:bottom w:w="-1" w:type="dxa"/>
              <w:right w:w="-1" w:type="dxa"/>
            </w:tcMar>
            <w:vAlign w:val="center"/>
          </w:tcPr>
          <w:p w14:paraId="66B75706" w14:textId="77777777" w:rsidR="00B546DA" w:rsidRDefault="00976ABB">
            <w:pPr>
              <w:rPr>
                <w:rFonts w:ascii="Arial" w:hAnsi="Arial"/>
              </w:rPr>
            </w:pPr>
            <w:r>
              <w:rPr>
                <w:rFonts w:ascii="Arial" w:hAnsi="Arial"/>
              </w:rPr>
              <w:t>0.196</w:t>
            </w:r>
          </w:p>
        </w:tc>
        <w:tc>
          <w:tcPr>
            <w:tcW w:w="697" w:type="pct"/>
            <w:tcBorders>
              <w:top w:val="nil"/>
              <w:left w:val="nil"/>
              <w:bottom w:val="nil"/>
              <w:right w:val="nil"/>
            </w:tcBorders>
            <w:tcMar>
              <w:top w:w="-1" w:type="dxa"/>
              <w:left w:w="-1" w:type="dxa"/>
              <w:bottom w:w="-1" w:type="dxa"/>
              <w:right w:w="-1" w:type="dxa"/>
            </w:tcMar>
            <w:vAlign w:val="center"/>
          </w:tcPr>
          <w:p w14:paraId="22927ADE" w14:textId="77777777" w:rsidR="00B546DA" w:rsidRDefault="00976ABB">
            <w:pPr>
              <w:rPr>
                <w:rFonts w:ascii="Arial" w:hAnsi="Arial"/>
              </w:rPr>
            </w:pPr>
            <w:r>
              <w:rPr>
                <w:rFonts w:ascii="Arial" w:hAnsi="Arial"/>
              </w:rPr>
              <w:t>0.105</w:t>
            </w:r>
          </w:p>
        </w:tc>
      </w:tr>
      <w:tr w:rsidR="00B546DA" w14:paraId="468E4423" w14:textId="77777777">
        <w:trPr>
          <w:jc w:val="center"/>
        </w:trPr>
        <w:tc>
          <w:tcPr>
            <w:tcW w:w="1009" w:type="pct"/>
            <w:vMerge/>
            <w:tcBorders>
              <w:left w:val="nil"/>
              <w:right w:val="nil"/>
            </w:tcBorders>
            <w:tcMar>
              <w:top w:w="-1" w:type="dxa"/>
              <w:left w:w="-1" w:type="dxa"/>
              <w:bottom w:w="-1" w:type="dxa"/>
              <w:right w:w="-1" w:type="dxa"/>
            </w:tcMar>
            <w:vAlign w:val="center"/>
          </w:tcPr>
          <w:p w14:paraId="1C918055" w14:textId="77777777" w:rsidR="00B546DA" w:rsidRDefault="00B546DA">
            <w:pPr>
              <w:rPr>
                <w:rFonts w:ascii="Arial" w:hAnsi="Arial"/>
              </w:rPr>
            </w:pPr>
          </w:p>
        </w:tc>
        <w:tc>
          <w:tcPr>
            <w:tcW w:w="481" w:type="pct"/>
            <w:vMerge/>
            <w:tcBorders>
              <w:left w:val="nil"/>
              <w:right w:val="nil"/>
            </w:tcBorders>
            <w:tcMar>
              <w:top w:w="-1" w:type="dxa"/>
              <w:left w:w="-1" w:type="dxa"/>
              <w:bottom w:w="-1" w:type="dxa"/>
              <w:right w:w="-1" w:type="dxa"/>
            </w:tcMar>
            <w:vAlign w:val="center"/>
          </w:tcPr>
          <w:p w14:paraId="14F510E0" w14:textId="77777777" w:rsidR="00B546DA" w:rsidRDefault="00B546DA">
            <w:pPr>
              <w:rPr>
                <w:rFonts w:ascii="Arial" w:hAnsi="Arial"/>
              </w:rPr>
            </w:pPr>
          </w:p>
        </w:tc>
        <w:tc>
          <w:tcPr>
            <w:tcW w:w="2148" w:type="pct"/>
            <w:tcBorders>
              <w:top w:val="nil"/>
              <w:left w:val="nil"/>
              <w:bottom w:val="nil"/>
              <w:right w:val="nil"/>
            </w:tcBorders>
            <w:tcMar>
              <w:top w:w="-1" w:type="dxa"/>
              <w:left w:w="-1" w:type="dxa"/>
              <w:bottom w:w="-1" w:type="dxa"/>
              <w:right w:w="-1" w:type="dxa"/>
            </w:tcMar>
            <w:vAlign w:val="center"/>
          </w:tcPr>
          <w:p w14:paraId="18952C9B" w14:textId="77777777" w:rsidR="00B546DA" w:rsidRDefault="00976ABB">
            <w:pPr>
              <w:rPr>
                <w:rFonts w:ascii="Arial" w:hAnsi="Arial"/>
              </w:rPr>
            </w:pPr>
            <w:r>
              <w:rPr>
                <w:rFonts w:ascii="Arial" w:hAnsi="Arial"/>
              </w:rPr>
              <w:t>E4 Data security and student privacy protection</w:t>
            </w:r>
          </w:p>
        </w:tc>
        <w:tc>
          <w:tcPr>
            <w:tcW w:w="666" w:type="pct"/>
            <w:tcBorders>
              <w:top w:val="nil"/>
              <w:left w:val="nil"/>
              <w:bottom w:val="nil"/>
              <w:right w:val="nil"/>
            </w:tcBorders>
            <w:tcMar>
              <w:top w:w="-1" w:type="dxa"/>
              <w:left w:w="-1" w:type="dxa"/>
              <w:bottom w:w="-1" w:type="dxa"/>
              <w:right w:w="-1" w:type="dxa"/>
            </w:tcMar>
            <w:vAlign w:val="center"/>
          </w:tcPr>
          <w:p w14:paraId="2DDCF7DF" w14:textId="77777777" w:rsidR="00B546DA" w:rsidRDefault="00976ABB">
            <w:pPr>
              <w:rPr>
                <w:rFonts w:ascii="Arial" w:hAnsi="Arial"/>
              </w:rPr>
            </w:pPr>
            <w:r>
              <w:rPr>
                <w:rFonts w:ascii="Arial" w:hAnsi="Arial"/>
              </w:rPr>
              <w:t>0.192</w:t>
            </w:r>
          </w:p>
        </w:tc>
        <w:tc>
          <w:tcPr>
            <w:tcW w:w="697" w:type="pct"/>
            <w:tcBorders>
              <w:top w:val="nil"/>
              <w:left w:val="nil"/>
              <w:bottom w:val="nil"/>
              <w:right w:val="nil"/>
            </w:tcBorders>
            <w:tcMar>
              <w:top w:w="-1" w:type="dxa"/>
              <w:left w:w="-1" w:type="dxa"/>
              <w:bottom w:w="-1" w:type="dxa"/>
              <w:right w:w="-1" w:type="dxa"/>
            </w:tcMar>
            <w:vAlign w:val="center"/>
          </w:tcPr>
          <w:p w14:paraId="111DFD62" w14:textId="77777777" w:rsidR="00B546DA" w:rsidRDefault="00976ABB">
            <w:pPr>
              <w:rPr>
                <w:rFonts w:ascii="Arial" w:hAnsi="Arial"/>
              </w:rPr>
            </w:pPr>
            <w:r>
              <w:rPr>
                <w:rFonts w:ascii="Arial" w:hAnsi="Arial"/>
              </w:rPr>
              <w:t>0.103</w:t>
            </w:r>
          </w:p>
        </w:tc>
      </w:tr>
      <w:tr w:rsidR="00B546DA" w14:paraId="2D5525D4" w14:textId="77777777">
        <w:trPr>
          <w:jc w:val="center"/>
        </w:trPr>
        <w:tc>
          <w:tcPr>
            <w:tcW w:w="1009" w:type="pct"/>
            <w:vMerge/>
            <w:tcBorders>
              <w:left w:val="nil"/>
              <w:bottom w:val="single" w:sz="12" w:space="0" w:color="000000"/>
              <w:right w:val="nil"/>
            </w:tcBorders>
            <w:tcMar>
              <w:top w:w="-1" w:type="dxa"/>
              <w:left w:w="-1" w:type="dxa"/>
              <w:bottom w:w="-1" w:type="dxa"/>
              <w:right w:w="-1" w:type="dxa"/>
            </w:tcMar>
            <w:vAlign w:val="center"/>
          </w:tcPr>
          <w:p w14:paraId="5AD8BAA5" w14:textId="77777777" w:rsidR="00B546DA" w:rsidRDefault="00B546DA">
            <w:pPr>
              <w:rPr>
                <w:rFonts w:ascii="Arial" w:hAnsi="Arial"/>
              </w:rPr>
            </w:pPr>
          </w:p>
        </w:tc>
        <w:tc>
          <w:tcPr>
            <w:tcW w:w="481" w:type="pct"/>
            <w:vMerge/>
            <w:tcBorders>
              <w:left w:val="nil"/>
              <w:bottom w:val="single" w:sz="12" w:space="0" w:color="000000"/>
              <w:right w:val="nil"/>
            </w:tcBorders>
            <w:tcMar>
              <w:top w:w="-1" w:type="dxa"/>
              <w:left w:w="-1" w:type="dxa"/>
              <w:bottom w:w="-1" w:type="dxa"/>
              <w:right w:w="-1" w:type="dxa"/>
            </w:tcMar>
            <w:vAlign w:val="center"/>
          </w:tcPr>
          <w:p w14:paraId="477D342B" w14:textId="77777777" w:rsidR="00B546DA" w:rsidRDefault="00B546DA">
            <w:pPr>
              <w:rPr>
                <w:rFonts w:ascii="Arial" w:hAnsi="Arial"/>
              </w:rPr>
            </w:pPr>
          </w:p>
        </w:tc>
        <w:tc>
          <w:tcPr>
            <w:tcW w:w="2148" w:type="pct"/>
            <w:tcBorders>
              <w:top w:val="nil"/>
              <w:left w:val="nil"/>
              <w:bottom w:val="single" w:sz="12" w:space="0" w:color="000000"/>
              <w:right w:val="nil"/>
            </w:tcBorders>
            <w:tcMar>
              <w:top w:w="-1" w:type="dxa"/>
              <w:left w:w="-1" w:type="dxa"/>
              <w:bottom w:w="-1" w:type="dxa"/>
              <w:right w:w="-1" w:type="dxa"/>
            </w:tcMar>
            <w:vAlign w:val="center"/>
          </w:tcPr>
          <w:p w14:paraId="29472280" w14:textId="77777777" w:rsidR="00B546DA" w:rsidRDefault="00976ABB">
            <w:pPr>
              <w:rPr>
                <w:rFonts w:ascii="Arial" w:hAnsi="Arial"/>
              </w:rPr>
            </w:pPr>
            <w:r>
              <w:rPr>
                <w:rFonts w:ascii="Arial" w:hAnsi="Arial"/>
              </w:rPr>
              <w:t>E5 Automated warning and intervention efficiency</w:t>
            </w:r>
          </w:p>
        </w:tc>
        <w:tc>
          <w:tcPr>
            <w:tcW w:w="666" w:type="pct"/>
            <w:tcBorders>
              <w:top w:val="nil"/>
              <w:left w:val="nil"/>
              <w:bottom w:val="single" w:sz="12" w:space="0" w:color="000000"/>
              <w:right w:val="nil"/>
            </w:tcBorders>
            <w:tcMar>
              <w:top w:w="-1" w:type="dxa"/>
              <w:left w:w="-1" w:type="dxa"/>
              <w:bottom w:w="-1" w:type="dxa"/>
              <w:right w:w="-1" w:type="dxa"/>
            </w:tcMar>
            <w:vAlign w:val="center"/>
          </w:tcPr>
          <w:p w14:paraId="290349EA" w14:textId="77777777" w:rsidR="00B546DA" w:rsidRDefault="00976ABB">
            <w:pPr>
              <w:rPr>
                <w:rFonts w:ascii="Arial" w:hAnsi="Arial"/>
              </w:rPr>
            </w:pPr>
            <w:r>
              <w:rPr>
                <w:rFonts w:ascii="Arial" w:hAnsi="Arial"/>
              </w:rPr>
              <w:t>0.209</w:t>
            </w:r>
          </w:p>
        </w:tc>
        <w:tc>
          <w:tcPr>
            <w:tcW w:w="697" w:type="pct"/>
            <w:tcBorders>
              <w:top w:val="nil"/>
              <w:left w:val="nil"/>
              <w:bottom w:val="single" w:sz="12" w:space="0" w:color="000000"/>
              <w:right w:val="nil"/>
            </w:tcBorders>
            <w:tcMar>
              <w:top w:w="-1" w:type="dxa"/>
              <w:left w:w="-1" w:type="dxa"/>
              <w:bottom w:w="-1" w:type="dxa"/>
              <w:right w:w="-1" w:type="dxa"/>
            </w:tcMar>
            <w:vAlign w:val="center"/>
          </w:tcPr>
          <w:p w14:paraId="7E375F6F" w14:textId="77777777" w:rsidR="00B546DA" w:rsidRDefault="00976ABB">
            <w:pPr>
              <w:rPr>
                <w:rFonts w:ascii="Arial" w:hAnsi="Arial"/>
              </w:rPr>
            </w:pPr>
            <w:r>
              <w:rPr>
                <w:rFonts w:ascii="Arial" w:hAnsi="Arial"/>
              </w:rPr>
              <w:t>0.112</w:t>
            </w:r>
          </w:p>
        </w:tc>
      </w:tr>
    </w:tbl>
    <w:p w14:paraId="3698FD46" w14:textId="77777777" w:rsidR="00B546DA" w:rsidRDefault="00B546DA">
      <w:pPr>
        <w:pStyle w:val="Body"/>
        <w:spacing w:after="0"/>
        <w:rPr>
          <w:rFonts w:ascii="Arial" w:hAnsi="Arial" w:cs="Arial"/>
          <w:lang w:eastAsia="zh-CN"/>
        </w:rPr>
      </w:pPr>
    </w:p>
    <w:p w14:paraId="2639364E" w14:textId="77777777" w:rsidR="00B546DA" w:rsidRDefault="00976ABB">
      <w:pPr>
        <w:pStyle w:val="Body"/>
        <w:spacing w:after="0"/>
        <w:rPr>
          <w:rFonts w:ascii="Arial" w:hAnsi="Arial" w:cs="Arial"/>
          <w:b/>
          <w:bCs/>
          <w:lang w:eastAsia="zh-CN"/>
        </w:rPr>
      </w:pPr>
      <w:r>
        <w:rPr>
          <w:rFonts w:ascii="Arial" w:hAnsi="Arial" w:cs="Arial"/>
          <w:b/>
          <w:bCs/>
          <w:lang w:eastAsia="zh-CN"/>
        </w:rPr>
        <w:t>2.2.2 Consistency Checks and Logical Reliability</w:t>
      </w:r>
    </w:p>
    <w:p w14:paraId="7BE519EF" w14:textId="77777777" w:rsidR="00B546DA" w:rsidRDefault="00B546DA">
      <w:pPr>
        <w:pStyle w:val="Body"/>
        <w:spacing w:after="0"/>
        <w:rPr>
          <w:rFonts w:ascii="Arial" w:hAnsi="Arial" w:cs="Arial"/>
          <w:lang w:eastAsia="zh-CN"/>
        </w:rPr>
      </w:pPr>
    </w:p>
    <w:p w14:paraId="1F20F098" w14:textId="77777777" w:rsidR="00B546DA" w:rsidRDefault="00976ABB">
      <w:pPr>
        <w:widowControl w:val="0"/>
        <w:jc w:val="both"/>
        <w:rPr>
          <w:rFonts w:ascii="Arial" w:hAnsi="Arial" w:cs="Arial"/>
          <w:lang w:eastAsia="zh-CN"/>
        </w:rPr>
      </w:pPr>
      <w:r>
        <w:rPr>
          <w:rFonts w:ascii="Arial" w:hAnsi="Arial" w:cs="Arial"/>
          <w:lang w:eastAsia="zh-CN"/>
        </w:rPr>
        <w:t xml:space="preserve">To ensure that the weights derived from the AHP matrices were logically consistent, the </w:t>
      </w:r>
      <w:r>
        <w:rPr>
          <w:rFonts w:ascii="Arial" w:hAnsi="Arial" w:cs="Arial"/>
          <w:lang w:eastAsia="zh-CN"/>
        </w:rPr>
        <w:lastRenderedPageBreak/>
        <w:t>research performed consistency tests on 90 judgment matrices submitted by the experts. The Consistency Ratio (CR) was calculated for each level. The formula for CR is:</w:t>
      </w:r>
    </w:p>
    <w:p w14:paraId="4DBAB9FB" w14:textId="77777777" w:rsidR="00B546DA" w:rsidRDefault="00B546DA">
      <w:pPr>
        <w:widowControl w:val="0"/>
        <w:spacing w:line="275" w:lineRule="auto"/>
        <w:rPr>
          <w:rFonts w:ascii="Arial" w:hAnsi="Arial" w:cs="Arial"/>
          <w:lang w:eastAsia="zh-CN"/>
        </w:rPr>
      </w:pPr>
    </w:p>
    <w:p w14:paraId="0F7DA5F5" w14:textId="3CD1C662" w:rsidR="00B546DA" w:rsidRPr="003B2EC2" w:rsidRDefault="003B2EC2">
      <w:pPr>
        <w:widowControl w:val="0"/>
        <w:spacing w:line="275" w:lineRule="auto"/>
        <w:jc w:val="right"/>
        <w:rPr>
          <w:rFonts w:ascii="Arial" w:hAnsi="Arial" w:cs="Arial"/>
          <w:color w:val="EE0000"/>
          <w:lang w:eastAsia="zh-CN"/>
        </w:rPr>
      </w:pPr>
      <m:oMath>
        <m:r>
          <m:rPr>
            <m:nor/>
          </m:rPr>
          <w:rPr>
            <w:rFonts w:ascii="Arial" w:hAnsi="Arial" w:cs="Arial"/>
            <w:color w:val="EE0000"/>
            <w:lang w:eastAsia="zh-CN"/>
          </w:rPr>
          <m:t>CR=</m:t>
        </m:r>
        <m:f>
          <m:fPr>
            <m:ctrlPr>
              <w:rPr>
                <w:rFonts w:ascii="Cambria Math" w:hAnsi="Cambria Math" w:cs="Arial"/>
                <w:iCs/>
                <w:color w:val="EE0000"/>
                <w:lang w:eastAsia="zh-CN"/>
              </w:rPr>
            </m:ctrlPr>
          </m:fPr>
          <m:num>
            <m:r>
              <m:rPr>
                <m:sty m:val="p"/>
              </m:rPr>
              <w:rPr>
                <w:rFonts w:ascii="Cambria Math" w:hAnsi="Cambria Math" w:cs="Arial"/>
                <w:color w:val="EE0000"/>
                <w:lang w:eastAsia="zh-CN"/>
              </w:rPr>
              <m:t>CI</m:t>
            </m:r>
          </m:num>
          <m:den>
            <m:r>
              <m:rPr>
                <m:sty m:val="p"/>
              </m:rPr>
              <w:rPr>
                <w:rFonts w:ascii="Cambria Math" w:hAnsi="Cambria Math" w:cs="Arial"/>
                <w:color w:val="EE0000"/>
                <w:lang w:eastAsia="zh-CN"/>
              </w:rPr>
              <m:t>RI</m:t>
            </m:r>
          </m:den>
        </m:f>
      </m:oMath>
      <w:r w:rsidR="00976ABB" w:rsidRPr="003B2EC2">
        <w:rPr>
          <w:rFonts w:ascii="Arial" w:hAnsi="Arial" w:cs="Arial" w:hint="eastAsia"/>
          <w:color w:val="EE0000"/>
          <w:lang w:eastAsia="zh-CN"/>
        </w:rPr>
        <w:t xml:space="preserve">                                                              (1)</w:t>
      </w:r>
    </w:p>
    <w:p w14:paraId="62545E53" w14:textId="77777777" w:rsidR="00B546DA" w:rsidRDefault="00B546DA">
      <w:pPr>
        <w:pStyle w:val="Body"/>
        <w:spacing w:after="0"/>
        <w:rPr>
          <w:rFonts w:ascii="Arial" w:hAnsi="Arial" w:cs="Arial"/>
          <w:lang w:eastAsia="zh-CN"/>
        </w:rPr>
      </w:pPr>
    </w:p>
    <w:p w14:paraId="59B38A71" w14:textId="2AEE9005" w:rsidR="00B546DA" w:rsidRDefault="00E450BD">
      <w:pPr>
        <w:pStyle w:val="Body"/>
        <w:spacing w:after="0"/>
        <w:rPr>
          <w:rFonts w:ascii="Arial" w:hAnsi="Arial" w:cs="Arial"/>
          <w:lang w:eastAsia="zh-CN"/>
        </w:rPr>
      </w:pPr>
      <w:r>
        <w:rPr>
          <w:rFonts w:ascii="Arial" w:hAnsi="Arial" w:cs="Arial" w:hint="eastAsia"/>
          <w:lang w:eastAsia="zh-CN"/>
        </w:rPr>
        <w:t>w</w:t>
      </w:r>
      <w:r w:rsidR="00976ABB">
        <w:rPr>
          <w:rFonts w:ascii="Arial" w:hAnsi="Arial" w:cs="Arial"/>
          <w:lang w:eastAsia="zh-CN"/>
        </w:rPr>
        <w:t xml:space="preserve">here CI is the Consistency Index </w:t>
      </w:r>
      <m:oMath>
        <m:r>
          <m:rPr>
            <m:nor/>
          </m:rPr>
          <w:rPr>
            <w:rFonts w:ascii="Arial" w:hAnsi="Arial" w:cs="Arial"/>
            <w:lang w:eastAsia="zh-CN"/>
          </w:rPr>
          <m:t>(</m:t>
        </m:r>
        <m:f>
          <m:fPr>
            <m:ctrlPr>
              <w:rPr>
                <w:rFonts w:ascii="Cambria Math" w:hAnsi="Cambria Math" w:cs="Arial"/>
                <w:lang w:eastAsia="zh-CN"/>
              </w:rPr>
            </m:ctrlPr>
          </m:fPr>
          <m:num>
            <m:sSub>
              <m:sSubPr>
                <m:ctrlPr>
                  <w:rPr>
                    <w:rFonts w:ascii="Cambria Math" w:hAnsi="Cambria Math" w:cs="Arial"/>
                    <w:lang w:eastAsia="zh-CN"/>
                  </w:rPr>
                </m:ctrlPr>
              </m:sSubPr>
              <m:e>
                <m:r>
                  <m:rPr>
                    <m:nor/>
                  </m:rPr>
                  <w:rPr>
                    <w:rFonts w:ascii="Arial" w:hAnsi="Arial" w:cs="Arial"/>
                    <w:lang w:eastAsia="zh-CN"/>
                  </w:rPr>
                  <m:t>λ</m:t>
                </m:r>
              </m:e>
              <m:sub>
                <m:r>
                  <m:rPr>
                    <m:nor/>
                  </m:rPr>
                  <w:rPr>
                    <w:rFonts w:ascii="Arial" w:hAnsi="Arial" w:cs="Arial"/>
                    <w:lang w:eastAsia="zh-CN"/>
                  </w:rPr>
                  <m:t>max</m:t>
                </m:r>
              </m:sub>
            </m:sSub>
            <m:r>
              <m:rPr>
                <m:nor/>
              </m:rPr>
              <w:rPr>
                <w:rFonts w:ascii="Arial" w:hAnsi="Arial" w:cs="Arial"/>
                <w:lang w:eastAsia="zh-CN"/>
              </w:rPr>
              <m:t>-n</m:t>
            </m:r>
          </m:num>
          <m:den>
            <m:r>
              <m:rPr>
                <m:nor/>
              </m:rPr>
              <w:rPr>
                <w:rFonts w:ascii="Arial" w:hAnsi="Arial" w:cs="Arial"/>
                <w:lang w:eastAsia="zh-CN"/>
              </w:rPr>
              <m:t>n-1</m:t>
            </m:r>
          </m:den>
        </m:f>
        <m:r>
          <m:rPr>
            <m:nor/>
          </m:rPr>
          <w:rPr>
            <w:rFonts w:ascii="Arial" w:hAnsi="Arial" w:cs="Arial"/>
            <w:lang w:eastAsia="zh-CN"/>
          </w:rPr>
          <m:t>)</m:t>
        </m:r>
      </m:oMath>
      <w:r w:rsidR="00976ABB">
        <w:rPr>
          <w:rFonts w:ascii="Arial" w:hAnsi="Arial" w:cs="Arial"/>
          <w:lang w:eastAsia="zh-CN"/>
        </w:rPr>
        <w:t xml:space="preserve">  and RI is the Random Index corresponding to the matrix size n. In all cases, the CR value was less than the 0.1 threshold, confirming that the experts' judgments were logically consistent and that the resulting weights were statistically reliable.</w:t>
      </w:r>
    </w:p>
    <w:p w14:paraId="57D2E74B" w14:textId="77777777" w:rsidR="00B546DA" w:rsidRDefault="00B546DA">
      <w:pPr>
        <w:pStyle w:val="Body"/>
        <w:spacing w:after="0"/>
        <w:rPr>
          <w:rFonts w:ascii="Arial" w:hAnsi="Arial" w:cs="Arial"/>
          <w:lang w:eastAsia="zh-CN"/>
        </w:rPr>
      </w:pPr>
    </w:p>
    <w:p w14:paraId="510004B5" w14:textId="77777777" w:rsidR="00B546DA" w:rsidRDefault="00976ABB">
      <w:pPr>
        <w:pStyle w:val="Body"/>
        <w:spacing w:after="0"/>
        <w:rPr>
          <w:rFonts w:ascii="Arial" w:hAnsi="Arial" w:cs="Arial"/>
          <w:lang w:eastAsia="zh-CN"/>
        </w:rPr>
      </w:pPr>
      <w:r>
        <w:rPr>
          <w:rFonts w:ascii="Arial" w:hAnsi="Arial" w:cs="Arial"/>
          <w:lang w:eastAsia="zh-CN"/>
        </w:rPr>
        <w:t>The dominance of the "Teaching Support" dimension (weight: 0.536) marks a fundamental departure from traditional evaluation models that prioritize summative outcomes. In a complex, technology-mediated system like blended learning, the operational stability of platforms, the quality of digital assets, and the technical competence of instructors are not merely auxiliary factors; they are the "infrastructure" upon which all pedagogical activities depend</w:t>
      </w:r>
      <w:r>
        <w:rPr>
          <w:rFonts w:ascii="Arial" w:hAnsi="Arial" w:cs="Arial" w:hint="eastAsia"/>
          <w:lang w:eastAsia="zh-CN"/>
        </w:rPr>
        <w:t>.</w:t>
      </w:r>
      <w:r>
        <w:rPr>
          <w:rFonts w:ascii="Arial" w:hAnsi="Arial" w:cs="Arial"/>
          <w:lang w:eastAsia="zh-CN"/>
        </w:rPr>
        <w:t xml:space="preserve"> For Higher Mathematics, characterized by high levels of logical concentration and cumulative knowledge, any technical friction</w:t>
      </w:r>
      <w:r>
        <w:rPr>
          <w:rFonts w:ascii="Arial" w:hAnsi="Arial" w:cs="Arial" w:hint="eastAsia"/>
          <w:lang w:eastAsia="zh-CN"/>
        </w:rPr>
        <w:t xml:space="preserve">, </w:t>
      </w:r>
      <w:r>
        <w:rPr>
          <w:rFonts w:ascii="Arial" w:hAnsi="Arial" w:cs="Arial"/>
          <w:lang w:eastAsia="zh-CN"/>
        </w:rPr>
        <w:t>such as platform lag or inaccessible resources</w:t>
      </w:r>
      <w:r>
        <w:rPr>
          <w:rFonts w:ascii="Arial" w:hAnsi="Arial" w:cs="Arial" w:hint="eastAsia"/>
          <w:lang w:eastAsia="zh-CN"/>
        </w:rPr>
        <w:t xml:space="preserve">, </w:t>
      </w:r>
      <w:r>
        <w:rPr>
          <w:rFonts w:ascii="Arial" w:hAnsi="Arial" w:cs="Arial"/>
          <w:lang w:eastAsia="zh-CN"/>
        </w:rPr>
        <w:t>can break the "learning chain," leading to cognitive overload and student disengagement. The expert group emphasizes that without reliable teaching support, pedagogical innovations like flipped classrooms cannot be effectively sustained. This finding reflects a broader trend in the digital transformation of higher education toward prioritizing "safety, stability, and high-quality development".</w:t>
      </w:r>
    </w:p>
    <w:p w14:paraId="08C17324" w14:textId="77777777" w:rsidR="00B546DA" w:rsidRDefault="00B546DA">
      <w:pPr>
        <w:pStyle w:val="Body"/>
        <w:spacing w:after="0"/>
        <w:rPr>
          <w:rFonts w:ascii="Arial" w:hAnsi="Arial" w:cs="Arial"/>
          <w:lang w:eastAsia="zh-CN"/>
        </w:rPr>
      </w:pPr>
    </w:p>
    <w:p w14:paraId="006AE853" w14:textId="77777777" w:rsidR="00B546DA" w:rsidRDefault="00976ABB">
      <w:pPr>
        <w:pStyle w:val="Head1"/>
        <w:spacing w:after="0"/>
        <w:jc w:val="both"/>
        <w:rPr>
          <w:rFonts w:ascii="Arial" w:hAnsi="Arial" w:cs="Arial"/>
          <w:lang w:eastAsia="zh-CN"/>
        </w:rPr>
      </w:pPr>
      <w:r>
        <w:rPr>
          <w:rFonts w:ascii="Arial" w:hAnsi="Arial" w:cs="Arial"/>
        </w:rPr>
        <w:t>3. results and discussion</w:t>
      </w:r>
    </w:p>
    <w:p w14:paraId="205F6D21" w14:textId="77777777" w:rsidR="00B546DA" w:rsidRDefault="00B546DA">
      <w:pPr>
        <w:pStyle w:val="Body"/>
        <w:spacing w:after="0"/>
        <w:rPr>
          <w:rFonts w:ascii="Arial" w:hAnsi="Arial" w:cs="Arial"/>
        </w:rPr>
      </w:pPr>
    </w:p>
    <w:p w14:paraId="07EA4E94" w14:textId="77777777" w:rsidR="00B546DA" w:rsidRDefault="00976ABB">
      <w:pPr>
        <w:pStyle w:val="Body"/>
        <w:spacing w:after="0"/>
        <w:rPr>
          <w:rFonts w:ascii="Arial" w:hAnsi="Arial" w:cs="Arial"/>
          <w:b/>
          <w:bCs/>
          <w:sz w:val="22"/>
          <w:szCs w:val="22"/>
          <w:lang w:eastAsia="zh-CN"/>
        </w:rPr>
      </w:pPr>
      <w:r>
        <w:rPr>
          <w:rFonts w:ascii="Arial" w:hAnsi="Arial" w:cs="Arial" w:hint="eastAsia"/>
          <w:b/>
          <w:bCs/>
          <w:sz w:val="22"/>
          <w:szCs w:val="22"/>
          <w:lang w:eastAsia="zh-CN"/>
        </w:rPr>
        <w:t>3</w:t>
      </w:r>
      <w:r>
        <w:rPr>
          <w:rFonts w:ascii="Arial" w:hAnsi="Arial" w:cs="Arial"/>
          <w:b/>
          <w:bCs/>
          <w:sz w:val="22"/>
          <w:szCs w:val="22"/>
          <w:lang w:eastAsia="zh-CN"/>
        </w:rPr>
        <w:t>.</w:t>
      </w:r>
      <w:r>
        <w:rPr>
          <w:rFonts w:ascii="Arial" w:hAnsi="Arial" w:cs="Arial" w:hint="eastAsia"/>
          <w:b/>
          <w:bCs/>
          <w:sz w:val="22"/>
          <w:szCs w:val="22"/>
          <w:lang w:eastAsia="zh-CN"/>
        </w:rPr>
        <w:t>1</w:t>
      </w:r>
      <w:r>
        <w:rPr>
          <w:rFonts w:ascii="Arial" w:hAnsi="Arial" w:cs="Arial"/>
          <w:b/>
          <w:bCs/>
          <w:sz w:val="22"/>
          <w:szCs w:val="22"/>
          <w:lang w:eastAsia="zh-CN"/>
        </w:rPr>
        <w:t xml:space="preserve"> </w:t>
      </w:r>
      <w:r>
        <w:rPr>
          <w:rFonts w:ascii="Arial" w:hAnsi="Arial" w:cs="Arial" w:hint="eastAsia"/>
          <w:b/>
          <w:bCs/>
          <w:sz w:val="22"/>
          <w:szCs w:val="22"/>
          <w:lang w:eastAsia="zh-CN"/>
        </w:rPr>
        <w:t>Results</w:t>
      </w:r>
    </w:p>
    <w:p w14:paraId="42D53C99" w14:textId="77777777" w:rsidR="00B546DA" w:rsidRDefault="00B546DA">
      <w:pPr>
        <w:pStyle w:val="Body"/>
        <w:spacing w:after="0"/>
        <w:rPr>
          <w:rFonts w:ascii="Arial" w:hAnsi="Arial" w:cs="Arial"/>
          <w:lang w:eastAsia="zh-CN"/>
        </w:rPr>
      </w:pPr>
    </w:p>
    <w:p w14:paraId="09829DF4" w14:textId="77777777" w:rsidR="00B546DA" w:rsidRDefault="00976ABB">
      <w:pPr>
        <w:pStyle w:val="Body"/>
        <w:spacing w:after="0"/>
        <w:rPr>
          <w:rFonts w:ascii="Arial" w:hAnsi="Arial" w:cs="Arial"/>
        </w:rPr>
      </w:pPr>
      <w:r>
        <w:rPr>
          <w:rFonts w:ascii="Arial" w:hAnsi="Arial" w:cs="Arial"/>
        </w:rPr>
        <w:t>The weight calculation results show that the weight of teaching support (E) exceeds 50%, marking a shift in the concept of the blended teaching evaluation system from "effect priority" to "support first". Traditional teaching evaluations are mostly centered on the final learning outcomes, but in the complex system of blended teaching, the stability of platform operation, the compatibility of software and hardware, and the supply capacity of digital resources have all become important foundations for ensuring the orderly conduct of teaching activities. The higher mathematics course has strong logical coherence, and technical faults or data delays in the online teaching platform may lead to the disruption of students' learning chains. The expert group believes that without reliable teaching support as a backing, the innovation of teaching models and the optimization of teaching processes are difficult to truly implement. Therefore, this study places the support mechanism in a priority position, which also reflects the deep transformation of the evaluation concept in the process of educational digitalization and intelligence from a single focus on teaching effects to a balance between "safety and stability" and "high-quality development".</w:t>
      </w:r>
    </w:p>
    <w:p w14:paraId="72F245B2" w14:textId="77777777" w:rsidR="00B546DA" w:rsidRDefault="00B546DA">
      <w:pPr>
        <w:pStyle w:val="Body"/>
        <w:spacing w:after="0"/>
        <w:rPr>
          <w:rFonts w:ascii="Arial" w:hAnsi="Arial" w:cs="Arial"/>
          <w:lang w:eastAsia="zh-CN"/>
        </w:rPr>
      </w:pPr>
    </w:p>
    <w:p w14:paraId="5368B65F" w14:textId="77777777" w:rsidR="00B546DA" w:rsidRDefault="00976ABB">
      <w:pPr>
        <w:pStyle w:val="Body"/>
        <w:spacing w:after="0"/>
        <w:rPr>
          <w:rFonts w:ascii="Arial" w:hAnsi="Arial" w:cs="Arial"/>
          <w:lang w:eastAsia="zh-CN"/>
        </w:rPr>
      </w:pPr>
      <w:r>
        <w:rPr>
          <w:rFonts w:ascii="Arial" w:hAnsi="Arial" w:cs="Arial"/>
          <w:lang w:eastAsia="zh-CN"/>
        </w:rPr>
        <w:t>The analysis of composite weights reveals a clear Pareto Effect, where a "critical few" indicators exert a disproportionate influence on the overall quality of the teaching system. Specifically, the top six indicators account for 57.4% of the total cumulative weight, demonstrating that focusing on these variables can yield the most significant improvements in teaching quality</w:t>
      </w:r>
      <w:r>
        <w:rPr>
          <w:rFonts w:ascii="Arial" w:hAnsi="Arial" w:cs="Arial" w:hint="eastAsia"/>
          <w:lang w:eastAsia="zh-CN"/>
        </w:rPr>
        <w:t xml:space="preserve">, as </w:t>
      </w:r>
      <w:r>
        <w:rPr>
          <w:rFonts w:ascii="Arial" w:hAnsi="Arial" w:cs="Arial"/>
          <w:lang w:eastAsia="zh-CN"/>
        </w:rPr>
        <w:t xml:space="preserve">shown in Table </w:t>
      </w:r>
      <w:r>
        <w:rPr>
          <w:rFonts w:ascii="Arial" w:hAnsi="Arial" w:cs="Arial" w:hint="eastAsia"/>
          <w:lang w:eastAsia="zh-CN"/>
        </w:rPr>
        <w:t>5</w:t>
      </w:r>
      <w:r>
        <w:rPr>
          <w:rFonts w:ascii="Arial" w:hAnsi="Arial" w:cs="Arial"/>
          <w:lang w:eastAsia="zh-CN"/>
        </w:rPr>
        <w:t>.</w:t>
      </w:r>
      <w:r>
        <w:t xml:space="preserve"> </w:t>
      </w:r>
      <w:r>
        <w:rPr>
          <w:rFonts w:ascii="Arial" w:hAnsi="Arial" w:cs="Arial"/>
          <w:lang w:eastAsia="zh-CN"/>
        </w:rPr>
        <w:t xml:space="preserve">The fact that "Automated learning early warning and intervention response efficiency (E5)" is the highest-weighted indicator globally identifies it as the core variable of precision teaching. In large-scale Higher Mathematics courses, where a single instructor may manage hundreds of students across multiple sections, manual monitoring of individual progress is impossible. Digital empowerment allows for the real-time collection of online behavioral data—such as video viewing duration, interactive forum </w:t>
      </w:r>
      <w:r>
        <w:rPr>
          <w:rFonts w:ascii="Arial" w:hAnsi="Arial" w:cs="Arial"/>
          <w:lang w:eastAsia="zh-CN"/>
        </w:rPr>
        <w:lastRenderedPageBreak/>
        <w:t>participation, and homework submission patterns—enabling the system to trigger pre-emptive alerts.</w:t>
      </w:r>
      <w:r>
        <w:rPr>
          <w:rFonts w:ascii="Arial" w:hAnsi="Arial" w:cs="Arial" w:hint="eastAsia"/>
          <w:lang w:eastAsia="zh-CN"/>
        </w:rPr>
        <w:t xml:space="preserve"> </w:t>
      </w:r>
      <w:r>
        <w:rPr>
          <w:rFonts w:ascii="Arial" w:hAnsi="Arial" w:cs="Arial"/>
          <w:lang w:eastAsia="zh-CN"/>
        </w:rPr>
        <w:t>This allows for a transition from "post-hoc" fault-finding to "pre-emptive" risk management, ensuring that interventions occur while the learning process is still ongoing.</w:t>
      </w:r>
    </w:p>
    <w:p w14:paraId="73294C53" w14:textId="77777777" w:rsidR="00B546DA" w:rsidRDefault="00B546DA">
      <w:pPr>
        <w:pStyle w:val="Body"/>
        <w:spacing w:after="0"/>
        <w:rPr>
          <w:rFonts w:ascii="Arial" w:hAnsi="Arial" w:cs="Arial"/>
          <w:lang w:eastAsia="zh-CN"/>
        </w:rPr>
      </w:pPr>
    </w:p>
    <w:p w14:paraId="126208FC" w14:textId="77777777" w:rsidR="00B546DA" w:rsidRDefault="00976ABB">
      <w:pPr>
        <w:tabs>
          <w:tab w:val="left" w:pos="1080"/>
        </w:tabs>
        <w:jc w:val="both"/>
        <w:rPr>
          <w:rFonts w:ascii="Arial" w:hAnsi="Arial"/>
          <w:b/>
        </w:rPr>
      </w:pPr>
      <w:r>
        <w:rPr>
          <w:rFonts w:ascii="Arial" w:hAnsi="Arial"/>
          <w:b/>
        </w:rPr>
        <w:t xml:space="preserve">Table </w:t>
      </w:r>
      <w:r>
        <w:rPr>
          <w:rFonts w:ascii="Arial" w:hAnsi="Arial" w:hint="eastAsia"/>
          <w:b/>
          <w:lang w:eastAsia="zh-CN"/>
        </w:rPr>
        <w:t>5</w:t>
      </w:r>
      <w:r>
        <w:rPr>
          <w:rFonts w:ascii="Arial" w:hAnsi="Arial"/>
          <w:b/>
        </w:rPr>
        <w:t>.</w:t>
      </w:r>
      <w:r>
        <w:rPr>
          <w:rFonts w:ascii="Arial" w:hAnsi="Arial"/>
          <w:b/>
        </w:rPr>
        <w:tab/>
        <w:t>Weights of Core Indicators</w:t>
      </w:r>
    </w:p>
    <w:p w14:paraId="55FF76B3" w14:textId="77777777" w:rsidR="00B546DA" w:rsidRDefault="00B546DA">
      <w:pPr>
        <w:pStyle w:val="Body"/>
        <w:spacing w:after="0"/>
        <w:rPr>
          <w:rFonts w:ascii="Arial" w:hAnsi="Arial" w:cs="Arial"/>
          <w:lang w:eastAsia="zh-CN"/>
        </w:rPr>
      </w:pPr>
    </w:p>
    <w:tbl>
      <w:tblPr>
        <w:tblStyle w:val="Style14"/>
        <w:tblW w:w="5000" w:type="pct"/>
        <w:tblBorders>
          <w:top w:val="none" w:sz="6" w:space="0" w:color="000000"/>
          <w:left w:val="none" w:sz="6" w:space="0" w:color="000000"/>
          <w:bottom w:val="none" w:sz="6" w:space="0" w:color="000000"/>
          <w:right w:val="none" w:sz="6" w:space="0" w:color="000000"/>
          <w:insideH w:val="none" w:sz="6" w:space="0" w:color="000000"/>
          <w:insideV w:val="none" w:sz="6" w:space="0" w:color="000000"/>
        </w:tblBorders>
        <w:tblLook w:val="04A0" w:firstRow="1" w:lastRow="0" w:firstColumn="1" w:lastColumn="0" w:noHBand="0" w:noVBand="1"/>
      </w:tblPr>
      <w:tblGrid>
        <w:gridCol w:w="1263"/>
        <w:gridCol w:w="4549"/>
        <w:gridCol w:w="1198"/>
        <w:gridCol w:w="1198"/>
      </w:tblGrid>
      <w:tr w:rsidR="00B546DA" w14:paraId="7EDDEBFE" w14:textId="77777777">
        <w:trPr>
          <w:tblHeader/>
        </w:trPr>
        <w:tc>
          <w:tcPr>
            <w:tcW w:w="769" w:type="pct"/>
            <w:tcBorders>
              <w:top w:val="single" w:sz="12" w:space="0" w:color="000000"/>
              <w:left w:val="nil"/>
              <w:bottom w:val="nil"/>
              <w:right w:val="nil"/>
            </w:tcBorders>
            <w:tcMar>
              <w:top w:w="-1" w:type="dxa"/>
              <w:left w:w="-1" w:type="dxa"/>
              <w:bottom w:w="-1" w:type="dxa"/>
              <w:right w:w="-1" w:type="dxa"/>
            </w:tcMar>
            <w:vAlign w:val="center"/>
          </w:tcPr>
          <w:p w14:paraId="447991FC" w14:textId="77777777" w:rsidR="00B546DA" w:rsidRDefault="00976ABB">
            <w:pPr>
              <w:widowControl w:val="0"/>
              <w:snapToGrid w:val="0"/>
              <w:rPr>
                <w:rFonts w:ascii="Arial" w:eastAsia="Google Sans" w:hAnsi="Arial"/>
                <w:b/>
                <w:bCs/>
                <w:lang w:eastAsia="zh-CN"/>
              </w:rPr>
            </w:pPr>
            <w:r>
              <w:rPr>
                <w:rFonts w:ascii="Arial" w:eastAsia="Google Sans" w:hAnsi="Arial"/>
                <w:b/>
                <w:bCs/>
                <w:lang w:eastAsia="zh-CN"/>
              </w:rPr>
              <w:t>Indicator Code</w:t>
            </w:r>
          </w:p>
        </w:tc>
        <w:tc>
          <w:tcPr>
            <w:tcW w:w="2771" w:type="pct"/>
            <w:tcBorders>
              <w:top w:val="single" w:sz="12" w:space="0" w:color="000000"/>
              <w:left w:val="nil"/>
              <w:bottom w:val="nil"/>
              <w:right w:val="nil"/>
            </w:tcBorders>
            <w:tcMar>
              <w:top w:w="-1" w:type="dxa"/>
              <w:left w:w="-1" w:type="dxa"/>
              <w:bottom w:w="-1" w:type="dxa"/>
              <w:right w:w="-1" w:type="dxa"/>
            </w:tcMar>
            <w:vAlign w:val="center"/>
          </w:tcPr>
          <w:p w14:paraId="06E24C0A" w14:textId="77777777" w:rsidR="00B546DA" w:rsidRDefault="00976ABB">
            <w:pPr>
              <w:widowControl w:val="0"/>
              <w:snapToGrid w:val="0"/>
              <w:rPr>
                <w:rFonts w:ascii="Arial" w:eastAsia="Google Sans" w:hAnsi="Arial"/>
                <w:b/>
                <w:bCs/>
                <w:lang w:eastAsia="zh-CN"/>
              </w:rPr>
            </w:pPr>
            <w:r>
              <w:rPr>
                <w:rFonts w:ascii="Arial" w:eastAsia="Google Sans" w:hAnsi="Arial"/>
                <w:b/>
                <w:bCs/>
                <w:lang w:eastAsia="zh-CN"/>
              </w:rPr>
              <w:t>Indicator Name</w:t>
            </w:r>
          </w:p>
        </w:tc>
        <w:tc>
          <w:tcPr>
            <w:tcW w:w="730" w:type="pct"/>
            <w:tcBorders>
              <w:top w:val="single" w:sz="12" w:space="0" w:color="000000"/>
              <w:left w:val="nil"/>
              <w:bottom w:val="nil"/>
              <w:right w:val="nil"/>
            </w:tcBorders>
            <w:tcMar>
              <w:top w:w="-1" w:type="dxa"/>
              <w:left w:w="-1" w:type="dxa"/>
              <w:bottom w:w="-1" w:type="dxa"/>
              <w:right w:w="-1" w:type="dxa"/>
            </w:tcMar>
            <w:vAlign w:val="center"/>
          </w:tcPr>
          <w:p w14:paraId="328BC6CB" w14:textId="77777777" w:rsidR="00B546DA" w:rsidRDefault="00976ABB">
            <w:pPr>
              <w:widowControl w:val="0"/>
              <w:snapToGrid w:val="0"/>
              <w:jc w:val="both"/>
              <w:rPr>
                <w:rFonts w:ascii="Arial" w:eastAsia="Google Sans" w:hAnsi="Arial"/>
                <w:b/>
                <w:bCs/>
                <w:lang w:eastAsia="zh-CN"/>
              </w:rPr>
            </w:pPr>
            <w:r>
              <w:rPr>
                <w:rFonts w:ascii="Arial" w:eastAsia="Google Sans" w:hAnsi="Arial"/>
                <w:b/>
                <w:bCs/>
                <w:lang w:eastAsia="zh-CN"/>
              </w:rPr>
              <w:t>Composite Weight</w:t>
            </w:r>
          </w:p>
        </w:tc>
        <w:tc>
          <w:tcPr>
            <w:tcW w:w="730" w:type="pct"/>
            <w:tcBorders>
              <w:top w:val="single" w:sz="12" w:space="0" w:color="000000"/>
              <w:left w:val="nil"/>
              <w:bottom w:val="nil"/>
              <w:right w:val="nil"/>
            </w:tcBorders>
            <w:tcMar>
              <w:top w:w="-1" w:type="dxa"/>
              <w:left w:w="-1" w:type="dxa"/>
              <w:bottom w:w="-1" w:type="dxa"/>
              <w:right w:w="-1" w:type="dxa"/>
            </w:tcMar>
            <w:vAlign w:val="center"/>
          </w:tcPr>
          <w:p w14:paraId="37562533" w14:textId="77777777" w:rsidR="00B546DA" w:rsidRDefault="00976ABB">
            <w:pPr>
              <w:widowControl w:val="0"/>
              <w:snapToGrid w:val="0"/>
              <w:jc w:val="both"/>
              <w:rPr>
                <w:rFonts w:ascii="Arial" w:eastAsia="Google Sans" w:hAnsi="Arial"/>
                <w:b/>
                <w:bCs/>
                <w:lang w:eastAsia="zh-CN"/>
              </w:rPr>
            </w:pPr>
            <w:r>
              <w:rPr>
                <w:rFonts w:ascii="Arial" w:eastAsia="Google Sans" w:hAnsi="Arial"/>
                <w:b/>
                <w:bCs/>
                <w:lang w:eastAsia="zh-CN"/>
              </w:rPr>
              <w:t>Global Rank</w:t>
            </w:r>
          </w:p>
        </w:tc>
      </w:tr>
      <w:tr w:rsidR="00B546DA" w14:paraId="25D22471" w14:textId="77777777">
        <w:tc>
          <w:tcPr>
            <w:tcW w:w="769" w:type="pct"/>
            <w:tcBorders>
              <w:top w:val="single" w:sz="4" w:space="0" w:color="000000"/>
              <w:left w:val="nil"/>
              <w:bottom w:val="nil"/>
              <w:right w:val="nil"/>
            </w:tcBorders>
            <w:tcMar>
              <w:top w:w="-1" w:type="dxa"/>
              <w:left w:w="-1" w:type="dxa"/>
              <w:bottom w:w="-1" w:type="dxa"/>
              <w:right w:w="-1" w:type="dxa"/>
            </w:tcMar>
            <w:vAlign w:val="center"/>
          </w:tcPr>
          <w:p w14:paraId="22B360A4" w14:textId="77777777" w:rsidR="00B546DA" w:rsidRDefault="00976ABB">
            <w:pPr>
              <w:widowControl w:val="0"/>
              <w:snapToGrid w:val="0"/>
              <w:rPr>
                <w:rFonts w:ascii="Arial" w:eastAsia="Google Sans" w:hAnsi="Arial"/>
                <w:lang w:eastAsia="zh-CN"/>
              </w:rPr>
            </w:pPr>
            <w:r>
              <w:rPr>
                <w:rFonts w:ascii="Arial" w:eastAsia="Google Sans" w:hAnsi="Arial"/>
                <w:lang w:eastAsia="zh-CN"/>
              </w:rPr>
              <w:t>E5</w:t>
            </w:r>
          </w:p>
        </w:tc>
        <w:tc>
          <w:tcPr>
            <w:tcW w:w="2771" w:type="pct"/>
            <w:tcBorders>
              <w:top w:val="single" w:sz="4" w:space="0" w:color="000000"/>
              <w:left w:val="nil"/>
              <w:bottom w:val="nil"/>
              <w:right w:val="nil"/>
            </w:tcBorders>
            <w:tcMar>
              <w:top w:w="-1" w:type="dxa"/>
              <w:left w:w="-1" w:type="dxa"/>
              <w:bottom w:w="-1" w:type="dxa"/>
              <w:right w:w="-1" w:type="dxa"/>
            </w:tcMar>
            <w:vAlign w:val="center"/>
          </w:tcPr>
          <w:p w14:paraId="568F46AC" w14:textId="77777777" w:rsidR="00B546DA" w:rsidRDefault="00976ABB">
            <w:pPr>
              <w:widowControl w:val="0"/>
              <w:snapToGrid w:val="0"/>
              <w:rPr>
                <w:rFonts w:ascii="Arial" w:eastAsia="Google Sans" w:hAnsi="Arial"/>
                <w:lang w:eastAsia="zh-CN"/>
              </w:rPr>
            </w:pPr>
            <w:r>
              <w:rPr>
                <w:rFonts w:ascii="Arial" w:eastAsia="Google Sans" w:hAnsi="Arial"/>
                <w:lang w:eastAsia="zh-CN"/>
              </w:rPr>
              <w:t>Automated learning warning and intervention efficiency</w:t>
            </w:r>
          </w:p>
        </w:tc>
        <w:tc>
          <w:tcPr>
            <w:tcW w:w="730" w:type="pct"/>
            <w:tcBorders>
              <w:top w:val="single" w:sz="4" w:space="0" w:color="000000"/>
              <w:left w:val="nil"/>
              <w:bottom w:val="nil"/>
              <w:right w:val="nil"/>
            </w:tcBorders>
            <w:tcMar>
              <w:top w:w="-1" w:type="dxa"/>
              <w:left w:w="-1" w:type="dxa"/>
              <w:bottom w:w="-1" w:type="dxa"/>
              <w:right w:w="-1" w:type="dxa"/>
            </w:tcMar>
            <w:vAlign w:val="center"/>
          </w:tcPr>
          <w:p w14:paraId="51971F2E" w14:textId="77777777" w:rsidR="00B546DA" w:rsidRDefault="00976ABB">
            <w:pPr>
              <w:widowControl w:val="0"/>
              <w:snapToGrid w:val="0"/>
              <w:jc w:val="both"/>
              <w:rPr>
                <w:rFonts w:ascii="Arial" w:eastAsia="Google Sans" w:hAnsi="Arial"/>
                <w:lang w:eastAsia="zh-CN"/>
              </w:rPr>
            </w:pPr>
            <w:r>
              <w:rPr>
                <w:rFonts w:ascii="Arial" w:eastAsia="Google Sans" w:hAnsi="Arial"/>
                <w:lang w:eastAsia="zh-CN"/>
              </w:rPr>
              <w:t>0.112</w:t>
            </w:r>
          </w:p>
        </w:tc>
        <w:tc>
          <w:tcPr>
            <w:tcW w:w="730" w:type="pct"/>
            <w:tcBorders>
              <w:top w:val="single" w:sz="4" w:space="0" w:color="000000"/>
              <w:left w:val="nil"/>
              <w:bottom w:val="nil"/>
              <w:right w:val="nil"/>
            </w:tcBorders>
            <w:tcMar>
              <w:top w:w="-1" w:type="dxa"/>
              <w:left w:w="-1" w:type="dxa"/>
              <w:bottom w:w="-1" w:type="dxa"/>
              <w:right w:w="-1" w:type="dxa"/>
            </w:tcMar>
            <w:vAlign w:val="center"/>
          </w:tcPr>
          <w:p w14:paraId="2D941ABA" w14:textId="77777777" w:rsidR="00B546DA" w:rsidRDefault="00976ABB">
            <w:pPr>
              <w:widowControl w:val="0"/>
              <w:snapToGrid w:val="0"/>
              <w:jc w:val="both"/>
              <w:rPr>
                <w:rFonts w:ascii="Arial" w:eastAsia="Google Sans" w:hAnsi="Arial"/>
                <w:lang w:eastAsia="zh-CN"/>
              </w:rPr>
            </w:pPr>
            <w:r>
              <w:rPr>
                <w:rFonts w:ascii="Arial" w:eastAsia="Google Sans" w:hAnsi="Arial"/>
                <w:lang w:eastAsia="zh-CN"/>
              </w:rPr>
              <w:t>1</w:t>
            </w:r>
          </w:p>
        </w:tc>
      </w:tr>
      <w:tr w:rsidR="00B546DA" w14:paraId="1606F2EA" w14:textId="77777777">
        <w:tc>
          <w:tcPr>
            <w:tcW w:w="769" w:type="pct"/>
            <w:tcBorders>
              <w:top w:val="nil"/>
              <w:left w:val="nil"/>
              <w:bottom w:val="nil"/>
              <w:right w:val="nil"/>
            </w:tcBorders>
            <w:tcMar>
              <w:top w:w="-1" w:type="dxa"/>
              <w:left w:w="-1" w:type="dxa"/>
              <w:bottom w:w="-1" w:type="dxa"/>
              <w:right w:w="-1" w:type="dxa"/>
            </w:tcMar>
            <w:vAlign w:val="center"/>
          </w:tcPr>
          <w:p w14:paraId="09CCD8D9" w14:textId="77777777" w:rsidR="00B546DA" w:rsidRDefault="00976ABB">
            <w:pPr>
              <w:widowControl w:val="0"/>
              <w:snapToGrid w:val="0"/>
              <w:rPr>
                <w:rFonts w:ascii="Arial" w:eastAsia="Google Sans" w:hAnsi="Arial"/>
                <w:lang w:eastAsia="zh-CN"/>
              </w:rPr>
            </w:pPr>
            <w:r>
              <w:rPr>
                <w:rFonts w:ascii="Arial" w:eastAsia="Google Sans" w:hAnsi="Arial"/>
                <w:lang w:eastAsia="zh-CN"/>
              </w:rPr>
              <w:t>E1</w:t>
            </w:r>
          </w:p>
        </w:tc>
        <w:tc>
          <w:tcPr>
            <w:tcW w:w="2771" w:type="pct"/>
            <w:tcBorders>
              <w:top w:val="nil"/>
              <w:left w:val="nil"/>
              <w:bottom w:val="nil"/>
              <w:right w:val="nil"/>
            </w:tcBorders>
            <w:tcMar>
              <w:top w:w="-1" w:type="dxa"/>
              <w:left w:w="-1" w:type="dxa"/>
              <w:bottom w:w="-1" w:type="dxa"/>
              <w:right w:w="-1" w:type="dxa"/>
            </w:tcMar>
            <w:vAlign w:val="center"/>
          </w:tcPr>
          <w:p w14:paraId="12A7AF7D" w14:textId="77777777" w:rsidR="00B546DA" w:rsidRDefault="00976ABB">
            <w:pPr>
              <w:widowControl w:val="0"/>
              <w:snapToGrid w:val="0"/>
              <w:rPr>
                <w:rFonts w:ascii="Arial" w:eastAsia="Google Sans" w:hAnsi="Arial"/>
                <w:lang w:eastAsia="zh-CN"/>
              </w:rPr>
            </w:pPr>
            <w:r>
              <w:rPr>
                <w:rFonts w:ascii="Arial" w:eastAsia="Google Sans" w:hAnsi="Arial"/>
                <w:lang w:eastAsia="zh-CN"/>
              </w:rPr>
              <w:t>Facility stability and digital resource reserves</w:t>
            </w:r>
          </w:p>
        </w:tc>
        <w:tc>
          <w:tcPr>
            <w:tcW w:w="730" w:type="pct"/>
            <w:tcBorders>
              <w:top w:val="nil"/>
              <w:left w:val="nil"/>
              <w:bottom w:val="nil"/>
              <w:right w:val="nil"/>
            </w:tcBorders>
            <w:tcMar>
              <w:top w:w="-1" w:type="dxa"/>
              <w:left w:w="-1" w:type="dxa"/>
              <w:bottom w:w="-1" w:type="dxa"/>
              <w:right w:w="-1" w:type="dxa"/>
            </w:tcMar>
            <w:vAlign w:val="center"/>
          </w:tcPr>
          <w:p w14:paraId="4603F9CB" w14:textId="77777777" w:rsidR="00B546DA" w:rsidRDefault="00976ABB">
            <w:pPr>
              <w:widowControl w:val="0"/>
              <w:snapToGrid w:val="0"/>
              <w:jc w:val="both"/>
              <w:rPr>
                <w:rFonts w:ascii="Arial" w:eastAsia="Google Sans" w:hAnsi="Arial"/>
                <w:lang w:eastAsia="zh-CN"/>
              </w:rPr>
            </w:pPr>
            <w:r>
              <w:rPr>
                <w:rFonts w:ascii="Arial" w:eastAsia="Google Sans" w:hAnsi="Arial"/>
                <w:lang w:eastAsia="zh-CN"/>
              </w:rPr>
              <w:t>0.108</w:t>
            </w:r>
          </w:p>
        </w:tc>
        <w:tc>
          <w:tcPr>
            <w:tcW w:w="730" w:type="pct"/>
            <w:tcBorders>
              <w:top w:val="nil"/>
              <w:left w:val="nil"/>
              <w:bottom w:val="nil"/>
              <w:right w:val="nil"/>
            </w:tcBorders>
            <w:tcMar>
              <w:top w:w="-1" w:type="dxa"/>
              <w:left w:w="-1" w:type="dxa"/>
              <w:bottom w:w="-1" w:type="dxa"/>
              <w:right w:w="-1" w:type="dxa"/>
            </w:tcMar>
            <w:vAlign w:val="center"/>
          </w:tcPr>
          <w:p w14:paraId="2192C11B" w14:textId="77777777" w:rsidR="00B546DA" w:rsidRDefault="00976ABB">
            <w:pPr>
              <w:widowControl w:val="0"/>
              <w:snapToGrid w:val="0"/>
              <w:jc w:val="both"/>
              <w:rPr>
                <w:rFonts w:ascii="Arial" w:eastAsia="Google Sans" w:hAnsi="Arial"/>
                <w:lang w:eastAsia="zh-CN"/>
              </w:rPr>
            </w:pPr>
            <w:r>
              <w:rPr>
                <w:rFonts w:ascii="Arial" w:eastAsia="Google Sans" w:hAnsi="Arial"/>
                <w:lang w:eastAsia="zh-CN"/>
              </w:rPr>
              <w:t>2</w:t>
            </w:r>
          </w:p>
        </w:tc>
      </w:tr>
      <w:tr w:rsidR="00B546DA" w14:paraId="76BC6E54" w14:textId="77777777">
        <w:tc>
          <w:tcPr>
            <w:tcW w:w="769" w:type="pct"/>
            <w:tcBorders>
              <w:top w:val="nil"/>
              <w:left w:val="nil"/>
              <w:bottom w:val="nil"/>
              <w:right w:val="nil"/>
            </w:tcBorders>
            <w:tcMar>
              <w:top w:w="-1" w:type="dxa"/>
              <w:left w:w="-1" w:type="dxa"/>
              <w:bottom w:w="-1" w:type="dxa"/>
              <w:right w:w="-1" w:type="dxa"/>
            </w:tcMar>
            <w:vAlign w:val="center"/>
          </w:tcPr>
          <w:p w14:paraId="23A1C723" w14:textId="77777777" w:rsidR="00B546DA" w:rsidRDefault="00976ABB">
            <w:pPr>
              <w:widowControl w:val="0"/>
              <w:snapToGrid w:val="0"/>
              <w:rPr>
                <w:rFonts w:ascii="Arial" w:eastAsia="Google Sans" w:hAnsi="Arial"/>
                <w:lang w:eastAsia="zh-CN"/>
              </w:rPr>
            </w:pPr>
            <w:r>
              <w:rPr>
                <w:rFonts w:ascii="Arial" w:eastAsia="Google Sans" w:hAnsi="Arial"/>
                <w:lang w:eastAsia="zh-CN"/>
              </w:rPr>
              <w:t>E2</w:t>
            </w:r>
          </w:p>
        </w:tc>
        <w:tc>
          <w:tcPr>
            <w:tcW w:w="2771" w:type="pct"/>
            <w:tcBorders>
              <w:top w:val="nil"/>
              <w:left w:val="nil"/>
              <w:bottom w:val="nil"/>
              <w:right w:val="nil"/>
            </w:tcBorders>
            <w:tcMar>
              <w:top w:w="-1" w:type="dxa"/>
              <w:left w:w="-1" w:type="dxa"/>
              <w:bottom w:w="-1" w:type="dxa"/>
              <w:right w:w="-1" w:type="dxa"/>
            </w:tcMar>
            <w:vAlign w:val="center"/>
          </w:tcPr>
          <w:p w14:paraId="1061522C" w14:textId="77777777" w:rsidR="00B546DA" w:rsidRDefault="00976ABB">
            <w:pPr>
              <w:widowControl w:val="0"/>
              <w:snapToGrid w:val="0"/>
              <w:rPr>
                <w:rFonts w:ascii="Arial" w:eastAsia="Google Sans" w:hAnsi="Arial"/>
                <w:lang w:eastAsia="zh-CN"/>
              </w:rPr>
            </w:pPr>
            <w:r>
              <w:rPr>
                <w:rFonts w:ascii="Arial" w:eastAsia="Google Sans" w:hAnsi="Arial"/>
                <w:lang w:eastAsia="zh-CN"/>
              </w:rPr>
              <w:t>Teacher digital teaching literacy</w:t>
            </w:r>
          </w:p>
        </w:tc>
        <w:tc>
          <w:tcPr>
            <w:tcW w:w="730" w:type="pct"/>
            <w:tcBorders>
              <w:top w:val="nil"/>
              <w:left w:val="nil"/>
              <w:bottom w:val="nil"/>
              <w:right w:val="nil"/>
            </w:tcBorders>
            <w:tcMar>
              <w:top w:w="-1" w:type="dxa"/>
              <w:left w:w="-1" w:type="dxa"/>
              <w:bottom w:w="-1" w:type="dxa"/>
              <w:right w:w="-1" w:type="dxa"/>
            </w:tcMar>
            <w:vAlign w:val="center"/>
          </w:tcPr>
          <w:p w14:paraId="009A2E44" w14:textId="77777777" w:rsidR="00B546DA" w:rsidRDefault="00976ABB">
            <w:pPr>
              <w:widowControl w:val="0"/>
              <w:snapToGrid w:val="0"/>
              <w:jc w:val="both"/>
              <w:rPr>
                <w:rFonts w:ascii="Arial" w:eastAsia="Google Sans" w:hAnsi="Arial"/>
                <w:lang w:eastAsia="zh-CN"/>
              </w:rPr>
            </w:pPr>
            <w:r>
              <w:rPr>
                <w:rFonts w:ascii="Arial" w:eastAsia="Google Sans" w:hAnsi="Arial"/>
                <w:lang w:eastAsia="zh-CN"/>
              </w:rPr>
              <w:t>0.108</w:t>
            </w:r>
          </w:p>
        </w:tc>
        <w:tc>
          <w:tcPr>
            <w:tcW w:w="730" w:type="pct"/>
            <w:tcBorders>
              <w:top w:val="nil"/>
              <w:left w:val="nil"/>
              <w:bottom w:val="nil"/>
              <w:right w:val="nil"/>
            </w:tcBorders>
            <w:tcMar>
              <w:top w:w="-1" w:type="dxa"/>
              <w:left w:w="-1" w:type="dxa"/>
              <w:bottom w:w="-1" w:type="dxa"/>
              <w:right w:w="-1" w:type="dxa"/>
            </w:tcMar>
            <w:vAlign w:val="center"/>
          </w:tcPr>
          <w:p w14:paraId="35ED96BC" w14:textId="77777777" w:rsidR="00B546DA" w:rsidRDefault="00976ABB">
            <w:pPr>
              <w:widowControl w:val="0"/>
              <w:snapToGrid w:val="0"/>
              <w:jc w:val="both"/>
              <w:rPr>
                <w:rFonts w:ascii="Arial" w:eastAsia="Google Sans" w:hAnsi="Arial"/>
                <w:lang w:eastAsia="zh-CN"/>
              </w:rPr>
            </w:pPr>
            <w:r>
              <w:rPr>
                <w:rFonts w:ascii="Arial" w:eastAsia="Google Sans" w:hAnsi="Arial"/>
                <w:lang w:eastAsia="zh-CN"/>
              </w:rPr>
              <w:t>2</w:t>
            </w:r>
          </w:p>
        </w:tc>
      </w:tr>
      <w:tr w:rsidR="00B546DA" w14:paraId="1798A718" w14:textId="77777777">
        <w:tc>
          <w:tcPr>
            <w:tcW w:w="769" w:type="pct"/>
            <w:tcBorders>
              <w:top w:val="nil"/>
              <w:left w:val="nil"/>
              <w:bottom w:val="nil"/>
              <w:right w:val="nil"/>
            </w:tcBorders>
            <w:tcMar>
              <w:top w:w="-1" w:type="dxa"/>
              <w:left w:w="-1" w:type="dxa"/>
              <w:bottom w:w="-1" w:type="dxa"/>
              <w:right w:w="-1" w:type="dxa"/>
            </w:tcMar>
            <w:vAlign w:val="center"/>
          </w:tcPr>
          <w:p w14:paraId="35E1957C" w14:textId="77777777" w:rsidR="00B546DA" w:rsidRDefault="00976ABB">
            <w:pPr>
              <w:widowControl w:val="0"/>
              <w:snapToGrid w:val="0"/>
              <w:rPr>
                <w:rFonts w:ascii="Arial" w:eastAsia="Google Sans" w:hAnsi="Arial"/>
                <w:lang w:eastAsia="zh-CN"/>
              </w:rPr>
            </w:pPr>
            <w:r>
              <w:rPr>
                <w:rFonts w:ascii="Arial" w:eastAsia="Google Sans" w:hAnsi="Arial"/>
                <w:lang w:eastAsia="zh-CN"/>
              </w:rPr>
              <w:t>E3</w:t>
            </w:r>
          </w:p>
        </w:tc>
        <w:tc>
          <w:tcPr>
            <w:tcW w:w="2771" w:type="pct"/>
            <w:tcBorders>
              <w:top w:val="nil"/>
              <w:left w:val="nil"/>
              <w:bottom w:val="nil"/>
              <w:right w:val="nil"/>
            </w:tcBorders>
            <w:tcMar>
              <w:top w:w="-1" w:type="dxa"/>
              <w:left w:w="-1" w:type="dxa"/>
              <w:bottom w:w="-1" w:type="dxa"/>
              <w:right w:w="-1" w:type="dxa"/>
            </w:tcMar>
            <w:vAlign w:val="center"/>
          </w:tcPr>
          <w:p w14:paraId="2A309163" w14:textId="77777777" w:rsidR="00B546DA" w:rsidRDefault="00976ABB">
            <w:pPr>
              <w:widowControl w:val="0"/>
              <w:snapToGrid w:val="0"/>
              <w:rPr>
                <w:rFonts w:ascii="Arial" w:eastAsia="Google Sans" w:hAnsi="Arial"/>
                <w:lang w:eastAsia="zh-CN"/>
              </w:rPr>
            </w:pPr>
            <w:r>
              <w:rPr>
                <w:rFonts w:ascii="Arial" w:eastAsia="Google Sans" w:hAnsi="Arial"/>
                <w:lang w:eastAsia="zh-CN"/>
              </w:rPr>
              <w:t>Dynamic quality monitoring and management</w:t>
            </w:r>
          </w:p>
        </w:tc>
        <w:tc>
          <w:tcPr>
            <w:tcW w:w="730" w:type="pct"/>
            <w:tcBorders>
              <w:top w:val="nil"/>
              <w:left w:val="nil"/>
              <w:bottom w:val="nil"/>
              <w:right w:val="nil"/>
            </w:tcBorders>
            <w:tcMar>
              <w:top w:w="-1" w:type="dxa"/>
              <w:left w:w="-1" w:type="dxa"/>
              <w:bottom w:w="-1" w:type="dxa"/>
              <w:right w:w="-1" w:type="dxa"/>
            </w:tcMar>
            <w:vAlign w:val="center"/>
          </w:tcPr>
          <w:p w14:paraId="2446468D" w14:textId="77777777" w:rsidR="00B546DA" w:rsidRDefault="00976ABB">
            <w:pPr>
              <w:widowControl w:val="0"/>
              <w:snapToGrid w:val="0"/>
              <w:jc w:val="both"/>
              <w:rPr>
                <w:rFonts w:ascii="Arial" w:eastAsia="Google Sans" w:hAnsi="Arial"/>
                <w:lang w:eastAsia="zh-CN"/>
              </w:rPr>
            </w:pPr>
            <w:r>
              <w:rPr>
                <w:rFonts w:ascii="Arial" w:eastAsia="Google Sans" w:hAnsi="Arial"/>
                <w:lang w:eastAsia="zh-CN"/>
              </w:rPr>
              <w:t>0.105</w:t>
            </w:r>
          </w:p>
        </w:tc>
        <w:tc>
          <w:tcPr>
            <w:tcW w:w="730" w:type="pct"/>
            <w:tcBorders>
              <w:top w:val="nil"/>
              <w:left w:val="nil"/>
              <w:bottom w:val="nil"/>
              <w:right w:val="nil"/>
            </w:tcBorders>
            <w:tcMar>
              <w:top w:w="-1" w:type="dxa"/>
              <w:left w:w="-1" w:type="dxa"/>
              <w:bottom w:w="-1" w:type="dxa"/>
              <w:right w:w="-1" w:type="dxa"/>
            </w:tcMar>
            <w:vAlign w:val="center"/>
          </w:tcPr>
          <w:p w14:paraId="370D62EB" w14:textId="77777777" w:rsidR="00B546DA" w:rsidRDefault="00976ABB">
            <w:pPr>
              <w:widowControl w:val="0"/>
              <w:snapToGrid w:val="0"/>
              <w:jc w:val="both"/>
              <w:rPr>
                <w:rFonts w:ascii="Arial" w:eastAsia="Google Sans" w:hAnsi="Arial"/>
                <w:lang w:eastAsia="zh-CN"/>
              </w:rPr>
            </w:pPr>
            <w:r>
              <w:rPr>
                <w:rFonts w:ascii="Arial" w:eastAsia="Google Sans" w:hAnsi="Arial"/>
                <w:lang w:eastAsia="zh-CN"/>
              </w:rPr>
              <w:t>4</w:t>
            </w:r>
          </w:p>
        </w:tc>
      </w:tr>
      <w:tr w:rsidR="00B546DA" w14:paraId="5A29BE25" w14:textId="77777777">
        <w:tc>
          <w:tcPr>
            <w:tcW w:w="769" w:type="pct"/>
            <w:tcBorders>
              <w:top w:val="nil"/>
              <w:left w:val="nil"/>
              <w:bottom w:val="nil"/>
              <w:right w:val="nil"/>
            </w:tcBorders>
            <w:tcMar>
              <w:top w:w="-1" w:type="dxa"/>
              <w:left w:w="-1" w:type="dxa"/>
              <w:bottom w:w="-1" w:type="dxa"/>
              <w:right w:w="-1" w:type="dxa"/>
            </w:tcMar>
            <w:vAlign w:val="center"/>
          </w:tcPr>
          <w:p w14:paraId="564EEF67" w14:textId="77777777" w:rsidR="00B546DA" w:rsidRDefault="00976ABB">
            <w:pPr>
              <w:widowControl w:val="0"/>
              <w:snapToGrid w:val="0"/>
              <w:rPr>
                <w:rFonts w:ascii="Arial" w:eastAsia="Google Sans" w:hAnsi="Arial"/>
                <w:lang w:eastAsia="zh-CN"/>
              </w:rPr>
            </w:pPr>
            <w:r>
              <w:rPr>
                <w:rFonts w:ascii="Arial" w:eastAsia="Google Sans" w:hAnsi="Arial"/>
                <w:lang w:eastAsia="zh-CN"/>
              </w:rPr>
              <w:t>E4</w:t>
            </w:r>
          </w:p>
        </w:tc>
        <w:tc>
          <w:tcPr>
            <w:tcW w:w="2771" w:type="pct"/>
            <w:tcBorders>
              <w:top w:val="nil"/>
              <w:left w:val="nil"/>
              <w:bottom w:val="nil"/>
              <w:right w:val="nil"/>
            </w:tcBorders>
            <w:tcMar>
              <w:top w:w="-1" w:type="dxa"/>
              <w:left w:w="-1" w:type="dxa"/>
              <w:bottom w:w="-1" w:type="dxa"/>
              <w:right w:w="-1" w:type="dxa"/>
            </w:tcMar>
            <w:vAlign w:val="center"/>
          </w:tcPr>
          <w:p w14:paraId="2D43184A" w14:textId="77777777" w:rsidR="00B546DA" w:rsidRDefault="00976ABB">
            <w:pPr>
              <w:widowControl w:val="0"/>
              <w:snapToGrid w:val="0"/>
              <w:rPr>
                <w:rFonts w:ascii="Arial" w:eastAsia="Google Sans" w:hAnsi="Arial"/>
                <w:lang w:eastAsia="zh-CN"/>
              </w:rPr>
            </w:pPr>
            <w:r>
              <w:rPr>
                <w:rFonts w:ascii="Arial" w:eastAsia="Google Sans" w:hAnsi="Arial"/>
                <w:lang w:eastAsia="zh-CN"/>
              </w:rPr>
              <w:t>Data security and personal privacy protection</w:t>
            </w:r>
          </w:p>
        </w:tc>
        <w:tc>
          <w:tcPr>
            <w:tcW w:w="730" w:type="pct"/>
            <w:tcBorders>
              <w:top w:val="nil"/>
              <w:left w:val="nil"/>
              <w:bottom w:val="nil"/>
              <w:right w:val="nil"/>
            </w:tcBorders>
            <w:tcMar>
              <w:top w:w="-1" w:type="dxa"/>
              <w:left w:w="-1" w:type="dxa"/>
              <w:bottom w:w="-1" w:type="dxa"/>
              <w:right w:w="-1" w:type="dxa"/>
            </w:tcMar>
            <w:vAlign w:val="center"/>
          </w:tcPr>
          <w:p w14:paraId="02078882" w14:textId="77777777" w:rsidR="00B546DA" w:rsidRDefault="00976ABB">
            <w:pPr>
              <w:widowControl w:val="0"/>
              <w:snapToGrid w:val="0"/>
              <w:jc w:val="both"/>
              <w:rPr>
                <w:rFonts w:ascii="Arial" w:eastAsia="Google Sans" w:hAnsi="Arial"/>
                <w:lang w:eastAsia="zh-CN"/>
              </w:rPr>
            </w:pPr>
            <w:r>
              <w:rPr>
                <w:rFonts w:ascii="Arial" w:eastAsia="Google Sans" w:hAnsi="Arial"/>
                <w:lang w:eastAsia="zh-CN"/>
              </w:rPr>
              <w:t>0.103</w:t>
            </w:r>
          </w:p>
        </w:tc>
        <w:tc>
          <w:tcPr>
            <w:tcW w:w="730" w:type="pct"/>
            <w:tcBorders>
              <w:top w:val="nil"/>
              <w:left w:val="nil"/>
              <w:bottom w:val="nil"/>
              <w:right w:val="nil"/>
            </w:tcBorders>
            <w:tcMar>
              <w:top w:w="-1" w:type="dxa"/>
              <w:left w:w="-1" w:type="dxa"/>
              <w:bottom w:w="-1" w:type="dxa"/>
              <w:right w:w="-1" w:type="dxa"/>
            </w:tcMar>
            <w:vAlign w:val="center"/>
          </w:tcPr>
          <w:p w14:paraId="760C8A7C" w14:textId="77777777" w:rsidR="00B546DA" w:rsidRDefault="00976ABB">
            <w:pPr>
              <w:widowControl w:val="0"/>
              <w:snapToGrid w:val="0"/>
              <w:jc w:val="both"/>
              <w:rPr>
                <w:rFonts w:ascii="Arial" w:eastAsia="Google Sans" w:hAnsi="Arial"/>
                <w:lang w:eastAsia="zh-CN"/>
              </w:rPr>
            </w:pPr>
            <w:r>
              <w:rPr>
                <w:rFonts w:ascii="Arial" w:eastAsia="Google Sans" w:hAnsi="Arial"/>
                <w:lang w:eastAsia="zh-CN"/>
              </w:rPr>
              <w:t>5</w:t>
            </w:r>
          </w:p>
        </w:tc>
      </w:tr>
      <w:tr w:rsidR="00B546DA" w14:paraId="3DAFECEE" w14:textId="77777777">
        <w:tc>
          <w:tcPr>
            <w:tcW w:w="769" w:type="pct"/>
            <w:tcBorders>
              <w:top w:val="nil"/>
              <w:left w:val="nil"/>
              <w:bottom w:val="single" w:sz="12" w:space="0" w:color="000000"/>
              <w:right w:val="nil"/>
            </w:tcBorders>
            <w:tcMar>
              <w:top w:w="-1" w:type="dxa"/>
              <w:left w:w="-1" w:type="dxa"/>
              <w:bottom w:w="-1" w:type="dxa"/>
              <w:right w:w="-1" w:type="dxa"/>
            </w:tcMar>
            <w:vAlign w:val="center"/>
          </w:tcPr>
          <w:p w14:paraId="0E706F08" w14:textId="77777777" w:rsidR="00B546DA" w:rsidRDefault="00976ABB">
            <w:pPr>
              <w:widowControl w:val="0"/>
              <w:snapToGrid w:val="0"/>
              <w:rPr>
                <w:rFonts w:ascii="Arial" w:eastAsia="Google Sans" w:hAnsi="Arial"/>
                <w:lang w:eastAsia="zh-CN"/>
              </w:rPr>
            </w:pPr>
            <w:r>
              <w:rPr>
                <w:rFonts w:ascii="Arial" w:eastAsia="Google Sans" w:hAnsi="Arial"/>
                <w:lang w:eastAsia="zh-CN"/>
              </w:rPr>
              <w:t>A1</w:t>
            </w:r>
          </w:p>
        </w:tc>
        <w:tc>
          <w:tcPr>
            <w:tcW w:w="2771" w:type="pct"/>
            <w:tcBorders>
              <w:top w:val="nil"/>
              <w:left w:val="nil"/>
              <w:bottom w:val="single" w:sz="12" w:space="0" w:color="000000"/>
              <w:right w:val="nil"/>
            </w:tcBorders>
            <w:tcMar>
              <w:top w:w="-1" w:type="dxa"/>
              <w:left w:w="-1" w:type="dxa"/>
              <w:bottom w:w="-1" w:type="dxa"/>
              <w:right w:w="-1" w:type="dxa"/>
            </w:tcMar>
            <w:vAlign w:val="center"/>
          </w:tcPr>
          <w:p w14:paraId="0A60345E" w14:textId="77777777" w:rsidR="00B546DA" w:rsidRDefault="00976ABB">
            <w:pPr>
              <w:widowControl w:val="0"/>
              <w:snapToGrid w:val="0"/>
              <w:rPr>
                <w:rFonts w:ascii="Arial" w:eastAsia="Google Sans" w:hAnsi="Arial"/>
                <w:lang w:eastAsia="zh-CN"/>
              </w:rPr>
            </w:pPr>
            <w:r>
              <w:rPr>
                <w:rFonts w:ascii="Arial" w:eastAsia="Google Sans" w:hAnsi="Arial"/>
                <w:lang w:eastAsia="zh-CN"/>
              </w:rPr>
              <w:t>Alignment with standards and talent programs</w:t>
            </w:r>
          </w:p>
        </w:tc>
        <w:tc>
          <w:tcPr>
            <w:tcW w:w="730" w:type="pct"/>
            <w:tcBorders>
              <w:top w:val="nil"/>
              <w:left w:val="nil"/>
              <w:bottom w:val="single" w:sz="12" w:space="0" w:color="000000"/>
              <w:right w:val="nil"/>
            </w:tcBorders>
            <w:tcMar>
              <w:top w:w="-1" w:type="dxa"/>
              <w:left w:w="-1" w:type="dxa"/>
              <w:bottom w:w="-1" w:type="dxa"/>
              <w:right w:w="-1" w:type="dxa"/>
            </w:tcMar>
            <w:vAlign w:val="center"/>
          </w:tcPr>
          <w:p w14:paraId="27C59EF1" w14:textId="77777777" w:rsidR="00B546DA" w:rsidRDefault="00976ABB">
            <w:pPr>
              <w:widowControl w:val="0"/>
              <w:snapToGrid w:val="0"/>
              <w:jc w:val="both"/>
              <w:rPr>
                <w:rFonts w:ascii="Arial" w:eastAsia="Google Sans" w:hAnsi="Arial"/>
                <w:lang w:eastAsia="zh-CN"/>
              </w:rPr>
            </w:pPr>
            <w:r>
              <w:rPr>
                <w:rFonts w:ascii="Arial" w:eastAsia="Google Sans" w:hAnsi="Arial"/>
                <w:lang w:eastAsia="zh-CN"/>
              </w:rPr>
              <w:t>0.038</w:t>
            </w:r>
          </w:p>
        </w:tc>
        <w:tc>
          <w:tcPr>
            <w:tcW w:w="730" w:type="pct"/>
            <w:tcBorders>
              <w:top w:val="nil"/>
              <w:left w:val="nil"/>
              <w:bottom w:val="single" w:sz="12" w:space="0" w:color="000000"/>
              <w:right w:val="nil"/>
            </w:tcBorders>
            <w:tcMar>
              <w:top w:w="-1" w:type="dxa"/>
              <w:left w:w="-1" w:type="dxa"/>
              <w:bottom w:w="-1" w:type="dxa"/>
              <w:right w:w="-1" w:type="dxa"/>
            </w:tcMar>
            <w:vAlign w:val="center"/>
          </w:tcPr>
          <w:p w14:paraId="636F3E25" w14:textId="77777777" w:rsidR="00B546DA" w:rsidRDefault="00976ABB">
            <w:pPr>
              <w:widowControl w:val="0"/>
              <w:snapToGrid w:val="0"/>
              <w:jc w:val="both"/>
              <w:rPr>
                <w:rFonts w:ascii="Arial" w:eastAsia="Google Sans" w:hAnsi="Arial"/>
                <w:lang w:eastAsia="zh-CN"/>
              </w:rPr>
            </w:pPr>
            <w:r>
              <w:rPr>
                <w:rFonts w:ascii="Arial" w:eastAsia="Google Sans" w:hAnsi="Arial"/>
                <w:lang w:eastAsia="zh-CN"/>
              </w:rPr>
              <w:t>6</w:t>
            </w:r>
          </w:p>
        </w:tc>
      </w:tr>
    </w:tbl>
    <w:p w14:paraId="212137FC" w14:textId="77777777" w:rsidR="00B546DA" w:rsidRDefault="00B546DA">
      <w:pPr>
        <w:pStyle w:val="Body"/>
        <w:spacing w:after="0"/>
        <w:rPr>
          <w:rFonts w:ascii="Arial" w:hAnsi="Arial" w:cs="Arial"/>
          <w:lang w:eastAsia="zh-CN"/>
        </w:rPr>
      </w:pPr>
    </w:p>
    <w:p w14:paraId="126D8A01" w14:textId="77777777" w:rsidR="00B546DA" w:rsidRDefault="00976ABB">
      <w:pPr>
        <w:pStyle w:val="Body"/>
        <w:spacing w:after="0"/>
        <w:rPr>
          <w:rFonts w:ascii="Arial" w:hAnsi="Arial" w:cs="Arial"/>
          <w:lang w:eastAsia="zh-CN"/>
        </w:rPr>
      </w:pPr>
      <w:r>
        <w:rPr>
          <w:rFonts w:ascii="Arial" w:hAnsi="Arial" w:cs="Arial"/>
          <w:lang w:eastAsia="zh-CN"/>
        </w:rPr>
        <w:t>Another significant observation is the "rank inversion" where the weight of "Teaching Objectives (A)" (0.132) is notably higher than that of "Teaching Effectiveness (D)" (0.089). This weighting distribution is deeply aligned with the OBE philosophy of "backward design"</w:t>
      </w:r>
      <w:r>
        <w:rPr>
          <w:rFonts w:ascii="Arial" w:hAnsi="Arial" w:cs="Arial" w:hint="eastAsia"/>
          <w:lang w:eastAsia="zh-CN"/>
        </w:rPr>
        <w:t>.</w:t>
      </w:r>
      <w:r>
        <w:rPr>
          <w:rFonts w:ascii="Arial" w:hAnsi="Arial" w:cs="Arial"/>
          <w:lang w:eastAsia="zh-CN"/>
        </w:rPr>
        <w:t xml:space="preserve"> In the context of blended teaching, the dispersal of learning across time and space can easily lead to cognitive fragmentation if the objectives are not clearly defined and partitioned between online and offline phases.</w:t>
      </w:r>
      <w:r>
        <w:rPr>
          <w:rFonts w:ascii="Arial" w:hAnsi="Arial" w:cs="Arial" w:hint="eastAsia"/>
          <w:lang w:eastAsia="zh-CN"/>
        </w:rPr>
        <w:t xml:space="preserve"> </w:t>
      </w:r>
      <w:r>
        <w:rPr>
          <w:rFonts w:ascii="Arial" w:hAnsi="Arial" w:cs="Arial"/>
          <w:lang w:eastAsia="zh-CN"/>
        </w:rPr>
        <w:t>If the "front-end" design of learning goals—including the division of labor between autonomous online study and deep offline inquiry—is flawed, the final "effectiveness" metrics may merely capture superficial exam performance rather than true competency development</w:t>
      </w:r>
      <w:r>
        <w:rPr>
          <w:rFonts w:ascii="Arial" w:hAnsi="Arial" w:cs="Arial" w:hint="eastAsia"/>
          <w:lang w:eastAsia="zh-CN"/>
        </w:rPr>
        <w:t>.</w:t>
      </w:r>
      <w:r>
        <w:rPr>
          <w:rFonts w:ascii="Arial" w:hAnsi="Arial" w:cs="Arial"/>
          <w:lang w:eastAsia="zh-CN"/>
        </w:rPr>
        <w:t xml:space="preserve"> Therefore, the evaluation system prioritizes the precision of target setting as a primary driver for ensuring that meaningful learning occurs.</w:t>
      </w:r>
    </w:p>
    <w:p w14:paraId="0F53F878" w14:textId="77777777" w:rsidR="00B546DA" w:rsidRDefault="00B546DA">
      <w:pPr>
        <w:pStyle w:val="Body"/>
        <w:spacing w:after="0"/>
        <w:rPr>
          <w:rFonts w:ascii="Arial" w:hAnsi="Arial" w:cs="Arial"/>
          <w:lang w:eastAsia="zh-CN"/>
        </w:rPr>
      </w:pPr>
    </w:p>
    <w:p w14:paraId="236FDE99" w14:textId="77777777" w:rsidR="00B546DA" w:rsidRDefault="00976ABB">
      <w:pPr>
        <w:pStyle w:val="Body"/>
        <w:spacing w:after="0"/>
        <w:rPr>
          <w:rFonts w:ascii="Arial" w:hAnsi="Arial" w:cs="Arial"/>
          <w:b/>
          <w:bCs/>
          <w:sz w:val="22"/>
          <w:szCs w:val="22"/>
          <w:lang w:eastAsia="zh-CN"/>
        </w:rPr>
      </w:pPr>
      <w:r>
        <w:rPr>
          <w:rFonts w:ascii="Arial" w:hAnsi="Arial" w:cs="Arial" w:hint="eastAsia"/>
          <w:b/>
          <w:bCs/>
          <w:sz w:val="22"/>
          <w:szCs w:val="22"/>
          <w:lang w:eastAsia="zh-CN"/>
        </w:rPr>
        <w:t>3</w:t>
      </w:r>
      <w:r>
        <w:rPr>
          <w:rFonts w:ascii="Arial" w:hAnsi="Arial" w:cs="Arial"/>
          <w:b/>
          <w:bCs/>
          <w:sz w:val="22"/>
          <w:szCs w:val="22"/>
          <w:lang w:eastAsia="zh-CN"/>
        </w:rPr>
        <w:t>.</w:t>
      </w:r>
      <w:r>
        <w:rPr>
          <w:rFonts w:ascii="Arial" w:hAnsi="Arial" w:cs="Arial" w:hint="eastAsia"/>
          <w:b/>
          <w:bCs/>
          <w:sz w:val="22"/>
          <w:szCs w:val="22"/>
          <w:lang w:eastAsia="zh-CN"/>
        </w:rPr>
        <w:t>2</w:t>
      </w:r>
      <w:r>
        <w:rPr>
          <w:rFonts w:ascii="Arial" w:hAnsi="Arial" w:cs="Arial"/>
          <w:b/>
          <w:bCs/>
          <w:sz w:val="22"/>
          <w:szCs w:val="22"/>
          <w:lang w:eastAsia="zh-CN"/>
        </w:rPr>
        <w:t xml:space="preserve"> </w:t>
      </w:r>
      <w:r>
        <w:rPr>
          <w:rFonts w:ascii="Arial" w:hAnsi="Arial" w:cs="Arial" w:hint="eastAsia"/>
          <w:b/>
          <w:bCs/>
          <w:sz w:val="22"/>
          <w:szCs w:val="22"/>
          <w:lang w:eastAsia="zh-CN"/>
        </w:rPr>
        <w:t>Discussion</w:t>
      </w:r>
    </w:p>
    <w:p w14:paraId="15BB669B" w14:textId="77777777" w:rsidR="00B546DA" w:rsidRDefault="00B546DA">
      <w:pPr>
        <w:pStyle w:val="Body"/>
        <w:spacing w:after="0"/>
        <w:rPr>
          <w:rFonts w:ascii="Arial" w:hAnsi="Arial" w:cs="Arial"/>
          <w:lang w:eastAsia="zh-CN"/>
        </w:rPr>
      </w:pPr>
    </w:p>
    <w:p w14:paraId="515C05AD" w14:textId="77777777" w:rsidR="00B546DA" w:rsidRDefault="00976ABB">
      <w:pPr>
        <w:pStyle w:val="Body"/>
        <w:spacing w:after="0"/>
        <w:rPr>
          <w:rFonts w:ascii="Arial" w:hAnsi="Arial" w:cs="Arial"/>
          <w:lang w:eastAsia="zh-CN"/>
        </w:rPr>
      </w:pPr>
      <w:r>
        <w:rPr>
          <w:rFonts w:ascii="Arial" w:hAnsi="Arial" w:cs="Arial"/>
          <w:lang w:eastAsia="zh-CN"/>
        </w:rPr>
        <w:t>Given that teaching support (E) and automated intervention (E5) are the most critical factors, universities should prioritize the construction of intelligent teaching platforms that go beyond simple content delivery. These platforms should integrate deep learning algorithms to analyze student behavioral data in real-time.</w:t>
      </w:r>
      <w:r>
        <w:rPr>
          <w:rFonts w:ascii="Arial" w:hAnsi="Arial" w:cs="Arial" w:hint="eastAsia"/>
          <w:lang w:eastAsia="zh-CN"/>
        </w:rPr>
        <w:t xml:space="preserve"> </w:t>
      </w:r>
      <w:r>
        <w:rPr>
          <w:rFonts w:ascii="Arial" w:hAnsi="Arial" w:cs="Arial"/>
          <w:lang w:eastAsia="zh-CN"/>
        </w:rPr>
        <w:t>The goal is to create a closed-loop system of "platform warning—teacher intervention—student feedback." This base serves not just as a repository of resources but as a "pedagogical navigator" that informs the teacher’s decisions on where to focus limited in-person classroom time for maximum impact.</w:t>
      </w:r>
    </w:p>
    <w:p w14:paraId="52528E9F" w14:textId="77777777" w:rsidR="00B546DA" w:rsidRDefault="00B546DA">
      <w:pPr>
        <w:pStyle w:val="Body"/>
        <w:spacing w:after="0"/>
        <w:rPr>
          <w:rFonts w:ascii="Arial" w:hAnsi="Arial" w:cs="Arial"/>
          <w:lang w:eastAsia="zh-CN"/>
        </w:rPr>
      </w:pPr>
    </w:p>
    <w:p w14:paraId="44363C42" w14:textId="77777777" w:rsidR="00B546DA" w:rsidRDefault="00976ABB">
      <w:pPr>
        <w:pStyle w:val="Body"/>
        <w:spacing w:after="0"/>
        <w:rPr>
          <w:rFonts w:ascii="Arial" w:hAnsi="Arial" w:cs="Arial"/>
          <w:lang w:eastAsia="zh-CN"/>
        </w:rPr>
      </w:pPr>
      <w:r>
        <w:rPr>
          <w:rFonts w:ascii="Arial" w:hAnsi="Arial" w:cs="Arial"/>
          <w:lang w:eastAsia="zh-CN"/>
        </w:rPr>
        <w:t>Due to the fact that experts from different backgrounds still have certain differences in the assignment of weights to the indicators, in order to enhance the universality of the evaluation system, it is suggested that different types of universities set differentiated adjustment intervals for the weights of the indicators based on their own educational positioning and talent cultivation goals. For instance, for institutions with significant differences in students' mathematical foundations, the weights of "stratified teaching resource supply (B3)" and "precise guidance (C5)" can be appropriately increased. At the same time, a regular dynamic calibration mechanism should be established, with expert opinions re-solicited every 1-2 evaluation cycles to revise and improve the weights of the indicators, so as to ensure the timeliness and scientific nature of the evaluation standards.</w:t>
      </w:r>
    </w:p>
    <w:p w14:paraId="6FB2894A" w14:textId="77777777" w:rsidR="00B546DA" w:rsidRDefault="00B546DA">
      <w:pPr>
        <w:pStyle w:val="Body"/>
        <w:spacing w:after="0"/>
        <w:rPr>
          <w:rFonts w:ascii="Arial" w:hAnsi="Arial" w:cs="Arial"/>
          <w:lang w:eastAsia="zh-CN"/>
        </w:rPr>
      </w:pPr>
    </w:p>
    <w:p w14:paraId="2F49C981" w14:textId="77777777" w:rsidR="00B546DA" w:rsidRDefault="00976ABB">
      <w:pPr>
        <w:pStyle w:val="Body"/>
        <w:spacing w:after="0"/>
        <w:rPr>
          <w:rFonts w:ascii="Arial" w:hAnsi="Arial" w:cs="Arial"/>
          <w:lang w:eastAsia="zh-CN"/>
        </w:rPr>
      </w:pPr>
      <w:r>
        <w:rPr>
          <w:rFonts w:ascii="Arial" w:hAnsi="Arial" w:cs="Arial"/>
          <w:lang w:eastAsia="zh-CN"/>
        </w:rPr>
        <w:t xml:space="preserve">The high weight of "Teacher Digital Literacy (E2)" indicates that the human element remains central to the success of blended teaching. Teachers must evolve from being "lecturers" to "learning architects" and "data analysts". This transition requires training programs that focus on data literacy—the ability to collect, interpret, and act upon the analytics generated by the teaching platform. When a platform issues an early warning for a specific student group, the </w:t>
      </w:r>
      <w:r>
        <w:rPr>
          <w:rFonts w:ascii="Arial" w:hAnsi="Arial" w:cs="Arial"/>
          <w:lang w:eastAsia="zh-CN"/>
        </w:rPr>
        <w:lastRenderedPageBreak/>
        <w:t>teacher’s ability to conduct targeted "precision guidance" (C5) becomes the deciding factor in whether the digital system actually improves learning outcomes.</w:t>
      </w:r>
    </w:p>
    <w:p w14:paraId="3CC429D0" w14:textId="77777777" w:rsidR="00B546DA" w:rsidRDefault="00B546DA">
      <w:pPr>
        <w:pStyle w:val="Body"/>
        <w:spacing w:after="0"/>
        <w:rPr>
          <w:rFonts w:ascii="Arial" w:hAnsi="Arial" w:cs="Arial"/>
          <w:lang w:eastAsia="zh-CN"/>
        </w:rPr>
      </w:pPr>
    </w:p>
    <w:p w14:paraId="4C84E322" w14:textId="77777777" w:rsidR="00B546DA" w:rsidRDefault="00976ABB">
      <w:pPr>
        <w:pStyle w:val="Body"/>
        <w:spacing w:after="0"/>
        <w:rPr>
          <w:rFonts w:ascii="Arial" w:hAnsi="Arial" w:cs="Arial"/>
          <w:lang w:eastAsia="zh-CN"/>
        </w:rPr>
      </w:pPr>
      <w:r>
        <w:rPr>
          <w:rFonts w:ascii="Arial" w:hAnsi="Arial" w:cs="Arial"/>
          <w:lang w:eastAsia="zh-CN"/>
        </w:rPr>
        <w:t>The emergence of "Data Security and Privacy Protection (E4)" as a top-five indicator highlights the ethical responsibilities inherent in the digital transformation of education. As universities collect granular behavioral data on students, they must establish strict protocols for data access, storage, and anonymization. This is not only a matter of legal compliance but is also critical for building student trust in the blended model. Ensuring that students feel their data is used solely for the purpose of "process empowerment" and not for punitive surveillance is essential for maintaining high levels of engagement.</w:t>
      </w:r>
    </w:p>
    <w:p w14:paraId="210A6FA3" w14:textId="77777777" w:rsidR="00B546DA" w:rsidRDefault="00B546DA">
      <w:pPr>
        <w:pStyle w:val="Body"/>
        <w:spacing w:after="0"/>
        <w:rPr>
          <w:rFonts w:ascii="Arial" w:hAnsi="Arial" w:cs="Arial"/>
        </w:rPr>
      </w:pPr>
    </w:p>
    <w:p w14:paraId="2869835A" w14:textId="77777777" w:rsidR="00B546DA" w:rsidRDefault="00976ABB">
      <w:pPr>
        <w:pStyle w:val="ConcHead"/>
        <w:spacing w:after="0"/>
        <w:jc w:val="both"/>
        <w:rPr>
          <w:rFonts w:ascii="Arial" w:hAnsi="Arial" w:cs="Arial"/>
        </w:rPr>
      </w:pPr>
      <w:r>
        <w:rPr>
          <w:rFonts w:ascii="Arial" w:hAnsi="Arial" w:cs="Arial"/>
        </w:rPr>
        <w:t>4. Conclusion</w:t>
      </w:r>
    </w:p>
    <w:p w14:paraId="72E0E3F1" w14:textId="77777777" w:rsidR="00B546DA" w:rsidRDefault="00B546DA">
      <w:pPr>
        <w:pStyle w:val="ConcHead"/>
        <w:spacing w:after="0"/>
        <w:jc w:val="both"/>
        <w:rPr>
          <w:rFonts w:ascii="Arial" w:hAnsi="Arial" w:cs="Arial"/>
        </w:rPr>
      </w:pPr>
    </w:p>
    <w:p w14:paraId="389582FF" w14:textId="77777777" w:rsidR="00B546DA" w:rsidRDefault="00976ABB">
      <w:pPr>
        <w:pStyle w:val="Body"/>
        <w:spacing w:after="0"/>
        <w:rPr>
          <w:rFonts w:ascii="Arial" w:hAnsi="Arial" w:cs="Arial"/>
        </w:rPr>
      </w:pPr>
      <w:r>
        <w:rPr>
          <w:rFonts w:ascii="Arial" w:hAnsi="Arial" w:cs="Arial"/>
        </w:rPr>
        <w:t>This study comprehensively employs the Delphi method and the AHP, based on the background of digital and intelligent development, to construct a blended teaching evaluation system for advanced mathematics. It forms an overall framework of "guarantee-oriented, goal-driven, process feedback, and result supplementation", and establishes a 25-item evaluation index system with the efficiency of automatic learning situation early warning and intervention response at its core. The research results show that the focus of the evaluation of blended teaching in advanced mathematics is shifting from the traditional end-product evaluation to digital and intelligent pre-emptive guarantee and full-process teaching monitoring. With the deep integration of artificial intelligence technology and education and teaching, the evaluation system should also be continuously iterated and improved, incorporating emerging dimensions such as human-machine collaboration and emotional interaction, thereby providing scientific basis and continuous support for the precise and long-term advancement of advanced mathematics teaching reform.</w:t>
      </w:r>
    </w:p>
    <w:p w14:paraId="6EACE0F9" w14:textId="77777777" w:rsidR="00FA423A" w:rsidRDefault="00FA423A">
      <w:pPr>
        <w:pStyle w:val="Body"/>
        <w:spacing w:after="0"/>
        <w:rPr>
          <w:rFonts w:ascii="Arial" w:hAnsi="Arial" w:cs="Arial"/>
        </w:rPr>
      </w:pPr>
    </w:p>
    <w:p w14:paraId="13EF8D26" w14:textId="77777777" w:rsidR="009D6F1F" w:rsidRPr="00CA3906" w:rsidRDefault="009D6F1F" w:rsidP="009D6F1F">
      <w:pPr>
        <w:rPr>
          <w:b/>
          <w:highlight w:val="yellow"/>
        </w:rPr>
      </w:pPr>
      <w:r w:rsidRPr="00CA3906">
        <w:rPr>
          <w:b/>
          <w:highlight w:val="yellow"/>
        </w:rPr>
        <w:t>Disclaimer (Artificial intelligence)</w:t>
      </w:r>
    </w:p>
    <w:p w14:paraId="5ACF4095" w14:textId="793FB288" w:rsidR="00B546DA" w:rsidRPr="00FA423A" w:rsidRDefault="009D6F1F" w:rsidP="00FA423A">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E906599" w14:textId="77777777" w:rsidR="00B546DA" w:rsidRDefault="00B546DA">
      <w:pPr>
        <w:pStyle w:val="ReferHead"/>
        <w:spacing w:after="0"/>
        <w:jc w:val="both"/>
        <w:rPr>
          <w:rFonts w:ascii="Arial" w:hAnsi="Arial" w:cs="Arial"/>
        </w:rPr>
      </w:pPr>
    </w:p>
    <w:p w14:paraId="44966FE1" w14:textId="77777777" w:rsidR="00B546DA" w:rsidRDefault="00976ABB">
      <w:pPr>
        <w:pStyle w:val="ReferHead"/>
        <w:spacing w:after="0"/>
        <w:jc w:val="both"/>
        <w:rPr>
          <w:rFonts w:ascii="Arial" w:hAnsi="Arial" w:cs="Arial"/>
        </w:rPr>
      </w:pPr>
      <w:r>
        <w:rPr>
          <w:rFonts w:ascii="Arial" w:hAnsi="Arial" w:cs="Arial"/>
        </w:rPr>
        <w:t>References</w:t>
      </w:r>
    </w:p>
    <w:p w14:paraId="5A4EE7A6" w14:textId="77777777" w:rsidR="00B546DA" w:rsidRDefault="00B546DA">
      <w:pPr>
        <w:pStyle w:val="ReferHead"/>
        <w:spacing w:after="0"/>
        <w:jc w:val="both"/>
        <w:rPr>
          <w:rFonts w:ascii="Arial" w:hAnsi="Arial" w:cs="Arial"/>
        </w:rPr>
      </w:pPr>
    </w:p>
    <w:p w14:paraId="2019AE23" w14:textId="77777777" w:rsidR="00B546DA" w:rsidRDefault="00976ABB" w:rsidP="001E3F4A">
      <w:pPr>
        <w:pStyle w:val="Body"/>
        <w:numPr>
          <w:ilvl w:val="0"/>
          <w:numId w:val="2"/>
        </w:numPr>
        <w:spacing w:after="0"/>
        <w:rPr>
          <w:lang w:eastAsia="zh-CN"/>
        </w:rPr>
      </w:pPr>
      <w:r>
        <w:rPr>
          <w:lang w:eastAsia="zh-CN"/>
        </w:rPr>
        <w:t>Bowles</w:t>
      </w:r>
      <w:r>
        <w:rPr>
          <w:rFonts w:hint="eastAsia"/>
          <w:lang w:eastAsia="zh-CN"/>
        </w:rPr>
        <w:t>,</w:t>
      </w:r>
      <w:r>
        <w:rPr>
          <w:lang w:eastAsia="zh-CN"/>
        </w:rPr>
        <w:t xml:space="preserve"> M</w:t>
      </w:r>
      <w:r>
        <w:rPr>
          <w:rFonts w:hint="eastAsia"/>
          <w:lang w:eastAsia="zh-CN"/>
        </w:rPr>
        <w:t>.</w:t>
      </w:r>
      <w:r>
        <w:rPr>
          <w:lang w:eastAsia="zh-CN"/>
        </w:rPr>
        <w:t>,</w:t>
      </w:r>
      <w:r>
        <w:rPr>
          <w:rFonts w:hint="eastAsia"/>
          <w:lang w:eastAsia="zh-CN"/>
        </w:rPr>
        <w:t xml:space="preserve"> </w:t>
      </w:r>
      <w:r>
        <w:rPr>
          <w:lang w:eastAsia="zh-CN"/>
        </w:rPr>
        <w:t>Muhtadi</w:t>
      </w:r>
      <w:r>
        <w:rPr>
          <w:rFonts w:hint="eastAsia"/>
          <w:lang w:eastAsia="zh-CN"/>
        </w:rPr>
        <w:t>,</w:t>
      </w:r>
      <w:r>
        <w:rPr>
          <w:lang w:eastAsia="zh-CN"/>
        </w:rPr>
        <w:t xml:space="preserve"> A</w:t>
      </w:r>
      <w:r>
        <w:rPr>
          <w:rFonts w:hint="eastAsia"/>
          <w:lang w:eastAsia="zh-CN"/>
        </w:rPr>
        <w:t>.</w:t>
      </w:r>
      <w:r>
        <w:rPr>
          <w:lang w:eastAsia="zh-CN"/>
        </w:rPr>
        <w:t xml:space="preserve"> O</w:t>
      </w:r>
      <w:r>
        <w:rPr>
          <w:rFonts w:hint="eastAsia"/>
          <w:lang w:eastAsia="zh-CN"/>
        </w:rPr>
        <w:t>.</w:t>
      </w:r>
      <w:r>
        <w:rPr>
          <w:lang w:eastAsia="zh-CN"/>
        </w:rPr>
        <w:t>,</w:t>
      </w:r>
      <w:r>
        <w:rPr>
          <w:rFonts w:hint="eastAsia"/>
          <w:lang w:eastAsia="zh-CN"/>
        </w:rPr>
        <w:t xml:space="preserve"> &amp; </w:t>
      </w:r>
      <w:r>
        <w:rPr>
          <w:lang w:eastAsia="zh-CN"/>
        </w:rPr>
        <w:t>Kaviani</w:t>
      </w:r>
      <w:r>
        <w:rPr>
          <w:rFonts w:hint="eastAsia"/>
          <w:lang w:eastAsia="zh-CN"/>
        </w:rPr>
        <w:t>,</w:t>
      </w:r>
      <w:r>
        <w:rPr>
          <w:lang w:eastAsia="zh-CN"/>
        </w:rPr>
        <w:t xml:space="preserve"> A.</w:t>
      </w:r>
      <w:r>
        <w:rPr>
          <w:rFonts w:hint="eastAsia"/>
          <w:lang w:eastAsia="zh-CN"/>
        </w:rPr>
        <w:t xml:space="preserve"> (2025). </w:t>
      </w:r>
      <w:r>
        <w:rPr>
          <w:lang w:eastAsia="zh-CN"/>
        </w:rPr>
        <w:t>The role of online communities of practice in developing blended teaching knowledge and practice during a digital transformation in higher education.</w:t>
      </w:r>
      <w:r>
        <w:rPr>
          <w:rFonts w:hint="eastAsia"/>
          <w:lang w:eastAsia="zh-CN"/>
        </w:rPr>
        <w:t xml:space="preserve"> </w:t>
      </w:r>
      <w:r>
        <w:rPr>
          <w:lang w:eastAsia="zh-CN"/>
        </w:rPr>
        <w:t>Teaching and Teacher Education</w:t>
      </w:r>
      <w:r>
        <w:rPr>
          <w:rFonts w:hint="eastAsia"/>
          <w:lang w:eastAsia="zh-CN"/>
        </w:rPr>
        <w:t>,</w:t>
      </w:r>
      <w:r>
        <w:rPr>
          <w:lang w:eastAsia="zh-CN"/>
        </w:rPr>
        <w:t xml:space="preserve"> 172</w:t>
      </w:r>
      <w:r>
        <w:rPr>
          <w:rFonts w:hint="eastAsia"/>
          <w:lang w:eastAsia="zh-CN"/>
        </w:rPr>
        <w:t xml:space="preserve">, </w:t>
      </w:r>
      <w:r>
        <w:rPr>
          <w:lang w:eastAsia="zh-CN"/>
        </w:rPr>
        <w:t>105354-105354.</w:t>
      </w:r>
    </w:p>
    <w:p w14:paraId="143A3E99" w14:textId="77777777" w:rsidR="00B546DA" w:rsidRDefault="00B546DA">
      <w:pPr>
        <w:pStyle w:val="Body"/>
        <w:spacing w:after="0"/>
        <w:rPr>
          <w:lang w:eastAsia="zh-CN"/>
        </w:rPr>
      </w:pPr>
    </w:p>
    <w:p w14:paraId="19802ACF" w14:textId="77777777" w:rsidR="00B546DA" w:rsidRDefault="00976ABB" w:rsidP="001E3F4A">
      <w:pPr>
        <w:pStyle w:val="Body"/>
        <w:numPr>
          <w:ilvl w:val="0"/>
          <w:numId w:val="2"/>
        </w:numPr>
        <w:spacing w:after="0"/>
      </w:pPr>
      <w:r>
        <w:t>Cui</w:t>
      </w:r>
      <w:r>
        <w:rPr>
          <w:rFonts w:hint="eastAsia"/>
          <w:lang w:eastAsia="zh-CN"/>
        </w:rPr>
        <w:t>,</w:t>
      </w:r>
      <w:r>
        <w:t xml:space="preserve"> Y.</w:t>
      </w:r>
      <w:r>
        <w:rPr>
          <w:rFonts w:hint="eastAsia"/>
          <w:lang w:eastAsia="zh-CN"/>
        </w:rPr>
        <w:t xml:space="preserve"> (2026). </w:t>
      </w:r>
      <w:r>
        <w:t xml:space="preserve">Exploration of </w:t>
      </w:r>
      <w:r>
        <w:rPr>
          <w:rFonts w:hint="eastAsia"/>
          <w:lang w:eastAsia="zh-CN"/>
        </w:rPr>
        <w:t>b</w:t>
      </w:r>
      <w:r>
        <w:t xml:space="preserve">lended </w:t>
      </w:r>
      <w:r>
        <w:rPr>
          <w:rFonts w:hint="eastAsia"/>
          <w:lang w:eastAsia="zh-CN"/>
        </w:rPr>
        <w:t>t</w:t>
      </w:r>
      <w:r>
        <w:t xml:space="preserve">eaching </w:t>
      </w:r>
      <w:r>
        <w:rPr>
          <w:rFonts w:hint="eastAsia"/>
          <w:lang w:eastAsia="zh-CN"/>
        </w:rPr>
        <w:t>p</w:t>
      </w:r>
      <w:r>
        <w:t xml:space="preserve">ractice in the </w:t>
      </w:r>
      <w:r>
        <w:rPr>
          <w:rFonts w:hint="eastAsia"/>
          <w:lang w:eastAsia="zh-CN"/>
        </w:rPr>
        <w:t>c</w:t>
      </w:r>
      <w:r>
        <w:t xml:space="preserve">ourse of </w:t>
      </w:r>
      <w:r>
        <w:rPr>
          <w:rFonts w:hint="eastAsia"/>
          <w:lang w:eastAsia="zh-CN"/>
        </w:rPr>
        <w:t>f</w:t>
      </w:r>
      <w:r>
        <w:t xml:space="preserve">undamentals of </w:t>
      </w:r>
      <w:r>
        <w:rPr>
          <w:rFonts w:hint="eastAsia"/>
          <w:lang w:eastAsia="zh-CN"/>
        </w:rPr>
        <w:t>p</w:t>
      </w:r>
      <w:r>
        <w:t>rogramming.</w:t>
      </w:r>
      <w:r>
        <w:rPr>
          <w:rFonts w:hint="eastAsia"/>
          <w:lang w:eastAsia="zh-CN"/>
        </w:rPr>
        <w:t xml:space="preserve"> </w:t>
      </w:r>
      <w:r>
        <w:t>Journal of Contemporary Educational Research,</w:t>
      </w:r>
      <w:r>
        <w:rPr>
          <w:rFonts w:hint="eastAsia"/>
          <w:lang w:eastAsia="zh-CN"/>
        </w:rPr>
        <w:t xml:space="preserve"> </w:t>
      </w:r>
      <w:r>
        <w:t>10(2)</w:t>
      </w:r>
      <w:r>
        <w:rPr>
          <w:rFonts w:hint="eastAsia"/>
          <w:lang w:eastAsia="zh-CN"/>
        </w:rPr>
        <w:t xml:space="preserve">, </w:t>
      </w:r>
      <w:r>
        <w:t>198-205.</w:t>
      </w:r>
    </w:p>
    <w:p w14:paraId="64F6F5A7" w14:textId="77777777" w:rsidR="00B546DA" w:rsidRDefault="00B546DA">
      <w:pPr>
        <w:pStyle w:val="Body"/>
        <w:spacing w:after="0"/>
        <w:rPr>
          <w:lang w:eastAsia="zh-CN"/>
        </w:rPr>
      </w:pPr>
    </w:p>
    <w:p w14:paraId="713AF92F" w14:textId="77777777" w:rsidR="00B546DA" w:rsidRDefault="00976ABB" w:rsidP="001E3F4A">
      <w:pPr>
        <w:pStyle w:val="Body"/>
        <w:numPr>
          <w:ilvl w:val="0"/>
          <w:numId w:val="2"/>
        </w:numPr>
        <w:spacing w:after="0"/>
        <w:rPr>
          <w:lang w:eastAsia="zh-CN"/>
        </w:rPr>
      </w:pPr>
      <w:r>
        <w:rPr>
          <w:lang w:eastAsia="zh-CN"/>
        </w:rPr>
        <w:t>Gong</w:t>
      </w:r>
      <w:r>
        <w:rPr>
          <w:rFonts w:hint="eastAsia"/>
          <w:lang w:eastAsia="zh-CN"/>
        </w:rPr>
        <w:t>,</w:t>
      </w:r>
      <w:r>
        <w:rPr>
          <w:lang w:eastAsia="zh-CN"/>
        </w:rPr>
        <w:t xml:space="preserve"> X</w:t>
      </w:r>
      <w:r>
        <w:rPr>
          <w:rFonts w:hint="eastAsia"/>
          <w:lang w:eastAsia="zh-CN"/>
        </w:rPr>
        <w:t>.</w:t>
      </w:r>
      <w:r>
        <w:rPr>
          <w:lang w:eastAsia="zh-CN"/>
        </w:rPr>
        <w:t>,</w:t>
      </w:r>
      <w:r>
        <w:rPr>
          <w:rFonts w:hint="eastAsia"/>
          <w:lang w:eastAsia="zh-CN"/>
        </w:rPr>
        <w:t xml:space="preserve"> </w:t>
      </w:r>
      <w:r>
        <w:rPr>
          <w:lang w:eastAsia="zh-CN"/>
        </w:rPr>
        <w:t>Yang</w:t>
      </w:r>
      <w:r>
        <w:rPr>
          <w:rFonts w:hint="eastAsia"/>
          <w:lang w:eastAsia="zh-CN"/>
        </w:rPr>
        <w:t>,</w:t>
      </w:r>
      <w:r>
        <w:rPr>
          <w:lang w:eastAsia="zh-CN"/>
        </w:rPr>
        <w:t xml:space="preserve"> Y</w:t>
      </w:r>
      <w:r>
        <w:rPr>
          <w:rFonts w:hint="eastAsia"/>
          <w:lang w:eastAsia="zh-CN"/>
        </w:rPr>
        <w:t>.</w:t>
      </w:r>
      <w:r>
        <w:rPr>
          <w:lang w:eastAsia="zh-CN"/>
        </w:rPr>
        <w:t>,</w:t>
      </w:r>
      <w:r>
        <w:rPr>
          <w:rFonts w:hint="eastAsia"/>
          <w:lang w:eastAsia="zh-CN"/>
        </w:rPr>
        <w:t xml:space="preserve"> &amp; </w:t>
      </w:r>
      <w:r>
        <w:rPr>
          <w:lang w:eastAsia="zh-CN"/>
        </w:rPr>
        <w:t>Wang</w:t>
      </w:r>
      <w:r>
        <w:rPr>
          <w:rFonts w:hint="eastAsia"/>
          <w:lang w:eastAsia="zh-CN"/>
        </w:rPr>
        <w:t>,</w:t>
      </w:r>
      <w:r>
        <w:rPr>
          <w:lang w:eastAsia="zh-CN"/>
        </w:rPr>
        <w:t xml:space="preserve"> Q.</w:t>
      </w:r>
      <w:r>
        <w:rPr>
          <w:rFonts w:hint="eastAsia"/>
          <w:lang w:eastAsia="zh-CN"/>
        </w:rPr>
        <w:t xml:space="preserve"> (2025). </w:t>
      </w:r>
      <w:r>
        <w:rPr>
          <w:lang w:eastAsia="zh-CN"/>
        </w:rPr>
        <w:t xml:space="preserve">Application of OBE-Oriented </w:t>
      </w:r>
      <w:r>
        <w:rPr>
          <w:rFonts w:hint="eastAsia"/>
          <w:lang w:eastAsia="zh-CN"/>
        </w:rPr>
        <w:t>b</w:t>
      </w:r>
      <w:r>
        <w:rPr>
          <w:lang w:eastAsia="zh-CN"/>
        </w:rPr>
        <w:t xml:space="preserve">lended </w:t>
      </w:r>
      <w:r>
        <w:rPr>
          <w:rFonts w:hint="eastAsia"/>
          <w:lang w:eastAsia="zh-CN"/>
        </w:rPr>
        <w:t>t</w:t>
      </w:r>
      <w:r>
        <w:rPr>
          <w:lang w:eastAsia="zh-CN"/>
        </w:rPr>
        <w:t xml:space="preserve">eaching in </w:t>
      </w:r>
      <w:r>
        <w:rPr>
          <w:rFonts w:hint="eastAsia"/>
          <w:lang w:eastAsia="zh-CN"/>
        </w:rPr>
        <w:t>i</w:t>
      </w:r>
      <w:r>
        <w:rPr>
          <w:lang w:eastAsia="zh-CN"/>
        </w:rPr>
        <w:t xml:space="preserve">deological and </w:t>
      </w:r>
      <w:r>
        <w:rPr>
          <w:rFonts w:hint="eastAsia"/>
          <w:lang w:eastAsia="zh-CN"/>
        </w:rPr>
        <w:t>p</w:t>
      </w:r>
      <w:r>
        <w:rPr>
          <w:lang w:eastAsia="zh-CN"/>
        </w:rPr>
        <w:t xml:space="preserve">olitical </w:t>
      </w:r>
      <w:r>
        <w:rPr>
          <w:rFonts w:hint="eastAsia"/>
          <w:lang w:eastAsia="zh-CN"/>
        </w:rPr>
        <w:t>e</w:t>
      </w:r>
      <w:r>
        <w:rPr>
          <w:lang w:eastAsia="zh-CN"/>
        </w:rPr>
        <w:t xml:space="preserve">ducation of </w:t>
      </w:r>
      <w:r>
        <w:rPr>
          <w:rFonts w:hint="eastAsia"/>
          <w:lang w:eastAsia="zh-CN"/>
        </w:rPr>
        <w:t>b</w:t>
      </w:r>
      <w:r>
        <w:rPr>
          <w:lang w:eastAsia="zh-CN"/>
        </w:rPr>
        <w:t xml:space="preserve">asic </w:t>
      </w:r>
      <w:r>
        <w:rPr>
          <w:rFonts w:hint="eastAsia"/>
          <w:lang w:eastAsia="zh-CN"/>
        </w:rPr>
        <w:t>m</w:t>
      </w:r>
      <w:r>
        <w:rPr>
          <w:lang w:eastAsia="zh-CN"/>
        </w:rPr>
        <w:t xml:space="preserve">edical </w:t>
      </w:r>
      <w:r>
        <w:rPr>
          <w:rFonts w:hint="eastAsia"/>
          <w:lang w:eastAsia="zh-CN"/>
        </w:rPr>
        <w:t>c</w:t>
      </w:r>
      <w:r>
        <w:rPr>
          <w:lang w:eastAsia="zh-CN"/>
        </w:rPr>
        <w:t>ourses.</w:t>
      </w:r>
      <w:r>
        <w:rPr>
          <w:rFonts w:hint="eastAsia"/>
          <w:lang w:eastAsia="zh-CN"/>
        </w:rPr>
        <w:t xml:space="preserve"> </w:t>
      </w:r>
      <w:r>
        <w:rPr>
          <w:lang w:eastAsia="zh-CN"/>
        </w:rPr>
        <w:t>International Education Forum</w:t>
      </w:r>
      <w:r>
        <w:rPr>
          <w:rFonts w:hint="eastAsia"/>
          <w:lang w:eastAsia="zh-CN"/>
        </w:rPr>
        <w:t xml:space="preserve">, </w:t>
      </w:r>
      <w:r>
        <w:rPr>
          <w:lang w:eastAsia="zh-CN"/>
        </w:rPr>
        <w:t>3(11)</w:t>
      </w:r>
      <w:r>
        <w:rPr>
          <w:rFonts w:hint="eastAsia"/>
          <w:lang w:eastAsia="zh-CN"/>
        </w:rPr>
        <w:t xml:space="preserve">, </w:t>
      </w:r>
      <w:r>
        <w:rPr>
          <w:lang w:eastAsia="zh-CN"/>
        </w:rPr>
        <w:t>20-26</w:t>
      </w:r>
      <w:r>
        <w:rPr>
          <w:rFonts w:hint="eastAsia"/>
          <w:lang w:eastAsia="zh-CN"/>
        </w:rPr>
        <w:t>.</w:t>
      </w:r>
    </w:p>
    <w:p w14:paraId="7E766107" w14:textId="77777777" w:rsidR="00B546DA" w:rsidRDefault="00B546DA">
      <w:pPr>
        <w:pStyle w:val="Body"/>
        <w:spacing w:after="0"/>
        <w:rPr>
          <w:lang w:eastAsia="zh-CN"/>
        </w:rPr>
      </w:pPr>
    </w:p>
    <w:p w14:paraId="1E754B8C" w14:textId="4DB21954" w:rsidR="00B546DA" w:rsidRPr="003A3C78" w:rsidRDefault="003A3C78" w:rsidP="001E3F4A">
      <w:pPr>
        <w:pStyle w:val="Body"/>
        <w:numPr>
          <w:ilvl w:val="0"/>
          <w:numId w:val="2"/>
        </w:numPr>
        <w:spacing w:after="0"/>
        <w:rPr>
          <w:color w:val="EE0000"/>
          <w:lang w:eastAsia="zh-CN"/>
        </w:rPr>
      </w:pPr>
      <w:r w:rsidRPr="003A3C78">
        <w:rPr>
          <w:color w:val="EE0000"/>
          <w:lang w:eastAsia="zh-CN"/>
        </w:rPr>
        <w:t>Li, S</w:t>
      </w:r>
      <w:r w:rsidRPr="003A3C78">
        <w:rPr>
          <w:rFonts w:hint="eastAsia"/>
          <w:color w:val="EE0000"/>
          <w:lang w:eastAsia="zh-CN"/>
        </w:rPr>
        <w:t xml:space="preserve">. </w:t>
      </w:r>
      <w:r w:rsidRPr="003A3C78">
        <w:rPr>
          <w:color w:val="EE0000"/>
          <w:lang w:eastAsia="zh-CN"/>
        </w:rPr>
        <w:t>J</w:t>
      </w:r>
      <w:r w:rsidRPr="003A3C78">
        <w:rPr>
          <w:rFonts w:hint="eastAsia"/>
          <w:color w:val="EE0000"/>
          <w:lang w:eastAsia="zh-CN"/>
        </w:rPr>
        <w:t>.,</w:t>
      </w:r>
      <w:r w:rsidRPr="003A3C78">
        <w:rPr>
          <w:color w:val="EE0000"/>
          <w:lang w:eastAsia="zh-CN"/>
        </w:rPr>
        <w:t xml:space="preserve"> </w:t>
      </w:r>
      <w:r w:rsidRPr="003A3C78">
        <w:rPr>
          <w:rFonts w:hint="eastAsia"/>
          <w:color w:val="EE0000"/>
          <w:lang w:eastAsia="zh-CN"/>
        </w:rPr>
        <w:t>&amp;</w:t>
      </w:r>
      <w:r w:rsidRPr="003A3C78">
        <w:rPr>
          <w:color w:val="EE0000"/>
          <w:lang w:eastAsia="zh-CN"/>
        </w:rPr>
        <w:t xml:space="preserve"> Gu, X</w:t>
      </w:r>
      <w:r w:rsidRPr="003A3C78">
        <w:rPr>
          <w:rFonts w:hint="eastAsia"/>
          <w:color w:val="EE0000"/>
          <w:lang w:eastAsia="zh-CN"/>
        </w:rPr>
        <w:t xml:space="preserve">. </w:t>
      </w:r>
      <w:r w:rsidRPr="003A3C78">
        <w:rPr>
          <w:color w:val="EE0000"/>
          <w:lang w:eastAsia="zh-CN"/>
        </w:rPr>
        <w:t>Q</w:t>
      </w:r>
      <w:r w:rsidR="00976ABB" w:rsidRPr="003A3C78">
        <w:rPr>
          <w:color w:val="EE0000"/>
          <w:lang w:eastAsia="zh-CN"/>
        </w:rPr>
        <w:t>.</w:t>
      </w:r>
      <w:r w:rsidR="00976ABB" w:rsidRPr="003A3C78">
        <w:rPr>
          <w:rFonts w:hint="eastAsia"/>
          <w:color w:val="EE0000"/>
          <w:lang w:eastAsia="zh-CN"/>
        </w:rPr>
        <w:t xml:space="preserve"> (202</w:t>
      </w:r>
      <w:r w:rsidRPr="003A3C78">
        <w:rPr>
          <w:rFonts w:hint="eastAsia"/>
          <w:color w:val="EE0000"/>
          <w:lang w:eastAsia="zh-CN"/>
        </w:rPr>
        <w:t>3</w:t>
      </w:r>
      <w:r w:rsidR="00976ABB" w:rsidRPr="003A3C78">
        <w:rPr>
          <w:rFonts w:hint="eastAsia"/>
          <w:color w:val="EE0000"/>
          <w:lang w:eastAsia="zh-CN"/>
        </w:rPr>
        <w:t xml:space="preserve">). </w:t>
      </w:r>
      <w:r w:rsidRPr="003A3C78">
        <w:rPr>
          <w:color w:val="EE0000"/>
          <w:lang w:eastAsia="zh-CN"/>
        </w:rPr>
        <w:t xml:space="preserve">A </w:t>
      </w:r>
      <w:r w:rsidR="009F7D94">
        <w:rPr>
          <w:rFonts w:hint="eastAsia"/>
          <w:color w:val="EE0000"/>
          <w:lang w:eastAsia="zh-CN"/>
        </w:rPr>
        <w:t>r</w:t>
      </w:r>
      <w:r w:rsidRPr="003A3C78">
        <w:rPr>
          <w:color w:val="EE0000"/>
          <w:lang w:eastAsia="zh-CN"/>
        </w:rPr>
        <w:t xml:space="preserve">isk </w:t>
      </w:r>
      <w:r w:rsidR="009F7D94">
        <w:rPr>
          <w:rFonts w:hint="eastAsia"/>
          <w:color w:val="EE0000"/>
          <w:lang w:eastAsia="zh-CN"/>
        </w:rPr>
        <w:t>f</w:t>
      </w:r>
      <w:r w:rsidRPr="003A3C78">
        <w:rPr>
          <w:color w:val="EE0000"/>
          <w:lang w:eastAsia="zh-CN"/>
        </w:rPr>
        <w:t xml:space="preserve">ramework for </w:t>
      </w:r>
      <w:r w:rsidR="009F7D94">
        <w:rPr>
          <w:rFonts w:hint="eastAsia"/>
          <w:color w:val="EE0000"/>
          <w:lang w:eastAsia="zh-CN"/>
        </w:rPr>
        <w:t>h</w:t>
      </w:r>
      <w:r w:rsidRPr="003A3C78">
        <w:rPr>
          <w:color w:val="EE0000"/>
          <w:lang w:eastAsia="zh-CN"/>
        </w:rPr>
        <w:t xml:space="preserve">uman-centered </w:t>
      </w:r>
      <w:r w:rsidR="009F7D94">
        <w:rPr>
          <w:rFonts w:hint="eastAsia"/>
          <w:color w:val="EE0000"/>
          <w:lang w:eastAsia="zh-CN"/>
        </w:rPr>
        <w:t>a</w:t>
      </w:r>
      <w:r w:rsidRPr="003A3C78">
        <w:rPr>
          <w:color w:val="EE0000"/>
          <w:lang w:eastAsia="zh-CN"/>
        </w:rPr>
        <w:t xml:space="preserve">rtificial </w:t>
      </w:r>
      <w:r w:rsidR="009F7D94">
        <w:rPr>
          <w:rFonts w:hint="eastAsia"/>
          <w:color w:val="EE0000"/>
          <w:lang w:eastAsia="zh-CN"/>
        </w:rPr>
        <w:t>i</w:t>
      </w:r>
      <w:r w:rsidRPr="003A3C78">
        <w:rPr>
          <w:color w:val="EE0000"/>
          <w:lang w:eastAsia="zh-CN"/>
        </w:rPr>
        <w:t xml:space="preserve">ntelligence in </w:t>
      </w:r>
      <w:r w:rsidR="009F7D94">
        <w:rPr>
          <w:rFonts w:hint="eastAsia"/>
          <w:color w:val="EE0000"/>
          <w:lang w:eastAsia="zh-CN"/>
        </w:rPr>
        <w:t>e</w:t>
      </w:r>
      <w:r w:rsidRPr="003A3C78">
        <w:rPr>
          <w:color w:val="EE0000"/>
          <w:lang w:eastAsia="zh-CN"/>
        </w:rPr>
        <w:t xml:space="preserve">ducation: Based on </w:t>
      </w:r>
      <w:r w:rsidR="009F7D94">
        <w:rPr>
          <w:rFonts w:hint="eastAsia"/>
          <w:color w:val="EE0000"/>
          <w:lang w:eastAsia="zh-CN"/>
        </w:rPr>
        <w:t>l</w:t>
      </w:r>
      <w:r w:rsidRPr="003A3C78">
        <w:rPr>
          <w:color w:val="EE0000"/>
          <w:lang w:eastAsia="zh-CN"/>
        </w:rPr>
        <w:t xml:space="preserve">iterature </w:t>
      </w:r>
      <w:r w:rsidR="009F7D94">
        <w:rPr>
          <w:rFonts w:hint="eastAsia"/>
          <w:color w:val="EE0000"/>
          <w:lang w:eastAsia="zh-CN"/>
        </w:rPr>
        <w:t>r</w:t>
      </w:r>
      <w:r w:rsidRPr="003A3C78">
        <w:rPr>
          <w:color w:val="EE0000"/>
          <w:lang w:eastAsia="zh-CN"/>
        </w:rPr>
        <w:t xml:space="preserve">eview and Delphi-AHP </w:t>
      </w:r>
      <w:r w:rsidR="009F7D94">
        <w:rPr>
          <w:rFonts w:hint="eastAsia"/>
          <w:color w:val="EE0000"/>
          <w:lang w:eastAsia="zh-CN"/>
        </w:rPr>
        <w:t>m</w:t>
      </w:r>
      <w:r w:rsidRPr="003A3C78">
        <w:rPr>
          <w:color w:val="EE0000"/>
          <w:lang w:eastAsia="zh-CN"/>
        </w:rPr>
        <w:t>ethod</w:t>
      </w:r>
      <w:r w:rsidR="00976ABB" w:rsidRPr="003A3C78">
        <w:rPr>
          <w:color w:val="EE0000"/>
          <w:lang w:eastAsia="zh-CN"/>
        </w:rPr>
        <w:t>.</w:t>
      </w:r>
      <w:r w:rsidR="00976ABB" w:rsidRPr="003A3C78">
        <w:rPr>
          <w:rFonts w:hint="eastAsia"/>
          <w:color w:val="EE0000"/>
          <w:lang w:eastAsia="zh-CN"/>
        </w:rPr>
        <w:t xml:space="preserve"> </w:t>
      </w:r>
      <w:r w:rsidRPr="003A3C78">
        <w:rPr>
          <w:color w:val="EE0000"/>
          <w:lang w:eastAsia="zh-CN"/>
        </w:rPr>
        <w:t>Educational Technology &amp; Society</w:t>
      </w:r>
      <w:r w:rsidR="00976ABB" w:rsidRPr="003A3C78">
        <w:rPr>
          <w:color w:val="EE0000"/>
          <w:lang w:eastAsia="zh-CN"/>
        </w:rPr>
        <w:t>,</w:t>
      </w:r>
      <w:r w:rsidR="00976ABB" w:rsidRPr="003A3C78">
        <w:rPr>
          <w:rFonts w:hint="eastAsia"/>
          <w:color w:val="EE0000"/>
          <w:lang w:eastAsia="zh-CN"/>
        </w:rPr>
        <w:t xml:space="preserve"> </w:t>
      </w:r>
      <w:r w:rsidR="00976ABB" w:rsidRPr="003A3C78">
        <w:rPr>
          <w:color w:val="EE0000"/>
          <w:lang w:eastAsia="zh-CN"/>
        </w:rPr>
        <w:t>2</w:t>
      </w:r>
      <w:r w:rsidRPr="003A3C78">
        <w:rPr>
          <w:rFonts w:hint="eastAsia"/>
          <w:color w:val="EE0000"/>
          <w:lang w:eastAsia="zh-CN"/>
        </w:rPr>
        <w:t>6</w:t>
      </w:r>
      <w:r w:rsidR="00976ABB" w:rsidRPr="003A3C78">
        <w:rPr>
          <w:color w:val="EE0000"/>
          <w:lang w:eastAsia="zh-CN"/>
        </w:rPr>
        <w:t>(</w:t>
      </w:r>
      <w:r w:rsidRPr="003A3C78">
        <w:rPr>
          <w:rFonts w:hint="eastAsia"/>
          <w:color w:val="EE0000"/>
          <w:lang w:eastAsia="zh-CN"/>
        </w:rPr>
        <w:t>1</w:t>
      </w:r>
      <w:r w:rsidR="00976ABB" w:rsidRPr="003A3C78">
        <w:rPr>
          <w:color w:val="EE0000"/>
          <w:lang w:eastAsia="zh-CN"/>
        </w:rPr>
        <w:t xml:space="preserve">), </w:t>
      </w:r>
      <w:r w:rsidRPr="003A3C78">
        <w:rPr>
          <w:color w:val="EE0000"/>
          <w:lang w:eastAsia="zh-CN"/>
        </w:rPr>
        <w:t>187-202</w:t>
      </w:r>
      <w:r w:rsidR="00976ABB" w:rsidRPr="003A3C78">
        <w:rPr>
          <w:color w:val="EE0000"/>
          <w:lang w:eastAsia="zh-CN"/>
        </w:rPr>
        <w:t>.</w:t>
      </w:r>
    </w:p>
    <w:p w14:paraId="7000130D" w14:textId="77777777" w:rsidR="00B546DA" w:rsidRDefault="00B546DA">
      <w:pPr>
        <w:pStyle w:val="Body"/>
        <w:spacing w:after="0"/>
        <w:rPr>
          <w:lang w:eastAsia="zh-CN"/>
        </w:rPr>
      </w:pPr>
    </w:p>
    <w:p w14:paraId="01AF9F1F" w14:textId="4857968F" w:rsidR="008377A8" w:rsidRPr="008377A8" w:rsidRDefault="008377A8" w:rsidP="001E3F4A">
      <w:pPr>
        <w:pStyle w:val="Body"/>
        <w:numPr>
          <w:ilvl w:val="0"/>
          <w:numId w:val="2"/>
        </w:numPr>
        <w:spacing w:after="0"/>
        <w:rPr>
          <w:color w:val="EE0000"/>
          <w:lang w:eastAsia="zh-CN"/>
        </w:rPr>
      </w:pPr>
      <w:r w:rsidRPr="008377A8">
        <w:rPr>
          <w:color w:val="EE0000"/>
          <w:lang w:eastAsia="zh-CN"/>
        </w:rPr>
        <w:t>Li, Q</w:t>
      </w:r>
      <w:r w:rsidRPr="008377A8">
        <w:rPr>
          <w:rFonts w:hint="eastAsia"/>
          <w:color w:val="EE0000"/>
          <w:lang w:eastAsia="zh-CN"/>
        </w:rPr>
        <w:t>.,</w:t>
      </w:r>
      <w:r w:rsidRPr="008377A8">
        <w:rPr>
          <w:color w:val="EE0000"/>
          <w:lang w:eastAsia="zh-CN"/>
        </w:rPr>
        <w:t xml:space="preserve"> Xie, R</w:t>
      </w:r>
      <w:r w:rsidRPr="008377A8">
        <w:rPr>
          <w:rFonts w:hint="eastAsia"/>
          <w:color w:val="EE0000"/>
          <w:lang w:eastAsia="zh-CN"/>
        </w:rPr>
        <w:t xml:space="preserve">. </w:t>
      </w:r>
      <w:r w:rsidRPr="008377A8">
        <w:rPr>
          <w:color w:val="EE0000"/>
          <w:lang w:eastAsia="zh-CN"/>
        </w:rPr>
        <w:t>R</w:t>
      </w:r>
      <w:r w:rsidRPr="008377A8">
        <w:rPr>
          <w:rFonts w:hint="eastAsia"/>
          <w:color w:val="EE0000"/>
          <w:lang w:eastAsia="zh-CN"/>
        </w:rPr>
        <w:t>.,</w:t>
      </w:r>
      <w:r w:rsidRPr="008377A8">
        <w:rPr>
          <w:color w:val="EE0000"/>
          <w:lang w:eastAsia="zh-CN"/>
        </w:rPr>
        <w:t xml:space="preserve"> Li, M</w:t>
      </w:r>
      <w:r w:rsidRPr="008377A8">
        <w:rPr>
          <w:rFonts w:hint="eastAsia"/>
          <w:color w:val="EE0000"/>
          <w:lang w:eastAsia="zh-CN"/>
        </w:rPr>
        <w:t xml:space="preserve">. </w:t>
      </w:r>
      <w:r w:rsidRPr="008377A8">
        <w:rPr>
          <w:color w:val="EE0000"/>
          <w:lang w:eastAsia="zh-CN"/>
        </w:rPr>
        <w:t>H</w:t>
      </w:r>
      <w:r w:rsidRPr="008377A8">
        <w:rPr>
          <w:rFonts w:hint="eastAsia"/>
          <w:color w:val="EE0000"/>
          <w:lang w:eastAsia="zh-CN"/>
        </w:rPr>
        <w:t xml:space="preserve">. (2025). </w:t>
      </w:r>
      <w:r w:rsidRPr="008377A8">
        <w:rPr>
          <w:color w:val="EE0000"/>
          <w:lang w:eastAsia="zh-CN"/>
        </w:rPr>
        <w:t>Factors influencing positive perceptions of hybrid teaching in higher education: a case study of an engineering university</w:t>
      </w:r>
      <w:r w:rsidRPr="008377A8">
        <w:rPr>
          <w:rFonts w:hint="eastAsia"/>
          <w:color w:val="EE0000"/>
          <w:lang w:eastAsia="zh-CN"/>
        </w:rPr>
        <w:t xml:space="preserve">. </w:t>
      </w:r>
      <w:r w:rsidRPr="008377A8">
        <w:rPr>
          <w:color w:val="EE0000"/>
          <w:lang w:eastAsia="zh-CN"/>
        </w:rPr>
        <w:t>International Journal of Educational Technology in Higher Education</w:t>
      </w:r>
      <w:r w:rsidRPr="008377A8">
        <w:rPr>
          <w:rFonts w:hint="eastAsia"/>
          <w:color w:val="EE0000"/>
          <w:lang w:eastAsia="zh-CN"/>
        </w:rPr>
        <w:t>, 22(1), 24.</w:t>
      </w:r>
    </w:p>
    <w:p w14:paraId="215C815C" w14:textId="77777777" w:rsidR="008377A8" w:rsidRDefault="008377A8">
      <w:pPr>
        <w:pStyle w:val="Body"/>
        <w:spacing w:after="0"/>
        <w:rPr>
          <w:lang w:eastAsia="zh-CN"/>
        </w:rPr>
      </w:pPr>
    </w:p>
    <w:p w14:paraId="369ED610" w14:textId="4E207733" w:rsidR="00FA423A" w:rsidRPr="00FA423A" w:rsidRDefault="00FA423A" w:rsidP="001E3F4A">
      <w:pPr>
        <w:pStyle w:val="Body"/>
        <w:numPr>
          <w:ilvl w:val="0"/>
          <w:numId w:val="2"/>
        </w:numPr>
        <w:spacing w:after="0"/>
        <w:rPr>
          <w:rFonts w:ascii="Arial" w:hAnsi="Arial" w:cs="Arial"/>
          <w:color w:val="EE0000"/>
          <w:lang w:eastAsia="zh-CN"/>
        </w:rPr>
      </w:pPr>
      <w:r w:rsidRPr="00FA423A">
        <w:rPr>
          <w:rFonts w:ascii="Arial" w:hAnsi="Arial" w:cs="Arial"/>
          <w:color w:val="EE0000"/>
          <w:lang w:eastAsia="zh-CN"/>
        </w:rPr>
        <w:t>Ministry of Education of China. (2018). "Opinions of the Ministry of Education of China on Implementing the Excellent Teacher Training Program 2.0". http://www.moe.gov.cn/srcsite/A10/s7011/201810/t20181010_350998.html.</w:t>
      </w:r>
    </w:p>
    <w:p w14:paraId="0375E494" w14:textId="77777777" w:rsidR="00FA423A" w:rsidRDefault="00FA423A">
      <w:pPr>
        <w:pStyle w:val="Body"/>
        <w:spacing w:after="0"/>
        <w:rPr>
          <w:lang w:eastAsia="zh-CN"/>
        </w:rPr>
      </w:pPr>
    </w:p>
    <w:p w14:paraId="0A3E00FF" w14:textId="2A62530A" w:rsidR="009F7D94" w:rsidRPr="009F7D94" w:rsidRDefault="009F7D94" w:rsidP="001E3F4A">
      <w:pPr>
        <w:pStyle w:val="Body"/>
        <w:numPr>
          <w:ilvl w:val="0"/>
          <w:numId w:val="2"/>
        </w:numPr>
        <w:spacing w:after="0"/>
        <w:rPr>
          <w:color w:val="EE0000"/>
          <w:lang w:eastAsia="zh-CN"/>
        </w:rPr>
      </w:pPr>
      <w:r w:rsidRPr="009F7D94">
        <w:rPr>
          <w:color w:val="EE0000"/>
          <w:lang w:eastAsia="zh-CN"/>
        </w:rPr>
        <w:t>Phong, P</w:t>
      </w:r>
      <w:r w:rsidRPr="009F7D94">
        <w:rPr>
          <w:rFonts w:hint="eastAsia"/>
          <w:color w:val="EE0000"/>
          <w:lang w:eastAsia="zh-CN"/>
        </w:rPr>
        <w:t xml:space="preserve">. </w:t>
      </w:r>
      <w:r w:rsidRPr="009F7D94">
        <w:rPr>
          <w:color w:val="EE0000"/>
          <w:lang w:eastAsia="zh-CN"/>
        </w:rPr>
        <w:t>D</w:t>
      </w:r>
      <w:r w:rsidRPr="009F7D94">
        <w:rPr>
          <w:rFonts w:hint="eastAsia"/>
          <w:color w:val="EE0000"/>
          <w:lang w:eastAsia="zh-CN"/>
        </w:rPr>
        <w:t>.,</w:t>
      </w:r>
      <w:r w:rsidRPr="009F7D94">
        <w:rPr>
          <w:color w:val="EE0000"/>
          <w:lang w:eastAsia="zh-CN"/>
        </w:rPr>
        <w:t xml:space="preserve"> Lan, P</w:t>
      </w:r>
      <w:r w:rsidRPr="009F7D94">
        <w:rPr>
          <w:rFonts w:hint="eastAsia"/>
          <w:color w:val="EE0000"/>
          <w:lang w:eastAsia="zh-CN"/>
        </w:rPr>
        <w:t>.</w:t>
      </w:r>
      <w:r w:rsidRPr="009F7D94">
        <w:rPr>
          <w:color w:val="EE0000"/>
          <w:lang w:eastAsia="zh-CN"/>
        </w:rPr>
        <w:t>T</w:t>
      </w:r>
      <w:r w:rsidRPr="009F7D94">
        <w:rPr>
          <w:rFonts w:hint="eastAsia"/>
          <w:color w:val="EE0000"/>
          <w:lang w:eastAsia="zh-CN"/>
        </w:rPr>
        <w:t>., &amp;</w:t>
      </w:r>
      <w:r w:rsidRPr="009F7D94">
        <w:rPr>
          <w:color w:val="EE0000"/>
          <w:lang w:eastAsia="zh-CN"/>
        </w:rPr>
        <w:t xml:space="preserve"> Thanh, T</w:t>
      </w:r>
      <w:r w:rsidRPr="009F7D94">
        <w:rPr>
          <w:rFonts w:hint="eastAsia"/>
          <w:color w:val="EE0000"/>
          <w:lang w:eastAsia="zh-CN"/>
        </w:rPr>
        <w:t xml:space="preserve">. </w:t>
      </w:r>
      <w:r w:rsidRPr="009F7D94">
        <w:rPr>
          <w:color w:val="EE0000"/>
          <w:lang w:eastAsia="zh-CN"/>
        </w:rPr>
        <w:t>X</w:t>
      </w:r>
      <w:r w:rsidRPr="009F7D94">
        <w:rPr>
          <w:rFonts w:hint="eastAsia"/>
          <w:color w:val="EE0000"/>
          <w:lang w:eastAsia="zh-CN"/>
        </w:rPr>
        <w:t xml:space="preserve">. (2025). </w:t>
      </w:r>
      <w:r w:rsidRPr="009F7D94">
        <w:rPr>
          <w:color w:val="EE0000"/>
          <w:lang w:eastAsia="zh-CN"/>
        </w:rPr>
        <w:t xml:space="preserve">Linguistic </w:t>
      </w:r>
      <w:r w:rsidRPr="009F7D94">
        <w:rPr>
          <w:rFonts w:hint="eastAsia"/>
          <w:color w:val="EE0000"/>
          <w:lang w:eastAsia="zh-CN"/>
        </w:rPr>
        <w:t>s</w:t>
      </w:r>
      <w:r w:rsidRPr="009F7D94">
        <w:rPr>
          <w:color w:val="EE0000"/>
          <w:lang w:eastAsia="zh-CN"/>
        </w:rPr>
        <w:t xml:space="preserve">ummarization and </w:t>
      </w:r>
      <w:r w:rsidRPr="009F7D94">
        <w:rPr>
          <w:rFonts w:hint="eastAsia"/>
          <w:color w:val="EE0000"/>
          <w:lang w:eastAsia="zh-CN"/>
        </w:rPr>
        <w:t>o</w:t>
      </w:r>
      <w:r w:rsidRPr="009F7D94">
        <w:rPr>
          <w:color w:val="EE0000"/>
          <w:lang w:eastAsia="zh-CN"/>
        </w:rPr>
        <w:t xml:space="preserve">utlier </w:t>
      </w:r>
      <w:r w:rsidRPr="009F7D94">
        <w:rPr>
          <w:rFonts w:hint="eastAsia"/>
          <w:color w:val="EE0000"/>
          <w:lang w:eastAsia="zh-CN"/>
        </w:rPr>
        <w:t>d</w:t>
      </w:r>
      <w:r w:rsidRPr="009F7D94">
        <w:rPr>
          <w:color w:val="EE0000"/>
          <w:lang w:eastAsia="zh-CN"/>
        </w:rPr>
        <w:t xml:space="preserve">etection of </w:t>
      </w:r>
      <w:r w:rsidRPr="009F7D94">
        <w:rPr>
          <w:rFonts w:hint="eastAsia"/>
          <w:color w:val="EE0000"/>
          <w:lang w:eastAsia="zh-CN"/>
        </w:rPr>
        <w:t>b</w:t>
      </w:r>
      <w:r w:rsidRPr="009F7D94">
        <w:rPr>
          <w:color w:val="EE0000"/>
          <w:lang w:eastAsia="zh-CN"/>
        </w:rPr>
        <w:t xml:space="preserve">lended </w:t>
      </w:r>
      <w:r w:rsidRPr="009F7D94">
        <w:rPr>
          <w:rFonts w:hint="eastAsia"/>
          <w:color w:val="EE0000"/>
          <w:lang w:eastAsia="zh-CN"/>
        </w:rPr>
        <w:t>l</w:t>
      </w:r>
      <w:r w:rsidRPr="009F7D94">
        <w:rPr>
          <w:color w:val="EE0000"/>
          <w:lang w:eastAsia="zh-CN"/>
        </w:rPr>
        <w:t xml:space="preserve">earning </w:t>
      </w:r>
      <w:r w:rsidRPr="009F7D94">
        <w:rPr>
          <w:rFonts w:hint="eastAsia"/>
          <w:color w:val="EE0000"/>
          <w:lang w:eastAsia="zh-CN"/>
        </w:rPr>
        <w:t>d</w:t>
      </w:r>
      <w:r w:rsidRPr="009F7D94">
        <w:rPr>
          <w:color w:val="EE0000"/>
          <w:lang w:eastAsia="zh-CN"/>
        </w:rPr>
        <w:t>ata</w:t>
      </w:r>
      <w:r w:rsidRPr="009F7D94">
        <w:rPr>
          <w:rFonts w:hint="eastAsia"/>
          <w:color w:val="EE0000"/>
          <w:lang w:eastAsia="zh-CN"/>
        </w:rPr>
        <w:t xml:space="preserve">. </w:t>
      </w:r>
      <w:r w:rsidRPr="009F7D94">
        <w:rPr>
          <w:color w:val="EE0000"/>
          <w:lang w:eastAsia="zh-CN"/>
        </w:rPr>
        <w:t>Applied Sciences-Basel</w:t>
      </w:r>
      <w:r w:rsidRPr="009F7D94">
        <w:rPr>
          <w:rFonts w:hint="eastAsia"/>
          <w:color w:val="EE0000"/>
          <w:lang w:eastAsia="zh-CN"/>
        </w:rPr>
        <w:t xml:space="preserve">, 15(12), </w:t>
      </w:r>
      <w:r w:rsidRPr="009F7D94">
        <w:rPr>
          <w:color w:val="EE0000"/>
          <w:lang w:eastAsia="zh-CN"/>
        </w:rPr>
        <w:t>6644</w:t>
      </w:r>
      <w:r w:rsidRPr="009F7D94">
        <w:rPr>
          <w:rFonts w:hint="eastAsia"/>
          <w:color w:val="EE0000"/>
          <w:lang w:eastAsia="zh-CN"/>
        </w:rPr>
        <w:t>.</w:t>
      </w:r>
    </w:p>
    <w:p w14:paraId="5C02CBD1" w14:textId="77777777" w:rsidR="009F7D94" w:rsidRDefault="009F7D94">
      <w:pPr>
        <w:pStyle w:val="Body"/>
        <w:spacing w:after="0"/>
        <w:rPr>
          <w:lang w:eastAsia="zh-CN"/>
        </w:rPr>
      </w:pPr>
    </w:p>
    <w:p w14:paraId="20F078B8" w14:textId="4E2CE073" w:rsidR="0079234B" w:rsidRPr="003D12CD" w:rsidRDefault="0079234B" w:rsidP="001E3F4A">
      <w:pPr>
        <w:pStyle w:val="Body"/>
        <w:numPr>
          <w:ilvl w:val="0"/>
          <w:numId w:val="2"/>
        </w:numPr>
        <w:spacing w:after="0"/>
        <w:rPr>
          <w:color w:val="EE0000"/>
          <w:lang w:eastAsia="zh-CN"/>
        </w:rPr>
      </w:pPr>
      <w:r w:rsidRPr="003D12CD">
        <w:rPr>
          <w:color w:val="EE0000"/>
          <w:lang w:eastAsia="zh-CN"/>
        </w:rPr>
        <w:t>Price, E</w:t>
      </w:r>
      <w:r w:rsidRPr="003D12CD">
        <w:rPr>
          <w:rFonts w:hint="eastAsia"/>
          <w:color w:val="EE0000"/>
          <w:lang w:eastAsia="zh-CN"/>
        </w:rPr>
        <w:t>., &amp;</w:t>
      </w:r>
      <w:r w:rsidRPr="003D12CD">
        <w:rPr>
          <w:color w:val="EE0000"/>
          <w:lang w:eastAsia="zh-CN"/>
        </w:rPr>
        <w:t xml:space="preserve"> Winchester, T</w:t>
      </w:r>
      <w:r w:rsidRPr="003D12CD">
        <w:rPr>
          <w:rFonts w:hint="eastAsia"/>
          <w:color w:val="EE0000"/>
          <w:lang w:eastAsia="zh-CN"/>
        </w:rPr>
        <w:t xml:space="preserve">. (2025). </w:t>
      </w:r>
      <w:r w:rsidRPr="003D12CD">
        <w:rPr>
          <w:color w:val="EE0000"/>
          <w:lang w:eastAsia="zh-CN"/>
        </w:rPr>
        <w:t>Designing for diversity: a scoping review of equity in higher education's blended learning practices</w:t>
      </w:r>
      <w:r w:rsidRPr="003D12CD">
        <w:rPr>
          <w:rFonts w:hint="eastAsia"/>
          <w:color w:val="EE0000"/>
          <w:lang w:eastAsia="zh-CN"/>
        </w:rPr>
        <w:t xml:space="preserve">. </w:t>
      </w:r>
      <w:r w:rsidRPr="003D12CD">
        <w:rPr>
          <w:color w:val="EE0000"/>
          <w:lang w:eastAsia="zh-CN"/>
        </w:rPr>
        <w:t>Australian Educational Researcher</w:t>
      </w:r>
      <w:r w:rsidRPr="003D12CD">
        <w:rPr>
          <w:rFonts w:hint="eastAsia"/>
          <w:color w:val="EE0000"/>
          <w:lang w:eastAsia="zh-CN"/>
        </w:rPr>
        <w:t xml:space="preserve">, </w:t>
      </w:r>
      <w:r w:rsidR="003D12CD" w:rsidRPr="003D12CD">
        <w:rPr>
          <w:color w:val="EE0000"/>
          <w:lang w:eastAsia="zh-CN"/>
        </w:rPr>
        <w:t>52(5),3465-3483</w:t>
      </w:r>
      <w:r w:rsidR="003D12CD" w:rsidRPr="003D12CD">
        <w:rPr>
          <w:rFonts w:hint="eastAsia"/>
          <w:color w:val="EE0000"/>
          <w:lang w:eastAsia="zh-CN"/>
        </w:rPr>
        <w:t>.</w:t>
      </w:r>
    </w:p>
    <w:p w14:paraId="61E371AE" w14:textId="77777777" w:rsidR="0079234B" w:rsidRDefault="0079234B">
      <w:pPr>
        <w:pStyle w:val="Body"/>
        <w:spacing w:after="0"/>
        <w:rPr>
          <w:lang w:eastAsia="zh-CN"/>
        </w:rPr>
      </w:pPr>
    </w:p>
    <w:p w14:paraId="4DE7BBF4" w14:textId="77777777" w:rsidR="00B546DA" w:rsidRDefault="00976ABB" w:rsidP="001E3F4A">
      <w:pPr>
        <w:pStyle w:val="Body"/>
        <w:numPr>
          <w:ilvl w:val="0"/>
          <w:numId w:val="2"/>
        </w:numPr>
        <w:spacing w:after="0"/>
        <w:rPr>
          <w:lang w:eastAsia="zh-CN"/>
        </w:rPr>
      </w:pPr>
      <w:r>
        <w:rPr>
          <w:lang w:eastAsia="zh-CN"/>
        </w:rPr>
        <w:t>Srivastava</w:t>
      </w:r>
      <w:r>
        <w:rPr>
          <w:rFonts w:hint="eastAsia"/>
          <w:lang w:eastAsia="zh-CN"/>
        </w:rPr>
        <w:t>,</w:t>
      </w:r>
      <w:r>
        <w:rPr>
          <w:lang w:eastAsia="zh-CN"/>
        </w:rPr>
        <w:t xml:space="preserve"> K</w:t>
      </w:r>
      <w:r>
        <w:rPr>
          <w:rFonts w:hint="eastAsia"/>
          <w:lang w:eastAsia="zh-CN"/>
        </w:rPr>
        <w:t>.</w:t>
      </w:r>
      <w:r>
        <w:rPr>
          <w:lang w:eastAsia="zh-CN"/>
        </w:rPr>
        <w:t xml:space="preserve"> S</w:t>
      </w:r>
      <w:r>
        <w:rPr>
          <w:rFonts w:hint="eastAsia"/>
          <w:lang w:eastAsia="zh-CN"/>
        </w:rPr>
        <w:t xml:space="preserve">., &amp; </w:t>
      </w:r>
      <w:r>
        <w:rPr>
          <w:lang w:eastAsia="zh-CN"/>
        </w:rPr>
        <w:t>Scott</w:t>
      </w:r>
      <w:r>
        <w:rPr>
          <w:rFonts w:hint="eastAsia"/>
          <w:lang w:eastAsia="zh-CN"/>
        </w:rPr>
        <w:t>,</w:t>
      </w:r>
      <w:r>
        <w:rPr>
          <w:lang w:eastAsia="zh-CN"/>
        </w:rPr>
        <w:t xml:space="preserve"> G.</w:t>
      </w:r>
      <w:r>
        <w:rPr>
          <w:rFonts w:hint="eastAsia"/>
          <w:lang w:eastAsia="zh-CN"/>
        </w:rPr>
        <w:t xml:space="preserve"> (2026). </w:t>
      </w:r>
      <w:r>
        <w:rPr>
          <w:lang w:eastAsia="zh-CN"/>
        </w:rPr>
        <w:t>Effect of hybrid teaching approaches on students’ learning and engagement with key geographic information science content knowledge.</w:t>
      </w:r>
      <w:r>
        <w:rPr>
          <w:rFonts w:hint="eastAsia"/>
          <w:lang w:eastAsia="zh-CN"/>
        </w:rPr>
        <w:t xml:space="preserve"> </w:t>
      </w:r>
      <w:r>
        <w:rPr>
          <w:lang w:eastAsia="zh-CN"/>
        </w:rPr>
        <w:t>Journal of Geography in Higher Education</w:t>
      </w:r>
      <w:r>
        <w:rPr>
          <w:rFonts w:hint="eastAsia"/>
          <w:lang w:eastAsia="zh-CN"/>
        </w:rPr>
        <w:t>,</w:t>
      </w:r>
      <w:r>
        <w:rPr>
          <w:lang w:eastAsia="zh-CN"/>
        </w:rPr>
        <w:t xml:space="preserve"> 50(1)</w:t>
      </w:r>
      <w:r>
        <w:rPr>
          <w:rFonts w:hint="eastAsia"/>
          <w:lang w:eastAsia="zh-CN"/>
        </w:rPr>
        <w:t>,</w:t>
      </w:r>
      <w:r>
        <w:rPr>
          <w:lang w:eastAsia="zh-CN"/>
        </w:rPr>
        <w:t>133-151</w:t>
      </w:r>
      <w:r>
        <w:rPr>
          <w:rFonts w:hint="eastAsia"/>
          <w:lang w:eastAsia="zh-CN"/>
        </w:rPr>
        <w:t>.</w:t>
      </w:r>
    </w:p>
    <w:p w14:paraId="4E225E93" w14:textId="77777777" w:rsidR="00B546DA" w:rsidRDefault="00B546DA">
      <w:pPr>
        <w:pStyle w:val="Body"/>
        <w:spacing w:after="0"/>
        <w:rPr>
          <w:lang w:eastAsia="zh-CN"/>
        </w:rPr>
      </w:pPr>
    </w:p>
    <w:p w14:paraId="26AA7081" w14:textId="474836EC" w:rsidR="009F7D94" w:rsidRPr="009F7D94" w:rsidRDefault="009F7D94" w:rsidP="001E3F4A">
      <w:pPr>
        <w:pStyle w:val="Body"/>
        <w:numPr>
          <w:ilvl w:val="0"/>
          <w:numId w:val="2"/>
        </w:numPr>
        <w:spacing w:after="0"/>
        <w:rPr>
          <w:color w:val="EE0000"/>
          <w:lang w:eastAsia="zh-CN"/>
        </w:rPr>
      </w:pPr>
      <w:r w:rsidRPr="009F7D94">
        <w:rPr>
          <w:color w:val="EE0000"/>
          <w:lang w:eastAsia="zh-CN"/>
        </w:rPr>
        <w:t>Tong, D</w:t>
      </w:r>
      <w:r w:rsidRPr="009F7D94">
        <w:rPr>
          <w:rFonts w:hint="eastAsia"/>
          <w:color w:val="EE0000"/>
          <w:lang w:eastAsia="zh-CN"/>
        </w:rPr>
        <w:t xml:space="preserve">. </w:t>
      </w:r>
      <w:r w:rsidRPr="009F7D94">
        <w:rPr>
          <w:color w:val="EE0000"/>
          <w:lang w:eastAsia="zh-CN"/>
        </w:rPr>
        <w:t>H</w:t>
      </w:r>
      <w:r w:rsidRPr="009F7D94">
        <w:rPr>
          <w:rFonts w:hint="eastAsia"/>
          <w:color w:val="EE0000"/>
          <w:lang w:eastAsia="zh-CN"/>
        </w:rPr>
        <w:t>.,</w:t>
      </w:r>
      <w:r w:rsidRPr="009F7D94">
        <w:rPr>
          <w:color w:val="EE0000"/>
          <w:lang w:eastAsia="zh-CN"/>
        </w:rPr>
        <w:t xml:space="preserve"> Uyen, B</w:t>
      </w:r>
      <w:r w:rsidRPr="009F7D94">
        <w:rPr>
          <w:rFonts w:hint="eastAsia"/>
          <w:color w:val="EE0000"/>
          <w:lang w:eastAsia="zh-CN"/>
        </w:rPr>
        <w:t xml:space="preserve">. </w:t>
      </w:r>
      <w:r w:rsidRPr="009F7D94">
        <w:rPr>
          <w:color w:val="EE0000"/>
          <w:lang w:eastAsia="zh-CN"/>
        </w:rPr>
        <w:t>P</w:t>
      </w:r>
      <w:r w:rsidRPr="009F7D94">
        <w:rPr>
          <w:rFonts w:hint="eastAsia"/>
          <w:color w:val="EE0000"/>
          <w:lang w:eastAsia="zh-CN"/>
        </w:rPr>
        <w:t>.,</w:t>
      </w:r>
      <w:r w:rsidRPr="009F7D94">
        <w:rPr>
          <w:color w:val="EE0000"/>
          <w:lang w:eastAsia="zh-CN"/>
        </w:rPr>
        <w:t xml:space="preserve"> </w:t>
      </w:r>
      <w:r>
        <w:rPr>
          <w:rFonts w:hint="eastAsia"/>
          <w:color w:val="EE0000"/>
          <w:lang w:eastAsia="zh-CN"/>
        </w:rPr>
        <w:t xml:space="preserve">&amp; </w:t>
      </w:r>
      <w:r w:rsidRPr="009F7D94">
        <w:rPr>
          <w:color w:val="EE0000"/>
          <w:lang w:eastAsia="zh-CN"/>
        </w:rPr>
        <w:t>Ngan, L</w:t>
      </w:r>
      <w:r w:rsidRPr="009F7D94">
        <w:rPr>
          <w:rFonts w:hint="eastAsia"/>
          <w:color w:val="EE0000"/>
          <w:lang w:eastAsia="zh-CN"/>
        </w:rPr>
        <w:t xml:space="preserve">. </w:t>
      </w:r>
      <w:r w:rsidRPr="009F7D94">
        <w:rPr>
          <w:color w:val="EE0000"/>
          <w:lang w:eastAsia="zh-CN"/>
        </w:rPr>
        <w:t>K</w:t>
      </w:r>
      <w:r w:rsidRPr="009F7D94">
        <w:rPr>
          <w:rFonts w:hint="eastAsia"/>
          <w:color w:val="EE0000"/>
          <w:lang w:eastAsia="zh-CN"/>
        </w:rPr>
        <w:t xml:space="preserve">. (2023). </w:t>
      </w:r>
      <w:r w:rsidRPr="009F7D94">
        <w:rPr>
          <w:color w:val="EE0000"/>
          <w:lang w:eastAsia="zh-CN"/>
        </w:rPr>
        <w:t>The application of blended learning in mathematics teacher education: Protocol for a systematic review</w:t>
      </w:r>
      <w:r w:rsidRPr="009F7D94">
        <w:rPr>
          <w:rFonts w:hint="eastAsia"/>
          <w:color w:val="EE0000"/>
          <w:lang w:eastAsia="zh-CN"/>
        </w:rPr>
        <w:t xml:space="preserve">. </w:t>
      </w:r>
      <w:proofErr w:type="spellStart"/>
      <w:r w:rsidRPr="009F7D94">
        <w:rPr>
          <w:rFonts w:hint="eastAsia"/>
          <w:color w:val="EE0000"/>
          <w:lang w:eastAsia="zh-CN"/>
        </w:rPr>
        <w:t>Plos</w:t>
      </w:r>
      <w:proofErr w:type="spellEnd"/>
      <w:r w:rsidRPr="009F7D94">
        <w:rPr>
          <w:rFonts w:hint="eastAsia"/>
          <w:color w:val="EE0000"/>
          <w:lang w:eastAsia="zh-CN"/>
        </w:rPr>
        <w:t xml:space="preserve"> One, 18(9), </w:t>
      </w:r>
      <w:r w:rsidRPr="009F7D94">
        <w:rPr>
          <w:color w:val="EE0000"/>
          <w:lang w:eastAsia="zh-CN"/>
        </w:rPr>
        <w:t>e0292244</w:t>
      </w:r>
      <w:r w:rsidRPr="009F7D94">
        <w:rPr>
          <w:rFonts w:hint="eastAsia"/>
          <w:color w:val="EE0000"/>
          <w:lang w:eastAsia="zh-CN"/>
        </w:rPr>
        <w:t>.</w:t>
      </w:r>
    </w:p>
    <w:p w14:paraId="790CA0A7" w14:textId="77777777" w:rsidR="009F7D94" w:rsidRDefault="009F7D94">
      <w:pPr>
        <w:pStyle w:val="Body"/>
        <w:spacing w:after="0"/>
        <w:rPr>
          <w:lang w:eastAsia="zh-CN"/>
        </w:rPr>
      </w:pPr>
    </w:p>
    <w:p w14:paraId="552347B4" w14:textId="4582B382" w:rsidR="009F7D94" w:rsidRPr="00FA423A" w:rsidRDefault="00FA423A" w:rsidP="001E3F4A">
      <w:pPr>
        <w:pStyle w:val="Body"/>
        <w:numPr>
          <w:ilvl w:val="0"/>
          <w:numId w:val="2"/>
        </w:numPr>
        <w:spacing w:after="0"/>
        <w:rPr>
          <w:color w:val="EE0000"/>
          <w:lang w:eastAsia="zh-CN"/>
        </w:rPr>
      </w:pPr>
      <w:r w:rsidRPr="00FA423A">
        <w:rPr>
          <w:color w:val="EE0000"/>
          <w:lang w:eastAsia="zh-CN"/>
        </w:rPr>
        <w:t>Tytler, R., Anderson, J., &amp; Williams, G. (2023). Exploring a framework for integrated STEM: Challenges and benefits for promoting engagement in learning mathematics. ZDM–mathematics education, 55(7), 1299-1313.</w:t>
      </w:r>
    </w:p>
    <w:p w14:paraId="17D27EB9" w14:textId="77777777" w:rsidR="00FA423A" w:rsidRDefault="00FA423A">
      <w:pPr>
        <w:pStyle w:val="Body"/>
        <w:spacing w:after="0"/>
        <w:rPr>
          <w:lang w:eastAsia="zh-CN"/>
        </w:rPr>
      </w:pPr>
    </w:p>
    <w:p w14:paraId="5545CD53" w14:textId="01C64B30" w:rsidR="002C2973" w:rsidRPr="002C2973" w:rsidRDefault="002C2973" w:rsidP="001E3F4A">
      <w:pPr>
        <w:pStyle w:val="Body"/>
        <w:numPr>
          <w:ilvl w:val="0"/>
          <w:numId w:val="2"/>
        </w:numPr>
        <w:spacing w:after="0"/>
        <w:rPr>
          <w:color w:val="EE0000"/>
          <w:lang w:eastAsia="zh-CN"/>
        </w:rPr>
      </w:pPr>
      <w:r w:rsidRPr="002C2973">
        <w:rPr>
          <w:color w:val="EE0000"/>
          <w:lang w:eastAsia="zh-CN"/>
        </w:rPr>
        <w:t>Wang, X</w:t>
      </w:r>
      <w:r w:rsidRPr="002C2973">
        <w:rPr>
          <w:rFonts w:hint="eastAsia"/>
          <w:color w:val="EE0000"/>
          <w:lang w:eastAsia="zh-CN"/>
        </w:rPr>
        <w:t xml:space="preserve">. </w:t>
      </w:r>
      <w:r w:rsidRPr="002C2973">
        <w:rPr>
          <w:color w:val="EE0000"/>
          <w:lang w:eastAsia="zh-CN"/>
        </w:rPr>
        <w:t>H</w:t>
      </w:r>
      <w:r w:rsidRPr="002C2973">
        <w:rPr>
          <w:rFonts w:hint="eastAsia"/>
          <w:color w:val="EE0000"/>
          <w:lang w:eastAsia="zh-CN"/>
        </w:rPr>
        <w:t>.,</w:t>
      </w:r>
      <w:r w:rsidRPr="002C2973">
        <w:rPr>
          <w:color w:val="EE0000"/>
          <w:lang w:eastAsia="zh-CN"/>
        </w:rPr>
        <w:t xml:space="preserve"> Li, T</w:t>
      </w:r>
      <w:r w:rsidRPr="002C2973">
        <w:rPr>
          <w:rFonts w:hint="eastAsia"/>
          <w:color w:val="EE0000"/>
          <w:lang w:eastAsia="zh-CN"/>
        </w:rPr>
        <w:t xml:space="preserve">. </w:t>
      </w:r>
      <w:r w:rsidRPr="002C2973">
        <w:rPr>
          <w:color w:val="EE0000"/>
          <w:lang w:eastAsia="zh-CN"/>
        </w:rPr>
        <w:t>T</w:t>
      </w:r>
      <w:r w:rsidRPr="002C2973">
        <w:rPr>
          <w:rFonts w:hint="eastAsia"/>
          <w:color w:val="EE0000"/>
          <w:lang w:eastAsia="zh-CN"/>
        </w:rPr>
        <w:t>.,</w:t>
      </w:r>
      <w:r w:rsidRPr="002C2973">
        <w:rPr>
          <w:color w:val="EE0000"/>
          <w:lang w:eastAsia="zh-CN"/>
        </w:rPr>
        <w:t xml:space="preserve"> Zhang, D</w:t>
      </w:r>
      <w:r w:rsidRPr="002C2973">
        <w:rPr>
          <w:rFonts w:hint="eastAsia"/>
          <w:color w:val="EE0000"/>
          <w:lang w:eastAsia="zh-CN"/>
        </w:rPr>
        <w:t xml:space="preserve">. </w:t>
      </w:r>
      <w:r w:rsidRPr="002C2973">
        <w:rPr>
          <w:color w:val="EE0000"/>
          <w:lang w:eastAsia="zh-CN"/>
        </w:rPr>
        <w:t>Z</w:t>
      </w:r>
      <w:r w:rsidRPr="002C2973">
        <w:rPr>
          <w:rFonts w:hint="eastAsia"/>
          <w:color w:val="EE0000"/>
          <w:lang w:eastAsia="zh-CN"/>
        </w:rPr>
        <w:t>.,</w:t>
      </w:r>
      <w:r w:rsidRPr="002C2973">
        <w:rPr>
          <w:color w:val="EE0000"/>
          <w:lang w:eastAsia="zh-CN"/>
        </w:rPr>
        <w:t xml:space="preserve"> Cai, D</w:t>
      </w:r>
      <w:r w:rsidRPr="002C2973">
        <w:rPr>
          <w:rFonts w:hint="eastAsia"/>
          <w:color w:val="EE0000"/>
          <w:lang w:eastAsia="zh-CN"/>
        </w:rPr>
        <w:t xml:space="preserve">. </w:t>
      </w:r>
      <w:r w:rsidRPr="002C2973">
        <w:rPr>
          <w:color w:val="EE0000"/>
          <w:lang w:eastAsia="zh-CN"/>
        </w:rPr>
        <w:t>C</w:t>
      </w:r>
      <w:r w:rsidRPr="002C2973">
        <w:rPr>
          <w:rFonts w:hint="eastAsia"/>
          <w:color w:val="EE0000"/>
          <w:lang w:eastAsia="zh-CN"/>
        </w:rPr>
        <w:t>.,</w:t>
      </w:r>
      <w:r w:rsidRPr="002C2973">
        <w:rPr>
          <w:color w:val="EE0000"/>
          <w:lang w:eastAsia="zh-CN"/>
        </w:rPr>
        <w:t xml:space="preserve"> Li, H</w:t>
      </w:r>
      <w:r w:rsidRPr="002C2973">
        <w:rPr>
          <w:rFonts w:hint="eastAsia"/>
          <w:color w:val="EE0000"/>
          <w:lang w:eastAsia="zh-CN"/>
        </w:rPr>
        <w:t>., &amp;</w:t>
      </w:r>
      <w:r w:rsidRPr="002C2973">
        <w:rPr>
          <w:color w:val="EE0000"/>
          <w:lang w:eastAsia="zh-CN"/>
        </w:rPr>
        <w:t xml:space="preserve"> Zhong, S</w:t>
      </w:r>
      <w:r w:rsidRPr="002C2973">
        <w:rPr>
          <w:rFonts w:hint="eastAsia"/>
          <w:color w:val="EE0000"/>
          <w:lang w:eastAsia="zh-CN"/>
        </w:rPr>
        <w:t xml:space="preserve">. (2025). </w:t>
      </w:r>
      <w:r w:rsidRPr="002C2973">
        <w:rPr>
          <w:color w:val="EE0000"/>
          <w:lang w:eastAsia="zh-CN"/>
        </w:rPr>
        <w:t>SPOC (Small Private Online Course)-infused flipped classroom: a promising approach to address knowledge lag and practice gaps in infectious diseases teaching</w:t>
      </w:r>
      <w:r w:rsidRPr="002C2973">
        <w:rPr>
          <w:rFonts w:hint="eastAsia"/>
          <w:color w:val="EE0000"/>
          <w:lang w:eastAsia="zh-CN"/>
        </w:rPr>
        <w:t xml:space="preserve">. </w:t>
      </w:r>
      <w:r w:rsidRPr="002C2973">
        <w:rPr>
          <w:color w:val="EE0000"/>
          <w:lang w:eastAsia="zh-CN"/>
        </w:rPr>
        <w:t>Frontiers in Medicine</w:t>
      </w:r>
      <w:r w:rsidRPr="002C2973">
        <w:rPr>
          <w:rFonts w:hint="eastAsia"/>
          <w:color w:val="EE0000"/>
          <w:lang w:eastAsia="zh-CN"/>
        </w:rPr>
        <w:t xml:space="preserve">, 12, </w:t>
      </w:r>
      <w:r w:rsidRPr="002C2973">
        <w:rPr>
          <w:color w:val="EE0000"/>
          <w:lang w:eastAsia="zh-CN"/>
        </w:rPr>
        <w:t>1702681</w:t>
      </w:r>
      <w:r w:rsidRPr="002C2973">
        <w:rPr>
          <w:rFonts w:hint="eastAsia"/>
          <w:color w:val="EE0000"/>
          <w:lang w:eastAsia="zh-CN"/>
        </w:rPr>
        <w:t>.</w:t>
      </w:r>
    </w:p>
    <w:p w14:paraId="253C867B" w14:textId="77777777" w:rsidR="002C2973" w:rsidRDefault="002C2973">
      <w:pPr>
        <w:pStyle w:val="Body"/>
        <w:spacing w:after="0"/>
        <w:rPr>
          <w:lang w:eastAsia="zh-CN"/>
        </w:rPr>
      </w:pPr>
    </w:p>
    <w:p w14:paraId="17930C90" w14:textId="77777777" w:rsidR="00B546DA" w:rsidRDefault="00976ABB" w:rsidP="001E3F4A">
      <w:pPr>
        <w:pStyle w:val="Body"/>
        <w:numPr>
          <w:ilvl w:val="0"/>
          <w:numId w:val="2"/>
        </w:numPr>
        <w:spacing w:after="0"/>
        <w:rPr>
          <w:lang w:eastAsia="zh-CN"/>
        </w:rPr>
      </w:pPr>
      <w:r>
        <w:rPr>
          <w:lang w:eastAsia="zh-CN"/>
        </w:rPr>
        <w:t>Xu M.</w:t>
      </w:r>
      <w:r>
        <w:rPr>
          <w:rFonts w:hint="eastAsia"/>
          <w:lang w:eastAsia="zh-CN"/>
        </w:rPr>
        <w:t xml:space="preserve"> (2024). </w:t>
      </w:r>
      <w:r>
        <w:rPr>
          <w:lang w:eastAsia="zh-CN"/>
        </w:rPr>
        <w:t xml:space="preserve">The Construction of Online-Offline </w:t>
      </w:r>
      <w:r>
        <w:rPr>
          <w:rFonts w:hint="eastAsia"/>
          <w:lang w:eastAsia="zh-CN"/>
        </w:rPr>
        <w:t>b</w:t>
      </w:r>
      <w:r>
        <w:rPr>
          <w:lang w:eastAsia="zh-CN"/>
        </w:rPr>
        <w:t xml:space="preserve">lended </w:t>
      </w:r>
      <w:r>
        <w:rPr>
          <w:rFonts w:hint="eastAsia"/>
          <w:lang w:eastAsia="zh-CN"/>
        </w:rPr>
        <w:t>t</w:t>
      </w:r>
      <w:r>
        <w:rPr>
          <w:lang w:eastAsia="zh-CN"/>
        </w:rPr>
        <w:t xml:space="preserve">eaching </w:t>
      </w:r>
      <w:r>
        <w:rPr>
          <w:rFonts w:hint="eastAsia"/>
          <w:lang w:eastAsia="zh-CN"/>
        </w:rPr>
        <w:t>m</w:t>
      </w:r>
      <w:r>
        <w:rPr>
          <w:lang w:eastAsia="zh-CN"/>
        </w:rPr>
        <w:t xml:space="preserve">ode of </w:t>
      </w:r>
      <w:r>
        <w:rPr>
          <w:rFonts w:hint="eastAsia"/>
          <w:lang w:eastAsia="zh-CN"/>
        </w:rPr>
        <w:t>p</w:t>
      </w:r>
      <w:r>
        <w:rPr>
          <w:lang w:eastAsia="zh-CN"/>
        </w:rPr>
        <w:t xml:space="preserve">rofessional English </w:t>
      </w:r>
      <w:r>
        <w:rPr>
          <w:rFonts w:hint="eastAsia"/>
          <w:lang w:eastAsia="zh-CN"/>
        </w:rPr>
        <w:t>b</w:t>
      </w:r>
      <w:r>
        <w:rPr>
          <w:lang w:eastAsia="zh-CN"/>
        </w:rPr>
        <w:t xml:space="preserve">ased on Java </w:t>
      </w:r>
      <w:r>
        <w:rPr>
          <w:rFonts w:hint="eastAsia"/>
          <w:lang w:eastAsia="zh-CN"/>
        </w:rPr>
        <w:t>w</w:t>
      </w:r>
      <w:r>
        <w:rPr>
          <w:lang w:eastAsia="zh-CN"/>
        </w:rPr>
        <w:t>eb.</w:t>
      </w:r>
      <w:r>
        <w:rPr>
          <w:rFonts w:hint="eastAsia"/>
          <w:lang w:eastAsia="zh-CN"/>
        </w:rPr>
        <w:t xml:space="preserve"> </w:t>
      </w:r>
      <w:r>
        <w:rPr>
          <w:lang w:eastAsia="zh-CN"/>
        </w:rPr>
        <w:t>Applied Mathematics and Nonlinear Sciences,</w:t>
      </w:r>
      <w:r>
        <w:rPr>
          <w:rFonts w:hint="eastAsia"/>
          <w:lang w:eastAsia="zh-CN"/>
        </w:rPr>
        <w:t xml:space="preserve"> </w:t>
      </w:r>
      <w:r>
        <w:rPr>
          <w:lang w:eastAsia="zh-CN"/>
        </w:rPr>
        <w:t>9(1)</w:t>
      </w:r>
      <w:r>
        <w:rPr>
          <w:rFonts w:hint="eastAsia"/>
          <w:lang w:eastAsia="zh-CN"/>
        </w:rPr>
        <w:t xml:space="preserve">, </w:t>
      </w:r>
      <w:r>
        <w:rPr>
          <w:lang w:eastAsia="zh-CN"/>
        </w:rPr>
        <w:t>(In press).</w:t>
      </w:r>
    </w:p>
    <w:p w14:paraId="7F55BE02" w14:textId="77777777" w:rsidR="00B546DA" w:rsidRDefault="00B546DA">
      <w:pPr>
        <w:pStyle w:val="Body"/>
        <w:spacing w:after="0"/>
        <w:rPr>
          <w:lang w:eastAsia="zh-CN"/>
        </w:rPr>
      </w:pPr>
    </w:p>
    <w:p w14:paraId="176760CB" w14:textId="77777777" w:rsidR="00B546DA" w:rsidRDefault="00976ABB" w:rsidP="001E3F4A">
      <w:pPr>
        <w:pStyle w:val="Body"/>
        <w:numPr>
          <w:ilvl w:val="0"/>
          <w:numId w:val="2"/>
        </w:numPr>
        <w:spacing w:after="0"/>
        <w:rPr>
          <w:lang w:eastAsia="zh-CN"/>
        </w:rPr>
      </w:pPr>
      <w:r>
        <w:rPr>
          <w:lang w:eastAsia="zh-CN"/>
        </w:rPr>
        <w:t>Yang</w:t>
      </w:r>
      <w:r>
        <w:rPr>
          <w:rFonts w:hint="eastAsia"/>
          <w:lang w:eastAsia="zh-CN"/>
        </w:rPr>
        <w:t>,</w:t>
      </w:r>
      <w:r>
        <w:rPr>
          <w:lang w:eastAsia="zh-CN"/>
        </w:rPr>
        <w:t xml:space="preserve"> X.</w:t>
      </w:r>
      <w:r>
        <w:rPr>
          <w:rFonts w:hint="eastAsia"/>
          <w:lang w:eastAsia="zh-CN"/>
        </w:rPr>
        <w:t xml:space="preserve"> (2026). </w:t>
      </w:r>
      <w:r>
        <w:rPr>
          <w:lang w:eastAsia="zh-CN"/>
        </w:rPr>
        <w:t xml:space="preserve">Research on the </w:t>
      </w:r>
      <w:r>
        <w:rPr>
          <w:rFonts w:hint="eastAsia"/>
          <w:lang w:eastAsia="zh-CN"/>
        </w:rPr>
        <w:t>p</w:t>
      </w:r>
      <w:r>
        <w:rPr>
          <w:lang w:eastAsia="zh-CN"/>
        </w:rPr>
        <w:t xml:space="preserve">ath to </w:t>
      </w:r>
      <w:r>
        <w:rPr>
          <w:rFonts w:hint="eastAsia"/>
          <w:lang w:eastAsia="zh-CN"/>
        </w:rPr>
        <w:t>e</w:t>
      </w:r>
      <w:r>
        <w:rPr>
          <w:lang w:eastAsia="zh-CN"/>
        </w:rPr>
        <w:t xml:space="preserve">nhance </w:t>
      </w:r>
      <w:r>
        <w:rPr>
          <w:rFonts w:hint="eastAsia"/>
          <w:lang w:eastAsia="zh-CN"/>
        </w:rPr>
        <w:t>c</w:t>
      </w:r>
      <w:r>
        <w:rPr>
          <w:lang w:eastAsia="zh-CN"/>
        </w:rPr>
        <w:t xml:space="preserve">ollege </w:t>
      </w:r>
      <w:r>
        <w:rPr>
          <w:rFonts w:hint="eastAsia"/>
          <w:lang w:eastAsia="zh-CN"/>
        </w:rPr>
        <w:t>s</w:t>
      </w:r>
      <w:r>
        <w:rPr>
          <w:lang w:eastAsia="zh-CN"/>
        </w:rPr>
        <w:t xml:space="preserve">tudents' </w:t>
      </w:r>
      <w:r>
        <w:rPr>
          <w:rFonts w:hint="eastAsia"/>
          <w:lang w:eastAsia="zh-CN"/>
        </w:rPr>
        <w:t>d</w:t>
      </w:r>
      <w:r>
        <w:rPr>
          <w:lang w:eastAsia="zh-CN"/>
        </w:rPr>
        <w:t xml:space="preserve">eep </w:t>
      </w:r>
      <w:r>
        <w:rPr>
          <w:rFonts w:hint="eastAsia"/>
          <w:lang w:eastAsia="zh-CN"/>
        </w:rPr>
        <w:t>l</w:t>
      </w:r>
      <w:r>
        <w:rPr>
          <w:lang w:eastAsia="zh-CN"/>
        </w:rPr>
        <w:t xml:space="preserve">earning </w:t>
      </w:r>
      <w:r>
        <w:rPr>
          <w:rFonts w:hint="eastAsia"/>
          <w:lang w:eastAsia="zh-CN"/>
        </w:rPr>
        <w:t>a</w:t>
      </w:r>
      <w:r>
        <w:rPr>
          <w:lang w:eastAsia="zh-CN"/>
        </w:rPr>
        <w:t xml:space="preserve">bility in SPOC </w:t>
      </w:r>
      <w:r>
        <w:rPr>
          <w:rFonts w:hint="eastAsia"/>
          <w:lang w:eastAsia="zh-CN"/>
        </w:rPr>
        <w:t>b</w:t>
      </w:r>
      <w:r>
        <w:rPr>
          <w:lang w:eastAsia="zh-CN"/>
        </w:rPr>
        <w:t xml:space="preserve">lended </w:t>
      </w:r>
      <w:r>
        <w:rPr>
          <w:rFonts w:hint="eastAsia"/>
          <w:lang w:eastAsia="zh-CN"/>
        </w:rPr>
        <w:t>l</w:t>
      </w:r>
      <w:r>
        <w:rPr>
          <w:lang w:eastAsia="zh-CN"/>
        </w:rPr>
        <w:t>earning</w:t>
      </w:r>
      <w:r>
        <w:rPr>
          <w:rFonts w:hint="eastAsia"/>
          <w:lang w:eastAsia="zh-CN"/>
        </w:rPr>
        <w:t xml:space="preserve">. </w:t>
      </w:r>
      <w:r>
        <w:rPr>
          <w:lang w:eastAsia="zh-CN"/>
        </w:rPr>
        <w:t>World Journal of Education and Humanities, 8(1</w:t>
      </w:r>
      <w:r>
        <w:rPr>
          <w:rFonts w:hint="eastAsia"/>
          <w:lang w:eastAsia="zh-CN"/>
        </w:rPr>
        <w:t>),</w:t>
      </w:r>
      <w:r>
        <w:rPr>
          <w:lang w:eastAsia="zh-CN"/>
        </w:rPr>
        <w:t xml:space="preserve"> (In press).</w:t>
      </w:r>
    </w:p>
    <w:p w14:paraId="73F90E34" w14:textId="77777777" w:rsidR="00B546DA" w:rsidRDefault="00B546DA">
      <w:pPr>
        <w:pStyle w:val="Body"/>
        <w:spacing w:after="0"/>
        <w:rPr>
          <w:lang w:eastAsia="zh-CN"/>
        </w:rPr>
      </w:pPr>
    </w:p>
    <w:p w14:paraId="0819F9FD" w14:textId="5E73DB16" w:rsidR="0079234B" w:rsidRPr="009F7D94" w:rsidRDefault="0079234B" w:rsidP="001E3F4A">
      <w:pPr>
        <w:pStyle w:val="Body"/>
        <w:numPr>
          <w:ilvl w:val="0"/>
          <w:numId w:val="2"/>
        </w:numPr>
        <w:spacing w:after="0"/>
        <w:rPr>
          <w:color w:val="EE0000"/>
          <w:lang w:eastAsia="zh-CN"/>
        </w:rPr>
      </w:pPr>
      <w:r w:rsidRPr="009F7D94">
        <w:rPr>
          <w:color w:val="EE0000"/>
          <w:lang w:eastAsia="zh-CN"/>
        </w:rPr>
        <w:t>Zerihun, M. F.</w:t>
      </w:r>
      <w:r w:rsidRPr="009F7D94">
        <w:rPr>
          <w:rFonts w:hint="eastAsia"/>
          <w:color w:val="EE0000"/>
          <w:lang w:eastAsia="zh-CN"/>
        </w:rPr>
        <w:t>,</w:t>
      </w:r>
      <w:r w:rsidRPr="009F7D94">
        <w:rPr>
          <w:color w:val="EE0000"/>
          <w:lang w:eastAsia="zh-CN"/>
        </w:rPr>
        <w:t xml:space="preserve"> </w:t>
      </w:r>
      <w:r w:rsidRPr="009F7D94">
        <w:rPr>
          <w:rFonts w:hint="eastAsia"/>
          <w:color w:val="EE0000"/>
          <w:lang w:eastAsia="zh-CN"/>
        </w:rPr>
        <w:t>&amp;</w:t>
      </w:r>
      <w:r w:rsidRPr="009F7D94">
        <w:rPr>
          <w:color w:val="EE0000"/>
          <w:lang w:eastAsia="zh-CN"/>
        </w:rPr>
        <w:t xml:space="preserve"> Mabaso, D. P.</w:t>
      </w:r>
      <w:r w:rsidRPr="009F7D94">
        <w:rPr>
          <w:rFonts w:hint="eastAsia"/>
          <w:color w:val="EE0000"/>
          <w:lang w:eastAsia="zh-CN"/>
        </w:rPr>
        <w:t xml:space="preserve"> (2025). </w:t>
      </w:r>
      <w:r w:rsidRPr="009F7D94">
        <w:rPr>
          <w:color w:val="EE0000"/>
          <w:lang w:eastAsia="zh-CN"/>
        </w:rPr>
        <w:t>Blended learning amongst higher learning institutions: exploring academic performance indicators and factors</w:t>
      </w:r>
      <w:r w:rsidRPr="009F7D94">
        <w:rPr>
          <w:rFonts w:hint="eastAsia"/>
          <w:color w:val="EE0000"/>
          <w:lang w:eastAsia="zh-CN"/>
        </w:rPr>
        <w:t xml:space="preserve">. </w:t>
      </w:r>
      <w:r w:rsidRPr="009F7D94">
        <w:rPr>
          <w:color w:val="EE0000"/>
          <w:lang w:eastAsia="zh-CN"/>
        </w:rPr>
        <w:t>South African Journal of Higher Education</w:t>
      </w:r>
      <w:r w:rsidRPr="009F7D94">
        <w:rPr>
          <w:rFonts w:hint="eastAsia"/>
          <w:color w:val="EE0000"/>
          <w:lang w:eastAsia="zh-CN"/>
        </w:rPr>
        <w:t>,</w:t>
      </w:r>
      <w:r w:rsidRPr="009F7D94">
        <w:rPr>
          <w:color w:val="EE0000"/>
          <w:lang w:eastAsia="zh-CN"/>
        </w:rPr>
        <w:t xml:space="preserve"> 39(6), 315-337</w:t>
      </w:r>
    </w:p>
    <w:p w14:paraId="684BBFE8" w14:textId="77777777" w:rsidR="00B546DA" w:rsidRDefault="00B546DA">
      <w:pPr>
        <w:pStyle w:val="Body"/>
        <w:spacing w:after="0"/>
        <w:rPr>
          <w:rFonts w:ascii="Arial" w:hAnsi="Arial" w:cs="Arial"/>
        </w:rPr>
      </w:pPr>
    </w:p>
    <w:p w14:paraId="3D0E2802" w14:textId="77777777" w:rsidR="00B546DA" w:rsidRDefault="00B546DA">
      <w:pPr>
        <w:pStyle w:val="Appendix"/>
        <w:spacing w:after="0"/>
        <w:jc w:val="both"/>
        <w:rPr>
          <w:rFonts w:ascii="Arial" w:hAnsi="Arial" w:cs="Arial"/>
          <w:b w:val="0"/>
        </w:rPr>
        <w:sectPr w:rsidR="00B546DA" w:rsidSect="00EA5876">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6321B0D0" w14:textId="77777777" w:rsidR="00B546DA" w:rsidRDefault="00B546DA">
      <w:pPr>
        <w:pStyle w:val="Appendix"/>
        <w:spacing w:after="0"/>
        <w:jc w:val="both"/>
        <w:rPr>
          <w:rFonts w:ascii="Arial" w:hAnsi="Arial" w:cs="Arial"/>
          <w:b w:val="0"/>
          <w:lang w:eastAsia="zh-CN"/>
        </w:rPr>
      </w:pPr>
    </w:p>
    <w:sectPr w:rsidR="00B546DA" w:rsidSect="00EA587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FB2E2" w14:textId="77777777" w:rsidR="00D84A03" w:rsidRDefault="00D84A03">
      <w:r>
        <w:separator/>
      </w:r>
    </w:p>
  </w:endnote>
  <w:endnote w:type="continuationSeparator" w:id="0">
    <w:p w14:paraId="55EC1347" w14:textId="77777777" w:rsidR="00D84A03" w:rsidRDefault="00D84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oogle Sans">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AD8EA" w14:textId="77777777" w:rsidR="00B546DA" w:rsidRDefault="00B546DA">
    <w:pPr>
      <w:pStyle w:val="Footer"/>
      <w:rPr>
        <w:rFonts w:ascii="Arial" w:hAnsi="Arial" w:cs="Arial"/>
        <w:sz w:val="16"/>
      </w:rPr>
    </w:pPr>
  </w:p>
  <w:p w14:paraId="6B204566" w14:textId="77777777" w:rsidR="00B546DA" w:rsidRDefault="00976ABB">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0134354" w14:textId="77777777" w:rsidR="00B546DA" w:rsidRDefault="00B546DA">
    <w:pPr>
      <w:pStyle w:val="Footer"/>
      <w:rPr>
        <w:rFonts w:ascii="Arial" w:hAnsi="Arial" w:cs="Arial"/>
        <w:sz w:val="16"/>
      </w:rPr>
    </w:pPr>
  </w:p>
  <w:p w14:paraId="0E0ACF4D" w14:textId="77777777" w:rsidR="00B546DA" w:rsidRDefault="00976ABB">
    <w:pPr>
      <w:pStyle w:val="Footer"/>
      <w:rPr>
        <w:rFonts w:ascii="Arial" w:hAnsi="Arial" w:cs="Arial"/>
        <w:i/>
        <w:sz w:val="16"/>
      </w:rPr>
    </w:pPr>
    <w:r>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61ABB" w14:textId="77777777" w:rsidR="00B546DA" w:rsidRDefault="00B54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2C9F2" w14:textId="77777777" w:rsidR="00D84A03" w:rsidRDefault="00D84A03">
      <w:r>
        <w:separator/>
      </w:r>
    </w:p>
  </w:footnote>
  <w:footnote w:type="continuationSeparator" w:id="0">
    <w:p w14:paraId="5048940D" w14:textId="77777777" w:rsidR="00D84A03" w:rsidRDefault="00D84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0273B" w14:textId="42B758A5" w:rsidR="00EA5876" w:rsidRDefault="00D84A03">
    <w:pPr>
      <w:pStyle w:val="Header"/>
    </w:pPr>
    <w:r>
      <w:rPr>
        <w:noProof/>
      </w:rPr>
      <w:pict w14:anchorId="33F46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182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D1D0A" w14:textId="71AB0E08" w:rsidR="00EA5876" w:rsidRDefault="00D84A03">
    <w:pPr>
      <w:pStyle w:val="Header"/>
    </w:pPr>
    <w:r>
      <w:rPr>
        <w:noProof/>
      </w:rPr>
      <w:pict w14:anchorId="08FD1F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183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B1202" w14:textId="19510AB8" w:rsidR="00B546DA" w:rsidRDefault="00D84A03">
    <w:pPr>
      <w:ind w:left="2160"/>
      <w:jc w:val="center"/>
      <w:rPr>
        <w:rFonts w:ascii="Times New Roman" w:eastAsia="Calibri" w:hAnsi="Times New Roman"/>
        <w:i/>
        <w:sz w:val="18"/>
        <w:szCs w:val="22"/>
      </w:rPr>
    </w:pPr>
    <w:r>
      <w:rPr>
        <w:noProof/>
      </w:rPr>
      <w:pict w14:anchorId="3ED8A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182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7BEA34E" w14:textId="77777777" w:rsidR="00B546DA" w:rsidRDefault="00976AB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78BB33D" w14:textId="77777777" w:rsidR="00B546DA" w:rsidRDefault="00976ABB">
    <w:pPr>
      <w:jc w:val="center"/>
      <w:rPr>
        <w:rFonts w:ascii="Times New Roman" w:eastAsia="Calibri" w:hAnsi="Times New Roman"/>
        <w:i/>
        <w:sz w:val="18"/>
        <w:szCs w:val="22"/>
      </w:rPr>
    </w:pPr>
    <w:r>
      <w:rPr>
        <w:rFonts w:ascii="Times New Roman" w:eastAsia="Calibri" w:hAnsi="Times New Roman"/>
        <w:i/>
        <w:sz w:val="18"/>
        <w:szCs w:val="22"/>
      </w:rPr>
      <w:t>.</w:t>
    </w:r>
  </w:p>
  <w:p w14:paraId="25680513" w14:textId="77777777" w:rsidR="00B546DA" w:rsidRDefault="00976AB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2297828B" w14:textId="77777777" w:rsidR="00B546DA" w:rsidRDefault="00976AB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2977E3C4" w14:textId="77777777" w:rsidR="00B546DA" w:rsidRDefault="00976AB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769A4CD" w14:textId="77777777" w:rsidR="00B546DA" w:rsidRDefault="00976AB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32B27" w14:textId="4027257F" w:rsidR="00EA5876" w:rsidRDefault="00D84A03">
    <w:pPr>
      <w:pStyle w:val="Header"/>
    </w:pPr>
    <w:r>
      <w:rPr>
        <w:noProof/>
      </w:rPr>
      <w:pict w14:anchorId="5EAA23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183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452C1" w14:textId="23A1839A" w:rsidR="00EA5876" w:rsidRDefault="00D84A03">
    <w:pPr>
      <w:pStyle w:val="Header"/>
    </w:pPr>
    <w:r>
      <w:rPr>
        <w:noProof/>
      </w:rPr>
      <w:pict w14:anchorId="77C6E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183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BD17A" w14:textId="0EABAE6C" w:rsidR="00EA5876" w:rsidRDefault="00D84A03">
    <w:pPr>
      <w:pStyle w:val="Header"/>
    </w:pPr>
    <w:r>
      <w:rPr>
        <w:noProof/>
      </w:rPr>
      <w:pict w14:anchorId="001708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183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F3E49"/>
    <w:multiLevelType w:val="hybridMultilevel"/>
    <w:tmpl w:val="4F781E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1F6"/>
    <w:rsid w:val="0004579C"/>
    <w:rsid w:val="000608A8"/>
    <w:rsid w:val="000A47FA"/>
    <w:rsid w:val="000A65D3"/>
    <w:rsid w:val="000B1E33"/>
    <w:rsid w:val="000D689F"/>
    <w:rsid w:val="000E7B7B"/>
    <w:rsid w:val="000E7D62"/>
    <w:rsid w:val="000F316C"/>
    <w:rsid w:val="00103357"/>
    <w:rsid w:val="00123C9F"/>
    <w:rsid w:val="00126190"/>
    <w:rsid w:val="00130F17"/>
    <w:rsid w:val="001320BF"/>
    <w:rsid w:val="0016280D"/>
    <w:rsid w:val="00163BC4"/>
    <w:rsid w:val="00191062"/>
    <w:rsid w:val="00192B72"/>
    <w:rsid w:val="001A29D8"/>
    <w:rsid w:val="001A5CAA"/>
    <w:rsid w:val="001B0427"/>
    <w:rsid w:val="001D3A51"/>
    <w:rsid w:val="001E10D2"/>
    <w:rsid w:val="001E25B4"/>
    <w:rsid w:val="001E3F4A"/>
    <w:rsid w:val="001E44FE"/>
    <w:rsid w:val="001E67DD"/>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0F41"/>
    <w:rsid w:val="002C2973"/>
    <w:rsid w:val="002C57D2"/>
    <w:rsid w:val="002E0D56"/>
    <w:rsid w:val="00315186"/>
    <w:rsid w:val="0033343E"/>
    <w:rsid w:val="003512C2"/>
    <w:rsid w:val="00371FB6"/>
    <w:rsid w:val="003763C1"/>
    <w:rsid w:val="00376BBE"/>
    <w:rsid w:val="0039224F"/>
    <w:rsid w:val="003A3C78"/>
    <w:rsid w:val="003A43A4"/>
    <w:rsid w:val="003A7E18"/>
    <w:rsid w:val="003B2EC2"/>
    <w:rsid w:val="003C4C86"/>
    <w:rsid w:val="003C6258"/>
    <w:rsid w:val="003D12CD"/>
    <w:rsid w:val="003E2904"/>
    <w:rsid w:val="00401927"/>
    <w:rsid w:val="0041027F"/>
    <w:rsid w:val="00412475"/>
    <w:rsid w:val="00423789"/>
    <w:rsid w:val="0042711E"/>
    <w:rsid w:val="00440F43"/>
    <w:rsid w:val="00441B6F"/>
    <w:rsid w:val="00446221"/>
    <w:rsid w:val="00450E62"/>
    <w:rsid w:val="004539DB"/>
    <w:rsid w:val="00471A80"/>
    <w:rsid w:val="004C6D95"/>
    <w:rsid w:val="004D305E"/>
    <w:rsid w:val="004D4277"/>
    <w:rsid w:val="00502516"/>
    <w:rsid w:val="00505F06"/>
    <w:rsid w:val="00506828"/>
    <w:rsid w:val="0053056E"/>
    <w:rsid w:val="00554FDA"/>
    <w:rsid w:val="00566140"/>
    <w:rsid w:val="005C784C"/>
    <w:rsid w:val="005D17F6"/>
    <w:rsid w:val="005D4C47"/>
    <w:rsid w:val="005D7653"/>
    <w:rsid w:val="005E5539"/>
    <w:rsid w:val="005E7059"/>
    <w:rsid w:val="00602BF5"/>
    <w:rsid w:val="00617FDD"/>
    <w:rsid w:val="00633614"/>
    <w:rsid w:val="00633F68"/>
    <w:rsid w:val="00636EB2"/>
    <w:rsid w:val="006375B8"/>
    <w:rsid w:val="00642F20"/>
    <w:rsid w:val="0066510A"/>
    <w:rsid w:val="00673F9F"/>
    <w:rsid w:val="00686953"/>
    <w:rsid w:val="00687DEA"/>
    <w:rsid w:val="00687E67"/>
    <w:rsid w:val="006967F7"/>
    <w:rsid w:val="006A250C"/>
    <w:rsid w:val="006B21D3"/>
    <w:rsid w:val="006B57D0"/>
    <w:rsid w:val="006D30FF"/>
    <w:rsid w:val="006D6940"/>
    <w:rsid w:val="006F11EC"/>
    <w:rsid w:val="0070082C"/>
    <w:rsid w:val="007021E4"/>
    <w:rsid w:val="00706A73"/>
    <w:rsid w:val="007251A2"/>
    <w:rsid w:val="007369E6"/>
    <w:rsid w:val="0073749F"/>
    <w:rsid w:val="00746E59"/>
    <w:rsid w:val="00754C9A"/>
    <w:rsid w:val="0075599A"/>
    <w:rsid w:val="00761D52"/>
    <w:rsid w:val="0077749E"/>
    <w:rsid w:val="00790ADA"/>
    <w:rsid w:val="0079234B"/>
    <w:rsid w:val="00796B9B"/>
    <w:rsid w:val="007B297C"/>
    <w:rsid w:val="007D2288"/>
    <w:rsid w:val="007E088F"/>
    <w:rsid w:val="007F7B32"/>
    <w:rsid w:val="00804BC2"/>
    <w:rsid w:val="0081431A"/>
    <w:rsid w:val="0083216F"/>
    <w:rsid w:val="008377A8"/>
    <w:rsid w:val="00860000"/>
    <w:rsid w:val="00863BD3"/>
    <w:rsid w:val="008641ED"/>
    <w:rsid w:val="00866D66"/>
    <w:rsid w:val="008671C6"/>
    <w:rsid w:val="00875803"/>
    <w:rsid w:val="008B459E"/>
    <w:rsid w:val="008C78B3"/>
    <w:rsid w:val="008D1559"/>
    <w:rsid w:val="008D3437"/>
    <w:rsid w:val="008E13AE"/>
    <w:rsid w:val="008E1506"/>
    <w:rsid w:val="008E710C"/>
    <w:rsid w:val="008F69D6"/>
    <w:rsid w:val="00902823"/>
    <w:rsid w:val="00915CA6"/>
    <w:rsid w:val="00927834"/>
    <w:rsid w:val="009500A6"/>
    <w:rsid w:val="00957C18"/>
    <w:rsid w:val="009659BA"/>
    <w:rsid w:val="00976ABB"/>
    <w:rsid w:val="00983040"/>
    <w:rsid w:val="009A30FD"/>
    <w:rsid w:val="009B3FB9"/>
    <w:rsid w:val="009C2465"/>
    <w:rsid w:val="009D35A0"/>
    <w:rsid w:val="009D6F1F"/>
    <w:rsid w:val="009D7EB7"/>
    <w:rsid w:val="009E048A"/>
    <w:rsid w:val="009E08E9"/>
    <w:rsid w:val="009E3DB9"/>
    <w:rsid w:val="009E6E35"/>
    <w:rsid w:val="009F0EDA"/>
    <w:rsid w:val="009F7D94"/>
    <w:rsid w:val="00A03B96"/>
    <w:rsid w:val="00A05B19"/>
    <w:rsid w:val="00A1134E"/>
    <w:rsid w:val="00A24E7E"/>
    <w:rsid w:val="00A258C3"/>
    <w:rsid w:val="00A347C0"/>
    <w:rsid w:val="00A51431"/>
    <w:rsid w:val="00A539AD"/>
    <w:rsid w:val="00A60867"/>
    <w:rsid w:val="00A94063"/>
    <w:rsid w:val="00AA192A"/>
    <w:rsid w:val="00AA6219"/>
    <w:rsid w:val="00AA74E0"/>
    <w:rsid w:val="00AB703F"/>
    <w:rsid w:val="00AC6BB8"/>
    <w:rsid w:val="00AE008F"/>
    <w:rsid w:val="00B01FCD"/>
    <w:rsid w:val="00B1776C"/>
    <w:rsid w:val="00B332EC"/>
    <w:rsid w:val="00B4154F"/>
    <w:rsid w:val="00B52583"/>
    <w:rsid w:val="00B52896"/>
    <w:rsid w:val="00B546DA"/>
    <w:rsid w:val="00B95236"/>
    <w:rsid w:val="00B96BD9"/>
    <w:rsid w:val="00BA1B01"/>
    <w:rsid w:val="00BA2641"/>
    <w:rsid w:val="00BB37AA"/>
    <w:rsid w:val="00BC4309"/>
    <w:rsid w:val="00BC53A0"/>
    <w:rsid w:val="00BE62AD"/>
    <w:rsid w:val="00BF07CE"/>
    <w:rsid w:val="00BF121F"/>
    <w:rsid w:val="00BF1F80"/>
    <w:rsid w:val="00C166EF"/>
    <w:rsid w:val="00C17EB0"/>
    <w:rsid w:val="00C27F5F"/>
    <w:rsid w:val="00C30A0F"/>
    <w:rsid w:val="00C37E61"/>
    <w:rsid w:val="00C63B2D"/>
    <w:rsid w:val="00C70F1B"/>
    <w:rsid w:val="00C71A47"/>
    <w:rsid w:val="00C7464C"/>
    <w:rsid w:val="00C85588"/>
    <w:rsid w:val="00CD12DC"/>
    <w:rsid w:val="00CD6755"/>
    <w:rsid w:val="00CD6856"/>
    <w:rsid w:val="00CE0089"/>
    <w:rsid w:val="00CE793C"/>
    <w:rsid w:val="00CF193C"/>
    <w:rsid w:val="00D173F1"/>
    <w:rsid w:val="00D47D07"/>
    <w:rsid w:val="00D74CB0"/>
    <w:rsid w:val="00D8295D"/>
    <w:rsid w:val="00D84A03"/>
    <w:rsid w:val="00DC2A65"/>
    <w:rsid w:val="00DE15F0"/>
    <w:rsid w:val="00DE5663"/>
    <w:rsid w:val="00DE78AA"/>
    <w:rsid w:val="00E053D0"/>
    <w:rsid w:val="00E15994"/>
    <w:rsid w:val="00E3114E"/>
    <w:rsid w:val="00E31A70"/>
    <w:rsid w:val="00E3556B"/>
    <w:rsid w:val="00E35B02"/>
    <w:rsid w:val="00E450BD"/>
    <w:rsid w:val="00E66496"/>
    <w:rsid w:val="00E66B35"/>
    <w:rsid w:val="00E66E10"/>
    <w:rsid w:val="00E769F6"/>
    <w:rsid w:val="00E8407C"/>
    <w:rsid w:val="00E84F3C"/>
    <w:rsid w:val="00E9608D"/>
    <w:rsid w:val="00EA012C"/>
    <w:rsid w:val="00EA5876"/>
    <w:rsid w:val="00EC6A55"/>
    <w:rsid w:val="00ED0288"/>
    <w:rsid w:val="00EE52CB"/>
    <w:rsid w:val="00EF581D"/>
    <w:rsid w:val="00EF7FD8"/>
    <w:rsid w:val="00F06F59"/>
    <w:rsid w:val="00F17988"/>
    <w:rsid w:val="00F31E8E"/>
    <w:rsid w:val="00F469F0"/>
    <w:rsid w:val="00F53273"/>
    <w:rsid w:val="00F755E4"/>
    <w:rsid w:val="00F77D02"/>
    <w:rsid w:val="00FA423A"/>
    <w:rsid w:val="00FB0E05"/>
    <w:rsid w:val="00FB3A86"/>
    <w:rsid w:val="00FD36C8"/>
    <w:rsid w:val="518A7852"/>
    <w:rsid w:val="52022EA6"/>
    <w:rsid w:val="56BB1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3648B428"/>
  <w15:docId w15:val="{D1B76989-A4C4-4011-AB8F-AE5637EA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heme="minorEastAsi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qFormat/>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qFormat/>
    <w:rPr>
      <w:sz w:val="22"/>
    </w:rPr>
  </w:style>
  <w:style w:type="paragraph" w:customStyle="1" w:styleId="Head3">
    <w:name w:val="Head3"/>
    <w:basedOn w:val="Head2"/>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Style13">
    <w:name w:val="_Style 13"/>
    <w:basedOn w:val="TableNormal"/>
    <w:qFormat/>
    <w:rPr>
      <w:rFonts w:ascii="Arial" w:hAnsi="Arial" w:cs="Arial"/>
      <w:lang w:eastAsia="zh-CN"/>
    </w:rPr>
    <w:tblPr>
      <w:tblCellMar>
        <w:top w:w="100" w:type="dxa"/>
        <w:left w:w="100" w:type="dxa"/>
        <w:bottom w:w="100" w:type="dxa"/>
        <w:right w:w="100" w:type="dxa"/>
      </w:tblCellMar>
    </w:tblPr>
  </w:style>
  <w:style w:type="table" w:customStyle="1" w:styleId="Style14">
    <w:name w:val="_Style 14"/>
    <w:basedOn w:val="TableNormal"/>
    <w:qFormat/>
    <w:rPr>
      <w:rFonts w:ascii="Arial" w:hAnsi="Arial" w:cs="Arial"/>
      <w:lang w:eastAsia="zh-CN"/>
    </w:rPr>
    <w:tblPr>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5E7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ntractReview xmlns="http://schemas.wps.cn/vas-ai-hub/contract-review">
  <reviewItems/>
  <config/>
</contractReview>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84A67-52A6-43F9-9C3C-42D1F2D5D79D}">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0D3DF5-F013-46BB-BFD3-0D3FD4816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231</TotalTime>
  <Pages>9</Pages>
  <Words>3860</Words>
  <Characters>22003</Characters>
  <Application>Microsoft Office Word</Application>
  <DocSecurity>0</DocSecurity>
  <Lines>183</Lines>
  <Paragraphs>51</Paragraphs>
  <ScaleCrop>false</ScaleCrop>
  <Company>aaaa</Company>
  <LinksUpToDate>false</LinksUpToDate>
  <CharactersWithSpaces>25812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1179</cp:lastModifiedBy>
  <cp:revision>13</cp:revision>
  <cp:lastPrinted>1999-07-06T11:00:00Z</cp:lastPrinted>
  <dcterms:created xsi:type="dcterms:W3CDTF">2026-03-28T06:36:00Z</dcterms:created>
  <dcterms:modified xsi:type="dcterms:W3CDTF">2026-04-01T04:55:00Z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eyJoZGlkIjoiZGM0OTllNDM3Yzk0MDg0NzhiZDJkY2JiYjBhZDAyNDMiLCJ1c2VySWQiOiIyNDYyMDE0MjMifQ==</vt:lpwstr>
  </property>
  <property fmtid="{D5CDD505-2E9C-101B-9397-08002B2CF9AE}" pid="3" name="KSOProductBuildVer">
    <vt:lpwstr>2052-12.1.0.25225</vt:lpwstr>
  </property>
  <property fmtid="{D5CDD505-2E9C-101B-9397-08002B2CF9AE}" pid="4" name="ICV">
    <vt:lpwstr>A6B818C147894B8AA6161D932B8AED61_12</vt:lpwstr>
  </property>
</Properties>
</file>