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6CD9F4" w14:textId="77777777" w:rsidR="008A0FE1" w:rsidRPr="00FC562E" w:rsidRDefault="001950F1">
      <w:pPr>
        <w:pBdr>
          <w:top w:val="nil"/>
          <w:left w:val="nil"/>
          <w:bottom w:val="nil"/>
          <w:right w:val="nil"/>
          <w:between w:val="nil"/>
        </w:pBdr>
        <w:spacing w:after="0" w:line="240" w:lineRule="auto"/>
        <w:jc w:val="center"/>
        <w:rPr>
          <w:rFonts w:ascii="Times" w:eastAsia="Times" w:hAnsi="Times" w:cs="Times"/>
          <w:color w:val="000000"/>
          <w:sz w:val="24"/>
          <w:szCs w:val="24"/>
        </w:rPr>
      </w:pPr>
      <w:r w:rsidRPr="00FC562E">
        <w:rPr>
          <w:rFonts w:ascii="Times New Roman" w:eastAsia="Times New Roman" w:hAnsi="Times New Roman" w:cs="Times New Roman"/>
          <w:b/>
          <w:bCs/>
          <w:i/>
          <w:iCs/>
          <w:color w:val="000000"/>
          <w:sz w:val="24"/>
          <w:szCs w:val="24"/>
        </w:rPr>
        <w:t>CONTINUOUS IMPROVEMENT PRACTICES AND PROJECT DELIVERY PERFORMANCE IN ENERGY PROJECTS</w:t>
      </w:r>
    </w:p>
    <w:p w14:paraId="71F2313E" w14:textId="77777777" w:rsidR="008A0FE1" w:rsidRPr="00FC562E" w:rsidRDefault="001950F1">
      <w:pPr>
        <w:spacing w:before="280" w:after="28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Abstract</w:t>
      </w:r>
    </w:p>
    <w:p w14:paraId="7357FBED" w14:textId="77777777" w:rsidR="008A0FE1" w:rsidRPr="00FC562E" w:rsidRDefault="001950F1">
      <w:pPr>
        <w:spacing w:before="280" w:after="280" w:line="240" w:lineRule="auto"/>
        <w:jc w:val="both"/>
        <w:rPr>
          <w:rFonts w:ascii="Times New Roman" w:eastAsia="Times New Roman" w:hAnsi="Times New Roman" w:cs="Times New Roman"/>
          <w:i/>
          <w:iCs/>
          <w:sz w:val="24"/>
          <w:szCs w:val="24"/>
        </w:rPr>
      </w:pPr>
      <w:r w:rsidRPr="00FC562E">
        <w:rPr>
          <w:rFonts w:ascii="Times New Roman" w:eastAsia="Times New Roman" w:hAnsi="Times New Roman" w:cs="Times New Roman"/>
          <w:i/>
          <w:iCs/>
          <w:sz w:val="24"/>
          <w:szCs w:val="24"/>
        </w:rPr>
        <w:t xml:space="preserve">Persistent cost overruns, schedule delays, and quality challenges continue to affect project delivery in the energy sector despite the adoption of advanced project management frameworks. While continuous improvement (CI) practices have been widely associated with operational performance in manufacturing and service contexts, limited empirical evidence explains how such practices influence project delivery outcomes in complex, project-based environments such as energy projects. Addressing this gap, this study examines the impact of continuous improvement practices on project delivery performance and investigates the mediating roles of process standardization and organizational learning. Drawing on the Resource-Based View and Organizational Learning Theory, the study employs a sequential mixed-methods design. Quantitative data were collected from 265 professionals involved in oil and gas, renewable energy, and power infrastructure projects and </w:t>
      </w:r>
      <w:proofErr w:type="spellStart"/>
      <w:r w:rsidRPr="00FC562E">
        <w:rPr>
          <w:rFonts w:ascii="Times New Roman" w:eastAsia="Times New Roman" w:hAnsi="Times New Roman" w:cs="Times New Roman"/>
          <w:i/>
          <w:iCs/>
          <w:sz w:val="24"/>
          <w:szCs w:val="24"/>
        </w:rPr>
        <w:t>analyzed</w:t>
      </w:r>
      <w:proofErr w:type="spellEnd"/>
      <w:r w:rsidRPr="00FC562E">
        <w:rPr>
          <w:rFonts w:ascii="Times New Roman" w:eastAsia="Times New Roman" w:hAnsi="Times New Roman" w:cs="Times New Roman"/>
          <w:i/>
          <w:iCs/>
          <w:sz w:val="24"/>
          <w:szCs w:val="24"/>
        </w:rPr>
        <w:t xml:space="preserve"> using structural equation modelling, complemented by qualitative insights from 20 semi-structured interviews with senior project practitioners. The results show that continuous improvement practices significantly enhance project delivery performance both directly and indirectly. Specifically, CI practices positively influence schedule adherence, cost efficiency, quality conformance, and safety performance, with process standardization and organizational learning acting as significant partial mediators of this relationship. These findings provide empirical evidence that continuous improvement functions not merely as a set of operational tools but as an organizational capability that strengthens execution discipline and learning processes within complex project environments. The study contributes to project management literature by clarifying the mechanisms through which CI practices translate into improved project delivery outcomes in the energy sector. Practically, the findings highlight the importance for project-based organizations to institutionalize improvement routines, standardized processes, and learning systems to enhance reliability and performance in high-risk energy projects.</w:t>
      </w:r>
    </w:p>
    <w:p w14:paraId="11689C3A" w14:textId="77777777" w:rsidR="008A0FE1" w:rsidRPr="00FC562E" w:rsidRDefault="001950F1">
      <w:pPr>
        <w:spacing w:before="280" w:after="280" w:line="240" w:lineRule="auto"/>
        <w:jc w:val="both"/>
        <w:rPr>
          <w:rFonts w:ascii="Times New Roman" w:eastAsia="Times New Roman" w:hAnsi="Times New Roman" w:cs="Times New Roman"/>
          <w:i/>
          <w:iCs/>
          <w:sz w:val="24"/>
          <w:szCs w:val="24"/>
        </w:rPr>
      </w:pPr>
      <w:r w:rsidRPr="00FC562E">
        <w:rPr>
          <w:rFonts w:ascii="Times New Roman" w:eastAsia="Times New Roman" w:hAnsi="Times New Roman" w:cs="Times New Roman"/>
          <w:b/>
          <w:bCs/>
          <w:i/>
          <w:iCs/>
          <w:sz w:val="24"/>
          <w:szCs w:val="24"/>
        </w:rPr>
        <w:t xml:space="preserve">Keywords:  </w:t>
      </w:r>
      <w:r w:rsidRPr="00FC562E">
        <w:rPr>
          <w:rFonts w:ascii="Times New Roman" w:eastAsia="Times New Roman" w:hAnsi="Times New Roman" w:cs="Times New Roman"/>
          <w:i/>
          <w:iCs/>
          <w:sz w:val="24"/>
          <w:szCs w:val="24"/>
        </w:rPr>
        <w:t>Continuous improvement, project delivery performance, energy projects, process standardization, organizational learning.</w:t>
      </w:r>
    </w:p>
    <w:p w14:paraId="753E0A8D" w14:textId="77777777" w:rsidR="008A0FE1" w:rsidRPr="00FC562E" w:rsidRDefault="001950F1">
      <w:pPr>
        <w:spacing w:before="280" w:after="28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1. Introduction</w:t>
      </w:r>
    </w:p>
    <w:p w14:paraId="6827A6E0" w14:textId="77777777" w:rsidR="008A0FE1" w:rsidRPr="00FC562E" w:rsidRDefault="001950F1">
      <w:pPr>
        <w:spacing w:before="280" w:after="280" w:line="240" w:lineRule="auto"/>
        <w:jc w:val="both"/>
        <w:rPr>
          <w:rFonts w:ascii="Times New Roman" w:eastAsia="Times New Roman" w:hAnsi="Times New Roman" w:cs="Times New Roman"/>
          <w:b/>
          <w:bCs/>
          <w:sz w:val="24"/>
          <w:szCs w:val="24"/>
        </w:rPr>
      </w:pPr>
      <w:r w:rsidRPr="00FC562E">
        <w:rPr>
          <w:rFonts w:ascii="Times New Roman" w:eastAsia="Times New Roman" w:hAnsi="Times New Roman" w:cs="Times New Roman"/>
          <w:sz w:val="24"/>
          <w:szCs w:val="24"/>
        </w:rPr>
        <w:t>Large-scale energy projects are one of the most sophisticated and capital-intensive ones in modern economy. These projects are usually marked by long development streams, uncertainties in technology, there is a lot of stakeholder participation and increased regulatory, environmental and safety restrictions. Although decades of project management tools, governance frameworks, and digital control systems have been implemented, energy projects keep being characterised by endemic issues related to delivery, such as cost overruns, schedule slippage, quality variances and safety accidents (Flyvbjerg, 2014; Merrow, 2019).</w:t>
      </w:r>
    </w:p>
    <w:p w14:paraId="5439CF8B"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Empirical evidence shows that performance results in energy megaprojects have not been changing proportionately during time despite the fact that organizations have placed significant investments in front-end planning, risk management framework, and contractual controls (Flyvbjerg, 2017; Davies et al., 2021). Such a trend indicates that technical efficiency and accuracy of planning are not enough to resolve execution-stage inefficiencies that are developed throughout project implementation.</w:t>
      </w:r>
    </w:p>
    <w:p w14:paraId="48DBDE1D"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lastRenderedPageBreak/>
        <w:t xml:space="preserve">In reaction to that, the role of organizational capabilities facilitating adaptation, learning, and performance correction in the course of project implementation has become an area of attention researchers (Davies </w:t>
      </w:r>
      <w:r w:rsidRPr="00FC562E">
        <w:rPr>
          <w:rFonts w:ascii="Times New Roman" w:eastAsia="Times New Roman" w:hAnsi="Times New Roman" w:cs="Times New Roman"/>
          <w:i/>
          <w:iCs/>
          <w:sz w:val="24"/>
          <w:szCs w:val="24"/>
        </w:rPr>
        <w:t>et al.,</w:t>
      </w:r>
      <w:r w:rsidRPr="00FC562E">
        <w:rPr>
          <w:rFonts w:ascii="Times New Roman" w:eastAsia="Times New Roman" w:hAnsi="Times New Roman" w:cs="Times New Roman"/>
          <w:sz w:val="24"/>
          <w:szCs w:val="24"/>
        </w:rPr>
        <w:t xml:space="preserve"> 2014; Turner, 2018). Thus, continuous improvement (CI) has been the subject of increased attention. CI focuses on systematic problem solving, process discipline, employee participation and feedback-based learning with the target of a long-term improvement in performance (Imai, 1986; Bessant et al., 2011).</w:t>
      </w:r>
    </w:p>
    <w:p w14:paraId="35E4D77A"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Though, CI has proven to have great performance impacts in the manufacturing and service processes, its use in the project-based settings especially in the energy industry is still a disputed topic. Projects are non-routine, temporary, and usually very customized, which makes it challenging to institutionalize standard routines of improvement (Soderlund and Tell, 2019). As a result, the empirical evidence regarding the effectiveness of CI in a project setting is not very consistent, and some studies indicate low or no effects of performance.</w:t>
      </w:r>
    </w:p>
    <w:p w14:paraId="272B2E1A"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The main limitation of the extant studies is the propensity to view CI as a set of operational mechanisms as opposed to an inbuilt organizational competence that is enabled by the learning and standardization systems. In addition, empirical research specifically on energy projects is very limited, and is often limited by small samples, single-case designs or limited performance indicators, which limits their explanatory power.</w:t>
      </w:r>
    </w:p>
    <w:p w14:paraId="3E945990"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 xml:space="preserve">This research fills these gaps through the application of empirical research investigations into the linkage between continuous improvement practices and project delivery performance within the energy industry with special consideration given to the mediating effects to process standardization and organizational learning. The study combines both quantitative </w:t>
      </w:r>
      <w:proofErr w:type="gramStart"/>
      <w:r w:rsidRPr="00FC562E">
        <w:rPr>
          <w:rFonts w:ascii="Times New Roman" w:eastAsia="Times New Roman" w:hAnsi="Times New Roman" w:cs="Times New Roman"/>
          <w:sz w:val="24"/>
          <w:szCs w:val="24"/>
        </w:rPr>
        <w:t>data</w:t>
      </w:r>
      <w:proofErr w:type="gramEnd"/>
      <w:r w:rsidRPr="00FC562E">
        <w:rPr>
          <w:rFonts w:ascii="Times New Roman" w:eastAsia="Times New Roman" w:hAnsi="Times New Roman" w:cs="Times New Roman"/>
          <w:sz w:val="24"/>
          <w:szCs w:val="24"/>
        </w:rPr>
        <w:t xml:space="preserve"> obtained through an extensive, multi-sector sample with qualitative data provided by expert practitioners that allows obtaining a theoretically informed explanation of the way CI practices are capable of improving the project delivery outcomes in complex and high-risk project settings.</w:t>
      </w:r>
    </w:p>
    <w:p w14:paraId="5C3CB30A"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Based on preceding, the research question for this study is as follows:</w:t>
      </w:r>
    </w:p>
    <w:p w14:paraId="1FAD7CA6"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What impact would continuous improvement practices have on project delivery performance of energy projects, and what are the mechanisms of the impacts?</w:t>
      </w:r>
    </w:p>
    <w:p w14:paraId="5D93A300"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The research can also serve as a contribution in the body of literature in project management by adding to the current knowledge on CI in project-based organizations and can contribute to practical answers by energy firms aiming to enhance the reliability, efficiency, and safety of delivery.</w:t>
      </w:r>
    </w:p>
    <w:p w14:paraId="03E127C5" w14:textId="77777777" w:rsidR="008A0FE1" w:rsidRPr="00FC562E" w:rsidRDefault="001950F1">
      <w:pPr>
        <w:spacing w:before="280" w:after="28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 xml:space="preserve">2.   Literature Review and Theoretical Framework </w:t>
      </w:r>
    </w:p>
    <w:p w14:paraId="6FBF7233" w14:textId="77777777" w:rsidR="008A0FE1" w:rsidRPr="00FC562E" w:rsidRDefault="001950F1">
      <w:pPr>
        <w:spacing w:before="280" w:after="28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2.1 Project Implementation Performance within the Energy Industry</w:t>
      </w:r>
    </w:p>
    <w:p w14:paraId="1E8D133A"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The use of the iron triangle of cost, time, and quality has long been used in performance measurement of project delivery, and safety is now recognized as an important dimension of the performance of high-risk industry players such as the energy sector (</w:t>
      </w:r>
      <w:proofErr w:type="spellStart"/>
      <w:r w:rsidRPr="00FC562E">
        <w:rPr>
          <w:rFonts w:ascii="Times New Roman" w:eastAsia="Times New Roman" w:hAnsi="Times New Roman" w:cs="Times New Roman"/>
          <w:sz w:val="24"/>
          <w:szCs w:val="24"/>
        </w:rPr>
        <w:t>Zwikael</w:t>
      </w:r>
      <w:proofErr w:type="spellEnd"/>
      <w:r w:rsidRPr="00FC562E">
        <w:rPr>
          <w:rFonts w:ascii="Times New Roman" w:eastAsia="Times New Roman" w:hAnsi="Times New Roman" w:cs="Times New Roman"/>
          <w:sz w:val="24"/>
          <w:szCs w:val="24"/>
        </w:rPr>
        <w:t xml:space="preserve"> &amp; </w:t>
      </w:r>
      <w:proofErr w:type="spellStart"/>
      <w:r w:rsidRPr="00FC562E">
        <w:rPr>
          <w:rFonts w:ascii="Times New Roman" w:eastAsia="Times New Roman" w:hAnsi="Times New Roman" w:cs="Times New Roman"/>
          <w:sz w:val="24"/>
          <w:szCs w:val="24"/>
        </w:rPr>
        <w:t>Smyrk</w:t>
      </w:r>
      <w:proofErr w:type="spellEnd"/>
      <w:r w:rsidRPr="00FC562E">
        <w:rPr>
          <w:rFonts w:ascii="Times New Roman" w:eastAsia="Times New Roman" w:hAnsi="Times New Roman" w:cs="Times New Roman"/>
          <w:sz w:val="24"/>
          <w:szCs w:val="24"/>
        </w:rPr>
        <w:t>, 2019). Regardless of the broad use of these measures, systematic underperformance on energy project systems is regularly reported in empirical research, especially on a megaproject scale (Flyvbjerg, 2017).</w:t>
      </w:r>
    </w:p>
    <w:p w14:paraId="252765EC"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lastRenderedPageBreak/>
        <w:t>Extant studies explain such results by a combined set of factors such as complexity of structure, fragmented governance structure, incentives mismatch, lack of integration between project phases (Davies et al., 2014). Although much focus has been given on loading front-ends and mishaps reduction, relatively less focus has been given to execution phase capabilities that facilitate continuous monitoring, learning and performance correction during deliveries of the projects.</w:t>
      </w:r>
    </w:p>
    <w:p w14:paraId="737DDE01" w14:textId="77777777" w:rsidR="008A0FE1" w:rsidRPr="00FC562E" w:rsidRDefault="001950F1">
      <w:pPr>
        <w:spacing w:before="280" w:after="28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2.2 Continuous Improvement (CI) Practices</w:t>
      </w:r>
    </w:p>
    <w:p w14:paraId="3EBAD34F"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Continuous improvement refers to a process of obtaining systematic, enterprise-wide incremental and sustained process, performance and result improvement (Imai, 1986). CI routines are usually standardized problem-solving processes that encompass Plan-Do-Check-Act (PDCA) and DMAIC, Lean-based waste reducing programs, Data Driven Decisions, and mechanisms to involve its employees (Bessant et al., 2011).</w:t>
      </w:r>
    </w:p>
    <w:p w14:paraId="20495CC9"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Though CI has gained extensive use in the operational context, its applicability to project context is controversial. Projects are considered temporal and targeted, and this makes the implementation of the standardized routines and the system of constant feedbacks a challenge (Turner, 2018). Consequently, CI projects within project contexts tend to be undertaken in a piece-mealy or ad hoc fashion, which restricts their performance over time.</w:t>
      </w:r>
    </w:p>
    <w:p w14:paraId="397951C1"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Continuous improvement (CI) practices were operationalized as a multidimensional construct reflecting organizational routines that promote systematic improvement and learning. The measurement scale was adapted from established continuous improvement and operations management literature (Bessant et al., 2001; Liker, 2004) and modified to reflect project-based organizational contexts. The construct comprised four dimensions: process standardization, structured problem-solving routines, employee involvement, and feedback and learning loops. Each dimension was measured using 3–4 reflective indicators, resulting in a total of 14 measurement items. Respondents evaluated each item using a five-point Likert scale ranging from 1 (strongly disagree) to 5 (strongly agree). The use of multiple indicators ensured adequate representation of the CI construct and improved measurement reliability.</w:t>
      </w:r>
    </w:p>
    <w:p w14:paraId="7E421E91" w14:textId="77777777" w:rsidR="008A0FE1" w:rsidRPr="00FC562E" w:rsidRDefault="001950F1">
      <w:pPr>
        <w:spacing w:before="280" w:after="28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2.3 Continuous Improvement of Energy Project-Based Organization</w:t>
      </w:r>
    </w:p>
    <w:p w14:paraId="499BAF7D"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Recent literature indicates that CI could be helpful to boost project performances when it is integrated to be present at the organizational level and not located at the specific projects (Berggren and Soderlund, 2018). Knowledge transfer through mechanisms, such as standardized work package, lessons learned systems and post project reviews help in curbing repeat of mistakes in the implementation. Empirical evidence in energy projects is however not extensive. Current literature typically focuses on the conceptual arguments or small-scale qualitative studies, which seldom provide the hints on the causal factors of the relationships between CI practices and the project delivery results. This has not been subjected to strong empirical testing and hence there has been confusion around whether CI is valuable in complex, project-based energy environments.</w:t>
      </w:r>
    </w:p>
    <w:p w14:paraId="74A83030" w14:textId="77777777" w:rsidR="008A0FE1" w:rsidRPr="00FC562E" w:rsidRDefault="001950F1">
      <w:pPr>
        <w:spacing w:before="280" w:after="28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2.4 Theoretical Framework and Hypothesis Development</w:t>
      </w:r>
    </w:p>
    <w:p w14:paraId="734DA336" w14:textId="77777777" w:rsidR="008A0FE1" w:rsidRPr="00FC562E" w:rsidRDefault="001950F1">
      <w:pPr>
        <w:spacing w:before="280" w:after="280" w:line="240" w:lineRule="auto"/>
        <w:jc w:val="both"/>
        <w:rPr>
          <w:rFonts w:ascii="Times New Roman" w:eastAsia="Times New Roman" w:hAnsi="Times New Roman" w:cs="Times New Roman"/>
          <w:b/>
          <w:bCs/>
          <w:sz w:val="24"/>
          <w:szCs w:val="24"/>
        </w:rPr>
      </w:pPr>
      <w:r w:rsidRPr="00FC562E">
        <w:rPr>
          <w:rFonts w:ascii="Times New Roman" w:eastAsia="Times New Roman" w:hAnsi="Times New Roman" w:cs="Times New Roman"/>
          <w:sz w:val="24"/>
          <w:szCs w:val="24"/>
        </w:rPr>
        <w:t>This study incorporates both Resource-Based View (RBV) and Organization Learning Theory in elaborating the effectiveness of continuous improvement practices within a business set-up affects the performance of project delivering.</w:t>
      </w:r>
      <w:r w:rsidRPr="00FC562E">
        <w:rPr>
          <w:rFonts w:ascii="Times New Roman" w:eastAsia="Times New Roman" w:hAnsi="Times New Roman" w:cs="Times New Roman"/>
          <w:b/>
          <w:bCs/>
          <w:sz w:val="24"/>
          <w:szCs w:val="24"/>
        </w:rPr>
        <w:t xml:space="preserve"> </w:t>
      </w:r>
      <w:r w:rsidRPr="00FC562E">
        <w:rPr>
          <w:rFonts w:ascii="Times New Roman" w:eastAsia="Times New Roman" w:hAnsi="Times New Roman" w:cs="Times New Roman"/>
          <w:sz w:val="24"/>
          <w:szCs w:val="24"/>
        </w:rPr>
        <w:t xml:space="preserve">CI practices as part of RBV have the </w:t>
      </w:r>
      <w:r w:rsidRPr="00FC562E">
        <w:rPr>
          <w:rFonts w:ascii="Times New Roman" w:eastAsia="Times New Roman" w:hAnsi="Times New Roman" w:cs="Times New Roman"/>
          <w:sz w:val="24"/>
          <w:szCs w:val="24"/>
        </w:rPr>
        <w:lastRenderedPageBreak/>
        <w:t>characteristics of being an intangible organizational resource that increases coordination, execution discipline, and absorptive capacity (Barney, 1991). The performance outcomes of resources however, do not come about except they are captured and converted to performance through the organizational routines and learning processes.</w:t>
      </w:r>
    </w:p>
    <w:p w14:paraId="047B3F8A"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A complement to this perspective is Organizational Learning Theory which explicates the way in which CI enables organizations to adjust to the highly complicated and uncertain project environments through single loop learning (correcting the process) and double loop learning (reframing assumptions) (Argyris and Schon, 1997).</w:t>
      </w:r>
    </w:p>
    <w:p w14:paraId="07413A6C" w14:textId="77777777" w:rsidR="008A0FE1" w:rsidRPr="00FC562E" w:rsidRDefault="001950F1">
      <w:pPr>
        <w:spacing w:before="280" w:after="28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With such a theoretical integration, hypotheses are as follows:</w:t>
      </w:r>
    </w:p>
    <w:p w14:paraId="6C6AF7EE"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H</w:t>
      </w:r>
      <w:r w:rsidRPr="00FC562E">
        <w:rPr>
          <w:rFonts w:ascii="Times New Roman" w:eastAsia="Times New Roman" w:hAnsi="Times New Roman" w:cs="Times New Roman"/>
          <w:sz w:val="24"/>
          <w:szCs w:val="24"/>
          <w:vertAlign w:val="subscript"/>
        </w:rPr>
        <w:t>1</w:t>
      </w:r>
      <w:r w:rsidRPr="00FC562E">
        <w:rPr>
          <w:rFonts w:ascii="Times New Roman" w:eastAsia="Times New Roman" w:hAnsi="Times New Roman" w:cs="Times New Roman"/>
          <w:sz w:val="24"/>
          <w:szCs w:val="24"/>
        </w:rPr>
        <w:t>: Continuous improvement practices positively influence the performance of the project delivery in energy projects.</w:t>
      </w:r>
    </w:p>
    <w:p w14:paraId="5EB6563A"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H</w:t>
      </w:r>
      <w:r w:rsidRPr="00FC562E">
        <w:rPr>
          <w:rFonts w:ascii="Times New Roman" w:eastAsia="Times New Roman" w:hAnsi="Times New Roman" w:cs="Times New Roman"/>
          <w:sz w:val="24"/>
          <w:szCs w:val="24"/>
          <w:vertAlign w:val="subscript"/>
        </w:rPr>
        <w:t>2</w:t>
      </w:r>
      <w:r w:rsidRPr="00FC562E">
        <w:rPr>
          <w:rFonts w:ascii="Times New Roman" w:eastAsia="Times New Roman" w:hAnsi="Times New Roman" w:cs="Times New Roman"/>
          <w:sz w:val="24"/>
          <w:szCs w:val="24"/>
        </w:rPr>
        <w:t>: There is a mediating effect between continuous improvement practices and project delivery performance via process standardization.</w:t>
      </w:r>
    </w:p>
    <w:p w14:paraId="1416D726"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H</w:t>
      </w:r>
      <w:r w:rsidRPr="00FC562E">
        <w:rPr>
          <w:rFonts w:ascii="Times New Roman" w:eastAsia="Times New Roman" w:hAnsi="Times New Roman" w:cs="Times New Roman"/>
          <w:sz w:val="24"/>
          <w:szCs w:val="24"/>
          <w:vertAlign w:val="subscript"/>
        </w:rPr>
        <w:t>3</w:t>
      </w:r>
      <w:r w:rsidRPr="00FC562E">
        <w:rPr>
          <w:rFonts w:ascii="Times New Roman" w:eastAsia="Times New Roman" w:hAnsi="Times New Roman" w:cs="Times New Roman"/>
          <w:sz w:val="24"/>
          <w:szCs w:val="24"/>
        </w:rPr>
        <w:t>: Organizational learning or learning bridges the gap between continuous improvement practices and the performance of project delivery.</w:t>
      </w:r>
    </w:p>
    <w:p w14:paraId="4B488BBE" w14:textId="77777777" w:rsidR="008A0FE1" w:rsidRPr="00FC562E" w:rsidRDefault="001950F1">
      <w:pPr>
        <w:spacing w:before="280" w:after="28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3.   Methodology</w:t>
      </w:r>
    </w:p>
    <w:p w14:paraId="3925E80B" w14:textId="77777777" w:rsidR="008A0FE1" w:rsidRPr="00FC562E" w:rsidRDefault="001950F1">
      <w:pPr>
        <w:spacing w:before="280" w:after="28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3.1 Research Design</w:t>
      </w:r>
    </w:p>
    <w:p w14:paraId="7E43B6AC"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This study applies a sequential mixed-method research design which combined both quantitative with qualitative methods as a strategy to increase the explanatory scope and research methodology strength. Quantitative phase tests the proposed hypothesized relationships of continuous improvement practices, project delivery performance and the qualitative phase was utilized to put it into perspective and get further insight on the mechanisms of the observed statistical relationships.</w:t>
      </w:r>
    </w:p>
    <w:p w14:paraId="06C3EC09"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An integrated design is especially useful in sophisticated project-based setting such as the energy industry, where performance results can be conditioned not only by the quantifiable practices, but also by situational, behavioural, and organizational determinants that could not be fully represented based on survey data. This design follows appeals in literature of project management research that methodological pluralism be used to enhance both theory building and practice.</w:t>
      </w:r>
    </w:p>
    <w:p w14:paraId="2542B903" w14:textId="77777777" w:rsidR="008A0FE1" w:rsidRPr="00FC562E" w:rsidRDefault="001950F1">
      <w:pPr>
        <w:spacing w:before="280" w:after="28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3.2 Sample &amp; Data Collection</w:t>
      </w:r>
    </w:p>
    <w:p w14:paraId="0BC07438" w14:textId="77777777" w:rsidR="008A0FE1" w:rsidRPr="00FC562E" w:rsidRDefault="001950F1">
      <w:pPr>
        <w:spacing w:before="280" w:after="28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3.2.1 Quantitative Phase</w:t>
      </w:r>
    </w:p>
    <w:p w14:paraId="713750CC"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The quantitative data were gathered with the help of a structured questionnaire offered to professionals working on the projects of energy sector. The respondents were project managers, engineers, quality and safety experts and operations staff working on oil and gas, renewable and power infrastructure projects. Valid responses were obtained to the tune of 265. The sample size is large and exceeds minimum recommendations that are suggested in order to use structural equation modelling and perform mediation analyses with adequate statistical power.</w:t>
      </w:r>
    </w:p>
    <w:p w14:paraId="722394BF"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lastRenderedPageBreak/>
        <w:t>The sectoral distribution of the respondents included: Oil and gas projects (41.9%), Renewable energy projects (30.9%), Projects under power infrastructure (27.2%). The respondents had a great project experience with more than three-quarters (77) having over ten years of experience in various projects related to energy. This makes the data credible, given that participants were in a good position to evaluate organization’s performance in terms of practices and delivery.</w:t>
      </w:r>
    </w:p>
    <w:p w14:paraId="5A0E6024" w14:textId="77777777" w:rsidR="008A0FE1" w:rsidRPr="00FC562E" w:rsidRDefault="001950F1">
      <w:pPr>
        <w:spacing w:before="280" w:after="28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3.2.2 Qualitative Phase</w:t>
      </w:r>
    </w:p>
    <w:p w14:paraId="748B2F8C"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To supplement the survey data, 20 semi-structured interviews were carried out with top project practitioners that had at least 15 years of experience regarding the delivery of energy projects. The mode of selection applied in interviewees was purposive sampling so that representation of various subsectors of the energy industry and organizational positions are achieved.</w:t>
      </w:r>
    </w:p>
    <w:p w14:paraId="1AAC1256"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The interviews focused on: the way that continuous improvement practices are practiced; compromises to bringing CI to institutional processes within project settings; and the leadership, learning, and standardization role in enhancing the outcome of deliveries.</w:t>
      </w:r>
    </w:p>
    <w:p w14:paraId="5648261D" w14:textId="77777777" w:rsidR="008A0FE1" w:rsidRPr="00FC562E" w:rsidRDefault="001950F1">
      <w:pPr>
        <w:spacing w:before="280" w:after="28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 xml:space="preserve">The interviews (between 45 and 75 minutes long) were transcribed and tape recorded with the willingness of the participants. </w:t>
      </w:r>
    </w:p>
    <w:p w14:paraId="28EAFB35" w14:textId="77777777" w:rsidR="008A0FE1" w:rsidRPr="00FC562E" w:rsidRDefault="001950F1">
      <w:pPr>
        <w:spacing w:before="280" w:after="28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3.3 Measurement of Variables</w:t>
      </w:r>
    </w:p>
    <w:p w14:paraId="59B3DD78"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 xml:space="preserve">Continuous improvement practices are another element that should be incorporated into the standard operations of the single-school district. The continuous improvement practices were operationalized as the multidimensional construct given the systemic and organizational orientation of CI. The scale was modified to provide content validity on measurement items based on the existing operations and project management literature. The construct measured four dimensions: process standardization; routines of structured problem-solving, employee involvement, and feedback and learning loops. </w:t>
      </w:r>
    </w:p>
    <w:p w14:paraId="64442DCB"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The respondents were asked to evaluate each of the items through a five-point Likert scale that goes as high as 1 (which represents; strongly disagree) down to 5 (which is for strongly agree). The performance in project delivery was measured in four dimensions that are frequently used in energy and project management study: Schedule adherence, cost efficiency, quality conformance, and safety performance.   This multidimensional strategy represents the high risk and controlled energy project where the safety and quality are as imperative as standard time and cost indicators.</w:t>
      </w:r>
    </w:p>
    <w:p w14:paraId="269D9F7C" w14:textId="77777777" w:rsidR="008A0FE1" w:rsidRPr="00FC562E" w:rsidRDefault="001950F1">
      <w:pPr>
        <w:spacing w:before="280" w:after="28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3.4 Data Estimation Techniques</w:t>
      </w:r>
    </w:p>
    <w:p w14:paraId="07FC309E" w14:textId="77777777" w:rsidR="008A0FE1" w:rsidRPr="00FC562E" w:rsidRDefault="001950F1">
      <w:pPr>
        <w:spacing w:before="280" w:after="28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3.4.1 Quantitative Analysis</w:t>
      </w:r>
    </w:p>
    <w:p w14:paraId="70E1C555"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In this study, the Structural Equation Modelling (SEM) is pivotal to test the measurement and structural models. SEM was chosen because it is appropriate to estimate relationships among latent constructs and mediate the effects of using a theoretically based framework at the same time.</w:t>
      </w:r>
      <w:r w:rsidRPr="00FC562E">
        <w:t xml:space="preserve"> </w:t>
      </w:r>
      <w:r w:rsidRPr="00FC562E">
        <w:rPr>
          <w:rFonts w:ascii="Times New Roman" w:eastAsia="Times New Roman" w:hAnsi="Times New Roman" w:cs="Times New Roman"/>
          <w:sz w:val="24"/>
          <w:szCs w:val="24"/>
        </w:rPr>
        <w:t>All quantitative analyses, including confirmatory factor analysis and structural equation modelling, were conducted using AMOS version 15 integrated with SPSS version 20.</w:t>
      </w:r>
    </w:p>
    <w:p w14:paraId="205C46F7"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lastRenderedPageBreak/>
        <w:t>Following a two-step procedure, the analysis was performed; First as a measurement model analysis with Confirmatory Factor Analysis (CFA) and Second: structural model analysis to test the hypothesized relationships.</w:t>
      </w:r>
    </w:p>
    <w:p w14:paraId="0F1B3997"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The evaluation of model fit has been done based on key indices such as, Comparative Fit Index (CFI), Tucker-Lewis Index (TLI), Standardized Root Mean Square residual (SRMR), and Root Mean Square Error of Approximation (RMSEA). The structural model was specified to examine both the direct and indirect effects of continuous improvement practices on project delivery performance. Specifically, CI practices were modelled as an exogenous latent construct influencing project delivery performance directly, while also affecting two mediating constructs: process standardization and organizational learning. These mediators were hypothesized to transmit the effect of CI practices to project delivery outcomes.</w:t>
      </w:r>
    </w:p>
    <w:p w14:paraId="227D10C0" w14:textId="77777777" w:rsidR="008A0FE1" w:rsidRPr="00FC562E" w:rsidRDefault="001950F1">
      <w:pPr>
        <w:spacing w:before="280" w:after="28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3.4.2 Common Method Bias</w:t>
      </w:r>
    </w:p>
    <w:p w14:paraId="32F866C0"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Considering the fact that the data in the surveys was self-reported, the procedures and statistical remedies were implemented to control the potential common method bias.</w:t>
      </w:r>
    </w:p>
    <w:p w14:paraId="7E8A94C9"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 xml:space="preserve"> Procedurally, the anonymity of the respondents was guaranteed and the wording of the items was so structured as to minimize evaluation apprehension. Statistically, a single factor test developed by Harman was undertaken and, the statistics showed that there was no single factor that could explain most of the variance pointing to the fact that common method bias are not typically weighted. </w:t>
      </w:r>
    </w:p>
    <w:p w14:paraId="257AD656" w14:textId="77777777" w:rsidR="008A0FE1" w:rsidRPr="00FC562E" w:rsidRDefault="001950F1">
      <w:pPr>
        <w:spacing w:before="280" w:after="28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3.4.3 Qualitative Analysis</w:t>
      </w:r>
    </w:p>
    <w:p w14:paraId="747D69B2"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 xml:space="preserve">Thematic data analysis based on an iterative abductive method were used to </w:t>
      </w:r>
      <w:proofErr w:type="spellStart"/>
      <w:r w:rsidRPr="00FC562E">
        <w:rPr>
          <w:rFonts w:ascii="Times New Roman" w:eastAsia="Times New Roman" w:hAnsi="Times New Roman" w:cs="Times New Roman"/>
          <w:sz w:val="24"/>
          <w:szCs w:val="24"/>
        </w:rPr>
        <w:t>analyze</w:t>
      </w:r>
      <w:proofErr w:type="spellEnd"/>
      <w:r w:rsidRPr="00FC562E">
        <w:rPr>
          <w:rFonts w:ascii="Times New Roman" w:eastAsia="Times New Roman" w:hAnsi="Times New Roman" w:cs="Times New Roman"/>
          <w:sz w:val="24"/>
          <w:szCs w:val="24"/>
        </w:rPr>
        <w:t xml:space="preserve"> qualitative data. Preliminary open coding was performed in order to determine patterns of recurrence pertaining to CI implementation, learning processes, and performance achievements. Such codes were then further developed and connected with the theoretical constructs that were investigated during the quantitative stage. The encompassing the qualitative insights was used to triangulate the quantitative results, describe the causal processes, and discover contextual facilitators and barriers.</w:t>
      </w:r>
      <w:r w:rsidRPr="00FC562E">
        <w:t xml:space="preserve"> </w:t>
      </w:r>
      <w:r w:rsidRPr="00FC562E">
        <w:rPr>
          <w:rFonts w:ascii="Times New Roman" w:eastAsia="Times New Roman" w:hAnsi="Times New Roman" w:cs="Times New Roman"/>
          <w:sz w:val="24"/>
          <w:szCs w:val="24"/>
        </w:rPr>
        <w:t>Prior to the main survey administration, the questionnaire was pilot tested with 15 energy project professionals to assess clarity, relevance, and wording of the measurement items. Minor revisions were made based on participant feedback to improve clarity and contextual relevance.</w:t>
      </w:r>
    </w:p>
    <w:p w14:paraId="0A4CC44F" w14:textId="77777777" w:rsidR="008A0FE1" w:rsidRPr="00FC562E" w:rsidRDefault="001950F1">
      <w:pPr>
        <w:spacing w:before="280" w:after="28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3.5 Ethical Considerations</w:t>
      </w:r>
    </w:p>
    <w:p w14:paraId="3E13BABB"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 xml:space="preserve">This study makes the respondents’ participation a voluntary process, and typically obtains the informed consent from all respondents and interviewees. However, data confidentiality and anonymity of respondents were maintained throughout the study. </w:t>
      </w:r>
    </w:p>
    <w:p w14:paraId="15EF5BF9" w14:textId="77777777" w:rsidR="008A0FE1" w:rsidRPr="00FC562E" w:rsidRDefault="001950F1">
      <w:pPr>
        <w:spacing w:before="280" w:after="28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4. Results &amp; Discussion</w:t>
      </w:r>
    </w:p>
    <w:p w14:paraId="1AA8103D" w14:textId="77777777" w:rsidR="008A0FE1" w:rsidRPr="00FC562E" w:rsidRDefault="001950F1">
      <w:pPr>
        <w:spacing w:before="280" w:after="28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4.1 Preliminary Data Screening and Characteristics of Sample</w:t>
      </w:r>
    </w:p>
    <w:p w14:paraId="3C83B127"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 xml:space="preserve">There was a screening of values missing, normality and multicollinearity of the dataset before model estimation. The study reports missing data which accounted for less than 2% across all indicators and these were handled using expectation–maximization. The skewness and kurtosis </w:t>
      </w:r>
      <w:r w:rsidRPr="00FC562E">
        <w:rPr>
          <w:rFonts w:ascii="Times New Roman" w:eastAsia="Times New Roman" w:hAnsi="Times New Roman" w:cs="Times New Roman"/>
          <w:sz w:val="24"/>
          <w:szCs w:val="24"/>
        </w:rPr>
        <w:lastRenderedPageBreak/>
        <w:t>values were within accep</w:t>
      </w:r>
      <w:bookmarkStart w:id="0" w:name="_GoBack"/>
      <w:r w:rsidRPr="00FC562E">
        <w:rPr>
          <w:rFonts w:ascii="Times New Roman" w:eastAsia="Times New Roman" w:hAnsi="Times New Roman" w:cs="Times New Roman"/>
          <w:sz w:val="24"/>
          <w:szCs w:val="24"/>
        </w:rPr>
        <w:t>table</w:t>
      </w:r>
      <w:bookmarkEnd w:id="0"/>
      <w:r w:rsidRPr="00FC562E">
        <w:rPr>
          <w:rFonts w:ascii="Times New Roman" w:eastAsia="Times New Roman" w:hAnsi="Times New Roman" w:cs="Times New Roman"/>
          <w:sz w:val="24"/>
          <w:szCs w:val="24"/>
        </w:rPr>
        <w:t xml:space="preserve"> levels (skewness &lt; 2; kurtosis &lt; 7) and the values of the variance inflation factor (VIF) were between 1.21 and 2.04, which means that there are no issues with multicollinearity.</w:t>
      </w:r>
    </w:p>
    <w:p w14:paraId="232FF977" w14:textId="77777777" w:rsidR="008A0FE1" w:rsidRPr="00FC562E" w:rsidRDefault="001950F1">
      <w:pPr>
        <w:spacing w:before="280" w:after="280" w:line="240" w:lineRule="auto"/>
        <w:jc w:val="both"/>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Table 1. Respondent Profile (N = 265)</w:t>
      </w:r>
    </w:p>
    <w:tbl>
      <w:tblPr>
        <w:tblStyle w:val="a"/>
        <w:tblW w:w="9359" w:type="dxa"/>
        <w:tblInd w:w="0" w:type="dxa"/>
        <w:tblLayout w:type="fixed"/>
        <w:tblLook w:val="0400" w:firstRow="0" w:lastRow="0" w:firstColumn="0" w:lastColumn="0" w:noHBand="0" w:noVBand="1"/>
      </w:tblPr>
      <w:tblGrid>
        <w:gridCol w:w="2112"/>
        <w:gridCol w:w="3377"/>
        <w:gridCol w:w="1583"/>
        <w:gridCol w:w="2287"/>
      </w:tblGrid>
      <w:tr w:rsidR="008A0FE1" w:rsidRPr="00FC562E" w14:paraId="1B4FA314" w14:textId="77777777">
        <w:trPr>
          <w:trHeight w:val="284"/>
          <w:tblHeader/>
        </w:trPr>
        <w:tc>
          <w:tcPr>
            <w:tcW w:w="2112" w:type="dxa"/>
            <w:tcBorders>
              <w:top w:val="single" w:sz="4" w:space="0" w:color="000000"/>
              <w:bottom w:val="single" w:sz="4" w:space="0" w:color="000000"/>
            </w:tcBorders>
            <w:vAlign w:val="center"/>
          </w:tcPr>
          <w:p w14:paraId="02820AF9" w14:textId="77777777" w:rsidR="008A0FE1" w:rsidRPr="00FC562E" w:rsidRDefault="001950F1">
            <w:pPr>
              <w:spacing w:after="0" w:line="240" w:lineRule="auto"/>
              <w:jc w:val="center"/>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Characteristic</w:t>
            </w:r>
          </w:p>
        </w:tc>
        <w:tc>
          <w:tcPr>
            <w:tcW w:w="3377" w:type="dxa"/>
            <w:tcBorders>
              <w:top w:val="single" w:sz="4" w:space="0" w:color="000000"/>
              <w:bottom w:val="single" w:sz="4" w:space="0" w:color="000000"/>
            </w:tcBorders>
            <w:vAlign w:val="center"/>
          </w:tcPr>
          <w:p w14:paraId="51EBA389" w14:textId="77777777" w:rsidR="008A0FE1" w:rsidRPr="00FC562E" w:rsidRDefault="001950F1">
            <w:pPr>
              <w:spacing w:after="0" w:line="240" w:lineRule="auto"/>
              <w:jc w:val="center"/>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Category</w:t>
            </w:r>
          </w:p>
        </w:tc>
        <w:tc>
          <w:tcPr>
            <w:tcW w:w="1583" w:type="dxa"/>
            <w:tcBorders>
              <w:top w:val="single" w:sz="4" w:space="0" w:color="000000"/>
              <w:bottom w:val="single" w:sz="4" w:space="0" w:color="000000"/>
            </w:tcBorders>
            <w:vAlign w:val="center"/>
          </w:tcPr>
          <w:p w14:paraId="57ED97A3" w14:textId="77777777" w:rsidR="008A0FE1" w:rsidRPr="00FC562E" w:rsidRDefault="001950F1">
            <w:pPr>
              <w:spacing w:after="0" w:line="240" w:lineRule="auto"/>
              <w:jc w:val="center"/>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Frequency</w:t>
            </w:r>
          </w:p>
        </w:tc>
        <w:tc>
          <w:tcPr>
            <w:tcW w:w="2287" w:type="dxa"/>
            <w:tcBorders>
              <w:top w:val="single" w:sz="4" w:space="0" w:color="000000"/>
              <w:bottom w:val="single" w:sz="4" w:space="0" w:color="000000"/>
            </w:tcBorders>
            <w:vAlign w:val="center"/>
          </w:tcPr>
          <w:p w14:paraId="50DF2307" w14:textId="77777777" w:rsidR="008A0FE1" w:rsidRPr="00FC562E" w:rsidRDefault="001950F1">
            <w:pPr>
              <w:spacing w:after="0" w:line="240" w:lineRule="auto"/>
              <w:jc w:val="center"/>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Percentage (%)</w:t>
            </w:r>
          </w:p>
        </w:tc>
      </w:tr>
      <w:tr w:rsidR="008A0FE1" w:rsidRPr="00FC562E" w14:paraId="769C7D9E" w14:textId="77777777">
        <w:trPr>
          <w:trHeight w:val="299"/>
        </w:trPr>
        <w:tc>
          <w:tcPr>
            <w:tcW w:w="2112" w:type="dxa"/>
            <w:vAlign w:val="center"/>
          </w:tcPr>
          <w:p w14:paraId="59300072"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b/>
                <w:bCs/>
                <w:sz w:val="24"/>
                <w:szCs w:val="24"/>
              </w:rPr>
              <w:t>Sector</w:t>
            </w:r>
          </w:p>
        </w:tc>
        <w:tc>
          <w:tcPr>
            <w:tcW w:w="3377" w:type="dxa"/>
            <w:vAlign w:val="center"/>
          </w:tcPr>
          <w:p w14:paraId="218DE883"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Oil &amp; Gas</w:t>
            </w:r>
          </w:p>
        </w:tc>
        <w:tc>
          <w:tcPr>
            <w:tcW w:w="1583" w:type="dxa"/>
            <w:vAlign w:val="center"/>
          </w:tcPr>
          <w:p w14:paraId="5C1DADEC"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111</w:t>
            </w:r>
          </w:p>
        </w:tc>
        <w:tc>
          <w:tcPr>
            <w:tcW w:w="2287" w:type="dxa"/>
            <w:vAlign w:val="center"/>
          </w:tcPr>
          <w:p w14:paraId="79A629BF"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41.9</w:t>
            </w:r>
          </w:p>
        </w:tc>
      </w:tr>
      <w:tr w:rsidR="008A0FE1" w:rsidRPr="00FC562E" w14:paraId="37B00498" w14:textId="77777777">
        <w:trPr>
          <w:trHeight w:val="284"/>
        </w:trPr>
        <w:tc>
          <w:tcPr>
            <w:tcW w:w="2112" w:type="dxa"/>
            <w:vAlign w:val="center"/>
          </w:tcPr>
          <w:p w14:paraId="6C8C128D" w14:textId="77777777" w:rsidR="008A0FE1" w:rsidRPr="00FC562E" w:rsidRDefault="008A0FE1">
            <w:pPr>
              <w:spacing w:after="0" w:line="240" w:lineRule="auto"/>
              <w:rPr>
                <w:rFonts w:ascii="Times New Roman" w:eastAsia="Times New Roman" w:hAnsi="Times New Roman" w:cs="Times New Roman"/>
                <w:sz w:val="24"/>
                <w:szCs w:val="24"/>
              </w:rPr>
            </w:pPr>
          </w:p>
        </w:tc>
        <w:tc>
          <w:tcPr>
            <w:tcW w:w="3377" w:type="dxa"/>
            <w:vAlign w:val="center"/>
          </w:tcPr>
          <w:p w14:paraId="54B0AAAD"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Renewable Energy</w:t>
            </w:r>
          </w:p>
        </w:tc>
        <w:tc>
          <w:tcPr>
            <w:tcW w:w="1583" w:type="dxa"/>
            <w:vAlign w:val="center"/>
          </w:tcPr>
          <w:p w14:paraId="189087A4"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82</w:t>
            </w:r>
          </w:p>
        </w:tc>
        <w:tc>
          <w:tcPr>
            <w:tcW w:w="2287" w:type="dxa"/>
            <w:vAlign w:val="center"/>
          </w:tcPr>
          <w:p w14:paraId="7BB05B6B"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30.9</w:t>
            </w:r>
          </w:p>
        </w:tc>
      </w:tr>
      <w:tr w:rsidR="008A0FE1" w:rsidRPr="00FC562E" w14:paraId="6BBF1649" w14:textId="77777777">
        <w:trPr>
          <w:trHeight w:val="299"/>
        </w:trPr>
        <w:tc>
          <w:tcPr>
            <w:tcW w:w="2112" w:type="dxa"/>
            <w:vAlign w:val="center"/>
          </w:tcPr>
          <w:p w14:paraId="76AD0445" w14:textId="77777777" w:rsidR="008A0FE1" w:rsidRPr="00FC562E" w:rsidRDefault="008A0FE1">
            <w:pPr>
              <w:spacing w:after="0" w:line="240" w:lineRule="auto"/>
              <w:rPr>
                <w:rFonts w:ascii="Times New Roman" w:eastAsia="Times New Roman" w:hAnsi="Times New Roman" w:cs="Times New Roman"/>
                <w:sz w:val="24"/>
                <w:szCs w:val="24"/>
              </w:rPr>
            </w:pPr>
          </w:p>
        </w:tc>
        <w:tc>
          <w:tcPr>
            <w:tcW w:w="3377" w:type="dxa"/>
            <w:vAlign w:val="center"/>
          </w:tcPr>
          <w:p w14:paraId="6689CF17"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Power Infrastructure</w:t>
            </w:r>
          </w:p>
        </w:tc>
        <w:tc>
          <w:tcPr>
            <w:tcW w:w="1583" w:type="dxa"/>
            <w:vAlign w:val="center"/>
          </w:tcPr>
          <w:p w14:paraId="4FDA8124"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72</w:t>
            </w:r>
          </w:p>
        </w:tc>
        <w:tc>
          <w:tcPr>
            <w:tcW w:w="2287" w:type="dxa"/>
            <w:vAlign w:val="center"/>
          </w:tcPr>
          <w:p w14:paraId="0C992F7A"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27.2</w:t>
            </w:r>
          </w:p>
        </w:tc>
      </w:tr>
      <w:tr w:rsidR="008A0FE1" w:rsidRPr="00FC562E" w14:paraId="0EB49A83" w14:textId="77777777">
        <w:trPr>
          <w:trHeight w:val="284"/>
        </w:trPr>
        <w:tc>
          <w:tcPr>
            <w:tcW w:w="2112" w:type="dxa"/>
            <w:vAlign w:val="center"/>
          </w:tcPr>
          <w:p w14:paraId="1CC6ECDA"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b/>
                <w:bCs/>
                <w:sz w:val="24"/>
                <w:szCs w:val="24"/>
              </w:rPr>
              <w:t>Role</w:t>
            </w:r>
          </w:p>
        </w:tc>
        <w:tc>
          <w:tcPr>
            <w:tcW w:w="3377" w:type="dxa"/>
            <w:vAlign w:val="center"/>
          </w:tcPr>
          <w:p w14:paraId="1679241D"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Project Manager</w:t>
            </w:r>
          </w:p>
        </w:tc>
        <w:tc>
          <w:tcPr>
            <w:tcW w:w="1583" w:type="dxa"/>
            <w:vAlign w:val="center"/>
          </w:tcPr>
          <w:p w14:paraId="406B39DD"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96</w:t>
            </w:r>
          </w:p>
        </w:tc>
        <w:tc>
          <w:tcPr>
            <w:tcW w:w="2287" w:type="dxa"/>
            <w:vAlign w:val="center"/>
          </w:tcPr>
          <w:p w14:paraId="6C979824"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36.2</w:t>
            </w:r>
          </w:p>
        </w:tc>
      </w:tr>
      <w:tr w:rsidR="008A0FE1" w:rsidRPr="00FC562E" w14:paraId="563AC51F" w14:textId="77777777">
        <w:trPr>
          <w:trHeight w:val="284"/>
        </w:trPr>
        <w:tc>
          <w:tcPr>
            <w:tcW w:w="2112" w:type="dxa"/>
            <w:vAlign w:val="center"/>
          </w:tcPr>
          <w:p w14:paraId="4198499D" w14:textId="77777777" w:rsidR="008A0FE1" w:rsidRPr="00FC562E" w:rsidRDefault="008A0FE1">
            <w:pPr>
              <w:spacing w:after="0" w:line="240" w:lineRule="auto"/>
              <w:rPr>
                <w:rFonts w:ascii="Times New Roman" w:eastAsia="Times New Roman" w:hAnsi="Times New Roman" w:cs="Times New Roman"/>
                <w:sz w:val="24"/>
                <w:szCs w:val="24"/>
              </w:rPr>
            </w:pPr>
          </w:p>
        </w:tc>
        <w:tc>
          <w:tcPr>
            <w:tcW w:w="3377" w:type="dxa"/>
            <w:vAlign w:val="center"/>
          </w:tcPr>
          <w:p w14:paraId="0A4CE474"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Engineer</w:t>
            </w:r>
          </w:p>
        </w:tc>
        <w:tc>
          <w:tcPr>
            <w:tcW w:w="1583" w:type="dxa"/>
            <w:vAlign w:val="center"/>
          </w:tcPr>
          <w:p w14:paraId="42E4F681"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88</w:t>
            </w:r>
          </w:p>
        </w:tc>
        <w:tc>
          <w:tcPr>
            <w:tcW w:w="2287" w:type="dxa"/>
            <w:vAlign w:val="center"/>
          </w:tcPr>
          <w:p w14:paraId="64D18DD3"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33.2</w:t>
            </w:r>
          </w:p>
        </w:tc>
      </w:tr>
      <w:tr w:rsidR="008A0FE1" w:rsidRPr="00FC562E" w14:paraId="06574838" w14:textId="77777777">
        <w:trPr>
          <w:trHeight w:val="299"/>
        </w:trPr>
        <w:tc>
          <w:tcPr>
            <w:tcW w:w="2112" w:type="dxa"/>
            <w:vAlign w:val="center"/>
          </w:tcPr>
          <w:p w14:paraId="27A91E90" w14:textId="77777777" w:rsidR="008A0FE1" w:rsidRPr="00FC562E" w:rsidRDefault="008A0FE1">
            <w:pPr>
              <w:spacing w:after="0" w:line="240" w:lineRule="auto"/>
              <w:rPr>
                <w:rFonts w:ascii="Times New Roman" w:eastAsia="Times New Roman" w:hAnsi="Times New Roman" w:cs="Times New Roman"/>
                <w:sz w:val="24"/>
                <w:szCs w:val="24"/>
              </w:rPr>
            </w:pPr>
          </w:p>
        </w:tc>
        <w:tc>
          <w:tcPr>
            <w:tcW w:w="3377" w:type="dxa"/>
            <w:vAlign w:val="center"/>
          </w:tcPr>
          <w:p w14:paraId="1E064E29"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Quality/Safety Specialist</w:t>
            </w:r>
          </w:p>
        </w:tc>
        <w:tc>
          <w:tcPr>
            <w:tcW w:w="1583" w:type="dxa"/>
            <w:vAlign w:val="center"/>
          </w:tcPr>
          <w:p w14:paraId="72F1382F"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44</w:t>
            </w:r>
          </w:p>
        </w:tc>
        <w:tc>
          <w:tcPr>
            <w:tcW w:w="2287" w:type="dxa"/>
            <w:vAlign w:val="center"/>
          </w:tcPr>
          <w:p w14:paraId="2B05533E"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16.6</w:t>
            </w:r>
          </w:p>
        </w:tc>
      </w:tr>
      <w:tr w:rsidR="008A0FE1" w:rsidRPr="00FC562E" w14:paraId="4CF40C08" w14:textId="77777777">
        <w:trPr>
          <w:trHeight w:val="284"/>
        </w:trPr>
        <w:tc>
          <w:tcPr>
            <w:tcW w:w="2112" w:type="dxa"/>
            <w:vAlign w:val="center"/>
          </w:tcPr>
          <w:p w14:paraId="5D7A45E3" w14:textId="77777777" w:rsidR="008A0FE1" w:rsidRPr="00FC562E" w:rsidRDefault="008A0FE1">
            <w:pPr>
              <w:spacing w:after="0" w:line="240" w:lineRule="auto"/>
              <w:rPr>
                <w:rFonts w:ascii="Times New Roman" w:eastAsia="Times New Roman" w:hAnsi="Times New Roman" w:cs="Times New Roman"/>
                <w:sz w:val="24"/>
                <w:szCs w:val="24"/>
              </w:rPr>
            </w:pPr>
          </w:p>
        </w:tc>
        <w:tc>
          <w:tcPr>
            <w:tcW w:w="3377" w:type="dxa"/>
            <w:vAlign w:val="center"/>
          </w:tcPr>
          <w:p w14:paraId="36D8027D"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Operations/Other</w:t>
            </w:r>
          </w:p>
        </w:tc>
        <w:tc>
          <w:tcPr>
            <w:tcW w:w="1583" w:type="dxa"/>
            <w:vAlign w:val="center"/>
          </w:tcPr>
          <w:p w14:paraId="17E433E7"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37</w:t>
            </w:r>
          </w:p>
        </w:tc>
        <w:tc>
          <w:tcPr>
            <w:tcW w:w="2287" w:type="dxa"/>
            <w:vAlign w:val="center"/>
          </w:tcPr>
          <w:p w14:paraId="28A7EB21"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14.0</w:t>
            </w:r>
          </w:p>
        </w:tc>
      </w:tr>
      <w:tr w:rsidR="008A0FE1" w:rsidRPr="00FC562E" w14:paraId="1EC5E0BA" w14:textId="77777777">
        <w:trPr>
          <w:trHeight w:val="299"/>
        </w:trPr>
        <w:tc>
          <w:tcPr>
            <w:tcW w:w="2112" w:type="dxa"/>
            <w:vAlign w:val="center"/>
          </w:tcPr>
          <w:p w14:paraId="497E6DD7"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b/>
                <w:bCs/>
                <w:sz w:val="24"/>
                <w:szCs w:val="24"/>
              </w:rPr>
              <w:t>Experience</w:t>
            </w:r>
          </w:p>
        </w:tc>
        <w:tc>
          <w:tcPr>
            <w:tcW w:w="3377" w:type="dxa"/>
            <w:vAlign w:val="center"/>
          </w:tcPr>
          <w:p w14:paraId="1248B044"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&lt; 10 years</w:t>
            </w:r>
          </w:p>
        </w:tc>
        <w:tc>
          <w:tcPr>
            <w:tcW w:w="1583" w:type="dxa"/>
            <w:vAlign w:val="center"/>
          </w:tcPr>
          <w:p w14:paraId="099EEE68"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61</w:t>
            </w:r>
          </w:p>
        </w:tc>
        <w:tc>
          <w:tcPr>
            <w:tcW w:w="2287" w:type="dxa"/>
            <w:vAlign w:val="center"/>
          </w:tcPr>
          <w:p w14:paraId="312CCD1F"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23.0</w:t>
            </w:r>
          </w:p>
        </w:tc>
      </w:tr>
      <w:tr w:rsidR="008A0FE1" w:rsidRPr="00FC562E" w14:paraId="3BE03244" w14:textId="77777777">
        <w:trPr>
          <w:trHeight w:val="284"/>
        </w:trPr>
        <w:tc>
          <w:tcPr>
            <w:tcW w:w="2112" w:type="dxa"/>
            <w:vAlign w:val="center"/>
          </w:tcPr>
          <w:p w14:paraId="284AF778" w14:textId="77777777" w:rsidR="008A0FE1" w:rsidRPr="00FC562E" w:rsidRDefault="008A0FE1">
            <w:pPr>
              <w:spacing w:after="0" w:line="240" w:lineRule="auto"/>
              <w:rPr>
                <w:rFonts w:ascii="Times New Roman" w:eastAsia="Times New Roman" w:hAnsi="Times New Roman" w:cs="Times New Roman"/>
                <w:sz w:val="24"/>
                <w:szCs w:val="24"/>
              </w:rPr>
            </w:pPr>
          </w:p>
        </w:tc>
        <w:tc>
          <w:tcPr>
            <w:tcW w:w="3377" w:type="dxa"/>
            <w:vAlign w:val="center"/>
          </w:tcPr>
          <w:p w14:paraId="5F047D66"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10–20 years</w:t>
            </w:r>
          </w:p>
        </w:tc>
        <w:tc>
          <w:tcPr>
            <w:tcW w:w="1583" w:type="dxa"/>
            <w:vAlign w:val="center"/>
          </w:tcPr>
          <w:p w14:paraId="4A4BA4D8"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123</w:t>
            </w:r>
          </w:p>
        </w:tc>
        <w:tc>
          <w:tcPr>
            <w:tcW w:w="2287" w:type="dxa"/>
            <w:vAlign w:val="center"/>
          </w:tcPr>
          <w:p w14:paraId="52FFD6CC"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46.4</w:t>
            </w:r>
          </w:p>
        </w:tc>
      </w:tr>
      <w:tr w:rsidR="008A0FE1" w:rsidRPr="00FC562E" w14:paraId="05324197" w14:textId="77777777">
        <w:trPr>
          <w:trHeight w:val="284"/>
        </w:trPr>
        <w:tc>
          <w:tcPr>
            <w:tcW w:w="2112" w:type="dxa"/>
            <w:tcBorders>
              <w:bottom w:val="single" w:sz="4" w:space="0" w:color="000000"/>
            </w:tcBorders>
            <w:vAlign w:val="center"/>
          </w:tcPr>
          <w:p w14:paraId="22F53299" w14:textId="77777777" w:rsidR="008A0FE1" w:rsidRPr="00FC562E" w:rsidRDefault="008A0FE1">
            <w:pPr>
              <w:spacing w:after="0" w:line="240" w:lineRule="auto"/>
              <w:rPr>
                <w:rFonts w:ascii="Times New Roman" w:eastAsia="Times New Roman" w:hAnsi="Times New Roman" w:cs="Times New Roman"/>
                <w:sz w:val="24"/>
                <w:szCs w:val="24"/>
              </w:rPr>
            </w:pPr>
          </w:p>
        </w:tc>
        <w:tc>
          <w:tcPr>
            <w:tcW w:w="3377" w:type="dxa"/>
            <w:tcBorders>
              <w:bottom w:val="single" w:sz="4" w:space="0" w:color="000000"/>
            </w:tcBorders>
            <w:vAlign w:val="center"/>
          </w:tcPr>
          <w:p w14:paraId="33A2CD88"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&gt; 20 years</w:t>
            </w:r>
          </w:p>
        </w:tc>
        <w:tc>
          <w:tcPr>
            <w:tcW w:w="1583" w:type="dxa"/>
            <w:tcBorders>
              <w:bottom w:val="single" w:sz="4" w:space="0" w:color="000000"/>
            </w:tcBorders>
            <w:vAlign w:val="center"/>
          </w:tcPr>
          <w:p w14:paraId="07B3ABDB"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81</w:t>
            </w:r>
          </w:p>
        </w:tc>
        <w:tc>
          <w:tcPr>
            <w:tcW w:w="2287" w:type="dxa"/>
            <w:tcBorders>
              <w:bottom w:val="single" w:sz="4" w:space="0" w:color="000000"/>
            </w:tcBorders>
            <w:vAlign w:val="center"/>
          </w:tcPr>
          <w:p w14:paraId="12D4B50C"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30.6</w:t>
            </w:r>
          </w:p>
        </w:tc>
      </w:tr>
    </w:tbl>
    <w:p w14:paraId="740AE21E" w14:textId="77777777" w:rsidR="008A0FE1" w:rsidRPr="00FC562E" w:rsidRDefault="001950F1">
      <w:pPr>
        <w:spacing w:before="280" w:after="280" w:line="240" w:lineRule="auto"/>
        <w:jc w:val="both"/>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 xml:space="preserve">Source: </w:t>
      </w:r>
      <w:r w:rsidRPr="00FC562E">
        <w:rPr>
          <w:rFonts w:ascii="Times New Roman" w:eastAsia="Times New Roman" w:hAnsi="Times New Roman" w:cs="Times New Roman"/>
          <w:sz w:val="24"/>
          <w:szCs w:val="24"/>
        </w:rPr>
        <w:t>Author’s Computation (2026)</w:t>
      </w:r>
      <w:r w:rsidRPr="00FC562E">
        <w:rPr>
          <w:rFonts w:ascii="Times New Roman" w:eastAsia="Times New Roman" w:hAnsi="Times New Roman" w:cs="Times New Roman"/>
          <w:b/>
          <w:bCs/>
          <w:sz w:val="24"/>
          <w:szCs w:val="24"/>
        </w:rPr>
        <w:t xml:space="preserve"> </w:t>
      </w:r>
    </w:p>
    <w:p w14:paraId="609195CD" w14:textId="77777777" w:rsidR="008A0FE1" w:rsidRPr="00FC562E" w:rsidRDefault="001950F1">
      <w:pPr>
        <w:spacing w:before="280" w:after="280" w:line="240" w:lineRule="auto"/>
        <w:jc w:val="both"/>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Discussion of Respondent Profile</w:t>
      </w:r>
    </w:p>
    <w:p w14:paraId="4C2CD1E2"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As it is mentioned in Table 1, the sample is representative of the major energy subsectors where the oil and gas (41.9%), renewable energy (30.9%), and power infrastructure (27.2) are represented. The distribution facilitates the cross-sectoral generalizability of the results in the energy sector. The composition of the roles incorporates both the managerial and technical point of view where 36.2% and 33.2% of those interviewed are project managers and engineers respectively with quality/safety and operational staff augmenting this. The diversity positively boosts the strength of the perceptual measurements concerning organizational practice and performance of delivering.</w:t>
      </w:r>
    </w:p>
    <w:p w14:paraId="6E7CA0F8"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In addition, the experience profile indicates that 77.0 percent of the sampled respondents have over ten years of industry experience, and therefore they are highly professional. The influence of the experienced practitioners increases the validity of the information since the respondents have the right perspectives to assess the organizational processes and performance results. All in all, the profile of the respondents is a good and well-balanced basis upon which further empirical research can be conducted based on the profile of the respondents.</w:t>
      </w:r>
    </w:p>
    <w:p w14:paraId="3E382A14" w14:textId="77777777" w:rsidR="008A0FE1" w:rsidRPr="00FC562E" w:rsidRDefault="001950F1">
      <w:pPr>
        <w:spacing w:before="280" w:after="280" w:line="240" w:lineRule="auto"/>
        <w:jc w:val="both"/>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4.2 Measurement Model Assessment</w:t>
      </w:r>
    </w:p>
    <w:p w14:paraId="0BB30EF8"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This part assesses the measurement model to determine if the responses matched the measurement model. To test the hypothesis, a confirmatory factor analysis (CFA) is used to first validate and test the reliability of the model for measurement. Following recommended SEM guidelines (Hair et al., 2019), measurement reliability and validity were evaluated using multiple criteria. Standardized factor loadings above 0.70, composite reliability values exceeding 0.70, and average variance extracted (AVE) values above 0.50 were considered acceptable thresholds for establishing convergent validity.</w:t>
      </w:r>
    </w:p>
    <w:p w14:paraId="6F52016E" w14:textId="77777777" w:rsidR="008A0FE1" w:rsidRPr="00FC562E" w:rsidRDefault="001950F1">
      <w:pPr>
        <w:spacing w:before="280" w:after="28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lastRenderedPageBreak/>
        <w:t>Table 2. Measurement Model Statistics</w:t>
      </w:r>
    </w:p>
    <w:tbl>
      <w:tblPr>
        <w:tblStyle w:val="a0"/>
        <w:tblW w:w="9026" w:type="dxa"/>
        <w:tblInd w:w="0" w:type="dxa"/>
        <w:tblLayout w:type="fixed"/>
        <w:tblLook w:val="0400" w:firstRow="0" w:lastRow="0" w:firstColumn="0" w:lastColumn="0" w:noHBand="0" w:noVBand="1"/>
      </w:tblPr>
      <w:tblGrid>
        <w:gridCol w:w="2510"/>
        <w:gridCol w:w="2142"/>
        <w:gridCol w:w="1856"/>
        <w:gridCol w:w="1936"/>
        <w:gridCol w:w="582"/>
      </w:tblGrid>
      <w:tr w:rsidR="008A0FE1" w:rsidRPr="00FC562E" w14:paraId="7FA66FBC" w14:textId="77777777">
        <w:trPr>
          <w:tblHeader/>
        </w:trPr>
        <w:tc>
          <w:tcPr>
            <w:tcW w:w="2510" w:type="dxa"/>
            <w:tcBorders>
              <w:top w:val="single" w:sz="4" w:space="0" w:color="000000"/>
              <w:bottom w:val="single" w:sz="4" w:space="0" w:color="000000"/>
            </w:tcBorders>
            <w:vAlign w:val="center"/>
          </w:tcPr>
          <w:p w14:paraId="380DC1C9" w14:textId="77777777" w:rsidR="008A0FE1" w:rsidRPr="00FC562E" w:rsidRDefault="001950F1">
            <w:pPr>
              <w:spacing w:after="0" w:line="240" w:lineRule="auto"/>
              <w:jc w:val="center"/>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Construct</w:t>
            </w:r>
          </w:p>
        </w:tc>
        <w:tc>
          <w:tcPr>
            <w:tcW w:w="2142" w:type="dxa"/>
            <w:tcBorders>
              <w:top w:val="single" w:sz="4" w:space="0" w:color="000000"/>
              <w:bottom w:val="single" w:sz="4" w:space="0" w:color="000000"/>
            </w:tcBorders>
            <w:vAlign w:val="center"/>
          </w:tcPr>
          <w:p w14:paraId="02D01A5C" w14:textId="77777777" w:rsidR="008A0FE1" w:rsidRPr="00FC562E" w:rsidRDefault="001950F1">
            <w:pPr>
              <w:spacing w:after="0" w:line="240" w:lineRule="auto"/>
              <w:jc w:val="center"/>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Indicator</w:t>
            </w:r>
          </w:p>
        </w:tc>
        <w:tc>
          <w:tcPr>
            <w:tcW w:w="1856" w:type="dxa"/>
            <w:tcBorders>
              <w:top w:val="single" w:sz="4" w:space="0" w:color="000000"/>
              <w:bottom w:val="single" w:sz="4" w:space="0" w:color="000000"/>
            </w:tcBorders>
            <w:vAlign w:val="center"/>
          </w:tcPr>
          <w:p w14:paraId="048FE2D7" w14:textId="77777777" w:rsidR="008A0FE1" w:rsidRPr="00FC562E" w:rsidRDefault="001950F1">
            <w:pPr>
              <w:spacing w:after="0" w:line="240" w:lineRule="auto"/>
              <w:jc w:val="center"/>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Standardized Loading</w:t>
            </w:r>
          </w:p>
        </w:tc>
        <w:tc>
          <w:tcPr>
            <w:tcW w:w="1936" w:type="dxa"/>
            <w:tcBorders>
              <w:top w:val="single" w:sz="4" w:space="0" w:color="000000"/>
              <w:bottom w:val="single" w:sz="4" w:space="0" w:color="000000"/>
            </w:tcBorders>
            <w:vAlign w:val="center"/>
          </w:tcPr>
          <w:p w14:paraId="1EFDF40D" w14:textId="77777777" w:rsidR="008A0FE1" w:rsidRPr="00FC562E" w:rsidRDefault="001950F1">
            <w:pPr>
              <w:spacing w:after="0" w:line="240" w:lineRule="auto"/>
              <w:jc w:val="center"/>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Composite Reliability (CR)</w:t>
            </w:r>
          </w:p>
        </w:tc>
        <w:tc>
          <w:tcPr>
            <w:tcW w:w="582" w:type="dxa"/>
            <w:tcBorders>
              <w:top w:val="single" w:sz="4" w:space="0" w:color="000000"/>
              <w:bottom w:val="single" w:sz="4" w:space="0" w:color="000000"/>
            </w:tcBorders>
            <w:vAlign w:val="center"/>
          </w:tcPr>
          <w:p w14:paraId="0F886C11" w14:textId="77777777" w:rsidR="008A0FE1" w:rsidRPr="00FC562E" w:rsidRDefault="001950F1">
            <w:pPr>
              <w:spacing w:after="0" w:line="240" w:lineRule="auto"/>
              <w:jc w:val="center"/>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AVE</w:t>
            </w:r>
          </w:p>
        </w:tc>
      </w:tr>
      <w:tr w:rsidR="008A0FE1" w:rsidRPr="00FC562E" w14:paraId="4E0D4A5D" w14:textId="77777777">
        <w:tc>
          <w:tcPr>
            <w:tcW w:w="2510" w:type="dxa"/>
            <w:vAlign w:val="center"/>
          </w:tcPr>
          <w:p w14:paraId="2F197BE7"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b/>
                <w:bCs/>
                <w:sz w:val="24"/>
                <w:szCs w:val="24"/>
              </w:rPr>
              <w:t>Continuous Improvement Practices</w:t>
            </w:r>
          </w:p>
        </w:tc>
        <w:tc>
          <w:tcPr>
            <w:tcW w:w="2142" w:type="dxa"/>
            <w:vAlign w:val="center"/>
          </w:tcPr>
          <w:p w14:paraId="7FB32973"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Process Standardization</w:t>
            </w:r>
          </w:p>
        </w:tc>
        <w:tc>
          <w:tcPr>
            <w:tcW w:w="1856" w:type="dxa"/>
            <w:vAlign w:val="center"/>
          </w:tcPr>
          <w:p w14:paraId="174A2D7F"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0.81</w:t>
            </w:r>
          </w:p>
        </w:tc>
        <w:tc>
          <w:tcPr>
            <w:tcW w:w="1936" w:type="dxa"/>
            <w:vAlign w:val="center"/>
          </w:tcPr>
          <w:p w14:paraId="13C01943"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0.89</w:t>
            </w:r>
          </w:p>
        </w:tc>
        <w:tc>
          <w:tcPr>
            <w:tcW w:w="582" w:type="dxa"/>
            <w:vAlign w:val="center"/>
          </w:tcPr>
          <w:p w14:paraId="4B95D4B0"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0.62</w:t>
            </w:r>
          </w:p>
        </w:tc>
      </w:tr>
      <w:tr w:rsidR="008A0FE1" w:rsidRPr="00FC562E" w14:paraId="029D2AD6" w14:textId="77777777">
        <w:tc>
          <w:tcPr>
            <w:tcW w:w="2510" w:type="dxa"/>
            <w:vAlign w:val="center"/>
          </w:tcPr>
          <w:p w14:paraId="6EEAB73C" w14:textId="77777777" w:rsidR="008A0FE1" w:rsidRPr="00FC562E" w:rsidRDefault="008A0FE1">
            <w:pPr>
              <w:spacing w:after="0" w:line="240" w:lineRule="auto"/>
              <w:rPr>
                <w:rFonts w:ascii="Times New Roman" w:eastAsia="Times New Roman" w:hAnsi="Times New Roman" w:cs="Times New Roman"/>
                <w:sz w:val="24"/>
                <w:szCs w:val="24"/>
              </w:rPr>
            </w:pPr>
          </w:p>
        </w:tc>
        <w:tc>
          <w:tcPr>
            <w:tcW w:w="2142" w:type="dxa"/>
            <w:vAlign w:val="center"/>
          </w:tcPr>
          <w:p w14:paraId="3D8476C0"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Structured Problem Solving</w:t>
            </w:r>
          </w:p>
        </w:tc>
        <w:tc>
          <w:tcPr>
            <w:tcW w:w="1856" w:type="dxa"/>
            <w:vAlign w:val="center"/>
          </w:tcPr>
          <w:p w14:paraId="1DCC8AA1"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0.84</w:t>
            </w:r>
          </w:p>
        </w:tc>
        <w:tc>
          <w:tcPr>
            <w:tcW w:w="1936" w:type="dxa"/>
            <w:vAlign w:val="center"/>
          </w:tcPr>
          <w:p w14:paraId="4AEF0506" w14:textId="77777777" w:rsidR="008A0FE1" w:rsidRPr="00FC562E" w:rsidRDefault="008A0FE1">
            <w:pPr>
              <w:spacing w:after="0" w:line="240" w:lineRule="auto"/>
              <w:rPr>
                <w:rFonts w:ascii="Times New Roman" w:eastAsia="Times New Roman" w:hAnsi="Times New Roman" w:cs="Times New Roman"/>
                <w:sz w:val="24"/>
                <w:szCs w:val="24"/>
              </w:rPr>
            </w:pPr>
          </w:p>
        </w:tc>
        <w:tc>
          <w:tcPr>
            <w:tcW w:w="582" w:type="dxa"/>
            <w:vAlign w:val="center"/>
          </w:tcPr>
          <w:p w14:paraId="4EA09C68" w14:textId="77777777" w:rsidR="008A0FE1" w:rsidRPr="00FC562E" w:rsidRDefault="008A0FE1">
            <w:pPr>
              <w:spacing w:after="0" w:line="240" w:lineRule="auto"/>
              <w:rPr>
                <w:rFonts w:ascii="Times New Roman" w:eastAsia="Times New Roman" w:hAnsi="Times New Roman" w:cs="Times New Roman"/>
                <w:sz w:val="24"/>
                <w:szCs w:val="24"/>
              </w:rPr>
            </w:pPr>
          </w:p>
        </w:tc>
      </w:tr>
      <w:tr w:rsidR="008A0FE1" w:rsidRPr="00FC562E" w14:paraId="2F325840" w14:textId="77777777">
        <w:tc>
          <w:tcPr>
            <w:tcW w:w="2510" w:type="dxa"/>
            <w:vAlign w:val="center"/>
          </w:tcPr>
          <w:p w14:paraId="6280FA2E" w14:textId="77777777" w:rsidR="008A0FE1" w:rsidRPr="00FC562E" w:rsidRDefault="008A0FE1">
            <w:pPr>
              <w:spacing w:after="0" w:line="240" w:lineRule="auto"/>
              <w:rPr>
                <w:rFonts w:ascii="Times New Roman" w:eastAsia="Times New Roman" w:hAnsi="Times New Roman" w:cs="Times New Roman"/>
                <w:sz w:val="24"/>
                <w:szCs w:val="24"/>
              </w:rPr>
            </w:pPr>
          </w:p>
        </w:tc>
        <w:tc>
          <w:tcPr>
            <w:tcW w:w="2142" w:type="dxa"/>
            <w:vAlign w:val="center"/>
          </w:tcPr>
          <w:p w14:paraId="090A9786"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Employee Involvement</w:t>
            </w:r>
          </w:p>
        </w:tc>
        <w:tc>
          <w:tcPr>
            <w:tcW w:w="1856" w:type="dxa"/>
            <w:vAlign w:val="center"/>
          </w:tcPr>
          <w:p w14:paraId="7663ADDE"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0.76</w:t>
            </w:r>
          </w:p>
        </w:tc>
        <w:tc>
          <w:tcPr>
            <w:tcW w:w="1936" w:type="dxa"/>
            <w:vAlign w:val="center"/>
          </w:tcPr>
          <w:p w14:paraId="691214B5" w14:textId="77777777" w:rsidR="008A0FE1" w:rsidRPr="00FC562E" w:rsidRDefault="008A0FE1">
            <w:pPr>
              <w:spacing w:after="0" w:line="240" w:lineRule="auto"/>
              <w:rPr>
                <w:rFonts w:ascii="Times New Roman" w:eastAsia="Times New Roman" w:hAnsi="Times New Roman" w:cs="Times New Roman"/>
                <w:sz w:val="24"/>
                <w:szCs w:val="24"/>
              </w:rPr>
            </w:pPr>
          </w:p>
        </w:tc>
        <w:tc>
          <w:tcPr>
            <w:tcW w:w="582" w:type="dxa"/>
            <w:vAlign w:val="center"/>
          </w:tcPr>
          <w:p w14:paraId="75B155B8" w14:textId="77777777" w:rsidR="008A0FE1" w:rsidRPr="00FC562E" w:rsidRDefault="008A0FE1">
            <w:pPr>
              <w:spacing w:after="0" w:line="240" w:lineRule="auto"/>
              <w:rPr>
                <w:rFonts w:ascii="Times New Roman" w:eastAsia="Times New Roman" w:hAnsi="Times New Roman" w:cs="Times New Roman"/>
                <w:sz w:val="24"/>
                <w:szCs w:val="24"/>
              </w:rPr>
            </w:pPr>
          </w:p>
        </w:tc>
      </w:tr>
      <w:tr w:rsidR="008A0FE1" w:rsidRPr="00FC562E" w14:paraId="4133A41E" w14:textId="77777777">
        <w:tc>
          <w:tcPr>
            <w:tcW w:w="2510" w:type="dxa"/>
            <w:vAlign w:val="center"/>
          </w:tcPr>
          <w:p w14:paraId="39705203" w14:textId="77777777" w:rsidR="008A0FE1" w:rsidRPr="00FC562E" w:rsidRDefault="008A0FE1">
            <w:pPr>
              <w:spacing w:after="0" w:line="240" w:lineRule="auto"/>
              <w:rPr>
                <w:rFonts w:ascii="Times New Roman" w:eastAsia="Times New Roman" w:hAnsi="Times New Roman" w:cs="Times New Roman"/>
                <w:sz w:val="24"/>
                <w:szCs w:val="24"/>
              </w:rPr>
            </w:pPr>
          </w:p>
        </w:tc>
        <w:tc>
          <w:tcPr>
            <w:tcW w:w="2142" w:type="dxa"/>
            <w:vAlign w:val="center"/>
          </w:tcPr>
          <w:p w14:paraId="250710DD"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Feedback &amp; Learning Loops</w:t>
            </w:r>
          </w:p>
        </w:tc>
        <w:tc>
          <w:tcPr>
            <w:tcW w:w="1856" w:type="dxa"/>
            <w:vAlign w:val="center"/>
          </w:tcPr>
          <w:p w14:paraId="1B1EA49C"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0.79</w:t>
            </w:r>
          </w:p>
        </w:tc>
        <w:tc>
          <w:tcPr>
            <w:tcW w:w="1936" w:type="dxa"/>
            <w:vAlign w:val="center"/>
          </w:tcPr>
          <w:p w14:paraId="019DC29A" w14:textId="77777777" w:rsidR="008A0FE1" w:rsidRPr="00FC562E" w:rsidRDefault="008A0FE1">
            <w:pPr>
              <w:spacing w:after="0" w:line="240" w:lineRule="auto"/>
              <w:rPr>
                <w:rFonts w:ascii="Times New Roman" w:eastAsia="Times New Roman" w:hAnsi="Times New Roman" w:cs="Times New Roman"/>
                <w:sz w:val="24"/>
                <w:szCs w:val="24"/>
              </w:rPr>
            </w:pPr>
          </w:p>
        </w:tc>
        <w:tc>
          <w:tcPr>
            <w:tcW w:w="582" w:type="dxa"/>
            <w:vAlign w:val="center"/>
          </w:tcPr>
          <w:p w14:paraId="1C3F3DD4" w14:textId="77777777" w:rsidR="008A0FE1" w:rsidRPr="00FC562E" w:rsidRDefault="008A0FE1">
            <w:pPr>
              <w:spacing w:after="0" w:line="240" w:lineRule="auto"/>
              <w:rPr>
                <w:rFonts w:ascii="Times New Roman" w:eastAsia="Times New Roman" w:hAnsi="Times New Roman" w:cs="Times New Roman"/>
                <w:sz w:val="24"/>
                <w:szCs w:val="24"/>
              </w:rPr>
            </w:pPr>
          </w:p>
        </w:tc>
      </w:tr>
      <w:tr w:rsidR="008A0FE1" w:rsidRPr="00FC562E" w14:paraId="0C01FCC8" w14:textId="77777777">
        <w:tc>
          <w:tcPr>
            <w:tcW w:w="2510" w:type="dxa"/>
            <w:vAlign w:val="center"/>
          </w:tcPr>
          <w:p w14:paraId="752BD76B"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b/>
                <w:bCs/>
                <w:sz w:val="24"/>
                <w:szCs w:val="24"/>
              </w:rPr>
              <w:t>Project Delivery Performance</w:t>
            </w:r>
          </w:p>
        </w:tc>
        <w:tc>
          <w:tcPr>
            <w:tcW w:w="2142" w:type="dxa"/>
            <w:vAlign w:val="center"/>
          </w:tcPr>
          <w:p w14:paraId="2DF4152A"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Schedule Performance</w:t>
            </w:r>
          </w:p>
        </w:tc>
        <w:tc>
          <w:tcPr>
            <w:tcW w:w="1856" w:type="dxa"/>
            <w:vAlign w:val="center"/>
          </w:tcPr>
          <w:p w14:paraId="07DCB850"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0.83</w:t>
            </w:r>
          </w:p>
        </w:tc>
        <w:tc>
          <w:tcPr>
            <w:tcW w:w="1936" w:type="dxa"/>
            <w:vAlign w:val="center"/>
          </w:tcPr>
          <w:p w14:paraId="3997968D"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0.91</w:t>
            </w:r>
          </w:p>
        </w:tc>
        <w:tc>
          <w:tcPr>
            <w:tcW w:w="582" w:type="dxa"/>
            <w:vAlign w:val="center"/>
          </w:tcPr>
          <w:p w14:paraId="07776FA0"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0.67</w:t>
            </w:r>
          </w:p>
        </w:tc>
      </w:tr>
      <w:tr w:rsidR="008A0FE1" w:rsidRPr="00FC562E" w14:paraId="7B61EF67" w14:textId="77777777">
        <w:tc>
          <w:tcPr>
            <w:tcW w:w="2510" w:type="dxa"/>
            <w:vAlign w:val="center"/>
          </w:tcPr>
          <w:p w14:paraId="434B4C37" w14:textId="77777777" w:rsidR="008A0FE1" w:rsidRPr="00FC562E" w:rsidRDefault="008A0FE1">
            <w:pPr>
              <w:spacing w:after="0" w:line="240" w:lineRule="auto"/>
              <w:rPr>
                <w:rFonts w:ascii="Times New Roman" w:eastAsia="Times New Roman" w:hAnsi="Times New Roman" w:cs="Times New Roman"/>
                <w:sz w:val="24"/>
                <w:szCs w:val="24"/>
              </w:rPr>
            </w:pPr>
          </w:p>
        </w:tc>
        <w:tc>
          <w:tcPr>
            <w:tcW w:w="2142" w:type="dxa"/>
            <w:vAlign w:val="center"/>
          </w:tcPr>
          <w:p w14:paraId="3AB79F5D"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Cost Performance</w:t>
            </w:r>
          </w:p>
        </w:tc>
        <w:tc>
          <w:tcPr>
            <w:tcW w:w="1856" w:type="dxa"/>
            <w:vAlign w:val="center"/>
          </w:tcPr>
          <w:p w14:paraId="31699445"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0.78</w:t>
            </w:r>
          </w:p>
        </w:tc>
        <w:tc>
          <w:tcPr>
            <w:tcW w:w="1936" w:type="dxa"/>
            <w:vAlign w:val="center"/>
          </w:tcPr>
          <w:p w14:paraId="3A69DA9B" w14:textId="77777777" w:rsidR="008A0FE1" w:rsidRPr="00FC562E" w:rsidRDefault="008A0FE1">
            <w:pPr>
              <w:spacing w:after="0" w:line="240" w:lineRule="auto"/>
              <w:rPr>
                <w:rFonts w:ascii="Times New Roman" w:eastAsia="Times New Roman" w:hAnsi="Times New Roman" w:cs="Times New Roman"/>
                <w:sz w:val="24"/>
                <w:szCs w:val="24"/>
              </w:rPr>
            </w:pPr>
          </w:p>
        </w:tc>
        <w:tc>
          <w:tcPr>
            <w:tcW w:w="582" w:type="dxa"/>
            <w:vAlign w:val="center"/>
          </w:tcPr>
          <w:p w14:paraId="09F4475A" w14:textId="77777777" w:rsidR="008A0FE1" w:rsidRPr="00FC562E" w:rsidRDefault="008A0FE1">
            <w:pPr>
              <w:spacing w:after="0" w:line="240" w:lineRule="auto"/>
              <w:rPr>
                <w:rFonts w:ascii="Times New Roman" w:eastAsia="Times New Roman" w:hAnsi="Times New Roman" w:cs="Times New Roman"/>
                <w:sz w:val="24"/>
                <w:szCs w:val="24"/>
              </w:rPr>
            </w:pPr>
          </w:p>
        </w:tc>
      </w:tr>
      <w:tr w:rsidR="008A0FE1" w:rsidRPr="00FC562E" w14:paraId="70879EDD" w14:textId="77777777">
        <w:tc>
          <w:tcPr>
            <w:tcW w:w="2510" w:type="dxa"/>
            <w:vAlign w:val="center"/>
          </w:tcPr>
          <w:p w14:paraId="772A4CF5" w14:textId="77777777" w:rsidR="008A0FE1" w:rsidRPr="00FC562E" w:rsidRDefault="008A0FE1">
            <w:pPr>
              <w:spacing w:after="0" w:line="240" w:lineRule="auto"/>
              <w:rPr>
                <w:rFonts w:ascii="Times New Roman" w:eastAsia="Times New Roman" w:hAnsi="Times New Roman" w:cs="Times New Roman"/>
                <w:sz w:val="24"/>
                <w:szCs w:val="24"/>
              </w:rPr>
            </w:pPr>
          </w:p>
        </w:tc>
        <w:tc>
          <w:tcPr>
            <w:tcW w:w="2142" w:type="dxa"/>
            <w:vAlign w:val="center"/>
          </w:tcPr>
          <w:p w14:paraId="2CD74DAA"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Quality Performance</w:t>
            </w:r>
          </w:p>
        </w:tc>
        <w:tc>
          <w:tcPr>
            <w:tcW w:w="1856" w:type="dxa"/>
            <w:vAlign w:val="center"/>
          </w:tcPr>
          <w:p w14:paraId="5ACB3392"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0.86</w:t>
            </w:r>
          </w:p>
        </w:tc>
        <w:tc>
          <w:tcPr>
            <w:tcW w:w="1936" w:type="dxa"/>
            <w:vAlign w:val="center"/>
          </w:tcPr>
          <w:p w14:paraId="40864673" w14:textId="77777777" w:rsidR="008A0FE1" w:rsidRPr="00FC562E" w:rsidRDefault="008A0FE1">
            <w:pPr>
              <w:spacing w:after="0" w:line="240" w:lineRule="auto"/>
              <w:rPr>
                <w:rFonts w:ascii="Times New Roman" w:eastAsia="Times New Roman" w:hAnsi="Times New Roman" w:cs="Times New Roman"/>
                <w:sz w:val="24"/>
                <w:szCs w:val="24"/>
              </w:rPr>
            </w:pPr>
          </w:p>
        </w:tc>
        <w:tc>
          <w:tcPr>
            <w:tcW w:w="582" w:type="dxa"/>
            <w:vAlign w:val="center"/>
          </w:tcPr>
          <w:p w14:paraId="7A497E85" w14:textId="77777777" w:rsidR="008A0FE1" w:rsidRPr="00FC562E" w:rsidRDefault="008A0FE1">
            <w:pPr>
              <w:spacing w:after="0" w:line="240" w:lineRule="auto"/>
              <w:rPr>
                <w:rFonts w:ascii="Times New Roman" w:eastAsia="Times New Roman" w:hAnsi="Times New Roman" w:cs="Times New Roman"/>
                <w:sz w:val="24"/>
                <w:szCs w:val="24"/>
              </w:rPr>
            </w:pPr>
          </w:p>
        </w:tc>
      </w:tr>
      <w:tr w:rsidR="008A0FE1" w:rsidRPr="00FC562E" w14:paraId="450CA3F7" w14:textId="77777777">
        <w:tc>
          <w:tcPr>
            <w:tcW w:w="2510" w:type="dxa"/>
            <w:tcBorders>
              <w:bottom w:val="single" w:sz="4" w:space="0" w:color="000000"/>
            </w:tcBorders>
            <w:vAlign w:val="center"/>
          </w:tcPr>
          <w:p w14:paraId="1DE6695E" w14:textId="77777777" w:rsidR="008A0FE1" w:rsidRPr="00FC562E" w:rsidRDefault="008A0FE1">
            <w:pPr>
              <w:spacing w:after="0" w:line="240" w:lineRule="auto"/>
              <w:rPr>
                <w:rFonts w:ascii="Times New Roman" w:eastAsia="Times New Roman" w:hAnsi="Times New Roman" w:cs="Times New Roman"/>
                <w:sz w:val="24"/>
                <w:szCs w:val="24"/>
              </w:rPr>
            </w:pPr>
          </w:p>
        </w:tc>
        <w:tc>
          <w:tcPr>
            <w:tcW w:w="2142" w:type="dxa"/>
            <w:tcBorders>
              <w:bottom w:val="single" w:sz="4" w:space="0" w:color="000000"/>
            </w:tcBorders>
            <w:vAlign w:val="center"/>
          </w:tcPr>
          <w:p w14:paraId="2B64EFF9"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Safety Performance</w:t>
            </w:r>
          </w:p>
        </w:tc>
        <w:tc>
          <w:tcPr>
            <w:tcW w:w="1856" w:type="dxa"/>
            <w:tcBorders>
              <w:bottom w:val="single" w:sz="4" w:space="0" w:color="000000"/>
            </w:tcBorders>
            <w:vAlign w:val="center"/>
          </w:tcPr>
          <w:p w14:paraId="5A56FF78"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0.81</w:t>
            </w:r>
          </w:p>
        </w:tc>
        <w:tc>
          <w:tcPr>
            <w:tcW w:w="1936" w:type="dxa"/>
            <w:tcBorders>
              <w:bottom w:val="single" w:sz="4" w:space="0" w:color="000000"/>
            </w:tcBorders>
            <w:vAlign w:val="center"/>
          </w:tcPr>
          <w:p w14:paraId="56937A88" w14:textId="77777777" w:rsidR="008A0FE1" w:rsidRPr="00FC562E" w:rsidRDefault="008A0FE1">
            <w:pPr>
              <w:spacing w:after="0" w:line="240" w:lineRule="auto"/>
              <w:rPr>
                <w:rFonts w:ascii="Times New Roman" w:eastAsia="Times New Roman" w:hAnsi="Times New Roman" w:cs="Times New Roman"/>
                <w:sz w:val="24"/>
                <w:szCs w:val="24"/>
              </w:rPr>
            </w:pPr>
          </w:p>
        </w:tc>
        <w:tc>
          <w:tcPr>
            <w:tcW w:w="582" w:type="dxa"/>
            <w:tcBorders>
              <w:bottom w:val="single" w:sz="4" w:space="0" w:color="000000"/>
            </w:tcBorders>
            <w:vAlign w:val="center"/>
          </w:tcPr>
          <w:p w14:paraId="72D0885F" w14:textId="77777777" w:rsidR="008A0FE1" w:rsidRPr="00FC562E" w:rsidRDefault="008A0FE1">
            <w:pPr>
              <w:spacing w:after="0" w:line="240" w:lineRule="auto"/>
              <w:rPr>
                <w:rFonts w:ascii="Times New Roman" w:eastAsia="Times New Roman" w:hAnsi="Times New Roman" w:cs="Times New Roman"/>
                <w:sz w:val="24"/>
                <w:szCs w:val="24"/>
              </w:rPr>
            </w:pPr>
          </w:p>
        </w:tc>
      </w:tr>
    </w:tbl>
    <w:p w14:paraId="10FB1386" w14:textId="77777777" w:rsidR="008A0FE1" w:rsidRPr="00FC562E" w:rsidRDefault="001950F1">
      <w:pPr>
        <w:spacing w:before="280" w:after="280" w:line="240" w:lineRule="auto"/>
        <w:rPr>
          <w:rFonts w:ascii="Times New Roman" w:eastAsia="Times New Roman" w:hAnsi="Times New Roman" w:cs="Times New Roman"/>
          <w:i/>
          <w:iCs/>
          <w:sz w:val="24"/>
          <w:szCs w:val="24"/>
        </w:rPr>
      </w:pPr>
      <w:r w:rsidRPr="00FC562E">
        <w:rPr>
          <w:rFonts w:ascii="Times New Roman" w:eastAsia="Times New Roman" w:hAnsi="Times New Roman" w:cs="Times New Roman"/>
          <w:i/>
          <w:iCs/>
          <w:sz w:val="24"/>
          <w:szCs w:val="24"/>
        </w:rPr>
        <w:t>Note: The significance of all loadings of factors is below p= 0.001.</w:t>
      </w:r>
    </w:p>
    <w:p w14:paraId="0B28B886" w14:textId="77777777" w:rsidR="008A0FE1" w:rsidRPr="00FC562E" w:rsidRDefault="001950F1">
      <w:pPr>
        <w:spacing w:before="280" w:after="28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b/>
          <w:bCs/>
          <w:sz w:val="24"/>
          <w:szCs w:val="24"/>
        </w:rPr>
        <w:t>Source:</w:t>
      </w:r>
      <w:r w:rsidRPr="00FC562E">
        <w:rPr>
          <w:rFonts w:ascii="Times New Roman" w:eastAsia="Times New Roman" w:hAnsi="Times New Roman" w:cs="Times New Roman"/>
          <w:sz w:val="24"/>
          <w:szCs w:val="24"/>
        </w:rPr>
        <w:t xml:space="preserve"> Author’s Computation (2026)</w:t>
      </w:r>
    </w:p>
    <w:p w14:paraId="343BB30A"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br/>
        <w:t>The CFA outcomes show that all the constructs have satisfactory measures (Table 2). More importantly, the standardized factor loadings are above the threshold standard of 0.70 and statistically different (p &lt; 0.001), which proves the reliability of the indicators. The values of composite reliability (0.8991) and AVE scores (0.6267) exceed the standards accepted, indicating sufficient internal consistency and convergent validity. These findings validate the fact that the measurement model is sound and that it can be used in the structural analysis further.</w:t>
      </w:r>
      <w:r w:rsidRPr="00FC562E">
        <w:t xml:space="preserve"> </w:t>
      </w:r>
      <w:r w:rsidRPr="00FC562E">
        <w:rPr>
          <w:rFonts w:ascii="Times New Roman" w:eastAsia="Times New Roman" w:hAnsi="Times New Roman" w:cs="Times New Roman"/>
          <w:sz w:val="24"/>
          <w:szCs w:val="24"/>
        </w:rPr>
        <w:t>The model parameters were estimated using the Maximum Likelihood (ML) estimation method, which is widely used in structural equation modelling due to its statistical efficiency and robustness under conditions of multivariate normality. Prior to estimation, assumptions of normality and multicollinearity were assessed to ensure the suitability of ML estimation.</w:t>
      </w:r>
    </w:p>
    <w:p w14:paraId="71504F9C" w14:textId="77777777" w:rsidR="008A0FE1" w:rsidRPr="00FC562E" w:rsidRDefault="001950F1">
      <w:pPr>
        <w:spacing w:before="280" w:after="28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4.3 Discriminant Validity</w:t>
      </w:r>
    </w:p>
    <w:p w14:paraId="310B10BA"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 xml:space="preserve">This study determines the discriminant validity by adopting the Fornell–Larcker criterion. Table 3 shows the discriminant validity results. </w:t>
      </w:r>
    </w:p>
    <w:p w14:paraId="108D8F8F" w14:textId="77777777" w:rsidR="008A0FE1" w:rsidRPr="00FC562E" w:rsidRDefault="001950F1">
      <w:pPr>
        <w:spacing w:before="280" w:after="28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Table 3. Discriminant Validity (Fornell–Larcker Criterion)</w:t>
      </w:r>
    </w:p>
    <w:tbl>
      <w:tblPr>
        <w:tblStyle w:val="a1"/>
        <w:tblW w:w="9567" w:type="dxa"/>
        <w:tblInd w:w="0" w:type="dxa"/>
        <w:tblLayout w:type="fixed"/>
        <w:tblLook w:val="0400" w:firstRow="0" w:lastRow="0" w:firstColumn="0" w:lastColumn="0" w:noHBand="0" w:noVBand="1"/>
      </w:tblPr>
      <w:tblGrid>
        <w:gridCol w:w="4182"/>
        <w:gridCol w:w="1592"/>
        <w:gridCol w:w="3793"/>
      </w:tblGrid>
      <w:tr w:rsidR="008A0FE1" w:rsidRPr="00FC562E" w14:paraId="6F4FB8AD" w14:textId="77777777">
        <w:trPr>
          <w:trHeight w:val="356"/>
          <w:tblHeader/>
        </w:trPr>
        <w:tc>
          <w:tcPr>
            <w:tcW w:w="4182" w:type="dxa"/>
            <w:tcBorders>
              <w:top w:val="single" w:sz="4" w:space="0" w:color="000000"/>
            </w:tcBorders>
            <w:vAlign w:val="center"/>
          </w:tcPr>
          <w:p w14:paraId="21C90837" w14:textId="77777777" w:rsidR="008A0FE1" w:rsidRPr="00FC562E" w:rsidRDefault="001950F1">
            <w:pPr>
              <w:spacing w:after="0" w:line="240" w:lineRule="auto"/>
              <w:jc w:val="center"/>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Construct</w:t>
            </w:r>
          </w:p>
        </w:tc>
        <w:tc>
          <w:tcPr>
            <w:tcW w:w="1592" w:type="dxa"/>
            <w:tcBorders>
              <w:top w:val="single" w:sz="4" w:space="0" w:color="000000"/>
            </w:tcBorders>
            <w:vAlign w:val="center"/>
          </w:tcPr>
          <w:p w14:paraId="384CE05A" w14:textId="77777777" w:rsidR="008A0FE1" w:rsidRPr="00FC562E" w:rsidRDefault="001950F1">
            <w:pPr>
              <w:spacing w:after="0" w:line="240" w:lineRule="auto"/>
              <w:jc w:val="center"/>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CI Practices</w:t>
            </w:r>
          </w:p>
        </w:tc>
        <w:tc>
          <w:tcPr>
            <w:tcW w:w="3793" w:type="dxa"/>
            <w:tcBorders>
              <w:top w:val="single" w:sz="4" w:space="0" w:color="000000"/>
            </w:tcBorders>
            <w:vAlign w:val="center"/>
          </w:tcPr>
          <w:p w14:paraId="7847A346" w14:textId="77777777" w:rsidR="008A0FE1" w:rsidRPr="00FC562E" w:rsidRDefault="001950F1">
            <w:pPr>
              <w:spacing w:after="0" w:line="240" w:lineRule="auto"/>
              <w:jc w:val="center"/>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Project Delivery Performance</w:t>
            </w:r>
          </w:p>
        </w:tc>
      </w:tr>
      <w:tr w:rsidR="008A0FE1" w:rsidRPr="00FC562E" w14:paraId="7ED41CF9" w14:textId="77777777">
        <w:trPr>
          <w:trHeight w:val="332"/>
        </w:trPr>
        <w:tc>
          <w:tcPr>
            <w:tcW w:w="4182" w:type="dxa"/>
            <w:tcBorders>
              <w:top w:val="single" w:sz="4" w:space="0" w:color="000000"/>
            </w:tcBorders>
            <w:vAlign w:val="center"/>
          </w:tcPr>
          <w:p w14:paraId="606CB59D"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Continuous Improvement Practices</w:t>
            </w:r>
          </w:p>
        </w:tc>
        <w:tc>
          <w:tcPr>
            <w:tcW w:w="1592" w:type="dxa"/>
            <w:tcBorders>
              <w:top w:val="single" w:sz="4" w:space="0" w:color="000000"/>
            </w:tcBorders>
            <w:vAlign w:val="center"/>
          </w:tcPr>
          <w:p w14:paraId="4580301C" w14:textId="77777777" w:rsidR="008A0FE1" w:rsidRPr="00FC562E" w:rsidRDefault="001950F1">
            <w:pPr>
              <w:spacing w:after="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0.79</w:t>
            </w:r>
          </w:p>
        </w:tc>
        <w:tc>
          <w:tcPr>
            <w:tcW w:w="3793" w:type="dxa"/>
            <w:tcBorders>
              <w:top w:val="single" w:sz="4" w:space="0" w:color="000000"/>
            </w:tcBorders>
            <w:vAlign w:val="center"/>
          </w:tcPr>
          <w:p w14:paraId="61C28779" w14:textId="77777777" w:rsidR="008A0FE1" w:rsidRPr="00FC562E" w:rsidRDefault="008A0FE1">
            <w:pPr>
              <w:spacing w:after="0" w:line="240" w:lineRule="auto"/>
              <w:rPr>
                <w:rFonts w:ascii="Times New Roman" w:eastAsia="Times New Roman" w:hAnsi="Times New Roman" w:cs="Times New Roman"/>
                <w:sz w:val="24"/>
                <w:szCs w:val="24"/>
              </w:rPr>
            </w:pPr>
          </w:p>
        </w:tc>
      </w:tr>
      <w:tr w:rsidR="008A0FE1" w:rsidRPr="00FC562E" w14:paraId="03A2F479" w14:textId="77777777">
        <w:trPr>
          <w:trHeight w:val="332"/>
        </w:trPr>
        <w:tc>
          <w:tcPr>
            <w:tcW w:w="4182" w:type="dxa"/>
            <w:tcBorders>
              <w:bottom w:val="single" w:sz="4" w:space="0" w:color="000000"/>
            </w:tcBorders>
            <w:vAlign w:val="center"/>
          </w:tcPr>
          <w:p w14:paraId="2A686B81"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Project Delivery Performance</w:t>
            </w:r>
          </w:p>
        </w:tc>
        <w:tc>
          <w:tcPr>
            <w:tcW w:w="1592" w:type="dxa"/>
            <w:tcBorders>
              <w:bottom w:val="single" w:sz="4" w:space="0" w:color="000000"/>
            </w:tcBorders>
            <w:vAlign w:val="center"/>
          </w:tcPr>
          <w:p w14:paraId="02F0EEB0"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0.58</w:t>
            </w:r>
          </w:p>
        </w:tc>
        <w:tc>
          <w:tcPr>
            <w:tcW w:w="3793" w:type="dxa"/>
            <w:tcBorders>
              <w:bottom w:val="single" w:sz="4" w:space="0" w:color="000000"/>
            </w:tcBorders>
            <w:vAlign w:val="center"/>
          </w:tcPr>
          <w:p w14:paraId="7001799A" w14:textId="77777777" w:rsidR="008A0FE1" w:rsidRPr="00FC562E" w:rsidRDefault="001950F1">
            <w:pPr>
              <w:spacing w:after="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0.82</w:t>
            </w:r>
          </w:p>
        </w:tc>
      </w:tr>
    </w:tbl>
    <w:p w14:paraId="1D89832D" w14:textId="77777777" w:rsidR="008A0FE1" w:rsidRPr="00FC562E" w:rsidRDefault="001950F1">
      <w:pPr>
        <w:spacing w:before="280" w:after="280" w:line="240" w:lineRule="auto"/>
        <w:rPr>
          <w:rFonts w:ascii="Times New Roman" w:eastAsia="Times New Roman" w:hAnsi="Times New Roman" w:cs="Times New Roman"/>
          <w:i/>
          <w:iCs/>
          <w:sz w:val="24"/>
          <w:szCs w:val="24"/>
        </w:rPr>
      </w:pPr>
      <w:r w:rsidRPr="00FC562E">
        <w:rPr>
          <w:rFonts w:ascii="Times New Roman" w:eastAsia="Times New Roman" w:hAnsi="Times New Roman" w:cs="Times New Roman"/>
          <w:b/>
          <w:bCs/>
          <w:sz w:val="24"/>
          <w:szCs w:val="24"/>
        </w:rPr>
        <w:t>Source:</w:t>
      </w:r>
      <w:r w:rsidRPr="00FC562E">
        <w:rPr>
          <w:rFonts w:ascii="Times New Roman" w:eastAsia="Times New Roman" w:hAnsi="Times New Roman" w:cs="Times New Roman"/>
          <w:sz w:val="24"/>
          <w:szCs w:val="24"/>
        </w:rPr>
        <w:t xml:space="preserve"> Author’s Computation (2026)</w:t>
      </w:r>
    </w:p>
    <w:p w14:paraId="3F7A182F" w14:textId="77777777" w:rsidR="008A0FE1" w:rsidRPr="00FC562E" w:rsidRDefault="001950F1">
      <w:pPr>
        <w:spacing w:after="0" w:line="240" w:lineRule="auto"/>
        <w:rPr>
          <w:rFonts w:ascii="Times New Roman" w:eastAsia="Times New Roman" w:hAnsi="Times New Roman" w:cs="Times New Roman"/>
          <w:i/>
          <w:iCs/>
          <w:sz w:val="24"/>
          <w:szCs w:val="24"/>
        </w:rPr>
      </w:pPr>
      <w:r w:rsidRPr="00FC562E">
        <w:rPr>
          <w:rFonts w:ascii="Times New Roman" w:eastAsia="Times New Roman" w:hAnsi="Times New Roman" w:cs="Times New Roman"/>
          <w:i/>
          <w:iCs/>
          <w:sz w:val="24"/>
          <w:szCs w:val="24"/>
        </w:rPr>
        <w:t>Where: Diagonal principles (bold) are indicative of a square root of AVE.</w:t>
      </w:r>
    </w:p>
    <w:p w14:paraId="49FE9DD0" w14:textId="77777777" w:rsidR="008A0FE1" w:rsidRPr="00FC562E" w:rsidRDefault="008A0FE1">
      <w:pPr>
        <w:spacing w:after="0" w:line="240" w:lineRule="auto"/>
        <w:rPr>
          <w:rFonts w:ascii="Times New Roman" w:eastAsia="Times New Roman" w:hAnsi="Times New Roman" w:cs="Times New Roman"/>
          <w:i/>
          <w:iCs/>
          <w:sz w:val="24"/>
          <w:szCs w:val="24"/>
        </w:rPr>
      </w:pPr>
    </w:p>
    <w:p w14:paraId="47F90D21" w14:textId="77777777" w:rsidR="008A0FE1" w:rsidRPr="00FC562E" w:rsidRDefault="001950F1">
      <w:pPr>
        <w:spacing w:after="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br/>
        <w:t>To meet the Fornell-Larcker criterion, the square root of AVE of each construct as indicated in Table 3 is higher than the inter- construct correlation of the same. This establishes sufficient discriminate validity between continuous improvement practices and project delivery performance. The findings uphold their conceptual difference showing that CI operates as an enabling organizational process as opposed to a performance result substitute.</w:t>
      </w:r>
    </w:p>
    <w:p w14:paraId="3879794A" w14:textId="77777777" w:rsidR="008A0FE1" w:rsidRPr="00FC562E" w:rsidRDefault="008A0FE1">
      <w:pPr>
        <w:spacing w:after="0" w:line="240" w:lineRule="auto"/>
        <w:jc w:val="both"/>
        <w:rPr>
          <w:rFonts w:ascii="Times New Roman" w:eastAsia="Times New Roman" w:hAnsi="Times New Roman" w:cs="Times New Roman"/>
          <w:sz w:val="24"/>
          <w:szCs w:val="24"/>
        </w:rPr>
      </w:pPr>
    </w:p>
    <w:p w14:paraId="272EDE9B" w14:textId="77777777" w:rsidR="008A0FE1" w:rsidRPr="00FC562E" w:rsidRDefault="001950F1">
      <w:pPr>
        <w:spacing w:after="0" w:line="240" w:lineRule="auto"/>
        <w:jc w:val="both"/>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4.4 Structural Model Results</w:t>
      </w:r>
    </w:p>
    <w:p w14:paraId="4C1EA82A"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Structural model displays the fit of the data as (χ²/df = 1.92; CFI = 0.94; TLI = 0.93; RMSEA = 0.048; SRMR = 0.041).</w:t>
      </w:r>
    </w:p>
    <w:p w14:paraId="4F263484" w14:textId="77777777" w:rsidR="008A0FE1" w:rsidRPr="00FC562E" w:rsidRDefault="001950F1">
      <w:pPr>
        <w:spacing w:before="280" w:after="28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Table 4. Structural Model Path Estimates</w:t>
      </w:r>
    </w:p>
    <w:tbl>
      <w:tblPr>
        <w:tblStyle w:val="a2"/>
        <w:tblW w:w="8543" w:type="dxa"/>
        <w:tblInd w:w="0" w:type="dxa"/>
        <w:tblLayout w:type="fixed"/>
        <w:tblLook w:val="0400" w:firstRow="0" w:lastRow="0" w:firstColumn="0" w:lastColumn="0" w:noHBand="0" w:noVBand="1"/>
      </w:tblPr>
      <w:tblGrid>
        <w:gridCol w:w="4414"/>
        <w:gridCol w:w="1780"/>
        <w:gridCol w:w="480"/>
        <w:gridCol w:w="807"/>
        <w:gridCol w:w="1062"/>
      </w:tblGrid>
      <w:tr w:rsidR="008A0FE1" w:rsidRPr="00FC562E" w14:paraId="4C7B78DE" w14:textId="77777777">
        <w:trPr>
          <w:tblHeader/>
        </w:trPr>
        <w:tc>
          <w:tcPr>
            <w:tcW w:w="4414" w:type="dxa"/>
            <w:tcBorders>
              <w:top w:val="single" w:sz="4" w:space="0" w:color="000000"/>
              <w:bottom w:val="single" w:sz="4" w:space="0" w:color="000000"/>
            </w:tcBorders>
            <w:vAlign w:val="center"/>
          </w:tcPr>
          <w:p w14:paraId="07B97CF4" w14:textId="77777777" w:rsidR="008A0FE1" w:rsidRPr="00FC562E" w:rsidRDefault="001950F1">
            <w:pPr>
              <w:spacing w:after="0" w:line="240" w:lineRule="auto"/>
              <w:jc w:val="center"/>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The Hypothesized Path</w:t>
            </w:r>
          </w:p>
        </w:tc>
        <w:tc>
          <w:tcPr>
            <w:tcW w:w="1780" w:type="dxa"/>
            <w:tcBorders>
              <w:top w:val="single" w:sz="4" w:space="0" w:color="000000"/>
              <w:bottom w:val="single" w:sz="4" w:space="0" w:color="000000"/>
            </w:tcBorders>
            <w:vAlign w:val="center"/>
          </w:tcPr>
          <w:p w14:paraId="71FB5DAD" w14:textId="77777777" w:rsidR="008A0FE1" w:rsidRPr="00FC562E" w:rsidRDefault="001950F1">
            <w:pPr>
              <w:spacing w:after="0" w:line="240" w:lineRule="auto"/>
              <w:jc w:val="center"/>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Standardized (β)</w:t>
            </w:r>
          </w:p>
        </w:tc>
        <w:tc>
          <w:tcPr>
            <w:tcW w:w="480" w:type="dxa"/>
            <w:tcBorders>
              <w:top w:val="single" w:sz="4" w:space="0" w:color="000000"/>
              <w:bottom w:val="single" w:sz="4" w:space="0" w:color="000000"/>
            </w:tcBorders>
            <w:vAlign w:val="center"/>
          </w:tcPr>
          <w:p w14:paraId="5345A929" w14:textId="77777777" w:rsidR="008A0FE1" w:rsidRPr="00FC562E" w:rsidRDefault="001950F1">
            <w:pPr>
              <w:spacing w:after="0" w:line="240" w:lineRule="auto"/>
              <w:jc w:val="center"/>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SE</w:t>
            </w:r>
          </w:p>
        </w:tc>
        <w:tc>
          <w:tcPr>
            <w:tcW w:w="807" w:type="dxa"/>
            <w:tcBorders>
              <w:top w:val="single" w:sz="4" w:space="0" w:color="000000"/>
              <w:bottom w:val="single" w:sz="4" w:space="0" w:color="000000"/>
            </w:tcBorders>
            <w:vAlign w:val="center"/>
          </w:tcPr>
          <w:p w14:paraId="327778B7" w14:textId="77777777" w:rsidR="008A0FE1" w:rsidRPr="00FC562E" w:rsidRDefault="001950F1">
            <w:pPr>
              <w:spacing w:after="0" w:line="240" w:lineRule="auto"/>
              <w:jc w:val="center"/>
              <w:rPr>
                <w:rFonts w:ascii="Times New Roman" w:eastAsia="Times New Roman" w:hAnsi="Times New Roman" w:cs="Times New Roman"/>
                <w:b/>
                <w:bCs/>
                <w:sz w:val="24"/>
                <w:szCs w:val="24"/>
              </w:rPr>
            </w:pPr>
            <w:r w:rsidRPr="00FC562E">
              <w:rPr>
                <w:rFonts w:ascii="Times New Roman" w:eastAsia="Times New Roman" w:hAnsi="Times New Roman" w:cs="Times New Roman"/>
                <w:b/>
                <w:bCs/>
                <w:i/>
                <w:iCs/>
                <w:sz w:val="24"/>
                <w:szCs w:val="24"/>
              </w:rPr>
              <w:t>p</w:t>
            </w:r>
            <w:r w:rsidRPr="00FC562E">
              <w:rPr>
                <w:rFonts w:ascii="Times New Roman" w:eastAsia="Times New Roman" w:hAnsi="Times New Roman" w:cs="Times New Roman"/>
                <w:b/>
                <w:bCs/>
                <w:sz w:val="24"/>
                <w:szCs w:val="24"/>
              </w:rPr>
              <w:t>-value</w:t>
            </w:r>
          </w:p>
        </w:tc>
        <w:tc>
          <w:tcPr>
            <w:tcW w:w="1062" w:type="dxa"/>
            <w:tcBorders>
              <w:top w:val="single" w:sz="4" w:space="0" w:color="000000"/>
              <w:bottom w:val="single" w:sz="4" w:space="0" w:color="000000"/>
            </w:tcBorders>
            <w:vAlign w:val="center"/>
          </w:tcPr>
          <w:p w14:paraId="2C5ED0C2" w14:textId="77777777" w:rsidR="008A0FE1" w:rsidRPr="00FC562E" w:rsidRDefault="001950F1">
            <w:pPr>
              <w:spacing w:after="0" w:line="240" w:lineRule="auto"/>
              <w:jc w:val="center"/>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Outcome</w:t>
            </w:r>
          </w:p>
        </w:tc>
      </w:tr>
      <w:tr w:rsidR="008A0FE1" w:rsidRPr="00FC562E" w14:paraId="7D4154EB" w14:textId="77777777">
        <w:tc>
          <w:tcPr>
            <w:tcW w:w="4414" w:type="dxa"/>
            <w:vAlign w:val="center"/>
          </w:tcPr>
          <w:p w14:paraId="37D8C70C"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CI Practices to Project Delivery Performance</w:t>
            </w:r>
          </w:p>
        </w:tc>
        <w:tc>
          <w:tcPr>
            <w:tcW w:w="1780" w:type="dxa"/>
            <w:vAlign w:val="center"/>
          </w:tcPr>
          <w:p w14:paraId="1258EE81"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0.46</w:t>
            </w:r>
          </w:p>
        </w:tc>
        <w:tc>
          <w:tcPr>
            <w:tcW w:w="480" w:type="dxa"/>
            <w:vAlign w:val="center"/>
          </w:tcPr>
          <w:p w14:paraId="78C287DA"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0.07</w:t>
            </w:r>
          </w:p>
        </w:tc>
        <w:tc>
          <w:tcPr>
            <w:tcW w:w="807" w:type="dxa"/>
            <w:vAlign w:val="center"/>
          </w:tcPr>
          <w:p w14:paraId="59E2B0DA"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&lt; 0.001</w:t>
            </w:r>
          </w:p>
        </w:tc>
        <w:tc>
          <w:tcPr>
            <w:tcW w:w="1062" w:type="dxa"/>
            <w:vAlign w:val="center"/>
          </w:tcPr>
          <w:p w14:paraId="68A7825F"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Supported</w:t>
            </w:r>
          </w:p>
        </w:tc>
      </w:tr>
      <w:tr w:rsidR="008A0FE1" w:rsidRPr="00FC562E" w14:paraId="49D1A1D3" w14:textId="77777777">
        <w:tc>
          <w:tcPr>
            <w:tcW w:w="4414" w:type="dxa"/>
            <w:vAlign w:val="center"/>
          </w:tcPr>
          <w:p w14:paraId="4E63B67A"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CI Practices to Process Standardization</w:t>
            </w:r>
          </w:p>
        </w:tc>
        <w:tc>
          <w:tcPr>
            <w:tcW w:w="1780" w:type="dxa"/>
            <w:vAlign w:val="center"/>
          </w:tcPr>
          <w:p w14:paraId="625C50F1"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0.52</w:t>
            </w:r>
          </w:p>
        </w:tc>
        <w:tc>
          <w:tcPr>
            <w:tcW w:w="480" w:type="dxa"/>
            <w:vAlign w:val="center"/>
          </w:tcPr>
          <w:p w14:paraId="0A9A199A"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0.06</w:t>
            </w:r>
          </w:p>
        </w:tc>
        <w:tc>
          <w:tcPr>
            <w:tcW w:w="807" w:type="dxa"/>
            <w:vAlign w:val="center"/>
          </w:tcPr>
          <w:p w14:paraId="54D4D993"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&lt; 0.001</w:t>
            </w:r>
          </w:p>
        </w:tc>
        <w:tc>
          <w:tcPr>
            <w:tcW w:w="1062" w:type="dxa"/>
            <w:vAlign w:val="center"/>
          </w:tcPr>
          <w:p w14:paraId="04ABB1D3"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Supported</w:t>
            </w:r>
          </w:p>
        </w:tc>
      </w:tr>
      <w:tr w:rsidR="008A0FE1" w:rsidRPr="00FC562E" w14:paraId="79A66807" w14:textId="77777777">
        <w:tc>
          <w:tcPr>
            <w:tcW w:w="4414" w:type="dxa"/>
            <w:vAlign w:val="center"/>
          </w:tcPr>
          <w:p w14:paraId="0A3A0202"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CI Practices to Organizational Learning</w:t>
            </w:r>
          </w:p>
        </w:tc>
        <w:tc>
          <w:tcPr>
            <w:tcW w:w="1780" w:type="dxa"/>
            <w:vAlign w:val="center"/>
          </w:tcPr>
          <w:p w14:paraId="6E6BBED8"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0.48</w:t>
            </w:r>
          </w:p>
        </w:tc>
        <w:tc>
          <w:tcPr>
            <w:tcW w:w="480" w:type="dxa"/>
            <w:vAlign w:val="center"/>
          </w:tcPr>
          <w:p w14:paraId="3685668C"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0.08</w:t>
            </w:r>
          </w:p>
        </w:tc>
        <w:tc>
          <w:tcPr>
            <w:tcW w:w="807" w:type="dxa"/>
            <w:vAlign w:val="center"/>
          </w:tcPr>
          <w:p w14:paraId="36BBC8ED"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&lt; 0.001</w:t>
            </w:r>
          </w:p>
        </w:tc>
        <w:tc>
          <w:tcPr>
            <w:tcW w:w="1062" w:type="dxa"/>
            <w:vAlign w:val="center"/>
          </w:tcPr>
          <w:p w14:paraId="5D17EB30"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Supported</w:t>
            </w:r>
          </w:p>
        </w:tc>
      </w:tr>
      <w:tr w:rsidR="008A0FE1" w:rsidRPr="00FC562E" w14:paraId="13744EA4" w14:textId="77777777">
        <w:tc>
          <w:tcPr>
            <w:tcW w:w="4414" w:type="dxa"/>
            <w:vAlign w:val="center"/>
          </w:tcPr>
          <w:p w14:paraId="7FF1BB57"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Process Standardization to PDP</w:t>
            </w:r>
          </w:p>
        </w:tc>
        <w:tc>
          <w:tcPr>
            <w:tcW w:w="1780" w:type="dxa"/>
            <w:vAlign w:val="center"/>
          </w:tcPr>
          <w:p w14:paraId="77AD00E6"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0.31</w:t>
            </w:r>
          </w:p>
        </w:tc>
        <w:tc>
          <w:tcPr>
            <w:tcW w:w="480" w:type="dxa"/>
            <w:vAlign w:val="center"/>
          </w:tcPr>
          <w:p w14:paraId="430860FB"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0.09</w:t>
            </w:r>
          </w:p>
        </w:tc>
        <w:tc>
          <w:tcPr>
            <w:tcW w:w="807" w:type="dxa"/>
            <w:vAlign w:val="center"/>
          </w:tcPr>
          <w:p w14:paraId="337D468A"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&lt; 0.01</w:t>
            </w:r>
          </w:p>
        </w:tc>
        <w:tc>
          <w:tcPr>
            <w:tcW w:w="1062" w:type="dxa"/>
            <w:vAlign w:val="center"/>
          </w:tcPr>
          <w:p w14:paraId="6807EF4D"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Supported</w:t>
            </w:r>
          </w:p>
        </w:tc>
      </w:tr>
      <w:tr w:rsidR="008A0FE1" w:rsidRPr="00FC562E" w14:paraId="1FD863E1" w14:textId="77777777">
        <w:tc>
          <w:tcPr>
            <w:tcW w:w="4414" w:type="dxa"/>
            <w:tcBorders>
              <w:bottom w:val="single" w:sz="4" w:space="0" w:color="000000"/>
            </w:tcBorders>
            <w:vAlign w:val="center"/>
          </w:tcPr>
          <w:p w14:paraId="6FF9B21B"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Organizational Learning to PDP</w:t>
            </w:r>
          </w:p>
        </w:tc>
        <w:tc>
          <w:tcPr>
            <w:tcW w:w="1780" w:type="dxa"/>
            <w:tcBorders>
              <w:bottom w:val="single" w:sz="4" w:space="0" w:color="000000"/>
            </w:tcBorders>
            <w:vAlign w:val="center"/>
          </w:tcPr>
          <w:p w14:paraId="5932AF6A"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0.29</w:t>
            </w:r>
          </w:p>
        </w:tc>
        <w:tc>
          <w:tcPr>
            <w:tcW w:w="480" w:type="dxa"/>
            <w:tcBorders>
              <w:bottom w:val="single" w:sz="4" w:space="0" w:color="000000"/>
            </w:tcBorders>
            <w:vAlign w:val="center"/>
          </w:tcPr>
          <w:p w14:paraId="08806E39"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0.10</w:t>
            </w:r>
          </w:p>
        </w:tc>
        <w:tc>
          <w:tcPr>
            <w:tcW w:w="807" w:type="dxa"/>
            <w:tcBorders>
              <w:bottom w:val="single" w:sz="4" w:space="0" w:color="000000"/>
            </w:tcBorders>
            <w:vAlign w:val="center"/>
          </w:tcPr>
          <w:p w14:paraId="421125B9"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&lt; 0.01</w:t>
            </w:r>
          </w:p>
        </w:tc>
        <w:tc>
          <w:tcPr>
            <w:tcW w:w="1062" w:type="dxa"/>
            <w:tcBorders>
              <w:bottom w:val="single" w:sz="4" w:space="0" w:color="000000"/>
            </w:tcBorders>
            <w:vAlign w:val="center"/>
          </w:tcPr>
          <w:p w14:paraId="26E0F9B5"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Supported</w:t>
            </w:r>
          </w:p>
        </w:tc>
      </w:tr>
    </w:tbl>
    <w:p w14:paraId="4B7C8162" w14:textId="77777777" w:rsidR="008A0FE1" w:rsidRPr="00FC562E" w:rsidRDefault="001950F1">
      <w:pPr>
        <w:spacing w:before="280" w:after="280" w:line="240" w:lineRule="auto"/>
        <w:rPr>
          <w:rFonts w:ascii="Times New Roman" w:eastAsia="Times New Roman" w:hAnsi="Times New Roman" w:cs="Times New Roman"/>
          <w:i/>
          <w:iCs/>
          <w:sz w:val="24"/>
          <w:szCs w:val="24"/>
        </w:rPr>
      </w:pPr>
      <w:r w:rsidRPr="00FC562E">
        <w:rPr>
          <w:rFonts w:ascii="Times New Roman" w:eastAsia="Times New Roman" w:hAnsi="Times New Roman" w:cs="Times New Roman"/>
          <w:b/>
          <w:bCs/>
          <w:sz w:val="24"/>
          <w:szCs w:val="24"/>
        </w:rPr>
        <w:t>Source:</w:t>
      </w:r>
      <w:r w:rsidRPr="00FC562E">
        <w:rPr>
          <w:rFonts w:ascii="Times New Roman" w:eastAsia="Times New Roman" w:hAnsi="Times New Roman" w:cs="Times New Roman"/>
          <w:sz w:val="24"/>
          <w:szCs w:val="24"/>
        </w:rPr>
        <w:t xml:space="preserve"> Author’s Computation (2026)</w:t>
      </w:r>
    </w:p>
    <w:p w14:paraId="027C73DB" w14:textId="77777777" w:rsidR="008A0FE1" w:rsidRPr="00FC562E" w:rsidRDefault="008A0FE1">
      <w:pPr>
        <w:spacing w:after="0" w:line="240" w:lineRule="auto"/>
        <w:rPr>
          <w:rFonts w:ascii="Times New Roman" w:eastAsia="Times New Roman" w:hAnsi="Times New Roman" w:cs="Times New Roman"/>
          <w:sz w:val="24"/>
          <w:szCs w:val="24"/>
        </w:rPr>
      </w:pPr>
    </w:p>
    <w:p w14:paraId="7B755792" w14:textId="77777777" w:rsidR="008A0FE1" w:rsidRPr="00FC562E" w:rsidRDefault="008A0FE1">
      <w:pPr>
        <w:spacing w:after="0" w:line="240" w:lineRule="auto"/>
        <w:jc w:val="both"/>
        <w:rPr>
          <w:rFonts w:ascii="Times New Roman" w:eastAsia="Times New Roman" w:hAnsi="Times New Roman" w:cs="Times New Roman"/>
          <w:sz w:val="24"/>
          <w:szCs w:val="24"/>
        </w:rPr>
      </w:pPr>
    </w:p>
    <w:p w14:paraId="5FAD7307" w14:textId="77777777" w:rsidR="008A0FE1" w:rsidRPr="00FC562E" w:rsidRDefault="001950F1">
      <w:pPr>
        <w:spacing w:after="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Continuous improvement (CI) practices as can be seen in Table 4 have a positively significant effect on project delivery performance; (</w:t>
      </w:r>
      <w:r w:rsidRPr="00FC562E">
        <w:rPr>
          <w:rFonts w:ascii="Times New Roman" w:eastAsia="Times New Roman" w:hAnsi="Times New Roman" w:cs="Times New Roman"/>
          <w:i/>
          <w:iCs/>
          <w:sz w:val="24"/>
          <w:szCs w:val="24"/>
        </w:rPr>
        <w:t>β</w:t>
      </w:r>
      <w:r w:rsidRPr="00FC562E">
        <w:rPr>
          <w:rFonts w:ascii="Times New Roman" w:eastAsia="Times New Roman" w:hAnsi="Times New Roman" w:cs="Times New Roman"/>
          <w:sz w:val="24"/>
          <w:szCs w:val="24"/>
        </w:rPr>
        <w:t xml:space="preserve"> = 0.46; </w:t>
      </w:r>
      <w:r w:rsidRPr="00FC562E">
        <w:rPr>
          <w:rFonts w:ascii="Times New Roman" w:eastAsia="Times New Roman" w:hAnsi="Times New Roman" w:cs="Times New Roman"/>
          <w:i/>
          <w:iCs/>
          <w:sz w:val="24"/>
          <w:szCs w:val="24"/>
        </w:rPr>
        <w:t>p</w:t>
      </w:r>
      <w:r w:rsidRPr="00FC562E">
        <w:rPr>
          <w:rFonts w:ascii="Times New Roman" w:eastAsia="Times New Roman" w:hAnsi="Times New Roman" w:cs="Times New Roman"/>
          <w:sz w:val="24"/>
          <w:szCs w:val="24"/>
        </w:rPr>
        <w:t xml:space="preserve"> &lt; 0.001). CI is also a factor that has a significant positive contribution to process standardization (</w:t>
      </w:r>
      <w:r w:rsidRPr="00FC562E">
        <w:rPr>
          <w:rFonts w:ascii="Times New Roman" w:eastAsia="Times New Roman" w:hAnsi="Times New Roman" w:cs="Times New Roman"/>
          <w:i/>
          <w:iCs/>
          <w:sz w:val="24"/>
          <w:szCs w:val="24"/>
        </w:rPr>
        <w:t>β</w:t>
      </w:r>
      <w:r w:rsidRPr="00FC562E">
        <w:rPr>
          <w:rFonts w:ascii="Times New Roman" w:eastAsia="Times New Roman" w:hAnsi="Times New Roman" w:cs="Times New Roman"/>
          <w:sz w:val="24"/>
          <w:szCs w:val="24"/>
        </w:rPr>
        <w:t xml:space="preserve"> = 0.52, </w:t>
      </w:r>
      <w:r w:rsidRPr="00FC562E">
        <w:rPr>
          <w:rFonts w:ascii="Times New Roman" w:eastAsia="Times New Roman" w:hAnsi="Times New Roman" w:cs="Times New Roman"/>
          <w:i/>
          <w:iCs/>
          <w:sz w:val="24"/>
          <w:szCs w:val="24"/>
        </w:rPr>
        <w:t>p</w:t>
      </w:r>
      <w:r w:rsidRPr="00FC562E">
        <w:rPr>
          <w:rFonts w:ascii="Times New Roman" w:eastAsia="Times New Roman" w:hAnsi="Times New Roman" w:cs="Times New Roman"/>
          <w:sz w:val="24"/>
          <w:szCs w:val="24"/>
        </w:rPr>
        <w:t xml:space="preserve"> &lt; 0.001) and organizational learning (</w:t>
      </w:r>
      <w:r w:rsidRPr="00FC562E">
        <w:rPr>
          <w:rFonts w:ascii="Times New Roman" w:eastAsia="Times New Roman" w:hAnsi="Times New Roman" w:cs="Times New Roman"/>
          <w:i/>
          <w:iCs/>
          <w:sz w:val="24"/>
          <w:szCs w:val="24"/>
        </w:rPr>
        <w:t>β</w:t>
      </w:r>
      <w:r w:rsidRPr="00FC562E">
        <w:rPr>
          <w:rFonts w:ascii="Times New Roman" w:eastAsia="Times New Roman" w:hAnsi="Times New Roman" w:cs="Times New Roman"/>
          <w:sz w:val="24"/>
          <w:szCs w:val="24"/>
        </w:rPr>
        <w:t xml:space="preserve"> = 0.48, </w:t>
      </w:r>
      <w:r w:rsidRPr="00FC562E">
        <w:rPr>
          <w:rFonts w:ascii="Times New Roman" w:eastAsia="Times New Roman" w:hAnsi="Times New Roman" w:cs="Times New Roman"/>
          <w:i/>
          <w:iCs/>
          <w:sz w:val="24"/>
          <w:szCs w:val="24"/>
        </w:rPr>
        <w:t>p</w:t>
      </w:r>
      <w:r w:rsidRPr="00FC562E">
        <w:rPr>
          <w:rFonts w:ascii="Times New Roman" w:eastAsia="Times New Roman" w:hAnsi="Times New Roman" w:cs="Times New Roman"/>
          <w:sz w:val="24"/>
          <w:szCs w:val="24"/>
        </w:rPr>
        <w:t xml:space="preserve"> &lt; 0.001), which are positively associated with the delivery performance. These findings indicate that CI improves the results of projects based on structural and learning-related processes.</w:t>
      </w:r>
    </w:p>
    <w:p w14:paraId="1C22AF08" w14:textId="77777777" w:rsidR="008A0FE1" w:rsidRPr="00FC562E" w:rsidRDefault="008A0FE1">
      <w:pPr>
        <w:spacing w:after="0" w:line="240" w:lineRule="auto"/>
        <w:jc w:val="both"/>
        <w:rPr>
          <w:rFonts w:ascii="Times New Roman" w:eastAsia="Times New Roman" w:hAnsi="Times New Roman" w:cs="Times New Roman"/>
          <w:sz w:val="24"/>
          <w:szCs w:val="24"/>
        </w:rPr>
      </w:pPr>
    </w:p>
    <w:p w14:paraId="79A1976D" w14:textId="77777777" w:rsidR="008A0FE1" w:rsidRPr="00FC562E" w:rsidRDefault="001950F1">
      <w:pPr>
        <w:spacing w:after="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noProof/>
          <w:sz w:val="24"/>
          <w:szCs w:val="24"/>
        </w:rPr>
        <w:lastRenderedPageBreak/>
        <w:drawing>
          <wp:inline distT="0" distB="0" distL="0" distR="0" wp14:anchorId="4D10E2D9" wp14:editId="1BDB7D2B">
            <wp:extent cx="5486400" cy="36766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486400" cy="3676650"/>
                    </a:xfrm>
                    <a:prstGeom prst="rect">
                      <a:avLst/>
                    </a:prstGeom>
                    <a:ln/>
                  </pic:spPr>
                </pic:pic>
              </a:graphicData>
            </a:graphic>
          </wp:inline>
        </w:drawing>
      </w:r>
    </w:p>
    <w:p w14:paraId="473B226A" w14:textId="77777777" w:rsidR="008A0FE1" w:rsidRPr="00FC562E" w:rsidRDefault="001950F1">
      <w:pPr>
        <w:spacing w:before="280" w:after="280" w:line="240" w:lineRule="auto"/>
        <w:jc w:val="both"/>
        <w:rPr>
          <w:rFonts w:ascii="Times New Roman" w:eastAsia="Times New Roman" w:hAnsi="Times New Roman" w:cs="Times New Roman"/>
          <w:i/>
          <w:iCs/>
          <w:sz w:val="16"/>
          <w:szCs w:val="16"/>
        </w:rPr>
      </w:pPr>
      <w:r w:rsidRPr="00FC562E">
        <w:rPr>
          <w:rFonts w:ascii="Times New Roman" w:eastAsia="Times New Roman" w:hAnsi="Times New Roman" w:cs="Times New Roman"/>
          <w:i/>
          <w:iCs/>
          <w:sz w:val="16"/>
          <w:szCs w:val="16"/>
        </w:rPr>
        <w:t xml:space="preserve">Fig. 1 Structural equation model illustrating the influence of the continuous improvement practices on the project delivery performance with the mediating role of process standardization, as well as the organizational learning. Reported standardized path coefficients; all paths evidenced significance </w:t>
      </w:r>
      <w:proofErr w:type="gramStart"/>
      <w:r w:rsidRPr="00FC562E">
        <w:rPr>
          <w:rFonts w:ascii="Times New Roman" w:eastAsia="Times New Roman" w:hAnsi="Times New Roman" w:cs="Times New Roman"/>
          <w:i/>
          <w:iCs/>
          <w:sz w:val="16"/>
          <w:szCs w:val="16"/>
        </w:rPr>
        <w:t>@  p</w:t>
      </w:r>
      <w:proofErr w:type="gramEnd"/>
      <w:r w:rsidRPr="00FC562E">
        <w:rPr>
          <w:rFonts w:ascii="Times New Roman" w:eastAsia="Times New Roman" w:hAnsi="Times New Roman" w:cs="Times New Roman"/>
          <w:i/>
          <w:iCs/>
          <w:sz w:val="16"/>
          <w:szCs w:val="16"/>
        </w:rPr>
        <w:t xml:space="preserve"> =0.05 level. </w:t>
      </w:r>
    </w:p>
    <w:p w14:paraId="42A4130D"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As shown in Fig. 1, the order of the relations between continuous improvement practices and project-delivery performance in energy projects has been developed. Practices of continuous improvement have a strong direct influence on performance of project delivery (β = 0.46, p &lt; .001). Also, there is partial mediation of both process standardization (β = 0.31, p &lt; .01) and organizational learning (β = 0.29, p &lt;.01). The model confirms that CI practices do not only benefit PDP through better execution discipline (through standardization) but also acceptance of adaptive knowledge and learning capacities.</w:t>
      </w:r>
    </w:p>
    <w:p w14:paraId="2B7BABB2"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The dual-pathway mechanism suggests that organizational level entrenchment of the CI is the key to successful long-term project performance. As a practical concern, the value of incorporating problem-solving habits, employee engagement, and feedback mechanisms into project governance systems is underscored in the figure to ensure consistent schedule compliance, cost-effectiveness, quality compliance and safety performance.</w:t>
      </w:r>
    </w:p>
    <w:p w14:paraId="42769A90" w14:textId="77777777" w:rsidR="008A0FE1" w:rsidRPr="00FC562E" w:rsidRDefault="001950F1">
      <w:pPr>
        <w:spacing w:before="280" w:after="28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4.5 Mediation Effects</w:t>
      </w:r>
    </w:p>
    <w:p w14:paraId="5B146A6A"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Using bootstrapping with 5,000 resamples, this study tests the mediation effects as shown on Table 5. The mediation analysis was conducted using a bias-corrected bootstrapping procedure with 5,000 resamples, which provides a robust test of indirect effects without assuming normal distribution of the mediation paths. An indirect effect was considered significant when the 95% confidence interval did not include zero.</w:t>
      </w:r>
    </w:p>
    <w:p w14:paraId="3943581F" w14:textId="77777777" w:rsidR="008A0FE1" w:rsidRPr="00FC562E" w:rsidRDefault="008A0FE1">
      <w:pPr>
        <w:spacing w:before="280" w:after="280" w:line="240" w:lineRule="auto"/>
        <w:jc w:val="both"/>
        <w:rPr>
          <w:rFonts w:ascii="Times New Roman" w:eastAsia="Times New Roman" w:hAnsi="Times New Roman" w:cs="Times New Roman"/>
          <w:sz w:val="24"/>
          <w:szCs w:val="24"/>
        </w:rPr>
      </w:pPr>
    </w:p>
    <w:p w14:paraId="67988184" w14:textId="77777777" w:rsidR="008A0FE1" w:rsidRPr="00FC562E" w:rsidRDefault="008A0FE1">
      <w:pPr>
        <w:spacing w:before="280" w:after="280" w:line="240" w:lineRule="auto"/>
        <w:jc w:val="both"/>
        <w:rPr>
          <w:rFonts w:ascii="Times New Roman" w:eastAsia="Times New Roman" w:hAnsi="Times New Roman" w:cs="Times New Roman"/>
          <w:sz w:val="24"/>
          <w:szCs w:val="24"/>
        </w:rPr>
      </w:pPr>
    </w:p>
    <w:p w14:paraId="60AD8024" w14:textId="77777777" w:rsidR="008A0FE1" w:rsidRPr="00FC562E" w:rsidRDefault="001950F1">
      <w:pPr>
        <w:spacing w:before="280" w:after="28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lastRenderedPageBreak/>
        <w:t>Table 5. Bootstrapped Mediation Effects</w:t>
      </w:r>
    </w:p>
    <w:tbl>
      <w:tblPr>
        <w:tblStyle w:val="a3"/>
        <w:tblW w:w="9026" w:type="dxa"/>
        <w:tblInd w:w="0" w:type="dxa"/>
        <w:tblLayout w:type="fixed"/>
        <w:tblLook w:val="0400" w:firstRow="0" w:lastRow="0" w:firstColumn="0" w:lastColumn="0" w:noHBand="0" w:noVBand="1"/>
      </w:tblPr>
      <w:tblGrid>
        <w:gridCol w:w="3453"/>
        <w:gridCol w:w="1474"/>
        <w:gridCol w:w="2464"/>
        <w:gridCol w:w="1635"/>
      </w:tblGrid>
      <w:tr w:rsidR="008A0FE1" w:rsidRPr="00FC562E" w14:paraId="05888926" w14:textId="77777777">
        <w:trPr>
          <w:tblHeader/>
        </w:trPr>
        <w:tc>
          <w:tcPr>
            <w:tcW w:w="3453" w:type="dxa"/>
            <w:tcBorders>
              <w:top w:val="single" w:sz="4" w:space="0" w:color="000000"/>
              <w:bottom w:val="single" w:sz="4" w:space="0" w:color="000000"/>
            </w:tcBorders>
            <w:vAlign w:val="center"/>
          </w:tcPr>
          <w:p w14:paraId="7B19C116" w14:textId="77777777" w:rsidR="008A0FE1" w:rsidRPr="00FC562E" w:rsidRDefault="001950F1">
            <w:pPr>
              <w:spacing w:after="0" w:line="240" w:lineRule="auto"/>
              <w:jc w:val="center"/>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Indirect Path</w:t>
            </w:r>
          </w:p>
        </w:tc>
        <w:tc>
          <w:tcPr>
            <w:tcW w:w="1474" w:type="dxa"/>
            <w:tcBorders>
              <w:top w:val="single" w:sz="4" w:space="0" w:color="000000"/>
              <w:bottom w:val="single" w:sz="4" w:space="0" w:color="000000"/>
            </w:tcBorders>
            <w:vAlign w:val="center"/>
          </w:tcPr>
          <w:p w14:paraId="26116B4B" w14:textId="77777777" w:rsidR="008A0FE1" w:rsidRPr="00FC562E" w:rsidRDefault="001950F1">
            <w:pPr>
              <w:spacing w:after="0" w:line="240" w:lineRule="auto"/>
              <w:jc w:val="center"/>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Indirect Effect</w:t>
            </w:r>
          </w:p>
        </w:tc>
        <w:tc>
          <w:tcPr>
            <w:tcW w:w="2464" w:type="dxa"/>
            <w:tcBorders>
              <w:top w:val="single" w:sz="4" w:space="0" w:color="000000"/>
              <w:bottom w:val="single" w:sz="4" w:space="0" w:color="000000"/>
            </w:tcBorders>
            <w:vAlign w:val="center"/>
          </w:tcPr>
          <w:p w14:paraId="054DF14B" w14:textId="77777777" w:rsidR="008A0FE1" w:rsidRPr="00FC562E" w:rsidRDefault="001950F1">
            <w:pPr>
              <w:spacing w:after="0" w:line="240" w:lineRule="auto"/>
              <w:jc w:val="center"/>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95% Confidence Interval</w:t>
            </w:r>
          </w:p>
        </w:tc>
        <w:tc>
          <w:tcPr>
            <w:tcW w:w="1635" w:type="dxa"/>
            <w:tcBorders>
              <w:top w:val="single" w:sz="4" w:space="0" w:color="000000"/>
              <w:bottom w:val="single" w:sz="4" w:space="0" w:color="000000"/>
            </w:tcBorders>
            <w:vAlign w:val="center"/>
          </w:tcPr>
          <w:p w14:paraId="1A2E83F2" w14:textId="77777777" w:rsidR="008A0FE1" w:rsidRPr="00FC562E" w:rsidRDefault="001950F1">
            <w:pPr>
              <w:spacing w:after="0" w:line="240" w:lineRule="auto"/>
              <w:jc w:val="center"/>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Mediation Type</w:t>
            </w:r>
          </w:p>
        </w:tc>
      </w:tr>
      <w:tr w:rsidR="008A0FE1" w:rsidRPr="00FC562E" w14:paraId="255AEC22" w14:textId="77777777">
        <w:tc>
          <w:tcPr>
            <w:tcW w:w="3453" w:type="dxa"/>
            <w:vAlign w:val="center"/>
          </w:tcPr>
          <w:p w14:paraId="62022D0D"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 xml:space="preserve">CI to Process Standardization </w:t>
            </w:r>
            <w:proofErr w:type="gramStart"/>
            <w:r w:rsidRPr="00FC562E">
              <w:rPr>
                <w:rFonts w:ascii="Times New Roman" w:eastAsia="Times New Roman" w:hAnsi="Times New Roman" w:cs="Times New Roman"/>
                <w:sz w:val="24"/>
                <w:szCs w:val="24"/>
              </w:rPr>
              <w:t>to  PDP</w:t>
            </w:r>
            <w:proofErr w:type="gramEnd"/>
          </w:p>
        </w:tc>
        <w:tc>
          <w:tcPr>
            <w:tcW w:w="1474" w:type="dxa"/>
            <w:vAlign w:val="center"/>
          </w:tcPr>
          <w:p w14:paraId="0887390C"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0.16</w:t>
            </w:r>
          </w:p>
        </w:tc>
        <w:tc>
          <w:tcPr>
            <w:tcW w:w="2464" w:type="dxa"/>
            <w:vAlign w:val="center"/>
          </w:tcPr>
          <w:p w14:paraId="46A4355C"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[0.09, 0.24]</w:t>
            </w:r>
          </w:p>
        </w:tc>
        <w:tc>
          <w:tcPr>
            <w:tcW w:w="1635" w:type="dxa"/>
            <w:vAlign w:val="center"/>
          </w:tcPr>
          <w:p w14:paraId="249FE683"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Partial</w:t>
            </w:r>
          </w:p>
        </w:tc>
      </w:tr>
      <w:tr w:rsidR="008A0FE1" w:rsidRPr="00FC562E" w14:paraId="1024476D" w14:textId="77777777">
        <w:tc>
          <w:tcPr>
            <w:tcW w:w="3453" w:type="dxa"/>
            <w:tcBorders>
              <w:bottom w:val="single" w:sz="4" w:space="0" w:color="000000"/>
            </w:tcBorders>
            <w:vAlign w:val="center"/>
          </w:tcPr>
          <w:p w14:paraId="2C21A533"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CI to Organizational Learning to PDP</w:t>
            </w:r>
          </w:p>
        </w:tc>
        <w:tc>
          <w:tcPr>
            <w:tcW w:w="1474" w:type="dxa"/>
            <w:tcBorders>
              <w:bottom w:val="single" w:sz="4" w:space="0" w:color="000000"/>
            </w:tcBorders>
            <w:vAlign w:val="center"/>
          </w:tcPr>
          <w:p w14:paraId="21CB6EFE"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0.14</w:t>
            </w:r>
          </w:p>
        </w:tc>
        <w:tc>
          <w:tcPr>
            <w:tcW w:w="2464" w:type="dxa"/>
            <w:tcBorders>
              <w:bottom w:val="single" w:sz="4" w:space="0" w:color="000000"/>
            </w:tcBorders>
            <w:vAlign w:val="center"/>
          </w:tcPr>
          <w:p w14:paraId="146DDB78"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[0.07, 0.22]</w:t>
            </w:r>
          </w:p>
        </w:tc>
        <w:tc>
          <w:tcPr>
            <w:tcW w:w="1635" w:type="dxa"/>
            <w:tcBorders>
              <w:bottom w:val="single" w:sz="4" w:space="0" w:color="000000"/>
            </w:tcBorders>
            <w:vAlign w:val="center"/>
          </w:tcPr>
          <w:p w14:paraId="55895239"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Partial</w:t>
            </w:r>
          </w:p>
        </w:tc>
      </w:tr>
    </w:tbl>
    <w:p w14:paraId="5AD4D798" w14:textId="77777777" w:rsidR="008A0FE1" w:rsidRPr="00FC562E" w:rsidRDefault="001950F1">
      <w:pPr>
        <w:spacing w:before="280" w:after="280" w:line="240" w:lineRule="auto"/>
        <w:jc w:val="both"/>
        <w:rPr>
          <w:rFonts w:ascii="Times New Roman" w:eastAsia="Times New Roman" w:hAnsi="Times New Roman" w:cs="Times New Roman"/>
          <w:i/>
          <w:iCs/>
          <w:sz w:val="24"/>
          <w:szCs w:val="24"/>
        </w:rPr>
      </w:pPr>
      <w:r w:rsidRPr="00FC562E">
        <w:rPr>
          <w:rFonts w:ascii="Times New Roman" w:eastAsia="Times New Roman" w:hAnsi="Times New Roman" w:cs="Times New Roman"/>
          <w:b/>
          <w:bCs/>
          <w:sz w:val="24"/>
          <w:szCs w:val="24"/>
        </w:rPr>
        <w:t>Source:</w:t>
      </w:r>
      <w:r w:rsidRPr="00FC562E">
        <w:rPr>
          <w:rFonts w:ascii="Times New Roman" w:eastAsia="Times New Roman" w:hAnsi="Times New Roman" w:cs="Times New Roman"/>
          <w:sz w:val="24"/>
          <w:szCs w:val="24"/>
        </w:rPr>
        <w:t xml:space="preserve"> Author’s Computation (2026)</w:t>
      </w:r>
      <w:r w:rsidRPr="00FC562E">
        <w:rPr>
          <w:rFonts w:ascii="Times New Roman" w:eastAsia="Times New Roman" w:hAnsi="Times New Roman" w:cs="Times New Roman"/>
          <w:i/>
          <w:iCs/>
          <w:sz w:val="24"/>
          <w:szCs w:val="24"/>
        </w:rPr>
        <w:t xml:space="preserve">  </w:t>
      </w:r>
    </w:p>
    <w:p w14:paraId="325FC87F" w14:textId="77777777" w:rsidR="008A0FE1" w:rsidRPr="00FC562E" w:rsidRDefault="001950F1">
      <w:pPr>
        <w:spacing w:before="280" w:after="280" w:line="240" w:lineRule="auto"/>
        <w:jc w:val="both"/>
        <w:rPr>
          <w:rFonts w:ascii="Times New Roman" w:eastAsia="Times New Roman" w:hAnsi="Times New Roman" w:cs="Times New Roman"/>
          <w:i/>
          <w:iCs/>
          <w:sz w:val="24"/>
          <w:szCs w:val="24"/>
        </w:rPr>
      </w:pPr>
      <w:r w:rsidRPr="00FC562E">
        <w:rPr>
          <w:rFonts w:ascii="Times New Roman" w:eastAsia="Times New Roman" w:hAnsi="Times New Roman" w:cs="Times New Roman"/>
          <w:i/>
          <w:iCs/>
          <w:sz w:val="24"/>
          <w:szCs w:val="24"/>
        </w:rPr>
        <w:t>Note: Zero is excluded in the confidence intervals</w:t>
      </w:r>
    </w:p>
    <w:p w14:paraId="1F9B87A8"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br/>
        <w:t>According to the bootstrapping of results (Table 5) the indirect impacts of the continuous improvement (CI) practices on the project delivery performance in both process standardization and organization learning are significant because the confidence interval values are not equal to zero. The fact that it has a partial mediation indicates that CI has both positive and negative and indirect effects on performance delivery. These results demonstrate the presence of complementary relationships between structural discipline and organizational learning with regard to the implementation of CI practices in enhanced project performance.</w:t>
      </w:r>
    </w:p>
    <w:p w14:paraId="2CAFF181" w14:textId="77777777" w:rsidR="008A0FE1" w:rsidRPr="00FC562E" w:rsidRDefault="001950F1">
      <w:pPr>
        <w:spacing w:before="280" w:after="28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4.6 Effects on Individual Project Delivery Dimensions</w:t>
      </w:r>
    </w:p>
    <w:p w14:paraId="74D0A18D"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Regression analysis, in this study, was carried out to investigate the comparative impact of CI practices on the particular performance outcomes.</w:t>
      </w:r>
    </w:p>
    <w:p w14:paraId="02D28734" w14:textId="77777777" w:rsidR="008A0FE1" w:rsidRPr="00FC562E" w:rsidRDefault="001950F1">
      <w:pPr>
        <w:spacing w:before="280" w:after="280" w:line="240" w:lineRule="auto"/>
        <w:jc w:val="both"/>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Table 6. Effects of Continuous Improvement Practices on Performance Dimensions</w:t>
      </w:r>
    </w:p>
    <w:tbl>
      <w:tblPr>
        <w:tblStyle w:val="a4"/>
        <w:tblW w:w="8770" w:type="dxa"/>
        <w:tblInd w:w="0" w:type="dxa"/>
        <w:tblLayout w:type="fixed"/>
        <w:tblLook w:val="0400" w:firstRow="0" w:lastRow="0" w:firstColumn="0" w:lastColumn="0" w:noHBand="0" w:noVBand="1"/>
      </w:tblPr>
      <w:tblGrid>
        <w:gridCol w:w="5201"/>
        <w:gridCol w:w="952"/>
        <w:gridCol w:w="952"/>
        <w:gridCol w:w="1665"/>
      </w:tblGrid>
      <w:tr w:rsidR="008A0FE1" w:rsidRPr="00FC562E" w14:paraId="1B037AB9" w14:textId="77777777">
        <w:trPr>
          <w:trHeight w:val="256"/>
          <w:tblHeader/>
        </w:trPr>
        <w:tc>
          <w:tcPr>
            <w:tcW w:w="5201" w:type="dxa"/>
            <w:tcBorders>
              <w:top w:val="single" w:sz="4" w:space="0" w:color="000000"/>
              <w:bottom w:val="single" w:sz="4" w:space="0" w:color="000000"/>
            </w:tcBorders>
            <w:vAlign w:val="center"/>
          </w:tcPr>
          <w:p w14:paraId="6199756F" w14:textId="77777777" w:rsidR="008A0FE1" w:rsidRPr="00FC562E" w:rsidRDefault="001950F1">
            <w:pPr>
              <w:spacing w:after="0" w:line="240" w:lineRule="auto"/>
              <w:jc w:val="center"/>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Performance Dimension</w:t>
            </w:r>
          </w:p>
        </w:tc>
        <w:tc>
          <w:tcPr>
            <w:tcW w:w="952" w:type="dxa"/>
            <w:tcBorders>
              <w:top w:val="single" w:sz="4" w:space="0" w:color="000000"/>
              <w:bottom w:val="single" w:sz="4" w:space="0" w:color="000000"/>
            </w:tcBorders>
            <w:vAlign w:val="center"/>
          </w:tcPr>
          <w:p w14:paraId="573B0F39" w14:textId="77777777" w:rsidR="008A0FE1" w:rsidRPr="00FC562E" w:rsidRDefault="001950F1">
            <w:pPr>
              <w:spacing w:after="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Β</w:t>
            </w:r>
          </w:p>
        </w:tc>
        <w:tc>
          <w:tcPr>
            <w:tcW w:w="952" w:type="dxa"/>
            <w:tcBorders>
              <w:top w:val="single" w:sz="4" w:space="0" w:color="000000"/>
              <w:bottom w:val="single" w:sz="4" w:space="0" w:color="000000"/>
            </w:tcBorders>
            <w:vAlign w:val="center"/>
          </w:tcPr>
          <w:p w14:paraId="0FC3DDC5" w14:textId="77777777" w:rsidR="008A0FE1" w:rsidRPr="00FC562E" w:rsidRDefault="001950F1">
            <w:pPr>
              <w:spacing w:after="0" w:line="240" w:lineRule="auto"/>
              <w:jc w:val="center"/>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R²</w:t>
            </w:r>
          </w:p>
        </w:tc>
        <w:tc>
          <w:tcPr>
            <w:tcW w:w="1665" w:type="dxa"/>
            <w:tcBorders>
              <w:top w:val="single" w:sz="4" w:space="0" w:color="000000"/>
              <w:bottom w:val="single" w:sz="4" w:space="0" w:color="000000"/>
            </w:tcBorders>
            <w:vAlign w:val="center"/>
          </w:tcPr>
          <w:p w14:paraId="681F7CCC" w14:textId="77777777" w:rsidR="008A0FE1" w:rsidRPr="00FC562E" w:rsidRDefault="001950F1">
            <w:pPr>
              <w:spacing w:after="0" w:line="240" w:lineRule="auto"/>
              <w:jc w:val="center"/>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p-value</w:t>
            </w:r>
          </w:p>
        </w:tc>
      </w:tr>
      <w:tr w:rsidR="008A0FE1" w:rsidRPr="00FC562E" w14:paraId="1C9A2083" w14:textId="77777777">
        <w:trPr>
          <w:trHeight w:val="238"/>
        </w:trPr>
        <w:tc>
          <w:tcPr>
            <w:tcW w:w="5201" w:type="dxa"/>
            <w:vAlign w:val="center"/>
          </w:tcPr>
          <w:p w14:paraId="6F87D229"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Schedule Performance</w:t>
            </w:r>
          </w:p>
        </w:tc>
        <w:tc>
          <w:tcPr>
            <w:tcW w:w="952" w:type="dxa"/>
            <w:vAlign w:val="center"/>
          </w:tcPr>
          <w:p w14:paraId="48966F9F"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0.42</w:t>
            </w:r>
          </w:p>
        </w:tc>
        <w:tc>
          <w:tcPr>
            <w:tcW w:w="952" w:type="dxa"/>
            <w:vAlign w:val="center"/>
          </w:tcPr>
          <w:p w14:paraId="4E4502D9"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0.28</w:t>
            </w:r>
          </w:p>
        </w:tc>
        <w:tc>
          <w:tcPr>
            <w:tcW w:w="1665" w:type="dxa"/>
            <w:vAlign w:val="center"/>
          </w:tcPr>
          <w:p w14:paraId="488B21BD"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&lt; 0.001</w:t>
            </w:r>
          </w:p>
        </w:tc>
      </w:tr>
      <w:tr w:rsidR="008A0FE1" w:rsidRPr="00FC562E" w14:paraId="539F03CE" w14:textId="77777777">
        <w:trPr>
          <w:trHeight w:val="238"/>
        </w:trPr>
        <w:tc>
          <w:tcPr>
            <w:tcW w:w="5201" w:type="dxa"/>
            <w:vAlign w:val="center"/>
          </w:tcPr>
          <w:p w14:paraId="5FDDF4B0"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Cost Performance</w:t>
            </w:r>
          </w:p>
        </w:tc>
        <w:tc>
          <w:tcPr>
            <w:tcW w:w="952" w:type="dxa"/>
            <w:vAlign w:val="center"/>
          </w:tcPr>
          <w:p w14:paraId="6100FF7E"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0.37</w:t>
            </w:r>
          </w:p>
        </w:tc>
        <w:tc>
          <w:tcPr>
            <w:tcW w:w="952" w:type="dxa"/>
            <w:vAlign w:val="center"/>
          </w:tcPr>
          <w:p w14:paraId="7E5672C4"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0.24</w:t>
            </w:r>
          </w:p>
        </w:tc>
        <w:tc>
          <w:tcPr>
            <w:tcW w:w="1665" w:type="dxa"/>
            <w:vAlign w:val="center"/>
          </w:tcPr>
          <w:p w14:paraId="557DBBEB"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&lt; 0.001</w:t>
            </w:r>
          </w:p>
        </w:tc>
      </w:tr>
      <w:tr w:rsidR="008A0FE1" w:rsidRPr="00FC562E" w14:paraId="79975A81" w14:textId="77777777">
        <w:trPr>
          <w:trHeight w:val="238"/>
        </w:trPr>
        <w:tc>
          <w:tcPr>
            <w:tcW w:w="5201" w:type="dxa"/>
            <w:vAlign w:val="center"/>
          </w:tcPr>
          <w:p w14:paraId="1661E316"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Quality Performance</w:t>
            </w:r>
          </w:p>
        </w:tc>
        <w:tc>
          <w:tcPr>
            <w:tcW w:w="952" w:type="dxa"/>
            <w:vAlign w:val="center"/>
          </w:tcPr>
          <w:p w14:paraId="44517006"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0.45</w:t>
            </w:r>
          </w:p>
        </w:tc>
        <w:tc>
          <w:tcPr>
            <w:tcW w:w="952" w:type="dxa"/>
            <w:vAlign w:val="center"/>
          </w:tcPr>
          <w:p w14:paraId="03437664"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0.31</w:t>
            </w:r>
          </w:p>
        </w:tc>
        <w:tc>
          <w:tcPr>
            <w:tcW w:w="1665" w:type="dxa"/>
            <w:vAlign w:val="center"/>
          </w:tcPr>
          <w:p w14:paraId="4E21967F"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&lt; 0.001</w:t>
            </w:r>
          </w:p>
        </w:tc>
      </w:tr>
      <w:tr w:rsidR="008A0FE1" w:rsidRPr="00FC562E" w14:paraId="1CA09990" w14:textId="77777777">
        <w:trPr>
          <w:trHeight w:val="238"/>
        </w:trPr>
        <w:tc>
          <w:tcPr>
            <w:tcW w:w="5201" w:type="dxa"/>
            <w:tcBorders>
              <w:bottom w:val="single" w:sz="4" w:space="0" w:color="000000"/>
            </w:tcBorders>
            <w:vAlign w:val="center"/>
          </w:tcPr>
          <w:p w14:paraId="3E780BF0"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Safety Performance</w:t>
            </w:r>
          </w:p>
        </w:tc>
        <w:tc>
          <w:tcPr>
            <w:tcW w:w="952" w:type="dxa"/>
            <w:tcBorders>
              <w:bottom w:val="single" w:sz="4" w:space="0" w:color="000000"/>
            </w:tcBorders>
            <w:vAlign w:val="center"/>
          </w:tcPr>
          <w:p w14:paraId="1E6EC072"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0.33</w:t>
            </w:r>
          </w:p>
        </w:tc>
        <w:tc>
          <w:tcPr>
            <w:tcW w:w="952" w:type="dxa"/>
            <w:tcBorders>
              <w:bottom w:val="single" w:sz="4" w:space="0" w:color="000000"/>
            </w:tcBorders>
            <w:vAlign w:val="center"/>
          </w:tcPr>
          <w:p w14:paraId="19D9891E"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0.19</w:t>
            </w:r>
          </w:p>
        </w:tc>
        <w:tc>
          <w:tcPr>
            <w:tcW w:w="1665" w:type="dxa"/>
            <w:tcBorders>
              <w:bottom w:val="single" w:sz="4" w:space="0" w:color="000000"/>
            </w:tcBorders>
            <w:vAlign w:val="center"/>
          </w:tcPr>
          <w:p w14:paraId="496E041D" w14:textId="77777777" w:rsidR="008A0FE1" w:rsidRPr="00FC562E" w:rsidRDefault="001950F1">
            <w:pPr>
              <w:spacing w:after="0" w:line="240" w:lineRule="auto"/>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&lt; 0.01</w:t>
            </w:r>
          </w:p>
        </w:tc>
      </w:tr>
    </w:tbl>
    <w:p w14:paraId="582FF8A9" w14:textId="77777777" w:rsidR="008A0FE1" w:rsidRPr="00FC562E" w:rsidRDefault="001950F1">
      <w:pPr>
        <w:spacing w:before="280" w:after="280" w:line="240" w:lineRule="auto"/>
        <w:rPr>
          <w:rFonts w:ascii="Times New Roman" w:eastAsia="Times New Roman" w:hAnsi="Times New Roman" w:cs="Times New Roman"/>
          <w:i/>
          <w:iCs/>
          <w:sz w:val="24"/>
          <w:szCs w:val="24"/>
        </w:rPr>
      </w:pPr>
      <w:bookmarkStart w:id="1" w:name="_3rs3wig67x8t" w:colFirst="0" w:colLast="0"/>
      <w:bookmarkEnd w:id="1"/>
      <w:r w:rsidRPr="00FC562E">
        <w:rPr>
          <w:rFonts w:ascii="Times New Roman" w:eastAsia="Times New Roman" w:hAnsi="Times New Roman" w:cs="Times New Roman"/>
          <w:b/>
          <w:bCs/>
          <w:sz w:val="24"/>
          <w:szCs w:val="24"/>
        </w:rPr>
        <w:t>Source:</w:t>
      </w:r>
      <w:r w:rsidRPr="00FC562E">
        <w:rPr>
          <w:rFonts w:ascii="Times New Roman" w:eastAsia="Times New Roman" w:hAnsi="Times New Roman" w:cs="Times New Roman"/>
          <w:sz w:val="24"/>
          <w:szCs w:val="24"/>
        </w:rPr>
        <w:t xml:space="preserve"> Author’s Computation (2026)</w:t>
      </w:r>
    </w:p>
    <w:p w14:paraId="436352F2"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b/>
          <w:bCs/>
          <w:sz w:val="24"/>
          <w:szCs w:val="24"/>
        </w:rPr>
        <w:br/>
      </w:r>
      <w:r w:rsidRPr="00FC562E">
        <w:rPr>
          <w:rFonts w:ascii="Times New Roman" w:eastAsia="Times New Roman" w:hAnsi="Times New Roman" w:cs="Times New Roman"/>
          <w:sz w:val="24"/>
          <w:szCs w:val="24"/>
        </w:rPr>
        <w:t>Table 6 indicates that there are considerable positive impacts of continuous improvement (CI) practices in each of the project delivery dimensions. Strongest impacts are witnessed on quality (b = 0.45) and schedule performance (b = 0.42), which come next behind the cost and safety outcomes. This trend indicates that the main outcomes of CI are an improvement in delivery performance due to process stability and lessening the variability of execution, and the safety outcomes can be seen through procedural reliability.</w:t>
      </w:r>
    </w:p>
    <w:p w14:paraId="5471E8CD" w14:textId="77777777" w:rsidR="008A0FE1" w:rsidRPr="00FC562E" w:rsidRDefault="008A0FE1">
      <w:pPr>
        <w:spacing w:before="280" w:after="280" w:line="240" w:lineRule="auto"/>
        <w:jc w:val="both"/>
        <w:rPr>
          <w:rFonts w:ascii="Times New Roman" w:eastAsia="Times New Roman" w:hAnsi="Times New Roman" w:cs="Times New Roman"/>
          <w:sz w:val="24"/>
          <w:szCs w:val="24"/>
        </w:rPr>
      </w:pPr>
    </w:p>
    <w:p w14:paraId="30FCE6FA" w14:textId="77777777" w:rsidR="008A0FE1" w:rsidRPr="00FC562E" w:rsidRDefault="008A0FE1">
      <w:pPr>
        <w:spacing w:before="280" w:after="280" w:line="240" w:lineRule="auto"/>
        <w:jc w:val="both"/>
        <w:rPr>
          <w:rFonts w:ascii="Times New Roman" w:eastAsia="Times New Roman" w:hAnsi="Times New Roman" w:cs="Times New Roman"/>
          <w:sz w:val="24"/>
          <w:szCs w:val="24"/>
        </w:rPr>
      </w:pPr>
    </w:p>
    <w:p w14:paraId="7135CAE0" w14:textId="77777777" w:rsidR="008A0FE1" w:rsidRPr="00FC562E" w:rsidRDefault="001950F1">
      <w:pPr>
        <w:spacing w:before="280" w:after="28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lastRenderedPageBreak/>
        <w:t>5.</w:t>
      </w:r>
      <w:r w:rsidRPr="00FC562E">
        <w:rPr>
          <w:rFonts w:ascii="Times New Roman" w:eastAsia="Times New Roman" w:hAnsi="Times New Roman" w:cs="Times New Roman"/>
          <w:b/>
          <w:bCs/>
          <w:sz w:val="24"/>
          <w:szCs w:val="24"/>
        </w:rPr>
        <w:tab/>
        <w:t>Conclusion and Recommendation</w:t>
      </w:r>
    </w:p>
    <w:p w14:paraId="37B4ED36"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In this study, the focus was on how continuous improvement (CI) practices are likely to affect the performance of project-delivery in the energy industry with specific reference to the mediating effects of process standardization and organizational learning.</w:t>
      </w:r>
      <w:r w:rsidRPr="00FC562E">
        <w:rPr>
          <w:rFonts w:ascii="Times New Roman" w:eastAsia="Times New Roman" w:hAnsi="Times New Roman" w:cs="Times New Roman"/>
          <w:b/>
          <w:bCs/>
          <w:sz w:val="24"/>
          <w:szCs w:val="24"/>
        </w:rPr>
        <w:t xml:space="preserve"> </w:t>
      </w:r>
      <w:r w:rsidRPr="00FC562E">
        <w:rPr>
          <w:rFonts w:ascii="Times New Roman" w:eastAsia="Times New Roman" w:hAnsi="Times New Roman" w:cs="Times New Roman"/>
          <w:sz w:val="24"/>
          <w:szCs w:val="24"/>
        </w:rPr>
        <w:t>The study based on evidence retrieved among 265 energy project professionals and bolstered by qualitative evidence obtained through the experience of advanced practitioners entails solid empirical evidence to assert that CI practices positively contribute to the delivery outcome of projects in the dimension of schedule, cost, quality, and safety.</w:t>
      </w:r>
    </w:p>
    <w:p w14:paraId="32FCF16E"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The results reveal that CI is not only a set of functioning tools but also a practice that is inherent in the organizations and provides the framework of discipline of execution and learning throughout the project portfolios. Through the empirical validation conducted on both direct and indirect performance effects, the study cuts the longstanding confusion from the literature on project management regarding the relevance of CI in complex and project-based settings. This way it makes CI viable and actionable as a tool to enhance delivery reliability in energy projects at a high level of risk.</w:t>
      </w:r>
    </w:p>
    <w:p w14:paraId="2CC6E75F" w14:textId="77777777" w:rsidR="008A0FE1" w:rsidRPr="00FC562E" w:rsidRDefault="001950F1">
      <w:pPr>
        <w:spacing w:before="280" w:after="28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5.2 Theoretical Contributions</w:t>
      </w:r>
    </w:p>
    <w:p w14:paraId="65A6FC41"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The research has a number of significant contributions to project management and operations management literature. First, it extrapolates the theory of continuous improvement to project-specific energy-related settings, about which very little empirical data has been gathered, despite its economic and societal interest. The study dispels the current assumption that CI is only useful in a repetitive operational environment by indicating the high-performance effects on energy projects.</w:t>
      </w:r>
    </w:p>
    <w:p w14:paraId="52283429"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Second, the research contributes to theory by explaining the processes by which CI has a role on project delivery performance. The results indicate two complementary patterns of CI augmenting performance, namely, standardization of the processes and organizational learning. This mechanisms-grounded exposition is the step further of what was previously described as descriptive accounts, and its exposition of the transformation of improvement practices into specific delivery results is more subtle.</w:t>
      </w:r>
    </w:p>
    <w:p w14:paraId="6B65EDF8"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Third, the paper incorporates the Resource-Based View (RBV) together with Organizational Learning Theory (OLT) in transforming CI conceptualization to an organizational competency and not a discrete set of tools. This conceptual framing serves further to pursue continuous controversy in the capability development in the project-based organizations and provides a point of departure in future studies in dynamic execution capabilities.</w:t>
      </w:r>
    </w:p>
    <w:p w14:paraId="40674492" w14:textId="77777777" w:rsidR="008A0FE1" w:rsidRPr="00FC562E" w:rsidRDefault="001950F1">
      <w:pPr>
        <w:spacing w:before="280" w:after="28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5.3 Managerial Implications</w:t>
      </w:r>
    </w:p>
    <w:p w14:paraId="54BE6A15"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The results have a number of practical implications towards the managers and decision-makers in energy project organizations.</w:t>
      </w:r>
    </w:p>
    <w:p w14:paraId="27F887B0"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The first step taken by the organizations is to go beyond the scaled-up or project-specific improvement interventions and start to institutionalize the CI practices within the organization level. Incorporated in the project governance systems, the standardized workflow, the problem-solving routine, and the feedback mechanisms are all important in ensuring the sustained gain in performance.</w:t>
      </w:r>
    </w:p>
    <w:p w14:paraId="047A3F89"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lastRenderedPageBreak/>
        <w:t>Second, CI cannot work without leadership commitment. Senior managers are important in supporting the norms of improvement, funding learning processes, and developing sufficient psychological safety that fosters reporting of deviations and near-misses.</w:t>
      </w:r>
    </w:p>
    <w:p w14:paraId="60E42104"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Third, the findings suggest that a compromise between standardization and flexibility is useful. Instead of limiting innovation, standardized performance practices can serve as a stabilizing platform where individuals working on a team can more effectively react to complexity and uncertainty in the delivery of projects. These lessons should make practitioners working in the energy sector address CI as an investment in execution ability but not a transitory efficiency project.</w:t>
      </w:r>
    </w:p>
    <w:p w14:paraId="2AD383C6" w14:textId="77777777" w:rsidR="008A0FE1" w:rsidRPr="00FC562E" w:rsidRDefault="001950F1">
      <w:pPr>
        <w:spacing w:before="280" w:after="280" w:line="240" w:lineRule="auto"/>
        <w:jc w:val="both"/>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 xml:space="preserve">5.4   Policy Implications </w:t>
      </w:r>
    </w:p>
    <w:p w14:paraId="0F731D4C"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The implication of the findings extends beyond the practice in organizations to include regulating bodies and policy makers in the industry. As the economic, environmental, and safety issues related to energy projects are high, the practices related to organizational learning and standardized execution patterns may be encouraged to facilitate more stable project outcomes and decrease systemic risk.</w:t>
      </w:r>
    </w:p>
    <w:p w14:paraId="4E37A255"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Professional associations and industry bodies can think of integrating CI-oriented skills in project management standards, certification programs and best-practice principles in the case of energy projects.</w:t>
      </w:r>
    </w:p>
    <w:p w14:paraId="475B79C9" w14:textId="77777777" w:rsidR="008A0FE1" w:rsidRPr="00FC562E" w:rsidRDefault="001950F1">
      <w:pPr>
        <w:spacing w:before="280" w:after="280" w:line="240" w:lineRule="auto"/>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5.5 Research Limitations and Future Direction</w:t>
      </w:r>
    </w:p>
    <w:p w14:paraId="1B5BE4DF" w14:textId="77777777" w:rsidR="008A0FE1" w:rsidRPr="00FC562E"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Though it has its contributions, this study has a number of limitations. The cross-sectional design is a limitation because it does not allow one to make strong causal inferences, and in future studies longitudinal designs can be used to test how CI capabilities change over time and affect performance over a number of project lifecycles.</w:t>
      </w:r>
    </w:p>
    <w:p w14:paraId="2F67F21D" w14:textId="53C91EBE" w:rsidR="008A0FE1" w:rsidRDefault="001950F1">
      <w:pPr>
        <w:spacing w:before="280" w:after="280" w:line="240" w:lineRule="auto"/>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 xml:space="preserve">Also, although the energy sector is the main focus of the study, future studies might examine the applicability of the research results to other project-intensive sectors such as the construction, transportation and defence sector. More mediating or moderating variables, including digital project controls, contractual arrangements, or organizational culture could also be considered in the further work. </w:t>
      </w:r>
    </w:p>
    <w:p w14:paraId="3BE53FE9" w14:textId="77777777" w:rsidR="00B16E2F" w:rsidRPr="00B16E2F" w:rsidRDefault="00B16E2F" w:rsidP="00B16E2F">
      <w:pPr>
        <w:spacing w:before="280" w:after="280" w:line="240" w:lineRule="auto"/>
        <w:jc w:val="both"/>
        <w:rPr>
          <w:rFonts w:ascii="Times New Roman" w:eastAsia="Times New Roman" w:hAnsi="Times New Roman" w:cs="Times New Roman"/>
          <w:sz w:val="24"/>
          <w:szCs w:val="24"/>
        </w:rPr>
      </w:pPr>
      <w:r w:rsidRPr="00B16E2F">
        <w:rPr>
          <w:rFonts w:ascii="Times New Roman" w:eastAsia="Times New Roman" w:hAnsi="Times New Roman" w:cs="Times New Roman"/>
          <w:sz w:val="24"/>
          <w:szCs w:val="24"/>
        </w:rPr>
        <w:t xml:space="preserve">Consent </w:t>
      </w:r>
    </w:p>
    <w:p w14:paraId="65AD41A1" w14:textId="64D1A2C3" w:rsidR="00B16E2F" w:rsidRDefault="00B16E2F" w:rsidP="00B16E2F">
      <w:pPr>
        <w:spacing w:before="280" w:after="280" w:line="240" w:lineRule="auto"/>
        <w:jc w:val="both"/>
        <w:rPr>
          <w:rFonts w:ascii="Times New Roman" w:eastAsia="Times New Roman" w:hAnsi="Times New Roman" w:cs="Times New Roman"/>
          <w:sz w:val="24"/>
          <w:szCs w:val="24"/>
        </w:rPr>
      </w:pPr>
      <w:r w:rsidRPr="00B16E2F">
        <w:rPr>
          <w:rFonts w:ascii="Times New Roman" w:eastAsia="Times New Roman" w:hAnsi="Times New Roman" w:cs="Times New Roman"/>
          <w:sz w:val="24"/>
          <w:szCs w:val="24"/>
        </w:rPr>
        <w:t>As per international standards or university standards, respondents’ written consent has been collected and preserved by the author(s).</w:t>
      </w:r>
    </w:p>
    <w:p w14:paraId="31E2C09A" w14:textId="6303A7A3" w:rsidR="00B16E2F" w:rsidRDefault="00B16E2F">
      <w:pPr>
        <w:spacing w:before="280" w:after="280" w:line="240" w:lineRule="auto"/>
        <w:jc w:val="both"/>
        <w:rPr>
          <w:rFonts w:ascii="Times New Roman" w:eastAsia="Times New Roman" w:hAnsi="Times New Roman" w:cs="Times New Roman"/>
          <w:sz w:val="24"/>
          <w:szCs w:val="24"/>
        </w:rPr>
      </w:pPr>
    </w:p>
    <w:p w14:paraId="522F2CE9" w14:textId="77777777" w:rsidR="00B16E2F" w:rsidRPr="00B16E2F" w:rsidRDefault="00B16E2F" w:rsidP="00B16E2F">
      <w:pPr>
        <w:spacing w:before="280" w:after="280" w:line="240" w:lineRule="auto"/>
        <w:jc w:val="both"/>
        <w:rPr>
          <w:rFonts w:ascii="Times New Roman" w:eastAsia="Times New Roman" w:hAnsi="Times New Roman" w:cs="Times New Roman"/>
          <w:sz w:val="24"/>
          <w:szCs w:val="24"/>
        </w:rPr>
      </w:pPr>
      <w:r w:rsidRPr="00B16E2F">
        <w:rPr>
          <w:rFonts w:ascii="Times New Roman" w:eastAsia="Times New Roman" w:hAnsi="Times New Roman" w:cs="Times New Roman"/>
          <w:sz w:val="24"/>
          <w:szCs w:val="24"/>
        </w:rPr>
        <w:t>Ethical Approval:</w:t>
      </w:r>
    </w:p>
    <w:p w14:paraId="76DABA30" w14:textId="77777777" w:rsidR="00B16E2F" w:rsidRPr="00B16E2F" w:rsidRDefault="00B16E2F" w:rsidP="00B16E2F">
      <w:pPr>
        <w:spacing w:before="280" w:after="280" w:line="240" w:lineRule="auto"/>
        <w:jc w:val="both"/>
        <w:rPr>
          <w:rFonts w:ascii="Times New Roman" w:eastAsia="Times New Roman" w:hAnsi="Times New Roman" w:cs="Times New Roman"/>
          <w:sz w:val="24"/>
          <w:szCs w:val="24"/>
        </w:rPr>
      </w:pPr>
    </w:p>
    <w:p w14:paraId="70034CBA" w14:textId="49A380B8" w:rsidR="00B16E2F" w:rsidRPr="00FC562E" w:rsidRDefault="00B16E2F" w:rsidP="00B16E2F">
      <w:pPr>
        <w:spacing w:before="280" w:after="280" w:line="240" w:lineRule="auto"/>
        <w:jc w:val="both"/>
        <w:rPr>
          <w:rFonts w:ascii="Times New Roman" w:eastAsia="Times New Roman" w:hAnsi="Times New Roman" w:cs="Times New Roman"/>
          <w:sz w:val="24"/>
          <w:szCs w:val="24"/>
        </w:rPr>
      </w:pPr>
      <w:r w:rsidRPr="00B16E2F">
        <w:rPr>
          <w:rFonts w:ascii="Times New Roman" w:eastAsia="Times New Roman" w:hAnsi="Times New Roman" w:cs="Times New Roman"/>
          <w:sz w:val="24"/>
          <w:szCs w:val="24"/>
        </w:rPr>
        <w:t>As per international standards or university standards written ethical approval has been collected and preserved by the author(s).</w:t>
      </w:r>
    </w:p>
    <w:p w14:paraId="41C017BB" w14:textId="77777777" w:rsidR="008A0FE1" w:rsidRPr="00FC562E" w:rsidRDefault="008A0FE1">
      <w:pPr>
        <w:spacing w:before="280" w:after="280" w:line="240" w:lineRule="auto"/>
        <w:jc w:val="both"/>
        <w:rPr>
          <w:rFonts w:ascii="Times New Roman" w:eastAsia="Times New Roman" w:hAnsi="Times New Roman" w:cs="Times New Roman"/>
          <w:sz w:val="24"/>
          <w:szCs w:val="24"/>
        </w:rPr>
      </w:pPr>
    </w:p>
    <w:p w14:paraId="015B2892" w14:textId="77777777" w:rsidR="008A0FE1" w:rsidRPr="00FC562E" w:rsidRDefault="001950F1">
      <w:pPr>
        <w:spacing w:after="200" w:line="276" w:lineRule="auto"/>
        <w:rPr>
          <w:rFonts w:ascii="Arial" w:eastAsia="Arial" w:hAnsi="Arial" w:cs="Arial"/>
          <w:b/>
          <w:bCs/>
        </w:rPr>
      </w:pPr>
      <w:r w:rsidRPr="00FC562E">
        <w:rPr>
          <w:rFonts w:ascii="Arial" w:eastAsia="Arial" w:hAnsi="Arial" w:cs="Arial"/>
          <w:b/>
          <w:bCs/>
        </w:rPr>
        <w:t>COMPETING INTERESTS DISCLAIMER:</w:t>
      </w:r>
    </w:p>
    <w:p w14:paraId="21300F08" w14:textId="77777777" w:rsidR="008A0FE1" w:rsidRPr="00FC562E" w:rsidRDefault="001950F1">
      <w:pPr>
        <w:spacing w:after="200" w:line="276" w:lineRule="auto"/>
      </w:pPr>
      <w:r w:rsidRPr="00FC562E">
        <w:rPr>
          <w:rFonts w:ascii="Arial" w:eastAsia="Arial" w:hAnsi="Arial" w:cs="Arial"/>
        </w:rPr>
        <w:t>Authors have declared that they have no known competing financial interests OR non-financial interests OR personal relationships that could have appeared to influence the work reported in this paper.</w:t>
      </w:r>
    </w:p>
    <w:p w14:paraId="4BBD5CE8" w14:textId="77777777" w:rsidR="008A0FE1" w:rsidRPr="00FC562E" w:rsidRDefault="008A0FE1">
      <w:pPr>
        <w:spacing w:before="280" w:after="280" w:line="240" w:lineRule="auto"/>
        <w:jc w:val="both"/>
        <w:rPr>
          <w:rFonts w:ascii="Times New Roman" w:eastAsia="Times New Roman" w:hAnsi="Times New Roman" w:cs="Times New Roman"/>
          <w:sz w:val="24"/>
          <w:szCs w:val="24"/>
        </w:rPr>
      </w:pPr>
    </w:p>
    <w:p w14:paraId="3AA1FBB2" w14:textId="77777777" w:rsidR="008A0FE1" w:rsidRPr="00FC562E" w:rsidRDefault="001950F1">
      <w:pPr>
        <w:rPr>
          <w:b/>
          <w:bCs/>
        </w:rPr>
      </w:pPr>
      <w:r w:rsidRPr="00FC562E">
        <w:rPr>
          <w:b/>
          <w:bCs/>
        </w:rPr>
        <w:t>Disclaimer (Artificial intelligence)</w:t>
      </w:r>
    </w:p>
    <w:p w14:paraId="7341C1DD" w14:textId="77777777" w:rsidR="008A0FE1" w:rsidRPr="00FC562E" w:rsidRDefault="001950F1">
      <w:r w:rsidRPr="00FC562E">
        <w:t xml:space="preserve">Author(s) hereby declare that NO generative AI technologies such as Large Language Models (ChatGPT, COPILOT, etc.) and text-to-image generators have been used during the writing or editing of this manuscript. </w:t>
      </w:r>
    </w:p>
    <w:p w14:paraId="3CB73232" w14:textId="77777777" w:rsidR="008A0FE1" w:rsidRPr="00FC562E" w:rsidRDefault="008A0FE1">
      <w:pPr>
        <w:spacing w:before="280" w:after="280" w:line="240" w:lineRule="auto"/>
        <w:jc w:val="both"/>
        <w:rPr>
          <w:rFonts w:ascii="Times New Roman" w:eastAsia="Times New Roman" w:hAnsi="Times New Roman" w:cs="Times New Roman"/>
          <w:sz w:val="24"/>
          <w:szCs w:val="24"/>
        </w:rPr>
      </w:pPr>
    </w:p>
    <w:p w14:paraId="5B0D8C31" w14:textId="77777777" w:rsidR="008A0FE1" w:rsidRPr="00FC562E" w:rsidRDefault="008A0FE1">
      <w:pPr>
        <w:spacing w:before="280" w:after="280" w:line="240" w:lineRule="auto"/>
        <w:jc w:val="both"/>
        <w:rPr>
          <w:rFonts w:ascii="Times New Roman" w:eastAsia="Times New Roman" w:hAnsi="Times New Roman" w:cs="Times New Roman"/>
          <w:sz w:val="24"/>
          <w:szCs w:val="24"/>
        </w:rPr>
      </w:pPr>
    </w:p>
    <w:p w14:paraId="31C82073" w14:textId="77777777" w:rsidR="008A0FE1" w:rsidRPr="00FC562E" w:rsidRDefault="008A0FE1">
      <w:pPr>
        <w:spacing w:before="280" w:after="280" w:line="240" w:lineRule="auto"/>
        <w:jc w:val="both"/>
        <w:rPr>
          <w:rFonts w:ascii="Times New Roman" w:eastAsia="Times New Roman" w:hAnsi="Times New Roman" w:cs="Times New Roman"/>
          <w:sz w:val="24"/>
          <w:szCs w:val="24"/>
        </w:rPr>
      </w:pPr>
    </w:p>
    <w:p w14:paraId="65919DCA" w14:textId="77777777" w:rsidR="008A0FE1" w:rsidRPr="00FC562E" w:rsidRDefault="008A0FE1">
      <w:pPr>
        <w:spacing w:before="280" w:after="280" w:line="240" w:lineRule="auto"/>
        <w:jc w:val="both"/>
        <w:rPr>
          <w:rFonts w:ascii="Times New Roman" w:eastAsia="Times New Roman" w:hAnsi="Times New Roman" w:cs="Times New Roman"/>
          <w:sz w:val="24"/>
          <w:szCs w:val="24"/>
        </w:rPr>
      </w:pPr>
    </w:p>
    <w:p w14:paraId="1E5F2933" w14:textId="77777777" w:rsidR="008A0FE1" w:rsidRPr="00FC562E" w:rsidRDefault="008A0FE1">
      <w:pPr>
        <w:spacing w:before="280" w:after="280" w:line="240" w:lineRule="auto"/>
        <w:jc w:val="both"/>
        <w:rPr>
          <w:rFonts w:ascii="Times New Roman" w:eastAsia="Times New Roman" w:hAnsi="Times New Roman" w:cs="Times New Roman"/>
          <w:sz w:val="24"/>
          <w:szCs w:val="24"/>
        </w:rPr>
      </w:pPr>
    </w:p>
    <w:p w14:paraId="43BC42B3" w14:textId="77777777" w:rsidR="008A0FE1" w:rsidRPr="00FC562E" w:rsidRDefault="008A0FE1">
      <w:pPr>
        <w:spacing w:before="280" w:after="280" w:line="240" w:lineRule="auto"/>
        <w:jc w:val="both"/>
        <w:rPr>
          <w:rFonts w:ascii="Times New Roman" w:eastAsia="Times New Roman" w:hAnsi="Times New Roman" w:cs="Times New Roman"/>
          <w:sz w:val="24"/>
          <w:szCs w:val="24"/>
        </w:rPr>
      </w:pPr>
    </w:p>
    <w:p w14:paraId="28579735" w14:textId="77777777" w:rsidR="008A0FE1" w:rsidRPr="00FC562E" w:rsidRDefault="008A0FE1">
      <w:pPr>
        <w:spacing w:before="280" w:after="280" w:line="240" w:lineRule="auto"/>
        <w:jc w:val="center"/>
        <w:rPr>
          <w:rFonts w:ascii="Times New Roman" w:eastAsia="Times New Roman" w:hAnsi="Times New Roman" w:cs="Times New Roman"/>
          <w:b/>
          <w:bCs/>
          <w:sz w:val="24"/>
          <w:szCs w:val="24"/>
        </w:rPr>
      </w:pPr>
    </w:p>
    <w:p w14:paraId="43509F59" w14:textId="77777777" w:rsidR="008A0FE1" w:rsidRPr="00FC562E" w:rsidRDefault="008A0FE1">
      <w:pPr>
        <w:spacing w:before="280" w:after="280" w:line="240" w:lineRule="auto"/>
        <w:jc w:val="center"/>
        <w:rPr>
          <w:rFonts w:ascii="Times New Roman" w:eastAsia="Times New Roman" w:hAnsi="Times New Roman" w:cs="Times New Roman"/>
          <w:b/>
          <w:bCs/>
          <w:sz w:val="24"/>
          <w:szCs w:val="24"/>
        </w:rPr>
      </w:pPr>
    </w:p>
    <w:p w14:paraId="06FE0409" w14:textId="77777777" w:rsidR="008A0FE1" w:rsidRPr="00FC562E" w:rsidRDefault="008A0FE1">
      <w:pPr>
        <w:spacing w:before="280" w:after="280" w:line="240" w:lineRule="auto"/>
        <w:jc w:val="center"/>
        <w:rPr>
          <w:rFonts w:ascii="Times New Roman" w:eastAsia="Times New Roman" w:hAnsi="Times New Roman" w:cs="Times New Roman"/>
          <w:b/>
          <w:bCs/>
          <w:sz w:val="24"/>
          <w:szCs w:val="24"/>
        </w:rPr>
      </w:pPr>
    </w:p>
    <w:p w14:paraId="59ED738E" w14:textId="77777777" w:rsidR="008A0FE1" w:rsidRPr="00FC562E" w:rsidRDefault="008A0FE1">
      <w:pPr>
        <w:spacing w:before="280" w:after="280" w:line="240" w:lineRule="auto"/>
        <w:jc w:val="center"/>
        <w:rPr>
          <w:rFonts w:ascii="Times New Roman" w:eastAsia="Times New Roman" w:hAnsi="Times New Roman" w:cs="Times New Roman"/>
          <w:b/>
          <w:bCs/>
          <w:sz w:val="24"/>
          <w:szCs w:val="24"/>
        </w:rPr>
      </w:pPr>
    </w:p>
    <w:p w14:paraId="057707D3" w14:textId="77777777" w:rsidR="008A0FE1" w:rsidRPr="00FC562E" w:rsidRDefault="008A0FE1">
      <w:pPr>
        <w:spacing w:before="280" w:after="280" w:line="240" w:lineRule="auto"/>
        <w:jc w:val="center"/>
        <w:rPr>
          <w:rFonts w:ascii="Times New Roman" w:eastAsia="Times New Roman" w:hAnsi="Times New Roman" w:cs="Times New Roman"/>
          <w:b/>
          <w:bCs/>
          <w:sz w:val="24"/>
          <w:szCs w:val="24"/>
        </w:rPr>
      </w:pPr>
    </w:p>
    <w:p w14:paraId="4273D915" w14:textId="77777777" w:rsidR="008A0FE1" w:rsidRPr="00FC562E" w:rsidRDefault="008A0FE1">
      <w:pPr>
        <w:spacing w:before="280" w:after="280" w:line="240" w:lineRule="auto"/>
        <w:jc w:val="center"/>
        <w:rPr>
          <w:rFonts w:ascii="Times New Roman" w:eastAsia="Times New Roman" w:hAnsi="Times New Roman" w:cs="Times New Roman"/>
          <w:b/>
          <w:bCs/>
          <w:sz w:val="24"/>
          <w:szCs w:val="24"/>
        </w:rPr>
      </w:pPr>
    </w:p>
    <w:p w14:paraId="715BD3A4" w14:textId="77777777" w:rsidR="008A0FE1" w:rsidRPr="00FC562E" w:rsidRDefault="008A0FE1">
      <w:pPr>
        <w:spacing w:before="280" w:after="280" w:line="240" w:lineRule="auto"/>
        <w:jc w:val="center"/>
        <w:rPr>
          <w:rFonts w:ascii="Times New Roman" w:eastAsia="Times New Roman" w:hAnsi="Times New Roman" w:cs="Times New Roman"/>
          <w:b/>
          <w:bCs/>
          <w:sz w:val="24"/>
          <w:szCs w:val="24"/>
        </w:rPr>
      </w:pPr>
    </w:p>
    <w:p w14:paraId="6AD332B0" w14:textId="77777777" w:rsidR="008A0FE1" w:rsidRPr="00FC562E" w:rsidRDefault="008A0FE1">
      <w:pPr>
        <w:spacing w:before="280" w:after="280" w:line="240" w:lineRule="auto"/>
        <w:jc w:val="center"/>
        <w:rPr>
          <w:rFonts w:ascii="Times New Roman" w:eastAsia="Times New Roman" w:hAnsi="Times New Roman" w:cs="Times New Roman"/>
          <w:b/>
          <w:bCs/>
          <w:sz w:val="24"/>
          <w:szCs w:val="24"/>
        </w:rPr>
      </w:pPr>
    </w:p>
    <w:p w14:paraId="434C6A5F" w14:textId="77777777" w:rsidR="008A0FE1" w:rsidRPr="00FC562E" w:rsidRDefault="008A0FE1">
      <w:pPr>
        <w:spacing w:before="280" w:after="280" w:line="240" w:lineRule="auto"/>
        <w:jc w:val="center"/>
        <w:rPr>
          <w:rFonts w:ascii="Times New Roman" w:eastAsia="Times New Roman" w:hAnsi="Times New Roman" w:cs="Times New Roman"/>
          <w:b/>
          <w:bCs/>
          <w:sz w:val="24"/>
          <w:szCs w:val="24"/>
        </w:rPr>
      </w:pPr>
    </w:p>
    <w:p w14:paraId="65998FA8" w14:textId="77777777" w:rsidR="008A0FE1" w:rsidRPr="00FC562E" w:rsidRDefault="008A0FE1">
      <w:pPr>
        <w:spacing w:before="280" w:after="280" w:line="240" w:lineRule="auto"/>
        <w:jc w:val="center"/>
        <w:rPr>
          <w:rFonts w:ascii="Times New Roman" w:eastAsia="Times New Roman" w:hAnsi="Times New Roman" w:cs="Times New Roman"/>
          <w:b/>
          <w:bCs/>
          <w:sz w:val="24"/>
          <w:szCs w:val="24"/>
        </w:rPr>
      </w:pPr>
    </w:p>
    <w:p w14:paraId="4F29155E" w14:textId="77777777" w:rsidR="008A0FE1" w:rsidRPr="00FC562E" w:rsidRDefault="008A0FE1">
      <w:pPr>
        <w:spacing w:before="280" w:after="280" w:line="240" w:lineRule="auto"/>
        <w:jc w:val="center"/>
        <w:rPr>
          <w:rFonts w:ascii="Times New Roman" w:eastAsia="Times New Roman" w:hAnsi="Times New Roman" w:cs="Times New Roman"/>
          <w:b/>
          <w:bCs/>
          <w:sz w:val="24"/>
          <w:szCs w:val="24"/>
        </w:rPr>
      </w:pPr>
    </w:p>
    <w:p w14:paraId="7625A238" w14:textId="77777777" w:rsidR="008A0FE1" w:rsidRPr="00FC562E" w:rsidRDefault="008A0FE1">
      <w:pPr>
        <w:spacing w:before="280" w:after="280" w:line="240" w:lineRule="auto"/>
        <w:jc w:val="center"/>
        <w:rPr>
          <w:rFonts w:ascii="Times New Roman" w:eastAsia="Times New Roman" w:hAnsi="Times New Roman" w:cs="Times New Roman"/>
          <w:b/>
          <w:bCs/>
          <w:sz w:val="24"/>
          <w:szCs w:val="24"/>
        </w:rPr>
      </w:pPr>
    </w:p>
    <w:p w14:paraId="1CCD2DD7" w14:textId="77777777" w:rsidR="008A0FE1" w:rsidRPr="00FC562E" w:rsidRDefault="008A0FE1">
      <w:pPr>
        <w:spacing w:before="280" w:after="280" w:line="240" w:lineRule="auto"/>
        <w:jc w:val="center"/>
        <w:rPr>
          <w:rFonts w:ascii="Times New Roman" w:eastAsia="Times New Roman" w:hAnsi="Times New Roman" w:cs="Times New Roman"/>
          <w:b/>
          <w:bCs/>
          <w:sz w:val="24"/>
          <w:szCs w:val="24"/>
        </w:rPr>
      </w:pPr>
    </w:p>
    <w:p w14:paraId="06644F60" w14:textId="77777777" w:rsidR="008A0FE1" w:rsidRPr="00FC562E" w:rsidRDefault="008A0FE1">
      <w:pPr>
        <w:spacing w:before="280" w:after="280" w:line="240" w:lineRule="auto"/>
        <w:jc w:val="center"/>
        <w:rPr>
          <w:rFonts w:ascii="Times New Roman" w:eastAsia="Times New Roman" w:hAnsi="Times New Roman" w:cs="Times New Roman"/>
          <w:b/>
          <w:bCs/>
          <w:sz w:val="24"/>
          <w:szCs w:val="24"/>
        </w:rPr>
      </w:pPr>
    </w:p>
    <w:p w14:paraId="5145C72D" w14:textId="77777777" w:rsidR="008A0FE1" w:rsidRPr="00FC562E" w:rsidRDefault="008A0FE1">
      <w:pPr>
        <w:spacing w:before="280" w:after="280" w:line="240" w:lineRule="auto"/>
        <w:jc w:val="center"/>
        <w:rPr>
          <w:rFonts w:ascii="Times New Roman" w:eastAsia="Times New Roman" w:hAnsi="Times New Roman" w:cs="Times New Roman"/>
          <w:b/>
          <w:bCs/>
          <w:sz w:val="24"/>
          <w:szCs w:val="24"/>
        </w:rPr>
      </w:pPr>
    </w:p>
    <w:p w14:paraId="7CF6F71D" w14:textId="77777777" w:rsidR="008A0FE1" w:rsidRPr="00FC562E" w:rsidRDefault="008A0FE1">
      <w:pPr>
        <w:spacing w:before="280" w:after="280" w:line="240" w:lineRule="auto"/>
        <w:jc w:val="center"/>
        <w:rPr>
          <w:rFonts w:ascii="Times New Roman" w:eastAsia="Times New Roman" w:hAnsi="Times New Roman" w:cs="Times New Roman"/>
          <w:b/>
          <w:bCs/>
          <w:sz w:val="24"/>
          <w:szCs w:val="24"/>
        </w:rPr>
      </w:pPr>
    </w:p>
    <w:p w14:paraId="297317B6" w14:textId="77777777" w:rsidR="008A0FE1" w:rsidRPr="00FC562E" w:rsidRDefault="008A0FE1">
      <w:pPr>
        <w:spacing w:before="280" w:after="280" w:line="240" w:lineRule="auto"/>
        <w:jc w:val="center"/>
        <w:rPr>
          <w:rFonts w:ascii="Times New Roman" w:eastAsia="Times New Roman" w:hAnsi="Times New Roman" w:cs="Times New Roman"/>
          <w:b/>
          <w:bCs/>
          <w:sz w:val="24"/>
          <w:szCs w:val="24"/>
        </w:rPr>
      </w:pPr>
    </w:p>
    <w:p w14:paraId="3F61647A" w14:textId="77777777" w:rsidR="008A0FE1" w:rsidRPr="00FC562E" w:rsidRDefault="001950F1">
      <w:pPr>
        <w:spacing w:before="280" w:after="280" w:line="240" w:lineRule="auto"/>
        <w:jc w:val="center"/>
        <w:rPr>
          <w:rFonts w:ascii="Times New Roman" w:eastAsia="Times New Roman" w:hAnsi="Times New Roman" w:cs="Times New Roman"/>
          <w:b/>
          <w:bCs/>
          <w:sz w:val="24"/>
          <w:szCs w:val="24"/>
        </w:rPr>
      </w:pPr>
      <w:r w:rsidRPr="00FC562E">
        <w:rPr>
          <w:rFonts w:ascii="Times New Roman" w:eastAsia="Times New Roman" w:hAnsi="Times New Roman" w:cs="Times New Roman"/>
          <w:b/>
          <w:bCs/>
          <w:sz w:val="24"/>
          <w:szCs w:val="24"/>
        </w:rPr>
        <w:t>References</w:t>
      </w:r>
    </w:p>
    <w:p w14:paraId="1658817A" w14:textId="77777777" w:rsidR="008A0FE1" w:rsidRPr="00FC562E" w:rsidRDefault="001950F1">
      <w:pPr>
        <w:spacing w:before="280" w:after="280" w:line="240" w:lineRule="auto"/>
        <w:ind w:left="851" w:hanging="851"/>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 xml:space="preserve">Argyris, C., &amp; Schön, D. A. (1997). </w:t>
      </w:r>
      <w:r w:rsidRPr="00FC562E">
        <w:rPr>
          <w:rFonts w:ascii="Times New Roman" w:eastAsia="Times New Roman" w:hAnsi="Times New Roman" w:cs="Times New Roman"/>
          <w:i/>
          <w:iCs/>
          <w:sz w:val="24"/>
          <w:szCs w:val="24"/>
        </w:rPr>
        <w:t>Organizational learning: A theory of action perspective</w:t>
      </w:r>
      <w:r w:rsidRPr="00FC562E">
        <w:rPr>
          <w:rFonts w:ascii="Times New Roman" w:eastAsia="Times New Roman" w:hAnsi="Times New Roman" w:cs="Times New Roman"/>
          <w:sz w:val="24"/>
          <w:szCs w:val="24"/>
        </w:rPr>
        <w:t>. Addison-Wesley.</w:t>
      </w:r>
      <w:r w:rsidRPr="00FC562E">
        <w:t xml:space="preserve"> </w:t>
      </w:r>
      <w:r w:rsidRPr="00FC562E">
        <w:rPr>
          <w:rFonts w:ascii="Times New Roman" w:eastAsia="Times New Roman" w:hAnsi="Times New Roman" w:cs="Times New Roman"/>
          <w:i/>
          <w:iCs/>
          <w:sz w:val="24"/>
          <w:szCs w:val="24"/>
        </w:rPr>
        <w:t xml:space="preserve">Centro de </w:t>
      </w:r>
      <w:proofErr w:type="spellStart"/>
      <w:r w:rsidRPr="00FC562E">
        <w:rPr>
          <w:rFonts w:ascii="Times New Roman" w:eastAsia="Times New Roman" w:hAnsi="Times New Roman" w:cs="Times New Roman"/>
          <w:i/>
          <w:iCs/>
          <w:sz w:val="24"/>
          <w:szCs w:val="24"/>
        </w:rPr>
        <w:t>Investigaciones</w:t>
      </w:r>
      <w:proofErr w:type="spellEnd"/>
      <w:r w:rsidRPr="00FC562E">
        <w:rPr>
          <w:rFonts w:ascii="Times New Roman" w:eastAsia="Times New Roman" w:hAnsi="Times New Roman" w:cs="Times New Roman"/>
          <w:i/>
          <w:iCs/>
          <w:sz w:val="24"/>
          <w:szCs w:val="24"/>
        </w:rPr>
        <w:t xml:space="preserve"> </w:t>
      </w:r>
      <w:proofErr w:type="spellStart"/>
      <w:r w:rsidRPr="00FC562E">
        <w:rPr>
          <w:rFonts w:ascii="Times New Roman" w:eastAsia="Times New Roman" w:hAnsi="Times New Roman" w:cs="Times New Roman"/>
          <w:i/>
          <w:iCs/>
          <w:sz w:val="24"/>
          <w:szCs w:val="24"/>
        </w:rPr>
        <w:t>Sociológicas</w:t>
      </w:r>
      <w:proofErr w:type="spellEnd"/>
      <w:r w:rsidRPr="00FC562E">
        <w:rPr>
          <w:rFonts w:ascii="Times New Roman" w:eastAsia="Times New Roman" w:hAnsi="Times New Roman" w:cs="Times New Roman"/>
          <w:i/>
          <w:iCs/>
          <w:sz w:val="24"/>
          <w:szCs w:val="24"/>
        </w:rPr>
        <w:t xml:space="preserve"> (CIS), 77, 345-348</w:t>
      </w:r>
    </w:p>
    <w:p w14:paraId="5C6BE109" w14:textId="77777777" w:rsidR="008A0FE1" w:rsidRPr="00FC562E" w:rsidRDefault="001950F1">
      <w:pPr>
        <w:spacing w:before="280" w:after="280" w:line="240" w:lineRule="auto"/>
        <w:ind w:left="851" w:hanging="851"/>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 xml:space="preserve">Barney, J. (1991). Firm resources and sustained competitive advantage. </w:t>
      </w:r>
      <w:r w:rsidRPr="00FC562E">
        <w:rPr>
          <w:rFonts w:ascii="Times New Roman" w:eastAsia="Times New Roman" w:hAnsi="Times New Roman" w:cs="Times New Roman"/>
          <w:i/>
          <w:iCs/>
          <w:sz w:val="24"/>
          <w:szCs w:val="24"/>
        </w:rPr>
        <w:t>Journal of Management, 17</w:t>
      </w:r>
      <w:r w:rsidRPr="00FC562E">
        <w:rPr>
          <w:rFonts w:ascii="Times New Roman" w:eastAsia="Times New Roman" w:hAnsi="Times New Roman" w:cs="Times New Roman"/>
          <w:sz w:val="24"/>
          <w:szCs w:val="24"/>
        </w:rPr>
        <w:t xml:space="preserve">(1), 99–120. </w:t>
      </w:r>
      <w:hyperlink r:id="rId7">
        <w:r w:rsidRPr="00FC562E">
          <w:rPr>
            <w:rFonts w:ascii="Times New Roman" w:eastAsia="Times New Roman" w:hAnsi="Times New Roman" w:cs="Times New Roman"/>
            <w:color w:val="000000"/>
            <w:sz w:val="24"/>
            <w:szCs w:val="24"/>
            <w:u w:val="single"/>
          </w:rPr>
          <w:t>https://doi.org/10.1177/014920639101700108</w:t>
        </w:r>
      </w:hyperlink>
    </w:p>
    <w:p w14:paraId="31A50D8E" w14:textId="77777777" w:rsidR="008A0FE1" w:rsidRPr="00FC562E" w:rsidRDefault="001950F1">
      <w:pPr>
        <w:spacing w:before="280" w:after="280" w:line="240" w:lineRule="auto"/>
        <w:ind w:left="851" w:hanging="851"/>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 xml:space="preserve">Berggren, C., &amp; Söderlund, J. (2018). Rethinking project management education: Social twists and knowledge co-production. </w:t>
      </w:r>
      <w:r w:rsidRPr="00FC562E">
        <w:rPr>
          <w:rFonts w:ascii="Times New Roman" w:eastAsia="Times New Roman" w:hAnsi="Times New Roman" w:cs="Times New Roman"/>
          <w:i/>
          <w:iCs/>
          <w:sz w:val="24"/>
          <w:szCs w:val="24"/>
        </w:rPr>
        <w:t>International Journal of Project Management, 36</w:t>
      </w:r>
      <w:r w:rsidRPr="00FC562E">
        <w:rPr>
          <w:rFonts w:ascii="Times New Roman" w:eastAsia="Times New Roman" w:hAnsi="Times New Roman" w:cs="Times New Roman"/>
          <w:sz w:val="24"/>
          <w:szCs w:val="24"/>
        </w:rPr>
        <w:t xml:space="preserve">(2), 330–343. </w:t>
      </w:r>
      <w:hyperlink r:id="rId8">
        <w:r w:rsidRPr="00FC562E">
          <w:rPr>
            <w:rFonts w:ascii="Times New Roman" w:eastAsia="Times New Roman" w:hAnsi="Times New Roman" w:cs="Times New Roman"/>
            <w:color w:val="000000"/>
            <w:sz w:val="24"/>
            <w:szCs w:val="24"/>
            <w:u w:val="single"/>
          </w:rPr>
          <w:t>https://doi.org/10.1016/j.ijproman.2017.10.004</w:t>
        </w:r>
      </w:hyperlink>
      <w:r w:rsidRPr="00FC562E">
        <w:rPr>
          <w:rFonts w:ascii="Times New Roman" w:eastAsia="Times New Roman" w:hAnsi="Times New Roman" w:cs="Times New Roman"/>
          <w:sz w:val="24"/>
          <w:szCs w:val="24"/>
        </w:rPr>
        <w:t xml:space="preserve"> </w:t>
      </w:r>
    </w:p>
    <w:p w14:paraId="2405E105" w14:textId="77777777" w:rsidR="008A0FE1" w:rsidRPr="00FC562E" w:rsidRDefault="001950F1">
      <w:pPr>
        <w:spacing w:before="280" w:after="280" w:line="240" w:lineRule="auto"/>
        <w:ind w:left="851" w:hanging="851"/>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 xml:space="preserve">Bessant, J., </w:t>
      </w:r>
      <w:proofErr w:type="spellStart"/>
      <w:r w:rsidRPr="00FC562E">
        <w:rPr>
          <w:rFonts w:ascii="Times New Roman" w:eastAsia="Times New Roman" w:hAnsi="Times New Roman" w:cs="Times New Roman"/>
          <w:sz w:val="24"/>
          <w:szCs w:val="24"/>
        </w:rPr>
        <w:t>Caffyn</w:t>
      </w:r>
      <w:proofErr w:type="spellEnd"/>
      <w:r w:rsidRPr="00FC562E">
        <w:rPr>
          <w:rFonts w:ascii="Times New Roman" w:eastAsia="Times New Roman" w:hAnsi="Times New Roman" w:cs="Times New Roman"/>
          <w:sz w:val="24"/>
          <w:szCs w:val="24"/>
        </w:rPr>
        <w:t xml:space="preserve">, S., &amp; Gallagher, M. (2001). An evolutionary model of continuous improvement behaviour. </w:t>
      </w:r>
      <w:proofErr w:type="spellStart"/>
      <w:r w:rsidRPr="00FC562E">
        <w:rPr>
          <w:rFonts w:ascii="Times New Roman" w:eastAsia="Times New Roman" w:hAnsi="Times New Roman" w:cs="Times New Roman"/>
          <w:i/>
          <w:iCs/>
          <w:sz w:val="24"/>
          <w:szCs w:val="24"/>
        </w:rPr>
        <w:t>Technovation</w:t>
      </w:r>
      <w:proofErr w:type="spellEnd"/>
      <w:r w:rsidRPr="00FC562E">
        <w:rPr>
          <w:rFonts w:ascii="Times New Roman" w:eastAsia="Times New Roman" w:hAnsi="Times New Roman" w:cs="Times New Roman"/>
          <w:i/>
          <w:iCs/>
          <w:sz w:val="24"/>
          <w:szCs w:val="24"/>
        </w:rPr>
        <w:t>, 21</w:t>
      </w:r>
      <w:r w:rsidRPr="00FC562E">
        <w:rPr>
          <w:rFonts w:ascii="Times New Roman" w:eastAsia="Times New Roman" w:hAnsi="Times New Roman" w:cs="Times New Roman"/>
          <w:sz w:val="24"/>
          <w:szCs w:val="24"/>
        </w:rPr>
        <w:t xml:space="preserve">(2), 67–77. </w:t>
      </w:r>
      <w:hyperlink r:id="rId9">
        <w:r w:rsidRPr="00FC562E">
          <w:rPr>
            <w:rFonts w:ascii="Times New Roman" w:eastAsia="Times New Roman" w:hAnsi="Times New Roman" w:cs="Times New Roman"/>
            <w:color w:val="000000"/>
            <w:sz w:val="24"/>
            <w:szCs w:val="24"/>
            <w:u w:val="single"/>
          </w:rPr>
          <w:t>https://doi.org/10.1016/S0166-4972(00)00023-7</w:t>
        </w:r>
      </w:hyperlink>
      <w:r w:rsidRPr="00FC562E">
        <w:rPr>
          <w:rFonts w:ascii="Times New Roman" w:eastAsia="Times New Roman" w:hAnsi="Times New Roman" w:cs="Times New Roman"/>
          <w:sz w:val="24"/>
          <w:szCs w:val="24"/>
        </w:rPr>
        <w:t xml:space="preserve"> </w:t>
      </w:r>
    </w:p>
    <w:p w14:paraId="10964DE4" w14:textId="77777777" w:rsidR="008A0FE1" w:rsidRPr="00FC562E" w:rsidRDefault="001950F1">
      <w:pPr>
        <w:spacing w:before="280" w:after="280" w:line="240" w:lineRule="auto"/>
        <w:ind w:left="851" w:hanging="851"/>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 xml:space="preserve">Bessant, J., </w:t>
      </w:r>
      <w:proofErr w:type="spellStart"/>
      <w:r w:rsidRPr="00FC562E">
        <w:rPr>
          <w:rFonts w:ascii="Times New Roman" w:eastAsia="Times New Roman" w:hAnsi="Times New Roman" w:cs="Times New Roman"/>
          <w:sz w:val="24"/>
          <w:szCs w:val="24"/>
        </w:rPr>
        <w:t>Caffyn</w:t>
      </w:r>
      <w:proofErr w:type="spellEnd"/>
      <w:r w:rsidRPr="00FC562E">
        <w:rPr>
          <w:rFonts w:ascii="Times New Roman" w:eastAsia="Times New Roman" w:hAnsi="Times New Roman" w:cs="Times New Roman"/>
          <w:sz w:val="24"/>
          <w:szCs w:val="24"/>
        </w:rPr>
        <w:t xml:space="preserve">, S., &amp; Gilbert, C. (2011). Managing continuous improvement. In J. Bessant &amp; J. Tidd (Eds.), </w:t>
      </w:r>
      <w:r w:rsidRPr="00FC562E">
        <w:rPr>
          <w:rFonts w:ascii="Times New Roman" w:eastAsia="Times New Roman" w:hAnsi="Times New Roman" w:cs="Times New Roman"/>
          <w:i/>
          <w:iCs/>
          <w:sz w:val="24"/>
          <w:szCs w:val="24"/>
        </w:rPr>
        <w:t>Innovation and entrepreneurship</w:t>
      </w:r>
      <w:r w:rsidRPr="00FC562E">
        <w:rPr>
          <w:rFonts w:ascii="Times New Roman" w:eastAsia="Times New Roman" w:hAnsi="Times New Roman" w:cs="Times New Roman"/>
          <w:sz w:val="24"/>
          <w:szCs w:val="24"/>
        </w:rPr>
        <w:t xml:space="preserve"> (2nd ed., pp. 265–294). Wiley.</w:t>
      </w:r>
    </w:p>
    <w:p w14:paraId="7136EBD5" w14:textId="77777777" w:rsidR="008A0FE1" w:rsidRPr="00FC562E" w:rsidRDefault="001950F1">
      <w:pPr>
        <w:spacing w:before="280" w:after="280" w:line="240" w:lineRule="auto"/>
        <w:ind w:left="851" w:hanging="851"/>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 xml:space="preserve">Davies, A., Gann, D., &amp; Douglas, T. (2014). </w:t>
      </w:r>
      <w:r w:rsidRPr="00FC562E">
        <w:rPr>
          <w:rFonts w:ascii="Times New Roman" w:eastAsia="Times New Roman" w:hAnsi="Times New Roman" w:cs="Times New Roman"/>
          <w:i/>
          <w:iCs/>
          <w:sz w:val="24"/>
          <w:szCs w:val="24"/>
        </w:rPr>
        <w:t>Innovations in project‐based operations: principal findings from the UK Innovation Research Programme.</w:t>
      </w:r>
      <w:r w:rsidRPr="00FC562E">
        <w:rPr>
          <w:rFonts w:ascii="Times New Roman" w:eastAsia="Times New Roman" w:hAnsi="Times New Roman" w:cs="Times New Roman"/>
          <w:sz w:val="24"/>
          <w:szCs w:val="24"/>
        </w:rPr>
        <w:t xml:space="preserve"> Project Management Journal, 45(2), 27–46.</w:t>
      </w:r>
    </w:p>
    <w:p w14:paraId="63023992" w14:textId="77777777" w:rsidR="008A0FE1" w:rsidRPr="00FC562E" w:rsidRDefault="001950F1">
      <w:pPr>
        <w:spacing w:before="280" w:after="280" w:line="240" w:lineRule="auto"/>
        <w:ind w:left="851" w:hanging="851"/>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 xml:space="preserve">Davies, A., Gann, D., &amp; Douglas, T. (2016). </w:t>
      </w:r>
      <w:r w:rsidRPr="00FC562E">
        <w:rPr>
          <w:rFonts w:ascii="Times New Roman" w:eastAsia="Times New Roman" w:hAnsi="Times New Roman" w:cs="Times New Roman"/>
          <w:i/>
          <w:iCs/>
          <w:sz w:val="24"/>
          <w:szCs w:val="24"/>
        </w:rPr>
        <w:t>Dynamic capabilities in complex projects: The case of London Heathrow Terminal 5.</w:t>
      </w:r>
      <w:r w:rsidRPr="00FC562E">
        <w:rPr>
          <w:rFonts w:ascii="Times New Roman" w:eastAsia="Times New Roman" w:hAnsi="Times New Roman" w:cs="Times New Roman"/>
          <w:sz w:val="24"/>
          <w:szCs w:val="24"/>
        </w:rPr>
        <w:t xml:space="preserve"> California Management Review, 58(2), 46–67.</w:t>
      </w:r>
    </w:p>
    <w:p w14:paraId="67678528" w14:textId="77777777" w:rsidR="008A0FE1" w:rsidRPr="00FC562E" w:rsidRDefault="001950F1">
      <w:pPr>
        <w:spacing w:before="280" w:after="280" w:line="240" w:lineRule="auto"/>
        <w:ind w:left="851" w:hanging="851"/>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 xml:space="preserve">Davies, G., Dodgson, M., &amp; Brady, T. (2016). Dynamic capabilities in complex projects: The case of London Heathrow Terminal 5. </w:t>
      </w:r>
      <w:r w:rsidRPr="00FC562E">
        <w:rPr>
          <w:rFonts w:ascii="Times New Roman" w:eastAsia="Times New Roman" w:hAnsi="Times New Roman" w:cs="Times New Roman"/>
          <w:i/>
          <w:iCs/>
          <w:sz w:val="24"/>
          <w:szCs w:val="24"/>
        </w:rPr>
        <w:t>California Management Review, 58</w:t>
      </w:r>
      <w:r w:rsidRPr="00FC562E">
        <w:rPr>
          <w:rFonts w:ascii="Times New Roman" w:eastAsia="Times New Roman" w:hAnsi="Times New Roman" w:cs="Times New Roman"/>
          <w:sz w:val="24"/>
          <w:szCs w:val="24"/>
        </w:rPr>
        <w:t>(2), 46–67. https://doi.org/10.1525/cmr.2016.58.2.46</w:t>
      </w:r>
    </w:p>
    <w:p w14:paraId="096C37AF" w14:textId="77777777" w:rsidR="008A0FE1" w:rsidRPr="00FC562E" w:rsidRDefault="001950F1">
      <w:pPr>
        <w:spacing w:before="280" w:after="280" w:line="240" w:lineRule="auto"/>
        <w:ind w:left="851" w:hanging="851"/>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 xml:space="preserve">Davies, G., Dodgson, M., &amp; Wilson, J. (2021). The dynamic capabilities of project-based organizations: Managing complexity in energy megaprojects. </w:t>
      </w:r>
      <w:r w:rsidRPr="00FC562E">
        <w:rPr>
          <w:rFonts w:ascii="Times New Roman" w:eastAsia="Times New Roman" w:hAnsi="Times New Roman" w:cs="Times New Roman"/>
          <w:i/>
          <w:iCs/>
          <w:sz w:val="24"/>
          <w:szCs w:val="24"/>
        </w:rPr>
        <w:t>International Journal of Project Management, 39</w:t>
      </w:r>
      <w:r w:rsidRPr="00FC562E">
        <w:rPr>
          <w:rFonts w:ascii="Times New Roman" w:eastAsia="Times New Roman" w:hAnsi="Times New Roman" w:cs="Times New Roman"/>
          <w:sz w:val="24"/>
          <w:szCs w:val="24"/>
        </w:rPr>
        <w:t xml:space="preserve">(1), 1–15. </w:t>
      </w:r>
      <w:hyperlink r:id="rId10">
        <w:r w:rsidRPr="00FC562E">
          <w:rPr>
            <w:rFonts w:ascii="Times New Roman" w:eastAsia="Times New Roman" w:hAnsi="Times New Roman" w:cs="Times New Roman"/>
            <w:color w:val="000000"/>
            <w:sz w:val="24"/>
            <w:szCs w:val="24"/>
            <w:u w:val="single"/>
          </w:rPr>
          <w:t>https://doi.org/10.1016/j.ijproman.2020.09.003</w:t>
        </w:r>
      </w:hyperlink>
    </w:p>
    <w:p w14:paraId="17A0FA7C" w14:textId="77777777" w:rsidR="008A0FE1" w:rsidRPr="00FC562E" w:rsidRDefault="001950F1">
      <w:pPr>
        <w:spacing w:before="280" w:after="280" w:line="240" w:lineRule="auto"/>
        <w:ind w:left="851" w:hanging="851"/>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 xml:space="preserve">Davies, G., Gibbons, M., Dodgson, M., &amp; Brady, T. (2014). Dynamic capabilities in complex projects: The case of Heathrow Terminal 5. </w:t>
      </w:r>
      <w:r w:rsidRPr="00FC562E">
        <w:rPr>
          <w:rFonts w:ascii="Times New Roman" w:eastAsia="Times New Roman" w:hAnsi="Times New Roman" w:cs="Times New Roman"/>
          <w:i/>
          <w:iCs/>
          <w:sz w:val="24"/>
          <w:szCs w:val="24"/>
        </w:rPr>
        <w:t>Project Management Journal, 45</w:t>
      </w:r>
      <w:r w:rsidRPr="00FC562E">
        <w:rPr>
          <w:rFonts w:ascii="Times New Roman" w:eastAsia="Times New Roman" w:hAnsi="Times New Roman" w:cs="Times New Roman"/>
          <w:sz w:val="24"/>
          <w:szCs w:val="24"/>
        </w:rPr>
        <w:t>(2), 27–46. https://doi.org/10.1002/pmj.21411</w:t>
      </w:r>
    </w:p>
    <w:p w14:paraId="15B62C95" w14:textId="77777777" w:rsidR="008A0FE1" w:rsidRPr="00FC562E" w:rsidRDefault="001950F1">
      <w:pPr>
        <w:spacing w:before="280" w:after="280" w:line="240" w:lineRule="auto"/>
        <w:ind w:left="851" w:hanging="851"/>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lastRenderedPageBreak/>
        <w:t xml:space="preserve">Flyvbjerg, B. (2014). What you should know about megaprojects and why: An overview. </w:t>
      </w:r>
      <w:r w:rsidRPr="00FC562E">
        <w:rPr>
          <w:rFonts w:ascii="Times New Roman" w:eastAsia="Times New Roman" w:hAnsi="Times New Roman" w:cs="Times New Roman"/>
          <w:i/>
          <w:iCs/>
          <w:sz w:val="24"/>
          <w:szCs w:val="24"/>
        </w:rPr>
        <w:t>PM World Journal, 3</w:t>
      </w:r>
      <w:r w:rsidRPr="00FC562E">
        <w:rPr>
          <w:rFonts w:ascii="Times New Roman" w:eastAsia="Times New Roman" w:hAnsi="Times New Roman" w:cs="Times New Roman"/>
          <w:sz w:val="24"/>
          <w:szCs w:val="24"/>
        </w:rPr>
        <w:t>(2), 1–10.</w:t>
      </w:r>
    </w:p>
    <w:p w14:paraId="08D91930" w14:textId="77777777" w:rsidR="008A0FE1" w:rsidRPr="00FC562E" w:rsidRDefault="001950F1">
      <w:pPr>
        <w:spacing w:before="280" w:after="280" w:line="240" w:lineRule="auto"/>
        <w:ind w:left="851" w:hanging="851"/>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 xml:space="preserve">Flyvbjerg, B. (2017). The iron law of megaproject management. </w:t>
      </w:r>
      <w:r w:rsidRPr="00FC562E">
        <w:rPr>
          <w:rFonts w:ascii="Times New Roman" w:eastAsia="Times New Roman" w:hAnsi="Times New Roman" w:cs="Times New Roman"/>
          <w:i/>
          <w:iCs/>
          <w:sz w:val="24"/>
          <w:szCs w:val="24"/>
        </w:rPr>
        <w:t>Oxford Review of Economic Policy, 30</w:t>
      </w:r>
      <w:r w:rsidRPr="00FC562E">
        <w:rPr>
          <w:rFonts w:ascii="Times New Roman" w:eastAsia="Times New Roman" w:hAnsi="Times New Roman" w:cs="Times New Roman"/>
          <w:sz w:val="24"/>
          <w:szCs w:val="24"/>
        </w:rPr>
        <w:t xml:space="preserve">(3), 578–597. </w:t>
      </w:r>
      <w:hyperlink r:id="rId11">
        <w:r w:rsidRPr="00FC562E">
          <w:rPr>
            <w:rFonts w:ascii="Times New Roman" w:eastAsia="Times New Roman" w:hAnsi="Times New Roman" w:cs="Times New Roman"/>
            <w:color w:val="000000"/>
            <w:sz w:val="24"/>
            <w:szCs w:val="24"/>
            <w:u w:val="single"/>
          </w:rPr>
          <w:t>https://doi.org/10.1093/oxrep/gru021</w:t>
        </w:r>
      </w:hyperlink>
      <w:r w:rsidRPr="00FC562E">
        <w:rPr>
          <w:rFonts w:ascii="Times New Roman" w:eastAsia="Times New Roman" w:hAnsi="Times New Roman" w:cs="Times New Roman"/>
          <w:sz w:val="24"/>
          <w:szCs w:val="24"/>
        </w:rPr>
        <w:t xml:space="preserve"> </w:t>
      </w:r>
    </w:p>
    <w:p w14:paraId="0BA7FDBD" w14:textId="77777777" w:rsidR="008A0FE1" w:rsidRPr="00FC562E" w:rsidRDefault="001950F1">
      <w:pPr>
        <w:spacing w:before="280" w:after="280" w:line="240" w:lineRule="auto"/>
        <w:ind w:left="851" w:hanging="851"/>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 xml:space="preserve">Hair, J. F., Black, W. C., Babin, B. J., &amp; Anderson, R. E. (2019). </w:t>
      </w:r>
      <w:r w:rsidRPr="00FC562E">
        <w:rPr>
          <w:rFonts w:ascii="Times New Roman" w:eastAsia="Times New Roman" w:hAnsi="Times New Roman" w:cs="Times New Roman"/>
          <w:i/>
          <w:iCs/>
          <w:sz w:val="24"/>
          <w:szCs w:val="24"/>
        </w:rPr>
        <w:t>Multivariate data analysis</w:t>
      </w:r>
      <w:r w:rsidRPr="00FC562E">
        <w:rPr>
          <w:rFonts w:ascii="Times New Roman" w:eastAsia="Times New Roman" w:hAnsi="Times New Roman" w:cs="Times New Roman"/>
          <w:sz w:val="24"/>
          <w:szCs w:val="24"/>
        </w:rPr>
        <w:t xml:space="preserve"> (8th ed.). Cengage Learning.</w:t>
      </w:r>
    </w:p>
    <w:p w14:paraId="46BDF115" w14:textId="77777777" w:rsidR="008A0FE1" w:rsidRPr="00FC562E" w:rsidRDefault="001950F1">
      <w:pPr>
        <w:spacing w:before="280" w:after="280" w:line="240" w:lineRule="auto"/>
        <w:ind w:left="851" w:hanging="851"/>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 xml:space="preserve">Imai, M. (1986). </w:t>
      </w:r>
      <w:r w:rsidRPr="00FC562E">
        <w:rPr>
          <w:rFonts w:ascii="Times New Roman" w:eastAsia="Times New Roman" w:hAnsi="Times New Roman" w:cs="Times New Roman"/>
          <w:i/>
          <w:iCs/>
          <w:sz w:val="24"/>
          <w:szCs w:val="24"/>
        </w:rPr>
        <w:t>Kaizen: The key to Japan’s competitive success</w:t>
      </w:r>
      <w:r w:rsidRPr="00FC562E">
        <w:rPr>
          <w:rFonts w:ascii="Times New Roman" w:eastAsia="Times New Roman" w:hAnsi="Times New Roman" w:cs="Times New Roman"/>
          <w:sz w:val="24"/>
          <w:szCs w:val="24"/>
        </w:rPr>
        <w:t>. McGraw-Hill.</w:t>
      </w:r>
    </w:p>
    <w:p w14:paraId="7FD6A005" w14:textId="77777777" w:rsidR="008A0FE1" w:rsidRPr="00FC562E" w:rsidRDefault="001950F1">
      <w:pPr>
        <w:spacing w:before="280" w:after="280" w:line="240" w:lineRule="auto"/>
        <w:ind w:left="851" w:hanging="851"/>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 xml:space="preserve">Kerzner, H. (2018). </w:t>
      </w:r>
      <w:r w:rsidRPr="00FC562E">
        <w:rPr>
          <w:rFonts w:ascii="Times New Roman" w:eastAsia="Times New Roman" w:hAnsi="Times New Roman" w:cs="Times New Roman"/>
          <w:i/>
          <w:iCs/>
          <w:sz w:val="24"/>
          <w:szCs w:val="24"/>
        </w:rPr>
        <w:t>Project management: A systems approach to planning, scheduling, and controlling</w:t>
      </w:r>
      <w:r w:rsidRPr="00FC562E">
        <w:rPr>
          <w:rFonts w:ascii="Times New Roman" w:eastAsia="Times New Roman" w:hAnsi="Times New Roman" w:cs="Times New Roman"/>
          <w:sz w:val="24"/>
          <w:szCs w:val="24"/>
        </w:rPr>
        <w:t xml:space="preserve"> (12th ed.). Wiley.</w:t>
      </w:r>
    </w:p>
    <w:p w14:paraId="67C5E782" w14:textId="77777777" w:rsidR="008A0FE1" w:rsidRPr="00FC562E" w:rsidRDefault="001950F1">
      <w:pPr>
        <w:spacing w:before="280" w:after="280" w:line="240" w:lineRule="auto"/>
        <w:ind w:left="851" w:hanging="851"/>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 xml:space="preserve">Liker, J. K. (2004). </w:t>
      </w:r>
      <w:r w:rsidRPr="00FC562E">
        <w:rPr>
          <w:rFonts w:ascii="Times New Roman" w:eastAsia="Times New Roman" w:hAnsi="Times New Roman" w:cs="Times New Roman"/>
          <w:i/>
          <w:iCs/>
          <w:sz w:val="24"/>
          <w:szCs w:val="24"/>
        </w:rPr>
        <w:t>The Toyota way: 14 management principles from the world’s greatest manufacturer</w:t>
      </w:r>
      <w:r w:rsidRPr="00FC562E">
        <w:rPr>
          <w:rFonts w:ascii="Times New Roman" w:eastAsia="Times New Roman" w:hAnsi="Times New Roman" w:cs="Times New Roman"/>
          <w:sz w:val="24"/>
          <w:szCs w:val="24"/>
        </w:rPr>
        <w:t>. McGraw-Hill.</w:t>
      </w:r>
    </w:p>
    <w:p w14:paraId="2E4F64A2" w14:textId="77777777" w:rsidR="008A0FE1" w:rsidRPr="00FC562E" w:rsidRDefault="001950F1">
      <w:pPr>
        <w:spacing w:before="280" w:after="280" w:line="240" w:lineRule="auto"/>
        <w:ind w:left="851" w:hanging="851"/>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 xml:space="preserve">Merrow, E. W. (2019). </w:t>
      </w:r>
      <w:r w:rsidRPr="00FC562E">
        <w:rPr>
          <w:rFonts w:ascii="Times New Roman" w:eastAsia="Times New Roman" w:hAnsi="Times New Roman" w:cs="Times New Roman"/>
          <w:i/>
          <w:iCs/>
          <w:sz w:val="24"/>
          <w:szCs w:val="24"/>
        </w:rPr>
        <w:t>Project management in practice: Delivering the next generation of projects</w:t>
      </w:r>
      <w:r w:rsidRPr="00FC562E">
        <w:rPr>
          <w:rFonts w:ascii="Times New Roman" w:eastAsia="Times New Roman" w:hAnsi="Times New Roman" w:cs="Times New Roman"/>
          <w:sz w:val="24"/>
          <w:szCs w:val="24"/>
        </w:rPr>
        <w:t>. Wiley.</w:t>
      </w:r>
    </w:p>
    <w:p w14:paraId="36D45EBD" w14:textId="77777777" w:rsidR="008A0FE1" w:rsidRPr="00FC562E" w:rsidRDefault="001950F1">
      <w:pPr>
        <w:spacing w:before="280" w:after="280" w:line="240" w:lineRule="auto"/>
        <w:ind w:left="851" w:hanging="851"/>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 xml:space="preserve">Söderlund, J., &amp; Tell, F. (2019). The P-form corporation: Contingencies, characteristics, and challenges. </w:t>
      </w:r>
      <w:r w:rsidRPr="00FC562E">
        <w:rPr>
          <w:rFonts w:ascii="Times New Roman" w:eastAsia="Times New Roman" w:hAnsi="Times New Roman" w:cs="Times New Roman"/>
          <w:i/>
          <w:iCs/>
          <w:sz w:val="24"/>
          <w:szCs w:val="24"/>
        </w:rPr>
        <w:t>International Journal of Project Management, 37</w:t>
      </w:r>
      <w:r w:rsidRPr="00FC562E">
        <w:rPr>
          <w:rFonts w:ascii="Times New Roman" w:eastAsia="Times New Roman" w:hAnsi="Times New Roman" w:cs="Times New Roman"/>
          <w:sz w:val="24"/>
          <w:szCs w:val="24"/>
        </w:rPr>
        <w:t xml:space="preserve">(1), 24–38. </w:t>
      </w:r>
      <w:hyperlink r:id="rId12">
        <w:r w:rsidRPr="00FC562E">
          <w:rPr>
            <w:rFonts w:ascii="Times New Roman" w:eastAsia="Times New Roman" w:hAnsi="Times New Roman" w:cs="Times New Roman"/>
            <w:color w:val="000000"/>
            <w:sz w:val="24"/>
            <w:szCs w:val="24"/>
            <w:u w:val="single"/>
          </w:rPr>
          <w:t>https://doi.org/10.1016/j.ijproman.2018.10.009</w:t>
        </w:r>
      </w:hyperlink>
    </w:p>
    <w:p w14:paraId="0C4341DE" w14:textId="77777777" w:rsidR="008A0FE1" w:rsidRPr="00FC562E" w:rsidRDefault="001950F1">
      <w:pPr>
        <w:spacing w:before="280" w:after="280" w:line="240" w:lineRule="auto"/>
        <w:ind w:left="851" w:hanging="851"/>
        <w:jc w:val="both"/>
        <w:rPr>
          <w:rFonts w:ascii="Times New Roman" w:eastAsia="Times New Roman" w:hAnsi="Times New Roman" w:cs="Times New Roman"/>
          <w:sz w:val="24"/>
          <w:szCs w:val="24"/>
        </w:rPr>
      </w:pPr>
      <w:r w:rsidRPr="00FC562E">
        <w:rPr>
          <w:rFonts w:ascii="Times New Roman" w:eastAsia="Times New Roman" w:hAnsi="Times New Roman" w:cs="Times New Roman"/>
          <w:sz w:val="24"/>
          <w:szCs w:val="24"/>
        </w:rPr>
        <w:t xml:space="preserve">Turner, J. R. (2018). </w:t>
      </w:r>
      <w:r w:rsidRPr="00FC562E">
        <w:rPr>
          <w:rFonts w:ascii="Times New Roman" w:eastAsia="Times New Roman" w:hAnsi="Times New Roman" w:cs="Times New Roman"/>
          <w:i/>
          <w:iCs/>
          <w:sz w:val="24"/>
          <w:szCs w:val="24"/>
        </w:rPr>
        <w:t>The handbook of project-based management</w:t>
      </w:r>
      <w:r w:rsidRPr="00FC562E">
        <w:rPr>
          <w:rFonts w:ascii="Times New Roman" w:eastAsia="Times New Roman" w:hAnsi="Times New Roman" w:cs="Times New Roman"/>
          <w:sz w:val="24"/>
          <w:szCs w:val="24"/>
        </w:rPr>
        <w:t xml:space="preserve"> (4th ed.). McGraw-Hill Education.</w:t>
      </w:r>
    </w:p>
    <w:p w14:paraId="0B42A6E3" w14:textId="77777777" w:rsidR="008A0FE1" w:rsidRDefault="001950F1">
      <w:pPr>
        <w:spacing w:before="280" w:after="280" w:line="240" w:lineRule="auto"/>
        <w:ind w:left="851" w:hanging="851"/>
        <w:jc w:val="both"/>
        <w:rPr>
          <w:rFonts w:ascii="Times New Roman" w:eastAsia="Times New Roman" w:hAnsi="Times New Roman" w:cs="Times New Roman"/>
          <w:sz w:val="24"/>
          <w:szCs w:val="24"/>
        </w:rPr>
      </w:pPr>
      <w:proofErr w:type="spellStart"/>
      <w:r w:rsidRPr="00FC562E">
        <w:rPr>
          <w:rFonts w:ascii="Times New Roman" w:eastAsia="Times New Roman" w:hAnsi="Times New Roman" w:cs="Times New Roman"/>
          <w:sz w:val="24"/>
          <w:szCs w:val="24"/>
        </w:rPr>
        <w:t>Zwikael</w:t>
      </w:r>
      <w:proofErr w:type="spellEnd"/>
      <w:r w:rsidRPr="00FC562E">
        <w:rPr>
          <w:rFonts w:ascii="Times New Roman" w:eastAsia="Times New Roman" w:hAnsi="Times New Roman" w:cs="Times New Roman"/>
          <w:sz w:val="24"/>
          <w:szCs w:val="24"/>
        </w:rPr>
        <w:t xml:space="preserve">, O., &amp; </w:t>
      </w:r>
      <w:proofErr w:type="spellStart"/>
      <w:r w:rsidRPr="00FC562E">
        <w:rPr>
          <w:rFonts w:ascii="Times New Roman" w:eastAsia="Times New Roman" w:hAnsi="Times New Roman" w:cs="Times New Roman"/>
          <w:sz w:val="24"/>
          <w:szCs w:val="24"/>
        </w:rPr>
        <w:t>Smyrk</w:t>
      </w:r>
      <w:proofErr w:type="spellEnd"/>
      <w:r w:rsidRPr="00FC562E">
        <w:rPr>
          <w:rFonts w:ascii="Times New Roman" w:eastAsia="Times New Roman" w:hAnsi="Times New Roman" w:cs="Times New Roman"/>
          <w:sz w:val="24"/>
          <w:szCs w:val="24"/>
        </w:rPr>
        <w:t xml:space="preserve">, J. (2019). Project governance: Balancing control and trust. </w:t>
      </w:r>
      <w:r w:rsidRPr="00FC562E">
        <w:rPr>
          <w:rFonts w:ascii="Times New Roman" w:eastAsia="Times New Roman" w:hAnsi="Times New Roman" w:cs="Times New Roman"/>
          <w:i/>
          <w:iCs/>
          <w:sz w:val="24"/>
          <w:szCs w:val="24"/>
        </w:rPr>
        <w:t>International Journal of Project Management, 37</w:t>
      </w:r>
      <w:r w:rsidRPr="00FC562E">
        <w:rPr>
          <w:rFonts w:ascii="Times New Roman" w:eastAsia="Times New Roman" w:hAnsi="Times New Roman" w:cs="Times New Roman"/>
          <w:sz w:val="24"/>
          <w:szCs w:val="24"/>
        </w:rPr>
        <w:t>(6), 852–866. https://doi.org/10.1016/j.ijproman.2019.02.004</w:t>
      </w:r>
    </w:p>
    <w:p w14:paraId="1708FFA6" w14:textId="77777777" w:rsidR="008A0FE1" w:rsidRDefault="008A0FE1">
      <w:pPr>
        <w:spacing w:before="280" w:after="280" w:line="240" w:lineRule="auto"/>
        <w:rPr>
          <w:rFonts w:ascii="Times New Roman" w:eastAsia="Times New Roman" w:hAnsi="Times New Roman" w:cs="Times New Roman"/>
          <w:b/>
          <w:bCs/>
          <w:sz w:val="24"/>
          <w:szCs w:val="24"/>
        </w:rPr>
      </w:pPr>
    </w:p>
    <w:p w14:paraId="4F444B16" w14:textId="77777777" w:rsidR="008A0FE1" w:rsidRDefault="008A0FE1">
      <w:pPr>
        <w:spacing w:before="280" w:after="280" w:line="240" w:lineRule="auto"/>
        <w:rPr>
          <w:rFonts w:ascii="Times New Roman" w:eastAsia="Times New Roman" w:hAnsi="Times New Roman" w:cs="Times New Roman"/>
          <w:b/>
          <w:bCs/>
          <w:sz w:val="24"/>
          <w:szCs w:val="24"/>
        </w:rPr>
      </w:pPr>
    </w:p>
    <w:p w14:paraId="0A016549" w14:textId="77777777" w:rsidR="008A0FE1" w:rsidRDefault="008A0FE1">
      <w:pPr>
        <w:spacing w:before="280" w:after="280" w:line="240" w:lineRule="auto"/>
        <w:rPr>
          <w:rFonts w:ascii="Times New Roman" w:eastAsia="Times New Roman" w:hAnsi="Times New Roman" w:cs="Times New Roman"/>
          <w:b/>
          <w:bCs/>
          <w:sz w:val="24"/>
          <w:szCs w:val="24"/>
        </w:rPr>
      </w:pPr>
    </w:p>
    <w:p w14:paraId="72975046" w14:textId="77777777" w:rsidR="008A0FE1" w:rsidRDefault="008A0FE1">
      <w:pPr>
        <w:spacing w:before="280" w:after="280" w:line="240" w:lineRule="auto"/>
        <w:rPr>
          <w:rFonts w:ascii="Times New Roman" w:eastAsia="Times New Roman" w:hAnsi="Times New Roman" w:cs="Times New Roman"/>
          <w:b/>
          <w:bCs/>
          <w:sz w:val="24"/>
          <w:szCs w:val="24"/>
        </w:rPr>
      </w:pPr>
    </w:p>
    <w:p w14:paraId="31EF7475" w14:textId="77777777" w:rsidR="008A0FE1" w:rsidRDefault="008A0FE1">
      <w:pPr>
        <w:spacing w:before="280" w:after="280" w:line="240" w:lineRule="auto"/>
        <w:rPr>
          <w:rFonts w:ascii="Times New Roman" w:eastAsia="Times New Roman" w:hAnsi="Times New Roman" w:cs="Times New Roman"/>
          <w:b/>
          <w:bCs/>
          <w:sz w:val="24"/>
          <w:szCs w:val="24"/>
        </w:rPr>
      </w:pPr>
    </w:p>
    <w:p w14:paraId="4A537D0D" w14:textId="77777777" w:rsidR="008A0FE1" w:rsidRDefault="008A0FE1">
      <w:pPr>
        <w:spacing w:before="280" w:after="280" w:line="240" w:lineRule="auto"/>
        <w:rPr>
          <w:rFonts w:ascii="Times New Roman" w:eastAsia="Times New Roman" w:hAnsi="Times New Roman" w:cs="Times New Roman"/>
          <w:b/>
          <w:bCs/>
          <w:sz w:val="24"/>
          <w:szCs w:val="24"/>
        </w:rPr>
      </w:pPr>
    </w:p>
    <w:p w14:paraId="7FF13FAC" w14:textId="77777777" w:rsidR="008A0FE1" w:rsidRDefault="008A0FE1">
      <w:pPr>
        <w:spacing w:before="280" w:after="280" w:line="240" w:lineRule="auto"/>
        <w:rPr>
          <w:rFonts w:ascii="Times New Roman" w:eastAsia="Times New Roman" w:hAnsi="Times New Roman" w:cs="Times New Roman"/>
          <w:b/>
          <w:bCs/>
          <w:sz w:val="24"/>
          <w:szCs w:val="24"/>
        </w:rPr>
      </w:pPr>
    </w:p>
    <w:p w14:paraId="6524B586" w14:textId="77777777" w:rsidR="008A0FE1" w:rsidRDefault="008A0FE1">
      <w:pPr>
        <w:spacing w:before="280" w:after="280" w:line="240" w:lineRule="auto"/>
        <w:rPr>
          <w:rFonts w:ascii="Times New Roman" w:eastAsia="Times New Roman" w:hAnsi="Times New Roman" w:cs="Times New Roman"/>
          <w:b/>
          <w:bCs/>
          <w:sz w:val="24"/>
          <w:szCs w:val="24"/>
        </w:rPr>
      </w:pPr>
    </w:p>
    <w:p w14:paraId="4C54C240" w14:textId="77777777" w:rsidR="008A0FE1" w:rsidRDefault="008A0FE1">
      <w:pPr>
        <w:spacing w:before="280" w:after="280" w:line="240" w:lineRule="auto"/>
        <w:rPr>
          <w:rFonts w:ascii="Times New Roman" w:eastAsia="Times New Roman" w:hAnsi="Times New Roman" w:cs="Times New Roman"/>
          <w:b/>
          <w:bCs/>
          <w:sz w:val="24"/>
          <w:szCs w:val="24"/>
        </w:rPr>
      </w:pPr>
    </w:p>
    <w:p w14:paraId="6AACF2A8" w14:textId="77777777" w:rsidR="008A0FE1" w:rsidRDefault="008A0FE1">
      <w:pPr>
        <w:spacing w:before="280" w:after="280" w:line="240" w:lineRule="auto"/>
        <w:rPr>
          <w:rFonts w:ascii="Times New Roman" w:eastAsia="Times New Roman" w:hAnsi="Times New Roman" w:cs="Times New Roman"/>
          <w:b/>
          <w:bCs/>
          <w:sz w:val="24"/>
          <w:szCs w:val="24"/>
        </w:rPr>
      </w:pPr>
    </w:p>
    <w:p w14:paraId="07E5F5F8" w14:textId="77777777" w:rsidR="008A0FE1" w:rsidRDefault="008A0FE1">
      <w:pPr>
        <w:spacing w:before="280" w:after="280" w:line="240" w:lineRule="auto"/>
        <w:rPr>
          <w:rFonts w:ascii="Times New Roman" w:eastAsia="Times New Roman" w:hAnsi="Times New Roman" w:cs="Times New Roman"/>
          <w:b/>
          <w:bCs/>
          <w:sz w:val="24"/>
          <w:szCs w:val="24"/>
        </w:rPr>
      </w:pPr>
    </w:p>
    <w:p w14:paraId="1C19E3E4" w14:textId="77777777" w:rsidR="008A0FE1" w:rsidRDefault="008A0FE1">
      <w:pPr>
        <w:spacing w:before="280" w:after="280" w:line="240" w:lineRule="auto"/>
        <w:jc w:val="center"/>
        <w:rPr>
          <w:rFonts w:ascii="Times New Roman" w:eastAsia="Times New Roman" w:hAnsi="Times New Roman" w:cs="Times New Roman"/>
          <w:b/>
          <w:bCs/>
          <w:sz w:val="24"/>
          <w:szCs w:val="24"/>
        </w:rPr>
      </w:pPr>
    </w:p>
    <w:p w14:paraId="28486F88" w14:textId="77777777" w:rsidR="008A0FE1" w:rsidRDefault="008A0FE1">
      <w:pPr>
        <w:spacing w:before="280" w:after="280" w:line="240" w:lineRule="auto"/>
        <w:jc w:val="center"/>
        <w:rPr>
          <w:rFonts w:ascii="Times New Roman" w:eastAsia="Times New Roman" w:hAnsi="Times New Roman" w:cs="Times New Roman"/>
          <w:b/>
          <w:bCs/>
          <w:sz w:val="24"/>
          <w:szCs w:val="24"/>
        </w:rPr>
      </w:pPr>
    </w:p>
    <w:p w14:paraId="7DEB75BE" w14:textId="77777777" w:rsidR="008A0FE1" w:rsidRDefault="008A0FE1">
      <w:pPr>
        <w:rPr>
          <w:rFonts w:ascii="Arial" w:eastAsia="Arial" w:hAnsi="Arial" w:cs="Arial"/>
          <w:b/>
          <w:bCs/>
          <w:sz w:val="20"/>
          <w:szCs w:val="20"/>
        </w:rPr>
      </w:pPr>
    </w:p>
    <w:sectPr w:rsidR="008A0FE1">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1C6615" w14:textId="77777777" w:rsidR="009065B1" w:rsidRDefault="009065B1">
      <w:pPr>
        <w:spacing w:after="0" w:line="240" w:lineRule="auto"/>
      </w:pPr>
      <w:r>
        <w:separator/>
      </w:r>
    </w:p>
  </w:endnote>
  <w:endnote w:type="continuationSeparator" w:id="0">
    <w:p w14:paraId="6DF82B0C" w14:textId="77777777" w:rsidR="009065B1" w:rsidRDefault="009065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454C3E53-E0C7-4F28-9FB1-42C0DC1B97CA}"/>
    <w:embedBold r:id="rId2" w:fontKey="{005B5425-AB64-44E4-91F5-B3510B0FA71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361D116A-629F-4BDF-AF21-195322B34D3F}"/>
  </w:font>
  <w:font w:name="Times">
    <w:altName w:val="Times New Roman"/>
    <w:panose1 w:val="02020603050405020304"/>
    <w:charset w:val="00"/>
    <w:family w:val="auto"/>
    <w:pitch w:val="default"/>
    <w:embedRegular r:id="rId4" w:fontKey="{AFFE9E24-35C2-4605-835F-F46E7617349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5929BA34-FD57-4DDC-9B7B-581297C437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239F5" w14:textId="77777777" w:rsidR="008A0FE1" w:rsidRDefault="008A0FE1">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6390D" w14:textId="77777777" w:rsidR="008A0FE1" w:rsidRDefault="001950F1">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405E2">
      <w:rPr>
        <w:noProof/>
        <w:color w:val="000000"/>
      </w:rPr>
      <w:t>1</w:t>
    </w:r>
    <w:r>
      <w:rPr>
        <w:color w:val="000000"/>
      </w:rPr>
      <w:fldChar w:fldCharType="end"/>
    </w:r>
  </w:p>
  <w:p w14:paraId="17D78A55" w14:textId="77777777" w:rsidR="008A0FE1" w:rsidRDefault="008A0FE1">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8736F" w14:textId="77777777" w:rsidR="008A0FE1" w:rsidRDefault="008A0FE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F9804A" w14:textId="77777777" w:rsidR="009065B1" w:rsidRDefault="009065B1">
      <w:pPr>
        <w:spacing w:after="0" w:line="240" w:lineRule="auto"/>
      </w:pPr>
      <w:r>
        <w:separator/>
      </w:r>
    </w:p>
  </w:footnote>
  <w:footnote w:type="continuationSeparator" w:id="0">
    <w:p w14:paraId="7F77BA8C" w14:textId="77777777" w:rsidR="009065B1" w:rsidRDefault="009065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839F4" w14:textId="77777777" w:rsidR="008A0FE1" w:rsidRDefault="009065B1">
    <w:pPr>
      <w:pBdr>
        <w:top w:val="nil"/>
        <w:left w:val="nil"/>
        <w:bottom w:val="nil"/>
        <w:right w:val="nil"/>
        <w:between w:val="nil"/>
      </w:pBdr>
      <w:tabs>
        <w:tab w:val="center" w:pos="4513"/>
        <w:tab w:val="right" w:pos="9026"/>
      </w:tabs>
      <w:spacing w:after="0" w:line="240" w:lineRule="auto"/>
      <w:rPr>
        <w:color w:val="000000"/>
      </w:rPr>
    </w:pPr>
    <w:r>
      <w:rPr>
        <w:color w:val="000000"/>
      </w:rPr>
      <w:pict w14:anchorId="75C346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1" type="#_x0000_t136" alt="" style="position:absolute;margin-left:0;margin-top:0;width:535.3pt;height:100.95pt;rotation:315;z-index:-251657728;mso-wrap-edited:f;mso-width-percent:0;mso-height-percent:0;mso-position-horizontal:center;mso-position-horizontal-relative:margin;mso-position-vertical:center;mso-position-vertical-relative:margin;mso-width-percent:0;mso-height-percent:0"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D293B" w14:textId="77777777" w:rsidR="008A0FE1" w:rsidRDefault="009065B1">
    <w:pPr>
      <w:pBdr>
        <w:top w:val="nil"/>
        <w:left w:val="nil"/>
        <w:bottom w:val="nil"/>
        <w:right w:val="nil"/>
        <w:between w:val="nil"/>
      </w:pBdr>
      <w:tabs>
        <w:tab w:val="center" w:pos="4513"/>
        <w:tab w:val="right" w:pos="9026"/>
      </w:tabs>
      <w:spacing w:after="0" w:line="240" w:lineRule="auto"/>
      <w:rPr>
        <w:color w:val="000000"/>
      </w:rPr>
    </w:pPr>
    <w:r>
      <w:rPr>
        <w:color w:val="000000"/>
      </w:rPr>
      <w:pict w14:anchorId="77EA8B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0" type="#_x0000_t136" alt="" style="position:absolute;margin-left:0;margin-top:0;width:535.3pt;height:100.95pt;rotation:315;z-index:-251659776;mso-wrap-edited:f;mso-width-percent:0;mso-height-percent:0;mso-position-horizontal:center;mso-position-horizontal-relative:margin;mso-position-vertical:center;mso-position-vertical-relative:margin;mso-width-percent:0;mso-height-percent:0"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EFC26" w14:textId="77777777" w:rsidR="008A0FE1" w:rsidRDefault="009065B1">
    <w:pPr>
      <w:pBdr>
        <w:top w:val="nil"/>
        <w:left w:val="nil"/>
        <w:bottom w:val="nil"/>
        <w:right w:val="nil"/>
        <w:between w:val="nil"/>
      </w:pBdr>
      <w:tabs>
        <w:tab w:val="center" w:pos="4513"/>
        <w:tab w:val="right" w:pos="9026"/>
      </w:tabs>
      <w:spacing w:after="0" w:line="240" w:lineRule="auto"/>
      <w:rPr>
        <w:color w:val="000000"/>
      </w:rPr>
    </w:pPr>
    <w:r>
      <w:rPr>
        <w:color w:val="000000"/>
      </w:rPr>
      <w:pict w14:anchorId="5F88A7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alt="" style="position:absolute;margin-left:0;margin-top:0;width:535.3pt;height:100.95pt;rotation:315;z-index:-251658752;mso-wrap-edited:f;mso-width-percent:0;mso-height-percent:0;mso-position-horizontal:center;mso-position-horizontal-relative:margin;mso-position-vertical:center;mso-position-vertical-relative:margin;mso-width-percent:0;mso-height-percent:0"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FE1"/>
    <w:rsid w:val="001950F1"/>
    <w:rsid w:val="007405E2"/>
    <w:rsid w:val="008A0FE1"/>
    <w:rsid w:val="009065B1"/>
    <w:rsid w:val="00B16E2F"/>
    <w:rsid w:val="00C264A0"/>
    <w:rsid w:val="00F56A14"/>
    <w:rsid w:val="00FC56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04BBB9"/>
  <w15:docId w15:val="{067CD7A3-E3CC-6345-BE47-E3ED9DF99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oi.org/10.1016/j.ijproman.2017.10.004"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doi.org/10.1177/014920639101700108" TargetMode="External"/><Relationship Id="rId12" Type="http://schemas.openxmlformats.org/officeDocument/2006/relationships/hyperlink" Target="https://doi.org/10.1016/j.ijproman.2018.10.009"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oi.org/10.1093/oxrep/gru021"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doi.org/10.1016/j.ijproman.2020.09.003"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i.org/10.1016/S0166-4972(00)00023-7"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5778</Words>
  <Characters>32939</Characters>
  <Application>Microsoft Office Word</Application>
  <DocSecurity>0</DocSecurity>
  <Lines>274</Lines>
  <Paragraphs>77</Paragraphs>
  <ScaleCrop>false</ScaleCrop>
  <Company/>
  <LinksUpToDate>false</LinksUpToDate>
  <CharactersWithSpaces>38640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1089</cp:lastModifiedBy>
  <cp:revision>4</cp:revision>
  <dcterms:created xsi:type="dcterms:W3CDTF">2026-03-18T09:30:00Z</dcterms:created>
  <dcterms:modified xsi:type="dcterms:W3CDTF">2026-03-30T06:22:00Z</dcterms:modified>
</cp:coreProperties>
</file>