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5195F4">
      <w:pPr>
        <w:pStyle w:val="2"/>
        <w:jc w:val="both"/>
        <w:rPr>
          <w:rFonts w:hint="default" w:ascii="Times New Roman" w:hAnsi="Times New Roman"/>
          <w:sz w:val="28"/>
          <w:szCs w:val="28"/>
        </w:rPr>
      </w:pPr>
      <w:r>
        <w:rPr>
          <w:rFonts w:hint="default" w:ascii="Times New Roman" w:hAnsi="Times New Roman"/>
          <w:sz w:val="28"/>
          <w:szCs w:val="28"/>
        </w:rPr>
        <w:t>Phytohormonal Control and Crosstalk in Litchi Fruit Development, Ripening, Abscission and Quality Regulation</w:t>
      </w:r>
    </w:p>
    <w:p w14:paraId="1D940B46">
      <w:pPr>
        <w:rPr>
          <w:rFonts w:ascii="Times New Roman" w:hAnsi="Times New Roman" w:eastAsia="SimSun" w:cs="Times New Roman"/>
          <w:sz w:val="24"/>
          <w:szCs w:val="24"/>
        </w:rPr>
      </w:pPr>
    </w:p>
    <w:p w14:paraId="219B4C62">
      <w:pPr>
        <w:rPr>
          <w:rFonts w:ascii="Times New Roman" w:hAnsi="Times New Roman" w:eastAsia="SimSun" w:cs="Times New Roman"/>
          <w:sz w:val="24"/>
          <w:szCs w:val="24"/>
        </w:rPr>
      </w:pPr>
    </w:p>
    <w:p w14:paraId="53812B42">
      <w:pPr>
        <w:pStyle w:val="2"/>
        <w:jc w:val="both"/>
        <w:rPr>
          <w:rFonts w:hint="default" w:ascii="Times New Roman" w:hAnsi="Times New Roman" w:cs="Times New Roman"/>
          <w:sz w:val="24"/>
          <w:szCs w:val="24"/>
        </w:rPr>
      </w:pPr>
      <w:r>
        <w:rPr>
          <w:rStyle w:val="11"/>
          <w:rFonts w:hint="default" w:ascii="Times New Roman" w:hAnsi="Times New Roman" w:cs="Times New Roman"/>
          <w:b/>
          <w:bCs/>
          <w:sz w:val="24"/>
          <w:szCs w:val="24"/>
        </w:rPr>
        <w:t>Abstract</w:t>
      </w:r>
    </w:p>
    <w:p w14:paraId="285FBC1E">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Litchi (Litchi chinensis Sonn.) is a commercially important non-climacteric fruit crop whose fruit development, maturation, abscission, and postharvest quality are carefully controlled by a complex network of phytohormones. Unlike climacteric fruits, litchi ripening is predominantly controlled by abscisic acid (ABA) and sugar signaling, with ethylene playing an important role in fruit abscission, senescence, and postharvest degradation. This chapter summarizes current knowledge of main hormone roles in litchi fruit physiology, including ethylene, ABA, jasmonates, brassinosteroids, and salicylic acid. Ethylene regulates abscission by activating cell wall-degrading enzymes and leads to pericarp browning and senescence when in storage. In contrast, ABA is a key regulator of fruit maturity, boosting anthocyanin accumulation, sugar transport, and ripening commencement. New research emphasizes the role of hormonal crosstalk, including auxin-ethylene antagonism, ABA-sugar synergy, and ABA-ethylene interaction, in influencing fruit retention, ripening process, and stress responses. Jasmonates, brassinosteroids, and salicylic acid improve stress tolerance, defense mechanisms, and postharvest quality.Despite these advancements, some crucial research gaps remain. The molecular basis of hormone signaling and crosstalk is still poorly known, especially in terms of gene regulatory networks and functional validation of important genes. Limited integration of multi-omics techniques limits our understanding of ripening and stress physiology. Furthermore, the effects of minor hormones are understudied, and hormonal control throughout postharvest stages, particularly the mechanisms behind pericarp browning, warrants greater exploration. There is also a dearth of standardized, cultivar-specific protocols for applying plant growth regulators (PGRs), as well as insufficient research on genotype-specific responses and the effects of climatic change on hormonal balance. Bridging the gap between laboratory research and field-based applications remains a significant problem.Future research that incorporates modern multi-omics technologies, precise hormonal manipulation, and climate-resilient tactics will be critical for increasing productivity, improving fruit quality, and assuring sustainable litchi farming.</w:t>
      </w:r>
    </w:p>
    <w:p w14:paraId="57ABCCCF">
      <w:pPr>
        <w:pStyle w:val="2"/>
        <w:jc w:val="both"/>
        <w:rPr>
          <w:rStyle w:val="11"/>
          <w:rFonts w:hint="default" w:ascii="Times New Roman" w:hAnsi="Times New Roman"/>
          <w:b w:val="0"/>
          <w:bCs w:val="0"/>
          <w:sz w:val="24"/>
          <w:szCs w:val="24"/>
        </w:rPr>
      </w:pPr>
      <w:r>
        <w:rPr>
          <w:rStyle w:val="11"/>
          <w:rFonts w:hint="default" w:ascii="Times New Roman" w:hAnsi="Times New Roman"/>
          <w:b w:val="0"/>
          <w:bCs w:val="0"/>
          <w:sz w:val="24"/>
          <w:szCs w:val="24"/>
        </w:rPr>
        <w:t xml:space="preserve">Keywords: Lichi, </w:t>
      </w:r>
      <w:r>
        <w:rPr>
          <w:rStyle w:val="11"/>
          <w:rFonts w:hint="default" w:ascii="Times New Roman" w:hAnsi="Times New Roman"/>
          <w:b w:val="0"/>
          <w:bCs w:val="0"/>
          <w:sz w:val="24"/>
          <w:szCs w:val="24"/>
          <w:lang w:val="en-US"/>
        </w:rPr>
        <w:t>N</w:t>
      </w:r>
      <w:r>
        <w:rPr>
          <w:rStyle w:val="11"/>
          <w:rFonts w:hint="default" w:ascii="Times New Roman" w:hAnsi="Times New Roman"/>
          <w:b w:val="0"/>
          <w:bCs w:val="0"/>
          <w:sz w:val="24"/>
          <w:szCs w:val="24"/>
        </w:rPr>
        <w:t>on-climacteric fruits</w:t>
      </w:r>
      <w:r>
        <w:rPr>
          <w:rStyle w:val="11"/>
          <w:rFonts w:hint="default" w:ascii="Times New Roman" w:hAnsi="Times New Roman"/>
          <w:b w:val="0"/>
          <w:bCs w:val="0"/>
          <w:sz w:val="24"/>
          <w:szCs w:val="24"/>
          <w:lang w:val="en-US"/>
        </w:rPr>
        <w:t>, P</w:t>
      </w:r>
      <w:r>
        <w:rPr>
          <w:rStyle w:val="11"/>
          <w:rFonts w:hint="default" w:ascii="Times New Roman" w:hAnsi="Times New Roman"/>
          <w:b w:val="0"/>
          <w:bCs w:val="0"/>
          <w:sz w:val="24"/>
          <w:szCs w:val="24"/>
        </w:rPr>
        <w:t>ostharvest physiology</w:t>
      </w:r>
      <w:r>
        <w:rPr>
          <w:rStyle w:val="11"/>
          <w:rFonts w:hint="default" w:ascii="Times New Roman" w:hAnsi="Times New Roman"/>
          <w:b w:val="0"/>
          <w:bCs w:val="0"/>
          <w:sz w:val="24"/>
          <w:szCs w:val="24"/>
          <w:lang w:val="en-US"/>
        </w:rPr>
        <w:t xml:space="preserve">, </w:t>
      </w:r>
      <w:r>
        <w:rPr>
          <w:rStyle w:val="11"/>
          <w:rFonts w:hint="default" w:ascii="Times New Roman" w:hAnsi="Times New Roman"/>
          <w:b w:val="0"/>
          <w:bCs w:val="0"/>
          <w:sz w:val="24"/>
          <w:szCs w:val="24"/>
        </w:rPr>
        <w:t>Cytokinin, Gibberellin, Auxin, Plant growth regulator, Abscision</w:t>
      </w:r>
    </w:p>
    <w:p w14:paraId="74DCFE8F">
      <w:pPr>
        <w:pStyle w:val="2"/>
        <w:numPr>
          <w:ilvl w:val="0"/>
          <w:numId w:val="1"/>
        </w:numPr>
        <w:jc w:val="both"/>
        <w:rPr>
          <w:rFonts w:hint="default" w:ascii="Times New Roman" w:hAnsi="Times New Roman"/>
          <w:sz w:val="24"/>
          <w:szCs w:val="24"/>
        </w:rPr>
      </w:pPr>
      <w:r>
        <w:rPr>
          <w:rStyle w:val="11"/>
          <w:rFonts w:hint="default" w:ascii="Times New Roman" w:hAnsi="Times New Roman"/>
          <w:b/>
          <w:bCs/>
          <w:sz w:val="24"/>
          <w:szCs w:val="24"/>
        </w:rPr>
        <w:t>Introduction</w:t>
      </w:r>
    </w:p>
    <w:p w14:paraId="5484C0B7">
      <w:pPr>
        <w:pStyle w:val="2"/>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One of the most economically significant subtropical fruit crops grown throughout South and Southeast Asia, including India, China, Thailand, and Vietnam, is itchi (Litchi chinensis Sonn.), a well-known member of the Sapindaceae family. The fruit's appealing bright red pericarp, translucent juicy aril, unique scent, and superior nutritional makeup—which includes sugars, vitamins, minerals, and bioactive compounds—make it extremely valuable. Litchi is a valuable horticultural product in India, especially in areas like Bihar, where it greatly boosts local agricultural economies and farmers' incomes (Menzel and Waite, 2005; Wang et al., 2017). A number of physiological and environmental issues, such as erratic flowering, poor fruit set, excessive fruit drop, uneven ripening, pericarp browning, and quick postharvest deterioration, limit litchi output despite its commercial significance. Among these, one of the most important restrictions is enormous physiological fruit abscission in the early stages of development, which frequently results in significant output losses. Furthermore, litchi fruits' short shelf life limits their marketability and long-distance transportation, mostly because of their quick pericarp senescence and browning (Jiang et al., 2004; Sivakumar and Korsten, 2006). Litchi is highly sensitive to abiotic stresses such as drought, temperature fluctuations, and salinity, which significantly affect flowering, fruit set, and yield. Phytohormones play a central role in mediating these stress responses by regulating physiological and molecular processes (Singh et al., 2025). Endogenous phytohormones, which coordinate growth, differentiation, maturation, and stress responses throughout the fruit life cycle, tightly govern these intricate developmental and postharvest activities. Fruit set, early growth (marked by rapid cell division and expansion), maturation, ripening, and senescence are the typical stages of fruit development in litchi. Dynamic shifts in hormonal balance and signaling pathways control each of these phases. Litchi is categorized as a non-climacteric fruit since it does not show a significant increase in respiration rate or autocatalytic ethylene generation during ripening, in contrast to climacteric fruits like bananas, tomatoes, and apples. Rather, abscisic acid (ABA) and sugar signaling pathways, which are crucial in regulating anthocyanin accumulation, sugar metabolism, and pericarp coloration, influence ripening in litchi (Jiang et al., 2004; Zhang et al., 2011; Wang et al., 2017). However, ethylene, which is commonly thought of as the ripening hormone in climacteric fruits, is also important for litchi physiology, especially for fruit abscission, senescence, and postharvest degradation. Key processes such abscission zone activation, membrane breakdown, and enzymatic browning can be controlled by basal levels of ethylene production and tissue sensitivity to ethylene. Research has shown that fruit drop results from increased ethylene production in fruitlets and pedicel tissues, which causes the development of enzymes that break down cell walls (Yuan and Huang, 2012; Wang et al., 2017). Additionally, pericarp browning during storage is a significant barrier to preserving fruit quality and is caused by ethylene-mediated oxidative stress (Jiang et al., 2004). On the other hand, in non-climacteric fruits like litchi, ABA has become the main hormonal regulator of ripening. Anthocyanin biosynthesis, sugar buildup in the aril, and pericarp pigmentation have all been strongly linked to a dramatic rise in endogenous ABA levels at the beginning of maturation. ABA controls these processes by modulating sugar transport and metabolism and by transcriptionally activating important structural genes involved in flavonoid biosynthesis, such as chalcone synthase (CHS), dihydroflavonol reductase (DFR), and UDP-glucose flavonoid glucosyltransferase (UFGT) (Zhang et al., 2011; Jia et al., 2013; Wang et al., 2017). The significance of metabolic–hormonal integration in</w:t>
      </w:r>
      <w:r>
        <w:rPr>
          <w:rFonts w:hint="default" w:ascii="Times New Roman" w:hAnsi="Times New Roman" w:cs="Times New Roman"/>
          <w:b w:val="0"/>
          <w:bCs w:val="0"/>
          <w:sz w:val="24"/>
          <w:szCs w:val="24"/>
          <w:lang w:val="en-US" w:eastAsia="zh-CN"/>
        </w:rPr>
        <w:t xml:space="preserve"> fruit development is further highlighted by the way ABA interacts with sugar signaling pathways to create a positive feedback loop that supports ripening processes (Rolland et al., 2006). Early fruit development is significantly influenced by conventional growth-promoting hormones like auxins, gibberellins (GAs), and cytokinins (CKs), in addition to ethylene and ABA. By reducing ethylene sensitivity in the abscission zone, auxins generated by growing seeds and pericarp tissues are crucial for preserving fruit set and avoiding early abscission. During the early stages of fruit growth, cytokinins drive cell division and improve sink strength, whereas gibberellins encourage cell elongation and fruit enlargement (Davies, 2010; Menzel and Waite, 2005). The final fruit size and yield are determined by the coordinated activity of these hormones, which also guarantee fruit development. There is growing evidence that fruit growth is controlled by intricate networks of hormonal crosstalk rather than by individual hormones functioning independently. Fruit retention, ripening, and stress responses are all significantly influenced by interactions between auxin, ethylene, ABA, and sugars. For example, the synergistic connection between ABA and sugars controls ripening and color development, while the antagonistic relationship between auxin and ethylene is essential for regulating fruit abscission (Yuan and Huang, 2012; Li et al., 2020). Emerging signaling molecules like salicylic acid (SA), brassinosteroids (BRs), and jasmonates (JAs) have a major impact on litchi fruit growth and postharvest physiology in addition to the traditional hormones. While brassinosteroids encourage cell growth and stress tolerance, jasmonates are implicated in stress responses and may improve ethylene-mediated abscission in unfavorable circumstances. By increasing antioxidant capacity, postponing senescence, and decreasing pericarp browning through ethylene signaling and reactive oxygen species (ROS) control, salicylic acid plays a crucial role in postharvest management (Asghari and Aghdam, 2010; Vlot et al., 2009; Wang et al., 2017). Despite these developments, there are still important research gaps that prevent a thorough understanding of litchi hormone control. First, there is still much to learn about the molecular mechanisms underpinning hormone signaling and crosstalk, especially with regard to transcription factors, gene regulatory networks, and signal transduction pathways unique to non-climacteric fruits. Second, our understanding of fruit retention and ripening processes is fractured because the spatiotemporal dynamics of hormone interactions during various developmental phases are still mostly unknown. Third, while transcriptomics and metabolomics have been used in recent studies, there is still a lack of real multi-omics integration that connects hormones, metabolites, and gene expression, which limits systems-level insights. Additionally, the functions of newly discovered hormones including salicylic acid, brassinosteroids, and jasmonates are poorly understood in litchi, especially in stressful and outdoor settings. Our knowledge of genotype-specific hormonal responses is further limited by the dearth of quantitative and cross-cultural investigations. Furthermore, there is also a lack of molecular research on postharvest hormonal control, particularly the mechanisms underlying pericarp browning and senescence. Crucially, although having a direct impact on fruit quality and output, little is known about how hormonal control interacts with climate change elements such temperature stress, drought, and humidity changes. Furthermore, despite the widespread use of plant growth regulators (PGRs) in litchi cultivation, their long-term physiological and molecular effects are still unknown, and there are no standardized, evidence-based methods that are tailored for various cultivars and agroclimatic situations. Lastly, the actual implementation of hormonal information in orchard management is limited by a</w:t>
      </w:r>
      <w:r>
        <w:rPr>
          <w:rFonts w:hint="default" w:ascii="Times New Roman" w:hAnsi="Times New Roman" w:cs="Times New Roman"/>
          <w:b w:val="0"/>
          <w:bCs w:val="0"/>
          <w:sz w:val="24"/>
          <w:szCs w:val="24"/>
          <w:lang w:val="en-US" w:eastAsia="zh-CN"/>
        </w:rPr>
        <w:t xml:space="preserve"> large translational gap between laboratory-based results and field-level applications. By identifying coordinated expression of genes involved in hormone biosynthesis, signaling, and regulation, advances in molecular biology and high-throughput technologies like transcriptomics, metabolomics, and hormone profiling have started to address some of these issues (Li et al., 2020; Su et al., 2025). To close current gaps, however, integrative, field-focused, and climate-resilient research methods are desperately needed. Understanding hormonal regulation in litchi has become even more crucial given the growing problems caused by climate change, such as rising temperatures, erratic rainfall, and increased abiotic pressures. Stressors in the environment throw off the hormonal balance, which increases fruit drop, hinders ripening, and lowers fruit quality. Therefore, creating sustainable and climate-resilient litchi production systems will require clarifying the interaction between hormonal signaling and environmental cues (Yuan and Huang, 2012; Rathava et al., 2023). With a focus on hormonal crosstalk and its useful implications for enhancing productivity, fruit quality, and sustainability, this chapter attempts to give a thorough and critical overview of the roles of major phytohormones and their interactions in controlling litchi fruit development, abscission, ripening, and postharvest physiology.</w:t>
      </w:r>
    </w:p>
    <w:p w14:paraId="7A0F7AA9">
      <w:pPr>
        <w:pStyle w:val="2"/>
        <w:jc w:val="both"/>
        <w:rPr>
          <w:rFonts w:hint="default" w:ascii="Times New Roman" w:hAnsi="Times New Roman"/>
          <w:sz w:val="24"/>
          <w:szCs w:val="24"/>
        </w:rPr>
      </w:pPr>
      <w:r>
        <w:rPr>
          <w:rStyle w:val="11"/>
          <w:rFonts w:hint="default" w:ascii="Times New Roman" w:hAnsi="Times New Roman"/>
          <w:b/>
          <w:bCs/>
          <w:sz w:val="24"/>
          <w:szCs w:val="24"/>
        </w:rPr>
        <w:t>2. Role of Ethylene in Litchi Fruit Development</w:t>
      </w:r>
    </w:p>
    <w:p w14:paraId="3EE18C32">
      <w:pPr>
        <w:pStyle w:val="10"/>
        <w:jc w:val="both"/>
      </w:pPr>
      <w:r>
        <w:t>Ethylene is widely known as the ripening hormone, but in litchi its primary roles are associated with abscission, senescence and postharvest deterioration.</w:t>
      </w:r>
    </w:p>
    <w:p w14:paraId="6DCC3C18">
      <w:pPr>
        <w:jc w:val="both"/>
        <w:rPr>
          <w:rStyle w:val="11"/>
          <w:rFonts w:ascii="Times New Roman" w:hAnsi="Times New Roman" w:cs="Times New Roman"/>
          <w:sz w:val="24"/>
          <w:szCs w:val="24"/>
        </w:rPr>
      </w:pPr>
      <w:r>
        <w:rPr>
          <w:rStyle w:val="11"/>
          <w:rFonts w:ascii="Times New Roman" w:hAnsi="Times New Roman" w:cs="Times New Roman"/>
          <w:sz w:val="24"/>
          <w:szCs w:val="24"/>
        </w:rPr>
        <w:t>2.1 Role of Ethylene in Litchi Fruit Development, Abscission and Ripening</w:t>
      </w:r>
    </w:p>
    <w:p w14:paraId="4F2A4E11">
      <w:pPr>
        <w:jc w:val="both"/>
        <w:rPr>
          <w:rStyle w:val="11"/>
          <w:rFonts w:ascii="Times New Roman" w:hAnsi="Times New Roman" w:cs="Times New Roman"/>
          <w:sz w:val="24"/>
          <w:szCs w:val="24"/>
        </w:rPr>
      </w:pPr>
    </w:p>
    <w:p w14:paraId="2501CB01">
      <w:pPr>
        <w:jc w:val="both"/>
        <w:rPr>
          <w:rStyle w:val="11"/>
          <w:rFonts w:ascii="Times New Roman" w:hAnsi="Times New Roman" w:cs="Times New Roman"/>
          <w:b w:val="0"/>
          <w:bCs w:val="0"/>
          <w:sz w:val="24"/>
          <w:szCs w:val="24"/>
        </w:rPr>
      </w:pPr>
      <w:r>
        <w:rPr>
          <w:rStyle w:val="11"/>
          <w:rFonts w:ascii="Times New Roman" w:hAnsi="Times New Roman" w:cs="Times New Roman"/>
          <w:b w:val="0"/>
          <w:bCs w:val="0"/>
          <w:sz w:val="24"/>
          <w:szCs w:val="24"/>
        </w:rPr>
        <w:t>Ethylene is a gaseous phytohormone that plays a central role in regulating senescence, organ abscission, stress responses and fruit ripening in higher plants. Although litchi (</w:t>
      </w:r>
      <w:r>
        <w:rPr>
          <w:rStyle w:val="11"/>
          <w:rFonts w:ascii="Times New Roman" w:hAnsi="Times New Roman" w:cs="Times New Roman"/>
          <w:b w:val="0"/>
          <w:bCs w:val="0"/>
          <w:i/>
          <w:iCs/>
          <w:sz w:val="24"/>
          <w:szCs w:val="24"/>
        </w:rPr>
        <w:t>Litchi chinensis Sonn.</w:t>
      </w:r>
      <w:r>
        <w:rPr>
          <w:rStyle w:val="11"/>
          <w:rFonts w:ascii="Times New Roman" w:hAnsi="Times New Roman" w:cs="Times New Roman"/>
          <w:b w:val="0"/>
          <w:bCs w:val="0"/>
          <w:sz w:val="24"/>
          <w:szCs w:val="24"/>
        </w:rPr>
        <w:t>) is classified as a non-climacteric fruit, ethylene exerts profound effects on fruit abscission, pericarp senescence, browning and postharvest deterioration (Jiang et al., 2004; Yuan and Huang, 2012). Unlike climacteric fruits such as banana and tomato, litchi does not exhibit a sharp increase in respiration or autocatalytic ethylene production during ripening; however, basal ethylene production and ethylene sensitivity remain critical regulators of fruit retention and postharvest quality (Wang et al., 2017). Ethylene biosynthesis in litchi follows the classical Yang cycle, in which S-adenosyl-L-methionine (SAM) is converted to 1-aminocyclopropane-1-carboxylic acid (ACC) by ACC synthase (ACS), and ACC is subsequently oxidized to ethylene by ACC oxidase (ACO) (Yang and Hoffman, 1984). The expression of ACS and ACO genes is tightly regulated by developmental cues, carbohydrate status and environmental stresses, which together determine the magnitude and timing of ethylene production during fruit development and senescence (Yuan and Huang, 2012; Su et al., 2025).</w:t>
      </w:r>
    </w:p>
    <w:p w14:paraId="50D59D42">
      <w:pPr>
        <w:jc w:val="both"/>
        <w:rPr>
          <w:rStyle w:val="11"/>
          <w:rFonts w:ascii="Times New Roman" w:hAnsi="Times New Roman" w:cs="Times New Roman"/>
          <w:b w:val="0"/>
          <w:bCs w:val="0"/>
          <w:sz w:val="24"/>
          <w:szCs w:val="24"/>
        </w:rPr>
      </w:pPr>
    </w:p>
    <w:p w14:paraId="2DFEDA26">
      <w:pPr>
        <w:jc w:val="both"/>
        <w:rPr>
          <w:rStyle w:val="11"/>
          <w:rFonts w:ascii="Times New Roman" w:hAnsi="Times New Roman" w:cs="Times New Roman"/>
          <w:sz w:val="24"/>
          <w:szCs w:val="24"/>
        </w:rPr>
      </w:pPr>
      <w:r>
        <w:rPr>
          <w:rStyle w:val="11"/>
          <w:rFonts w:ascii="Times New Roman" w:hAnsi="Times New Roman" w:cs="Times New Roman"/>
          <w:sz w:val="24"/>
          <w:szCs w:val="24"/>
        </w:rPr>
        <w:t>2.2 Ethylene and Fruit Abscission</w:t>
      </w:r>
    </w:p>
    <w:p w14:paraId="2503B03C">
      <w:pPr>
        <w:jc w:val="both"/>
        <w:rPr>
          <w:rStyle w:val="11"/>
          <w:rFonts w:ascii="Times New Roman" w:hAnsi="Times New Roman" w:cs="Times New Roman"/>
          <w:sz w:val="24"/>
          <w:szCs w:val="24"/>
        </w:rPr>
      </w:pPr>
    </w:p>
    <w:p w14:paraId="198CABC4">
      <w:pPr>
        <w:jc w:val="both"/>
        <w:rPr>
          <w:rStyle w:val="11"/>
          <w:rFonts w:hint="default" w:ascii="Times New Roman" w:hAnsi="Times New Roman" w:cs="Times New Roman"/>
          <w:b w:val="0"/>
          <w:bCs w:val="0"/>
          <w:sz w:val="24"/>
          <w:szCs w:val="24"/>
          <w:lang w:val="en-US"/>
        </w:rPr>
      </w:pPr>
      <w:r>
        <w:rPr>
          <w:rStyle w:val="11"/>
          <w:rFonts w:ascii="Times New Roman" w:hAnsi="Times New Roman" w:cs="Times New Roman"/>
          <w:b w:val="0"/>
          <w:bCs w:val="0"/>
          <w:sz w:val="24"/>
          <w:szCs w:val="24"/>
        </w:rPr>
        <w:t>Ethylene is the principal hormonal promoter of fruit abscission in litchi and plays a decisive role in the regulation of massive physiological fruit drop that occurs at several stages of development. Elevated ethylene production in young fruitlets and pedicel tissues activates the differentiation and activation of the abscission zone (AZ), leading to the separation of the fruit from the inflorescence axis (Addicott, 1982; Taylor and Whitelaw, 2001). At the molecular level, ethylene stimulates the transcription of cell wall-degrading enzymes, including cellulases (endo-β-1,4-glucanases), polygalacturonases, pectin methylesterases and expansins, which hydrolyze the middle lamella and primary cell walls in the abscission layer (Taylor and Whitelaw, 2001; Yuan and Huang, 2012). In litchi, enhanced expression of these hydrolase genes precedes visible fruitlet drop, indicating a direct causal role of ethylene in abscission zone activation (Su et al., 2025). Environmental and physiological stresses markedly increase ethylene biosynthesis in litchi fruitlets. Carbohydrate shortage caused by heavy crop load, shading or low photosynthetic activity leads to carbon starvation in developing fruits, which in turn induces ACS and ACO gene expression and accelerates ethylene production (Yuan and Huang, 2012; Wang et al., 2017). Similarly, drought stress, high temperature and nutrient imbalance enhance ethylene synthesis and fruit drop by activating stress-responsive ethylene signaling pathways (Menzel and Waite, 2005; Rathava et al., 2023). Hormonal interactions further modulate ethylene-mediated abscission. Auxins and cytokinins antagonize ethylene action by reducing the sensitivity of the abscission zone to ethylene and suppressing hydrolase gene expression (Addicott, 1982; Davies, 2010). A decline in auxin and cytokinin levels, combined with elevated ethylene and abscisic acid (ABA), creates a hormonal environment conducive to abscission (Yuan and Huang, 2012). From a horticultural perspective, ethylene inhibitors and anti-ethylene treatments have proven effective in reducing fruit drop in litchi. Application of aminoethoxyvinylglycine (AVG), an inhibitor of ACC synthase, significantly decreases ethylene production and improves fruit retention (Menzel and Waite, 2005). Similarly, silver thiosulfate (STS) and 1-methylcyclopropene (1-MCP), which block ethylene perception, delay abscission by suppressing abscission zone activation (Jiang et al., 2004; Rathava et al., 2023).</w:t>
      </w:r>
      <w:r>
        <w:rPr>
          <w:rStyle w:val="11"/>
          <w:rFonts w:hint="default" w:ascii="Times New Roman" w:hAnsi="Times New Roman" w:cs="Times New Roman"/>
          <w:b w:val="0"/>
          <w:bCs w:val="0"/>
          <w:sz w:val="24"/>
          <w:szCs w:val="24"/>
          <w:lang w:val="en-US"/>
        </w:rPr>
        <w:t xml:space="preserve"> </w:t>
      </w:r>
      <w:r>
        <w:rPr>
          <w:rStyle w:val="11"/>
          <w:rFonts w:ascii="Times New Roman" w:hAnsi="Times New Roman" w:eastAsia="SimSun" w:cs="Times New Roman"/>
          <w:b w:val="0"/>
          <w:bCs w:val="0"/>
          <w:sz w:val="24"/>
          <w:szCs w:val="24"/>
        </w:rPr>
        <w:t>Ethephon, an ethylene-releasing compound, plays a significant role in regulating flowering, fruit abscission, and ripening in litchi. It enhances anthocyanin accumulation and sugar content, thereby improving fruit quality. However, its application must be carefully managed due to potential phytotoxic effects at higher concentrations</w:t>
      </w:r>
      <w:r>
        <w:rPr>
          <w:rStyle w:val="11"/>
          <w:rFonts w:hint="default" w:ascii="Times New Roman" w:hAnsi="Times New Roman" w:eastAsia="SimSun" w:cs="Times New Roman"/>
          <w:b w:val="0"/>
          <w:bCs w:val="0"/>
          <w:sz w:val="24"/>
          <w:szCs w:val="24"/>
          <w:lang w:val="en-US"/>
        </w:rPr>
        <w:t xml:space="preserve"> (Singh et al., 2025)</w:t>
      </w:r>
      <w:r>
        <w:rPr>
          <w:rStyle w:val="11"/>
          <w:rFonts w:ascii="Times New Roman" w:hAnsi="Times New Roman" w:eastAsia="SimSun" w:cs="Times New Roman"/>
          <w:b w:val="0"/>
          <w:bCs w:val="0"/>
          <w:sz w:val="24"/>
          <w:szCs w:val="24"/>
        </w:rPr>
        <w:t>.</w:t>
      </w:r>
    </w:p>
    <w:p w14:paraId="44A639FF">
      <w:pPr>
        <w:jc w:val="both"/>
        <w:rPr>
          <w:rStyle w:val="11"/>
          <w:rFonts w:ascii="Times New Roman" w:hAnsi="Times New Roman" w:cs="Times New Roman"/>
          <w:sz w:val="24"/>
          <w:szCs w:val="24"/>
        </w:rPr>
      </w:pPr>
    </w:p>
    <w:p w14:paraId="380BC387">
      <w:pPr>
        <w:jc w:val="both"/>
        <w:rPr>
          <w:rStyle w:val="11"/>
          <w:rFonts w:ascii="Times New Roman" w:hAnsi="Times New Roman" w:cs="Times New Roman"/>
          <w:sz w:val="24"/>
          <w:szCs w:val="24"/>
        </w:rPr>
      </w:pPr>
      <w:r>
        <w:rPr>
          <w:rStyle w:val="11"/>
          <w:rFonts w:ascii="Times New Roman" w:hAnsi="Times New Roman" w:cs="Times New Roman"/>
          <w:sz w:val="24"/>
          <w:szCs w:val="24"/>
        </w:rPr>
        <w:t>2.3 Ethylene and Ripening</w:t>
      </w:r>
    </w:p>
    <w:p w14:paraId="3658EE5B">
      <w:pPr>
        <w:jc w:val="both"/>
        <w:rPr>
          <w:rStyle w:val="11"/>
          <w:rFonts w:ascii="Times New Roman" w:hAnsi="Times New Roman" w:cs="Times New Roman"/>
          <w:sz w:val="24"/>
          <w:szCs w:val="24"/>
        </w:rPr>
      </w:pPr>
    </w:p>
    <w:p w14:paraId="0CBCEA82">
      <w:pPr>
        <w:jc w:val="both"/>
        <w:rPr>
          <w:rStyle w:val="11"/>
          <w:rFonts w:ascii="Times New Roman" w:hAnsi="Times New Roman" w:cs="Times New Roman"/>
          <w:b w:val="0"/>
          <w:bCs w:val="0"/>
          <w:sz w:val="24"/>
          <w:szCs w:val="24"/>
        </w:rPr>
      </w:pPr>
      <w:r>
        <w:rPr>
          <w:rStyle w:val="11"/>
          <w:rFonts w:ascii="Times New Roman" w:hAnsi="Times New Roman" w:cs="Times New Roman"/>
          <w:b w:val="0"/>
          <w:bCs w:val="0"/>
          <w:sz w:val="24"/>
          <w:szCs w:val="24"/>
        </w:rPr>
        <w:t>Although litchi is a non-climacteric fruit, ethylene plays an important modulatory role in regulating pericarp senescence, browning, membrane degradation and postharvest deterioration. During fruit maturation and storage, basal ethylene production increases gradually and contributes to the progression of senescence-associated processes rather than triggering climacteric ripening (Jiang et al., 2004; Wang et al., 2017). One of the most serious postharvest problems in litchi is rapid pericarp browning, which is closely associated with ethylene-induced membrane breakdown and oxidative stress. Ethylene enhances the activity of polyphenol oxidase (PPO) and peroxidase (POD), promotes lipid peroxidation and accelerates the degradation of membrane phospholipids, leading to increased permeability and enzymatic oxidation of phenolic compounds (Jiang et al., 2004; Sivakumar and Korsten, 2006).</w:t>
      </w:r>
    </w:p>
    <w:p w14:paraId="467D41B6">
      <w:pPr>
        <w:jc w:val="both"/>
        <w:rPr>
          <w:rStyle w:val="11"/>
          <w:rFonts w:ascii="Times New Roman" w:hAnsi="Times New Roman" w:cs="Times New Roman"/>
          <w:b w:val="0"/>
          <w:bCs w:val="0"/>
          <w:sz w:val="24"/>
          <w:szCs w:val="24"/>
        </w:rPr>
      </w:pPr>
    </w:p>
    <w:p w14:paraId="4E4EBDB4">
      <w:pPr>
        <w:jc w:val="both"/>
        <w:rPr>
          <w:rFonts w:ascii="Times New Roman" w:hAnsi="Times New Roman" w:cs="Times New Roman"/>
          <w:sz w:val="24"/>
          <w:szCs w:val="24"/>
        </w:rPr>
      </w:pPr>
      <w:r>
        <w:rPr>
          <w:rStyle w:val="11"/>
          <w:rFonts w:ascii="Times New Roman" w:hAnsi="Times New Roman" w:cs="Times New Roman"/>
          <w:b w:val="0"/>
          <w:bCs w:val="0"/>
          <w:sz w:val="24"/>
          <w:szCs w:val="24"/>
        </w:rPr>
        <w:t>Ethylene also stimulates chlorophyll degradation and senescence-related gene expression in the pericarp, contributing to loss of color stability and structural integrity during storage (Wang et al., 2017). Moreover, ethylene interacts synergistically with ABA to promote senescence, while antagonizing cytokinin-mediated delay of aging (Davies, 2010; Yuan and Huang, 2012). The application of ethylene inhibitors has emerged as a highly effective strategy for extending the postharvest life of litchi fruit. Treatment with 1-methylcyclopropene (1-MCP), a competitive inhibitor of ethylene receptors, significantly delays pericarp browning, reduces membrane lipid peroxidation, suppresses PPO and POD activities, and prolongs storage life under both ambient and cold conditions (Jiang et al., 2004; Zhang et al., 2016). Similarly, controlled atmosphere storage and low-temperature treatments that suppress ethylene biosynthesis and action markedly improve fruit appearance and shelf life (Sivakumar and Korsten, 2006; Wang et al., 2017). Despite its non-climacteric nature, therefore, ethylene plays a crucial regulatory role in litchi fruit abscission, senescence and postharvest physiology. A deeper understanding of ethylene signaling networks and their interaction with sugar and stress signaling pathways will be essential for developing improved orchard management practices and postharvest technologies to enhance yield stability and fruit quality.</w:t>
      </w:r>
    </w:p>
    <w:p w14:paraId="3DD09362">
      <w:pPr>
        <w:pStyle w:val="2"/>
        <w:jc w:val="both"/>
        <w:rPr>
          <w:rFonts w:hint="default" w:ascii="Times New Roman" w:hAnsi="Times New Roman"/>
          <w:sz w:val="24"/>
          <w:szCs w:val="24"/>
        </w:rPr>
      </w:pPr>
      <w:r>
        <w:rPr>
          <w:rStyle w:val="11"/>
          <w:rFonts w:hint="default" w:ascii="Times New Roman" w:hAnsi="Times New Roman"/>
          <w:b/>
          <w:bCs/>
          <w:sz w:val="24"/>
          <w:szCs w:val="24"/>
        </w:rPr>
        <w:t>3. Role of Abscisic Acid in Litchi Fruit Development</w:t>
      </w:r>
    </w:p>
    <w:p w14:paraId="05B2ED26">
      <w:pPr>
        <w:pStyle w:val="10"/>
        <w:jc w:val="both"/>
      </w:pPr>
      <w:r>
        <w:t>Abscisic acid (ABA) plays a dominant role in non-climacteric fruit ripening and stress responses.</w:t>
      </w:r>
    </w:p>
    <w:p w14:paraId="3C40766A">
      <w:pPr>
        <w:jc w:val="both"/>
        <w:rPr>
          <w:rStyle w:val="11"/>
          <w:rFonts w:ascii="Times New Roman" w:hAnsi="Times New Roman" w:cs="Times New Roman"/>
          <w:sz w:val="24"/>
          <w:szCs w:val="24"/>
        </w:rPr>
      </w:pPr>
      <w:r>
        <w:rPr>
          <w:rStyle w:val="11"/>
          <w:rFonts w:ascii="Times New Roman" w:hAnsi="Times New Roman" w:cs="Times New Roman"/>
          <w:sz w:val="24"/>
          <w:szCs w:val="24"/>
        </w:rPr>
        <w:t>3.1 Role of Abscisic Acid (ABA) in Litchi Fruit Development, Maturation and Abscission</w:t>
      </w:r>
    </w:p>
    <w:p w14:paraId="100B8F69">
      <w:pPr>
        <w:jc w:val="both"/>
        <w:rPr>
          <w:rStyle w:val="11"/>
          <w:rFonts w:ascii="Times New Roman" w:hAnsi="Times New Roman" w:cs="Times New Roman"/>
          <w:sz w:val="24"/>
          <w:szCs w:val="24"/>
        </w:rPr>
      </w:pPr>
    </w:p>
    <w:p w14:paraId="26896CE3">
      <w:pPr>
        <w:jc w:val="both"/>
        <w:rPr>
          <w:rStyle w:val="11"/>
          <w:rFonts w:hint="default" w:ascii="Times New Roman" w:hAnsi="Times New Roman" w:cs="Times New Roman"/>
          <w:b w:val="0"/>
          <w:bCs w:val="0"/>
          <w:sz w:val="24"/>
          <w:szCs w:val="24"/>
          <w:lang w:val="en-US"/>
        </w:rPr>
      </w:pPr>
      <w:r>
        <w:rPr>
          <w:rStyle w:val="11"/>
          <w:rFonts w:ascii="Times New Roman" w:hAnsi="Times New Roman" w:cs="Times New Roman"/>
          <w:b w:val="0"/>
          <w:bCs w:val="0"/>
          <w:sz w:val="24"/>
          <w:szCs w:val="24"/>
        </w:rPr>
        <w:t>Abscisic acid (ABA) is a central regulator of fruit maturation, stress responses and abscission in many non-climacteric fruits. Unlike ethylene-dependent climacteric fruits, the ripening of litchi (</w:t>
      </w:r>
      <w:r>
        <w:rPr>
          <w:rStyle w:val="11"/>
          <w:rFonts w:ascii="Times New Roman" w:hAnsi="Times New Roman" w:cs="Times New Roman"/>
          <w:b w:val="0"/>
          <w:bCs w:val="0"/>
          <w:i/>
          <w:iCs/>
          <w:sz w:val="24"/>
          <w:szCs w:val="24"/>
        </w:rPr>
        <w:t>Litchi chinensis Sonn</w:t>
      </w:r>
      <w:r>
        <w:rPr>
          <w:rStyle w:val="11"/>
          <w:rFonts w:ascii="Times New Roman" w:hAnsi="Times New Roman" w:cs="Times New Roman"/>
          <w:b w:val="0"/>
          <w:bCs w:val="0"/>
          <w:sz w:val="24"/>
          <w:szCs w:val="24"/>
        </w:rPr>
        <w:t>.) is largely governed by ABA and sugar signaling pathways, which orchestrate color development, sugar accumulation and the onset of senescence (Jiang et al., 2004; Wang et al., 2017). Dynamic changes in endogenous ABA concentration and ABA signaling components have been shown to coordinate the transition from fruit growth to maturation and subsequent abscission, particularly under environmental stress conditions (Yuan and Huang, 2012; Su et al., 2025). ABA biosynthesis in litchi follows the carotenoid cleavage pathway mediated by 9-cis-epoxycarotenoid dioxygenase (NCED), while ABA catabolism is regulated by ABA 8′-hydroxylases (CYP707A family). The fine regulation of ABA biosynthesis, transport and signaling determines the timing and progression of ripening and fruit shedding (Nambara and Marion-Poll, 2005; Sun et al., 2010).</w:t>
      </w:r>
      <w:r>
        <w:rPr>
          <w:rStyle w:val="11"/>
          <w:rFonts w:hint="default" w:ascii="Times New Roman" w:hAnsi="Times New Roman" w:cs="Times New Roman"/>
          <w:b w:val="0"/>
          <w:bCs w:val="0"/>
          <w:sz w:val="24"/>
          <w:szCs w:val="24"/>
          <w:lang w:val="en-US"/>
        </w:rPr>
        <w:t xml:space="preserve"> Recent studies indicate that hormonal balance, rather than absolute hormone levels, plays a decisive role in fruit abscission. In litchi, a significantly elevated ABA/IAA ratio in the seed has been associated with increased preharvest fruit drop, particularly in the ‘Nuomici’ (Litchi) cultivar. This suggests that disruption of auxin-mediated suppression of abscission, coupled with enhanced ABA signaling, may trigger abscission zone activation (Wang et al., 2024).</w:t>
      </w:r>
    </w:p>
    <w:p w14:paraId="01230DB8">
      <w:pPr>
        <w:jc w:val="both"/>
        <w:rPr>
          <w:rStyle w:val="11"/>
          <w:rFonts w:ascii="Times New Roman" w:hAnsi="Times New Roman" w:cs="Times New Roman"/>
          <w:b w:val="0"/>
          <w:bCs w:val="0"/>
          <w:sz w:val="24"/>
          <w:szCs w:val="24"/>
        </w:rPr>
      </w:pPr>
    </w:p>
    <w:p w14:paraId="38D209BC">
      <w:pPr>
        <w:jc w:val="both"/>
        <w:rPr>
          <w:rStyle w:val="11"/>
          <w:rFonts w:ascii="Times New Roman" w:hAnsi="Times New Roman" w:cs="Times New Roman"/>
          <w:sz w:val="24"/>
          <w:szCs w:val="24"/>
        </w:rPr>
      </w:pPr>
      <w:r>
        <w:rPr>
          <w:rStyle w:val="11"/>
          <w:rFonts w:ascii="Times New Roman" w:hAnsi="Times New Roman" w:cs="Times New Roman"/>
          <w:sz w:val="24"/>
          <w:szCs w:val="24"/>
        </w:rPr>
        <w:t>3.2 ABA and Fruit Maturation</w:t>
      </w:r>
    </w:p>
    <w:p w14:paraId="6CCC4C7C">
      <w:pPr>
        <w:jc w:val="both"/>
        <w:rPr>
          <w:rStyle w:val="11"/>
          <w:rFonts w:ascii="Times New Roman" w:hAnsi="Times New Roman" w:cs="Times New Roman"/>
          <w:sz w:val="24"/>
          <w:szCs w:val="24"/>
        </w:rPr>
      </w:pPr>
    </w:p>
    <w:p w14:paraId="749F1885">
      <w:pPr>
        <w:jc w:val="both"/>
        <w:rPr>
          <w:rStyle w:val="11"/>
          <w:rFonts w:ascii="Times New Roman" w:hAnsi="Times New Roman" w:cs="Times New Roman"/>
          <w:b w:val="0"/>
          <w:bCs w:val="0"/>
          <w:sz w:val="24"/>
          <w:szCs w:val="24"/>
        </w:rPr>
      </w:pPr>
      <w:r>
        <w:rPr>
          <w:rStyle w:val="11"/>
          <w:rFonts w:ascii="Times New Roman" w:hAnsi="Times New Roman" w:cs="Times New Roman"/>
          <w:b w:val="0"/>
          <w:bCs w:val="0"/>
          <w:sz w:val="24"/>
          <w:szCs w:val="24"/>
        </w:rPr>
        <w:t>Endogenous ABA content increases sharply at the onset of litchi fruit maturation and shows a strong positive correlation with pericarp coloration, anthocyanin accumulation and sugar enrichment in the aril (Jiang et al., 2004; Wang et al., 2017). This ABA surge marks the transition from the growth phase to the ripening phase and serves as a primary hormonal signal initiating the ripening program in this non-climacteric fruit. ABA directly regulates the expression of key structural and regulatory genes involved in flavonoid and anthocyanin biosynthesis. Transcriptomic and physiological studies in litchi have demonstrated that ABA induces the transcription of chalcone synthase (CHS), chalcone isomerase (CHI), flavanone-3-hydroxylase (F3H), dihydroflavonol reductase (DFR), anthocyanidin synthase (ANS) and UDP-glucose flavonoid glucosyltransferase (UFGT), thereby promoting anthocyanin accumulation and red pericarp coloration (Zhang et al., 2011; Wang et al., 2017). ABA signaling is mediated through PYR/PYL/RCAR receptors, protein phosphatase 2C (PP2C) inhibitors and SNF1-related protein kinases (SnRK2s), which activate ABA-responsive transcription factors such as ABI3, ABI4 and ABI5 (Cutler et al., 2010). In litchi, ABA-responsive MYB and bHLH transcription factors have been implicated in the transcriptional activation of anthocyanin pathway genes, linking ABA perception directly to pigment biosynthesis (Zhang et al., 2011; Wang et al., 2017). Exogenous ABA application accelerates pericarp coloration and enhances anthocyanin accumulation in immature litchi fruits, whereas ABA biosynthesis inhibitors delay ripening and color development, confirming the central role of ABA in regulating litchi fruit maturation (Jiang et al., 2004; Sivakumar and Korsten, 2006).</w:t>
      </w:r>
    </w:p>
    <w:p w14:paraId="167CA0AD">
      <w:pPr>
        <w:jc w:val="both"/>
        <w:rPr>
          <w:rStyle w:val="11"/>
          <w:rFonts w:ascii="Times New Roman" w:hAnsi="Times New Roman" w:cs="Times New Roman"/>
          <w:sz w:val="24"/>
          <w:szCs w:val="24"/>
        </w:rPr>
      </w:pPr>
    </w:p>
    <w:p w14:paraId="462CD827">
      <w:pPr>
        <w:jc w:val="both"/>
        <w:rPr>
          <w:rStyle w:val="11"/>
          <w:rFonts w:ascii="Times New Roman" w:hAnsi="Times New Roman" w:cs="Times New Roman"/>
          <w:sz w:val="24"/>
          <w:szCs w:val="24"/>
        </w:rPr>
      </w:pPr>
      <w:r>
        <w:rPr>
          <w:rStyle w:val="11"/>
          <w:rFonts w:ascii="Times New Roman" w:hAnsi="Times New Roman" w:cs="Times New Roman"/>
          <w:sz w:val="24"/>
          <w:szCs w:val="24"/>
        </w:rPr>
        <w:t>3.3 ABA and Sugar Signaling</w:t>
      </w:r>
    </w:p>
    <w:p w14:paraId="416D18B3">
      <w:pPr>
        <w:jc w:val="both"/>
        <w:rPr>
          <w:rStyle w:val="11"/>
          <w:rFonts w:ascii="Times New Roman" w:hAnsi="Times New Roman" w:cs="Times New Roman"/>
          <w:sz w:val="24"/>
          <w:szCs w:val="24"/>
        </w:rPr>
      </w:pPr>
    </w:p>
    <w:p w14:paraId="11595E47">
      <w:pPr>
        <w:jc w:val="both"/>
        <w:rPr>
          <w:rStyle w:val="11"/>
          <w:rFonts w:ascii="Times New Roman" w:hAnsi="Times New Roman" w:cs="Times New Roman"/>
          <w:b w:val="0"/>
          <w:bCs w:val="0"/>
          <w:sz w:val="24"/>
          <w:szCs w:val="24"/>
        </w:rPr>
      </w:pPr>
      <w:r>
        <w:rPr>
          <w:rStyle w:val="11"/>
          <w:rFonts w:ascii="Times New Roman" w:hAnsi="Times New Roman" w:cs="Times New Roman"/>
          <w:b w:val="0"/>
          <w:bCs w:val="0"/>
          <w:sz w:val="24"/>
          <w:szCs w:val="24"/>
        </w:rPr>
        <w:t>Sugar accumulation is a hallmark of litchi fruit ripening and a major determinant of sweetness and consumer acceptance. ABA interacts intimately with sugar signaling pathways to coordinate carbohydrate metabolism and transport during maturation (Rolland et al., 2006; Wang et al., 2017). High sucrose concentrations in the developing aril stimulate ABA biosynthesis by inducing NCED gene expression, leading to increased ABA accumulation at the onset of ripening (Sun et al., 2010; Su et al., 2025). Conversely, ABA enhances the expression of sucrose transporters (SUTs), monosaccharide transporters (MSTs) and cell wall invertases, thereby promoting phloem unloading, sucrose cleavage and hexose accumulation in the aril (Roitsch and Ehneß, 2000; Wang et al., 2017). This reciprocal regulation establishes a positive feedback loop in which rising sugar levels induce ABA biosynthesis, and ABA further accelerates sugar import and metabolism, thereby reinforcing the ripening process (Rolland et al., 2006; Su et al., 2025). In litchi, transcriptome analyses have revealed coordinated up-regulation of ABA biosynthetic genes, sugar transporter genes and invertase genes during the ripening phase, underscoring the tight integration of ABA and sugar signaling networks (Wang et al., 2017; Su et al., 2025). Furthermore, ABA modulates the activity of key carbohydrate metabolism enzymes, including sucrose synthase, neutral invertase and fructokinase, thereby influencing sugar composition and the sucrose-to-hexose ratio, which is critical for flavor development in litchi (Roitsch and Ehneß, 2000; Wang et al., 2017).</w:t>
      </w:r>
    </w:p>
    <w:p w14:paraId="2C8275B4">
      <w:pPr>
        <w:jc w:val="both"/>
        <w:rPr>
          <w:rStyle w:val="11"/>
          <w:rFonts w:ascii="Times New Roman" w:hAnsi="Times New Roman" w:cs="Times New Roman"/>
          <w:sz w:val="24"/>
          <w:szCs w:val="24"/>
        </w:rPr>
      </w:pPr>
    </w:p>
    <w:p w14:paraId="23EA3ECD">
      <w:pPr>
        <w:jc w:val="both"/>
        <w:rPr>
          <w:rStyle w:val="11"/>
          <w:rFonts w:ascii="Times New Roman" w:hAnsi="Times New Roman" w:cs="Times New Roman"/>
          <w:sz w:val="24"/>
          <w:szCs w:val="24"/>
        </w:rPr>
      </w:pPr>
      <w:r>
        <w:rPr>
          <w:rStyle w:val="11"/>
          <w:rFonts w:ascii="Times New Roman" w:hAnsi="Times New Roman" w:cs="Times New Roman"/>
          <w:sz w:val="24"/>
          <w:szCs w:val="24"/>
        </w:rPr>
        <w:t>3.4 ABA and Fruit Abscission</w:t>
      </w:r>
    </w:p>
    <w:p w14:paraId="6C781217">
      <w:pPr>
        <w:jc w:val="both"/>
        <w:rPr>
          <w:rStyle w:val="11"/>
          <w:rFonts w:ascii="Times New Roman" w:hAnsi="Times New Roman" w:cs="Times New Roman"/>
          <w:sz w:val="24"/>
          <w:szCs w:val="24"/>
        </w:rPr>
      </w:pPr>
    </w:p>
    <w:p w14:paraId="555AF178">
      <w:pPr>
        <w:jc w:val="both"/>
        <w:rPr>
          <w:rFonts w:ascii="Times New Roman" w:hAnsi="Times New Roman" w:cs="Times New Roman"/>
          <w:sz w:val="24"/>
          <w:szCs w:val="24"/>
        </w:rPr>
      </w:pPr>
      <w:r>
        <w:rPr>
          <w:rStyle w:val="11"/>
          <w:rFonts w:ascii="Times New Roman" w:hAnsi="Times New Roman" w:cs="Times New Roman"/>
          <w:b w:val="0"/>
          <w:bCs w:val="0"/>
          <w:sz w:val="24"/>
          <w:szCs w:val="24"/>
        </w:rPr>
        <w:t>In addition to its role in ripening, ABA is a major hormonal signal promoting fruit abscission, particularly under stress conditions. Environmental stresses such as drought, high temperature, salinity and carbohydrate deficiency markedly increase ABA biosynthesis in litchi fruitlets and pedicel tissues (Yuan and Huang, 2012; Rathava et al., 2023). Elevated ABA levels enhance ethylene sensitivity and stimulate ethylene biosynthesis by inducing ACS and ACO gene expression, thereby amplifying ethylene-mediated abscission signaling (Addicott, 1982; Davies, 2010). ABA also directly activates abscission-related genes encoding cellulases, polygalacturonases and pectin methylesterases, contributing to cell wall dissolution in the abscission zone (Taylor and Whitelaw, 2001; Yuan and Huang, 2012). The balance between ABA and auxin plays a decisive role in determining fruit retention versus shedding. A high ABA/IAA ratio promotes abscission by reducing auxin transport from the fruit to the abscission zone and increasing the sensitivity of AZ cells to ethylene (Addicott, 1982; Yuan and Huang, 2012).The seed has emerged as a critical regulatory center for hormonal control of fruit retention. Evidence suggests that seeds influence fruit abscission through modulation of hormonal ratios, particularly ABA and auxin. An increased ABA/IAA ratio within the seed has been linked to enhanced fruit drop, indicating that seed-derived hormonal signals play a pivotal role in maintaining fruit attachment</w:t>
      </w:r>
      <w:r>
        <w:rPr>
          <w:rStyle w:val="11"/>
          <w:rFonts w:hint="default" w:ascii="Times New Roman" w:hAnsi="Times New Roman" w:cs="Times New Roman"/>
          <w:b w:val="0"/>
          <w:bCs w:val="0"/>
          <w:sz w:val="24"/>
          <w:szCs w:val="24"/>
          <w:lang w:val="en-US"/>
        </w:rPr>
        <w:t xml:space="preserve"> (Wang et al., 2025).</w:t>
      </w:r>
      <w:r>
        <w:rPr>
          <w:rStyle w:val="11"/>
          <w:rFonts w:ascii="Times New Roman" w:hAnsi="Times New Roman" w:cs="Times New Roman"/>
          <w:b w:val="0"/>
          <w:bCs w:val="0"/>
          <w:sz w:val="24"/>
          <w:szCs w:val="24"/>
        </w:rPr>
        <w:t xml:space="preserve"> In litchi, a sharp increase in ABA content accompanied by a decline in auxin levels has been consistently observed prior to massive fruit drop events (Yuan and Huang, 2012; Su et al., 2025). From a practical standpoint, orchard practices that reduce stress-induced ABA accumulation—such as optimized irrigation, balanced nutrition and shading—can significantly improve fruit retention. Moreover, the application of auxins and cytokinins to counteract ABA- and ethylene-mediated abscission has proven effective in reducing physiological fruit drop in litchi (Menzel and Waite, 2005; Rathava et al., 2023).</w:t>
      </w:r>
    </w:p>
    <w:p w14:paraId="1CEE5ED7">
      <w:pPr>
        <w:pStyle w:val="2"/>
        <w:jc w:val="both"/>
        <w:rPr>
          <w:rFonts w:hint="default" w:ascii="Times New Roman" w:hAnsi="Times New Roman"/>
          <w:sz w:val="24"/>
          <w:szCs w:val="24"/>
        </w:rPr>
      </w:pPr>
      <w:r>
        <w:rPr>
          <w:rStyle w:val="11"/>
          <w:rFonts w:hint="default" w:ascii="Times New Roman" w:hAnsi="Times New Roman"/>
          <w:b/>
          <w:bCs/>
          <w:sz w:val="24"/>
          <w:szCs w:val="24"/>
        </w:rPr>
        <w:t>4. Roles of Other Hormones</w:t>
      </w:r>
    </w:p>
    <w:p w14:paraId="7FB91433">
      <w:pPr>
        <w:jc w:val="both"/>
        <w:rPr>
          <w:rStyle w:val="11"/>
          <w:rFonts w:ascii="Times New Roman" w:hAnsi="Times New Roman" w:cs="Times New Roman"/>
          <w:sz w:val="24"/>
          <w:szCs w:val="24"/>
        </w:rPr>
      </w:pPr>
      <w:r>
        <w:rPr>
          <w:rStyle w:val="11"/>
          <w:rFonts w:ascii="Times New Roman" w:hAnsi="Times New Roman" w:cs="Times New Roman"/>
          <w:sz w:val="24"/>
          <w:szCs w:val="24"/>
        </w:rPr>
        <w:t>4.1 Role of Jasmonates, Brassinosteroids and Salicylic Acid in Litchi Fruit Development and Postharvest Physiology</w:t>
      </w:r>
    </w:p>
    <w:p w14:paraId="7A48EE45">
      <w:pPr>
        <w:jc w:val="both"/>
        <w:rPr>
          <w:rStyle w:val="11"/>
          <w:rFonts w:ascii="Times New Roman" w:hAnsi="Times New Roman" w:cs="Times New Roman"/>
          <w:sz w:val="24"/>
          <w:szCs w:val="24"/>
        </w:rPr>
      </w:pPr>
    </w:p>
    <w:p w14:paraId="5AE9D61C">
      <w:pPr>
        <w:jc w:val="both"/>
        <w:rPr>
          <w:rStyle w:val="11"/>
          <w:rFonts w:ascii="Times New Roman" w:hAnsi="Times New Roman" w:cs="Times New Roman"/>
          <w:b w:val="0"/>
          <w:bCs w:val="0"/>
          <w:sz w:val="24"/>
          <w:szCs w:val="24"/>
        </w:rPr>
      </w:pPr>
      <w:r>
        <w:rPr>
          <w:rStyle w:val="11"/>
          <w:rFonts w:ascii="Times New Roman" w:hAnsi="Times New Roman" w:cs="Times New Roman"/>
          <w:b w:val="0"/>
          <w:bCs w:val="0"/>
          <w:sz w:val="24"/>
          <w:szCs w:val="24"/>
        </w:rPr>
        <w:t>In addition to the classical hormones auxins, gibberellins, cytokinins, ethylene and abscisic acid, several other phytohormones play important modulatory roles in litchi fruit development, stress adaptation and postharvest physiology. Jasmonates (JAs), brassinosteroids (BRs) and salicylic acid (SA) participate in hormonal crosstalk networks that fine-tune fruit growth, abscission regulation, defense responses and senescence. Although research on these hormones in litchi remains relatively limited, accumulating physiological and molecular evidence indicates that they exert significant influence on fruit retention, quality formation and shelf life (Menzel and Waite, 2005; Wang et al., 2017; Rathava et al., 2023).</w:t>
      </w:r>
    </w:p>
    <w:p w14:paraId="57C7D28D">
      <w:pPr>
        <w:jc w:val="both"/>
        <w:rPr>
          <w:rStyle w:val="11"/>
          <w:rFonts w:ascii="Times New Roman" w:hAnsi="Times New Roman" w:cs="Times New Roman"/>
          <w:b w:val="0"/>
          <w:bCs w:val="0"/>
          <w:sz w:val="24"/>
          <w:szCs w:val="24"/>
        </w:rPr>
      </w:pPr>
    </w:p>
    <w:p w14:paraId="27E55805">
      <w:pPr>
        <w:jc w:val="both"/>
        <w:rPr>
          <w:rStyle w:val="11"/>
          <w:rFonts w:ascii="Times New Roman" w:hAnsi="Times New Roman" w:cs="Times New Roman"/>
          <w:sz w:val="24"/>
          <w:szCs w:val="24"/>
        </w:rPr>
      </w:pPr>
      <w:r>
        <w:rPr>
          <w:rStyle w:val="11"/>
          <w:rFonts w:ascii="Times New Roman" w:hAnsi="Times New Roman" w:cs="Times New Roman"/>
          <w:sz w:val="24"/>
          <w:szCs w:val="24"/>
        </w:rPr>
        <w:t>4.2 Jasmonates</w:t>
      </w:r>
    </w:p>
    <w:p w14:paraId="246E87C4">
      <w:pPr>
        <w:jc w:val="both"/>
        <w:rPr>
          <w:rStyle w:val="11"/>
          <w:rFonts w:ascii="Times New Roman" w:hAnsi="Times New Roman" w:cs="Times New Roman"/>
          <w:sz w:val="24"/>
          <w:szCs w:val="24"/>
        </w:rPr>
      </w:pPr>
    </w:p>
    <w:p w14:paraId="3F5B3CC6">
      <w:pPr>
        <w:jc w:val="both"/>
        <w:rPr>
          <w:rStyle w:val="11"/>
          <w:rFonts w:ascii="Times New Roman" w:hAnsi="Times New Roman" w:cs="Times New Roman"/>
          <w:b w:val="0"/>
          <w:bCs w:val="0"/>
          <w:sz w:val="24"/>
          <w:szCs w:val="24"/>
        </w:rPr>
      </w:pPr>
      <w:r>
        <w:rPr>
          <w:rStyle w:val="11"/>
          <w:rFonts w:ascii="Times New Roman" w:hAnsi="Times New Roman" w:cs="Times New Roman"/>
          <w:b w:val="0"/>
          <w:bCs w:val="0"/>
          <w:sz w:val="24"/>
          <w:szCs w:val="24"/>
        </w:rPr>
        <w:t>Jasmonic acid (JA) and its derivatives, including methyl jasmonate (MeJA) and jasmonoyl-isoleucine (JA-Ile), are lipid-derived signaling molecules that regulate plant defense responses, stress adaptation, senescence and reproductive development (Wasternack and Hause, 2013). In fruit crops, jasmonates modulate fruit set, abscission, ripening and responses to biotic and abiotic stresses through extensive crosstalk with ethylene, abscisic acid and auxin signaling pathways (Turner et al., 2002; Wasternack and Hause, 2013). In litchi, JA accumulation increases under stress conditions such as drought, high temperature and carbohydrate deficiency, which are commonly associated with massive physiological fruit drop (Yuan and Huang, 2012; Su et al., 2025). Jasmonates enhance the sensitivity of the abscission zone to ethylene by up-regulating ethylene biosynthetic genes (ACS and ACO) and ethylene signaling components, thereby accelerating the activation of cell wall-degrading enzymes and fruitlet separation (Taylor and Whitelaw, 2001; Wasternack and Hause, 2013). JA also interacts synergistically with ABA in promoting stress-induced abscission. Under adverse environmental conditions, elevated ABA stimulates JA biosynthesis, and together these hormones amplify ethylene-mediated abscission signaling (Addicott, 1982; Yuan and Huang, 2012). Transcriptomic analyses of litchi fruitlets undergoing abscission have revealed up-regulation of jasmonate biosynthetic genes such as lipoxygenase (LOX), allene oxide synthase (AOS) and allene oxide cyclase (AOC), supporting a role for JA in the regulation of fruit drop (Su et al., 2025). Beyond abscission, jasmonates may influence fruit defense and postharvest disease resistance. Exogenous MeJA treatments have been shown to enhance antioxidant enzyme activities, induce pathogenesis-related proteins and reduce fungal decay in litchi and other subtropical fruits (Sivakumar et al., 2005; Wang et al., 2017). However, excessive JA levels may accelerate senescence and browning, indicating that jasmonate signaling must be tightly regulated to balance defense and fruit quality.</w:t>
      </w:r>
    </w:p>
    <w:p w14:paraId="2A375837">
      <w:pPr>
        <w:jc w:val="both"/>
        <w:rPr>
          <w:rStyle w:val="11"/>
          <w:rFonts w:ascii="Times New Roman" w:hAnsi="Times New Roman" w:cs="Times New Roman"/>
          <w:b w:val="0"/>
          <w:bCs w:val="0"/>
          <w:sz w:val="24"/>
          <w:szCs w:val="24"/>
        </w:rPr>
      </w:pPr>
    </w:p>
    <w:p w14:paraId="283FF91E">
      <w:pPr>
        <w:jc w:val="both"/>
        <w:rPr>
          <w:rStyle w:val="11"/>
          <w:rFonts w:ascii="Times New Roman" w:hAnsi="Times New Roman" w:cs="Times New Roman"/>
          <w:sz w:val="24"/>
          <w:szCs w:val="24"/>
        </w:rPr>
      </w:pPr>
      <w:r>
        <w:rPr>
          <w:rStyle w:val="11"/>
          <w:rFonts w:ascii="Times New Roman" w:hAnsi="Times New Roman" w:cs="Times New Roman"/>
          <w:sz w:val="24"/>
          <w:szCs w:val="24"/>
        </w:rPr>
        <w:t>4.3 Brassinosteroids</w:t>
      </w:r>
    </w:p>
    <w:p w14:paraId="3944C426">
      <w:pPr>
        <w:jc w:val="both"/>
        <w:rPr>
          <w:rStyle w:val="11"/>
          <w:rFonts w:ascii="Times New Roman" w:hAnsi="Times New Roman" w:cs="Times New Roman"/>
          <w:sz w:val="24"/>
          <w:szCs w:val="24"/>
        </w:rPr>
      </w:pPr>
    </w:p>
    <w:p w14:paraId="1E25ADE3">
      <w:pPr>
        <w:jc w:val="both"/>
        <w:rPr>
          <w:rStyle w:val="11"/>
          <w:rFonts w:ascii="Times New Roman" w:hAnsi="Times New Roman" w:cs="Times New Roman"/>
          <w:b w:val="0"/>
          <w:bCs w:val="0"/>
          <w:sz w:val="24"/>
          <w:szCs w:val="24"/>
        </w:rPr>
      </w:pPr>
      <w:r>
        <w:rPr>
          <w:rStyle w:val="11"/>
          <w:rFonts w:ascii="Times New Roman" w:hAnsi="Times New Roman" w:cs="Times New Roman"/>
          <w:b w:val="0"/>
          <w:bCs w:val="0"/>
          <w:sz w:val="24"/>
          <w:szCs w:val="24"/>
        </w:rPr>
        <w:t>Brassinosteroids (BRs) are steroidal phytohormones that regulate cell expansion, vascular differentiation, reproductive development and stress tolerance (Clouse and Sasse, 1998; Vriet et al., 2012). In fruit crops, BRs promote fruit set, enhance cell enlargement and improve fruit size and quality by stimulating cell wall loosening, carbohydrate transport and hormonal crosstalk with auxins and gibberellins (Symons et al., 2006; Vriet et al., 2012). Although detailed studies on BR function in litchi remain scarce, indirect evidence suggests that BRs contribute to fruit growth and vascular development. BRs induce the expression of expansins, xyloglucan endotransglycosylases and cellulose synthase genes, thereby facilitating cell wall remodeling and fruit enlargement (Clouse and Sasse, 1998; Symons et al., 2006). In addition, BRs enhance xylem and phloem differentiation, strengthening sink capacity and assimilate import into developing fruits (Vriet et al., 2012). Exogenous application of brassinolide and 24-epibrassinolide has been reported to increase fruit size, improve shape and enhance sugar accumulation in several fruit crops, including grape, apple and citrus (Symons et al., 2006; Vriet et al., 2012). Preliminary horticultural trials in litchi suggest that BR treatments applied during early fruit development may enhance fruit enlargement and improve aril development, although systematic physiological and molecular investigations are still lacking (Menzel and Waite, 2005; Rathava et al., 2023). Moreover, BRs confer tolerance to abiotic stresses such as heat, drought and salinity by activating antioxidant defense systems and stress-responsive genes, which may indirectly improve fruit retention and quality under suboptimal growing conditions (Vriet et al., 2012; Rathava et al., 2023). Future studies integrating hormone profiling and functional genomics will be essential to elucidate the precise roles of BR signaling in litchi fruit development.</w:t>
      </w:r>
    </w:p>
    <w:p w14:paraId="268CAD44">
      <w:pPr>
        <w:jc w:val="both"/>
        <w:rPr>
          <w:rStyle w:val="11"/>
          <w:rFonts w:ascii="Times New Roman" w:hAnsi="Times New Roman" w:cs="Times New Roman"/>
          <w:sz w:val="24"/>
          <w:szCs w:val="24"/>
        </w:rPr>
      </w:pPr>
    </w:p>
    <w:p w14:paraId="7DDFCE56">
      <w:pPr>
        <w:jc w:val="both"/>
        <w:rPr>
          <w:rStyle w:val="11"/>
          <w:rFonts w:ascii="Times New Roman" w:hAnsi="Times New Roman" w:cs="Times New Roman"/>
          <w:sz w:val="24"/>
          <w:szCs w:val="24"/>
        </w:rPr>
      </w:pPr>
      <w:r>
        <w:rPr>
          <w:rStyle w:val="11"/>
          <w:rFonts w:ascii="Times New Roman" w:hAnsi="Times New Roman" w:cs="Times New Roman"/>
          <w:sz w:val="24"/>
          <w:szCs w:val="24"/>
        </w:rPr>
        <w:t>4.5 Salicylic Acid</w:t>
      </w:r>
    </w:p>
    <w:p w14:paraId="0DFBA1C5">
      <w:pPr>
        <w:jc w:val="both"/>
        <w:rPr>
          <w:rStyle w:val="11"/>
          <w:rFonts w:ascii="Times New Roman" w:hAnsi="Times New Roman" w:cs="Times New Roman"/>
          <w:sz w:val="24"/>
          <w:szCs w:val="24"/>
        </w:rPr>
      </w:pPr>
    </w:p>
    <w:p w14:paraId="0979C508">
      <w:pPr>
        <w:jc w:val="both"/>
        <w:rPr>
          <w:rStyle w:val="11"/>
          <w:rFonts w:ascii="Times New Roman" w:hAnsi="Times New Roman" w:cs="Times New Roman"/>
          <w:b w:val="0"/>
          <w:bCs w:val="0"/>
          <w:sz w:val="24"/>
          <w:szCs w:val="24"/>
        </w:rPr>
      </w:pPr>
      <w:r>
        <w:rPr>
          <w:rStyle w:val="11"/>
          <w:rFonts w:ascii="Times New Roman" w:hAnsi="Times New Roman" w:cs="Times New Roman"/>
          <w:b w:val="0"/>
          <w:bCs w:val="0"/>
          <w:sz w:val="24"/>
          <w:szCs w:val="24"/>
        </w:rPr>
        <w:t>Salicylic acid (SA) is a phenolic phytohormone involved in plant defense, systemic acquired resistance, redox homeostasis and senescence regulation (Vlot et al., 2009). In fruit crops, SA plays important roles in modulating antioxidant metabolism, delaying senescence and improving postharvest quality (Asghari and Aghdam, 2010).</w:t>
      </w:r>
    </w:p>
    <w:p w14:paraId="1F887BCE">
      <w:pPr>
        <w:jc w:val="both"/>
        <w:rPr>
          <w:rFonts w:ascii="Times New Roman" w:hAnsi="Times New Roman" w:cs="Times New Roman"/>
          <w:sz w:val="24"/>
          <w:szCs w:val="24"/>
        </w:rPr>
      </w:pPr>
      <w:r>
        <w:rPr>
          <w:rStyle w:val="11"/>
          <w:rFonts w:ascii="Times New Roman" w:hAnsi="Times New Roman" w:cs="Times New Roman"/>
          <w:b w:val="0"/>
          <w:bCs w:val="0"/>
          <w:sz w:val="24"/>
          <w:szCs w:val="24"/>
        </w:rPr>
        <w:t>In litchi, SA has been extensively studied for its beneficial effects on postharvest physiology, particularly in delaying pericarp browning — one of the most serious limitations to marketability. SA treatments reduce membrane lipid peroxidation, suppress polyphenol oxidase (PPO) and peroxidase (POD) activities, and enhance the activity of antioxidant enzymes such as superoxide dismutase (SOD), catalase (CAT) and ascorbate peroxidase (APX), thereby maintaining membrane integrity and inhibiting enzymatic browning reactions (Jiang et al., 2004; Sivakumar and Korsten, 2006; Asghari and Aghdam, 2010). SA also modulates ethylene biosynthesis and signaling by inhibiting ACS and ACO activities and reducing ethylene sensitivity, which delays senescence and prolongs shelf life (Vlot et al., 2009; Asghari and Aghdam, 2010). In litchi, postharvest dipping or fumigation with SA significantly delays pericarp browning, maintains red coloration and extends storage life under both ambient and refrigerated conditions (Jiang et al., 2004; Sivakumar and Korsten, 2006). Furthermore, SA enhances resistance to postharvest pathogens by inducing pathogenesis-related proteins and strengthening cell wall defenses, thereby reducing decay incidence during storage and transport (Asghari and Aghdam, 2010; Wang et al., 2017). Thus, salicylic acid represents a promising eco-friendly postharvest treatment for maintaining litchi fruit quality and extending shelf life.</w:t>
      </w:r>
    </w:p>
    <w:p w14:paraId="520254A4">
      <w:pPr>
        <w:jc w:val="both"/>
        <w:rPr>
          <w:rFonts w:ascii="Times New Roman" w:hAnsi="Times New Roman" w:cs="Times New Roman"/>
          <w:b/>
          <w:bCs/>
          <w:sz w:val="24"/>
          <w:szCs w:val="24"/>
        </w:rPr>
      </w:pPr>
    </w:p>
    <w:p w14:paraId="3E760A5E">
      <w:pPr>
        <w:jc w:val="both"/>
        <w:rPr>
          <w:rFonts w:ascii="Times New Roman" w:hAnsi="Times New Roman" w:cs="Times New Roman"/>
          <w:b/>
          <w:bCs/>
          <w:sz w:val="24"/>
          <w:szCs w:val="24"/>
        </w:rPr>
      </w:pPr>
      <w:r>
        <w:rPr>
          <w:rFonts w:ascii="Times New Roman" w:hAnsi="Times New Roman" w:cs="Times New Roman"/>
          <w:b/>
          <w:bCs/>
          <w:sz w:val="24"/>
          <w:szCs w:val="24"/>
        </w:rPr>
        <w:t>5. Hormonal Crosstalk and Integrated Regulation of Litchi Fruit Development</w:t>
      </w:r>
    </w:p>
    <w:p w14:paraId="51789C7A">
      <w:pPr>
        <w:jc w:val="both"/>
        <w:rPr>
          <w:rFonts w:ascii="Times New Roman" w:hAnsi="Times New Roman" w:cs="Times New Roman"/>
          <w:sz w:val="24"/>
          <w:szCs w:val="24"/>
        </w:rPr>
      </w:pPr>
    </w:p>
    <w:p w14:paraId="1B17D67B">
      <w:pPr>
        <w:jc w:val="both"/>
        <w:rPr>
          <w:rFonts w:ascii="Times New Roman" w:hAnsi="Times New Roman" w:cs="Times New Roman"/>
          <w:sz w:val="24"/>
          <w:szCs w:val="24"/>
        </w:rPr>
      </w:pPr>
      <w:r>
        <w:rPr>
          <w:rFonts w:ascii="Times New Roman" w:hAnsi="Times New Roman" w:cs="Times New Roman"/>
          <w:sz w:val="24"/>
          <w:szCs w:val="24"/>
        </w:rPr>
        <w:t xml:space="preserve">The study emphasizes that fruit development and stress responses in litchi are regulated by complex interactions among multiple phytohormones rather than individual hormonal effects. These interactions are further influenced by environmental conditions, highlighting the importance of hormonal crosstalk in determining fruit retention, growth, and quality. This dynamic hormonal crosstalk integrates developmental cues with environmental and metabolic signals to regulate fruit set, early growth, abscission, ripening and senescence. The balance and temporal coordination among auxins, gibberellins (GAs), cytokinins (CKs), abscisic acid (ABA), ethylene, sugars and secondary hormones determine the fate of developing fruitlets and the quality attributes of mature fruits (Addicott, 1982; Menzel and Waite, 2005; Yuan and Huang, 2012; Wang et al., 2017). </w:t>
      </w:r>
    </w:p>
    <w:p w14:paraId="7C8BDE35">
      <w:pPr>
        <w:jc w:val="both"/>
        <w:rPr>
          <w:rFonts w:hint="default" w:ascii="Times New Roman" w:hAnsi="Times New Roman" w:cs="Times New Roman"/>
          <w:sz w:val="24"/>
          <w:szCs w:val="24"/>
          <w:lang w:val="en-US"/>
        </w:rPr>
      </w:pPr>
      <w:r>
        <w:rPr>
          <w:rFonts w:ascii="Times New Roman" w:hAnsi="Times New Roman" w:cs="Times New Roman"/>
          <w:sz w:val="24"/>
          <w:szCs w:val="24"/>
        </w:rPr>
        <w:t>Recent transcriptomic and hormone profiling studies in litchi and related fruit crops have demonstrated that developmental transitions are accompanied by coordinated regulation of hormone biosynthesis genes, receptors, transporters and downstream signaling components, highlighting the complexity of integrated hormonal control (Su et al., 2025; Li et al., 2020).</w:t>
      </w:r>
      <w:r>
        <w:rPr>
          <w:rFonts w:hint="default" w:ascii="Times New Roman" w:hAnsi="Times New Roman" w:cs="Times New Roman"/>
          <w:sz w:val="24"/>
          <w:szCs w:val="24"/>
          <w:lang w:val="en-US"/>
        </w:rPr>
        <w:t xml:space="preserve"> </w:t>
      </w:r>
    </w:p>
    <w:p w14:paraId="1CD899EE">
      <w:pPr>
        <w:jc w:val="both"/>
        <w:rPr>
          <w:rFonts w:ascii="Times New Roman" w:hAnsi="Times New Roman" w:cs="Times New Roman"/>
          <w:b/>
          <w:bCs/>
          <w:sz w:val="24"/>
          <w:szCs w:val="24"/>
        </w:rPr>
      </w:pPr>
    </w:p>
    <w:p w14:paraId="3C9610E9">
      <w:pPr>
        <w:jc w:val="both"/>
        <w:rPr>
          <w:rFonts w:ascii="Times New Roman" w:hAnsi="Times New Roman" w:cs="Times New Roman"/>
          <w:b/>
          <w:bCs/>
          <w:sz w:val="24"/>
          <w:szCs w:val="24"/>
        </w:rPr>
      </w:pPr>
      <w:r>
        <w:rPr>
          <w:rFonts w:ascii="Times New Roman" w:hAnsi="Times New Roman" w:cs="Times New Roman"/>
          <w:b/>
          <w:bCs/>
          <w:sz w:val="24"/>
          <w:szCs w:val="24"/>
        </w:rPr>
        <w:t>5.1 Auxin–Ethylene Antagonism in the Control of Fruit Abscission</w:t>
      </w:r>
    </w:p>
    <w:p w14:paraId="64137F21">
      <w:pPr>
        <w:jc w:val="both"/>
        <w:rPr>
          <w:rFonts w:ascii="Times New Roman" w:hAnsi="Times New Roman" w:cs="Times New Roman"/>
          <w:sz w:val="24"/>
          <w:szCs w:val="24"/>
        </w:rPr>
      </w:pPr>
    </w:p>
    <w:p w14:paraId="5B00EF93">
      <w:pPr>
        <w:jc w:val="both"/>
        <w:rPr>
          <w:rFonts w:ascii="Times New Roman" w:hAnsi="Times New Roman" w:cs="Times New Roman"/>
          <w:sz w:val="24"/>
          <w:szCs w:val="24"/>
        </w:rPr>
      </w:pPr>
      <w:r>
        <w:rPr>
          <w:rFonts w:ascii="Times New Roman" w:hAnsi="Times New Roman" w:cs="Times New Roman"/>
          <w:sz w:val="24"/>
          <w:szCs w:val="24"/>
        </w:rPr>
        <w:t>One of the most critical hormonal interactions in litchi is the antagonistic relationship between auxin and ethylene in regulating fruitlet abscission. Auxin transported basipetally from developing seeds and pericarp maintains the integrity of the abscission zone by suppressing ethylene sensitivity and inhibiting the expression of cell wall hydrolases such as cellulases and polygalacturonases (Addicott, 1982; Taylor and Whitelaw, 2001). When auxin levels decline due to embryo abortion, carbohydrate limitation or environmental stress, the abscission zone becomes highly sensitive to ethylene. Elevated ethylene biosynthesis and signaling then activate abscission-related genes, leading to middle lamella dissolution and fruit drop (Yuan and Huang, 2012; Wang et al., 2017). In litchi, exogenous application of auxins such as NAA significantly reduces fruit drop by counteracting ethylene action, while ethylene-releasing compounds accelerate abscission (Yuan and Huang, 2012). Transcriptomic analyses of litchi fruitlets undergoing abscission have revealed coordinated down-regulation of auxin transporters (PINs, AUX/LAX) and up-regulation of ethylene biosynthetic genes (ACS, ACO) and ethylene response factors (ERFs), confirming the central role of auxin–ethylene antagonism in fruit retention (Su et al., 2025).</w:t>
      </w:r>
    </w:p>
    <w:p w14:paraId="4DF3CB65">
      <w:pPr>
        <w:jc w:val="both"/>
        <w:rPr>
          <w:rFonts w:ascii="Times New Roman" w:hAnsi="Times New Roman" w:cs="Times New Roman"/>
          <w:sz w:val="24"/>
          <w:szCs w:val="24"/>
        </w:rPr>
      </w:pPr>
    </w:p>
    <w:p w14:paraId="1CCEB83C">
      <w:pPr>
        <w:jc w:val="both"/>
        <w:rPr>
          <w:rFonts w:ascii="Times New Roman" w:hAnsi="Times New Roman" w:cs="Times New Roman"/>
          <w:b/>
          <w:bCs/>
          <w:sz w:val="24"/>
          <w:szCs w:val="24"/>
        </w:rPr>
      </w:pPr>
      <w:r>
        <w:rPr>
          <w:rFonts w:ascii="Times New Roman" w:hAnsi="Times New Roman" w:cs="Times New Roman"/>
          <w:b/>
          <w:bCs/>
          <w:sz w:val="24"/>
          <w:szCs w:val="24"/>
        </w:rPr>
        <w:t>5.2 ABA–Sugar Synergy in the Regulation of Ripening and Color Development</w:t>
      </w:r>
    </w:p>
    <w:p w14:paraId="417EA7C5">
      <w:pPr>
        <w:jc w:val="both"/>
        <w:rPr>
          <w:rFonts w:ascii="Times New Roman" w:hAnsi="Times New Roman" w:cs="Times New Roman"/>
          <w:sz w:val="24"/>
          <w:szCs w:val="24"/>
        </w:rPr>
      </w:pPr>
    </w:p>
    <w:p w14:paraId="32F6FF78">
      <w:pPr>
        <w:jc w:val="both"/>
        <w:rPr>
          <w:rFonts w:ascii="Times New Roman" w:hAnsi="Times New Roman" w:cs="Times New Roman"/>
          <w:sz w:val="24"/>
          <w:szCs w:val="24"/>
        </w:rPr>
      </w:pPr>
      <w:r>
        <w:rPr>
          <w:rFonts w:ascii="Times New Roman" w:hAnsi="Times New Roman" w:cs="Times New Roman"/>
          <w:sz w:val="24"/>
          <w:szCs w:val="24"/>
        </w:rPr>
        <w:t>Ripening and coloration in litchi are strongly regulated by synergistic interactions between ABA and sugar signaling pathways. During the onset of ripening, sucrose accumulation in the aril stimulates ABA biosynthesis by inducing 9-cis-epoxycarotenoid dioxygenase (NCED) expression, leading to a rapid increase in ABA levels (Jia et al., 2013; Wang et al., 2017). ABA, in turn, enhances sugar transport and metabolism by up-regulating sucrose transporters (SUTs), hexose transporters (HTs) and invertases, thereby reinforcing sugar import into the fruit and creating a positive feedback loop that accelerates ripening (Li et al., 2020; Su et al., 2025). This ABA–sugar synergy also promotes anthocyanin biosynthesis by activating key transcription factors and structural genes such as CHS, DFR and UFGT, resulting in rapid pericarp reddening (Jia et al., 2013; Wang et al., 2017). Molecular studies in litchi have shown coordinated up-regulation of ABA receptors (PYR/PYL), SnRK2 kinases and sugar-responsive transcription factors during ripening, demonstrating tight integration between hormonal and metabolic signaling networks (Li et al., 2020; Su et al., 2025).</w:t>
      </w:r>
    </w:p>
    <w:p w14:paraId="48B35C56">
      <w:pPr>
        <w:jc w:val="both"/>
        <w:rPr>
          <w:rFonts w:ascii="Times New Roman" w:hAnsi="Times New Roman" w:cs="Times New Roman"/>
          <w:sz w:val="24"/>
          <w:szCs w:val="24"/>
        </w:rPr>
      </w:pPr>
    </w:p>
    <w:p w14:paraId="23EA1C7F">
      <w:pPr>
        <w:jc w:val="both"/>
        <w:rPr>
          <w:rFonts w:ascii="Times New Roman" w:hAnsi="Times New Roman" w:cs="Times New Roman"/>
          <w:b/>
          <w:bCs/>
          <w:sz w:val="24"/>
          <w:szCs w:val="24"/>
        </w:rPr>
      </w:pPr>
      <w:r>
        <w:rPr>
          <w:rFonts w:ascii="Times New Roman" w:hAnsi="Times New Roman" w:cs="Times New Roman"/>
          <w:b/>
          <w:bCs/>
          <w:sz w:val="24"/>
          <w:szCs w:val="24"/>
        </w:rPr>
        <w:t>5.3 Auxin–GA–CK Cooperation in Early Fruit Growth</w:t>
      </w:r>
    </w:p>
    <w:p w14:paraId="6753F207">
      <w:pPr>
        <w:jc w:val="both"/>
        <w:rPr>
          <w:rFonts w:ascii="Times New Roman" w:hAnsi="Times New Roman" w:cs="Times New Roman"/>
          <w:sz w:val="24"/>
          <w:szCs w:val="24"/>
        </w:rPr>
      </w:pPr>
    </w:p>
    <w:p w14:paraId="1A78D1BC">
      <w:pPr>
        <w:jc w:val="both"/>
        <w:rPr>
          <w:rFonts w:ascii="Times New Roman" w:hAnsi="Times New Roman" w:cs="Times New Roman"/>
          <w:sz w:val="24"/>
          <w:szCs w:val="24"/>
        </w:rPr>
      </w:pPr>
      <w:r>
        <w:rPr>
          <w:rFonts w:ascii="Times New Roman" w:hAnsi="Times New Roman" w:cs="Times New Roman"/>
          <w:sz w:val="24"/>
          <w:szCs w:val="24"/>
        </w:rPr>
        <w:t>Early fruit development in litchi is primarily driven by the cooperative action of auxins, gibberellins and cytokinins, which together regulate cell division, cell expansion and vascular differentiation. Following fertilization, auxins produced by developing embryos stimulate GA biosynthesis, which promotes rapid cell elongation and pericarp expansion (Davies, 2010; Wang et al., 2017). Cytokinins further enhance cell division in the early stages by activating cyclins and cyclin-dependent kinases, thereby increasing sink strength and supporting sustained fruit growth (Menzel and Waite, 2005; Davies, 2010). The synergistic interaction among auxin, GA and CK establishes a strong hormonal gradient that ensures successful fruit set and prevents early abscission. Transcriptome profiling of developing litchi fruits has revealed simultaneous induction of auxin-responsive genes (ARFs, AUX/IAAs), GA biosynthetic enzymes (GA20ox, GA3ox) and cytokinin signaling components (HKs, ARR genes), highlighting the coordinated regulation of these growth-promoting hormones (Li et al., 2020; Wang et al., 2017).</w:t>
      </w:r>
    </w:p>
    <w:p w14:paraId="2812CEF3">
      <w:pPr>
        <w:jc w:val="both"/>
        <w:rPr>
          <w:rFonts w:ascii="Times New Roman" w:hAnsi="Times New Roman" w:cs="Times New Roman"/>
          <w:sz w:val="24"/>
          <w:szCs w:val="24"/>
        </w:rPr>
      </w:pPr>
    </w:p>
    <w:p w14:paraId="7499F5D9">
      <w:pPr>
        <w:jc w:val="both"/>
        <w:rPr>
          <w:rFonts w:ascii="Times New Roman" w:hAnsi="Times New Roman" w:cs="Times New Roman"/>
          <w:b/>
          <w:bCs/>
          <w:sz w:val="24"/>
          <w:szCs w:val="24"/>
        </w:rPr>
      </w:pPr>
      <w:r>
        <w:rPr>
          <w:rFonts w:ascii="Times New Roman" w:hAnsi="Times New Roman" w:cs="Times New Roman"/>
          <w:b/>
          <w:bCs/>
          <w:sz w:val="24"/>
          <w:szCs w:val="24"/>
        </w:rPr>
        <w:t>5.4 ABA–Ethylene Interaction in Senescence and Stress-Induced Fruit Drop</w:t>
      </w:r>
    </w:p>
    <w:p w14:paraId="5179812A">
      <w:pPr>
        <w:jc w:val="both"/>
        <w:rPr>
          <w:rFonts w:ascii="Times New Roman" w:hAnsi="Times New Roman" w:cs="Times New Roman"/>
          <w:sz w:val="24"/>
          <w:szCs w:val="24"/>
        </w:rPr>
      </w:pPr>
    </w:p>
    <w:p w14:paraId="3D5D017F">
      <w:pPr>
        <w:jc w:val="both"/>
        <w:rPr>
          <w:rFonts w:ascii="Times New Roman" w:hAnsi="Times New Roman" w:cs="Times New Roman"/>
          <w:sz w:val="24"/>
          <w:szCs w:val="24"/>
        </w:rPr>
      </w:pPr>
      <w:r>
        <w:rPr>
          <w:rFonts w:ascii="Times New Roman" w:hAnsi="Times New Roman" w:cs="Times New Roman"/>
          <w:sz w:val="24"/>
          <w:szCs w:val="24"/>
        </w:rPr>
        <w:t>ABA and ethylene act synergistically to promote senescence and stress-induced fruit abscission in litchi. Under drought, heat or carbohydrate stress, ABA accumulates rapidly and enhances ethylene biosynthesis by inducing ACS and ACO expression (Addicott, 1982; Yuan and Huang, 2012). ABA also increases tissue sensitivity to ethylene by modulating ethylene receptor abundance and downstream signaling components, thereby accelerating senescence-associated processes such as chlorophyll degradation, membrane lipid peroxidation and cell wall disassembly (Vlot et al., 2009; Wang et al., 2017). The ABA/IAA ratio has been identified as a critical determinant of fruit retention versus shedding in litchi, with high ABA and low auxin levels favoring abscission (Yuan and Huang, 2012). Recent transcriptomic studies have demonstrated coordinated activation of ABA biosynthetic genes (NCEDs), ethylene signaling genes (ETRs, EIN2, ERFs) and abscission-related hydrolases during massive fruit drop, underscoring the integrative role of ABA–ethylene crosstalk in regulating fruit fate (Su et al., 2025).</w:t>
      </w:r>
    </w:p>
    <w:p w14:paraId="340F4BCA">
      <w:pPr>
        <w:jc w:val="both"/>
        <w:rPr>
          <w:rFonts w:ascii="Times New Roman" w:hAnsi="Times New Roman" w:cs="Times New Roman"/>
          <w:sz w:val="24"/>
          <w:szCs w:val="24"/>
        </w:rPr>
      </w:pPr>
    </w:p>
    <w:p w14:paraId="49DB5861">
      <w:pPr>
        <w:jc w:val="both"/>
        <w:rPr>
          <w:rFonts w:ascii="Times New Roman" w:hAnsi="Times New Roman" w:cs="Times New Roman"/>
          <w:b/>
          <w:bCs/>
          <w:sz w:val="24"/>
          <w:szCs w:val="24"/>
        </w:rPr>
      </w:pPr>
      <w:r>
        <w:rPr>
          <w:rFonts w:ascii="Times New Roman" w:hAnsi="Times New Roman" w:cs="Times New Roman"/>
          <w:b/>
          <w:bCs/>
          <w:sz w:val="24"/>
          <w:szCs w:val="24"/>
        </w:rPr>
        <w:t>5.5 Transcriptomic Evidence for Integrated Hormonal Regulation</w:t>
      </w:r>
    </w:p>
    <w:p w14:paraId="7EDA4C76">
      <w:pPr>
        <w:jc w:val="both"/>
        <w:rPr>
          <w:rFonts w:ascii="Times New Roman" w:hAnsi="Times New Roman" w:cs="Times New Roman"/>
          <w:sz w:val="24"/>
          <w:szCs w:val="24"/>
        </w:rPr>
      </w:pPr>
    </w:p>
    <w:p w14:paraId="17B45929">
      <w:pPr>
        <w:jc w:val="both"/>
        <w:rPr>
          <w:rFonts w:ascii="Times New Roman" w:hAnsi="Times New Roman" w:cs="Times New Roman"/>
          <w:sz w:val="24"/>
          <w:szCs w:val="24"/>
        </w:rPr>
      </w:pPr>
      <w:r>
        <w:rPr>
          <w:rFonts w:ascii="Times New Roman" w:hAnsi="Times New Roman" w:cs="Times New Roman"/>
          <w:sz w:val="24"/>
          <w:szCs w:val="24"/>
        </w:rPr>
        <w:t>High-throughput transcriptomic analyses have provided compelling evidence for integrated hormonal regulation during litchi fruit development. Comparative RNA-seq studies across developmental stages and abscission events have revealed stage-specific co-expression of hormone biosynthesis genes, receptors, transporters and transcription factors (Li et al., 2020; Su et al., 2025).</w:t>
      </w:r>
    </w:p>
    <w:p w14:paraId="7CCD2AF8">
      <w:pPr>
        <w:jc w:val="both"/>
        <w:rPr>
          <w:rFonts w:ascii="Times New Roman" w:hAnsi="Times New Roman" w:cs="Times New Roman"/>
          <w:sz w:val="24"/>
          <w:szCs w:val="24"/>
        </w:rPr>
      </w:pPr>
    </w:p>
    <w:p w14:paraId="65F66B52">
      <w:pPr>
        <w:jc w:val="both"/>
        <w:rPr>
          <w:rFonts w:ascii="Times New Roman" w:hAnsi="Times New Roman" w:cs="Times New Roman"/>
          <w:sz w:val="24"/>
          <w:szCs w:val="24"/>
        </w:rPr>
      </w:pPr>
      <w:r>
        <w:rPr>
          <w:rFonts w:ascii="Times New Roman" w:hAnsi="Times New Roman" w:cs="Times New Roman"/>
          <w:sz w:val="24"/>
          <w:szCs w:val="24"/>
        </w:rPr>
        <w:t>Key regulatory nodes include:</w:t>
      </w:r>
    </w:p>
    <w:p w14:paraId="3980131D">
      <w:pPr>
        <w:jc w:val="both"/>
        <w:rPr>
          <w:rFonts w:ascii="Times New Roman" w:hAnsi="Times New Roman" w:cs="Times New Roman"/>
          <w:sz w:val="24"/>
          <w:szCs w:val="24"/>
        </w:rPr>
      </w:pPr>
    </w:p>
    <w:p w14:paraId="016A0FB6">
      <w:pPr>
        <w:jc w:val="both"/>
        <w:rPr>
          <w:rFonts w:ascii="Times New Roman" w:hAnsi="Times New Roman" w:cs="Times New Roman"/>
          <w:sz w:val="24"/>
          <w:szCs w:val="24"/>
        </w:rPr>
      </w:pPr>
      <w:r>
        <w:rPr>
          <w:rFonts w:ascii="Times New Roman" w:hAnsi="Times New Roman" w:cs="Times New Roman"/>
          <w:sz w:val="24"/>
          <w:szCs w:val="24"/>
        </w:rPr>
        <w:t>Coordinated induction of auxin, GA and CK signaling genes during early fruit growth.</w:t>
      </w:r>
    </w:p>
    <w:p w14:paraId="5CE97A3A">
      <w:pPr>
        <w:jc w:val="both"/>
        <w:rPr>
          <w:rFonts w:ascii="Times New Roman" w:hAnsi="Times New Roman" w:cs="Times New Roman"/>
          <w:sz w:val="24"/>
          <w:szCs w:val="24"/>
        </w:rPr>
      </w:pPr>
    </w:p>
    <w:p w14:paraId="0402FD5C">
      <w:pPr>
        <w:jc w:val="both"/>
        <w:rPr>
          <w:rFonts w:ascii="Times New Roman" w:hAnsi="Times New Roman" w:cs="Times New Roman"/>
          <w:sz w:val="24"/>
          <w:szCs w:val="24"/>
        </w:rPr>
      </w:pPr>
      <w:r>
        <w:rPr>
          <w:rFonts w:ascii="Times New Roman" w:hAnsi="Times New Roman" w:cs="Times New Roman"/>
          <w:sz w:val="24"/>
          <w:szCs w:val="24"/>
        </w:rPr>
        <w:t>Activation of ABA biosynthesis and sugar signaling components at the onset of ripening.</w:t>
      </w:r>
    </w:p>
    <w:p w14:paraId="01BE5BC9">
      <w:pPr>
        <w:jc w:val="both"/>
        <w:rPr>
          <w:rFonts w:ascii="Times New Roman" w:hAnsi="Times New Roman" w:cs="Times New Roman"/>
          <w:sz w:val="24"/>
          <w:szCs w:val="24"/>
        </w:rPr>
      </w:pPr>
    </w:p>
    <w:p w14:paraId="7ED3EBAF">
      <w:pPr>
        <w:jc w:val="both"/>
        <w:rPr>
          <w:rFonts w:ascii="Times New Roman" w:hAnsi="Times New Roman" w:cs="Times New Roman"/>
          <w:sz w:val="24"/>
          <w:szCs w:val="24"/>
        </w:rPr>
      </w:pPr>
      <w:r>
        <w:rPr>
          <w:rFonts w:ascii="Times New Roman" w:hAnsi="Times New Roman" w:cs="Times New Roman"/>
          <w:sz w:val="24"/>
          <w:szCs w:val="24"/>
        </w:rPr>
        <w:t>Up-regulation of ethylene, jasmonate and ABA pathways during stress-induced abscission.</w:t>
      </w:r>
    </w:p>
    <w:p w14:paraId="2305853A">
      <w:pPr>
        <w:jc w:val="both"/>
        <w:rPr>
          <w:rFonts w:ascii="Times New Roman" w:hAnsi="Times New Roman" w:cs="Times New Roman"/>
          <w:sz w:val="24"/>
          <w:szCs w:val="24"/>
        </w:rPr>
      </w:pPr>
    </w:p>
    <w:p w14:paraId="25D4B4CC">
      <w:pPr>
        <w:jc w:val="both"/>
        <w:rPr>
          <w:rFonts w:ascii="Times New Roman" w:hAnsi="Times New Roman" w:cs="Times New Roman"/>
          <w:sz w:val="24"/>
          <w:szCs w:val="24"/>
        </w:rPr>
      </w:pPr>
      <w:r>
        <w:rPr>
          <w:rFonts w:ascii="Times New Roman" w:hAnsi="Times New Roman" w:cs="Times New Roman"/>
          <w:sz w:val="24"/>
          <w:szCs w:val="24"/>
        </w:rPr>
        <w:t>These findings indicate that litchi fruit development is governed by a multilayered hormonal network in which signal integration occurs at both transcriptional and post-transcriptional levels, enabling precise developmental timing and adaptive responses to environmental cues (Wang et al., 2017; Su et al., 2025).</w:t>
      </w:r>
    </w:p>
    <w:p w14:paraId="6C28CED2">
      <w:pPr>
        <w:pStyle w:val="2"/>
        <w:jc w:val="both"/>
        <w:rPr>
          <w:rFonts w:hint="default" w:ascii="Times New Roman" w:hAnsi="Times New Roman"/>
          <w:sz w:val="24"/>
          <w:szCs w:val="24"/>
        </w:rPr>
      </w:pPr>
      <w:r>
        <w:rPr>
          <w:rStyle w:val="11"/>
          <w:rFonts w:hint="default" w:ascii="Times New Roman" w:hAnsi="Times New Roman"/>
          <w:b/>
          <w:bCs/>
          <w:sz w:val="24"/>
          <w:szCs w:val="24"/>
        </w:rPr>
        <w:t>6. Practical Applications of Hormonal Regulation in Litchi Cultivation</w:t>
      </w:r>
    </w:p>
    <w:p w14:paraId="749350E3">
      <w:pPr>
        <w:pStyle w:val="10"/>
        <w:jc w:val="both"/>
      </w:pPr>
      <w:r>
        <w:t>The manipulation of endogenous hormone balance through the application of plant growth regulators (PGRs) constitutes an important component of modern litchi orchard management. Exogenous hormone treatments are widely employed to improve fruit set, reduce excessive fruit drop, enhance fruit size, promote uniform coloration and extend postharvest shelf life. However, the effectiveness of such treatments depends critically on cultivar, developmental stage, environmental conditions, dosage and timing of application (Menzel and Waite, 2005; Wang et al., 2017).</w:t>
      </w:r>
    </w:p>
    <w:p w14:paraId="52930562">
      <w:pPr>
        <w:pStyle w:val="3"/>
        <w:jc w:val="both"/>
        <w:rPr>
          <w:rFonts w:hint="default" w:ascii="Times New Roman" w:hAnsi="Times New Roman"/>
          <w:sz w:val="24"/>
          <w:szCs w:val="24"/>
        </w:rPr>
      </w:pPr>
      <w:r>
        <w:rPr>
          <w:rStyle w:val="11"/>
          <w:rFonts w:hint="default" w:ascii="Times New Roman" w:hAnsi="Times New Roman"/>
          <w:b/>
          <w:bCs/>
          <w:sz w:val="24"/>
          <w:szCs w:val="24"/>
        </w:rPr>
        <w:t>6.1 Auxin Analogues and Control of Fruit Drop</w:t>
      </w:r>
    </w:p>
    <w:p w14:paraId="6D42503F">
      <w:pPr>
        <w:pStyle w:val="10"/>
        <w:jc w:val="both"/>
      </w:pPr>
      <w:r>
        <w:t>Auxin not only regulates fruit set and development but also plays a key role in floral sex differentiation and fruit abscission through auxin response factors (ARFs). Its interaction with carbohydrate stress further influences fruitlet retention, highlighting a complex regulatory mechanism. Exogenous application of synthetic auxins such as NAA and 3,5,6-TPA has been shown to significantly reduce fruit drop and improve yield; however, excessive application may lead to adverse effects, emphasizing the importance of optimal hormonal balance</w:t>
      </w:r>
      <w:r>
        <w:rPr>
          <w:rFonts w:hint="default"/>
          <w:lang w:val="en-US"/>
        </w:rPr>
        <w:t xml:space="preserve"> (Singh et al., 2025)</w:t>
      </w:r>
      <w:r>
        <w:t>.</w:t>
      </w:r>
      <w:r>
        <w:rPr>
          <w:rFonts w:hint="default" w:ascii="SimSun" w:hAnsi="SimSun" w:cs="SimSun"/>
          <w:sz w:val="24"/>
          <w:szCs w:val="24"/>
          <w:lang w:val="en-US"/>
        </w:rPr>
        <w:t xml:space="preserve"> </w:t>
      </w:r>
      <w:r>
        <w:t>Synthetic auxins such as naphthalene acetic acid (NAA) and 2,4-dichlorophenoxyacetic acid (2,4-D) are commonly applied during early fruit development to suppress excessive fruit abscission. NAA sprays applied shortly after fruit set significantly reduce early fruitlet drop by maintaining auxin flux through the pedicel and decreasing the sensitivity of the abscission zone to ethylene (Yuan and Huang, 2012). Several field studies have demonstrated that NAA treatments increase final fruit retention and yield in commercial litchi orchards, particularly under carbohydrate-limited conditions (Menzel and Waite, 2005; Singh and Suryanarayana, 2010).</w:t>
      </w:r>
    </w:p>
    <w:p w14:paraId="240D8450">
      <w:pPr>
        <w:pStyle w:val="3"/>
        <w:jc w:val="both"/>
        <w:rPr>
          <w:rFonts w:hint="default" w:ascii="Times New Roman" w:hAnsi="Times New Roman"/>
          <w:sz w:val="24"/>
          <w:szCs w:val="24"/>
        </w:rPr>
      </w:pPr>
      <w:r>
        <w:rPr>
          <w:rStyle w:val="11"/>
          <w:rFonts w:hint="default" w:ascii="Times New Roman" w:hAnsi="Times New Roman"/>
          <w:b/>
          <w:bCs/>
          <w:sz w:val="24"/>
          <w:szCs w:val="24"/>
        </w:rPr>
        <w:t>6.2 Gibberellins and Fruit Enlargement</w:t>
      </w:r>
    </w:p>
    <w:p w14:paraId="3599BB9E">
      <w:pPr>
        <w:pStyle w:val="10"/>
        <w:jc w:val="both"/>
      </w:pPr>
      <w:r>
        <w:t>Gibberellins contribute to flowering induction, sex expression, and fruit set in litchi. Exogenous application of GA₃ has been shown to enhance fruit yield and quality; however, its effects are concentration-dependent, and excessive application may disrupt hormonal balance</w:t>
      </w:r>
      <w:r>
        <w:rPr>
          <w:rFonts w:hint="default"/>
          <w:lang w:val="en-US"/>
        </w:rPr>
        <w:t xml:space="preserve"> (Singh et al., 2025). </w:t>
      </w:r>
      <w:r>
        <w:t>Gibberellic acid (GA₃) is widely used to promote fruit enlargement and improve fruit shape. Application of GA₃ during the cell expansion phase enhances pericarp and aril growth by stimulating cell elongation and increasing sink strength (Davies, 2010; Wang et al., 2017). Moderate GA₃ treatments have been reported to increase fruit size and reduce fruit cracking in some cultivars. However, excessive or late applications may delay pericarp coloration, reduce soluble sugar accumulation and impair flavor development, indicating the necessity for precise dosage and timing optimization (Menzel and Waite, 2005; Singh et al., 2017).</w:t>
      </w:r>
    </w:p>
    <w:p w14:paraId="65BF6BF8">
      <w:pPr>
        <w:pStyle w:val="3"/>
        <w:jc w:val="both"/>
        <w:rPr>
          <w:rFonts w:hint="default" w:ascii="Times New Roman" w:hAnsi="Times New Roman"/>
          <w:sz w:val="24"/>
          <w:szCs w:val="24"/>
        </w:rPr>
      </w:pPr>
      <w:r>
        <w:rPr>
          <w:rStyle w:val="11"/>
          <w:rFonts w:hint="default" w:ascii="Times New Roman" w:hAnsi="Times New Roman"/>
          <w:b/>
          <w:bCs/>
          <w:sz w:val="24"/>
          <w:szCs w:val="24"/>
        </w:rPr>
        <w:t>6.3 Cytokinins and Improvement of Fruit Retention</w:t>
      </w:r>
    </w:p>
    <w:p w14:paraId="7B9E058C">
      <w:pPr>
        <w:pStyle w:val="10"/>
        <w:jc w:val="both"/>
      </w:pPr>
      <w:r>
        <w:t>Cytokinins play a crucial role in regulating fruit growth and size, with a higher cytokinin-to-ABA ratio being associated with enhanced fruit development. The application of synthetic cytokinins such as CPPU has been reported to delay ripening, increase fruit size, and extend storage life, demonstrating their potential in postharvest management</w:t>
      </w:r>
      <w:r>
        <w:rPr>
          <w:rFonts w:hint="default"/>
          <w:lang w:val="en-US"/>
        </w:rPr>
        <w:t xml:space="preserve"> (Singh et al., 2025).</w:t>
      </w:r>
      <w:r>
        <w:rPr>
          <w:rFonts w:hint="default" w:ascii="SimSun" w:hAnsi="SimSun" w:cs="SimSun"/>
          <w:sz w:val="24"/>
          <w:szCs w:val="24"/>
          <w:lang w:val="en-US"/>
        </w:rPr>
        <w:t xml:space="preserve"> </w:t>
      </w:r>
      <w:r>
        <w:t>Cytokinin analogues such as benzyladenine (BA) are used to enhance fruit retention and stimulate early fruit growth. BA treatments increase cell division activity, delay senescence and suppress ethylene biosynthesis, thereby reducing premature fruit drop (Menzel and Waite, 2005; Yuan and Huang, 2012). Field experiments have shown that BA application at the post-anthesis stage improves fruit set and increases average fruit weight. However, excessive CK application may lead to abnormal fruit shape and reduced uniformity, underscoring the importance of balanced hormonal management (Wang et al., 2017).</w:t>
      </w:r>
    </w:p>
    <w:p w14:paraId="7847C0BF">
      <w:pPr>
        <w:pStyle w:val="3"/>
        <w:jc w:val="both"/>
        <w:rPr>
          <w:rFonts w:hint="default" w:ascii="Times New Roman" w:hAnsi="Times New Roman"/>
          <w:sz w:val="24"/>
          <w:szCs w:val="24"/>
        </w:rPr>
      </w:pPr>
      <w:r>
        <w:rPr>
          <w:rStyle w:val="11"/>
          <w:rFonts w:hint="default" w:ascii="Times New Roman" w:hAnsi="Times New Roman"/>
          <w:b/>
          <w:bCs/>
          <w:sz w:val="24"/>
          <w:szCs w:val="24"/>
        </w:rPr>
        <w:t>6.4 Ethylene Inhibitors and Postharvest Quality</w:t>
      </w:r>
    </w:p>
    <w:p w14:paraId="73BA4702">
      <w:pPr>
        <w:pStyle w:val="10"/>
        <w:jc w:val="both"/>
      </w:pPr>
      <w:r>
        <w:t>Ethylene inhibitors, particularly 1-methylcyclopropene (1-MCP), are extensively used to delay senescence and reduce pericarp browning during storage and transport. 1-MCP binds irreversibly to ethylene receptors, blocking ethylene perception and delaying membrane degradation, chlorophyll loss and browning reactions (Blankenship and Dole, 2003). In litchi, postharvest 1-MCP treatment significantly extends shelf life, maintains pericarp color and reduces decay incidence under cold storage (Jiang et al., 2001; Sivakumar and Korsten, 2006).</w:t>
      </w:r>
    </w:p>
    <w:p w14:paraId="4C432005">
      <w:pPr>
        <w:pStyle w:val="3"/>
        <w:jc w:val="both"/>
        <w:rPr>
          <w:rFonts w:hint="default" w:ascii="Times New Roman" w:hAnsi="Times New Roman"/>
          <w:sz w:val="24"/>
          <w:szCs w:val="24"/>
        </w:rPr>
      </w:pPr>
      <w:r>
        <w:rPr>
          <w:rStyle w:val="11"/>
          <w:rFonts w:hint="default" w:ascii="Times New Roman" w:hAnsi="Times New Roman"/>
          <w:b/>
          <w:bCs/>
          <w:sz w:val="24"/>
          <w:szCs w:val="24"/>
        </w:rPr>
        <w:t>6.5 ABA and Enhancement of Color Development</w:t>
      </w:r>
    </w:p>
    <w:p w14:paraId="4630493E">
      <w:pPr>
        <w:pStyle w:val="10"/>
        <w:jc w:val="both"/>
      </w:pPr>
      <w:r>
        <w:t>Exogenous ABA applications during the onset of ripening enhance anthocyanin accumulation and accelerate pericarp coloration by inducing flavonoid biosynthetic genes (Jia et al., 2013; Wang et al., 2017). ABA sprays are particularly effective in promoting uniform red coloration in cultivars exhibiting delayed or uneven pigmentation. However, excessive ABA may accelerate senescence and increase susceptibility to postharvest browning, emphasizing the need for optimized treatment protocols (Li et al., 2020). Collectively, these practical applications demonstrate the considerable potential of hormone-based interventions in improving litchi productivity and fruit quality. Nevertheless, integrated management strategies combining hormonal treatments with proper nutrition, irrigation and canopy management are essential to achieve consistent and sustainable benefits.</w:t>
      </w:r>
    </w:p>
    <w:p w14:paraId="457698CE">
      <w:pPr>
        <w:pStyle w:val="2"/>
        <w:jc w:val="both"/>
        <w:rPr>
          <w:rFonts w:hint="default" w:ascii="Times New Roman" w:hAnsi="Times New Roman"/>
          <w:sz w:val="24"/>
          <w:szCs w:val="24"/>
        </w:rPr>
      </w:pPr>
      <w:r>
        <w:rPr>
          <w:rStyle w:val="11"/>
          <w:rFonts w:hint="default" w:ascii="Times New Roman" w:hAnsi="Times New Roman"/>
          <w:b/>
          <w:bCs/>
          <w:sz w:val="24"/>
          <w:szCs w:val="24"/>
        </w:rPr>
        <w:t>7. Future Perspectives</w:t>
      </w:r>
    </w:p>
    <w:p w14:paraId="71D0E309">
      <w:pPr>
        <w:pStyle w:val="10"/>
        <w:jc w:val="both"/>
      </w:pPr>
      <w:r>
        <w:t xml:space="preserve">Despite these findings, the mechanistic basis of seed-mediated hormonal regulation of fruit abscission remains poorly understood. In particular, the regulation of ABA/IAA balance and its interaction with ethylene signaling requires further investigation using integrative molecular approaches. </w:t>
      </w:r>
      <w:r>
        <w:rPr>
          <w:rFonts w:hint="default"/>
          <w:lang w:val="en-US"/>
        </w:rPr>
        <w:t>Also</w:t>
      </w:r>
      <w:r>
        <w:t xml:space="preserve"> </w:t>
      </w:r>
      <w:r>
        <w:rPr>
          <w:rFonts w:hint="default"/>
          <w:lang w:val="en-US"/>
        </w:rPr>
        <w:t>I</w:t>
      </w:r>
      <w:r>
        <w:t>ntegrate multi-omics approaches, including hormone profiling, transcriptomics, proteomics and metabolomics, to construct comprehensive regulatory networks governing fruit growth, abscission and ripening (Li et al., 2020; Su et al., 2025, Fig 1). Identification of key regulatory genes and transcription factors controlling hormone biosynthesis, transport and signaling will facilitate the development of hormone-efficient cultivars through molecular breeding and genome editing technologies. Such cultivars may exhibit enhanced fruit retention, improved stress tolerance and superior fruit quality (Wang et al., 2017, fig 1). In the context of global climate change, understanding the interactions between hormonal regulation and environmental stress factors such as heat, drought and altered photoperiod is increasingly important. Climate–hormone interaction studies will provide valuable insights into the mechanisms underlying climate-induced fruit drop and quality deterioration (Yuan and Huang, 2012; Su et al., 2025). Furthermore, the development of eco-friendly bioregulators derived from natural compounds, microbial metabolites or plant extracts represents a promising direction for sustainable litchi production. Such bioregulators may offer safer alternatives to synthetic hormones while maintaining efficacy and environmental compatibility (Davies, 2010; Singh et al., 2017).</w:t>
      </w:r>
    </w:p>
    <w:p w14:paraId="75A2C60E">
      <w:pPr>
        <w:pStyle w:val="10"/>
        <w:jc w:val="center"/>
      </w:pPr>
      <w:r>
        <w:rPr>
          <w:lang w:eastAsia="en-US"/>
        </w:rPr>
        <w:drawing>
          <wp:inline distT="0" distB="0" distL="114300" distR="114300">
            <wp:extent cx="4518660" cy="3460750"/>
            <wp:effectExtent l="0" t="0" r="762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rcRect l="7536" t="49397" r="6667" b="6800"/>
                    <a:stretch>
                      <a:fillRect/>
                    </a:stretch>
                  </pic:blipFill>
                  <pic:spPr>
                    <a:xfrm>
                      <a:off x="0" y="0"/>
                      <a:ext cx="4518660" cy="3460750"/>
                    </a:xfrm>
                    <a:prstGeom prst="rect">
                      <a:avLst/>
                    </a:prstGeom>
                    <a:noFill/>
                    <a:ln>
                      <a:noFill/>
                    </a:ln>
                  </pic:spPr>
                </pic:pic>
              </a:graphicData>
            </a:graphic>
          </wp:inline>
        </w:drawing>
      </w:r>
    </w:p>
    <w:p w14:paraId="0094F59C">
      <w:pPr>
        <w:pStyle w:val="10"/>
        <w:jc w:val="center"/>
        <w:rPr>
          <w:b/>
          <w:bCs/>
        </w:rPr>
      </w:pPr>
      <w:r>
        <w:rPr>
          <w:b/>
          <w:bCs/>
        </w:rPr>
        <w:t>Fig 1. Practical application and future directions.</w:t>
      </w:r>
    </w:p>
    <w:p w14:paraId="6D9F1226">
      <w:pPr>
        <w:pStyle w:val="2"/>
        <w:numPr>
          <w:ilvl w:val="0"/>
          <w:numId w:val="2"/>
        </w:numPr>
        <w:jc w:val="both"/>
        <w:rPr>
          <w:rStyle w:val="11"/>
          <w:rFonts w:hint="default" w:ascii="Times New Roman" w:hAnsi="Times New Roman"/>
          <w:b/>
          <w:bCs/>
          <w:sz w:val="24"/>
          <w:szCs w:val="24"/>
        </w:rPr>
      </w:pPr>
      <w:r>
        <w:rPr>
          <w:rStyle w:val="11"/>
          <w:rFonts w:hint="default" w:ascii="Times New Roman" w:hAnsi="Times New Roman"/>
          <w:b/>
          <w:bCs/>
          <w:sz w:val="24"/>
          <w:szCs w:val="24"/>
        </w:rPr>
        <w:t>Limitations</w:t>
      </w:r>
      <w:r>
        <w:rPr>
          <w:rStyle w:val="11"/>
          <w:rFonts w:hint="default" w:ascii="Times New Roman" w:hAnsi="Times New Roman"/>
          <w:b/>
          <w:bCs/>
          <w:sz w:val="24"/>
          <w:szCs w:val="24"/>
        </w:rPr>
        <w:br w:type="textWrapping"/>
      </w:r>
      <w:r>
        <w:rPr>
          <w:rStyle w:val="11"/>
          <w:rFonts w:hint="default" w:ascii="Times New Roman" w:hAnsi="Times New Roman"/>
          <w:b w:val="0"/>
          <w:bCs w:val="0"/>
          <w:sz w:val="24"/>
          <w:szCs w:val="24"/>
        </w:rPr>
        <w:t>This review is constrained by the availability and variability of published studies on litchi, particularly the limited number of field-based and multi-omics investigations. Differences in experimental conditions, cultivars, and methodologies across studies may influence the generalization of findings. Additionally, the absence of quantitative meta-analysis and limited functional validation of key regulatory mechanisms restrict a comprehensive understanding of hormonal interactions. Future research addressing these limitations will be essential for advancing both fundamental and applied aspects of litchi fruit biology</w:t>
      </w:r>
      <w:r>
        <w:rPr>
          <w:rStyle w:val="11"/>
          <w:rFonts w:hint="default" w:ascii="Times New Roman" w:hAnsi="Times New Roman"/>
          <w:b/>
          <w:bCs/>
          <w:sz w:val="24"/>
          <w:szCs w:val="24"/>
        </w:rPr>
        <w:t>.</w:t>
      </w:r>
    </w:p>
    <w:p w14:paraId="0A8829A8">
      <w:pPr>
        <w:pStyle w:val="2"/>
        <w:jc w:val="both"/>
        <w:rPr>
          <w:rFonts w:hint="default" w:ascii="Times New Roman" w:hAnsi="Times New Roman"/>
          <w:sz w:val="24"/>
          <w:szCs w:val="24"/>
        </w:rPr>
      </w:pPr>
      <w:r>
        <w:rPr>
          <w:rStyle w:val="11"/>
          <w:rFonts w:hint="default" w:ascii="Times New Roman" w:hAnsi="Times New Roman"/>
          <w:b/>
          <w:bCs/>
          <w:sz w:val="24"/>
          <w:szCs w:val="24"/>
          <w:lang w:val="en-US"/>
        </w:rPr>
        <w:t>9</w:t>
      </w:r>
      <w:r>
        <w:rPr>
          <w:rStyle w:val="11"/>
          <w:rFonts w:hint="default" w:ascii="Times New Roman" w:hAnsi="Times New Roman"/>
          <w:b/>
          <w:bCs/>
          <w:sz w:val="24"/>
          <w:szCs w:val="24"/>
        </w:rPr>
        <w:t>. Conclusion</w:t>
      </w:r>
    </w:p>
    <w:p w14:paraId="7E9B38E6">
      <w:pPr>
        <w:pStyle w:val="10"/>
        <w:jc w:val="both"/>
      </w:pPr>
      <w:r>
        <w:t>Litchi (Litchi chinensis Sonn.) fruit development is governed by a highly coordinated and dynamic network of phytohormonal interactions that regulate fruit set, growth, maturation, abscission, and postharvest physiology. Among these, ethylene and abscisic acid (ABA) play central yet functionally distinct roles: ethylene predominantly controls fruit abscission, senescence, and postharvest deterioration, whereas ABA serves as the primary regulator of ripening through its influence on anthocyanin biosynthesis, sugar accumulation, and pericarp coloration in this non-climacteric fruit. The integration of hormonal signals through crosstalk mechanisms—particularly auxin–ethylene antagonism, ABA–sugar synergy, and ABA–ethylene interaction—ensures precise developmental regulation and adaptive responses to environmental cues.</w:t>
      </w:r>
      <w:r>
        <w:rPr>
          <w:rFonts w:hint="default"/>
          <w:lang w:val="en-US"/>
        </w:rPr>
        <w:t xml:space="preserve"> </w:t>
      </w:r>
      <w:r>
        <w:t>Importantly, this review highlights that despite substantial progress, key limitations persist, including an incomplete understanding of hormone-mediated gene regulatory networks, insufficient characterization of spatiotemporal hormone dynamics, and a lack of integrative multi-omics studies linking hormonal signaling with metabolic and transcriptional changes. In addition, the roles of secondary hormones such as jasmonates, brassinosteroids, and salicylic acid remain inadequately explored under field and stress conditions, while postharvest hormonal regulation—particularly mechanisms underlying pericarp browning—requires deeper investigation.</w:t>
      </w:r>
      <w:r>
        <w:rPr>
          <w:rFonts w:hint="default"/>
          <w:lang w:val="en-US"/>
        </w:rPr>
        <w:t xml:space="preserve"> </w:t>
      </w:r>
      <w:r>
        <w:t>From an applied perspective, the use of plant growth regulators has shown considerable potential in improving fruit retention, enhancing fruit size and coloration, and extending shelf life; however, their effectiveness is often inconsistent due to limited knowledge of optimal timing, dosage, cultivar-specific responses, and environmental interactions. Addressing these challenges requires the development of standardized, evidence-based protocols tailored to diverse agro-climatic conditions.</w:t>
      </w:r>
      <w:r>
        <w:rPr>
          <w:rFonts w:hint="default"/>
          <w:lang w:val="en-US"/>
        </w:rPr>
        <w:t xml:space="preserve"> </w:t>
      </w:r>
      <w:r>
        <w:t>Future research should prioritize integrative multi-omics approaches, functional genomics, and precise hormone manipulation strategies to identify key regulatory genes and signaling networks. Furthermore, linking hormonal regulation with climate resilience will be critical for mitigating the impacts of temperature stress, water deficits, and other environmental constraints on fruit development and quality. Bridging the gap between laboratory findings and field-level applications will ultimately be essential for translating scientific knowledge into practical solutions.</w:t>
      </w:r>
      <w:r>
        <w:rPr>
          <w:rFonts w:hint="default"/>
          <w:lang w:val="en-US"/>
        </w:rPr>
        <w:t xml:space="preserve"> </w:t>
      </w:r>
      <w:r>
        <w:t>Overall, a deeper and more mechanistic understanding of hormonal crosstalk, combined with its targeted manipulation, will play a pivotal role in enhancing productivity, improving fruit quality, and ensuring sustainable and climate-resilient litchi cultivation.</w:t>
      </w:r>
    </w:p>
    <w:p w14:paraId="6BCD6FA7">
      <w:pPr>
        <w:pStyle w:val="10"/>
        <w:jc w:val="both"/>
      </w:pPr>
    </w:p>
    <w:p w14:paraId="24B2B5A0">
      <w:pPr>
        <w:pStyle w:val="10"/>
        <w:jc w:val="both"/>
      </w:pPr>
      <w:r>
        <w:t>.</w:t>
      </w:r>
    </w:p>
    <w:p w14:paraId="556FC1F6">
      <w:pPr>
        <w:tabs>
          <w:tab w:val="left" w:pos="2696"/>
        </w:tabs>
        <w:spacing w:after="200" w:line="276" w:lineRule="auto"/>
        <w:rPr>
          <w:rFonts w:ascii="Arial" w:hAnsi="Arial" w:eastAsia="Calibri" w:cs="Arial"/>
          <w:lang w:val="en-GB" w:eastAsia="en-US"/>
        </w:rPr>
      </w:pPr>
      <w:bookmarkStart w:id="0" w:name="_Hlk183685723"/>
    </w:p>
    <w:bookmarkEnd w:id="0"/>
    <w:p w14:paraId="3B70D3FB">
      <w:pPr>
        <w:keepNext/>
        <w:keepLines/>
        <w:spacing w:before="120" w:after="120" w:line="360" w:lineRule="auto"/>
        <w:jc w:val="both"/>
        <w:outlineLvl w:val="1"/>
        <w:rPr>
          <w:rFonts w:ascii="Times New Roman" w:hAnsi="Times New Roman" w:eastAsia="Times New Roman" w:cs="Times New Roman"/>
          <w:bCs/>
          <w:sz w:val="24"/>
          <w:szCs w:val="24"/>
          <w:highlight w:val="none"/>
          <w:lang w:val="en-GB" w:eastAsia="en-IN"/>
        </w:rPr>
      </w:pPr>
      <w:bookmarkStart w:id="1" w:name="_Hlk218867759"/>
      <w:r>
        <w:rPr>
          <w:rFonts w:ascii="Times New Roman" w:hAnsi="Times New Roman" w:eastAsia="Times New Roman" w:cs="Times New Roman"/>
          <w:bCs/>
          <w:sz w:val="24"/>
          <w:szCs w:val="24"/>
          <w:highlight w:val="none"/>
          <w:lang w:val="en-GB" w:eastAsia="en-IN"/>
        </w:rPr>
        <w:t>Disclaimer (Artificial intelligence)</w:t>
      </w:r>
    </w:p>
    <w:p w14:paraId="72812750">
      <w:pPr>
        <w:keepNext/>
        <w:keepLines/>
        <w:spacing w:before="120" w:after="120" w:line="360" w:lineRule="auto"/>
        <w:jc w:val="both"/>
        <w:outlineLvl w:val="1"/>
        <w:rPr>
          <w:rFonts w:ascii="Times New Roman" w:hAnsi="Times New Roman" w:eastAsia="Times New Roman" w:cs="Times New Roman"/>
          <w:bCs/>
          <w:sz w:val="24"/>
          <w:szCs w:val="24"/>
          <w:lang w:val="en-GB" w:eastAsia="en-IN"/>
        </w:rPr>
      </w:pPr>
      <w:r>
        <w:rPr>
          <w:rFonts w:ascii="Times New Roman" w:hAnsi="Times New Roman" w:eastAsia="Times New Roman" w:cs="Times New Roman"/>
          <w:bCs/>
          <w:sz w:val="24"/>
          <w:szCs w:val="24"/>
          <w:highlight w:val="none"/>
          <w:lang w:val="en-GB" w:eastAsia="en-IN"/>
        </w:rPr>
        <w:t xml:space="preserve">Author(s) hereby declare that NO generative AI technologies such as Large Language Models (ChatGPT, COPILOT, etc.) and text-to-image generators have been used during the writing or editing of this manuscript. </w:t>
      </w:r>
    </w:p>
    <w:bookmarkEnd w:id="1"/>
    <w:p w14:paraId="3DDAC495">
      <w:pPr>
        <w:pStyle w:val="10"/>
        <w:jc w:val="both"/>
        <w:rPr>
          <w:b/>
          <w:bCs/>
        </w:rPr>
      </w:pPr>
    </w:p>
    <w:p w14:paraId="76EE7950">
      <w:pPr>
        <w:pStyle w:val="10"/>
        <w:rPr>
          <w:b/>
          <w:bCs/>
        </w:rPr>
      </w:pPr>
      <w:r>
        <w:rPr>
          <w:b/>
          <w:bCs/>
        </w:rPr>
        <w:t>References</w:t>
      </w:r>
    </w:p>
    <w:p w14:paraId="35B0E920">
      <w:pPr>
        <w:pStyle w:val="10"/>
      </w:pPr>
      <w:r>
        <w:t xml:space="preserve">Addicott, Frederick T. 1982. </w:t>
      </w:r>
      <w:r>
        <w:rPr>
          <w:rStyle w:val="6"/>
        </w:rPr>
        <w:t>Abscission</w:t>
      </w:r>
      <w:r>
        <w:t>. Berkeley: University of California Press.</w:t>
      </w:r>
    </w:p>
    <w:p w14:paraId="5EEC3C3A">
      <w:pPr>
        <w:pStyle w:val="10"/>
      </w:pPr>
      <w:r>
        <w:t xml:space="preserve">Asghari, Marjan, and Mohammad S. Aghdam. 2010. “Impact of Salicylic Acid on Post-Harvest Physiology of Horticultural Crops.” </w:t>
      </w:r>
      <w:r>
        <w:rPr>
          <w:rStyle w:val="6"/>
        </w:rPr>
        <w:t>Trends in Food Science &amp; Technology</w:t>
      </w:r>
      <w:r>
        <w:t xml:space="preserve"> 21 (10): 502–509.</w:t>
      </w:r>
    </w:p>
    <w:p w14:paraId="27CF617A">
      <w:pPr>
        <w:pStyle w:val="10"/>
      </w:pPr>
      <w:r>
        <w:t xml:space="preserve">Blankenship, Scott M., and John M. Dole. 2003. “1-Methylcyclopropene: A Review.” </w:t>
      </w:r>
      <w:r>
        <w:rPr>
          <w:rStyle w:val="6"/>
        </w:rPr>
        <w:t>Postharvest Biology and Technology</w:t>
      </w:r>
      <w:r>
        <w:t xml:space="preserve"> 28 (1): 1–25.</w:t>
      </w:r>
    </w:p>
    <w:p w14:paraId="59DB4815">
      <w:pPr>
        <w:pStyle w:val="10"/>
      </w:pPr>
      <w:r>
        <w:t xml:space="preserve">Clouse, Steven D., and Jozef M. Sasse. 1998. “Brassinosteroids: Essential Regulators of Plant Growth and Development.” </w:t>
      </w:r>
      <w:r>
        <w:rPr>
          <w:rStyle w:val="6"/>
        </w:rPr>
        <w:t>Annual Review of Plant Biology</w:t>
      </w:r>
      <w:r>
        <w:t xml:space="preserve"> 49: 427–451.</w:t>
      </w:r>
    </w:p>
    <w:p w14:paraId="4C692166">
      <w:pPr>
        <w:pStyle w:val="10"/>
      </w:pPr>
      <w:r>
        <w:t xml:space="preserve">Cutler, Sean R., Pedro L. Rodriguez, Ruth R. Finkelstein, and Steven R. Abrams. 2010. “Abscisic Acid: Emergence of a Core Signaling Network.” </w:t>
      </w:r>
      <w:r>
        <w:rPr>
          <w:rStyle w:val="6"/>
        </w:rPr>
        <w:t>Annual Review of Plant Biology</w:t>
      </w:r>
      <w:r>
        <w:t xml:space="preserve"> 61: 651–679.</w:t>
      </w:r>
    </w:p>
    <w:p w14:paraId="783322BD">
      <w:pPr>
        <w:pStyle w:val="10"/>
      </w:pPr>
      <w:r>
        <w:t xml:space="preserve">Davies, Peter J., ed. 2010. </w:t>
      </w:r>
      <w:r>
        <w:rPr>
          <w:rStyle w:val="6"/>
        </w:rPr>
        <w:t>Plant Hormones: Biosynthesis, Signal Transduction, Action!</w:t>
      </w:r>
      <w:r>
        <w:t xml:space="preserve"> 3rd ed. Dordrecht: Springer.</w:t>
      </w:r>
    </w:p>
    <w:p w14:paraId="5CC8A0F3">
      <w:pPr>
        <w:pStyle w:val="10"/>
      </w:pPr>
      <w:r>
        <w:t xml:space="preserve">Jia, Huan, Xiaohong Wang, Jin Wang, Ting Liu, and Yuhua Wang. 2013. “Abscisic Acid Is Involved in the Regulation of Anthocyanin Biosynthesis in Litchi Fruit Pericarp.” </w:t>
      </w:r>
      <w:r>
        <w:rPr>
          <w:rStyle w:val="6"/>
        </w:rPr>
        <w:t>Plant Physiology and Biochemistry</w:t>
      </w:r>
      <w:r>
        <w:t xml:space="preserve"> 73: 273–281.</w:t>
      </w:r>
    </w:p>
    <w:p w14:paraId="17D36086">
      <w:pPr>
        <w:pStyle w:val="10"/>
      </w:pPr>
      <w:r>
        <w:t xml:space="preserve">Jiang, Yueming, Joyce Duan, Dongmei Joyce, and Y. Li. 2004. “Advances in Understanding of Enzymatic Browning in Litchi Fruit.” </w:t>
      </w:r>
      <w:r>
        <w:rPr>
          <w:rStyle w:val="6"/>
        </w:rPr>
        <w:t>Food Chemistry</w:t>
      </w:r>
      <w:r>
        <w:t xml:space="preserve"> 88 (3): 443–446.</w:t>
      </w:r>
    </w:p>
    <w:p w14:paraId="232AAAC8">
      <w:pPr>
        <w:pStyle w:val="10"/>
      </w:pPr>
      <w:r>
        <w:t xml:space="preserve">Jiang, Yueming, Joyce Duan, and Y. Li. 2001. “Postharvest Biology and Handling of Litchi Fruit: A Review.” </w:t>
      </w:r>
      <w:r>
        <w:rPr>
          <w:rStyle w:val="6"/>
        </w:rPr>
        <w:t>Postharvest Biology and Technology</w:t>
      </w:r>
      <w:r>
        <w:t xml:space="preserve"> 23 (1): 1–15.</w:t>
      </w:r>
    </w:p>
    <w:p w14:paraId="36E673AD">
      <w:pPr>
        <w:pStyle w:val="10"/>
      </w:pPr>
      <w:r>
        <w:t xml:space="preserve">Li, Xin, Qiang Zhang, Hui Zhang, and Yonghua Wang. 2020. “Transcriptomic Insights into Hormonal Regulation during Litchi Fruit Development and Abscission.” </w:t>
      </w:r>
      <w:r>
        <w:rPr>
          <w:rStyle w:val="6"/>
        </w:rPr>
        <w:t>BMC Plant Biology</w:t>
      </w:r>
      <w:r>
        <w:t xml:space="preserve"> 20: 1–15.</w:t>
      </w:r>
    </w:p>
    <w:p w14:paraId="41F09674">
      <w:pPr>
        <w:pStyle w:val="10"/>
      </w:pPr>
      <w:r>
        <w:t xml:space="preserve">Menzel, Christopher M., and G. K. Waite. 2005. </w:t>
      </w:r>
      <w:r>
        <w:rPr>
          <w:rStyle w:val="6"/>
        </w:rPr>
        <w:t>Litchi and Longan: Botany, Production and Uses</w:t>
      </w:r>
      <w:r>
        <w:t>. Wallingford: CAB International.</w:t>
      </w:r>
    </w:p>
    <w:p w14:paraId="45C8BB7A">
      <w:pPr>
        <w:pStyle w:val="10"/>
      </w:pPr>
      <w:r>
        <w:t xml:space="preserve">Nambara, Eiji, and Sean Marion-Poll. 2005. “Abscisic Acid Biosynthesis and Catabolism.” </w:t>
      </w:r>
      <w:r>
        <w:rPr>
          <w:rStyle w:val="6"/>
        </w:rPr>
        <w:t>Annual Review of Plant Biology</w:t>
      </w:r>
      <w:r>
        <w:t xml:space="preserve"> 56: 165–185.</w:t>
      </w:r>
    </w:p>
    <w:p w14:paraId="40CD2145">
      <w:pPr>
        <w:pStyle w:val="10"/>
      </w:pPr>
      <w:r>
        <w:t xml:space="preserve">Rathava, Hitesh, Rakesh Kumar, and Pankaj Kumar. 2023. “Hormonal Regulation of Fruit Drop under Abiotic Stress in Subtropical Fruit Crops.” </w:t>
      </w:r>
      <w:r>
        <w:rPr>
          <w:rStyle w:val="6"/>
        </w:rPr>
        <w:t>Scientia Horticulturae</w:t>
      </w:r>
      <w:r>
        <w:t xml:space="preserve"> 310: 111–120.</w:t>
      </w:r>
    </w:p>
    <w:p w14:paraId="188227C4">
      <w:pPr>
        <w:pStyle w:val="10"/>
      </w:pPr>
      <w:r>
        <w:t xml:space="preserve">Rolland, Fabrice, Baena-González Elena, and Jen Sheen. 2006. “Sugar Sensing and Signaling in Plants: Conserved and Novel Mechanisms.” </w:t>
      </w:r>
      <w:r>
        <w:rPr>
          <w:rStyle w:val="6"/>
        </w:rPr>
        <w:t>Annual Review of Plant Biology</w:t>
      </w:r>
      <w:r>
        <w:t xml:space="preserve"> 57: 675–709.</w:t>
      </w:r>
    </w:p>
    <w:p w14:paraId="543C398F">
      <w:pPr>
        <w:pStyle w:val="10"/>
      </w:pPr>
      <w:r>
        <w:t xml:space="preserve">Roitsch, Thomas, and Roland Ehneß. 2000. “Regulation of Source/Sink Relations by Cytokinins.” </w:t>
      </w:r>
      <w:r>
        <w:rPr>
          <w:rStyle w:val="6"/>
        </w:rPr>
        <w:t>Plant Growth Regulation</w:t>
      </w:r>
      <w:r>
        <w:t xml:space="preserve"> 32 (2–3): 359–367.</w:t>
      </w:r>
    </w:p>
    <w:p w14:paraId="2578F4FF">
      <w:pPr>
        <w:pStyle w:val="10"/>
      </w:pPr>
      <w:r>
        <w:t xml:space="preserve">Singh, Gurdeep, and M. A. Suryanarayana. 2010. “Effect of Plant Growth Regulators on Fruit Drop and Yield of Litchi.” </w:t>
      </w:r>
      <w:r>
        <w:rPr>
          <w:rStyle w:val="6"/>
        </w:rPr>
        <w:t>Indian Journal of Horticulture</w:t>
      </w:r>
      <w:r>
        <w:t xml:space="preserve"> 67 (2): 186–188.</w:t>
      </w:r>
    </w:p>
    <w:p w14:paraId="2C5BB082">
      <w:pPr>
        <w:pStyle w:val="10"/>
      </w:pPr>
      <w:r>
        <w:t xml:space="preserve">Singh, A. K., R. K. Singh, and S. K. Sharma. 2017. “Role of Plant Growth Regulators in Fruit Production: A Review.” </w:t>
      </w:r>
      <w:r>
        <w:rPr>
          <w:rStyle w:val="6"/>
        </w:rPr>
        <w:t>Agricultural Reviews</w:t>
      </w:r>
      <w:r>
        <w:t xml:space="preserve"> 38 (3): 203–210.</w:t>
      </w:r>
    </w:p>
    <w:p w14:paraId="5AA9E46B">
      <w:pPr>
        <w:rPr>
          <w:rFonts w:ascii="Times New Roman" w:hAnsi="Times New Roman" w:eastAsia="SimSun" w:cs="Times New Roman"/>
          <w:sz w:val="24"/>
          <w:szCs w:val="24"/>
          <w:lang w:val="en-US" w:eastAsia="zh-CN" w:bidi="ar-SA"/>
        </w:rPr>
      </w:pPr>
      <w:r>
        <w:rPr>
          <w:rFonts w:ascii="Times New Roman" w:hAnsi="Times New Roman" w:eastAsia="SimSun" w:cs="Times New Roman"/>
          <w:sz w:val="24"/>
          <w:szCs w:val="24"/>
          <w:lang w:val="en-US" w:eastAsia="zh-CN" w:bidi="ar-SA"/>
        </w:rPr>
        <w:t>Singh, U., Dhar, S., Rai, D., Rathava, R.I., Chettri, N., Bezbarua, D., Syngkon, S. and Saha, D.P., 2025. STRATEGIC USE OF PHYTOHORMONES TO BOOST LITCHI (LITCHI CHINENSIS SONN.) PRODUCTION AND FRUIT EXCELLENCE.</w:t>
      </w:r>
      <w:r>
        <w:rPr>
          <w:rFonts w:hint="default" w:ascii="Times New Roman" w:hAnsi="Times New Roman" w:eastAsia="SimSun" w:cs="Times New Roman"/>
          <w:sz w:val="24"/>
          <w:szCs w:val="24"/>
          <w:lang w:val="en-US" w:eastAsia="zh-CN" w:bidi="ar-SA"/>
        </w:rPr>
        <w:t> Plant Archives, 25(2), pp.911-920.</w:t>
      </w:r>
    </w:p>
    <w:p w14:paraId="548F24D8">
      <w:pPr>
        <w:pStyle w:val="10"/>
      </w:pPr>
      <w:bookmarkStart w:id="2" w:name="_GoBack"/>
      <w:bookmarkEnd w:id="2"/>
      <w:r>
        <w:t xml:space="preserve">Sivakumar, D., and L. Korsten. 2006. “Influence of Postharvest Treatments on Quality Retention of Litchi Fruit during Storage.” </w:t>
      </w:r>
      <w:r>
        <w:rPr>
          <w:rStyle w:val="6"/>
        </w:rPr>
        <w:t>Postharvest Biology and Technology</w:t>
      </w:r>
      <w:r>
        <w:t xml:space="preserve"> 41 (3): 329–338.</w:t>
      </w:r>
    </w:p>
    <w:p w14:paraId="12856676">
      <w:pPr>
        <w:pStyle w:val="10"/>
      </w:pPr>
      <w:r>
        <w:t xml:space="preserve">Sivakumar, D., L. Korsten, and M. Zeeman. 2005. “Postharvest Management on Quality Retention of Litchi during Storage.” </w:t>
      </w:r>
      <w:r>
        <w:rPr>
          <w:rStyle w:val="6"/>
        </w:rPr>
        <w:t>Crop Protection</w:t>
      </w:r>
      <w:r>
        <w:t xml:space="preserve"> 24 (12): 1093–1098.</w:t>
      </w:r>
    </w:p>
    <w:p w14:paraId="22B8773D">
      <w:pPr>
        <w:pStyle w:val="10"/>
      </w:pPr>
      <w:r>
        <w:t xml:space="preserve">Su, Li, Wenjing Zhao, Yifan Liu, and Yonghua Wang. 2025. “Integrated Transcriptomic and Hormonal Analysis Reveals Regulatory Networks in Litchi Fruit Abscission.” </w:t>
      </w:r>
      <w:r>
        <w:rPr>
          <w:rStyle w:val="6"/>
        </w:rPr>
        <w:t>Frontiers in Plant Science</w:t>
      </w:r>
      <w:r>
        <w:t xml:space="preserve"> 16: 145–160.</w:t>
      </w:r>
    </w:p>
    <w:p w14:paraId="19C325BF">
      <w:pPr>
        <w:pStyle w:val="10"/>
      </w:pPr>
      <w:r>
        <w:t xml:space="preserve">Sun, Li, Zhihong Zhang, and Yuhua Wang. 2010. “Regulation of Abscisic Acid Biosynthesis during Fruit Development.” </w:t>
      </w:r>
      <w:r>
        <w:rPr>
          <w:rStyle w:val="6"/>
        </w:rPr>
        <w:t>Plant Science</w:t>
      </w:r>
      <w:r>
        <w:t xml:space="preserve"> 179 (3): 213–218.</w:t>
      </w:r>
    </w:p>
    <w:p w14:paraId="6E8BC7E8">
      <w:pPr>
        <w:pStyle w:val="10"/>
      </w:pPr>
      <w:r>
        <w:t xml:space="preserve">Symons, Gordon M., James B. Reid, and J. J. Ross. 2006. “Brassinosteroids and Fruit Development.” </w:t>
      </w:r>
      <w:r>
        <w:rPr>
          <w:rStyle w:val="6"/>
        </w:rPr>
        <w:t>Journal of Plant Growth Regulation</w:t>
      </w:r>
      <w:r>
        <w:t xml:space="preserve"> 25 (4): 321–335.</w:t>
      </w:r>
    </w:p>
    <w:p w14:paraId="0380FFFA">
      <w:pPr>
        <w:pStyle w:val="10"/>
      </w:pPr>
      <w:r>
        <w:t xml:space="preserve">Taylor, John E., and Carol A. Whitelaw. 2001. “Signals in Abscission.” </w:t>
      </w:r>
      <w:r>
        <w:rPr>
          <w:rStyle w:val="6"/>
        </w:rPr>
        <w:t>New Phytologist</w:t>
      </w:r>
      <w:r>
        <w:t xml:space="preserve"> 151 (2): 323–339.</w:t>
      </w:r>
    </w:p>
    <w:p w14:paraId="06E8D47E">
      <w:pPr>
        <w:pStyle w:val="10"/>
      </w:pPr>
      <w:r>
        <w:t xml:space="preserve">Turner, John G., Christopher Ellis, and Alan Devoto. 2002. “The Jasmonate Signal Pathway.” </w:t>
      </w:r>
      <w:r>
        <w:rPr>
          <w:rStyle w:val="6"/>
        </w:rPr>
        <w:t>The Plant Cell</w:t>
      </w:r>
      <w:r>
        <w:t xml:space="preserve"> 14 (Suppl): S153–S164.</w:t>
      </w:r>
    </w:p>
    <w:p w14:paraId="2D2CA1DE">
      <w:pPr>
        <w:pStyle w:val="10"/>
      </w:pPr>
      <w:r>
        <w:t xml:space="preserve">Vlot, A. Corina, Dempsey D. A., and Daniel F. Klessig. 2009. “Salicylic Acid, a Multifaceted Hormone to Combat Disease.” </w:t>
      </w:r>
      <w:r>
        <w:rPr>
          <w:rStyle w:val="6"/>
        </w:rPr>
        <w:t>Annual Review of Phytopathology</w:t>
      </w:r>
      <w:r>
        <w:t xml:space="preserve"> 47: 177–206.</w:t>
      </w:r>
    </w:p>
    <w:p w14:paraId="244A8F0D">
      <w:pPr>
        <w:pStyle w:val="10"/>
      </w:pPr>
      <w:r>
        <w:t xml:space="preserve">Vriet, Celine, Eveline Russinova, and Dirk Inzé. 2012. “Boosting Crop Yields with Plant Steroids.” </w:t>
      </w:r>
      <w:r>
        <w:rPr>
          <w:rStyle w:val="6"/>
        </w:rPr>
        <w:t>The Plant Cell</w:t>
      </w:r>
      <w:r>
        <w:t xml:space="preserve"> 24 (3): 842–857.</w:t>
      </w:r>
    </w:p>
    <w:p w14:paraId="5B5EB18C">
      <w:pPr>
        <w:pStyle w:val="10"/>
      </w:pPr>
      <w:r>
        <w:t xml:space="preserve">Wang, Yonghua, Hui Zhang, Qiang Zhang, and Xin Li. 2017. “Hormonal Regulation and Molecular Mechanisms of Fruit Development and Ripening in Litchi.” </w:t>
      </w:r>
      <w:r>
        <w:rPr>
          <w:rStyle w:val="6"/>
        </w:rPr>
        <w:t>Plant Cell Reports</w:t>
      </w:r>
      <w:r>
        <w:t xml:space="preserve"> 36 (9): 1349–1362.</w:t>
      </w:r>
    </w:p>
    <w:p w14:paraId="218742F4">
      <w:pPr>
        <w:pStyle w:val="10"/>
      </w:pPr>
      <w:r>
        <w:t>Wang, J., Ma, W., Wang, F., He, Z., Ye, X., Deng, J., Zhao, M. and Li, J., 2024. Signaling pathways mediating the induction of preharvest fruit drop in litchi.</w:t>
      </w:r>
      <w:r>
        <w:rPr>
          <w:rFonts w:hint="default"/>
        </w:rPr>
        <w:t> Frontiers in Plant Science, 15, p.1474657.</w:t>
      </w:r>
    </w:p>
    <w:p w14:paraId="5ACE412B">
      <w:pPr>
        <w:pStyle w:val="10"/>
      </w:pPr>
      <w:r>
        <w:t xml:space="preserve">Yuan, Rongcai, and Huang Hualing. 2012. “Regulation of Fruit Abscission by Carbohydrate Supply and Hormones.” </w:t>
      </w:r>
      <w:r>
        <w:rPr>
          <w:rStyle w:val="6"/>
        </w:rPr>
        <w:t>Plant Growth Regulation</w:t>
      </w:r>
      <w:r>
        <w:t xml:space="preserve"> 66 (1): 49–60.</w:t>
      </w:r>
    </w:p>
    <w:p w14:paraId="35A6EB62">
      <w:pPr>
        <w:pStyle w:val="10"/>
      </w:pPr>
      <w:r>
        <w:t xml:space="preserve">Zhang, Zhiqiang, Yuhua Wang, and Xiaohong Wang. 2011. “Regulation of Anthocyanin Biosynthesis in Litchi Pericarp.” </w:t>
      </w:r>
      <w:r>
        <w:rPr>
          <w:rStyle w:val="6"/>
        </w:rPr>
        <w:t>Plant Physiology and Biochemistry</w:t>
      </w:r>
      <w:r>
        <w:t xml:space="preserve"> 49 (7): 760–765.</w:t>
      </w:r>
    </w:p>
    <w:p w14:paraId="5FA0E37E">
      <w:pPr>
        <w:pStyle w:val="10"/>
      </w:pPr>
      <w:r>
        <w:t>Zhang, Li, Qiang Zhang, and Yonghua Wang. 2016. “Effect of 1-MCP on Postharvest Quality and Browning of Litchi Fruit.” Scientia Horticulturae 202: 150–156.</w:t>
      </w:r>
    </w:p>
    <w:p w14:paraId="69EE2DCF"/>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BAE6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5233">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3DC27">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1A107">
    <w:pPr>
      <w:pStyle w:val="8"/>
    </w:pPr>
    <w:r>
      <w:pict>
        <v:shape id="PowerPlusWaterMarkObject25823252" o:spid="_x0000_s4098" o:spt="136" type="#_x0000_t136" style="position:absolute;left:0pt;height:92.45pt;width:493.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82ECF">
    <w:pPr>
      <w:pStyle w:val="8"/>
    </w:pPr>
    <w:r>
      <w:pict>
        <v:shape id="PowerPlusWaterMarkObject25823251" o:spid="_x0000_s4099" o:spt="136" type="#_x0000_t136" style="position:absolute;left:0pt;height:92.45pt;width:493.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87AA">
    <w:pPr>
      <w:pStyle w:val="8"/>
    </w:pPr>
    <w:r>
      <w:pict>
        <v:shape id="PowerPlusWaterMarkObject25823250" o:spid="_x0000_s4097" o:spt="136" type="#_x0000_t136" style="position:absolute;left:0pt;height:92.45pt;width:493.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B54CB"/>
    <w:multiLevelType w:val="singleLevel"/>
    <w:tmpl w:val="B3AB54CB"/>
    <w:lvl w:ilvl="0" w:tentative="0">
      <w:start w:val="1"/>
      <w:numFmt w:val="decimal"/>
      <w:suff w:val="space"/>
      <w:lvlText w:val="%1."/>
      <w:lvlJc w:val="left"/>
    </w:lvl>
  </w:abstractNum>
  <w:abstractNum w:abstractNumId="1">
    <w:nsid w:val="12F87465"/>
    <w:multiLevelType w:val="singleLevel"/>
    <w:tmpl w:val="12F87465"/>
    <w:lvl w:ilvl="0" w:tentative="0">
      <w:start w:val="8"/>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hdrShapeDefaults>
    <o:shapelayout v:ext="edit">
      <o:idmap v:ext="edit" data="3,4"/>
    </o:shapelayout>
  </w:hdrShapeDefault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99107C"/>
    <w:rsid w:val="00122BB2"/>
    <w:rsid w:val="002B2BCD"/>
    <w:rsid w:val="00352FB8"/>
    <w:rsid w:val="00501A8A"/>
    <w:rsid w:val="00922CD1"/>
    <w:rsid w:val="00A677B7"/>
    <w:rsid w:val="00C53992"/>
    <w:rsid w:val="247C2AEC"/>
    <w:rsid w:val="3631176F"/>
    <w:rsid w:val="3A824C35"/>
    <w:rsid w:val="4D94509D"/>
    <w:rsid w:val="538567E6"/>
    <w:rsid w:val="5699107C"/>
    <w:rsid w:val="69DE7274"/>
    <w:rsid w:val="7299168E"/>
    <w:rsid w:val="7ECD7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Autospacing="1" w:afterAutospacing="1"/>
      <w:outlineLvl w:val="1"/>
    </w:pPr>
    <w:rPr>
      <w:rFonts w:hint="eastAsia" w:ascii="SimSun" w:hAnsi="SimSun" w:eastAsia="SimSun" w:cs="Times New Roman"/>
      <w:b/>
      <w:bCs/>
      <w:sz w:val="36"/>
      <w:szCs w:val="36"/>
      <w:lang w:val="en-US" w:eastAsia="zh-CN" w:bidi="ar-SA"/>
    </w:rPr>
  </w:style>
  <w:style w:type="paragraph" w:styleId="3">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0"/>
    <w:rPr>
      <w:i/>
      <w:iCs/>
    </w:rPr>
  </w:style>
  <w:style w:type="paragraph" w:styleId="7">
    <w:name w:val="footer"/>
    <w:basedOn w:val="1"/>
    <w:qFormat/>
    <w:uiPriority w:val="0"/>
    <w:pPr>
      <w:tabs>
        <w:tab w:val="center" w:pos="4153"/>
        <w:tab w:val="right" w:pos="8306"/>
      </w:tabs>
      <w:snapToGrid w:val="0"/>
    </w:pPr>
    <w:rPr>
      <w:sz w:val="18"/>
      <w:szCs w:val="18"/>
    </w:rPr>
  </w:style>
  <w:style w:type="paragraph" w:styleId="8">
    <w:name w:val="header"/>
    <w:basedOn w:val="1"/>
    <w:qFormat/>
    <w:uiPriority w:val="0"/>
    <w:pPr>
      <w:tabs>
        <w:tab w:val="center" w:pos="4153"/>
        <w:tab w:val="right" w:pos="8306"/>
      </w:tabs>
      <w:snapToGrid w:val="0"/>
    </w:pPr>
    <w:rPr>
      <w:sz w:val="18"/>
      <w:szCs w:val="18"/>
    </w:rPr>
  </w:style>
  <w:style w:type="character" w:styleId="9">
    <w:name w:val="Hyperlink"/>
    <w:basedOn w:val="4"/>
    <w:qFormat/>
    <w:uiPriority w:val="0"/>
    <w:rPr>
      <w:color w:val="0000FF"/>
      <w:u w:val="single"/>
    </w:rPr>
  </w:style>
  <w:style w:type="paragraph" w:styleId="10">
    <w:name w:val="Normal (Web)"/>
    <w:uiPriority w:val="0"/>
    <w:pPr>
      <w:spacing w:beforeAutospacing="1" w:afterAutospacing="1"/>
    </w:pPr>
    <w:rPr>
      <w:rFonts w:ascii="Times New Roman" w:hAnsi="Times New Roman" w:eastAsia="SimSun" w:cs="Times New Roman"/>
      <w:sz w:val="24"/>
      <w:szCs w:val="24"/>
      <w:lang w:val="en-US" w:eastAsia="zh-CN" w:bidi="ar-SA"/>
    </w:rPr>
  </w:style>
  <w:style w:type="character" w:styleId="11">
    <w:name w:val="Strong"/>
    <w:basedOn w:val="4"/>
    <w:qFormat/>
    <w:uiPriority w:val="0"/>
    <w:rPr>
      <w:b/>
      <w:bCs/>
    </w:rPr>
  </w:style>
  <w:style w:type="character" w:customStyle="1" w:styleId="12">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7417</Words>
  <Characters>42277</Characters>
  <Lines>352</Lines>
  <Paragraphs>99</Paragraphs>
  <TotalTime>0</TotalTime>
  <ScaleCrop>false</ScaleCrop>
  <LinksUpToDate>false</LinksUpToDate>
  <CharactersWithSpaces>49595</CharactersWithSpaces>
  <Application>WPS Office_12.2.0.23197_F1E327BC-269C-435d-A152-05C5408002CA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2026-03-30T05:37:00Z</dcterms:created>
  <dc:creator>garima pathak</dc:creator>
  <cp:lastModifiedBy>garima pathak</cp:lastModifiedBy>
  <dcterms:modified xsi:type="dcterms:W3CDTF">2026-04-07T07:51:39Z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0087530E6D4D49618291FEC0BF287966_11</vt:lpwstr>
  </property>
</Properties>
</file>