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08DF6" w14:textId="7EE908CA" w:rsidR="005A0E49" w:rsidRPr="00677610" w:rsidRDefault="005A0E49" w:rsidP="005A0E49">
      <w:pPr>
        <w:pStyle w:val="Author"/>
        <w:spacing w:line="240" w:lineRule="auto"/>
        <w:ind w:left="709" w:right="4"/>
        <w:jc w:val="left"/>
        <w:rPr>
          <w:rFonts w:ascii="Arial" w:hAnsi="Arial" w:cs="Arial"/>
          <w:bCs/>
          <w:iCs/>
          <w:kern w:val="28"/>
          <w:sz w:val="28"/>
          <w:szCs w:val="16"/>
          <w:u w:val="single"/>
        </w:rPr>
      </w:pPr>
      <w:r w:rsidRPr="00677610">
        <w:rPr>
          <w:rFonts w:ascii="Arial" w:hAnsi="Arial" w:cs="Arial"/>
          <w:bCs/>
          <w:iCs/>
          <w:kern w:val="28"/>
          <w:sz w:val="28"/>
          <w:szCs w:val="16"/>
          <w:u w:val="single"/>
        </w:rPr>
        <w:t>Original Research Article</w:t>
      </w:r>
    </w:p>
    <w:p w14:paraId="7826AF8F" w14:textId="77777777" w:rsidR="005A0E49" w:rsidRPr="00677610" w:rsidRDefault="005A0E49" w:rsidP="005A0E49">
      <w:pPr>
        <w:pStyle w:val="Author"/>
        <w:spacing w:line="240" w:lineRule="auto"/>
        <w:ind w:left="709" w:right="4"/>
        <w:jc w:val="left"/>
        <w:rPr>
          <w:rFonts w:ascii="Arial" w:hAnsi="Arial" w:cs="Arial"/>
          <w:bCs/>
          <w:iCs/>
          <w:kern w:val="28"/>
          <w:sz w:val="28"/>
          <w:szCs w:val="16"/>
          <w:u w:val="single"/>
        </w:rPr>
      </w:pPr>
    </w:p>
    <w:p w14:paraId="72BA2EFA" w14:textId="32495FE4" w:rsidR="004000C2" w:rsidRPr="00677610" w:rsidRDefault="004000C2" w:rsidP="00094ECF">
      <w:pPr>
        <w:pStyle w:val="Author"/>
        <w:spacing w:line="240" w:lineRule="auto"/>
        <w:ind w:left="709" w:right="4"/>
        <w:rPr>
          <w:rFonts w:ascii="Arial" w:hAnsi="Arial" w:cs="Arial"/>
          <w:bCs/>
          <w:iCs/>
          <w:kern w:val="28"/>
          <w:sz w:val="36"/>
        </w:rPr>
      </w:pPr>
      <w:r w:rsidRPr="00677610">
        <w:rPr>
          <w:rFonts w:ascii="Arial" w:hAnsi="Arial" w:cs="Arial"/>
          <w:bCs/>
          <w:iCs/>
          <w:kern w:val="28"/>
          <w:sz w:val="36"/>
        </w:rPr>
        <w:t>Community Readiness under Smart Governance in a Capital-Relocation Megaproject: Structural Effects of ERG Motivation, Education,</w:t>
      </w:r>
      <w:r w:rsidR="00094ECF" w:rsidRPr="00677610">
        <w:rPr>
          <w:rFonts w:ascii="Arial" w:hAnsi="Arial" w:cs="Arial"/>
          <w:bCs/>
          <w:iCs/>
          <w:kern w:val="28"/>
          <w:sz w:val="36"/>
        </w:rPr>
        <w:t xml:space="preserve"> </w:t>
      </w:r>
      <w:r w:rsidRPr="00677610">
        <w:rPr>
          <w:rFonts w:ascii="Arial" w:hAnsi="Arial" w:cs="Arial"/>
          <w:bCs/>
          <w:iCs/>
          <w:kern w:val="28"/>
          <w:sz w:val="36"/>
        </w:rPr>
        <w:t>and Skills in IKN Nusantara</w:t>
      </w:r>
    </w:p>
    <w:p w14:paraId="1EE6386D" w14:textId="70CEFC6A" w:rsidR="004000C2" w:rsidRPr="00677610" w:rsidRDefault="004000C2" w:rsidP="00CD2290">
      <w:pPr>
        <w:pStyle w:val="Author"/>
        <w:spacing w:line="240" w:lineRule="auto"/>
        <w:ind w:left="-142" w:right="4"/>
        <w:rPr>
          <w:rFonts w:ascii="Arial" w:hAnsi="Arial" w:cs="Arial"/>
          <w:bCs/>
          <w:iCs/>
          <w:kern w:val="28"/>
          <w:sz w:val="36"/>
        </w:rPr>
      </w:pPr>
    </w:p>
    <w:p w14:paraId="21001CAB" w14:textId="77777777" w:rsidR="00CD2290" w:rsidRPr="00677610" w:rsidRDefault="00CD2290" w:rsidP="005C38BE">
      <w:pPr>
        <w:pStyle w:val="AbstHead"/>
        <w:spacing w:after="0"/>
        <w:jc w:val="both"/>
        <w:rPr>
          <w:rFonts w:ascii="Arial" w:hAnsi="Arial" w:cs="Arial"/>
        </w:rPr>
      </w:pPr>
    </w:p>
    <w:p w14:paraId="7A99A53D" w14:textId="7EB940E1" w:rsidR="005C38BE" w:rsidRPr="00677610" w:rsidRDefault="00316E99" w:rsidP="005C38BE">
      <w:pPr>
        <w:pStyle w:val="AbstHead"/>
        <w:spacing w:after="0"/>
        <w:jc w:val="both"/>
        <w:rPr>
          <w:rFonts w:ascii="Arial" w:hAnsi="Arial" w:cs="Arial"/>
        </w:rPr>
      </w:pPr>
      <w:r w:rsidRPr="00677610">
        <w:rPr>
          <w:rFonts w:ascii="Arial" w:hAnsi="Arial" w:cs="Arial"/>
          <w:caps w:val="0"/>
        </w:rPr>
        <w:t xml:space="preserve">Abstract </w:t>
      </w:r>
    </w:p>
    <w:p w14:paraId="73650D6B" w14:textId="77777777" w:rsidR="005C38BE" w:rsidRPr="00677610" w:rsidRDefault="005C38BE" w:rsidP="005C38BE">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5C38BE" w:rsidRPr="00677610" w14:paraId="2AA5F26C" w14:textId="77777777" w:rsidTr="00332F7F">
        <w:tc>
          <w:tcPr>
            <w:tcW w:w="9576" w:type="dxa"/>
            <w:shd w:val="clear" w:color="auto" w:fill="F2F2F2"/>
          </w:tcPr>
          <w:p w14:paraId="732237BE" w14:textId="77777777" w:rsidR="00E16B78" w:rsidRPr="00677610" w:rsidRDefault="00E16B78" w:rsidP="00E16B78">
            <w:pPr>
              <w:spacing w:after="0" w:line="240" w:lineRule="auto"/>
              <w:jc w:val="both"/>
              <w:rPr>
                <w:rFonts w:ascii="Arial" w:hAnsi="Arial" w:cs="Arial"/>
                <w:sz w:val="20"/>
                <w:szCs w:val="20"/>
                <w:lang w:val="id-ID" w:eastAsia="id-ID"/>
              </w:rPr>
            </w:pPr>
            <w:r w:rsidRPr="00677610">
              <w:rPr>
                <w:rFonts w:ascii="Arial" w:hAnsi="Arial" w:cs="Arial"/>
                <w:b/>
                <w:bCs/>
                <w:sz w:val="20"/>
                <w:szCs w:val="20"/>
                <w:lang w:val="id-ID" w:eastAsia="id-ID"/>
              </w:rPr>
              <w:t>Objective:</w:t>
            </w:r>
            <w:r w:rsidRPr="00677610">
              <w:rPr>
                <w:rFonts w:ascii="Arial" w:hAnsi="Arial" w:cs="Arial"/>
                <w:sz w:val="20"/>
                <w:szCs w:val="20"/>
                <w:lang w:val="id-ID" w:eastAsia="id-ID"/>
              </w:rPr>
              <w:t xml:space="preserve"> To examine the structural relationships between community motivation, community education, and community skills and their association with community readiness for utilizing IKN-related infrastructure in the host area of Indonesia’s new capital, Ibu Kota Nusantara (IKN). This study addresses an empirical gap by testing a motivation–capability model in the context of smart governance and digitally enabled public services.</w:t>
            </w:r>
          </w:p>
          <w:p w14:paraId="02C16FBC" w14:textId="77777777" w:rsidR="00E16B78" w:rsidRPr="00677610" w:rsidRDefault="00E16B78" w:rsidP="00E16B78">
            <w:pPr>
              <w:spacing w:after="0" w:line="240" w:lineRule="auto"/>
              <w:jc w:val="both"/>
              <w:rPr>
                <w:rFonts w:ascii="Arial" w:hAnsi="Arial" w:cs="Arial"/>
                <w:sz w:val="20"/>
                <w:szCs w:val="20"/>
                <w:lang w:val="id-ID" w:eastAsia="id-ID"/>
              </w:rPr>
            </w:pPr>
            <w:r w:rsidRPr="00677610">
              <w:rPr>
                <w:rFonts w:ascii="Arial" w:hAnsi="Arial" w:cs="Arial"/>
                <w:b/>
                <w:bCs/>
                <w:sz w:val="20"/>
                <w:szCs w:val="20"/>
                <w:lang w:val="id-ID" w:eastAsia="id-ID"/>
              </w:rPr>
              <w:t>Study Design:</w:t>
            </w:r>
            <w:r w:rsidRPr="00677610">
              <w:rPr>
                <w:rFonts w:ascii="Arial" w:hAnsi="Arial" w:cs="Arial"/>
                <w:sz w:val="20"/>
                <w:szCs w:val="20"/>
                <w:lang w:val="id-ID" w:eastAsia="id-ID"/>
              </w:rPr>
              <w:t xml:space="preserve"> A quantitative explanatory study with a cross-sectional survey design.</w:t>
            </w:r>
          </w:p>
          <w:p w14:paraId="51E82E93" w14:textId="77777777" w:rsidR="00E16B78" w:rsidRPr="00677610" w:rsidRDefault="00E16B78" w:rsidP="00E16B78">
            <w:pPr>
              <w:spacing w:after="0" w:line="240" w:lineRule="auto"/>
              <w:jc w:val="both"/>
              <w:rPr>
                <w:rFonts w:ascii="Arial" w:hAnsi="Arial" w:cs="Arial"/>
                <w:sz w:val="20"/>
                <w:szCs w:val="20"/>
                <w:lang w:val="id-ID" w:eastAsia="id-ID"/>
              </w:rPr>
            </w:pPr>
            <w:r w:rsidRPr="00677610">
              <w:rPr>
                <w:rFonts w:ascii="Arial" w:hAnsi="Arial" w:cs="Arial"/>
                <w:b/>
                <w:bCs/>
                <w:sz w:val="20"/>
                <w:szCs w:val="20"/>
                <w:lang w:val="id-ID" w:eastAsia="id-ID"/>
              </w:rPr>
              <w:t>Location and Duration:</w:t>
            </w:r>
            <w:r w:rsidRPr="00677610">
              <w:rPr>
                <w:rFonts w:ascii="Arial" w:hAnsi="Arial" w:cs="Arial"/>
                <w:sz w:val="20"/>
                <w:szCs w:val="20"/>
                <w:lang w:val="id-ID" w:eastAsia="id-ID"/>
              </w:rPr>
              <w:t xml:space="preserve"> The study was conducted in four IKN host subdistricts—Penajam, Sepaku, Babulu, and Waru, Indonesia. Data collection was carried out in 2025.</w:t>
            </w:r>
          </w:p>
          <w:p w14:paraId="534FAED8" w14:textId="77777777" w:rsidR="00E16B78" w:rsidRPr="00677610" w:rsidRDefault="00E16B78" w:rsidP="00E16B78">
            <w:pPr>
              <w:spacing w:after="0" w:line="240" w:lineRule="auto"/>
              <w:jc w:val="both"/>
              <w:rPr>
                <w:rFonts w:ascii="Arial" w:hAnsi="Arial" w:cs="Arial"/>
                <w:sz w:val="20"/>
                <w:szCs w:val="20"/>
                <w:lang w:val="id-ID" w:eastAsia="id-ID"/>
              </w:rPr>
            </w:pPr>
            <w:r w:rsidRPr="00677610">
              <w:rPr>
                <w:rFonts w:ascii="Arial" w:hAnsi="Arial" w:cs="Arial"/>
                <w:b/>
                <w:bCs/>
                <w:sz w:val="20"/>
                <w:szCs w:val="20"/>
                <w:lang w:val="id-ID" w:eastAsia="id-ID"/>
              </w:rPr>
              <w:t>Methodology:</w:t>
            </w:r>
            <w:r w:rsidRPr="00677610">
              <w:rPr>
                <w:rFonts w:ascii="Arial" w:hAnsi="Arial" w:cs="Arial"/>
                <w:sz w:val="20"/>
                <w:szCs w:val="20"/>
                <w:lang w:val="id-ID" w:eastAsia="id-ID"/>
              </w:rPr>
              <w:t xml:space="preserve"> The study involved 350 productive-age residents from the IKN host area. After Mahalanobis distance screening, 19 multivariate outliers were excluded, resulting in 331 valid cases for analysis. Community motivation was conceptualized through existence, relatedness, and growth dimensions; community education included formal and non-formal education; and community skills covered literacy, technical, and problem-solving skills. The data were analyzed using covariance-based structural equation modeling (CB-SEM) with AMOS under maximum likelihood estimation.</w:t>
            </w:r>
          </w:p>
          <w:p w14:paraId="1453EE9F" w14:textId="76557E29" w:rsidR="005C1480" w:rsidRPr="00D15965" w:rsidRDefault="005C1480" w:rsidP="00E16B78">
            <w:pPr>
              <w:spacing w:after="0" w:line="240" w:lineRule="auto"/>
              <w:jc w:val="both"/>
              <w:rPr>
                <w:rFonts w:ascii="Arial" w:hAnsi="Arial" w:cs="Arial"/>
                <w:sz w:val="20"/>
                <w:szCs w:val="20"/>
                <w:highlight w:val="cyan"/>
                <w:lang w:val="id-ID" w:eastAsia="id-ID"/>
              </w:rPr>
            </w:pPr>
            <w:r w:rsidRPr="00D15965">
              <w:rPr>
                <w:rFonts w:ascii="Arial" w:hAnsi="Arial" w:cs="Arial"/>
                <w:b/>
                <w:bCs/>
                <w:sz w:val="20"/>
                <w:szCs w:val="20"/>
                <w:highlight w:val="cyan"/>
                <w:lang w:val="id-ID" w:eastAsia="id-ID"/>
              </w:rPr>
              <w:t>Results:</w:t>
            </w:r>
            <w:r w:rsidRPr="00D15965">
              <w:rPr>
                <w:rFonts w:ascii="Arial" w:hAnsi="Arial" w:cs="Arial"/>
                <w:sz w:val="20"/>
                <w:szCs w:val="20"/>
                <w:highlight w:val="cyan"/>
                <w:lang w:val="id-ID" w:eastAsia="id-ID"/>
              </w:rPr>
              <w:t xml:space="preserve"> The structural model explained 37.0% of the variance in community readiness for infrastructure utilization (R² = 0.370). Community skills showed the strongest standardized association with readiness (β = 0.310), followed by community motivation (β = 0.237) and community education (β = 0.225). All structural paths were positive and statistically significant (p &lt; 0.05). Among the readiness dimensions, problem understanding emerged as the weakest component, suggesting that infrastructure availability alone does not automatically ensure effective community use.</w:t>
            </w:r>
          </w:p>
          <w:p w14:paraId="668B5F26" w14:textId="42A5055B" w:rsidR="006C17ED" w:rsidRPr="00677610" w:rsidRDefault="006C17ED" w:rsidP="00E16B78">
            <w:pPr>
              <w:spacing w:after="0" w:line="240" w:lineRule="auto"/>
              <w:jc w:val="both"/>
              <w:rPr>
                <w:rFonts w:ascii="Arial" w:hAnsi="Arial" w:cs="Arial"/>
                <w:sz w:val="20"/>
                <w:szCs w:val="20"/>
                <w:lang w:val="id-ID" w:eastAsia="id-ID"/>
              </w:rPr>
            </w:pPr>
            <w:r w:rsidRPr="00D15965">
              <w:rPr>
                <w:rFonts w:ascii="Arial" w:hAnsi="Arial" w:cs="Arial"/>
                <w:b/>
                <w:bCs/>
                <w:sz w:val="20"/>
                <w:szCs w:val="20"/>
                <w:highlight w:val="cyan"/>
                <w:lang w:val="id-ID" w:eastAsia="id-ID"/>
              </w:rPr>
              <w:t>Conclusion:</w:t>
            </w:r>
            <w:r w:rsidRPr="00D15965">
              <w:rPr>
                <w:rFonts w:ascii="Arial" w:hAnsi="Arial" w:cs="Arial"/>
                <w:sz w:val="20"/>
                <w:szCs w:val="20"/>
                <w:highlight w:val="cyan"/>
                <w:lang w:val="id-ID" w:eastAsia="id-ID"/>
              </w:rPr>
              <w:t xml:space="preserve"> Community readiness to use IKN-related infrastructure is positively associated with community skills, motivation, and education, with community skills demonstrating the strongest standardized association. These findings suggest that inclusive infrastructure utilization in the IKN host area requires not only physical provision but also targeted interventions that strengthen practical skills, support motivational alignment, and expand educational resources for navigating institutional and digital transformation.</w:t>
            </w:r>
          </w:p>
          <w:p w14:paraId="45500A3F" w14:textId="3A7344C6" w:rsidR="005C38BE" w:rsidRPr="00677610" w:rsidRDefault="005C38BE" w:rsidP="00E16B78">
            <w:pPr>
              <w:pStyle w:val="Body"/>
              <w:spacing w:after="0"/>
              <w:rPr>
                <w:rFonts w:ascii="Arial" w:hAnsi="Arial" w:cs="Arial"/>
                <w:lang w:eastAsia="id-ID"/>
              </w:rPr>
            </w:pPr>
          </w:p>
        </w:tc>
      </w:tr>
    </w:tbl>
    <w:p w14:paraId="3B51E36A" w14:textId="77777777" w:rsidR="005C38BE" w:rsidRPr="00677610" w:rsidRDefault="005C38BE" w:rsidP="005C38BE">
      <w:pPr>
        <w:pStyle w:val="Body"/>
        <w:spacing w:after="0"/>
        <w:rPr>
          <w:rFonts w:ascii="Arial" w:hAnsi="Arial" w:cs="Arial"/>
          <w:i/>
        </w:rPr>
      </w:pPr>
    </w:p>
    <w:p w14:paraId="13B0EB7D" w14:textId="77777777" w:rsidR="00E16B78" w:rsidRPr="00677610" w:rsidRDefault="005C38BE" w:rsidP="00E16B78">
      <w:pPr>
        <w:pStyle w:val="NormalWeb"/>
        <w:spacing w:before="0" w:beforeAutospacing="0" w:after="0" w:afterAutospacing="0"/>
        <w:jc w:val="both"/>
        <w:rPr>
          <w:rFonts w:ascii="Arial" w:hAnsi="Arial" w:cs="Arial"/>
          <w:i/>
          <w:sz w:val="20"/>
          <w:szCs w:val="20"/>
          <w:lang w:val="en-US" w:eastAsia="en-US"/>
        </w:rPr>
      </w:pPr>
      <w:r w:rsidRPr="00677610">
        <w:rPr>
          <w:rFonts w:ascii="Arial" w:hAnsi="Arial" w:cs="Arial"/>
          <w:i/>
          <w:sz w:val="20"/>
          <w:szCs w:val="20"/>
          <w:lang w:val="en-US" w:eastAsia="en-US"/>
        </w:rPr>
        <w:t>Keywords:</w:t>
      </w:r>
    </w:p>
    <w:p w14:paraId="30DBE288" w14:textId="62BA622F" w:rsidR="00E16B78" w:rsidRPr="00677610" w:rsidRDefault="00E16B78" w:rsidP="00E16B78">
      <w:pPr>
        <w:pStyle w:val="NormalWeb"/>
        <w:spacing w:before="0" w:beforeAutospacing="0" w:after="0" w:afterAutospacing="0"/>
        <w:jc w:val="both"/>
        <w:rPr>
          <w:rFonts w:ascii="Arial" w:hAnsi="Arial" w:cs="Arial"/>
          <w:i/>
          <w:iCs/>
          <w:sz w:val="20"/>
          <w:szCs w:val="20"/>
        </w:rPr>
      </w:pPr>
      <w:r w:rsidRPr="00677610">
        <w:rPr>
          <w:rFonts w:ascii="Arial" w:hAnsi="Arial" w:cs="Arial"/>
          <w:i/>
          <w:iCs/>
          <w:sz w:val="20"/>
          <w:szCs w:val="20"/>
        </w:rPr>
        <w:t>IKN Nusantara; community readiness; ERG motivation; community education; community skills; inclusive infrastructure utilization; CB-SEM</w:t>
      </w:r>
    </w:p>
    <w:p w14:paraId="4F8E2C9A" w14:textId="7E8E3F83" w:rsidR="005C38BE" w:rsidRPr="00677610" w:rsidRDefault="005C38BE" w:rsidP="00407129">
      <w:pPr>
        <w:pStyle w:val="NormalWeb"/>
        <w:spacing w:before="0" w:beforeAutospacing="0" w:after="0" w:afterAutospacing="0"/>
        <w:ind w:left="992" w:hanging="992"/>
        <w:rPr>
          <w:rFonts w:ascii="Arial" w:hAnsi="Arial" w:cs="Arial"/>
          <w:sz w:val="20"/>
          <w:szCs w:val="20"/>
        </w:rPr>
      </w:pPr>
    </w:p>
    <w:p w14:paraId="147A1887" w14:textId="1A4090E7" w:rsidR="005C38BE" w:rsidRPr="00677610" w:rsidRDefault="00E16B78" w:rsidP="00EB6BA0">
      <w:pPr>
        <w:pStyle w:val="AbstHead"/>
        <w:numPr>
          <w:ilvl w:val="0"/>
          <w:numId w:val="6"/>
        </w:numPr>
        <w:spacing w:before="120" w:after="120"/>
        <w:ind w:left="357" w:hanging="357"/>
        <w:jc w:val="both"/>
        <w:rPr>
          <w:rFonts w:ascii="Arial" w:hAnsi="Arial" w:cs="Arial"/>
        </w:rPr>
      </w:pPr>
      <w:r w:rsidRPr="00677610">
        <w:rPr>
          <w:rFonts w:ascii="Arial" w:hAnsi="Arial" w:cs="Arial"/>
          <w:caps w:val="0"/>
        </w:rPr>
        <w:t>Introduction</w:t>
      </w:r>
    </w:p>
    <w:p w14:paraId="5B0AF510" w14:textId="58844F82" w:rsidR="00E16B78" w:rsidRPr="00677610" w:rsidRDefault="00E16B78" w:rsidP="00E16B78">
      <w:pPr>
        <w:pStyle w:val="NormalWeb"/>
        <w:spacing w:before="0" w:beforeAutospacing="0" w:after="0" w:afterAutospacing="0"/>
        <w:ind w:firstLine="720"/>
        <w:jc w:val="both"/>
        <w:rPr>
          <w:rFonts w:ascii="Arial" w:hAnsi="Arial" w:cs="Arial"/>
          <w:sz w:val="20"/>
          <w:szCs w:val="20"/>
          <w:lang w:val="en-US"/>
        </w:rPr>
      </w:pPr>
      <w:r w:rsidRPr="00677610">
        <w:rPr>
          <w:rFonts w:ascii="Arial" w:hAnsi="Arial" w:cs="Arial"/>
          <w:sz w:val="20"/>
          <w:szCs w:val="20"/>
        </w:rPr>
        <w:t xml:space="preserve">Indonesia's choice to transfer its capital to Ibu Kota Nusantara (IKN) is a state-sponsored megaproject that integrates territorial reconfiguration, infrastructure development, and a distinct "smart/green city" framework. Recent scholarship warns that megaprojects in capital cities often prioritize legacy creation and institutional consolidation over their declared efficiency or sustainability goals, potentially resulting in uneven development unless local governance structures and community involvement are actively enhanced </w:t>
      </w:r>
      <w:r w:rsidRPr="00677610">
        <w:rPr>
          <w:rFonts w:ascii="Arial" w:hAnsi="Arial" w:cs="Arial"/>
          <w:sz w:val="20"/>
          <w:szCs w:val="20"/>
        </w:rPr>
        <w:fldChar w:fldCharType="begin" w:fldLock="1"/>
      </w:r>
      <w:r w:rsidR="00A72F9C" w:rsidRPr="00677610">
        <w:rPr>
          <w:rFonts w:ascii="Arial" w:hAnsi="Arial" w:cs="Arial"/>
          <w:sz w:val="20"/>
          <w:szCs w:val="20"/>
        </w:rPr>
        <w:instrText>ADDIN CSL_CITATION {"citationItems":[{"id":"ITEM-1","itemData":{"DOI":"10.1016/j.habitatint.2023.102933","ISSN":"01973975","author":[{"dropping-particle":"","family":"Hudalah","given":"Delik","non-dropping-particle":"","parse-names":false,"suffix":""}],"container-title":"Habitat International","id":"ITEM-1","issued":{"date-parts":[["2023","11"]]},"page":"102933","title":"Building a capital city, carving out a megaproject legacy?","type":"article-journal","volume":"141"},"uris":["http://www.mendeley.com/documents/?uuid=76425e84-80ae-4db3-9824-6ff250376267"]}],"mendeley":{"formattedCitation":"(Hudalah 2023)","plainTextFormattedCitation":"(Hudalah 2023)","previouslyFormattedCitation":"(Hudalah 2023)"},"properties":{"noteIndex":0},"schema":"https://github.com/citation-style-language/schema/raw/master/csl-citation.json"}</w:instrText>
      </w:r>
      <w:r w:rsidRPr="00677610">
        <w:rPr>
          <w:rFonts w:ascii="Arial" w:hAnsi="Arial" w:cs="Arial"/>
          <w:sz w:val="20"/>
          <w:szCs w:val="20"/>
        </w:rPr>
        <w:fldChar w:fldCharType="separate"/>
      </w:r>
      <w:r w:rsidR="00A72F9C" w:rsidRPr="00677610">
        <w:rPr>
          <w:rFonts w:ascii="Arial" w:hAnsi="Arial" w:cs="Arial"/>
          <w:noProof/>
          <w:sz w:val="20"/>
          <w:szCs w:val="20"/>
        </w:rPr>
        <w:t>(Hudalah 2023)</w:t>
      </w:r>
      <w:r w:rsidRPr="00677610">
        <w:rPr>
          <w:rFonts w:ascii="Arial" w:hAnsi="Arial" w:cs="Arial"/>
          <w:sz w:val="20"/>
          <w:szCs w:val="20"/>
        </w:rPr>
        <w:fldChar w:fldCharType="end"/>
      </w:r>
      <w:r w:rsidRPr="00677610">
        <w:rPr>
          <w:rFonts w:ascii="Arial" w:hAnsi="Arial" w:cs="Arial"/>
          <w:sz w:val="20"/>
          <w:szCs w:val="20"/>
          <w:lang w:val="en-US"/>
        </w:rPr>
        <w:t>.</w:t>
      </w:r>
    </w:p>
    <w:p w14:paraId="4E6848E5" w14:textId="17132F26" w:rsidR="00E16B78" w:rsidRPr="00677610" w:rsidRDefault="00E16B78" w:rsidP="00E16B78">
      <w:pPr>
        <w:pStyle w:val="NormalWeb"/>
        <w:spacing w:before="0" w:beforeAutospacing="0" w:after="0" w:afterAutospacing="0"/>
        <w:ind w:firstLine="720"/>
        <w:jc w:val="both"/>
        <w:rPr>
          <w:rFonts w:ascii="Arial" w:hAnsi="Arial" w:cs="Arial"/>
          <w:sz w:val="20"/>
          <w:szCs w:val="20"/>
        </w:rPr>
      </w:pPr>
      <w:r w:rsidRPr="00677610">
        <w:rPr>
          <w:rFonts w:ascii="Arial" w:hAnsi="Arial" w:cs="Arial"/>
          <w:sz w:val="20"/>
          <w:szCs w:val="20"/>
        </w:rPr>
        <w:lastRenderedPageBreak/>
        <w:t>Evidence inside the IKN corridor suggests that material transformation is generating social-ecological pressures that directly impact local inhabitants' ability to benefit from new infrastructure. Spatial-conflict study of land-use change in the IKN zone demonstrates fast conversion from natural vegetation and agriculture toward built-up infrastructure, accompanied by multi-dimensional conflict risks harming biodiversity, food security, and rural/Indigenous livelihoods</w:t>
      </w:r>
      <w:r w:rsidRPr="00677610">
        <w:rPr>
          <w:rFonts w:ascii="Arial" w:hAnsi="Arial" w:cs="Arial"/>
          <w:sz w:val="20"/>
          <w:szCs w:val="20"/>
          <w:lang w:val="en-US"/>
        </w:rPr>
        <w:t xml:space="preserve"> </w:t>
      </w:r>
      <w:r w:rsidRPr="00677610">
        <w:rPr>
          <w:rFonts w:ascii="Arial" w:hAnsi="Arial" w:cs="Arial"/>
          <w:sz w:val="20"/>
          <w:szCs w:val="20"/>
        </w:rPr>
        <w:fldChar w:fldCharType="begin" w:fldLock="1"/>
      </w:r>
      <w:r w:rsidR="00A72F9C" w:rsidRPr="00677610">
        <w:rPr>
          <w:rFonts w:ascii="Arial" w:hAnsi="Arial" w:cs="Arial"/>
          <w:sz w:val="20"/>
          <w:szCs w:val="20"/>
        </w:rPr>
        <w:instrText>ADDIN CSL_CITATION {"citationItems":[{"id":"ITEM-1","itemData":{"DOI":"10.3390/land13050606","ISSN":"2073-445X","abstract":"The relocation of Indonesia’s capital to the IKN (Ibu Kota Negara) Nusantara in East Kalimantan is leading to significant changes in land use, shifting from natural vegetation and agriculture to urban infrastructure. This transition brings about economic diversification and urban expansion, but it also raises concerns about its impact on society, the economy, and the environment. The rapid development affects biodiversity conservation, food security, and the livelihoods of rural and Indigenous communities, leading to conflicts across social and economic dimensions. This research uses qualitative and quantitative data to examine the socio-economic and environmental changes in the IKN Nusantara area from 2003 to 2023. The findings show a notable increase in built-up areas, indicating urbanization and a decrease in agricultural land. The study discusses the implications for local populations and ecosystems, emphasizing the need for inclusive governance, community participation, and conflict resolution. It also proposes a comprehensive policy framework that promotes sustainable land management, recognizes Indigenous and local rights, and fosters inclusive economic growth to respect Indonesia’s rich environmental and cultural heritage.","author":[{"dropping-particle":"","family":"Syaban","given":"Alfath Satria Negara","non-dropping-particle":"","parse-names":false,"suffix":""},{"dropping-particle":"","family":"Appiah-Opoku","given":"Seth","non-dropping-particle":"","parse-names":false,"suffix":""}],"container-title":"Land","id":"ITEM-1","issue":"5","issued":{"date-parts":[["2024","4","30"]]},"page":"606","title":"Unveiling the Complexities of Land Use Transition in Indonesia’s New Capital City IKN Nusantara: A Multidimensional Conflict Analysis","type":"article-journal","volume":"13"},"uris":["http://www.mendeley.com/documents/?uuid=a62534fc-49a3-497c-86b6-cda6268c5efc"]}],"mendeley":{"formattedCitation":"(Syaban and Appiah-Opoku 2024)","plainTextFormattedCitation":"(Syaban and Appiah-Opoku 2024)","previouslyFormattedCitation":"(Syaban and Appiah-Opoku 2024)"},"properties":{"noteIndex":0},"schema":"https://github.com/citation-style-language/schema/raw/master/csl-citation.json"}</w:instrText>
      </w:r>
      <w:r w:rsidRPr="00677610">
        <w:rPr>
          <w:rFonts w:ascii="Arial" w:hAnsi="Arial" w:cs="Arial"/>
          <w:sz w:val="20"/>
          <w:szCs w:val="20"/>
        </w:rPr>
        <w:fldChar w:fldCharType="separate"/>
      </w:r>
      <w:r w:rsidR="00A72F9C" w:rsidRPr="00677610">
        <w:rPr>
          <w:rFonts w:ascii="Arial" w:hAnsi="Arial" w:cs="Arial"/>
          <w:noProof/>
          <w:sz w:val="20"/>
          <w:szCs w:val="20"/>
        </w:rPr>
        <w:t>(Syaban and Appiah-Opoku 2024)</w:t>
      </w:r>
      <w:r w:rsidRPr="00677610">
        <w:rPr>
          <w:rFonts w:ascii="Arial" w:hAnsi="Arial" w:cs="Arial"/>
          <w:sz w:val="20"/>
          <w:szCs w:val="20"/>
        </w:rPr>
        <w:fldChar w:fldCharType="end"/>
      </w:r>
      <w:r w:rsidRPr="00677610">
        <w:rPr>
          <w:rFonts w:ascii="Arial" w:hAnsi="Arial" w:cs="Arial"/>
          <w:sz w:val="20"/>
          <w:szCs w:val="20"/>
          <w:lang w:val="en-US"/>
        </w:rPr>
        <w:t xml:space="preserve">. </w:t>
      </w:r>
      <w:r w:rsidRPr="00677610">
        <w:rPr>
          <w:rFonts w:ascii="Arial" w:hAnsi="Arial" w:cs="Arial"/>
          <w:sz w:val="20"/>
          <w:szCs w:val="20"/>
        </w:rPr>
        <w:t>Furthermore, coastal research in Balikpapan Bay demonstrates how regulatory, market, and governance institutions can intensify exclusion and modify local access to resources within the context of new-capital development</w:t>
      </w:r>
      <w:r w:rsidRPr="00677610">
        <w:rPr>
          <w:rFonts w:ascii="Arial" w:hAnsi="Arial" w:cs="Arial"/>
          <w:sz w:val="20"/>
          <w:szCs w:val="20"/>
          <w:lang w:val="en-US"/>
        </w:rPr>
        <w:t xml:space="preserve"> </w:t>
      </w:r>
      <w:r w:rsidRPr="00677610">
        <w:rPr>
          <w:rFonts w:ascii="Arial" w:hAnsi="Arial" w:cs="Arial"/>
          <w:sz w:val="20"/>
          <w:szCs w:val="20"/>
        </w:rPr>
        <w:fldChar w:fldCharType="begin" w:fldLock="1"/>
      </w:r>
      <w:r w:rsidR="00A72F9C" w:rsidRPr="00677610">
        <w:rPr>
          <w:rFonts w:ascii="Arial" w:hAnsi="Arial" w:cs="Arial"/>
          <w:sz w:val="20"/>
          <w:szCs w:val="20"/>
        </w:rPr>
        <w:instrText>ADDIN CSL_CITATION {"citationItems":[{"id":"ITEM-1","itemData":{"DOI":"10.1016/j.ocecoaman.2025.107801","ISSN":"09645691","abstract":"Relocation of capital cities often promises modernization and economic growth but raises significant socio-ecological concerns. Indonesia's decision to move its capital from Jakarta to ‘Nusantara’ (IKN) in East Kalimantan exemplifies these challenges, particularly for local communities. This study examines the socio-ecological impacts of this development on coastal communities in Balikpapan Bay, a critical yet underexplored context in Indonesia's new capital project. Drawing on ‘powers of exclusion’ and ocean-grabbing theories, it investigates how government regulations, legitimation, market dynamics, and force intensify the exclusion of coastal communities in Balikpapan Bay, and how IKN's development reshapes access and fishers' relations to coastal resources. Employing qualitative methods, it draws on from field research in several villages around Balikpapan Bay. Findings reveal that the new capital development exacerbates long-standing exclusion of coastal communities, particularly for fishing groups. Pressures from the logging, mining, and plantations had already limited fishermen's access and IKN development deepens this exclusion, disrupting fishers' livelihoods, and sparkling social conflicts over shrinking resources. The study highlights the state's role in legitimizing exclusions under development narratives, prioritizing state and corporate interests over local communities. This research contributes to a deeper understanding of the socio-environmental ramifications and trade-offs inherent in large-scale infrastructure projects like capital relocation. This research underscores the urgent need for inclusive approaches in coastal governance to reconcile large-scale development with socio-ecological justice, offering critical insights for policymakers and development practitioners worldwide.","author":[{"dropping-particle":"","family":"Syafi'i","given":"Imam","non-dropping-particle":"","parse-names":false,"suffix":""},{"dropping-particle":"","family":"Suryani","given":"Dini","non-dropping-particle":"","parse-names":false,"suffix":""},{"dropping-particle":"","family":"Satriani","given":"Septi","non-dropping-particle":"","parse-names":false,"suffix":""},{"dropping-particle":"","family":"Aulia","given":"Dian","non-dropping-particle":"","parse-names":false,"suffix":""},{"dropping-particle":"","family":"Dhiaulhaq","given":"Ahmad","non-dropping-particle":"","parse-names":false,"suffix":""},{"dropping-particle":"","family":"Adaba","given":"Pandu Yuhsina","non-dropping-particle":"","parse-names":false,"suffix":""}],"container-title":"Ocean &amp; Coastal Management","id":"ITEM-1","issued":{"date-parts":[["2025","10"]]},"page":"107801","title":"Displaced by progress: The new capital development and the powers of exclusion in Balikpapan Bay, Indonesia","type":"article-journal","volume":"269"},"uris":["http://www.mendeley.com/documents/?uuid=62a1f929-5012-40d0-bc76-d95f9aadbf61"]}],"mendeley":{"formattedCitation":"(Syafi’i et al. 2025)","plainTextFormattedCitation":"(Syafi’i et al. 2025)","previouslyFormattedCitation":"(Syafi’i et al. 2025)"},"properties":{"noteIndex":0},"schema":"https://github.com/citation-style-language/schema/raw/master/csl-citation.json"}</w:instrText>
      </w:r>
      <w:r w:rsidRPr="00677610">
        <w:rPr>
          <w:rFonts w:ascii="Arial" w:hAnsi="Arial" w:cs="Arial"/>
          <w:sz w:val="20"/>
          <w:szCs w:val="20"/>
        </w:rPr>
        <w:fldChar w:fldCharType="separate"/>
      </w:r>
      <w:r w:rsidR="00A72F9C" w:rsidRPr="00677610">
        <w:rPr>
          <w:rFonts w:ascii="Arial" w:hAnsi="Arial" w:cs="Arial"/>
          <w:noProof/>
          <w:sz w:val="20"/>
          <w:szCs w:val="20"/>
        </w:rPr>
        <w:t>(Syafi’i et al. 2025)</w:t>
      </w:r>
      <w:r w:rsidRPr="00677610">
        <w:rPr>
          <w:rFonts w:ascii="Arial" w:hAnsi="Arial" w:cs="Arial"/>
          <w:sz w:val="20"/>
          <w:szCs w:val="20"/>
        </w:rPr>
        <w:fldChar w:fldCharType="end"/>
      </w:r>
      <w:r w:rsidRPr="00677610">
        <w:rPr>
          <w:rFonts w:ascii="Arial" w:hAnsi="Arial" w:cs="Arial"/>
          <w:sz w:val="20"/>
          <w:szCs w:val="20"/>
        </w:rPr>
        <w:t xml:space="preserve">. Collectively, these findings suggest that mere infrastructure provision is inadequate; in the absence of community-level capacity to perceive change, mobilize collectively, and negotiate new service systems, the distribution of IKN's advantages may </w:t>
      </w:r>
      <w:r w:rsidR="00F25C56" w:rsidRPr="00677610">
        <w:rPr>
          <w:rFonts w:ascii="Arial" w:hAnsi="Arial" w:cs="Arial"/>
          <w:sz w:val="20"/>
          <w:szCs w:val="20"/>
        </w:rPr>
        <w:t>remain</w:t>
      </w:r>
      <w:r w:rsidRPr="00677610">
        <w:rPr>
          <w:rFonts w:ascii="Arial" w:hAnsi="Arial" w:cs="Arial"/>
          <w:sz w:val="20"/>
          <w:szCs w:val="20"/>
        </w:rPr>
        <w:t xml:space="preserve"> inequitable.</w:t>
      </w:r>
    </w:p>
    <w:p w14:paraId="11C14A1E" w14:textId="4D9A60D1" w:rsidR="00E16B78" w:rsidRPr="00677610" w:rsidRDefault="00E16B78" w:rsidP="00E16B78">
      <w:pPr>
        <w:pStyle w:val="NormalWeb"/>
        <w:spacing w:before="0" w:beforeAutospacing="0" w:after="0" w:afterAutospacing="0"/>
        <w:ind w:firstLine="720"/>
        <w:jc w:val="both"/>
        <w:rPr>
          <w:rFonts w:ascii="Arial" w:hAnsi="Arial" w:cs="Arial"/>
          <w:sz w:val="20"/>
          <w:szCs w:val="20"/>
          <w:lang w:val="en-US"/>
        </w:rPr>
      </w:pPr>
      <w:r w:rsidRPr="00677610">
        <w:rPr>
          <w:rFonts w:ascii="Arial" w:hAnsi="Arial" w:cs="Arial"/>
          <w:sz w:val="20"/>
          <w:szCs w:val="20"/>
        </w:rPr>
        <w:t>This danger is exacerbated by the growing reliance on digital governance, platform-based services, and "smart city" systems for contemporary infrastructure benefits. An expanding body of international literature emphasizes that smart-city efforts frequently encounter a constraint related to social effectiveness: outcomes are contingent not solely on the implementation of technology but also on citizen competence, perceived legitimacy, and circumstances for involvement</w:t>
      </w:r>
      <w:r w:rsidRPr="00677610">
        <w:rPr>
          <w:rFonts w:ascii="Arial" w:hAnsi="Arial" w:cs="Arial"/>
          <w:sz w:val="20"/>
          <w:szCs w:val="20"/>
          <w:lang w:val="en-US"/>
        </w:rPr>
        <w:t xml:space="preserve"> </w:t>
      </w:r>
      <w:r w:rsidRPr="00677610">
        <w:rPr>
          <w:rFonts w:ascii="Arial" w:hAnsi="Arial" w:cs="Arial"/>
          <w:sz w:val="20"/>
          <w:szCs w:val="20"/>
        </w:rPr>
        <w:fldChar w:fldCharType="begin" w:fldLock="1"/>
      </w:r>
      <w:r w:rsidR="00A72F9C" w:rsidRPr="00677610">
        <w:rPr>
          <w:rFonts w:ascii="Arial" w:hAnsi="Arial" w:cs="Arial"/>
          <w:sz w:val="20"/>
          <w:szCs w:val="20"/>
        </w:rPr>
        <w:instrText>ADDIN CSL_CITATION {"citationItems":[{"id":"ITEM-1","itemData":{"DOI":"10.1016/j.techsoc.2025.103130","ISSN":"0160791X","abstract":"The growing role of advanced technologies in urban life, often in the context of policy initiatives like ‘smart cities,’ is leading to social change that calls for policy attention and scholarly analysis. The academic literature has made progress incorporating social dimensions into the analysis of smart cities, but a more robust understanding is needed about social challenges specifically – including patterns of exclusion, inequality, and marginalization. This study presents the results of a scoping review and thematic analysis of academic literature that codes and categorizes accounts of social challenges related to the proliferation of smart city technologies. The cross-disciplinary sample draws on studies published since 2000, including works that provide theoretical and social context and those that capture emerging socio-political and technological trends. Results reveal a variety of social challenges associated with age, gender, race, income, citizenship status, and other personal characteristics. Results also reveal patterns in how personal attitudes, concerns about privacy, and technology skill impact the effectiveness of smart city programs. At a higher level, governance quality and power dynamics are increasingly recognized by the literature as mediators of smart cities effectiveness, encompassing issues like stakeholder collaboration, policymaking processes, and data ownership and control. This article summarizes these points in a novel framework applicable to future research, and provides practical recommendations to address social challenges in smart cities, including distributional fairness, public participation, and enhanced user capacity.","author":[{"dropping-particle":"","family":"Ghasemzadeh","given":"Behnam","non-dropping-particle":"","parse-names":false,"suffix":""},{"dropping-particle":"","family":"Rasoulzadeh Aghdam","given":"Samad","non-dropping-particle":"","parse-names":false,"suffix":""},{"dropping-particle":"","family":"Hartley","given":"Kris","non-dropping-particle":"","parse-names":false,"suffix":""},{"dropping-particle":"","family":"Bababeimorad","given":"Behnaz","non-dropping-particle":"","parse-names":false,"suffix":""},{"dropping-particle":"","family":"Rahnamayiezekavat","given":"Payam","non-dropping-particle":"","parse-names":false,"suffix":""}],"container-title":"Technology in Society","id":"ITEM-1","issue":"February 2025","issued":{"date-parts":[["2026","3"]]},"page":"103130","publisher":"Elsevier Ltd","title":"Social challenges in smart cities: a scoping review and framework for policy action","type":"article-journal","volume":"84"},"uris":["http://www.mendeley.com/documents/?uuid=0dd3f014-c9c1-4e14-870d-4a22daf46d53"]}],"mendeley":{"formattedCitation":"(Ghasemzadeh et al. 2026)","plainTextFormattedCitation":"(Ghasemzadeh et al. 2026)","previouslyFormattedCitation":"(Ghasemzadeh et al. 2026)"},"properties":{"noteIndex":0},"schema":"https://github.com/citation-style-language/schema/raw/master/csl-citation.json"}</w:instrText>
      </w:r>
      <w:r w:rsidRPr="00677610">
        <w:rPr>
          <w:rFonts w:ascii="Arial" w:hAnsi="Arial" w:cs="Arial"/>
          <w:sz w:val="20"/>
          <w:szCs w:val="20"/>
        </w:rPr>
        <w:fldChar w:fldCharType="separate"/>
      </w:r>
      <w:r w:rsidR="00A72F9C" w:rsidRPr="00677610">
        <w:rPr>
          <w:rFonts w:ascii="Arial" w:hAnsi="Arial" w:cs="Arial"/>
          <w:noProof/>
          <w:sz w:val="20"/>
          <w:szCs w:val="20"/>
        </w:rPr>
        <w:t>(Ghasemzadeh et al. 2026)</w:t>
      </w:r>
      <w:r w:rsidRPr="00677610">
        <w:rPr>
          <w:rFonts w:ascii="Arial" w:hAnsi="Arial" w:cs="Arial"/>
          <w:sz w:val="20"/>
          <w:szCs w:val="20"/>
        </w:rPr>
        <w:fldChar w:fldCharType="end"/>
      </w:r>
      <w:r w:rsidRPr="00677610">
        <w:rPr>
          <w:rFonts w:ascii="Arial" w:hAnsi="Arial" w:cs="Arial"/>
          <w:sz w:val="20"/>
          <w:szCs w:val="20"/>
        </w:rPr>
        <w:t xml:space="preserve">. Recent empirical research highlights a "smart governance paradox," wherein technologically sophisticated governance may correlate with diminished civic participation, highlighting that engagement design and motivational alignment are essential components rather than optional enhancements </w:t>
      </w:r>
      <w:r w:rsidRPr="00677610">
        <w:rPr>
          <w:rFonts w:ascii="Arial" w:hAnsi="Arial" w:cs="Arial"/>
          <w:sz w:val="20"/>
          <w:szCs w:val="20"/>
        </w:rPr>
        <w:fldChar w:fldCharType="begin" w:fldLock="1"/>
      </w:r>
      <w:r w:rsidR="00A72F9C" w:rsidRPr="00677610">
        <w:rPr>
          <w:rFonts w:ascii="Arial" w:hAnsi="Arial" w:cs="Arial"/>
          <w:sz w:val="20"/>
          <w:szCs w:val="20"/>
        </w:rPr>
        <w:instrText>ADDIN CSL_CITATION {"citationItems":[{"id":"ITEM-1","itemData":{"DOI":"10.1016/j.tele.2026.102376","ISSN":"07365853","abstract":"As smart city initiatives proliferate globally, whether they genuinely foster inclusive and participatory governance remains unclear. This study examines the “smart governance paradox” by integrating macro-level evaluations of urban smartness with micro-level analyses of citizen perceptions across six large Chinese cities. At the macro level, we construct a Smart City Development Index using factor analysis and a neural network optimized by genetic algorithms. Results reveal significant regional disparities: some cities (Beijing and Shanghai) lead in smart economy, infrastructure, and innovation, while others lag in mobility and connectivity, highlighting uneven implementation capacities. At the micro level, we analyze 2021 Chinese Social Survey data using ordered logit models to examine associations between smart city development and public perceptions. Smart city development is positively associated with perceived trust, fairness, and protection, but negatively associated with civic participation—especially among younger demographics. This disconnect suggests that technological development may accompany favorable service-related perceptions while correlating with lower community engagement, potentially reflecting digital substitution and governance centralization. We propose reframing “smartness” as a socio-political construct emphasizing inclusion, responsiveness, and equity, and offer policy recommendations bridging digital efficiency with democratic engagement.","author":[{"dropping-particle":"","family":"Tang","given":"Beizhen","non-dropping-particle":"","parse-names":false,"suffix":""},{"dropping-particle":"","family":"Aldrich","given":"Daniel P.","non-dropping-particle":"","parse-names":false,"suffix":""}],"container-title":"Telematics and Informatics","id":"ITEM-1","issued":{"date-parts":[["2026","2"]]},"page":"102376","title":"The paradox of smart cities: technological advancements and the disconnection from social participation","type":"article-journal","volume":"105"},"uris":["http://www.mendeley.com/documents/?uuid=653101c2-7ea7-42f6-9bd8-5d758b988289"]}],"mendeley":{"formattedCitation":"(Tang and Aldrich 2026)","plainTextFormattedCitation":"(Tang and Aldrich 2026)","previouslyFormattedCitation":"(Tang and Aldrich 2026)"},"properties":{"noteIndex":0},"schema":"https://github.com/citation-style-language/schema/raw/master/csl-citation.json"}</w:instrText>
      </w:r>
      <w:r w:rsidRPr="00677610">
        <w:rPr>
          <w:rFonts w:ascii="Arial" w:hAnsi="Arial" w:cs="Arial"/>
          <w:sz w:val="20"/>
          <w:szCs w:val="20"/>
        </w:rPr>
        <w:fldChar w:fldCharType="separate"/>
      </w:r>
      <w:r w:rsidR="00A72F9C" w:rsidRPr="00677610">
        <w:rPr>
          <w:rFonts w:ascii="Arial" w:hAnsi="Arial" w:cs="Arial"/>
          <w:noProof/>
          <w:sz w:val="20"/>
          <w:szCs w:val="20"/>
        </w:rPr>
        <w:t>(Tang and Aldrich 2026)</w:t>
      </w:r>
      <w:r w:rsidRPr="00677610">
        <w:rPr>
          <w:rFonts w:ascii="Arial" w:hAnsi="Arial" w:cs="Arial"/>
          <w:sz w:val="20"/>
          <w:szCs w:val="20"/>
        </w:rPr>
        <w:fldChar w:fldCharType="end"/>
      </w:r>
      <w:r w:rsidRPr="00677610">
        <w:rPr>
          <w:rFonts w:ascii="Arial" w:hAnsi="Arial" w:cs="Arial"/>
          <w:sz w:val="20"/>
          <w:szCs w:val="20"/>
        </w:rPr>
        <w:t xml:space="preserve">. Simultaneously, digital-government research indicates that automation may lead to exclusion throughout policy phases unless inclusion mechanisms specifically tackle citizen burdens and capability limitations </w:t>
      </w:r>
      <w:r w:rsidRPr="00677610">
        <w:rPr>
          <w:rFonts w:ascii="Arial" w:hAnsi="Arial" w:cs="Arial"/>
          <w:sz w:val="20"/>
          <w:szCs w:val="20"/>
        </w:rPr>
        <w:fldChar w:fldCharType="begin" w:fldLock="1"/>
      </w:r>
      <w:r w:rsidR="00D547F6" w:rsidRPr="00677610">
        <w:rPr>
          <w:rFonts w:ascii="Arial" w:hAnsi="Arial" w:cs="Arial"/>
          <w:sz w:val="20"/>
          <w:szCs w:val="20"/>
        </w:rPr>
        <w:instrText>ADDIN CSL_CITATION {"citationItems":[{"id":"ITEM-1","itemData":{"DOI":"10.1016/j.giq.2025.102028","ISSN":"0740624X","abstract":"The idea of ‘digital government inclusion’ – which builds upon notions of digital and social equity – implies that every person is equally able to participate in and benefit from digital government applications and procedures. In this article, through a policy stages lens, we explore aspects of government automation that complicate various dimensions of equity and inclusion as well as propose mitigating mechanisms that can improve digital government equity and inclusion. For a broader understanding of digital government inclusion, we start with a historical exploration of how data collection and digital government are inherently intertwined with notions of (statistical) normality. We then identify key findings from the broader literature and the articles included in GIQ's special issue on digital government inclusion that point to challenges as well as some potential tools to confront these issues.","author":[{"dropping-particle":"","family":"Peeters","given":"Rik","non-dropping-particle":"","parse-names":false,"suffix":""},{"dropping-particle":"","family":"Miller","given":"Susan M.","non-dropping-particle":"","parse-names":false,"suffix":""},{"dropping-particle":"","family":"Schuilenburg","given":"Marc","non-dropping-particle":"","parse-names":false,"suffix":""}],"container-title":"Government Information Quarterly","id":"ITEM-1","issue":"2","issued":{"date-parts":[["2025"]]},"page":"102028","publisher":"Elsevier Inc.","title":"Digital government inclusion: Exploring strategies for inclusive government automation","type":"article-journal","volume":"42"},"uris":["http://www.mendeley.com/documents/?uuid=f7db0975-5f19-4799-a7aa-0c5a1f9c1f5c"]}],"mendeley":{"formattedCitation":"(Peeters, Miller, and Schuilenburg 2025)","plainTextFormattedCitation":"(Peeters, Miller, and Schuilenburg 2025)","previouslyFormattedCitation":"(Peeters, Miller, and Schuilenburg 2025)"},"properties":{"noteIndex":0},"schema":"https://github.com/citation-style-language/schema/raw/master/csl-citation.json"}</w:instrText>
      </w:r>
      <w:r w:rsidRPr="00677610">
        <w:rPr>
          <w:rFonts w:ascii="Arial" w:hAnsi="Arial" w:cs="Arial"/>
          <w:sz w:val="20"/>
          <w:szCs w:val="20"/>
        </w:rPr>
        <w:fldChar w:fldCharType="separate"/>
      </w:r>
      <w:r w:rsidR="00D547F6" w:rsidRPr="00677610">
        <w:rPr>
          <w:rFonts w:ascii="Arial" w:hAnsi="Arial" w:cs="Arial"/>
          <w:noProof/>
          <w:sz w:val="20"/>
          <w:szCs w:val="20"/>
        </w:rPr>
        <w:t>(Peeters, Miller, and Schuilenburg 2025)</w:t>
      </w:r>
      <w:r w:rsidRPr="00677610">
        <w:rPr>
          <w:rFonts w:ascii="Arial" w:hAnsi="Arial" w:cs="Arial"/>
          <w:sz w:val="20"/>
          <w:szCs w:val="20"/>
        </w:rPr>
        <w:fldChar w:fldCharType="end"/>
      </w:r>
      <w:r w:rsidRPr="00677610">
        <w:rPr>
          <w:rFonts w:ascii="Arial" w:hAnsi="Arial" w:cs="Arial"/>
          <w:sz w:val="20"/>
          <w:szCs w:val="20"/>
          <w:lang w:val="en-US"/>
        </w:rPr>
        <w:t xml:space="preserve">. </w:t>
      </w:r>
      <w:r w:rsidRPr="00677610">
        <w:rPr>
          <w:rFonts w:ascii="Arial" w:hAnsi="Arial" w:cs="Arial"/>
          <w:sz w:val="20"/>
          <w:szCs w:val="20"/>
        </w:rPr>
        <w:t xml:space="preserve">These dynamics align with smart-city inclusion research, highlighting that bridging the digital gap necessitates not only connectivity and infrastructure but also ongoing skill development and inclusive governance adapted to local socioeconomic contexts </w:t>
      </w:r>
      <w:r w:rsidRPr="00677610">
        <w:rPr>
          <w:rFonts w:ascii="Arial" w:hAnsi="Arial" w:cs="Arial"/>
          <w:sz w:val="20"/>
          <w:szCs w:val="20"/>
        </w:rPr>
        <w:fldChar w:fldCharType="begin" w:fldLock="1"/>
      </w:r>
      <w:r w:rsidR="00A72F9C" w:rsidRPr="00677610">
        <w:rPr>
          <w:rFonts w:ascii="Arial" w:hAnsi="Arial" w:cs="Arial"/>
          <w:sz w:val="20"/>
          <w:szCs w:val="20"/>
        </w:rPr>
        <w:instrText>ADDIN CSL_CITATION {"citationItems":[{"id":"ITEM-1","itemData":{"DOI":"10.3390/su17135735","ISSN":"2071-1050","abstract":"The current research examines the issue of social inclusivity in the context of digitalization of smart city governance and explores ways to overcome the digital divide, which impedes equal access to online services for vulnerable population groups (elderly people, people with disabilities, low-income individuals, and residents of remote areas). Based on a literature review, the study outlines three generations of the digital divide: access, digital skills, and the ability to derive socio-economic benefits. A methodology is proposed that combines cluster analysis of 27 European cities using 11 integrated indicators, aimed at identifying typical development profiles while accounting for infrastructure, air quality, and levels of digital literacy. The results revealed four clusters: “Digital Leaders with Environmental Awareness”, “Mid-Level Cities with Development Potential”, “Opportunities with Environmental Challenges”, and “Advanced Digital Hubs with High Quality of Life”. The study confirms the hypothesis regarding the effectiveness of a comprehensive approach that integrates infrastructure investment, educational programs, and inclusive planning. The article’s conclusions emphasize the need to apply universal design principles, subsidize internet access, and regularly monitor digital inclusion indices to achieve SDGs 11 and 16.","author":[{"dropping-particle":"","family":"Kruhlov","given":"Vitalii","non-dropping-particle":"","parse-names":false,"suffix":""},{"dropping-particle":"","family":"Dvorak","given":"Jaroslav","non-dropping-particle":"","parse-names":false,"suffix":""}],"container-title":"Sustainability","id":"ITEM-1","issue":"13","issued":{"date-parts":[["2025","6","22"]]},"page":"5735","title":"Social Inclusivity in the Smart City Governance: Overcoming the Digital Divide","type":"article-journal","volume":"17"},"uris":["http://www.mendeley.com/documents/?uuid=a351fd90-fb26-4c00-be09-52a8d4b9b9d8"]}],"mendeley":{"formattedCitation":"(Kruhlov and Dvorak 2025)","plainTextFormattedCitation":"(Kruhlov and Dvorak 2025)","previouslyFormattedCitation":"(Kruhlov and Dvorak 2025)"},"properties":{"noteIndex":0},"schema":"https://github.com/citation-style-language/schema/raw/master/csl-citation.json"}</w:instrText>
      </w:r>
      <w:r w:rsidRPr="00677610">
        <w:rPr>
          <w:rFonts w:ascii="Arial" w:hAnsi="Arial" w:cs="Arial"/>
          <w:sz w:val="20"/>
          <w:szCs w:val="20"/>
        </w:rPr>
        <w:fldChar w:fldCharType="separate"/>
      </w:r>
      <w:r w:rsidR="00A72F9C" w:rsidRPr="00677610">
        <w:rPr>
          <w:rFonts w:ascii="Arial" w:hAnsi="Arial" w:cs="Arial"/>
          <w:noProof/>
          <w:sz w:val="20"/>
          <w:szCs w:val="20"/>
        </w:rPr>
        <w:t>(Kruhlov and Dvorak 2025)</w:t>
      </w:r>
      <w:r w:rsidRPr="00677610">
        <w:rPr>
          <w:rFonts w:ascii="Arial" w:hAnsi="Arial" w:cs="Arial"/>
          <w:sz w:val="20"/>
          <w:szCs w:val="20"/>
        </w:rPr>
        <w:fldChar w:fldCharType="end"/>
      </w:r>
      <w:r w:rsidRPr="00677610">
        <w:rPr>
          <w:rFonts w:ascii="Arial" w:hAnsi="Arial" w:cs="Arial"/>
          <w:sz w:val="20"/>
          <w:szCs w:val="20"/>
          <w:lang w:val="en-US"/>
        </w:rPr>
        <w:t xml:space="preserve">. </w:t>
      </w:r>
    </w:p>
    <w:p w14:paraId="3F451AF8" w14:textId="370245A0" w:rsidR="00E16B78" w:rsidRPr="00677610" w:rsidRDefault="00E16B78" w:rsidP="00E16B78">
      <w:pPr>
        <w:pStyle w:val="NormalWeb"/>
        <w:spacing w:before="0" w:beforeAutospacing="0" w:after="0" w:afterAutospacing="0"/>
        <w:ind w:firstLine="720"/>
        <w:jc w:val="both"/>
        <w:rPr>
          <w:rFonts w:ascii="Arial" w:hAnsi="Arial" w:cs="Arial"/>
          <w:sz w:val="20"/>
          <w:szCs w:val="20"/>
        </w:rPr>
      </w:pPr>
      <w:r w:rsidRPr="00677610">
        <w:rPr>
          <w:rFonts w:ascii="Arial" w:hAnsi="Arial" w:cs="Arial"/>
          <w:sz w:val="20"/>
          <w:szCs w:val="20"/>
        </w:rPr>
        <w:t>In this context, community readiness serves as a vital analytical framework for IKN. Readiness denotes a community's collective ability to identify an issue, mobilize efforts, coordinate leadership, access resources, and convert information into action. Recent methodological research underscores that readiness is intrinsically complex, and deficiencies in any one dimension might impede systemic change</w:t>
      </w:r>
      <w:r w:rsidR="00F25C56" w:rsidRPr="00677610">
        <w:rPr>
          <w:rFonts w:ascii="Arial" w:hAnsi="Arial" w:cs="Arial"/>
          <w:sz w:val="20"/>
          <w:szCs w:val="20"/>
        </w:rPr>
        <w:t xml:space="preserve">, </w:t>
      </w:r>
      <w:r w:rsidRPr="00677610">
        <w:rPr>
          <w:rFonts w:ascii="Arial" w:hAnsi="Arial" w:cs="Arial"/>
          <w:sz w:val="20"/>
          <w:szCs w:val="20"/>
        </w:rPr>
        <w:t>thus advocating for the implementation of formal readiness assessments to inform treatments</w:t>
      </w:r>
      <w:r w:rsidRPr="00677610">
        <w:rPr>
          <w:rFonts w:ascii="Arial" w:hAnsi="Arial" w:cs="Arial"/>
          <w:sz w:val="20"/>
          <w:szCs w:val="20"/>
          <w:lang w:val="en-US"/>
        </w:rPr>
        <w:t xml:space="preserve"> </w:t>
      </w:r>
      <w:r w:rsidRPr="00677610">
        <w:rPr>
          <w:rFonts w:ascii="Arial" w:hAnsi="Arial" w:cs="Arial"/>
          <w:sz w:val="20"/>
          <w:szCs w:val="20"/>
        </w:rPr>
        <w:fldChar w:fldCharType="begin" w:fldLock="1"/>
      </w:r>
      <w:r w:rsidR="00D547F6" w:rsidRPr="00677610">
        <w:rPr>
          <w:rFonts w:ascii="Arial" w:hAnsi="Arial" w:cs="Arial"/>
          <w:sz w:val="20"/>
          <w:szCs w:val="20"/>
        </w:rPr>
        <w:instrText>ADDIN CSL_CITATION {"citationItems":[{"id":"ITEM-1","itemData":{"DOI":"10.3390/bs16010153","ISSN":"2076-328X","abstract":"Background: Community readiness assessment is used to gauge a community’s ability to address systemic issues and inform action. The Community Readiness Instrument (CRI) is the only published tool to have undergone rigorous development and testing. The purpose of this study is to further refine the CRI and establish its score reliability and validity evidence so that healthcare professionals, community advocates, and researchers have a strong assessment of community readiness. Methods: The present study details continued assessment of the CRI through full-scale testing. We conducted a second-order confirmatory factor analysis to analyze the CRI’s six-factor structure. We also conducted Rasch analyses to determine the item-level fit statistics for each subscale. Results: Our results suggest that the CRI is a well-structured quantitative tool with items demonstrating sufficient fit under each first-order latent factor. The items each fell into one-factor solutions, and the six subscales collectively formed a higher-order construct of Community Readiness. The CRI continues to demonstrate strong psychometric properties, score reliability, and validity evidence. Conclusions: Mental health and addiction professionals can use the CRI to explore change readiness toward a specific issue in their communities. Implications for practitioners, community advocates, and future researchers are provided.","author":[{"dropping-particle":"","family":"Ricciutti","given":"Natalie M.","non-dropping-particle":"","parse-names":false,"suffix":""},{"dropping-particle":"","family":"Cureton","given":"Jenny L.","non-dropping-particle":"","parse-names":false,"suffix":""},{"dropping-particle":"","family":"Zhang","given":"Sijia","non-dropping-particle":"","parse-names":false,"suffix":""}],"container-title":"Behavioral Sciences","id":"ITEM-1","issue":"1","issued":{"date-parts":[["2026","1","22"]]},"page":"153","title":"The Community Readiness Instrument: A Quantitative Measurement Using Statistical Best Practices to Assess Systemic Change Readiness","type":"article-journal","volume":"16"},"uris":["http://www.mendeley.com/documents/?uuid=e9323dd0-1237-4999-a0b4-7be9ef7b8c94"]}],"mendeley":{"formattedCitation":"(Ricciutti, Cureton, and Zhang 2026)","plainTextFormattedCitation":"(Ricciutti, Cureton, and Zhang 2026)","previouslyFormattedCitation":"(Ricciutti, N, Cureton, and Zhang 2026)"},"properties":{"noteIndex":0},"schema":"https://github.com/citation-style-language/schema/raw/master/csl-citation.json"}</w:instrText>
      </w:r>
      <w:r w:rsidRPr="00677610">
        <w:rPr>
          <w:rFonts w:ascii="Arial" w:hAnsi="Arial" w:cs="Arial"/>
          <w:sz w:val="20"/>
          <w:szCs w:val="20"/>
        </w:rPr>
        <w:fldChar w:fldCharType="separate"/>
      </w:r>
      <w:r w:rsidR="00D547F6" w:rsidRPr="00677610">
        <w:rPr>
          <w:rFonts w:ascii="Arial" w:hAnsi="Arial" w:cs="Arial"/>
          <w:noProof/>
          <w:sz w:val="20"/>
          <w:szCs w:val="20"/>
        </w:rPr>
        <w:t>(Ricciutti, Cureton, and Zhang 2026)</w:t>
      </w:r>
      <w:r w:rsidRPr="00677610">
        <w:rPr>
          <w:rFonts w:ascii="Arial" w:hAnsi="Arial" w:cs="Arial"/>
          <w:sz w:val="20"/>
          <w:szCs w:val="20"/>
        </w:rPr>
        <w:fldChar w:fldCharType="end"/>
      </w:r>
      <w:r w:rsidRPr="00677610">
        <w:rPr>
          <w:rFonts w:ascii="Arial" w:hAnsi="Arial" w:cs="Arial"/>
          <w:sz w:val="20"/>
          <w:szCs w:val="20"/>
          <w:lang w:val="en-US"/>
        </w:rPr>
        <w:t xml:space="preserve">. </w:t>
      </w:r>
      <w:r w:rsidRPr="00677610">
        <w:rPr>
          <w:rFonts w:ascii="Arial" w:hAnsi="Arial" w:cs="Arial"/>
          <w:sz w:val="20"/>
          <w:szCs w:val="20"/>
        </w:rPr>
        <w:t>For IKN host towns, preparedness transcends mere attitude; it constitutes the actual condition that dictates citizens' ability to transform new roads, public infrastructure, and digitally mediated services into tangible welfare benefits.</w:t>
      </w:r>
    </w:p>
    <w:p w14:paraId="59286D2A" w14:textId="035BB648" w:rsidR="00E16B78" w:rsidRPr="00677610" w:rsidRDefault="00E16B78" w:rsidP="00E16B78">
      <w:pPr>
        <w:pStyle w:val="NormalWeb"/>
        <w:spacing w:before="0" w:beforeAutospacing="0" w:after="0" w:afterAutospacing="0"/>
        <w:ind w:firstLine="720"/>
        <w:jc w:val="both"/>
        <w:rPr>
          <w:rFonts w:ascii="Arial" w:hAnsi="Arial" w:cs="Arial"/>
          <w:sz w:val="20"/>
          <w:szCs w:val="20"/>
          <w:lang w:val="en-US"/>
        </w:rPr>
      </w:pPr>
      <w:r w:rsidRPr="00677610">
        <w:rPr>
          <w:rFonts w:ascii="Arial" w:hAnsi="Arial" w:cs="Arial"/>
          <w:sz w:val="20"/>
          <w:szCs w:val="20"/>
        </w:rPr>
        <w:t>This study identifies three human-capital pathways—motivation, education, and skills—as essential precursors to readiness. Initially, motivation is framed through the ERG needs theory (existence–relatedness–growth), which is increasingly utilized in modern behavioral research to elucidate why individuals maintain effort amidst fluctuating environments and institutional pressures (e.g., ERG-based motivational frameworks in applied psychological settings)</w:t>
      </w:r>
      <w:r w:rsidRPr="00677610">
        <w:rPr>
          <w:rFonts w:ascii="Arial" w:hAnsi="Arial" w:cs="Arial"/>
          <w:sz w:val="20"/>
          <w:szCs w:val="20"/>
          <w:lang w:val="en-US"/>
        </w:rPr>
        <w:t xml:space="preserve"> </w:t>
      </w:r>
      <w:r w:rsidRPr="00677610">
        <w:rPr>
          <w:rFonts w:ascii="Arial" w:hAnsi="Arial" w:cs="Arial"/>
          <w:sz w:val="20"/>
          <w:szCs w:val="20"/>
        </w:rPr>
        <w:fldChar w:fldCharType="begin" w:fldLock="1"/>
      </w:r>
      <w:r w:rsidR="00A72F9C" w:rsidRPr="00677610">
        <w:rPr>
          <w:rFonts w:ascii="Arial" w:hAnsi="Arial" w:cs="Arial"/>
          <w:sz w:val="20"/>
          <w:szCs w:val="20"/>
        </w:rPr>
        <w:instrText>ADDIN CSL_CITATION {"citationItems":[{"id":"ITEM-1","itemData":{"DOI":"10.3389/fpsyg.2023.1205742","ISBN":"2572020015626","ISSN":"16641078","abstract":"Job burnout among young university teachers is a serious issue that can have negative consequences for their well-being and job performance, as well as students’ learning outcomes. To identify protective factors for job burnout, this study examined the impacts and mechanism of satisfying existence, relatedness, and growth need on job burnout among 968 young university teachers, using the ERG needs theory framework. The results of the regression analysis and mediation analysis showed that ERG needs satisfaction significantly and negatively predicted job burnout, and job satisfaction mediated this relationship. Besides, the total effect of existence need satisfaction on job burnout was significantly smaller than that of relatedness need satisfaction and growth need satisfaction. These findings contribute to our understanding of the antecedents of young university teachers’ job burnout and provide a theoretical basis for practical action to protect them from burnout by enhancing their need satisfaction and job satisfaction.","author":[{"dropping-particle":"","family":"Yang","given":"Yang","non-dropping-particle":"","parse-names":false,"suffix":""},{"dropping-particle":"","family":"Ling","given":"Que","non-dropping-particle":"","parse-names":false,"suffix":""}],"container-title":"Frontiers in Psychology","id":"ITEM-1","issue":"August","issued":{"date-parts":[["2023"]]},"page":"1-9","title":"The influence of existence–relatedness–growth need satisfaction and job burnout of young university teachers: the mediating role of job satisfaction","type":"article-journal","volume":"14"},"uris":["http://www.mendeley.com/documents/?uuid=384fe4b6-90b6-4ee5-8aac-3b72294c04b1"]}],"mendeley":{"formattedCitation":"(Yang and Ling 2023)","plainTextFormattedCitation":"(Yang and Ling 2023)","previouslyFormattedCitation":"(Yang and Ling 2023)"},"properties":{"noteIndex":0},"schema":"https://github.com/citation-style-language/schema/raw/master/csl-citation.json"}</w:instrText>
      </w:r>
      <w:r w:rsidRPr="00677610">
        <w:rPr>
          <w:rFonts w:ascii="Arial" w:hAnsi="Arial" w:cs="Arial"/>
          <w:sz w:val="20"/>
          <w:szCs w:val="20"/>
        </w:rPr>
        <w:fldChar w:fldCharType="separate"/>
      </w:r>
      <w:r w:rsidR="00A72F9C" w:rsidRPr="00677610">
        <w:rPr>
          <w:rFonts w:ascii="Arial" w:hAnsi="Arial" w:cs="Arial"/>
          <w:noProof/>
          <w:sz w:val="20"/>
          <w:szCs w:val="20"/>
        </w:rPr>
        <w:t>(Yang and Ling 2023)</w:t>
      </w:r>
      <w:r w:rsidRPr="00677610">
        <w:rPr>
          <w:rFonts w:ascii="Arial" w:hAnsi="Arial" w:cs="Arial"/>
          <w:sz w:val="20"/>
          <w:szCs w:val="20"/>
        </w:rPr>
        <w:fldChar w:fldCharType="end"/>
      </w:r>
      <w:r w:rsidRPr="00677610">
        <w:rPr>
          <w:rFonts w:ascii="Arial" w:hAnsi="Arial" w:cs="Arial"/>
          <w:sz w:val="20"/>
          <w:szCs w:val="20"/>
          <w:lang w:val="en-US"/>
        </w:rPr>
        <w:t>.</w:t>
      </w:r>
      <w:r w:rsidRPr="00677610">
        <w:rPr>
          <w:rFonts w:ascii="Arial" w:hAnsi="Arial" w:cs="Arial"/>
          <w:sz w:val="20"/>
          <w:szCs w:val="20"/>
        </w:rPr>
        <w:t xml:space="preserve"> Secondly, community education—both formal and informal—enhances citizens' capacity to </w:t>
      </w:r>
      <w:r w:rsidR="00F25C56" w:rsidRPr="00677610">
        <w:rPr>
          <w:rFonts w:ascii="Arial" w:hAnsi="Arial" w:cs="Arial"/>
          <w:sz w:val="20"/>
          <w:szCs w:val="20"/>
        </w:rPr>
        <w:t>understand policy indicators, interact with program data, and navigate the procedural requirements</w:t>
      </w:r>
      <w:r w:rsidRPr="00677610">
        <w:rPr>
          <w:rFonts w:ascii="Arial" w:hAnsi="Arial" w:cs="Arial"/>
          <w:sz w:val="20"/>
          <w:szCs w:val="20"/>
        </w:rPr>
        <w:t xml:space="preserve"> inherent in contemporary service provision. Third, community skills—such as literacy, technical proficiency, and problem-solving abilities—diminish operational obstacles in technology-mediated access, aligning with research showing ICT and e-skills influence effective e-government utilization and elucidate disparities in participation</w:t>
      </w:r>
      <w:r w:rsidRPr="00677610">
        <w:rPr>
          <w:rFonts w:ascii="Arial" w:hAnsi="Arial" w:cs="Arial"/>
          <w:sz w:val="20"/>
          <w:szCs w:val="20"/>
          <w:lang w:val="en-US"/>
        </w:rPr>
        <w:t xml:space="preserve"> </w:t>
      </w:r>
      <w:r w:rsidRPr="00677610">
        <w:rPr>
          <w:rFonts w:ascii="Arial" w:hAnsi="Arial" w:cs="Arial"/>
          <w:sz w:val="20"/>
          <w:szCs w:val="20"/>
        </w:rPr>
        <w:fldChar w:fldCharType="begin" w:fldLock="1"/>
      </w:r>
      <w:r w:rsidR="00A72F9C" w:rsidRPr="00677610">
        <w:rPr>
          <w:rFonts w:ascii="Arial" w:hAnsi="Arial" w:cs="Arial"/>
          <w:sz w:val="20"/>
          <w:szCs w:val="20"/>
        </w:rPr>
        <w:instrText>ADDIN CSL_CITATION {"citationItems":[{"id":"ITEM-1","itemData":{"DOI":"10.1016/j.telpol.2025.102918","ISSN":"03085961","abstract":"This paper examines the factors that determine the use of e-government services in Spain. It identifies key determinants, including e-services usage synergies, e-trust, e-skills and socio-demographic determinants of e-government use as an outcome of a logit model with national data from 2023. The main results highlight the key role of ICT skills, confidence in technology and the quality of Internet connectivity, revealing significant disparities between socio-economic groups. Meanwhile, it explores the second and third levels of the digital divide, with a special focus on the information and ICT domain and its effective application, analysing the penetration and main uses of e-government in Spain. Policy recommendations call for the enhancement of digital literacy, the fostering of trust in e-government and the improvement of Internet access for vulnerable populations to promote inclusive digital governance.","author":[{"dropping-particle":"","family":"Gijón","given":"Covadonga","non-dropping-particle":"","parse-names":false,"suffix":""},{"dropping-particle":"","family":"Fernández-Bonilla","given":"Fernando","non-dropping-particle":"","parse-names":false,"suffix":""},{"dropping-particle":"","family":"Ruíz-Rúa","given":"Aurora","non-dropping-particle":"","parse-names":false,"suffix":""}],"container-title":"Telecommunications Policy","id":"ITEM-1","issue":"3","issued":{"date-parts":[["2025","4"]]},"page":"102918","title":"Different approaches to Spanish e-government: From use to impact","type":"article-journal","volume":"49"},"uris":["http://www.mendeley.com/documents/?uuid=144ddf2a-0af4-492d-bd61-4f74ed1b9f30"]}],"mendeley":{"formattedCitation":"(Gijón, Fernández-Bonilla, and Ruíz-Rúa 2025)","plainTextFormattedCitation":"(Gijón, Fernández-Bonilla, and Ruíz-Rúa 2025)","previouslyFormattedCitation":"(Gijón, Fernández-Bonilla, and Ruíz-Rúa 2025)"},"properties":{"noteIndex":0},"schema":"https://github.com/citation-style-language/schema/raw/master/csl-citation.json"}</w:instrText>
      </w:r>
      <w:r w:rsidRPr="00677610">
        <w:rPr>
          <w:rFonts w:ascii="Arial" w:hAnsi="Arial" w:cs="Arial"/>
          <w:sz w:val="20"/>
          <w:szCs w:val="20"/>
        </w:rPr>
        <w:fldChar w:fldCharType="separate"/>
      </w:r>
      <w:r w:rsidR="00A72F9C" w:rsidRPr="00677610">
        <w:rPr>
          <w:rFonts w:ascii="Arial" w:hAnsi="Arial" w:cs="Arial"/>
          <w:noProof/>
          <w:sz w:val="20"/>
          <w:szCs w:val="20"/>
        </w:rPr>
        <w:t>(Gijón, Fernández-Bonilla, and Ruíz-Rúa 2025)</w:t>
      </w:r>
      <w:r w:rsidRPr="00677610">
        <w:rPr>
          <w:rFonts w:ascii="Arial" w:hAnsi="Arial" w:cs="Arial"/>
          <w:sz w:val="20"/>
          <w:szCs w:val="20"/>
        </w:rPr>
        <w:fldChar w:fldCharType="end"/>
      </w:r>
      <w:r w:rsidRPr="00677610">
        <w:rPr>
          <w:rFonts w:ascii="Arial" w:hAnsi="Arial" w:cs="Arial"/>
          <w:sz w:val="20"/>
          <w:szCs w:val="20"/>
          <w:lang w:val="en-US"/>
        </w:rPr>
        <w:t xml:space="preserve">. </w:t>
      </w:r>
      <w:r w:rsidRPr="00677610">
        <w:rPr>
          <w:rFonts w:ascii="Arial" w:hAnsi="Arial" w:cs="Arial"/>
          <w:sz w:val="20"/>
          <w:szCs w:val="20"/>
        </w:rPr>
        <w:t>These routes correspond with extensive human-capital studies</w:t>
      </w:r>
      <w:r w:rsidR="00F25C56" w:rsidRPr="00677610">
        <w:rPr>
          <w:rFonts w:ascii="Arial" w:hAnsi="Arial" w:cs="Arial"/>
          <w:sz w:val="20"/>
          <w:szCs w:val="20"/>
        </w:rPr>
        <w:t>,</w:t>
      </w:r>
      <w:r w:rsidRPr="00677610">
        <w:rPr>
          <w:rFonts w:ascii="Arial" w:hAnsi="Arial" w:cs="Arial"/>
          <w:sz w:val="20"/>
          <w:szCs w:val="20"/>
        </w:rPr>
        <w:t xml:space="preserve"> indicating that the building of capabilities is a fundamental process connecting individual resources to collective community results </w:t>
      </w:r>
      <w:r w:rsidRPr="00677610">
        <w:rPr>
          <w:rFonts w:ascii="Arial" w:hAnsi="Arial" w:cs="Arial"/>
          <w:sz w:val="20"/>
          <w:szCs w:val="20"/>
        </w:rPr>
        <w:fldChar w:fldCharType="begin" w:fldLock="1"/>
      </w:r>
      <w:r w:rsidR="00A72F9C" w:rsidRPr="00677610">
        <w:rPr>
          <w:rFonts w:ascii="Arial" w:hAnsi="Arial" w:cs="Arial"/>
          <w:sz w:val="20"/>
          <w:szCs w:val="20"/>
        </w:rPr>
        <w:instrText>ADDIN CSL_CITATION {"citationItems":[{"id":"ITEM-1","itemData":{"DOI":"10.6007/IJARBSS/v14-i6/21447","ISSN":"2222-6990","author":[{"dropping-particle":"","family":"Rasdi","given":"Nurul Nadiah","non-dropping-particle":"","parse-names":false,"suffix":""},{"dropping-particle":"","family":"Rusli","given":"Ahmad Najmie","non-dropping-particle":"","parse-names":false,"suffix":""},{"dropping-particle":"","family":"Zainal Abidin","given":"Nurrul Amilin","non-dropping-particle":"","parse-names":false,"suffix":""},{"dropping-particle":"","family":"Manssor","given":"Nur Aini Sabrin","non-dropping-particle":"","parse-names":false,"suffix":""}],"container-title":"International Journal of Academic Research in Business and Social Sciences","id":"ITEM-1","issue":"6","issued":{"date-parts":[["2024","6","4"]]},"page":"300-312","title":"Motivation to Study from Home: Balancing Alderfer’s Theory","type":"article-journal","volume":"14"},"uris":["http://www.mendeley.com/documents/?uuid=be1ecda1-5dff-4901-a48a-aa6bde2f0aa3"]}],"mendeley":{"formattedCitation":"(Rasdi et al. 2024)","plainTextFormattedCitation":"(Rasdi et al. 2024)","previouslyFormattedCitation":"(Rasdi et al. 2024)"},"properties":{"noteIndex":0},"schema":"https://github.com/citation-style-language/schema/raw/master/csl-citation.json"}</w:instrText>
      </w:r>
      <w:r w:rsidRPr="00677610">
        <w:rPr>
          <w:rFonts w:ascii="Arial" w:hAnsi="Arial" w:cs="Arial"/>
          <w:sz w:val="20"/>
          <w:szCs w:val="20"/>
        </w:rPr>
        <w:fldChar w:fldCharType="separate"/>
      </w:r>
      <w:r w:rsidR="00A72F9C" w:rsidRPr="00677610">
        <w:rPr>
          <w:rFonts w:ascii="Arial" w:hAnsi="Arial" w:cs="Arial"/>
          <w:noProof/>
          <w:sz w:val="20"/>
          <w:szCs w:val="20"/>
        </w:rPr>
        <w:t>(Rasdi et al. 2024)</w:t>
      </w:r>
      <w:r w:rsidRPr="00677610">
        <w:rPr>
          <w:rFonts w:ascii="Arial" w:hAnsi="Arial" w:cs="Arial"/>
          <w:sz w:val="20"/>
          <w:szCs w:val="20"/>
        </w:rPr>
        <w:fldChar w:fldCharType="end"/>
      </w:r>
      <w:r w:rsidRPr="00677610">
        <w:rPr>
          <w:rFonts w:ascii="Arial" w:hAnsi="Arial" w:cs="Arial"/>
          <w:sz w:val="20"/>
          <w:szCs w:val="20"/>
          <w:lang w:val="en-US"/>
        </w:rPr>
        <w:t xml:space="preserve">. </w:t>
      </w:r>
    </w:p>
    <w:p w14:paraId="7EF0D2A0" w14:textId="7EED896F" w:rsidR="00E16B78" w:rsidRPr="00677610" w:rsidRDefault="00E16B78" w:rsidP="00E16B78">
      <w:pPr>
        <w:pStyle w:val="NormalWeb"/>
        <w:spacing w:before="0" w:beforeAutospacing="0" w:after="0" w:afterAutospacing="0"/>
        <w:ind w:firstLine="720"/>
        <w:jc w:val="both"/>
        <w:rPr>
          <w:rFonts w:ascii="Arial" w:hAnsi="Arial" w:cs="Arial"/>
          <w:sz w:val="20"/>
          <w:szCs w:val="20"/>
        </w:rPr>
      </w:pPr>
      <w:r w:rsidRPr="00677610">
        <w:rPr>
          <w:rFonts w:ascii="Arial" w:hAnsi="Arial" w:cs="Arial"/>
          <w:sz w:val="20"/>
          <w:szCs w:val="20"/>
        </w:rPr>
        <w:t xml:space="preserve">Although studies on spatial transformation and exclusion </w:t>
      </w:r>
      <w:r w:rsidR="00F25C56" w:rsidRPr="00677610">
        <w:rPr>
          <w:rFonts w:ascii="Arial" w:hAnsi="Arial" w:cs="Arial"/>
          <w:sz w:val="20"/>
          <w:szCs w:val="20"/>
        </w:rPr>
        <w:t>related to IKN are proliferating, the literature remains deficient in elucidating which community-level capacities most strongly predict</w:t>
      </w:r>
      <w:r w:rsidRPr="00677610">
        <w:rPr>
          <w:rFonts w:ascii="Arial" w:hAnsi="Arial" w:cs="Arial"/>
          <w:sz w:val="20"/>
          <w:szCs w:val="20"/>
        </w:rPr>
        <w:t xml:space="preserve"> readiness to engage with IKN-related infrastructure. Current IKN research mostly </w:t>
      </w:r>
      <w:r w:rsidR="00F25C56" w:rsidRPr="00677610">
        <w:rPr>
          <w:rFonts w:ascii="Arial" w:hAnsi="Arial" w:cs="Arial"/>
          <w:sz w:val="20"/>
          <w:szCs w:val="20"/>
        </w:rPr>
        <w:t>focuses</w:t>
      </w:r>
      <w:r w:rsidRPr="00677610">
        <w:rPr>
          <w:rFonts w:ascii="Arial" w:hAnsi="Arial" w:cs="Arial"/>
          <w:sz w:val="20"/>
          <w:szCs w:val="20"/>
        </w:rPr>
        <w:t xml:space="preserve"> on qualitative field evidence and spatial diagnostics</w:t>
      </w:r>
      <w:r w:rsidRPr="00677610">
        <w:rPr>
          <w:rFonts w:ascii="Arial" w:hAnsi="Arial" w:cs="Arial"/>
          <w:sz w:val="20"/>
          <w:szCs w:val="20"/>
          <w:lang w:val="en-US"/>
        </w:rPr>
        <w:t xml:space="preserve"> </w:t>
      </w:r>
      <w:r w:rsidRPr="00677610">
        <w:rPr>
          <w:rFonts w:ascii="Arial" w:hAnsi="Arial" w:cs="Arial"/>
          <w:sz w:val="20"/>
          <w:szCs w:val="20"/>
        </w:rPr>
        <w:fldChar w:fldCharType="begin" w:fldLock="1"/>
      </w:r>
      <w:r w:rsidR="00A72F9C" w:rsidRPr="00677610">
        <w:rPr>
          <w:rFonts w:ascii="Arial" w:hAnsi="Arial" w:cs="Arial"/>
          <w:sz w:val="20"/>
          <w:szCs w:val="20"/>
        </w:rPr>
        <w:instrText>ADDIN CSL_CITATION {"citationItems":[{"id":"ITEM-1","itemData":{"DOI":"10.3390/land13050606","ISSN":"2073-445X","abstract":"The relocation of Indonesia’s capital to the IKN (Ibu Kota Negara) Nusantara in East Kalimantan is leading to significant changes in land use, shifting from natural vegetation and agriculture to urban infrastructure. This transition brings about economic diversification and urban expansion, but it also raises concerns about its impact on society, the economy, and the environment. The rapid development affects biodiversity conservation, food security, and the livelihoods of rural and Indigenous communities, leading to conflicts across social and economic dimensions. This research uses qualitative and quantitative data to examine the socio-economic and environmental changes in the IKN Nusantara area from 2003 to 2023. The findings show a notable increase in built-up areas, indicating urbanization and a decrease in agricultural land. The study discusses the implications for local populations and ecosystems, emphasizing the need for inclusive governance, community participation, and conflict resolution. It also proposes a comprehensive policy framework that promotes sustainable land management, recognizes Indigenous and local rights, and fosters inclusive economic growth to respect Indonesia’s rich environmental and cultural heritage.","author":[{"dropping-particle":"","family":"Syaban","given":"Alfath Satria Negara","non-dropping-particle":"","parse-names":false,"suffix":""},{"dropping-particle":"","family":"Appiah-Opoku","given":"Seth","non-dropping-particle":"","parse-names":false,"suffix":""}],"container-title":"Land","id":"ITEM-1","issue":"5","issued":{"date-parts":[["2024","4","30"]]},"page":"606","title":"Unveiling the Complexities of Land Use Transition in Indonesia’s New Capital City IKN Nusantara: A Multidimensional Conflict Analysis","type":"article-journal","volume":"13"},"uris":["http://www.mendeley.com/documents/?uuid=a62534fc-49a3-497c-86b6-cda6268c5efc"]},{"id":"ITEM-2","itemData":{"DOI":"10.1016/j.ocecoaman.2025.107801","ISSN":"09645691","abstract":"Relocation of capital cities often promises modernization and economic growth but raises significant socio-ecological concerns. Indonesia's decision to move its capital from Jakarta to ‘Nusantara’ (IKN) in East Kalimantan exemplifies these challenges, particularly for local communities. This study examines the socio-ecological impacts of this development on coastal communities in Balikpapan Bay, a critical yet underexplored context in Indonesia's new capital project. Drawing on ‘powers of exclusion’ and ocean-grabbing theories, it investigates how government regulations, legitimation, market dynamics, and force intensify the exclusion of coastal communities in Balikpapan Bay, and how IKN's development reshapes access and fishers' relations to coastal resources. Employing qualitative methods, it draws on from field research in several villages around Balikpapan Bay. Findings reveal that the new capital development exacerbates long-standing exclusion of coastal communities, particularly for fishing groups. Pressures from the logging, mining, and plantations had already limited fishermen's access and IKN development deepens this exclusion, disrupting fishers' livelihoods, and sparkling social conflicts over shrinking resources. The study highlights the state's role in legitimizing exclusions under development narratives, prioritizing state and corporate interests over local communities. This research contributes to a deeper understanding of the socio-environmental ramifications and trade-offs inherent in large-scale infrastructure projects like capital relocation. This research underscores the urgent need for inclusive approaches in coastal governance to reconcile large-scale development with socio-ecological justice, offering critical insights for policymakers and development practitioners worldwide.","author":[{"dropping-particle":"","family":"Syafi'i","given":"Imam","non-dropping-particle":"","parse-names":false,"suffix":""},{"dropping-particle":"","family":"Suryani","given":"Dini","non-dropping-particle":"","parse-names":false,"suffix":""},{"dropping-particle":"","family":"Satriani","given":"Septi","non-dropping-particle":"","parse-names":false,"suffix":""},{"dropping-particle":"","family":"Aulia","given":"Dian","non-dropping-particle":"","parse-names":false,"suffix":""},{"dropping-particle":"","family":"Dhiaulhaq","given":"Ahmad","non-dropping-particle":"","parse-names":false,"suffix":""},{"dropping-particle":"","family":"Adaba","given":"Pandu Yuhsina","non-dropping-particle":"","parse-names":false,"suffix":""}],"container-title":"Ocean &amp; Coastal Management","id":"ITEM-2","issued":{"date-parts":[["2025","10"]]},"page":"107801","title":"Displaced by progress: The new capital development and the powers of exclusion in Balikpapan Bay, Indonesia","type":"article-journal","volume":"269"},"uris":["http://www.mendeley.com/documents/?uuid=62a1f929-5012-40d0-bc76-d95f9aadbf61"]}],"mendeley":{"formattedCitation":"(Syaban and Appiah-Opoku 2024; Syafi’i et al. 2025)","plainTextFormattedCitation":"(Syaban and Appiah-Opoku 2024; Syafi’i et al. 2025)","previouslyFormattedCitation":"(Syaban and Appiah-Opoku 2024; Syafi’i et al. 2025)"},"properties":{"noteIndex":0},"schema":"https://github.com/citation-style-language/schema/raw/master/csl-citation.json"}</w:instrText>
      </w:r>
      <w:r w:rsidRPr="00677610">
        <w:rPr>
          <w:rFonts w:ascii="Arial" w:hAnsi="Arial" w:cs="Arial"/>
          <w:sz w:val="20"/>
          <w:szCs w:val="20"/>
        </w:rPr>
        <w:fldChar w:fldCharType="separate"/>
      </w:r>
      <w:r w:rsidR="00A72F9C" w:rsidRPr="00677610">
        <w:rPr>
          <w:rFonts w:ascii="Arial" w:hAnsi="Arial" w:cs="Arial"/>
          <w:noProof/>
          <w:sz w:val="20"/>
          <w:szCs w:val="20"/>
        </w:rPr>
        <w:t>(Syaban and Appiah-Opoku 2024; Syafi’i et al. 2025)</w:t>
      </w:r>
      <w:r w:rsidRPr="00677610">
        <w:rPr>
          <w:rFonts w:ascii="Arial" w:hAnsi="Arial" w:cs="Arial"/>
          <w:sz w:val="20"/>
          <w:szCs w:val="20"/>
        </w:rPr>
        <w:fldChar w:fldCharType="end"/>
      </w:r>
      <w:r w:rsidRPr="00677610">
        <w:rPr>
          <w:rFonts w:ascii="Arial" w:hAnsi="Arial" w:cs="Arial"/>
          <w:sz w:val="20"/>
          <w:szCs w:val="20"/>
        </w:rPr>
        <w:t xml:space="preserve">, which are crucial for problem mapping but fail to quantify the relative significance of competing capacity drivers for action selection. This </w:t>
      </w:r>
      <w:r w:rsidR="00540CCE" w:rsidRPr="00677610">
        <w:rPr>
          <w:rFonts w:ascii="Arial" w:hAnsi="Arial" w:cs="Arial"/>
          <w:sz w:val="20"/>
          <w:szCs w:val="20"/>
          <w:lang w:val="en-US"/>
        </w:rPr>
        <w:t xml:space="preserve">study </w:t>
      </w:r>
      <w:r w:rsidRPr="00677610">
        <w:rPr>
          <w:rFonts w:ascii="Arial" w:hAnsi="Arial" w:cs="Arial"/>
          <w:sz w:val="20"/>
          <w:szCs w:val="20"/>
        </w:rPr>
        <w:t>examines a structural model wherein community motivation, education, and skills forecast community readiness among local individuals in IKN host subdistricts.</w:t>
      </w:r>
    </w:p>
    <w:p w14:paraId="77CD3351" w14:textId="5E40E1F6" w:rsidR="00E16B78" w:rsidRPr="00677610" w:rsidRDefault="00E16B78" w:rsidP="00E16B78">
      <w:pPr>
        <w:pStyle w:val="NormalWeb"/>
        <w:spacing w:before="0" w:beforeAutospacing="0" w:after="0" w:afterAutospacing="0"/>
        <w:ind w:firstLine="720"/>
        <w:jc w:val="both"/>
        <w:rPr>
          <w:rStyle w:val="Strong"/>
          <w:rFonts w:ascii="Arial" w:hAnsi="Arial" w:cs="Arial"/>
          <w:b w:val="0"/>
          <w:bCs w:val="0"/>
          <w:sz w:val="20"/>
          <w:szCs w:val="20"/>
        </w:rPr>
      </w:pPr>
      <w:r w:rsidRPr="00677610">
        <w:rPr>
          <w:rStyle w:val="Strong"/>
          <w:rFonts w:ascii="Arial" w:hAnsi="Arial" w:cs="Arial"/>
          <w:b w:val="0"/>
          <w:bCs w:val="0"/>
          <w:sz w:val="20"/>
          <w:szCs w:val="20"/>
        </w:rPr>
        <w:t xml:space="preserve">In this context, the current study </w:t>
      </w:r>
      <w:r w:rsidR="00F25C56" w:rsidRPr="00677610">
        <w:rPr>
          <w:rStyle w:val="Strong"/>
          <w:rFonts w:ascii="Arial" w:hAnsi="Arial" w:cs="Arial"/>
          <w:b w:val="0"/>
          <w:bCs w:val="0"/>
          <w:sz w:val="20"/>
          <w:szCs w:val="20"/>
        </w:rPr>
        <w:t>shifts from detailing the external pressures and risks associated with IKN-related transformation to elucidating the internal community mechanisms that shape the inclusive use</w:t>
      </w:r>
      <w:r w:rsidRPr="00677610">
        <w:rPr>
          <w:rStyle w:val="Strong"/>
          <w:rFonts w:ascii="Arial" w:hAnsi="Arial" w:cs="Arial"/>
          <w:b w:val="0"/>
          <w:bCs w:val="0"/>
          <w:sz w:val="20"/>
          <w:szCs w:val="20"/>
        </w:rPr>
        <w:t xml:space="preserve"> of newly constructed infrastructure by local residents. The central thesis posits that community readiness does not arise spontaneously from the mere presence of infrastructure; instead, it constitutes an </w:t>
      </w:r>
      <w:r w:rsidRPr="00677610">
        <w:rPr>
          <w:rStyle w:val="Strong"/>
          <w:rFonts w:ascii="Arial" w:hAnsi="Arial" w:cs="Arial"/>
          <w:b w:val="0"/>
          <w:bCs w:val="0"/>
          <w:sz w:val="20"/>
          <w:szCs w:val="20"/>
        </w:rPr>
        <w:lastRenderedPageBreak/>
        <w:t xml:space="preserve">actionable capability that necessitates intentional cultivation through: (i) bolstering residents' motivational orientation, (ii) fostering functional skills for effectively engaging with technology-enabled services and processes, and (iii) augmenting educational resources that enhance interpretive and adaptive capacities in response to rapid change. This mechanism-based perspective has not been empirically examined within the IKN context, resulting in a significant gap in comprehending which human-capital construct most effectively influences community readiness among IKN's host populations. This study is justified by the need to objectively measure and concurrently evaluate the structural impacts of motivation, skills, and education as determinants of community readiness across all four host subdistricts of the IKN core government region. This section discusses the theoretical foundations and recent empirical evidence </w:t>
      </w:r>
      <w:r w:rsidR="00F25C56" w:rsidRPr="00677610">
        <w:rPr>
          <w:rStyle w:val="Strong"/>
          <w:rFonts w:ascii="Arial" w:hAnsi="Arial" w:cs="Arial"/>
          <w:b w:val="0"/>
          <w:bCs w:val="0"/>
          <w:sz w:val="20"/>
          <w:szCs w:val="20"/>
        </w:rPr>
        <w:t>linking these three dimensions to community readiness, and subsequently formulates</w:t>
      </w:r>
      <w:r w:rsidRPr="00677610">
        <w:rPr>
          <w:rStyle w:val="Strong"/>
          <w:rFonts w:ascii="Arial" w:hAnsi="Arial" w:cs="Arial"/>
          <w:b w:val="0"/>
          <w:bCs w:val="0"/>
          <w:sz w:val="20"/>
          <w:szCs w:val="20"/>
        </w:rPr>
        <w:t xml:space="preserve"> the hypotheses investigated in the structural model.</w:t>
      </w:r>
    </w:p>
    <w:p w14:paraId="302D714F" w14:textId="77777777" w:rsidR="00E16B78" w:rsidRPr="00677610" w:rsidRDefault="00E16B78" w:rsidP="00353A25">
      <w:pPr>
        <w:pStyle w:val="Body"/>
        <w:spacing w:after="0"/>
        <w:ind w:left="426" w:hanging="426"/>
        <w:rPr>
          <w:rFonts w:ascii="Arial" w:hAnsi="Arial" w:cs="Arial"/>
        </w:rPr>
      </w:pPr>
    </w:p>
    <w:p w14:paraId="1296604E" w14:textId="052A963A" w:rsidR="00E16B78" w:rsidRPr="00677610" w:rsidRDefault="006E45C4" w:rsidP="00E16B78">
      <w:pPr>
        <w:pStyle w:val="AbstHead"/>
        <w:numPr>
          <w:ilvl w:val="0"/>
          <w:numId w:val="6"/>
        </w:numPr>
        <w:spacing w:before="120" w:after="120"/>
        <w:ind w:left="357" w:hanging="357"/>
        <w:jc w:val="both"/>
        <w:rPr>
          <w:rFonts w:ascii="Arial" w:hAnsi="Arial" w:cs="Arial"/>
        </w:rPr>
      </w:pPr>
      <w:r w:rsidRPr="00677610">
        <w:rPr>
          <w:rFonts w:ascii="Arial" w:hAnsi="Arial" w:cs="Arial"/>
          <w:caps w:val="0"/>
        </w:rPr>
        <w:t xml:space="preserve">Literature Review </w:t>
      </w:r>
      <w:proofErr w:type="gramStart"/>
      <w:r w:rsidRPr="00677610">
        <w:rPr>
          <w:rFonts w:ascii="Arial" w:hAnsi="Arial" w:cs="Arial"/>
          <w:caps w:val="0"/>
        </w:rPr>
        <w:t>And</w:t>
      </w:r>
      <w:proofErr w:type="gramEnd"/>
      <w:r w:rsidRPr="00677610">
        <w:rPr>
          <w:rFonts w:ascii="Arial" w:hAnsi="Arial" w:cs="Arial"/>
          <w:caps w:val="0"/>
        </w:rPr>
        <w:t xml:space="preserve"> Hypotheses Development</w:t>
      </w:r>
    </w:p>
    <w:p w14:paraId="2DF955CC" w14:textId="09A5EA6C" w:rsidR="00E16B78" w:rsidRPr="00677610" w:rsidRDefault="00E16B78" w:rsidP="00E16B78">
      <w:pPr>
        <w:pStyle w:val="Heading3"/>
        <w:numPr>
          <w:ilvl w:val="0"/>
          <w:numId w:val="14"/>
        </w:numPr>
        <w:tabs>
          <w:tab w:val="num" w:pos="360"/>
        </w:tabs>
        <w:spacing w:before="0" w:after="120" w:line="240" w:lineRule="auto"/>
        <w:ind w:left="493" w:hanging="493"/>
        <w:jc w:val="both"/>
        <w:rPr>
          <w:rFonts w:ascii="Arial" w:hAnsi="Arial" w:cs="Arial"/>
          <w:color w:val="auto"/>
          <w:sz w:val="20"/>
          <w:szCs w:val="20"/>
        </w:rPr>
      </w:pPr>
      <w:r w:rsidRPr="00677610">
        <w:rPr>
          <w:rFonts w:ascii="Arial" w:hAnsi="Arial" w:cs="Arial"/>
          <w:color w:val="auto"/>
          <w:sz w:val="20"/>
          <w:szCs w:val="20"/>
        </w:rPr>
        <w:t xml:space="preserve">IKN as a Megaproject </w:t>
      </w:r>
      <w:proofErr w:type="gramStart"/>
      <w:r w:rsidRPr="00677610">
        <w:rPr>
          <w:rFonts w:ascii="Arial" w:hAnsi="Arial" w:cs="Arial"/>
          <w:color w:val="auto"/>
          <w:sz w:val="20"/>
          <w:szCs w:val="20"/>
        </w:rPr>
        <w:t>And</w:t>
      </w:r>
      <w:proofErr w:type="gramEnd"/>
      <w:r w:rsidRPr="00677610">
        <w:rPr>
          <w:rFonts w:ascii="Arial" w:hAnsi="Arial" w:cs="Arial"/>
          <w:color w:val="auto"/>
          <w:sz w:val="20"/>
          <w:szCs w:val="20"/>
        </w:rPr>
        <w:t xml:space="preserve"> The Imperative Of Community Capability</w:t>
      </w:r>
    </w:p>
    <w:p w14:paraId="515D3532" w14:textId="18ACEAC5" w:rsidR="00E16B78" w:rsidRPr="00677610" w:rsidRDefault="00E16B78" w:rsidP="00E16B78">
      <w:pPr>
        <w:pStyle w:val="NormalWeb"/>
        <w:spacing w:before="0" w:beforeAutospacing="0" w:after="0" w:afterAutospacing="0"/>
        <w:ind w:firstLine="720"/>
        <w:jc w:val="both"/>
        <w:rPr>
          <w:rFonts w:ascii="Arial" w:hAnsi="Arial" w:cs="Arial"/>
          <w:sz w:val="20"/>
          <w:szCs w:val="20"/>
          <w:lang w:val="en-US"/>
        </w:rPr>
      </w:pPr>
      <w:r w:rsidRPr="00677610">
        <w:rPr>
          <w:rFonts w:ascii="Arial" w:hAnsi="Arial" w:cs="Arial"/>
          <w:sz w:val="20"/>
          <w:szCs w:val="20"/>
        </w:rPr>
        <w:t xml:space="preserve">Capital relocation is frequently characterized as a modernization strategy; however, recent research on megaprojects underscores that these initiatives are also "legacy-building" efforts: they accelerate institutional decision-making, improve narrative construction, and often prioritize symbolic national goals alongside (or even above) distributive equity. In the Indonesian context, research on Nusantara (IKN) indicates that the relocation initiative is shaped by political ambitions and institutional frameworks that may constrain discourse and diminish opportunities for meaningful local engagement—implying that distributional outcomes are significantly dependent on governance structures rather than merely on infrastructure provision </w:t>
      </w:r>
      <w:r w:rsidRPr="00677610">
        <w:rPr>
          <w:rFonts w:ascii="Arial" w:hAnsi="Arial" w:cs="Arial"/>
          <w:sz w:val="20"/>
          <w:szCs w:val="20"/>
        </w:rPr>
        <w:fldChar w:fldCharType="begin" w:fldLock="1"/>
      </w:r>
      <w:r w:rsidR="00A72F9C" w:rsidRPr="00677610">
        <w:rPr>
          <w:rFonts w:ascii="Arial" w:hAnsi="Arial" w:cs="Arial"/>
          <w:sz w:val="20"/>
          <w:szCs w:val="20"/>
        </w:rPr>
        <w:instrText>ADDIN CSL_CITATION {"citationItems":[{"id":"ITEM-1","itemData":{"DOI":"10.1016/j.habitatint.2023.102933","ISSN":"01973975","author":[{"dropping-particle":"","family":"Hudalah","given":"Delik","non-dropping-particle":"","parse-names":false,"suffix":""}],"container-title":"Habitat International","id":"ITEM-1","issued":{"date-parts":[["2023","11"]]},"page":"102933","title":"Building a capital city, carving out a megaproject legacy?","type":"article-journal","volume":"141"},"uris":["http://www.mendeley.com/documents/?uuid=76425e84-80ae-4db3-9824-6ff250376267"]}],"mendeley":{"formattedCitation":"(Hudalah 2023)","plainTextFormattedCitation":"(Hudalah 2023)","previouslyFormattedCitation":"(Hudalah 2023)"},"properties":{"noteIndex":0},"schema":"https://github.com/citation-style-language/schema/raw/master/csl-citation.json"}</w:instrText>
      </w:r>
      <w:r w:rsidRPr="00677610">
        <w:rPr>
          <w:rFonts w:ascii="Arial" w:hAnsi="Arial" w:cs="Arial"/>
          <w:sz w:val="20"/>
          <w:szCs w:val="20"/>
        </w:rPr>
        <w:fldChar w:fldCharType="separate"/>
      </w:r>
      <w:r w:rsidR="00A72F9C" w:rsidRPr="00677610">
        <w:rPr>
          <w:rFonts w:ascii="Arial" w:hAnsi="Arial" w:cs="Arial"/>
          <w:noProof/>
          <w:sz w:val="20"/>
          <w:szCs w:val="20"/>
        </w:rPr>
        <w:t>(Hudalah 2023)</w:t>
      </w:r>
      <w:r w:rsidRPr="00677610">
        <w:rPr>
          <w:rFonts w:ascii="Arial" w:hAnsi="Arial" w:cs="Arial"/>
          <w:sz w:val="20"/>
          <w:szCs w:val="20"/>
        </w:rPr>
        <w:fldChar w:fldCharType="end"/>
      </w:r>
      <w:r w:rsidRPr="00677610">
        <w:rPr>
          <w:rFonts w:ascii="Arial" w:hAnsi="Arial" w:cs="Arial"/>
          <w:sz w:val="20"/>
          <w:szCs w:val="20"/>
          <w:lang w:val="en-US"/>
        </w:rPr>
        <w:t>.</w:t>
      </w:r>
    </w:p>
    <w:p w14:paraId="7FCEA0F1" w14:textId="0EBCDF9A" w:rsidR="00E16B78" w:rsidRPr="00677610" w:rsidRDefault="00E16B78" w:rsidP="00E16B78">
      <w:pPr>
        <w:pStyle w:val="NormalWeb"/>
        <w:spacing w:before="0" w:beforeAutospacing="0" w:after="0" w:afterAutospacing="0"/>
        <w:ind w:firstLine="720"/>
        <w:jc w:val="both"/>
        <w:rPr>
          <w:rFonts w:ascii="Arial" w:hAnsi="Arial" w:cs="Arial"/>
          <w:sz w:val="20"/>
          <w:szCs w:val="20"/>
          <w:lang w:val="en-US"/>
        </w:rPr>
      </w:pPr>
      <w:r w:rsidRPr="00677610">
        <w:rPr>
          <w:rFonts w:ascii="Arial" w:hAnsi="Arial" w:cs="Arial"/>
          <w:sz w:val="20"/>
          <w:szCs w:val="20"/>
        </w:rPr>
        <w:t xml:space="preserve">Empirical research in the IKN development region indicates that </w:t>
      </w:r>
      <w:r w:rsidR="00F25C56" w:rsidRPr="00677610">
        <w:rPr>
          <w:rFonts w:ascii="Arial" w:hAnsi="Arial" w:cs="Arial"/>
          <w:sz w:val="20"/>
          <w:szCs w:val="20"/>
        </w:rPr>
        <w:t>geographic change can simultaneously expand</w:t>
      </w:r>
      <w:r w:rsidRPr="00677610">
        <w:rPr>
          <w:rFonts w:ascii="Arial" w:hAnsi="Arial" w:cs="Arial"/>
          <w:sz w:val="20"/>
          <w:szCs w:val="20"/>
        </w:rPr>
        <w:t xml:space="preserve"> opportunities and exacerbate vulnerabilities. Land-use transition analysis reveals swift conversion pressures from natural vegetation and agricultural practices to urban development, resulting in multifaceted risks associated with ecological alteration, disruption of livelihoods, and potential conflict, particularly in areas where land, resources, and authority are disputed </w:t>
      </w:r>
      <w:r w:rsidRPr="00677610">
        <w:rPr>
          <w:rFonts w:ascii="Arial" w:hAnsi="Arial" w:cs="Arial"/>
          <w:sz w:val="20"/>
          <w:szCs w:val="20"/>
        </w:rPr>
        <w:fldChar w:fldCharType="begin" w:fldLock="1"/>
      </w:r>
      <w:r w:rsidR="00A72F9C" w:rsidRPr="00677610">
        <w:rPr>
          <w:rFonts w:ascii="Arial" w:hAnsi="Arial" w:cs="Arial"/>
          <w:sz w:val="20"/>
          <w:szCs w:val="20"/>
        </w:rPr>
        <w:instrText>ADDIN CSL_CITATION {"citationItems":[{"id":"ITEM-1","itemData":{"DOI":"10.59888/ajosh.v2i10.352","ISSN":"2963-4946","abstract":"Land disputes are one of the complex and frequent agrarian problems in Indonesia. Therefore, systematic and targeted efforts are needed to resolve land disputes in Indonesia. The National Land Agency (BPN) as a government agency tasked with managing land has an important role in resolving land disputes. This research aims to examine the role of BPN in resolving land disputes in Indonesia. The research method used in this study is a qualitative method. The data collection technique in this research is literature study. The data that has been collected is then analyzed in three stages, namely data reduction, data presentation and drawing conclusions. The research results show that BPN has a central role in resolving land disputes in Indonesia. As an institution responsible for land administration and management, BPN plays a role in facilitating legal and administrative processes related to ownership, utilization and resolution of land disputes. BPN is tasked with providing legal certainty regarding land status, verifying ownership claims, and providing land certificates to the legal owners. Apart from that, BPN also plays a role in mediating and resolving conflicts between parties involved in land disputes, whether between individuals, traditional communities, or private parties. BPN's role is not only limited to administrative aspects, but also includes efforts to create fair and sustainable solutions, taking into account various social, economic and environmental aspects.","author":[{"dropping-particle":"","family":"Pasamai","given":"Syamsuddin","non-dropping-particle":"","parse-names":false,"suffix":""},{"dropping-particle":"","family":"Salle","given":"Salle","non-dropping-particle":"","parse-names":false,"suffix":""}],"container-title":"Asian Journal of Social and Humanities","id":"ITEM-1","issue":"10","issued":{"date-parts":[["2024","7","20"]]},"page":"2195-2202","title":"The Role of The National Land Agency (BPN) In Resolving Land Disputes In Indonesia","type":"article-journal","volume":"2"},"uris":["http://www.mendeley.com/documents/?uuid=f441e257-6f14-4d3b-8e2f-3e331198f9f6"]}],"mendeley":{"formattedCitation":"(Pasamai and Salle 2024)","plainTextFormattedCitation":"(Pasamai and Salle 2024)","previouslyFormattedCitation":"(Pasamai and Salle 2024)"},"properties":{"noteIndex":0},"schema":"https://github.com/citation-style-language/schema/raw/master/csl-citation.json"}</w:instrText>
      </w:r>
      <w:r w:rsidRPr="00677610">
        <w:rPr>
          <w:rFonts w:ascii="Arial" w:hAnsi="Arial" w:cs="Arial"/>
          <w:sz w:val="20"/>
          <w:szCs w:val="20"/>
        </w:rPr>
        <w:fldChar w:fldCharType="separate"/>
      </w:r>
      <w:r w:rsidR="00A72F9C" w:rsidRPr="00677610">
        <w:rPr>
          <w:rFonts w:ascii="Arial" w:hAnsi="Arial" w:cs="Arial"/>
          <w:noProof/>
          <w:sz w:val="20"/>
          <w:szCs w:val="20"/>
        </w:rPr>
        <w:t>(Pasamai and Salle 2024)</w:t>
      </w:r>
      <w:r w:rsidRPr="00677610">
        <w:rPr>
          <w:rFonts w:ascii="Arial" w:hAnsi="Arial" w:cs="Arial"/>
          <w:sz w:val="20"/>
          <w:szCs w:val="20"/>
        </w:rPr>
        <w:fldChar w:fldCharType="end"/>
      </w:r>
      <w:r w:rsidRPr="00677610">
        <w:rPr>
          <w:rFonts w:ascii="Arial" w:hAnsi="Arial" w:cs="Arial"/>
          <w:sz w:val="20"/>
          <w:szCs w:val="20"/>
          <w:lang w:val="en-US"/>
        </w:rPr>
        <w:t xml:space="preserve">. </w:t>
      </w:r>
      <w:r w:rsidRPr="00677610">
        <w:rPr>
          <w:rFonts w:ascii="Arial" w:hAnsi="Arial" w:cs="Arial"/>
          <w:sz w:val="20"/>
          <w:szCs w:val="20"/>
        </w:rPr>
        <w:t xml:space="preserve">In Balikpapan Bay, a coastal region associated with the larger IKN development initiative, qualitative evidence reveals exclusionary mechanisms at work through regulation, legitimation, market dynamics, and coercion, which alter access to coastal resources and exacerbate livelihood insecurity for fishing communities </w:t>
      </w:r>
      <w:r w:rsidRPr="00677610">
        <w:rPr>
          <w:rFonts w:ascii="Arial" w:hAnsi="Arial" w:cs="Arial"/>
          <w:sz w:val="20"/>
          <w:szCs w:val="20"/>
        </w:rPr>
        <w:fldChar w:fldCharType="begin" w:fldLock="1"/>
      </w:r>
      <w:r w:rsidR="00A72F9C" w:rsidRPr="00677610">
        <w:rPr>
          <w:rFonts w:ascii="Arial" w:hAnsi="Arial" w:cs="Arial"/>
          <w:sz w:val="20"/>
          <w:szCs w:val="20"/>
        </w:rPr>
        <w:instrText>ADDIN CSL_CITATION {"citationItems":[{"id":"ITEM-1","itemData":{"DOI":"10.1016/j.ocecoaman.2025.107801","ISSN":"09645691","abstract":"Relocation of capital cities often promises modernization and economic growth but raises significant socio-ecological concerns. Indonesia's decision to move its capital from Jakarta to ‘Nusantara’ (IKN) in East Kalimantan exemplifies these challenges, particularly for local communities. This study examines the socio-ecological impacts of this development on coastal communities in Balikpapan Bay, a critical yet underexplored context in Indonesia's new capital project. Drawing on ‘powers of exclusion’ and ocean-grabbing theories, it investigates how government regulations, legitimation, market dynamics, and force intensify the exclusion of coastal communities in Balikpapan Bay, and how IKN's development reshapes access and fishers' relations to coastal resources. Employing qualitative methods, it draws on from field research in several villages around Balikpapan Bay. Findings reveal that the new capital development exacerbates long-standing exclusion of coastal communities, particularly for fishing groups. Pressures from the logging, mining, and plantations had already limited fishermen's access and IKN development deepens this exclusion, disrupting fishers' livelihoods, and sparkling social conflicts over shrinking resources. The study highlights the state's role in legitimizing exclusions under development narratives, prioritizing state and corporate interests over local communities. This research contributes to a deeper understanding of the socio-environmental ramifications and trade-offs inherent in large-scale infrastructure projects like capital relocation. This research underscores the urgent need for inclusive approaches in coastal governance to reconcile large-scale development with socio-ecological justice, offering critical insights for policymakers and development practitioners worldwide.","author":[{"dropping-particle":"","family":"Syafi'i","given":"Imam","non-dropping-particle":"","parse-names":false,"suffix":""},{"dropping-particle":"","family":"Suryani","given":"Dini","non-dropping-particle":"","parse-names":false,"suffix":""},{"dropping-particle":"","family":"Satriani","given":"Septi","non-dropping-particle":"","parse-names":false,"suffix":""},{"dropping-particle":"","family":"Aulia","given":"Dian","non-dropping-particle":"","parse-names":false,"suffix":""},{"dropping-particle":"","family":"Dhiaulhaq","given":"Ahmad","non-dropping-particle":"","parse-names":false,"suffix":""},{"dropping-particle":"","family":"Adaba","given":"Pandu Yuhsina","non-dropping-particle":"","parse-names":false,"suffix":""}],"container-title":"Ocean &amp; Coastal Management","id":"ITEM-1","issued":{"date-parts":[["2025","10"]]},"page":"107801","title":"Displaced by progress: The new capital development and the powers of exclusion in Balikpapan Bay, Indonesia","type":"article-journal","volume":"269"},"uris":["http://www.mendeley.com/documents/?uuid=62a1f929-5012-40d0-bc76-d95f9aadbf61"]}],"mendeley":{"formattedCitation":"(Syafi’i et al. 2025)","plainTextFormattedCitation":"(Syafi’i et al. 2025)","previouslyFormattedCitation":"(Syafi’i et al. 2025)"},"properties":{"noteIndex":0},"schema":"https://github.com/citation-style-language/schema/raw/master/csl-citation.json"}</w:instrText>
      </w:r>
      <w:r w:rsidRPr="00677610">
        <w:rPr>
          <w:rFonts w:ascii="Arial" w:hAnsi="Arial" w:cs="Arial"/>
          <w:sz w:val="20"/>
          <w:szCs w:val="20"/>
        </w:rPr>
        <w:fldChar w:fldCharType="separate"/>
      </w:r>
      <w:r w:rsidR="00A72F9C" w:rsidRPr="00677610">
        <w:rPr>
          <w:rFonts w:ascii="Arial" w:hAnsi="Arial" w:cs="Arial"/>
          <w:noProof/>
          <w:sz w:val="20"/>
          <w:szCs w:val="20"/>
        </w:rPr>
        <w:t>(Syafi’i et al. 2025)</w:t>
      </w:r>
      <w:r w:rsidRPr="00677610">
        <w:rPr>
          <w:rFonts w:ascii="Arial" w:hAnsi="Arial" w:cs="Arial"/>
          <w:sz w:val="20"/>
          <w:szCs w:val="20"/>
        </w:rPr>
        <w:fldChar w:fldCharType="end"/>
      </w:r>
      <w:r w:rsidRPr="00677610">
        <w:rPr>
          <w:rFonts w:ascii="Arial" w:hAnsi="Arial" w:cs="Arial"/>
          <w:sz w:val="20"/>
          <w:szCs w:val="20"/>
          <w:lang w:val="en-US"/>
        </w:rPr>
        <w:t>.</w:t>
      </w:r>
    </w:p>
    <w:p w14:paraId="35013F54" w14:textId="2C5539ED" w:rsidR="00E16B78" w:rsidRPr="00677610" w:rsidRDefault="00E16B78" w:rsidP="00E16B78">
      <w:pPr>
        <w:pStyle w:val="NormalWeb"/>
        <w:spacing w:before="0" w:beforeAutospacing="0" w:after="0" w:afterAutospacing="0"/>
        <w:ind w:firstLine="720"/>
        <w:jc w:val="both"/>
        <w:rPr>
          <w:rFonts w:ascii="Arial" w:hAnsi="Arial" w:cs="Arial"/>
          <w:sz w:val="20"/>
          <w:szCs w:val="20"/>
        </w:rPr>
      </w:pPr>
      <w:r w:rsidRPr="00677610">
        <w:rPr>
          <w:rFonts w:ascii="Arial" w:hAnsi="Arial" w:cs="Arial"/>
          <w:sz w:val="20"/>
          <w:szCs w:val="20"/>
        </w:rPr>
        <w:t>Participation and procedural justice are thus essential concerns in the IKN context. A legal and human rights-focused analysis indicates that extensive development may create significant obstacles for Indigenous peoples and local communities in defending their land, negotiating equitable terms, and obtaining meaningful consultation, thereby underscoring the necessity of considering "community capability" as an essential criterion for inclusive development. The IKN literature advocates for a transition from an infrastructure-focused perspective (“what is constructed?”) to a capability-focused perspective (“who can utilize and benefit, and under what circumstances?”).</w:t>
      </w:r>
    </w:p>
    <w:p w14:paraId="5C9BF530" w14:textId="77777777" w:rsidR="00E16B78" w:rsidRPr="00677610" w:rsidRDefault="00E16B78" w:rsidP="00E16B78">
      <w:pPr>
        <w:pStyle w:val="NormalWeb"/>
        <w:spacing w:before="0" w:beforeAutospacing="0" w:after="0" w:afterAutospacing="0"/>
        <w:ind w:firstLine="720"/>
        <w:jc w:val="both"/>
        <w:rPr>
          <w:rFonts w:ascii="Arial" w:hAnsi="Arial" w:cs="Arial"/>
          <w:sz w:val="20"/>
          <w:szCs w:val="20"/>
        </w:rPr>
      </w:pPr>
    </w:p>
    <w:p w14:paraId="0BE74413" w14:textId="164ABA39" w:rsidR="00E16B78" w:rsidRPr="00677610" w:rsidRDefault="00E16B78" w:rsidP="00E16B78">
      <w:pPr>
        <w:pStyle w:val="Heading3"/>
        <w:numPr>
          <w:ilvl w:val="0"/>
          <w:numId w:val="14"/>
        </w:numPr>
        <w:tabs>
          <w:tab w:val="num" w:pos="360"/>
        </w:tabs>
        <w:spacing w:before="0" w:after="120" w:line="240" w:lineRule="auto"/>
        <w:ind w:left="493" w:hanging="493"/>
        <w:jc w:val="both"/>
        <w:rPr>
          <w:rFonts w:ascii="Arial" w:hAnsi="Arial" w:cs="Arial"/>
          <w:color w:val="auto"/>
          <w:sz w:val="20"/>
          <w:szCs w:val="20"/>
        </w:rPr>
      </w:pPr>
      <w:r w:rsidRPr="00677610">
        <w:rPr>
          <w:rFonts w:ascii="Arial" w:hAnsi="Arial" w:cs="Arial"/>
          <w:color w:val="auto"/>
          <w:sz w:val="20"/>
          <w:szCs w:val="20"/>
        </w:rPr>
        <w:t xml:space="preserve">Community Readiness </w:t>
      </w:r>
      <w:proofErr w:type="gramStart"/>
      <w:r w:rsidRPr="00677610">
        <w:rPr>
          <w:rFonts w:ascii="Arial" w:hAnsi="Arial" w:cs="Arial"/>
          <w:color w:val="auto"/>
          <w:sz w:val="20"/>
          <w:szCs w:val="20"/>
        </w:rPr>
        <w:t>As</w:t>
      </w:r>
      <w:proofErr w:type="gramEnd"/>
      <w:r w:rsidRPr="00677610">
        <w:rPr>
          <w:rFonts w:ascii="Arial" w:hAnsi="Arial" w:cs="Arial"/>
          <w:color w:val="auto"/>
          <w:sz w:val="20"/>
          <w:szCs w:val="20"/>
        </w:rPr>
        <w:t xml:space="preserve"> A Multidimensional Capability </w:t>
      </w:r>
    </w:p>
    <w:p w14:paraId="4A3B4610" w14:textId="1CE2A192" w:rsidR="00FE723C" w:rsidRPr="00677610" w:rsidRDefault="00FE723C" w:rsidP="00E16B78">
      <w:pPr>
        <w:pStyle w:val="NormalWeb"/>
        <w:spacing w:before="0" w:beforeAutospacing="0" w:after="0" w:afterAutospacing="0"/>
        <w:ind w:firstLine="720"/>
        <w:jc w:val="both"/>
        <w:rPr>
          <w:rFonts w:ascii="Arial" w:hAnsi="Arial" w:cs="Arial"/>
          <w:sz w:val="20"/>
          <w:szCs w:val="20"/>
        </w:rPr>
      </w:pPr>
      <w:r w:rsidRPr="00677610">
        <w:rPr>
          <w:rFonts w:ascii="Arial" w:hAnsi="Arial" w:cs="Arial"/>
          <w:sz w:val="20"/>
          <w:szCs w:val="20"/>
        </w:rPr>
        <w:t>Community readiness is defined in this study as the collective capacity of a community to recognize an issue, mobilize appropriate responses, coordinate leadership support, sustain a favorable social climate, understand the problem, and access the resources needed for action. In this sense, readiness is not treated as a single attitude or perception, but as a multidimensional capability that determines whether communities are prepared to translate infrastructure availability into meaningful use and adaptive action. Consistent with the Community Readiness Model, this study operationalizes community readiness through six dimensions: community efforts, program knowledge, community leadership, community climate, problem understanding, and resources. These dimensions are used to capture both the social and practical conditions that shape community preparedness in the IKN host area.</w:t>
      </w:r>
    </w:p>
    <w:p w14:paraId="0EC7CCA2" w14:textId="77777777" w:rsidR="00E16B78" w:rsidRPr="00677610" w:rsidRDefault="00E16B78" w:rsidP="00E16B78">
      <w:pPr>
        <w:pStyle w:val="NormalWeb"/>
        <w:spacing w:before="0" w:beforeAutospacing="0" w:after="0" w:afterAutospacing="0"/>
        <w:ind w:firstLine="720"/>
        <w:jc w:val="both"/>
        <w:rPr>
          <w:rFonts w:ascii="Arial" w:hAnsi="Arial" w:cs="Arial"/>
          <w:sz w:val="20"/>
          <w:szCs w:val="20"/>
        </w:rPr>
      </w:pPr>
      <w:r w:rsidRPr="00677610">
        <w:rPr>
          <w:rFonts w:ascii="Arial" w:hAnsi="Arial" w:cs="Arial"/>
          <w:sz w:val="20"/>
          <w:szCs w:val="20"/>
        </w:rPr>
        <w:t>Current implementations and confirmations of the Community Readiness Model (CRM) offer a solid foundation for operationalization. Recent empirical research confirms that readiness is evaluated across six aspects, which are considered indications of community preparation.</w:t>
      </w:r>
    </w:p>
    <w:p w14:paraId="22020B04" w14:textId="77777777" w:rsidR="00E16B78" w:rsidRPr="00677610" w:rsidRDefault="00E16B78" w:rsidP="00E16B78">
      <w:pPr>
        <w:pStyle w:val="NormalWeb"/>
        <w:numPr>
          <w:ilvl w:val="0"/>
          <w:numId w:val="9"/>
        </w:numPr>
        <w:tabs>
          <w:tab w:val="clear" w:pos="720"/>
        </w:tabs>
        <w:spacing w:before="0" w:beforeAutospacing="0" w:after="0" w:afterAutospacing="0"/>
        <w:ind w:left="426"/>
        <w:jc w:val="both"/>
        <w:rPr>
          <w:rStyle w:val="Strong"/>
          <w:rFonts w:ascii="Arial" w:hAnsi="Arial" w:cs="Arial"/>
          <w:b w:val="0"/>
          <w:bCs w:val="0"/>
          <w:sz w:val="20"/>
          <w:szCs w:val="20"/>
        </w:rPr>
      </w:pPr>
      <w:r w:rsidRPr="00677610">
        <w:rPr>
          <w:rStyle w:val="Strong"/>
          <w:rFonts w:ascii="Arial" w:hAnsi="Arial" w:cs="Arial"/>
          <w:b w:val="0"/>
          <w:bCs w:val="0"/>
          <w:sz w:val="20"/>
          <w:szCs w:val="20"/>
        </w:rPr>
        <w:t>Collective Initiatives (current measures/actions tackling the issue)</w:t>
      </w:r>
    </w:p>
    <w:p w14:paraId="436D59B7" w14:textId="77777777" w:rsidR="00E16B78" w:rsidRPr="00677610" w:rsidRDefault="00E16B78" w:rsidP="00E16B78">
      <w:pPr>
        <w:pStyle w:val="NormalWeb"/>
        <w:numPr>
          <w:ilvl w:val="0"/>
          <w:numId w:val="9"/>
        </w:numPr>
        <w:tabs>
          <w:tab w:val="clear" w:pos="720"/>
        </w:tabs>
        <w:spacing w:before="0" w:beforeAutospacing="0" w:after="0" w:afterAutospacing="0"/>
        <w:ind w:left="426"/>
        <w:jc w:val="both"/>
        <w:rPr>
          <w:rStyle w:val="Strong"/>
          <w:rFonts w:ascii="Arial" w:hAnsi="Arial" w:cs="Arial"/>
          <w:b w:val="0"/>
          <w:bCs w:val="0"/>
          <w:sz w:val="20"/>
          <w:szCs w:val="20"/>
        </w:rPr>
      </w:pPr>
      <w:r w:rsidRPr="00677610">
        <w:rPr>
          <w:rStyle w:val="Strong"/>
          <w:rFonts w:ascii="Arial" w:hAnsi="Arial" w:cs="Arial"/>
          <w:b w:val="0"/>
          <w:bCs w:val="0"/>
          <w:sz w:val="20"/>
          <w:szCs w:val="20"/>
        </w:rPr>
        <w:t>Program Awareness (community cognizance of current initiatives/programs)</w:t>
      </w:r>
    </w:p>
    <w:p w14:paraId="5517A356" w14:textId="77777777" w:rsidR="00E16B78" w:rsidRPr="00677610" w:rsidRDefault="00E16B78" w:rsidP="00E16B78">
      <w:pPr>
        <w:pStyle w:val="NormalWeb"/>
        <w:numPr>
          <w:ilvl w:val="0"/>
          <w:numId w:val="9"/>
        </w:numPr>
        <w:tabs>
          <w:tab w:val="clear" w:pos="720"/>
        </w:tabs>
        <w:spacing w:before="0" w:beforeAutospacing="0" w:after="0" w:afterAutospacing="0"/>
        <w:ind w:left="426"/>
        <w:jc w:val="both"/>
        <w:rPr>
          <w:rStyle w:val="Strong"/>
          <w:rFonts w:ascii="Arial" w:hAnsi="Arial" w:cs="Arial"/>
          <w:b w:val="0"/>
          <w:bCs w:val="0"/>
          <w:sz w:val="20"/>
          <w:szCs w:val="20"/>
        </w:rPr>
      </w:pPr>
      <w:r w:rsidRPr="00677610">
        <w:rPr>
          <w:rStyle w:val="Strong"/>
          <w:rFonts w:ascii="Arial" w:hAnsi="Arial" w:cs="Arial"/>
          <w:b w:val="0"/>
          <w:bCs w:val="0"/>
          <w:sz w:val="20"/>
          <w:szCs w:val="20"/>
        </w:rPr>
        <w:lastRenderedPageBreak/>
        <w:t>Community Leadership (support and coordination of leadership)</w:t>
      </w:r>
    </w:p>
    <w:p w14:paraId="06E1FCA0" w14:textId="77777777" w:rsidR="00E16B78" w:rsidRPr="00677610" w:rsidRDefault="00E16B78" w:rsidP="00E16B78">
      <w:pPr>
        <w:pStyle w:val="NormalWeb"/>
        <w:numPr>
          <w:ilvl w:val="0"/>
          <w:numId w:val="9"/>
        </w:numPr>
        <w:tabs>
          <w:tab w:val="clear" w:pos="720"/>
        </w:tabs>
        <w:spacing w:before="0" w:beforeAutospacing="0" w:after="0" w:afterAutospacing="0"/>
        <w:ind w:left="426"/>
        <w:jc w:val="both"/>
        <w:rPr>
          <w:rStyle w:val="Strong"/>
          <w:rFonts w:ascii="Arial" w:hAnsi="Arial" w:cs="Arial"/>
          <w:b w:val="0"/>
          <w:bCs w:val="0"/>
          <w:sz w:val="20"/>
          <w:szCs w:val="20"/>
        </w:rPr>
      </w:pPr>
      <w:r w:rsidRPr="00677610">
        <w:rPr>
          <w:rStyle w:val="Strong"/>
          <w:rFonts w:ascii="Arial" w:hAnsi="Arial" w:cs="Arial"/>
          <w:b w:val="0"/>
          <w:bCs w:val="0"/>
          <w:sz w:val="20"/>
          <w:szCs w:val="20"/>
        </w:rPr>
        <w:t>Community Climate (dominant norms and attitudes toward the issue and transformation)</w:t>
      </w:r>
    </w:p>
    <w:p w14:paraId="26A54C8F" w14:textId="5C820CB6" w:rsidR="00E16B78" w:rsidRPr="00677610" w:rsidRDefault="00E16B78" w:rsidP="00E16B78">
      <w:pPr>
        <w:pStyle w:val="NormalWeb"/>
        <w:numPr>
          <w:ilvl w:val="0"/>
          <w:numId w:val="9"/>
        </w:numPr>
        <w:tabs>
          <w:tab w:val="clear" w:pos="720"/>
        </w:tabs>
        <w:spacing w:before="0" w:beforeAutospacing="0" w:after="0" w:afterAutospacing="0"/>
        <w:ind w:left="426"/>
        <w:jc w:val="both"/>
        <w:rPr>
          <w:rStyle w:val="Strong"/>
          <w:rFonts w:ascii="Arial" w:hAnsi="Arial" w:cs="Arial"/>
          <w:b w:val="0"/>
          <w:bCs w:val="0"/>
          <w:sz w:val="20"/>
          <w:szCs w:val="20"/>
        </w:rPr>
      </w:pPr>
      <w:r w:rsidRPr="00677610">
        <w:rPr>
          <w:rStyle w:val="Strong"/>
          <w:rFonts w:ascii="Arial" w:hAnsi="Arial" w:cs="Arial"/>
          <w:b w:val="0"/>
          <w:bCs w:val="0"/>
          <w:sz w:val="20"/>
          <w:szCs w:val="20"/>
        </w:rPr>
        <w:t xml:space="preserve">Issue Comprehension of the community's awareness </w:t>
      </w:r>
      <w:r w:rsidR="00F25C56" w:rsidRPr="00677610">
        <w:rPr>
          <w:rStyle w:val="Strong"/>
          <w:rFonts w:ascii="Arial" w:hAnsi="Arial" w:cs="Arial"/>
          <w:b w:val="0"/>
          <w:bCs w:val="0"/>
          <w:sz w:val="20"/>
          <w:szCs w:val="20"/>
        </w:rPr>
        <w:t>of</w:t>
      </w:r>
      <w:r w:rsidRPr="00677610">
        <w:rPr>
          <w:rStyle w:val="Strong"/>
          <w:rFonts w:ascii="Arial" w:hAnsi="Arial" w:cs="Arial"/>
          <w:b w:val="0"/>
          <w:bCs w:val="0"/>
          <w:sz w:val="20"/>
          <w:szCs w:val="20"/>
        </w:rPr>
        <w:t xml:space="preserve"> the issue and its ramifications</w:t>
      </w:r>
    </w:p>
    <w:p w14:paraId="2E76D9E6" w14:textId="77777777" w:rsidR="00E16B78" w:rsidRPr="00677610" w:rsidRDefault="00E16B78" w:rsidP="00E16B78">
      <w:pPr>
        <w:pStyle w:val="NormalWeb"/>
        <w:numPr>
          <w:ilvl w:val="0"/>
          <w:numId w:val="9"/>
        </w:numPr>
        <w:tabs>
          <w:tab w:val="clear" w:pos="720"/>
        </w:tabs>
        <w:spacing w:before="0" w:beforeAutospacing="0" w:after="0" w:afterAutospacing="0"/>
        <w:ind w:left="426"/>
        <w:jc w:val="both"/>
        <w:rPr>
          <w:rFonts w:ascii="Arial" w:hAnsi="Arial" w:cs="Arial"/>
          <w:b/>
          <w:bCs/>
          <w:sz w:val="20"/>
          <w:szCs w:val="20"/>
        </w:rPr>
      </w:pPr>
      <w:r w:rsidRPr="00677610">
        <w:rPr>
          <w:rStyle w:val="Strong"/>
          <w:rFonts w:ascii="Arial" w:hAnsi="Arial" w:cs="Arial"/>
          <w:b w:val="0"/>
          <w:bCs w:val="0"/>
          <w:sz w:val="20"/>
          <w:szCs w:val="20"/>
        </w:rPr>
        <w:t>Resources (the accessibility of resources to facilitate action)</w:t>
      </w:r>
    </w:p>
    <w:p w14:paraId="20921F21" w14:textId="16CF21E1" w:rsidR="00E16B78" w:rsidRPr="00677610" w:rsidRDefault="00E16B78" w:rsidP="00E16B78">
      <w:pPr>
        <w:pStyle w:val="NormalWeb"/>
        <w:spacing w:before="0" w:beforeAutospacing="0" w:after="0" w:afterAutospacing="0"/>
        <w:ind w:firstLine="720"/>
        <w:jc w:val="both"/>
        <w:rPr>
          <w:rFonts w:ascii="Arial" w:hAnsi="Arial" w:cs="Arial"/>
          <w:sz w:val="20"/>
          <w:szCs w:val="20"/>
        </w:rPr>
      </w:pPr>
      <w:r w:rsidRPr="00677610">
        <w:rPr>
          <w:rFonts w:ascii="Arial" w:hAnsi="Arial" w:cs="Arial"/>
          <w:sz w:val="20"/>
          <w:szCs w:val="20"/>
        </w:rPr>
        <w:t xml:space="preserve">The six-dimensional framework is explicitly validated in recent CRM adaptation and validation studies, demonstrating that all six characteristics are essential and culturally adaptive across many contexts </w:t>
      </w:r>
      <w:r w:rsidRPr="00677610">
        <w:rPr>
          <w:rFonts w:ascii="Arial" w:hAnsi="Arial" w:cs="Arial"/>
          <w:sz w:val="20"/>
          <w:szCs w:val="20"/>
        </w:rPr>
        <w:fldChar w:fldCharType="begin" w:fldLock="1"/>
      </w:r>
      <w:r w:rsidR="00A72F9C" w:rsidRPr="00677610">
        <w:rPr>
          <w:rFonts w:ascii="Arial" w:hAnsi="Arial" w:cs="Arial"/>
          <w:sz w:val="20"/>
          <w:szCs w:val="20"/>
        </w:rPr>
        <w:instrText>ADDIN CSL_CITATION {"citationItems":[{"id":"ITEM-1","itemData":{"DOI":"10.3961/jpmph.22.409","ISSN":"19758375","PMID":"36746425","abstract":"Objectives: It is critical to assess community readiness (CR) when implementing childhood obesity prevention programs to ensure their eventual success and sustainability. Multiple tools have been developed based on various conceptions of readiness. One of the most widely used and flexible tools is based on the community readiness model (CRM). This study aimed to adapt the CRM and assess the validity of a community readiness tool (CRT) for childhood obesity prevention programs in Iran. Methods: A Delphi study that included 26 individuals with expertise in 8 different subject areas was conducted to adapt the CRM into a theoretical framework for developing a CRT. After linguistic validation was conducted for a 35-question CR interview guide, the modified interview guide was evaluated for its content and face validity. The quantitative and qualitative analyses were performed using Stata version 13 and MAXQDA 2010, respectively. Results: The Delphi panelists confirmed the necessity/appropriateness and adequacy of all 6 CRM dimensions. The Persian version of the interview guide was then modified based on the qualitative results of the Delphi study, and 2 more questions were added to the community climate dimension of the original CRT. All questions in the modified version had acceptable content and face validity. The final CR interview guide included 37 questions across 6 CRM dimensions. Conclusions: By adapting the CRM and confirming linguistic, content, and face validity, the present study devised a CRT for childhood obesity prevention programs that can be used in relevant studies in Iran.","author":[{"dropping-particle":"","family":"Niknam","given":"Mahdieh","non-dropping-particle":"","parse-names":false,"suffix":""},{"dropping-particle":"","family":"Omidvar","given":"Nasrin","non-dropping-particle":"","parse-names":false,"suffix":""},{"dropping-particle":"","family":"Amiri","given":"Parisa","non-dropping-particle":"","parse-names":false,"suffix":""},{"dropping-particle":"","family":"Eini-Zinab","given":"Hassan","non-dropping-particle":"","parse-names":false,"suffix":""},{"dropping-particle":"","family":"Kalantari","given":"Naser","non-dropping-particle":"","parse-names":false,"suffix":""}],"container-title":"Journal of Preventive Medicine and Public Health","id":"ITEM-1","issue":"1","issued":{"date-parts":[["2023"]]},"page":"77-87","title":"Adapting the Community Readiness Model and Validating a Community Readiness Tool for Childhood Obesity Prevention Programs in Iran","type":"article-journal","volume":"56"},"uris":["http://www.mendeley.com/documents/?uuid=01834442-f239-4dc3-b78b-297e88046164"]}],"mendeley":{"formattedCitation":"(Niknam et al. 2023)","plainTextFormattedCitation":"(Niknam et al. 2023)","previouslyFormattedCitation":"(Niknam et al. 2023)"},"properties":{"noteIndex":0},"schema":"https://github.com/citation-style-language/schema/raw/master/csl-citation.json"}</w:instrText>
      </w:r>
      <w:r w:rsidRPr="00677610">
        <w:rPr>
          <w:rFonts w:ascii="Arial" w:hAnsi="Arial" w:cs="Arial"/>
          <w:sz w:val="20"/>
          <w:szCs w:val="20"/>
        </w:rPr>
        <w:fldChar w:fldCharType="separate"/>
      </w:r>
      <w:r w:rsidR="00A72F9C" w:rsidRPr="00677610">
        <w:rPr>
          <w:rFonts w:ascii="Arial" w:hAnsi="Arial" w:cs="Arial"/>
          <w:noProof/>
          <w:sz w:val="20"/>
          <w:szCs w:val="20"/>
        </w:rPr>
        <w:t>(Niknam et al. 2023)</w:t>
      </w:r>
      <w:r w:rsidRPr="00677610">
        <w:rPr>
          <w:rFonts w:ascii="Arial" w:hAnsi="Arial" w:cs="Arial"/>
          <w:sz w:val="20"/>
          <w:szCs w:val="20"/>
        </w:rPr>
        <w:fldChar w:fldCharType="end"/>
      </w:r>
      <w:r w:rsidRPr="00677610">
        <w:rPr>
          <w:rFonts w:ascii="Arial" w:hAnsi="Arial" w:cs="Arial"/>
          <w:sz w:val="20"/>
          <w:szCs w:val="20"/>
        </w:rPr>
        <w:t>.</w:t>
      </w:r>
      <w:r w:rsidRPr="00677610">
        <w:rPr>
          <w:rFonts w:ascii="Arial" w:hAnsi="Arial" w:cs="Arial"/>
          <w:sz w:val="20"/>
          <w:szCs w:val="20"/>
          <w:lang w:val="en-US"/>
        </w:rPr>
        <w:t xml:space="preserve"> </w:t>
      </w:r>
      <w:r w:rsidRPr="00677610">
        <w:rPr>
          <w:rFonts w:ascii="Arial" w:hAnsi="Arial" w:cs="Arial"/>
          <w:sz w:val="20"/>
          <w:szCs w:val="20"/>
        </w:rPr>
        <w:t xml:space="preserve">Furthermore, the readiness literature increasingly advocates for the conceptualization of readiness measurement as a latent, multidimensional entity, wherein deficiencies in any singular dimension may impede systemic transformation </w:t>
      </w:r>
      <w:r w:rsidRPr="00677610">
        <w:rPr>
          <w:rFonts w:ascii="Arial" w:hAnsi="Arial" w:cs="Arial"/>
          <w:sz w:val="20"/>
          <w:szCs w:val="20"/>
        </w:rPr>
        <w:fldChar w:fldCharType="begin" w:fldLock="1"/>
      </w:r>
      <w:r w:rsidR="00D547F6" w:rsidRPr="00677610">
        <w:rPr>
          <w:rFonts w:ascii="Arial" w:hAnsi="Arial" w:cs="Arial"/>
          <w:sz w:val="20"/>
          <w:szCs w:val="20"/>
        </w:rPr>
        <w:instrText>ADDIN CSL_CITATION {"citationItems":[{"id":"ITEM-1","itemData":{"DOI":"10.3390/bs16010153","ISSN":"2076-328X","abstract":"Background: Community readiness assessment is used to gauge a community’s ability to address systemic issues and inform action. The Community Readiness Instrument (CRI) is the only published tool to have undergone rigorous development and testing. The purpose of this study is to further refine the CRI and establish its score reliability and validity evidence so that healthcare professionals, community advocates, and researchers have a strong assessment of community readiness. Methods: The present study details continued assessment of the CRI through full-scale testing. We conducted a second-order confirmatory factor analysis to analyze the CRI’s six-factor structure. We also conducted Rasch analyses to determine the item-level fit statistics for each subscale. Results: Our results suggest that the CRI is a well-structured quantitative tool with items demonstrating sufficient fit under each first-order latent factor. The items each fell into one-factor solutions, and the six subscales collectively formed a higher-order construct of Community Readiness. The CRI continues to demonstrate strong psychometric properties, score reliability, and validity evidence. Conclusions: Mental health and addiction professionals can use the CRI to explore change readiness toward a specific issue in their communities. Implications for practitioners, community advocates, and future researchers are provided.","author":[{"dropping-particle":"","family":"Ricciutti","given":"Natalie M.","non-dropping-particle":"","parse-names":false,"suffix":""},{"dropping-particle":"","family":"Cureton","given":"Jenny L.","non-dropping-particle":"","parse-names":false,"suffix":""},{"dropping-particle":"","family":"Zhang","given":"Sijia","non-dropping-particle":"","parse-names":false,"suffix":""}],"container-title":"Behavioral Sciences","id":"ITEM-1","issue":"1","issued":{"date-parts":[["2026","1","22"]]},"page":"153","title":"The Community Readiness Instrument: A Quantitative Measurement Using Statistical Best Practices to Assess Systemic Change Readiness","type":"article-journal","volume":"16"},"uris":["http://www.mendeley.com/documents/?uuid=e9323dd0-1237-4999-a0b4-7be9ef7b8c94"]}],"mendeley":{"formattedCitation":"(Ricciutti, Cureton, and Zhang 2026)","plainTextFormattedCitation":"(Ricciutti, Cureton, and Zhang 2026)","previouslyFormattedCitation":"(Ricciutti, N, Cureton, and Zhang 2026)"},"properties":{"noteIndex":0},"schema":"https://github.com/citation-style-language/schema/raw/master/csl-citation.json"}</w:instrText>
      </w:r>
      <w:r w:rsidRPr="00677610">
        <w:rPr>
          <w:rFonts w:ascii="Arial" w:hAnsi="Arial" w:cs="Arial"/>
          <w:sz w:val="20"/>
          <w:szCs w:val="20"/>
        </w:rPr>
        <w:fldChar w:fldCharType="separate"/>
      </w:r>
      <w:r w:rsidR="00D547F6" w:rsidRPr="00677610">
        <w:rPr>
          <w:rFonts w:ascii="Arial" w:hAnsi="Arial" w:cs="Arial"/>
          <w:noProof/>
          <w:sz w:val="20"/>
          <w:szCs w:val="20"/>
        </w:rPr>
        <w:t>(Ricciutti, Cureton, and Zhang 2026)</w:t>
      </w:r>
      <w:r w:rsidRPr="00677610">
        <w:rPr>
          <w:rFonts w:ascii="Arial" w:hAnsi="Arial" w:cs="Arial"/>
          <w:sz w:val="20"/>
          <w:szCs w:val="20"/>
        </w:rPr>
        <w:fldChar w:fldCharType="end"/>
      </w:r>
      <w:r w:rsidRPr="00677610">
        <w:rPr>
          <w:rFonts w:ascii="Arial" w:hAnsi="Arial" w:cs="Arial"/>
          <w:sz w:val="20"/>
          <w:szCs w:val="20"/>
        </w:rPr>
        <w:t xml:space="preserve">. </w:t>
      </w:r>
    </w:p>
    <w:p w14:paraId="20C0EEE9" w14:textId="33707CB5" w:rsidR="00E16B78" w:rsidRPr="00677610" w:rsidRDefault="00E16B78" w:rsidP="00E16B78">
      <w:pPr>
        <w:pStyle w:val="NormalWeb"/>
        <w:spacing w:before="0" w:beforeAutospacing="0" w:after="0" w:afterAutospacing="0"/>
        <w:ind w:firstLine="720"/>
        <w:jc w:val="both"/>
        <w:rPr>
          <w:rFonts w:ascii="Arial" w:hAnsi="Arial" w:cs="Arial"/>
          <w:sz w:val="20"/>
          <w:szCs w:val="20"/>
        </w:rPr>
      </w:pPr>
      <w:r w:rsidRPr="00677610">
        <w:rPr>
          <w:rFonts w:ascii="Arial" w:hAnsi="Arial" w:cs="Arial"/>
          <w:sz w:val="20"/>
          <w:szCs w:val="20"/>
          <w:lang w:val="en-US"/>
        </w:rPr>
        <w:t xml:space="preserve"> </w:t>
      </w:r>
      <w:r w:rsidRPr="00677610">
        <w:rPr>
          <w:rFonts w:ascii="Arial" w:hAnsi="Arial" w:cs="Arial"/>
          <w:sz w:val="20"/>
          <w:szCs w:val="20"/>
        </w:rPr>
        <w:t xml:space="preserve">Empirical data </w:t>
      </w:r>
      <w:r w:rsidR="00F25C56" w:rsidRPr="00677610">
        <w:rPr>
          <w:rFonts w:ascii="Arial" w:hAnsi="Arial" w:cs="Arial"/>
          <w:sz w:val="20"/>
          <w:szCs w:val="20"/>
        </w:rPr>
        <w:t>indicate</w:t>
      </w:r>
      <w:r w:rsidRPr="00677610">
        <w:rPr>
          <w:rFonts w:ascii="Arial" w:hAnsi="Arial" w:cs="Arial"/>
          <w:sz w:val="20"/>
          <w:szCs w:val="20"/>
        </w:rPr>
        <w:t xml:space="preserve"> that dimensions of preparation frequently exhibit internal variability (e.g., leadership and resources may be more robust than community climate), and these "dimension gaps" carry significant consequences for the sequencing of interventions </w:t>
      </w:r>
      <w:r w:rsidRPr="00677610">
        <w:rPr>
          <w:rFonts w:ascii="Arial" w:hAnsi="Arial" w:cs="Arial"/>
          <w:sz w:val="20"/>
          <w:szCs w:val="20"/>
        </w:rPr>
        <w:fldChar w:fldCharType="begin" w:fldLock="1"/>
      </w:r>
      <w:r w:rsidR="00A72F9C" w:rsidRPr="00677610">
        <w:rPr>
          <w:rFonts w:ascii="Arial" w:hAnsi="Arial" w:cs="Arial"/>
          <w:sz w:val="20"/>
          <w:szCs w:val="20"/>
        </w:rPr>
        <w:instrText>ADDIN CSL_CITATION {"citationItems":[{"id":"ITEM-1","itemData":{"DOI":"10.1016/j.trip.2023.100992","ISSN":"25901982","abstract":"Fatal and serious crashes on our roadways remain a persistent public health crisis. Vision Zero, based on the principles of a Safe Systems approach, is an initiative that has grown in popularity in the United States in the past decade. While the importance of cross-sector collaboration and the need for a supportive community culture in order to realize community change is well established, such tools and frameworks have not been applied as commonly for road safety initiatives as in other fields. We adapted and utilized the Community Readiness Assessment (CRA) tool, a well-established model within public health for assessing and informing community-based interventions in seven Vision Zero communities in one U.S. state. Three communities assessed were determined to be at an overall readiness level of four out of nine, or at a “preplanning” level and four of the communities scored a level of three, or at a “vague awareness” level. However, levels of readiness across the six dimensions measured varied, with community-related dimensions (e.g., community climate) scoring lower than readiness levels for stakeholder knowledge, leadership, and resources. Additionally, communities with more advanced stages of implementation had higher readiness scores, on average. Assessment results provided unique insights to inform next steps for local initiatives, particularly related to discrepancies between the readiness of the wider community and the readiness of leadership and available resources. Therefore, the CRA represents a potentially beneficial tool for communities pursuing Vision Zero initiatives.","author":[{"dropping-particle":"","family":"Keefe","given":"Elyse M.","non-dropping-particle":"","parse-names":false,"suffix":""},{"dropping-particle":"","family":"Naumann","given":"Rebecca B.","non-dropping-particle":"","parse-names":false,"suffix":""},{"dropping-particle":"","family":"Evenson","given":"Kelly R.","non-dropping-particle":"","parse-names":false,"suffix":""},{"dropping-particle":"","family":"LaJeunesse","given":"Seth","non-dropping-particle":"","parse-names":false,"suffix":""},{"dropping-particle":"","family":"Heiny","given":"Stephen","non-dropping-particle":"","parse-names":false,"suffix":""},{"dropping-particle":"","family":"Lich","given":"Kristen Hassmiller","non-dropping-particle":"","parse-names":false,"suffix":""}],"container-title":"Transportation Research Interdisciplinary Perspectives","id":"ITEM-1","issue":"September 2023","issued":{"date-parts":[["2024"]]},"page":"100992","publisher":"Elsevier Ltd","title":"Using an adapted community readiness assessment to inform Vision Zero and safe systems action","type":"article-journal","volume":"23"},"uris":["http://www.mendeley.com/documents/?uuid=ddebdf71-2430-4e6a-bb61-96dfe6e52dfc"]}],"mendeley":{"formattedCitation":"(Keefe et al. 2024)","plainTextFormattedCitation":"(Keefe et al. 2024)","previouslyFormattedCitation":"(Keefe et al. 2024)"},"properties":{"noteIndex":0},"schema":"https://github.com/citation-style-language/schema/raw/master/csl-citation.json"}</w:instrText>
      </w:r>
      <w:r w:rsidRPr="00677610">
        <w:rPr>
          <w:rFonts w:ascii="Arial" w:hAnsi="Arial" w:cs="Arial"/>
          <w:sz w:val="20"/>
          <w:szCs w:val="20"/>
        </w:rPr>
        <w:fldChar w:fldCharType="separate"/>
      </w:r>
      <w:r w:rsidR="00A72F9C" w:rsidRPr="00677610">
        <w:rPr>
          <w:rFonts w:ascii="Arial" w:hAnsi="Arial" w:cs="Arial"/>
          <w:noProof/>
          <w:sz w:val="20"/>
          <w:szCs w:val="20"/>
        </w:rPr>
        <w:t>(Keefe et al. 2024)</w:t>
      </w:r>
      <w:r w:rsidRPr="00677610">
        <w:rPr>
          <w:rFonts w:ascii="Arial" w:hAnsi="Arial" w:cs="Arial"/>
          <w:sz w:val="20"/>
          <w:szCs w:val="20"/>
        </w:rPr>
        <w:fldChar w:fldCharType="end"/>
      </w:r>
      <w:r w:rsidRPr="00677610">
        <w:rPr>
          <w:rFonts w:ascii="Arial" w:hAnsi="Arial" w:cs="Arial"/>
          <w:sz w:val="20"/>
          <w:szCs w:val="20"/>
          <w:lang w:val="en-US"/>
        </w:rPr>
        <w:t xml:space="preserve">. </w:t>
      </w:r>
      <w:r w:rsidRPr="00677610">
        <w:rPr>
          <w:rFonts w:ascii="Arial" w:hAnsi="Arial" w:cs="Arial"/>
          <w:sz w:val="20"/>
          <w:szCs w:val="20"/>
        </w:rPr>
        <w:t>In the context of IKN, community readiness serves as an analytically suitable link between macro-level transformations (such as new infrastructure and governance structures) and micro-level results (including effective use, equitable access, and meaningful engagement).</w:t>
      </w:r>
    </w:p>
    <w:p w14:paraId="31A510D8" w14:textId="77777777" w:rsidR="00E16B78" w:rsidRPr="00677610" w:rsidRDefault="00E16B78" w:rsidP="00E16B78">
      <w:pPr>
        <w:pStyle w:val="NormalWeb"/>
        <w:spacing w:before="0" w:beforeAutospacing="0" w:after="0" w:afterAutospacing="0"/>
        <w:ind w:firstLine="720"/>
        <w:jc w:val="both"/>
        <w:rPr>
          <w:rFonts w:ascii="Arial" w:hAnsi="Arial" w:cs="Arial"/>
          <w:sz w:val="20"/>
          <w:szCs w:val="20"/>
        </w:rPr>
      </w:pPr>
    </w:p>
    <w:p w14:paraId="249A23C8" w14:textId="77777777" w:rsidR="00E16B78" w:rsidRPr="00677610" w:rsidRDefault="00E16B78" w:rsidP="00E16B78">
      <w:pPr>
        <w:pStyle w:val="Heading3"/>
        <w:numPr>
          <w:ilvl w:val="0"/>
          <w:numId w:val="14"/>
        </w:numPr>
        <w:tabs>
          <w:tab w:val="num" w:pos="360"/>
        </w:tabs>
        <w:spacing w:before="0" w:after="120" w:line="240" w:lineRule="auto"/>
        <w:ind w:left="493" w:hanging="493"/>
        <w:jc w:val="both"/>
        <w:rPr>
          <w:rFonts w:ascii="Arial" w:hAnsi="Arial" w:cs="Arial"/>
          <w:color w:val="auto"/>
          <w:sz w:val="20"/>
          <w:szCs w:val="20"/>
        </w:rPr>
      </w:pPr>
      <w:r w:rsidRPr="00677610">
        <w:rPr>
          <w:rFonts w:ascii="Arial" w:hAnsi="Arial" w:cs="Arial"/>
          <w:color w:val="auto"/>
          <w:sz w:val="20"/>
          <w:szCs w:val="20"/>
        </w:rPr>
        <w:t>Community skills as operational capacity for access and use (three indicators)</w:t>
      </w:r>
    </w:p>
    <w:p w14:paraId="485B7FE7" w14:textId="7D6CEEE3" w:rsidR="00E16B78" w:rsidRPr="00677610" w:rsidRDefault="00E16B78" w:rsidP="00E16B78">
      <w:pPr>
        <w:pStyle w:val="NormalWeb"/>
        <w:spacing w:before="0" w:beforeAutospacing="0" w:after="0" w:afterAutospacing="0"/>
        <w:ind w:firstLine="720"/>
        <w:jc w:val="both"/>
        <w:rPr>
          <w:rFonts w:ascii="Arial" w:hAnsi="Arial" w:cs="Arial"/>
          <w:sz w:val="20"/>
          <w:szCs w:val="20"/>
        </w:rPr>
      </w:pPr>
      <w:r w:rsidRPr="00677610">
        <w:rPr>
          <w:rFonts w:ascii="Arial" w:hAnsi="Arial" w:cs="Arial"/>
          <w:sz w:val="20"/>
          <w:szCs w:val="20"/>
        </w:rPr>
        <w:t>In technology-mediated public services, skills are immediate factors influencing residents' ability to access, comprehend, and execute procedures within contemporary government systems. Research from Telecommunications Policy indicates that ICT/e-skills, together with faith in technology and the quality of connectivity, are critical factors influencing e-government utilization and elucidating discrepancies within socioeconomic classes</w:t>
      </w:r>
      <w:r w:rsidRPr="00677610">
        <w:rPr>
          <w:rFonts w:ascii="Arial" w:hAnsi="Arial" w:cs="Arial"/>
          <w:sz w:val="20"/>
          <w:szCs w:val="20"/>
          <w:lang w:val="en-US"/>
        </w:rPr>
        <w:t xml:space="preserve"> </w:t>
      </w:r>
      <w:r w:rsidRPr="00677610">
        <w:rPr>
          <w:rFonts w:ascii="Arial" w:hAnsi="Arial" w:cs="Arial"/>
          <w:sz w:val="20"/>
          <w:szCs w:val="20"/>
        </w:rPr>
        <w:fldChar w:fldCharType="begin" w:fldLock="1"/>
      </w:r>
      <w:r w:rsidR="00A72F9C" w:rsidRPr="00677610">
        <w:rPr>
          <w:rFonts w:ascii="Arial" w:hAnsi="Arial" w:cs="Arial"/>
          <w:sz w:val="20"/>
          <w:szCs w:val="20"/>
        </w:rPr>
        <w:instrText>ADDIN CSL_CITATION {"citationItems":[{"id":"ITEM-1","itemData":{"DOI":"10.1016/j.telpol.2025.102918","ISSN":"03085961","abstract":"This paper examines the factors that determine the use of e-government services in Spain. It identifies key determinants, including e-services usage synergies, e-trust, e-skills and socio-demographic determinants of e-government use as an outcome of a logit model with national data from 2023. The main results highlight the key role of ICT skills, confidence in technology and the quality of Internet connectivity, revealing significant disparities between socio-economic groups. Meanwhile, it explores the second and third levels of the digital divide, with a special focus on the information and ICT domain and its effective application, analysing the penetration and main uses of e-government in Spain. Policy recommendations call for the enhancement of digital literacy, the fostering of trust in e-government and the improvement of Internet access for vulnerable populations to promote inclusive digital governance.","author":[{"dropping-particle":"","family":"Gijón","given":"Covadonga","non-dropping-particle":"","parse-names":false,"suffix":""},{"dropping-particle":"","family":"Fernández-Bonilla","given":"Fernando","non-dropping-particle":"","parse-names":false,"suffix":""},{"dropping-particle":"","family":"Ruíz-Rúa","given":"Aurora","non-dropping-particle":"","parse-names":false,"suffix":""}],"container-title":"Telecommunications Policy","id":"ITEM-1","issue":"3","issued":{"date-parts":[["2025","4"]]},"page":"102918","title":"Different approaches to Spanish e-government: From use to impact","type":"article-journal","volume":"49"},"uris":["http://www.mendeley.com/documents/?uuid=144ddf2a-0af4-492d-bd61-4f74ed1b9f30"]}],"mendeley":{"formattedCitation":"(Gijón, Fernández-Bonilla, and Ruíz-Rúa 2025)","plainTextFormattedCitation":"(Gijón, Fernández-Bonilla, and Ruíz-Rúa 2025)","previouslyFormattedCitation":"(Gijón, Fernández-Bonilla, and Ruíz-Rúa 2025)"},"properties":{"noteIndex":0},"schema":"https://github.com/citation-style-language/schema/raw/master/csl-citation.json"}</w:instrText>
      </w:r>
      <w:r w:rsidRPr="00677610">
        <w:rPr>
          <w:rFonts w:ascii="Arial" w:hAnsi="Arial" w:cs="Arial"/>
          <w:sz w:val="20"/>
          <w:szCs w:val="20"/>
        </w:rPr>
        <w:fldChar w:fldCharType="separate"/>
      </w:r>
      <w:r w:rsidR="00A72F9C" w:rsidRPr="00677610">
        <w:rPr>
          <w:rFonts w:ascii="Arial" w:hAnsi="Arial" w:cs="Arial"/>
          <w:noProof/>
          <w:sz w:val="20"/>
          <w:szCs w:val="20"/>
        </w:rPr>
        <w:t>(Gijón, Fernández-Bonilla, and Ruíz-Rúa 2025)</w:t>
      </w:r>
      <w:r w:rsidRPr="00677610">
        <w:rPr>
          <w:rFonts w:ascii="Arial" w:hAnsi="Arial" w:cs="Arial"/>
          <w:sz w:val="20"/>
          <w:szCs w:val="20"/>
        </w:rPr>
        <w:fldChar w:fldCharType="end"/>
      </w:r>
      <w:r w:rsidRPr="00677610">
        <w:rPr>
          <w:rFonts w:ascii="Arial" w:hAnsi="Arial" w:cs="Arial"/>
          <w:sz w:val="20"/>
          <w:szCs w:val="20"/>
          <w:lang w:val="en-US"/>
        </w:rPr>
        <w:t xml:space="preserve">. </w:t>
      </w:r>
      <w:r w:rsidRPr="00677610">
        <w:rPr>
          <w:rFonts w:ascii="Arial" w:hAnsi="Arial" w:cs="Arial"/>
          <w:sz w:val="20"/>
          <w:szCs w:val="20"/>
        </w:rPr>
        <w:t xml:space="preserve">Complementary research on digital adoption reveals that digital literacy and trust are mutually reinforcing factors influencing e-government adoption </w:t>
      </w:r>
      <w:r w:rsidRPr="00677610">
        <w:rPr>
          <w:rFonts w:ascii="Arial" w:hAnsi="Arial" w:cs="Arial"/>
          <w:sz w:val="20"/>
          <w:szCs w:val="20"/>
          <w:lang w:val="en-US"/>
        </w:rPr>
        <w:fldChar w:fldCharType="begin" w:fldLock="1"/>
      </w:r>
      <w:r w:rsidR="00A72F9C" w:rsidRPr="00677610">
        <w:rPr>
          <w:rFonts w:ascii="Arial" w:hAnsi="Arial" w:cs="Arial"/>
          <w:sz w:val="20"/>
          <w:szCs w:val="20"/>
          <w:lang w:val="en-US"/>
        </w:rPr>
        <w:instrText>ADDIN CSL_CITATION {"citationItems":[{"id":"ITEM-1","itemData":{"DOI":"10.1108/TG-11-2023-0196","ISSN":"1750-6166","abstract":"Purpose This study aims to examine the role of trust and digital literacy in influencing citizens’ adoption of e-government services. Design/methodology/approach Grounded in the technology acceptance model (TAM), a research model was developed focusing on e-filing services adoption. Hypotheses were formulated to assess the moderating effect of digital literacy on the relationship between trust and the key TAM determinants of perceived usefulness and perceived ease of use. A questionnaire-based survey of 876 citizens who have used e-filing using the snow-ball sampling technique was adopted to generate data. The data was analyzed using PLS-SEM through the aid of SmartPLS 4 to assess the measurement model and structural relationships. Findings Trust positively influences perceived usefulness and ease of use, which in turn drive adoption. Additionally, digital literacy significantly moderates the impact of trust on usefulness and ease of use perceptions – the effect is stronger for higher digital literacy. Research limitations/implications The study adopted a single country developing economy context limiting cross-cultural applicability. Second, the focus on e-filing adoption precludes insights across other e-government services. Third, the reliance on perceptual measures risks respondent biases and fourth, the study is a cross-sectional survey design. Practical implications The findings emphasize multifaceted strategies to accelerate e-government adoption. Nurturing citizen trust in e-government systems through enhanced reliability, security and transparency remains vital. Simultaneously, initiatives to cultivate digital access, skills and proficiencies across population segments need to be undertaken. Originality/value This study integrates trust and digital literacy within the theoretical model to provide a more holistic understanding of adoption determinants. It highlights the need for balanced technology-enabled and social interventions to foster acceptance of e-government services.","author":[{"dropping-particle":"","family":"AbdulKareem","given":"Abdulrazaq Kayode","non-dropping-particle":"","parse-names":false,"suffix":""},{"dropping-particle":"","family":"Oladimeji","given":"Kazeem Adebayo","non-dropping-particle":"","parse-names":false,"suffix":""}],"container-title":"Transforming Government: People, Process and Policy","id":"ITEM-1","issue":"2","issued":{"date-parts":[["2024","5","1"]]},"page":"270-286","title":"Cultivating the digital citizen: trust, digital literacy and e-government adoption","type":"article-journal","volume":"18"},"uris":["http://www.mendeley.com/documents/?uuid=0234fcdd-f587-42f8-88f5-753dd100f0d6"]}],"mendeley":{"formattedCitation":"(AbdulKareem and Oladimeji 2024)","plainTextFormattedCitation":"(AbdulKareem and Oladimeji 2024)","previouslyFormattedCitation":"(AbdulKareem and Oladimeji 2024)"},"properties":{"noteIndex":0},"schema":"https://github.com/citation-style-language/schema/raw/master/csl-citation.json"}</w:instrText>
      </w:r>
      <w:r w:rsidRPr="00677610">
        <w:rPr>
          <w:rFonts w:ascii="Arial" w:hAnsi="Arial" w:cs="Arial"/>
          <w:sz w:val="20"/>
          <w:szCs w:val="20"/>
          <w:lang w:val="en-US"/>
        </w:rPr>
        <w:fldChar w:fldCharType="separate"/>
      </w:r>
      <w:r w:rsidR="00A72F9C" w:rsidRPr="00677610">
        <w:rPr>
          <w:rFonts w:ascii="Arial" w:hAnsi="Arial" w:cs="Arial"/>
          <w:noProof/>
          <w:sz w:val="20"/>
          <w:szCs w:val="20"/>
          <w:lang w:val="en-US"/>
        </w:rPr>
        <w:t>(AbdulKareem and Oladimeji 2024)</w:t>
      </w:r>
      <w:r w:rsidRPr="00677610">
        <w:rPr>
          <w:rFonts w:ascii="Arial" w:hAnsi="Arial" w:cs="Arial"/>
          <w:sz w:val="20"/>
          <w:szCs w:val="20"/>
          <w:lang w:val="en-US"/>
        </w:rPr>
        <w:fldChar w:fldCharType="end"/>
      </w:r>
      <w:r w:rsidRPr="00677610">
        <w:rPr>
          <w:rFonts w:ascii="Arial" w:hAnsi="Arial" w:cs="Arial"/>
          <w:sz w:val="20"/>
          <w:szCs w:val="20"/>
          <w:lang w:val="en-US"/>
        </w:rPr>
        <w:t xml:space="preserve">. </w:t>
      </w:r>
      <w:r w:rsidRPr="00677610">
        <w:rPr>
          <w:rFonts w:ascii="Arial" w:hAnsi="Arial" w:cs="Arial"/>
          <w:sz w:val="20"/>
          <w:szCs w:val="20"/>
        </w:rPr>
        <w:t>In accordance with this evidence, Community Skills in this study are defined by three indicators that correspond with the manuscript’s measuring framework:</w:t>
      </w:r>
    </w:p>
    <w:p w14:paraId="7946AF5C" w14:textId="77777777" w:rsidR="00E16B78" w:rsidRPr="00677610" w:rsidRDefault="00E16B78" w:rsidP="002D77C3">
      <w:pPr>
        <w:pStyle w:val="NormalWeb"/>
        <w:numPr>
          <w:ilvl w:val="0"/>
          <w:numId w:val="10"/>
        </w:numPr>
        <w:tabs>
          <w:tab w:val="clear" w:pos="720"/>
          <w:tab w:val="num" w:pos="360"/>
        </w:tabs>
        <w:spacing w:before="0" w:beforeAutospacing="0" w:after="0" w:afterAutospacing="0"/>
        <w:ind w:left="360"/>
        <w:jc w:val="both"/>
        <w:rPr>
          <w:rStyle w:val="Strong"/>
          <w:rFonts w:ascii="Arial" w:hAnsi="Arial" w:cs="Arial"/>
          <w:b w:val="0"/>
          <w:bCs w:val="0"/>
          <w:sz w:val="20"/>
          <w:szCs w:val="20"/>
        </w:rPr>
      </w:pPr>
      <w:r w:rsidRPr="00677610">
        <w:rPr>
          <w:rStyle w:val="Strong"/>
          <w:rFonts w:ascii="Arial" w:hAnsi="Arial" w:cs="Arial"/>
          <w:b w:val="0"/>
          <w:bCs w:val="0"/>
          <w:sz w:val="20"/>
          <w:szCs w:val="20"/>
        </w:rPr>
        <w:t>Literacy Competence (fundamental literacy/digital literacy required to comprehend information and directives)</w:t>
      </w:r>
    </w:p>
    <w:p w14:paraId="27C25296" w14:textId="77777777" w:rsidR="00E16B78" w:rsidRPr="00677610" w:rsidRDefault="00E16B78" w:rsidP="002D77C3">
      <w:pPr>
        <w:pStyle w:val="NormalWeb"/>
        <w:numPr>
          <w:ilvl w:val="0"/>
          <w:numId w:val="10"/>
        </w:numPr>
        <w:tabs>
          <w:tab w:val="clear" w:pos="720"/>
          <w:tab w:val="num" w:pos="360"/>
        </w:tabs>
        <w:spacing w:before="0" w:beforeAutospacing="0" w:after="0" w:afterAutospacing="0"/>
        <w:ind w:left="360"/>
        <w:jc w:val="both"/>
        <w:rPr>
          <w:rStyle w:val="Strong"/>
          <w:rFonts w:ascii="Arial" w:hAnsi="Arial" w:cs="Arial"/>
          <w:b w:val="0"/>
          <w:bCs w:val="0"/>
          <w:sz w:val="20"/>
          <w:szCs w:val="20"/>
        </w:rPr>
      </w:pPr>
      <w:r w:rsidRPr="00677610">
        <w:rPr>
          <w:rStyle w:val="Strong"/>
          <w:rFonts w:ascii="Arial" w:hAnsi="Arial" w:cs="Arial"/>
          <w:b w:val="0"/>
          <w:bCs w:val="0"/>
          <w:sz w:val="20"/>
          <w:szCs w:val="20"/>
        </w:rPr>
        <w:t>Technical Proficiency (capability to utilize devices/applications and execute digital tasks)</w:t>
      </w:r>
    </w:p>
    <w:p w14:paraId="64E70933" w14:textId="77777777" w:rsidR="00E16B78" w:rsidRPr="00677610" w:rsidRDefault="00E16B78" w:rsidP="002D77C3">
      <w:pPr>
        <w:pStyle w:val="NormalWeb"/>
        <w:numPr>
          <w:ilvl w:val="0"/>
          <w:numId w:val="10"/>
        </w:numPr>
        <w:tabs>
          <w:tab w:val="clear" w:pos="720"/>
          <w:tab w:val="num" w:pos="360"/>
        </w:tabs>
        <w:spacing w:before="0" w:beforeAutospacing="0" w:after="0" w:afterAutospacing="0"/>
        <w:ind w:left="360"/>
        <w:jc w:val="both"/>
        <w:rPr>
          <w:rFonts w:ascii="Arial" w:hAnsi="Arial" w:cs="Arial"/>
          <w:b/>
          <w:bCs/>
          <w:sz w:val="20"/>
          <w:szCs w:val="20"/>
        </w:rPr>
      </w:pPr>
      <w:r w:rsidRPr="00677610">
        <w:rPr>
          <w:rStyle w:val="Strong"/>
          <w:rFonts w:ascii="Arial" w:hAnsi="Arial" w:cs="Arial"/>
          <w:b w:val="0"/>
          <w:bCs w:val="0"/>
          <w:sz w:val="20"/>
          <w:szCs w:val="20"/>
        </w:rPr>
        <w:t>Problem-Solving Competence (capacity to identify obstacles, manage procedural intricacies, and demonstrate perseverance)</w:t>
      </w:r>
    </w:p>
    <w:p w14:paraId="0E58D906" w14:textId="77777777" w:rsidR="00E16B78" w:rsidRPr="00677610" w:rsidRDefault="00E16B78" w:rsidP="00E16B78">
      <w:pPr>
        <w:pStyle w:val="NormalWeb"/>
        <w:spacing w:before="0" w:beforeAutospacing="0" w:after="0" w:afterAutospacing="0"/>
        <w:ind w:firstLine="720"/>
        <w:jc w:val="both"/>
        <w:rPr>
          <w:rFonts w:ascii="Arial" w:hAnsi="Arial" w:cs="Arial"/>
          <w:sz w:val="20"/>
          <w:szCs w:val="20"/>
        </w:rPr>
      </w:pPr>
      <w:r w:rsidRPr="00677610">
        <w:rPr>
          <w:rFonts w:ascii="Arial" w:hAnsi="Arial" w:cs="Arial"/>
          <w:sz w:val="20"/>
          <w:szCs w:val="20"/>
        </w:rPr>
        <w:t>Stronger skills conceptually diminish friction costs in accessing and utilizing IKN-related services and programs, so enhancing readiness in the domains of effort, knowledge, and resource mobilization.</w:t>
      </w:r>
    </w:p>
    <w:p w14:paraId="018A7973" w14:textId="77777777" w:rsidR="00E16B78" w:rsidRPr="00677610" w:rsidRDefault="00E16B78" w:rsidP="002D77C3">
      <w:pPr>
        <w:pStyle w:val="Heading3"/>
        <w:numPr>
          <w:ilvl w:val="0"/>
          <w:numId w:val="14"/>
        </w:numPr>
        <w:tabs>
          <w:tab w:val="num" w:pos="360"/>
        </w:tabs>
        <w:spacing w:before="120" w:after="120" w:line="240" w:lineRule="auto"/>
        <w:ind w:left="493" w:hanging="493"/>
        <w:jc w:val="both"/>
        <w:rPr>
          <w:rFonts w:ascii="Arial" w:hAnsi="Arial" w:cs="Arial"/>
          <w:color w:val="auto"/>
          <w:sz w:val="20"/>
          <w:szCs w:val="20"/>
        </w:rPr>
      </w:pPr>
      <w:r w:rsidRPr="00677610">
        <w:rPr>
          <w:rFonts w:ascii="Arial" w:hAnsi="Arial" w:cs="Arial"/>
          <w:color w:val="auto"/>
          <w:sz w:val="20"/>
          <w:szCs w:val="20"/>
        </w:rPr>
        <w:t>Motivation and ERG theory as the willingness-to-engage mechanism (three indicators)</w:t>
      </w:r>
    </w:p>
    <w:p w14:paraId="3861E215" w14:textId="6B3A3E4B" w:rsidR="00E16B78" w:rsidRPr="00677610" w:rsidRDefault="00E16B78" w:rsidP="00E16B78">
      <w:pPr>
        <w:pStyle w:val="NormalWeb"/>
        <w:spacing w:before="0" w:beforeAutospacing="0" w:after="0" w:afterAutospacing="0"/>
        <w:ind w:firstLine="720"/>
        <w:jc w:val="both"/>
        <w:rPr>
          <w:rFonts w:ascii="Arial" w:hAnsi="Arial" w:cs="Arial"/>
          <w:sz w:val="20"/>
          <w:szCs w:val="20"/>
        </w:rPr>
      </w:pPr>
      <w:r w:rsidRPr="00677610">
        <w:rPr>
          <w:rFonts w:ascii="Arial" w:hAnsi="Arial" w:cs="Arial"/>
          <w:sz w:val="20"/>
          <w:szCs w:val="20"/>
        </w:rPr>
        <w:t>Ability alone is inadequate if participation is not regarded as significant, secure, or beneficial. This study utilizes ERG theory to simulate the "willingness-to-engage" pathway</w:t>
      </w:r>
      <w:r w:rsidRPr="00677610">
        <w:rPr>
          <w:rFonts w:ascii="Arial" w:hAnsi="Arial" w:cs="Arial"/>
          <w:sz w:val="20"/>
          <w:szCs w:val="20"/>
          <w:lang w:val="en-US"/>
        </w:rPr>
        <w:t xml:space="preserve"> </w:t>
      </w:r>
      <w:r w:rsidRPr="00677610">
        <w:rPr>
          <w:rStyle w:val="Strong"/>
          <w:rFonts w:ascii="Arial" w:hAnsi="Arial" w:cs="Arial"/>
          <w:b w:val="0"/>
          <w:bCs w:val="0"/>
          <w:sz w:val="20"/>
          <w:szCs w:val="20"/>
          <w:lang w:val="en-US"/>
        </w:rPr>
        <w:fldChar w:fldCharType="begin" w:fldLock="1"/>
      </w:r>
      <w:r w:rsidR="00A72F9C" w:rsidRPr="00677610">
        <w:rPr>
          <w:rStyle w:val="Strong"/>
          <w:rFonts w:ascii="Arial" w:hAnsi="Arial" w:cs="Arial"/>
          <w:b w:val="0"/>
          <w:bCs w:val="0"/>
          <w:sz w:val="20"/>
          <w:szCs w:val="20"/>
          <w:lang w:val="en-US"/>
        </w:rPr>
        <w:instrText>ADDIN CSL_CITATION {"citationItems":[{"id":"ITEM-1","itemData":{"ISBN":"9780078112669","abstract":"Persepsi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2011)","author":[{"dropping-particle":"","family":"Gibson","given":"J L","non-dropping-particle":"","parse-names":false,"suffix":""},{"dropping-particle":"","family":"Ivancevich","given":"J M","non-dropping-particle":"","parse-names":false,"suffix":""},{"dropping-particle":"","family":"Donnelly","given":"J H","non-dropping-particle":"","parse-names":false,"suffix":""},{"dropping-particle":"","family":"R Konopaske","given":"","non-dropping-particle":"","parse-names":false,"suffix":""}],"edition":"Paul Ducha","editor":[{"dropping-particle":"","family":"Paul Ducham","given":"","non-dropping-particle":"","parse-names":false,"suffix":""}],"id":"ITEM-1","issued":{"date-parts":[["2012"]]},"number-of-pages":"6","publisher":"McGraw-Hill Companies","title":"Organization: Behavior, Structure, Processes","type":"book"},"uris":["http://www.mendeley.com/documents/?uuid=d1165abe-7134-4bee-abd2-0ac109d218fb"]}],"mendeley":{"formattedCitation":"(Gibson et al. 2012)","plainTextFormattedCitation":"(Gibson et al. 2012)","previouslyFormattedCitation":"(Gibson et al. 2012)"},"properties":{"noteIndex":0},"schema":"https://github.com/citation-style-language/schema/raw/master/csl-citation.json"}</w:instrText>
      </w:r>
      <w:r w:rsidRPr="00677610">
        <w:rPr>
          <w:rStyle w:val="Strong"/>
          <w:rFonts w:ascii="Arial" w:hAnsi="Arial" w:cs="Arial"/>
          <w:b w:val="0"/>
          <w:bCs w:val="0"/>
          <w:sz w:val="20"/>
          <w:szCs w:val="20"/>
          <w:lang w:val="en-US"/>
        </w:rPr>
        <w:fldChar w:fldCharType="separate"/>
      </w:r>
      <w:r w:rsidR="00A72F9C" w:rsidRPr="00677610">
        <w:rPr>
          <w:rStyle w:val="Strong"/>
          <w:rFonts w:ascii="Arial" w:hAnsi="Arial" w:cs="Arial"/>
          <w:b w:val="0"/>
          <w:bCs w:val="0"/>
          <w:noProof/>
          <w:sz w:val="20"/>
          <w:szCs w:val="20"/>
          <w:lang w:val="en-US"/>
        </w:rPr>
        <w:t>(Gibson et al. 2012)</w:t>
      </w:r>
      <w:r w:rsidRPr="00677610">
        <w:rPr>
          <w:rStyle w:val="Strong"/>
          <w:rFonts w:ascii="Arial" w:hAnsi="Arial" w:cs="Arial"/>
          <w:b w:val="0"/>
          <w:bCs w:val="0"/>
          <w:sz w:val="20"/>
          <w:szCs w:val="20"/>
          <w:lang w:val="en-US"/>
        </w:rPr>
        <w:fldChar w:fldCharType="end"/>
      </w:r>
      <w:r w:rsidRPr="00677610">
        <w:rPr>
          <w:rFonts w:ascii="Arial" w:hAnsi="Arial" w:cs="Arial"/>
          <w:sz w:val="20"/>
          <w:szCs w:val="20"/>
        </w:rPr>
        <w:t>, It categorizes motivation into three distinct needs:</w:t>
      </w:r>
    </w:p>
    <w:p w14:paraId="1E2B070A" w14:textId="77777777" w:rsidR="00E16B78" w:rsidRPr="00677610" w:rsidRDefault="00E16B78" w:rsidP="002D77C3">
      <w:pPr>
        <w:pStyle w:val="NormalWeb"/>
        <w:numPr>
          <w:ilvl w:val="0"/>
          <w:numId w:val="11"/>
        </w:numPr>
        <w:tabs>
          <w:tab w:val="clear" w:pos="720"/>
          <w:tab w:val="num" w:pos="360"/>
        </w:tabs>
        <w:spacing w:before="0" w:beforeAutospacing="0" w:after="0" w:afterAutospacing="0"/>
        <w:ind w:left="360"/>
        <w:jc w:val="both"/>
        <w:rPr>
          <w:rStyle w:val="Strong"/>
          <w:rFonts w:ascii="Arial" w:hAnsi="Arial" w:cs="Arial"/>
          <w:b w:val="0"/>
          <w:bCs w:val="0"/>
          <w:sz w:val="20"/>
          <w:szCs w:val="20"/>
        </w:rPr>
      </w:pPr>
      <w:r w:rsidRPr="00677610">
        <w:rPr>
          <w:rStyle w:val="Strong"/>
          <w:rFonts w:ascii="Arial" w:hAnsi="Arial" w:cs="Arial"/>
          <w:b w:val="0"/>
          <w:bCs w:val="0"/>
          <w:sz w:val="20"/>
          <w:szCs w:val="20"/>
        </w:rPr>
        <w:t>Existence (security, fundamental welfare, stability)</w:t>
      </w:r>
    </w:p>
    <w:p w14:paraId="73B9CD8A" w14:textId="77777777" w:rsidR="00E16B78" w:rsidRPr="00677610" w:rsidRDefault="00E16B78" w:rsidP="002D77C3">
      <w:pPr>
        <w:pStyle w:val="NormalWeb"/>
        <w:numPr>
          <w:ilvl w:val="0"/>
          <w:numId w:val="11"/>
        </w:numPr>
        <w:tabs>
          <w:tab w:val="clear" w:pos="720"/>
          <w:tab w:val="num" w:pos="360"/>
        </w:tabs>
        <w:spacing w:before="0" w:beforeAutospacing="0" w:after="0" w:afterAutospacing="0"/>
        <w:ind w:left="360"/>
        <w:jc w:val="both"/>
        <w:rPr>
          <w:rStyle w:val="Strong"/>
          <w:rFonts w:ascii="Arial" w:hAnsi="Arial" w:cs="Arial"/>
          <w:b w:val="0"/>
          <w:bCs w:val="0"/>
          <w:sz w:val="20"/>
          <w:szCs w:val="20"/>
        </w:rPr>
      </w:pPr>
      <w:r w:rsidRPr="00677610">
        <w:rPr>
          <w:rStyle w:val="Strong"/>
          <w:rFonts w:ascii="Arial" w:hAnsi="Arial" w:cs="Arial"/>
          <w:b w:val="0"/>
          <w:bCs w:val="0"/>
          <w:sz w:val="20"/>
          <w:szCs w:val="20"/>
        </w:rPr>
        <w:t>Affiliation (membership, acknowledgment, interpersonal relationship)</w:t>
      </w:r>
    </w:p>
    <w:p w14:paraId="3A0F2F34" w14:textId="77777777" w:rsidR="00E16B78" w:rsidRPr="00677610" w:rsidRDefault="00E16B78" w:rsidP="002D77C3">
      <w:pPr>
        <w:pStyle w:val="NormalWeb"/>
        <w:numPr>
          <w:ilvl w:val="0"/>
          <w:numId w:val="11"/>
        </w:numPr>
        <w:tabs>
          <w:tab w:val="clear" w:pos="720"/>
          <w:tab w:val="num" w:pos="360"/>
        </w:tabs>
        <w:spacing w:before="0" w:beforeAutospacing="0" w:after="0" w:afterAutospacing="0"/>
        <w:ind w:left="360"/>
        <w:jc w:val="both"/>
        <w:rPr>
          <w:rFonts w:ascii="Arial" w:hAnsi="Arial" w:cs="Arial"/>
          <w:sz w:val="20"/>
          <w:szCs w:val="20"/>
        </w:rPr>
      </w:pPr>
      <w:r w:rsidRPr="00677610">
        <w:rPr>
          <w:rStyle w:val="Strong"/>
          <w:rFonts w:ascii="Arial" w:hAnsi="Arial" w:cs="Arial"/>
          <w:b w:val="0"/>
          <w:bCs w:val="0"/>
          <w:sz w:val="20"/>
          <w:szCs w:val="20"/>
        </w:rPr>
        <w:t>Growth (growth, education, progression prospects)</w:t>
      </w:r>
    </w:p>
    <w:p w14:paraId="7392B255" w14:textId="5D8B90CF" w:rsidR="00E16B78" w:rsidRPr="00677610" w:rsidRDefault="00E16B78" w:rsidP="00E16B78">
      <w:pPr>
        <w:pStyle w:val="NormalWeb"/>
        <w:spacing w:before="0" w:beforeAutospacing="0" w:after="0" w:afterAutospacing="0"/>
        <w:ind w:firstLine="720"/>
        <w:jc w:val="both"/>
        <w:rPr>
          <w:rFonts w:ascii="Arial" w:hAnsi="Arial" w:cs="Arial"/>
          <w:sz w:val="20"/>
          <w:szCs w:val="20"/>
        </w:rPr>
      </w:pPr>
      <w:r w:rsidRPr="00677610">
        <w:rPr>
          <w:rFonts w:ascii="Arial" w:hAnsi="Arial" w:cs="Arial"/>
          <w:sz w:val="20"/>
          <w:szCs w:val="20"/>
        </w:rPr>
        <w:t>Recent empirical research based on the ERG theory consistently shows that the fulfillment of existence, relatedness, and growth needs correlates with significant behavioral and psychological outcomes, thereby affirming the contemporary explanatory relevance of ERG for sustained effort amid institutional pressures and evolving environments</w:t>
      </w:r>
      <w:r w:rsidRPr="00677610">
        <w:rPr>
          <w:rFonts w:ascii="Arial" w:hAnsi="Arial" w:cs="Arial"/>
          <w:sz w:val="20"/>
          <w:szCs w:val="20"/>
          <w:lang w:val="en-US"/>
        </w:rPr>
        <w:t xml:space="preserve"> </w:t>
      </w:r>
      <w:r w:rsidRPr="00677610">
        <w:rPr>
          <w:rFonts w:ascii="Arial" w:hAnsi="Arial" w:cs="Arial"/>
          <w:sz w:val="20"/>
          <w:szCs w:val="20"/>
        </w:rPr>
        <w:fldChar w:fldCharType="begin" w:fldLock="1"/>
      </w:r>
      <w:r w:rsidR="00A72F9C" w:rsidRPr="00677610">
        <w:rPr>
          <w:rFonts w:ascii="Arial" w:hAnsi="Arial" w:cs="Arial"/>
          <w:sz w:val="20"/>
          <w:szCs w:val="20"/>
        </w:rPr>
        <w:instrText>ADDIN CSL_CITATION {"citationItems":[{"id":"ITEM-1","itemData":{"DOI":"10.3389/fpsyg.2023.1205742","ISBN":"2572020015626","ISSN":"16641078","abstract":"Job burnout among young university teachers is a serious issue that can have negative consequences for their well-being and job performance, as well as students’ learning outcomes. To identify protective factors for job burnout, this study examined the impacts and mechanism of satisfying existence, relatedness, and growth need on job burnout among 968 young university teachers, using the ERG needs theory framework. The results of the regression analysis and mediation analysis showed that ERG needs satisfaction significantly and negatively predicted job burnout, and job satisfaction mediated this relationship. Besides, the total effect of existence need satisfaction on job burnout was significantly smaller than that of relatedness need satisfaction and growth need satisfaction. These findings contribute to our understanding of the antecedents of young university teachers’ job burnout and provide a theoretical basis for practical action to protect them from burnout by enhancing their need satisfaction and job satisfaction.","author":[{"dropping-particle":"","family":"Yang","given":"Yang","non-dropping-particle":"","parse-names":false,"suffix":""},{"dropping-particle":"","family":"Ling","given":"Que","non-dropping-particle":"","parse-names":false,"suffix":""}],"container-title":"Frontiers in Psychology","id":"ITEM-1","issue":"August","issued":{"date-parts":[["2023"]]},"page":"1-9","title":"The influence of existence–relatedness–growth need satisfaction and job burnout of young university teachers: the mediating role of job satisfaction","type":"article-journal","volume":"14"},"uris":["http://www.mendeley.com/documents/?uuid=384fe4b6-90b6-4ee5-8aac-3b72294c04b1"]}],"mendeley":{"formattedCitation":"(Yang and Ling 2023)","plainTextFormattedCitation":"(Yang and Ling 2023)","previouslyFormattedCitation":"(Yang and Ling 2023)"},"properties":{"noteIndex":0},"schema":"https://github.com/citation-style-language/schema/raw/master/csl-citation.json"}</w:instrText>
      </w:r>
      <w:r w:rsidRPr="00677610">
        <w:rPr>
          <w:rFonts w:ascii="Arial" w:hAnsi="Arial" w:cs="Arial"/>
          <w:sz w:val="20"/>
          <w:szCs w:val="20"/>
        </w:rPr>
        <w:fldChar w:fldCharType="separate"/>
      </w:r>
      <w:r w:rsidR="00A72F9C" w:rsidRPr="00677610">
        <w:rPr>
          <w:rFonts w:ascii="Arial" w:hAnsi="Arial" w:cs="Arial"/>
          <w:noProof/>
          <w:sz w:val="20"/>
          <w:szCs w:val="20"/>
        </w:rPr>
        <w:t>(Yang and Ling 2023)</w:t>
      </w:r>
      <w:r w:rsidRPr="00677610">
        <w:rPr>
          <w:rFonts w:ascii="Arial" w:hAnsi="Arial" w:cs="Arial"/>
          <w:sz w:val="20"/>
          <w:szCs w:val="20"/>
        </w:rPr>
        <w:fldChar w:fldCharType="end"/>
      </w:r>
      <w:r w:rsidRPr="00677610">
        <w:rPr>
          <w:rFonts w:ascii="Arial" w:hAnsi="Arial" w:cs="Arial"/>
          <w:sz w:val="20"/>
          <w:szCs w:val="20"/>
          <w:lang w:val="en-US"/>
        </w:rPr>
        <w:t xml:space="preserve">. </w:t>
      </w:r>
      <w:r w:rsidRPr="00677610">
        <w:rPr>
          <w:rFonts w:ascii="Arial" w:hAnsi="Arial" w:cs="Arial"/>
          <w:sz w:val="20"/>
          <w:szCs w:val="20"/>
        </w:rPr>
        <w:t xml:space="preserve">Within the IKN framework, where inhabitants face swift transformations, unpredictability, and novel digital protocols, ERG motivation </w:t>
      </w:r>
      <w:r w:rsidR="00F25C56" w:rsidRPr="00677610">
        <w:rPr>
          <w:rFonts w:ascii="Arial" w:hAnsi="Arial" w:cs="Arial"/>
          <w:sz w:val="20"/>
          <w:szCs w:val="20"/>
        </w:rPr>
        <w:t>provides a rational psychological foundation for why communities choose to engage in programs, devote effort to mastering new systems, and continue using</w:t>
      </w:r>
      <w:r w:rsidRPr="00677610">
        <w:rPr>
          <w:rFonts w:ascii="Arial" w:hAnsi="Arial" w:cs="Arial"/>
          <w:sz w:val="20"/>
          <w:szCs w:val="20"/>
        </w:rPr>
        <w:t xml:space="preserve"> new infrastructure.</w:t>
      </w:r>
    </w:p>
    <w:p w14:paraId="4E3F2F56" w14:textId="0FE1D2EC" w:rsidR="003B44B4" w:rsidRPr="00677610" w:rsidRDefault="003B44B4" w:rsidP="00E16B78">
      <w:pPr>
        <w:pStyle w:val="NormalWeb"/>
        <w:spacing w:before="0" w:beforeAutospacing="0" w:after="0" w:afterAutospacing="0"/>
        <w:ind w:firstLine="720"/>
        <w:jc w:val="both"/>
        <w:rPr>
          <w:rFonts w:ascii="Arial" w:hAnsi="Arial" w:cs="Arial"/>
          <w:sz w:val="20"/>
          <w:szCs w:val="20"/>
        </w:rPr>
      </w:pPr>
      <w:r w:rsidRPr="00677610">
        <w:rPr>
          <w:rFonts w:ascii="Arial" w:hAnsi="Arial" w:cs="Arial"/>
          <w:sz w:val="20"/>
          <w:szCs w:val="20"/>
          <w:highlight w:val="cyan"/>
        </w:rPr>
        <w:t xml:space="preserve">ERG theory was selected in this study because it provides a parsimonious yet comprehensive motivational framework for explaining community willingness to engage under conditions of rapid institutional and infrastructural change. In the IKN context, residents are not only expected to respond to new material development, but also to adapt to changing governance arrangements, digital procedures, and emerging socioeconomic opportunities. The ERG framework is especially suitable for this setting because it captures three motivational layers that are highly relevant to community adaptation: existence needs related to security and welfare, relatedness needs linked to social belonging and recognition, and growth needs associated with learning, advancement, and self-improvement. Compared with narrower </w:t>
      </w:r>
      <w:r w:rsidRPr="00677610">
        <w:rPr>
          <w:rFonts w:ascii="Arial" w:hAnsi="Arial" w:cs="Arial"/>
          <w:sz w:val="20"/>
          <w:szCs w:val="20"/>
          <w:highlight w:val="cyan"/>
        </w:rPr>
        <w:lastRenderedPageBreak/>
        <w:t>motivational approaches, ERG theory offers a more context-sensitive explanation of why residents may or may not sustain participation in a large-scale transformation process.</w:t>
      </w:r>
    </w:p>
    <w:p w14:paraId="5DD05BEA" w14:textId="77777777" w:rsidR="00E16B78" w:rsidRPr="00677610" w:rsidRDefault="00E16B78" w:rsidP="002D77C3">
      <w:pPr>
        <w:pStyle w:val="Heading3"/>
        <w:numPr>
          <w:ilvl w:val="0"/>
          <w:numId w:val="14"/>
        </w:numPr>
        <w:tabs>
          <w:tab w:val="num" w:pos="360"/>
        </w:tabs>
        <w:spacing w:before="120" w:after="120" w:line="240" w:lineRule="auto"/>
        <w:ind w:left="493" w:hanging="493"/>
        <w:jc w:val="both"/>
        <w:rPr>
          <w:rFonts w:ascii="Arial" w:hAnsi="Arial" w:cs="Arial"/>
          <w:color w:val="auto"/>
          <w:sz w:val="20"/>
          <w:szCs w:val="20"/>
        </w:rPr>
      </w:pPr>
      <w:r w:rsidRPr="00677610">
        <w:rPr>
          <w:rFonts w:ascii="Arial" w:hAnsi="Arial" w:cs="Arial"/>
          <w:color w:val="auto"/>
          <w:sz w:val="20"/>
          <w:szCs w:val="20"/>
        </w:rPr>
        <w:t>Community education as adaptive and interpretive capacity (two indicators)</w:t>
      </w:r>
    </w:p>
    <w:p w14:paraId="1D6315B9" w14:textId="489F5D7A" w:rsidR="00E16B78" w:rsidRPr="00677610" w:rsidRDefault="00E16B78" w:rsidP="00E16B78">
      <w:pPr>
        <w:pStyle w:val="NormalWeb"/>
        <w:spacing w:before="0" w:beforeAutospacing="0" w:after="0" w:afterAutospacing="0"/>
        <w:ind w:firstLine="720"/>
        <w:jc w:val="both"/>
        <w:rPr>
          <w:rFonts w:ascii="Arial" w:hAnsi="Arial" w:cs="Arial"/>
          <w:sz w:val="20"/>
          <w:szCs w:val="20"/>
          <w:lang w:val="en-US"/>
        </w:rPr>
      </w:pPr>
      <w:r w:rsidRPr="00677610">
        <w:rPr>
          <w:rFonts w:ascii="Arial" w:hAnsi="Arial" w:cs="Arial"/>
          <w:sz w:val="20"/>
          <w:szCs w:val="20"/>
        </w:rPr>
        <w:t>Education enhances interpretive abilities and long-term adaptation. Digitally mediated public services enhance understanding of policy signals, program details, and procedural necessities in education. Evidence of digital adoption indicates that digital literacy and trust—typically developed via formal and informal education—are crucial for e-government adoption and meaningful engagement.</w:t>
      </w:r>
      <w:r w:rsidRPr="00677610">
        <w:rPr>
          <w:rFonts w:ascii="Arial" w:hAnsi="Arial" w:cs="Arial"/>
          <w:sz w:val="20"/>
          <w:szCs w:val="20"/>
          <w:lang w:val="en-US"/>
        </w:rPr>
        <w:t xml:space="preserve"> </w:t>
      </w:r>
      <w:r w:rsidRPr="00677610">
        <w:rPr>
          <w:rFonts w:ascii="Arial" w:hAnsi="Arial" w:cs="Arial"/>
          <w:sz w:val="20"/>
          <w:szCs w:val="20"/>
        </w:rPr>
        <w:fldChar w:fldCharType="begin" w:fldLock="1"/>
      </w:r>
      <w:r w:rsidR="00A72F9C" w:rsidRPr="00677610">
        <w:rPr>
          <w:rFonts w:ascii="Arial" w:hAnsi="Arial" w:cs="Arial"/>
          <w:sz w:val="20"/>
          <w:szCs w:val="20"/>
        </w:rPr>
        <w:instrText>ADDIN CSL_CITATION {"citationItems":[{"id":"ITEM-1","itemData":{"DOI":"10.1108/TG-11-2023-0196","ISSN":"1750-6166","abstract":"Purpose This study aims to examine the role of trust and digital literacy in influencing citizens’ adoption of e-government services. Design/methodology/approach Grounded in the technology acceptance model (TAM), a research model was developed focusing on e-filing services adoption. Hypotheses were formulated to assess the moderating effect of digital literacy on the relationship between trust and the key TAM determinants of perceived usefulness and perceived ease of use. A questionnaire-based survey of 876 citizens who have used e-filing using the snow-ball sampling technique was adopted to generate data. The data was analyzed using PLS-SEM through the aid of SmartPLS 4 to assess the measurement model and structural relationships. Findings Trust positively influences perceived usefulness and ease of use, which in turn drive adoption. Additionally, digital literacy significantly moderates the impact of trust on usefulness and ease of use perceptions – the effect is stronger for higher digital literacy. Research limitations/implications The study adopted a single country developing economy context limiting cross-cultural applicability. Second, the focus on e-filing adoption precludes insights across other e-government services. Third, the reliance on perceptual measures risks respondent biases and fourth, the study is a cross-sectional survey design. Practical implications The findings emphasize multifaceted strategies to accelerate e-government adoption. Nurturing citizen trust in e-government systems through enhanced reliability, security and transparency remains vital. Simultaneously, initiatives to cultivate digital access, skills and proficiencies across population segments need to be undertaken. Originality/value This study integrates trust and digital literacy within the theoretical model to provide a more holistic understanding of adoption determinants. It highlights the need for balanced technology-enabled and social interventions to foster acceptance of e-government services.","author":[{"dropping-particle":"","family":"AbdulKareem","given":"Abdulrazaq Kayode","non-dropping-particle":"","parse-names":false,"suffix":""},{"dropping-particle":"","family":"Oladimeji","given":"Kazeem Adebayo","non-dropping-particle":"","parse-names":false,"suffix":""}],"container-title":"Transforming Government: People, Process and Policy","id":"ITEM-1","issue":"2","issued":{"date-parts":[["2024","5","1"]]},"page":"270-286","title":"Cultivating the digital citizen: trust, digital literacy and e-government adoption","type":"article-journal","volume":"18"},"uris":["http://www.mendeley.com/documents/?uuid=0234fcdd-f587-42f8-88f5-753dd100f0d6"]}],"mendeley":{"formattedCitation":"(AbdulKareem and Oladimeji 2024)","plainTextFormattedCitation":"(AbdulKareem and Oladimeji 2024)","previouslyFormattedCitation":"(AbdulKareem and Oladimeji 2024)"},"properties":{"noteIndex":0},"schema":"https://github.com/citation-style-language/schema/raw/master/csl-citation.json"}</w:instrText>
      </w:r>
      <w:r w:rsidRPr="00677610">
        <w:rPr>
          <w:rFonts w:ascii="Arial" w:hAnsi="Arial" w:cs="Arial"/>
          <w:sz w:val="20"/>
          <w:szCs w:val="20"/>
        </w:rPr>
        <w:fldChar w:fldCharType="separate"/>
      </w:r>
      <w:r w:rsidR="00A72F9C" w:rsidRPr="00677610">
        <w:rPr>
          <w:rFonts w:ascii="Arial" w:hAnsi="Arial" w:cs="Arial"/>
          <w:noProof/>
          <w:sz w:val="20"/>
          <w:szCs w:val="20"/>
        </w:rPr>
        <w:t>(AbdulKareem and Oladimeji 2024)</w:t>
      </w:r>
      <w:r w:rsidRPr="00677610">
        <w:rPr>
          <w:rFonts w:ascii="Arial" w:hAnsi="Arial" w:cs="Arial"/>
          <w:sz w:val="20"/>
          <w:szCs w:val="20"/>
        </w:rPr>
        <w:fldChar w:fldCharType="end"/>
      </w:r>
      <w:r w:rsidRPr="00677610">
        <w:rPr>
          <w:rFonts w:ascii="Arial" w:hAnsi="Arial" w:cs="Arial"/>
          <w:sz w:val="20"/>
          <w:szCs w:val="20"/>
          <w:lang w:val="en-US"/>
        </w:rPr>
        <w:t xml:space="preserve">. </w:t>
      </w:r>
      <w:r w:rsidRPr="00677610">
        <w:rPr>
          <w:rFonts w:ascii="Arial" w:hAnsi="Arial" w:cs="Arial"/>
          <w:sz w:val="20"/>
          <w:szCs w:val="20"/>
        </w:rPr>
        <w:t xml:space="preserve">Research on smart cities reveals that the development of skills and capabilities is essential alongside technology deployment to prevent exacerbating the digital gap </w:t>
      </w:r>
      <w:r w:rsidRPr="00677610">
        <w:rPr>
          <w:rFonts w:ascii="Arial" w:hAnsi="Arial" w:cs="Arial"/>
          <w:sz w:val="20"/>
          <w:szCs w:val="20"/>
        </w:rPr>
        <w:fldChar w:fldCharType="begin" w:fldLock="1"/>
      </w:r>
      <w:r w:rsidR="00A72F9C" w:rsidRPr="00677610">
        <w:rPr>
          <w:rFonts w:ascii="Arial" w:hAnsi="Arial" w:cs="Arial"/>
          <w:sz w:val="20"/>
          <w:szCs w:val="20"/>
        </w:rPr>
        <w:instrText>ADDIN CSL_CITATION {"citationItems":[{"id":"ITEM-1","itemData":{"DOI":"10.1016/j.cities.2023.104659","ISSN":"02642751","abstract":"Despite the wealth of research on smart cities, there is a lack of studies examining interlinkages between smart cities and Sustainable Development Goals (SDGs). In other words, there is limited research on how implementing smart city solutions can lead to co-benefits and/or trade-offs for achieving SDGs. This systematic literature review was conducted to fill this gap. Results show that responsible development/implementation of smart city solutions and technologies could contribute to the progress toward SDGs. The literature is mainly focused on SDG 11 (Sustainable Cities and Communities), SDG 12 (Responsible Consumption and Production), SDG 7 (Affordable and Clean Energy), and SDG 6 (Clean Water and Sanitation). More work on other SDGs is needed. There is a bias toward reporting the benefits of smart cities. These include accelerating economic growth, improving efficiency, strengthening innovation, and raising citizen awareness. These benefits indicate that smart cities could catalyze the transition to sustainable development and address climate change challenges. However, this requires addressing trade-offs related to issues such as privacy and cyber security, costs of infrastructure upgrading, rebound effects associated with efficiency improvements, biased decision-making, reproduction of social biases, digital divide and lack of skills, misuse of AI, and limited legal setup. This review elaborates on these trade-offs and offers solutions to minimize them. Results show that the COVID-19 pandemic has increased attention to the interactions between smart cities and the SDGs, particularly those related to health and climate action. However, it has also cemented many new unethical practices. This review highlights governance/policy challenges that should be addressed to ensure smart cities can better contribute to the SDGs. It concludes that multi-scale and transparent governance mechanisms and regulatory frameworks are crucial for ensuring that smart city solutions support the transition toward sustainable and resilient cities.","author":[{"dropping-particle":"","family":"Sharifi","given":"Ayyoob","non-dropping-particle":"","parse-names":false,"suffix":""},{"dropping-particle":"","family":"Allam","given":"Zaheer","non-dropping-particle":"","parse-names":false,"suffix":""},{"dropping-particle":"","family":"Bibri","given":"Simon Elias","non-dropping-particle":"","parse-names":false,"suffix":""},{"dropping-particle":"","family":"Khavarian-Garmsir","given":"Amir Reza","non-dropping-particle":"","parse-names":false,"suffix":""}],"container-title":"Cities","id":"ITEM-1","issue":"March 2023","issued":{"date-parts":[["2024","3"]]},"page":"104659","publisher":"Elsevier Ltd","title":"Smart cities and sustainable development goals (SDGs): A systematic literature review of co-benefits and trade-offs","type":"article-journal","volume":"146"},"uris":["http://www.mendeley.com/documents/?uuid=2a96573e-1db4-48f8-bd89-995106cd9a4a"]}],"mendeley":{"formattedCitation":"(Sharifi et al. 2024)","plainTextFormattedCitation":"(Sharifi et al. 2024)","previouslyFormattedCitation":"(Sharifi et al. 2024)"},"properties":{"noteIndex":0},"schema":"https://github.com/citation-style-language/schema/raw/master/csl-citation.json"}</w:instrText>
      </w:r>
      <w:r w:rsidRPr="00677610">
        <w:rPr>
          <w:rFonts w:ascii="Arial" w:hAnsi="Arial" w:cs="Arial"/>
          <w:sz w:val="20"/>
          <w:szCs w:val="20"/>
        </w:rPr>
        <w:fldChar w:fldCharType="separate"/>
      </w:r>
      <w:r w:rsidR="00A72F9C" w:rsidRPr="00677610">
        <w:rPr>
          <w:rFonts w:ascii="Arial" w:hAnsi="Arial" w:cs="Arial"/>
          <w:noProof/>
          <w:sz w:val="20"/>
          <w:szCs w:val="20"/>
        </w:rPr>
        <w:t>(Sharifi et al. 2024)</w:t>
      </w:r>
      <w:r w:rsidRPr="00677610">
        <w:rPr>
          <w:rFonts w:ascii="Arial" w:hAnsi="Arial" w:cs="Arial"/>
          <w:sz w:val="20"/>
          <w:szCs w:val="20"/>
        </w:rPr>
        <w:fldChar w:fldCharType="end"/>
      </w:r>
      <w:r w:rsidRPr="00677610">
        <w:rPr>
          <w:rFonts w:ascii="Arial" w:hAnsi="Arial" w:cs="Arial"/>
          <w:sz w:val="20"/>
          <w:szCs w:val="20"/>
          <w:lang w:val="en-US"/>
        </w:rPr>
        <w:t>.</w:t>
      </w:r>
    </w:p>
    <w:p w14:paraId="7D451B64" w14:textId="77777777" w:rsidR="00E16B78" w:rsidRPr="00677610" w:rsidRDefault="00E16B78" w:rsidP="00E16B78">
      <w:pPr>
        <w:pStyle w:val="NormalWeb"/>
        <w:spacing w:before="0" w:beforeAutospacing="0" w:after="0" w:afterAutospacing="0"/>
        <w:jc w:val="both"/>
        <w:rPr>
          <w:rFonts w:ascii="Arial" w:hAnsi="Arial" w:cs="Arial"/>
          <w:sz w:val="20"/>
          <w:szCs w:val="20"/>
        </w:rPr>
      </w:pPr>
      <w:r w:rsidRPr="00677610">
        <w:rPr>
          <w:rFonts w:ascii="Arial" w:hAnsi="Arial" w:cs="Arial"/>
          <w:sz w:val="20"/>
          <w:szCs w:val="20"/>
        </w:rPr>
        <w:t>Consequently, Community Education is implemented using two metrics aligned with the manuscript's framework:</w:t>
      </w:r>
    </w:p>
    <w:p w14:paraId="5F38CC94" w14:textId="77777777" w:rsidR="00E16B78" w:rsidRPr="00677610" w:rsidRDefault="00E16B78" w:rsidP="002D77C3">
      <w:pPr>
        <w:pStyle w:val="NormalWeb"/>
        <w:numPr>
          <w:ilvl w:val="0"/>
          <w:numId w:val="12"/>
        </w:numPr>
        <w:tabs>
          <w:tab w:val="clear" w:pos="720"/>
          <w:tab w:val="num" w:pos="360"/>
        </w:tabs>
        <w:spacing w:before="0" w:beforeAutospacing="0" w:after="0" w:afterAutospacing="0"/>
        <w:ind w:left="360"/>
        <w:jc w:val="both"/>
        <w:rPr>
          <w:rStyle w:val="Strong"/>
          <w:rFonts w:ascii="Arial" w:hAnsi="Arial" w:cs="Arial"/>
          <w:b w:val="0"/>
          <w:bCs w:val="0"/>
          <w:sz w:val="20"/>
          <w:szCs w:val="20"/>
        </w:rPr>
      </w:pPr>
      <w:r w:rsidRPr="00677610">
        <w:rPr>
          <w:rStyle w:val="Strong"/>
          <w:rFonts w:ascii="Arial" w:hAnsi="Arial" w:cs="Arial"/>
          <w:b w:val="0"/>
          <w:bCs w:val="0"/>
          <w:sz w:val="20"/>
          <w:szCs w:val="20"/>
        </w:rPr>
        <w:t>Formal Education (academic instruction and recognized credentials influencing cognitive development)</w:t>
      </w:r>
    </w:p>
    <w:p w14:paraId="210D3058" w14:textId="77777777" w:rsidR="00E16B78" w:rsidRPr="00677610" w:rsidRDefault="00E16B78" w:rsidP="002D77C3">
      <w:pPr>
        <w:pStyle w:val="NormalWeb"/>
        <w:numPr>
          <w:ilvl w:val="0"/>
          <w:numId w:val="12"/>
        </w:numPr>
        <w:tabs>
          <w:tab w:val="clear" w:pos="720"/>
          <w:tab w:val="num" w:pos="360"/>
        </w:tabs>
        <w:spacing w:before="0" w:beforeAutospacing="0" w:after="0" w:afterAutospacing="0"/>
        <w:ind w:left="360"/>
        <w:jc w:val="both"/>
        <w:rPr>
          <w:rFonts w:ascii="Arial" w:hAnsi="Arial" w:cs="Arial"/>
          <w:b/>
          <w:bCs/>
          <w:sz w:val="20"/>
          <w:szCs w:val="20"/>
        </w:rPr>
      </w:pPr>
      <w:r w:rsidRPr="00677610">
        <w:rPr>
          <w:rStyle w:val="Strong"/>
          <w:rFonts w:ascii="Arial" w:hAnsi="Arial" w:cs="Arial"/>
          <w:b w:val="0"/>
          <w:bCs w:val="0"/>
          <w:sz w:val="20"/>
          <w:szCs w:val="20"/>
        </w:rPr>
        <w:t>Non-formal Education (training, workshops, community learning, extension initiatives)</w:t>
      </w:r>
    </w:p>
    <w:p w14:paraId="12046D00" w14:textId="5D1C504C" w:rsidR="00E16B78" w:rsidRPr="00677610" w:rsidRDefault="00E16B78" w:rsidP="00E16B78">
      <w:pPr>
        <w:pStyle w:val="NormalWeb"/>
        <w:spacing w:before="0" w:beforeAutospacing="0" w:after="0" w:afterAutospacing="0"/>
        <w:ind w:firstLine="720"/>
        <w:jc w:val="both"/>
        <w:rPr>
          <w:rFonts w:ascii="Arial" w:hAnsi="Arial" w:cs="Arial"/>
          <w:sz w:val="20"/>
          <w:szCs w:val="20"/>
        </w:rPr>
      </w:pPr>
      <w:r w:rsidRPr="00677610">
        <w:rPr>
          <w:rFonts w:ascii="Arial" w:hAnsi="Arial" w:cs="Arial"/>
          <w:sz w:val="20"/>
          <w:szCs w:val="20"/>
        </w:rPr>
        <w:t xml:space="preserve">Education is </w:t>
      </w:r>
      <w:r w:rsidR="00F25C56" w:rsidRPr="00677610">
        <w:rPr>
          <w:rFonts w:ascii="Arial" w:hAnsi="Arial" w:cs="Arial"/>
          <w:sz w:val="20"/>
          <w:szCs w:val="20"/>
        </w:rPr>
        <w:t>expected to enhance preparedness by strengthening citizens' capacity to discern opportunities, comply with procedural requirements, and adapt</w:t>
      </w:r>
      <w:r w:rsidRPr="00677610">
        <w:rPr>
          <w:rFonts w:ascii="Arial" w:hAnsi="Arial" w:cs="Arial"/>
          <w:sz w:val="20"/>
          <w:szCs w:val="20"/>
        </w:rPr>
        <w:t xml:space="preserve"> to novel governance structures associated with IKN development.</w:t>
      </w:r>
    </w:p>
    <w:p w14:paraId="4ED641FC" w14:textId="77777777" w:rsidR="00E16B78" w:rsidRPr="00677610" w:rsidRDefault="00E16B78" w:rsidP="00E16B78">
      <w:pPr>
        <w:pStyle w:val="Heading3"/>
        <w:numPr>
          <w:ilvl w:val="0"/>
          <w:numId w:val="14"/>
        </w:numPr>
        <w:tabs>
          <w:tab w:val="num" w:pos="360"/>
        </w:tabs>
        <w:spacing w:before="120" w:after="120" w:line="240" w:lineRule="auto"/>
        <w:ind w:left="493" w:hanging="493"/>
        <w:jc w:val="both"/>
        <w:rPr>
          <w:rFonts w:ascii="Arial" w:hAnsi="Arial" w:cs="Arial"/>
          <w:color w:val="auto"/>
          <w:sz w:val="20"/>
          <w:szCs w:val="20"/>
        </w:rPr>
      </w:pPr>
      <w:r w:rsidRPr="00677610">
        <w:rPr>
          <w:rFonts w:ascii="Arial" w:hAnsi="Arial" w:cs="Arial"/>
          <w:color w:val="auto"/>
          <w:sz w:val="20"/>
          <w:szCs w:val="20"/>
        </w:rPr>
        <w:t>Research Model and Hypotheses</w:t>
      </w:r>
    </w:p>
    <w:p w14:paraId="0CAE481A" w14:textId="77777777" w:rsidR="00E16B78" w:rsidRPr="00677610" w:rsidRDefault="00E16B78" w:rsidP="00E16B78">
      <w:pPr>
        <w:pStyle w:val="NormalWeb"/>
        <w:spacing w:before="0" w:beforeAutospacing="0" w:after="0" w:afterAutospacing="0"/>
        <w:jc w:val="both"/>
        <w:rPr>
          <w:rFonts w:ascii="Arial" w:hAnsi="Arial" w:cs="Arial"/>
          <w:sz w:val="20"/>
          <w:szCs w:val="20"/>
        </w:rPr>
      </w:pPr>
      <w:r w:rsidRPr="00677610">
        <w:rPr>
          <w:rFonts w:ascii="Arial" w:hAnsi="Arial" w:cs="Arial"/>
          <w:sz w:val="20"/>
          <w:szCs w:val="20"/>
        </w:rPr>
        <w:t>The synthesized literature presents a model in which Community Readiness, a six-indicator CRM-based construct, is the endogenous variable influenced by three community-level drivers: Community Motivation (three ERG-based indicators), Community Education (two indicators), and Community Skills (three indicators). The fundamental rationale is a motivation-capability framework: motivation provides the willingness and perseverance to participate, whereas education and skills furnish the interpretive and operational tools necessary for effective action within infrastructure and governance systems.</w:t>
      </w:r>
    </w:p>
    <w:p w14:paraId="1510C1F9" w14:textId="77777777" w:rsidR="00E16B78" w:rsidRPr="00677610" w:rsidRDefault="00E16B78" w:rsidP="00E16B78">
      <w:pPr>
        <w:pStyle w:val="NormalWeb"/>
        <w:spacing w:before="0" w:beforeAutospacing="0" w:after="0" w:afterAutospacing="0"/>
        <w:jc w:val="both"/>
        <w:rPr>
          <w:rFonts w:ascii="Arial" w:hAnsi="Arial" w:cs="Arial"/>
          <w:sz w:val="20"/>
          <w:szCs w:val="20"/>
        </w:rPr>
      </w:pPr>
      <w:r w:rsidRPr="00677610">
        <w:rPr>
          <w:rFonts w:ascii="Arial" w:hAnsi="Arial" w:cs="Arial"/>
          <w:sz w:val="20"/>
          <w:szCs w:val="20"/>
        </w:rPr>
        <w:t>Consequently, the assumptions are as follows:</w:t>
      </w:r>
    </w:p>
    <w:p w14:paraId="3E081498" w14:textId="77777777" w:rsidR="008D122F" w:rsidRDefault="008D122F" w:rsidP="008D122F">
      <w:pPr>
        <w:pStyle w:val="NormalWeb"/>
        <w:spacing w:before="0" w:beforeAutospacing="0" w:after="0" w:afterAutospacing="0"/>
        <w:ind w:left="567" w:hanging="567"/>
        <w:jc w:val="both"/>
        <w:rPr>
          <w:rStyle w:val="Strong"/>
          <w:rFonts w:ascii="Arial" w:hAnsi="Arial" w:cs="Arial"/>
          <w:b w:val="0"/>
          <w:bCs w:val="0"/>
          <w:sz w:val="20"/>
          <w:szCs w:val="20"/>
        </w:rPr>
      </w:pPr>
      <w:r w:rsidRPr="008D122F">
        <w:rPr>
          <w:rStyle w:val="Strong"/>
          <w:rFonts w:ascii="Arial" w:hAnsi="Arial" w:cs="Arial"/>
          <w:b w:val="0"/>
          <w:bCs w:val="0"/>
          <w:sz w:val="20"/>
          <w:szCs w:val="20"/>
        </w:rPr>
        <w:t>H1: Community motivation is positively and substantially associated with community readiness.</w:t>
      </w:r>
    </w:p>
    <w:p w14:paraId="675D24D6" w14:textId="77777777" w:rsidR="008D122F" w:rsidRDefault="008D122F" w:rsidP="008D122F">
      <w:pPr>
        <w:pStyle w:val="NormalWeb"/>
        <w:spacing w:before="0" w:beforeAutospacing="0" w:after="0" w:afterAutospacing="0"/>
        <w:ind w:left="567" w:hanging="567"/>
        <w:jc w:val="both"/>
        <w:rPr>
          <w:rStyle w:val="Strong"/>
          <w:rFonts w:ascii="Arial" w:hAnsi="Arial" w:cs="Arial"/>
          <w:b w:val="0"/>
          <w:bCs w:val="0"/>
          <w:sz w:val="20"/>
          <w:szCs w:val="20"/>
        </w:rPr>
      </w:pPr>
      <w:r w:rsidRPr="008D122F">
        <w:rPr>
          <w:rStyle w:val="Strong"/>
          <w:rFonts w:ascii="Arial" w:hAnsi="Arial" w:cs="Arial"/>
          <w:b w:val="0"/>
          <w:bCs w:val="0"/>
          <w:sz w:val="20"/>
          <w:szCs w:val="20"/>
        </w:rPr>
        <w:t>H2: Community education is positively and substantially associated with community readiness.</w:t>
      </w:r>
    </w:p>
    <w:p w14:paraId="2CC8CDD0" w14:textId="3C48E290" w:rsidR="008D122F" w:rsidRPr="00677610" w:rsidRDefault="008D122F" w:rsidP="008D122F">
      <w:pPr>
        <w:pStyle w:val="NormalWeb"/>
        <w:spacing w:before="0" w:beforeAutospacing="0" w:after="0" w:afterAutospacing="0"/>
        <w:ind w:left="567" w:hanging="567"/>
        <w:jc w:val="both"/>
        <w:rPr>
          <w:rStyle w:val="Strong"/>
          <w:rFonts w:ascii="Arial" w:hAnsi="Arial" w:cs="Arial"/>
          <w:b w:val="0"/>
          <w:bCs w:val="0"/>
          <w:sz w:val="20"/>
          <w:szCs w:val="20"/>
        </w:rPr>
      </w:pPr>
      <w:r w:rsidRPr="008D122F">
        <w:rPr>
          <w:rStyle w:val="Strong"/>
          <w:rFonts w:ascii="Arial" w:hAnsi="Arial" w:cs="Arial"/>
          <w:b w:val="0"/>
          <w:bCs w:val="0"/>
          <w:sz w:val="20"/>
          <w:szCs w:val="20"/>
        </w:rPr>
        <w:t>H3: Community skills are positively and substantially associated with community readiness.</w:t>
      </w:r>
    </w:p>
    <w:p w14:paraId="6AF8A8D6" w14:textId="3585F412" w:rsidR="00EB6BA0" w:rsidRPr="00677610" w:rsidRDefault="006E45C4" w:rsidP="00EB6BA0">
      <w:pPr>
        <w:pStyle w:val="AbstHead"/>
        <w:numPr>
          <w:ilvl w:val="0"/>
          <w:numId w:val="6"/>
        </w:numPr>
        <w:spacing w:before="120" w:after="120"/>
        <w:ind w:left="357" w:hanging="357"/>
        <w:jc w:val="both"/>
        <w:rPr>
          <w:rFonts w:ascii="Arial" w:hAnsi="Arial" w:cs="Arial"/>
        </w:rPr>
      </w:pPr>
      <w:r w:rsidRPr="00677610">
        <w:rPr>
          <w:rFonts w:ascii="Arial" w:hAnsi="Arial" w:cs="Arial"/>
          <w:caps w:val="0"/>
        </w:rPr>
        <w:t xml:space="preserve">Material </w:t>
      </w:r>
      <w:proofErr w:type="gramStart"/>
      <w:r w:rsidRPr="00677610">
        <w:rPr>
          <w:rFonts w:ascii="Arial" w:hAnsi="Arial" w:cs="Arial"/>
          <w:caps w:val="0"/>
        </w:rPr>
        <w:t>And</w:t>
      </w:r>
      <w:proofErr w:type="gramEnd"/>
      <w:r w:rsidRPr="00677610">
        <w:rPr>
          <w:rFonts w:ascii="Arial" w:hAnsi="Arial" w:cs="Arial"/>
          <w:caps w:val="0"/>
        </w:rPr>
        <w:t xml:space="preserve"> Methods </w:t>
      </w:r>
    </w:p>
    <w:p w14:paraId="607214D9" w14:textId="77777777" w:rsidR="00EB6BA0" w:rsidRPr="00677610" w:rsidRDefault="00EB6BA0" w:rsidP="00287716">
      <w:pPr>
        <w:pStyle w:val="Heading2"/>
        <w:numPr>
          <w:ilvl w:val="0"/>
          <w:numId w:val="17"/>
        </w:numPr>
        <w:tabs>
          <w:tab w:val="num" w:pos="360"/>
        </w:tabs>
        <w:spacing w:before="120" w:line="240" w:lineRule="auto"/>
        <w:ind w:left="493" w:hanging="493"/>
        <w:jc w:val="both"/>
        <w:rPr>
          <w:rFonts w:ascii="Arial" w:hAnsi="Arial" w:cs="Arial"/>
          <w:color w:val="auto"/>
          <w:sz w:val="20"/>
          <w:szCs w:val="20"/>
        </w:rPr>
      </w:pPr>
      <w:r w:rsidRPr="00677610">
        <w:rPr>
          <w:rFonts w:ascii="Arial" w:hAnsi="Arial" w:cs="Arial"/>
          <w:color w:val="auto"/>
          <w:sz w:val="20"/>
          <w:szCs w:val="20"/>
        </w:rPr>
        <w:t xml:space="preserve">Study design </w:t>
      </w:r>
      <w:r w:rsidRPr="00677610">
        <w:rPr>
          <w:rFonts w:ascii="Arial" w:eastAsia="Times New Roman" w:hAnsi="Arial" w:cs="Arial"/>
          <w:color w:val="auto"/>
          <w:sz w:val="20"/>
          <w:szCs w:val="20"/>
        </w:rPr>
        <w:t>and</w:t>
      </w:r>
      <w:r w:rsidRPr="00677610">
        <w:rPr>
          <w:rFonts w:ascii="Arial" w:hAnsi="Arial" w:cs="Arial"/>
          <w:color w:val="auto"/>
          <w:sz w:val="20"/>
          <w:szCs w:val="20"/>
        </w:rPr>
        <w:t xml:space="preserve"> reporting framework</w:t>
      </w:r>
    </w:p>
    <w:p w14:paraId="7B1D0289" w14:textId="4AA50A00" w:rsidR="00A72F9C" w:rsidRPr="00677610" w:rsidRDefault="00A72F9C" w:rsidP="00287716">
      <w:pPr>
        <w:pStyle w:val="NormalWeb"/>
        <w:spacing w:before="0" w:beforeAutospacing="0" w:after="0" w:afterAutospacing="0"/>
        <w:ind w:firstLine="426"/>
        <w:jc w:val="both"/>
        <w:rPr>
          <w:rFonts w:ascii="Arial" w:hAnsi="Arial" w:cs="Arial"/>
          <w:bCs/>
          <w:sz w:val="20"/>
          <w:szCs w:val="20"/>
        </w:rPr>
      </w:pPr>
      <w:r w:rsidRPr="00677610">
        <w:rPr>
          <w:rFonts w:ascii="Arial" w:hAnsi="Arial" w:cs="Arial"/>
          <w:bCs/>
          <w:sz w:val="20"/>
          <w:szCs w:val="20"/>
          <w:highlight w:val="yellow"/>
        </w:rPr>
        <w:t>This study employed an explanatory, cross-sectional, quantitative design to examine the relationships between community human-capital drivers and Community Readiness using covariance-based structural equation modeling (CB-SEM). CB-SEM was selected because the study is theory-driven and confirmatory in nature, aiming to test a hypothesized latent-variable model derived from ERG motivation theory and the multidimensional community readiness framework. CB-SEM is particularly appropriate for theory confirmation because it evaluates how well the proposed model reproduces the observed covariance matrix, while also allowing simultaneous assessment of the measurement model, structural relationships, and overall model fit. This makes CB-SEM more suitable than PLS-SEM for the present study, as PLS-SEM is generally more appropriate for prediction-oriented or causal–predictive research designs</w:t>
      </w:r>
      <w:r w:rsidR="002F418E" w:rsidRPr="00677610">
        <w:rPr>
          <w:rFonts w:ascii="Arial" w:hAnsi="Arial" w:cs="Arial"/>
          <w:bCs/>
          <w:sz w:val="20"/>
          <w:szCs w:val="20"/>
          <w:highlight w:val="yellow"/>
          <w:lang w:val="en-US"/>
        </w:rPr>
        <w:t xml:space="preserve"> </w:t>
      </w:r>
      <w:r w:rsidR="002F418E" w:rsidRPr="00677610">
        <w:rPr>
          <w:rFonts w:ascii="Arial" w:hAnsi="Arial" w:cs="Arial"/>
          <w:bCs/>
          <w:sz w:val="20"/>
          <w:szCs w:val="20"/>
          <w:highlight w:val="yellow"/>
          <w:lang w:val="en-US"/>
        </w:rPr>
        <w:fldChar w:fldCharType="begin" w:fldLock="1"/>
      </w:r>
      <w:r w:rsidR="00D52106" w:rsidRPr="00677610">
        <w:rPr>
          <w:rFonts w:ascii="Arial" w:hAnsi="Arial" w:cs="Arial"/>
          <w:bCs/>
          <w:sz w:val="20"/>
          <w:szCs w:val="20"/>
          <w:highlight w:val="yellow"/>
          <w:lang w:val="en-US"/>
        </w:rPr>
        <w:instrText>ADDIN CSL_CITATION {"citationItems":[{"id":"ITEM-1","itemData":{"DOI":"10.1007/978-3-319-57413-4_15","ISBN":"9783319574134","abstract":"Partial least squares structural equation modeling (PLS-SEM) has become a popular method for estimating path models with latent variables and their relationships. A common goal of PLS-SEM analyses is to identify key success factors and sources of competitive advantage for important target constructs such as customer satisfaction, customer loyalty, behavioral intentions, and user behavior. Building on an introduction of the fundamentals of measurement and structural theory, this chapter explains how to specify and estimate path models using PLS-SEM. Complementing the introduction of the PLS-SEM method and the description of how to evaluate analysis results, the chapter also offers an overview of complementary analytical techniques. A PLS-SEM application of the widely recognized corporate reputation model illustrates the method.","author":[{"dropping-particle":"","family":"Hair., J","given":"F.","non-dropping-particle":"","parse-names":false,"suffix":""},{"dropping-particle":"","family":"Hult","given":"G. Tomas M.","non-dropping-particle":"","parse-names":false,"suffix":""},{"dropping-particle":"","family":"Ringle","given":"Christian M.","non-dropping-particle":"","parse-names":false,"suffix":""},{"dropping-particle":"","family":"Sarstedt","given":"Marko","non-dropping-particle":"","parse-names":false,"suffix":""},{"dropping-particle":"","family":"Danks","given":"Nicholas P.","non-dropping-particle":"","parse-names":false,"suffix":""},{"dropping-particle":"","family":"Ray","given":"Soumya","non-dropping-particle":"","parse-names":false,"suffix":""}],"container-title":"Handbook of Market Research","id":"ITEM-1","issued":{"date-parts":[["2022"]]},"page":"587-632","publisher":"Springer International Publishing","publisher-place":"Cham","title":"Partial Least Squares Structural Equation Modeling","type":"chapter"},"uris":["http://www.mendeley.com/documents/?uuid=4b5900fc-90c2-4f42-9648-d0711ee91e3f"]}],"mendeley":{"formattedCitation":"(Hair., J et al. 2022)","plainTextFormattedCitation":"(Hair., J et al. 2022)","previouslyFormattedCitation":"(Hair., J et al. 2022)"},"properties":{"noteIndex":0},"schema":"https://github.com/citation-style-language/schema/raw/master/csl-citation.json"}</w:instrText>
      </w:r>
      <w:r w:rsidR="002F418E" w:rsidRPr="00677610">
        <w:rPr>
          <w:rFonts w:ascii="Arial" w:hAnsi="Arial" w:cs="Arial"/>
          <w:bCs/>
          <w:sz w:val="20"/>
          <w:szCs w:val="20"/>
          <w:highlight w:val="yellow"/>
          <w:lang w:val="en-US"/>
        </w:rPr>
        <w:fldChar w:fldCharType="separate"/>
      </w:r>
      <w:r w:rsidR="0031096E" w:rsidRPr="00677610">
        <w:rPr>
          <w:rFonts w:ascii="Arial" w:hAnsi="Arial" w:cs="Arial"/>
          <w:bCs/>
          <w:noProof/>
          <w:sz w:val="20"/>
          <w:szCs w:val="20"/>
          <w:highlight w:val="yellow"/>
          <w:lang w:val="en-US"/>
        </w:rPr>
        <w:t>(Hair., J et al. 2022)</w:t>
      </w:r>
      <w:r w:rsidR="002F418E" w:rsidRPr="00677610">
        <w:rPr>
          <w:rFonts w:ascii="Arial" w:hAnsi="Arial" w:cs="Arial"/>
          <w:bCs/>
          <w:sz w:val="20"/>
          <w:szCs w:val="20"/>
          <w:highlight w:val="yellow"/>
          <w:lang w:val="en-US"/>
        </w:rPr>
        <w:fldChar w:fldCharType="end"/>
      </w:r>
      <w:r w:rsidR="0031096E" w:rsidRPr="00677610">
        <w:rPr>
          <w:rFonts w:ascii="Arial" w:hAnsi="Arial" w:cs="Arial"/>
          <w:bCs/>
          <w:sz w:val="20"/>
          <w:szCs w:val="20"/>
          <w:highlight w:val="yellow"/>
          <w:lang w:val="en-US"/>
        </w:rPr>
        <w:t>.</w:t>
      </w:r>
    </w:p>
    <w:p w14:paraId="21BF9600" w14:textId="77777777" w:rsidR="00287716" w:rsidRPr="00677610" w:rsidRDefault="00287716" w:rsidP="00287716">
      <w:pPr>
        <w:pStyle w:val="Heading2"/>
        <w:numPr>
          <w:ilvl w:val="0"/>
          <w:numId w:val="17"/>
        </w:numPr>
        <w:tabs>
          <w:tab w:val="num" w:pos="360"/>
        </w:tabs>
        <w:spacing w:before="120" w:line="240" w:lineRule="auto"/>
        <w:ind w:left="493" w:hanging="493"/>
        <w:jc w:val="both"/>
        <w:rPr>
          <w:rFonts w:ascii="Arial" w:hAnsi="Arial" w:cs="Arial"/>
          <w:bCs/>
          <w:color w:val="auto"/>
          <w:sz w:val="20"/>
          <w:szCs w:val="20"/>
        </w:rPr>
      </w:pPr>
      <w:r w:rsidRPr="00677610">
        <w:rPr>
          <w:rFonts w:ascii="Arial" w:eastAsia="Times New Roman" w:hAnsi="Arial" w:cs="Arial"/>
          <w:color w:val="auto"/>
          <w:sz w:val="20"/>
          <w:szCs w:val="20"/>
        </w:rPr>
        <w:t>Study Area and Population</w:t>
      </w:r>
    </w:p>
    <w:p w14:paraId="4DEA500C" w14:textId="77777777" w:rsidR="00287716" w:rsidRPr="00677610" w:rsidRDefault="00287716" w:rsidP="00287716">
      <w:pPr>
        <w:pStyle w:val="NormalWeb"/>
        <w:spacing w:before="0" w:beforeAutospacing="0" w:after="0" w:afterAutospacing="0"/>
        <w:ind w:firstLine="720"/>
        <w:jc w:val="both"/>
        <w:rPr>
          <w:rFonts w:ascii="Arial" w:hAnsi="Arial" w:cs="Arial"/>
          <w:bCs/>
          <w:sz w:val="20"/>
          <w:szCs w:val="20"/>
        </w:rPr>
      </w:pPr>
      <w:r w:rsidRPr="00677610">
        <w:rPr>
          <w:rFonts w:ascii="Arial" w:hAnsi="Arial" w:cs="Arial"/>
          <w:bCs/>
          <w:sz w:val="20"/>
          <w:szCs w:val="20"/>
        </w:rPr>
        <w:t>The study was carried out in the core governmental region of Ibu Kota Nusantara (IKN), encompassing the four host subdistricts of Penajam, Sepaku, Babulu, and Waru. The target population consisted of local residents of productive age (18–64 years) residing in these subdistricts, aligning with the study's emphasis on community capacity to interact with IKN-related infrastructure and governance changes.</w:t>
      </w:r>
    </w:p>
    <w:p w14:paraId="310DB23A" w14:textId="77777777" w:rsidR="00287716" w:rsidRPr="00677610" w:rsidRDefault="00287716" w:rsidP="00287716">
      <w:pPr>
        <w:pStyle w:val="Heading2"/>
        <w:numPr>
          <w:ilvl w:val="0"/>
          <w:numId w:val="17"/>
        </w:numPr>
        <w:tabs>
          <w:tab w:val="num" w:pos="360"/>
        </w:tabs>
        <w:spacing w:before="120" w:line="240" w:lineRule="auto"/>
        <w:ind w:left="493" w:hanging="493"/>
        <w:jc w:val="both"/>
        <w:rPr>
          <w:rFonts w:ascii="Arial" w:hAnsi="Arial" w:cs="Arial"/>
          <w:bCs/>
          <w:color w:val="auto"/>
          <w:sz w:val="20"/>
          <w:szCs w:val="20"/>
        </w:rPr>
      </w:pPr>
      <w:r w:rsidRPr="00677610">
        <w:rPr>
          <w:rFonts w:ascii="Arial" w:eastAsia="Times New Roman" w:hAnsi="Arial" w:cs="Arial"/>
          <w:color w:val="auto"/>
          <w:sz w:val="20"/>
          <w:szCs w:val="20"/>
        </w:rPr>
        <w:t>Sampling Technique and Sample Size</w:t>
      </w:r>
    </w:p>
    <w:p w14:paraId="757B3B0D" w14:textId="33F3E77D" w:rsidR="00287716" w:rsidRPr="00677610" w:rsidRDefault="00287716" w:rsidP="00287716">
      <w:pPr>
        <w:pStyle w:val="NormalWeb"/>
        <w:spacing w:before="0" w:beforeAutospacing="0" w:after="0" w:afterAutospacing="0"/>
        <w:ind w:firstLine="720"/>
        <w:jc w:val="both"/>
        <w:rPr>
          <w:rFonts w:ascii="Arial" w:hAnsi="Arial" w:cs="Arial"/>
          <w:bCs/>
          <w:sz w:val="20"/>
          <w:szCs w:val="20"/>
          <w:lang w:val="en-US"/>
        </w:rPr>
      </w:pPr>
      <w:r w:rsidRPr="00677610">
        <w:rPr>
          <w:rFonts w:ascii="Arial" w:hAnsi="Arial" w:cs="Arial"/>
          <w:bCs/>
          <w:sz w:val="20"/>
          <w:szCs w:val="20"/>
        </w:rPr>
        <w:t xml:space="preserve">A proportional stratified random sampling method was employed, with subdistricts designated as strata to guarantee geographical representation within the IKN host region. A total of 350 </w:t>
      </w:r>
      <w:r w:rsidR="00481078" w:rsidRPr="00677610">
        <w:rPr>
          <w:rFonts w:ascii="Arial" w:hAnsi="Arial" w:cs="Arial"/>
        </w:rPr>
        <w:t>questionnaires</w:t>
      </w:r>
      <w:r w:rsidR="00481078" w:rsidRPr="00677610">
        <w:rPr>
          <w:rFonts w:ascii="Arial" w:hAnsi="Arial" w:cs="Arial"/>
          <w:lang w:val="en-US"/>
        </w:rPr>
        <w:t xml:space="preserve"> </w:t>
      </w:r>
      <w:r w:rsidRPr="00677610">
        <w:rPr>
          <w:rFonts w:ascii="Arial" w:hAnsi="Arial" w:cs="Arial"/>
          <w:bCs/>
          <w:sz w:val="20"/>
          <w:szCs w:val="20"/>
        </w:rPr>
        <w:t xml:space="preserve">were </w:t>
      </w:r>
      <w:r w:rsidR="00F25C56" w:rsidRPr="00677610">
        <w:rPr>
          <w:rFonts w:ascii="Arial" w:hAnsi="Arial" w:cs="Arial"/>
          <w:bCs/>
          <w:sz w:val="20"/>
          <w:szCs w:val="20"/>
        </w:rPr>
        <w:t>collected and entered into the SEM screening process</w:t>
      </w:r>
      <w:r w:rsidRPr="00677610">
        <w:rPr>
          <w:rFonts w:ascii="Arial" w:hAnsi="Arial" w:cs="Arial"/>
          <w:bCs/>
          <w:sz w:val="20"/>
          <w:szCs w:val="20"/>
        </w:rPr>
        <w:t xml:space="preserve">. Before model estimation, the dataset was subjected to multivariate screening methods in accordance with CB-SEM best practices </w:t>
      </w:r>
      <w:r w:rsidRPr="00677610">
        <w:rPr>
          <w:rFonts w:ascii="Arial" w:hAnsi="Arial" w:cs="Arial"/>
          <w:bCs/>
          <w:sz w:val="20"/>
          <w:szCs w:val="20"/>
        </w:rPr>
        <w:fldChar w:fldCharType="begin" w:fldLock="1"/>
      </w:r>
      <w:r w:rsidR="00A72F9C" w:rsidRPr="00677610">
        <w:rPr>
          <w:rFonts w:ascii="Arial" w:hAnsi="Arial" w:cs="Arial"/>
          <w:bCs/>
          <w:sz w:val="20"/>
          <w:szCs w:val="20"/>
        </w:rPr>
        <w:instrText>ADDIN CSL_CITATION {"citationItems":[{"id":"ITEM-1","itemData":{"ISBN":"978-1-4737-5654-0","ISSN":"0921-5077","abstract":"Meer dan 25 jaar geleden verscheen de eerste editie van dit toegepaste handboek over multivariate data-analyse. Deze zesde editie is dan ook een update van zijn voorgangers, maar kent een aantal opmerkelijke verbeteringen, zoals een nieuwe database om allerlei technieken te oefenen, handige gebruiksregels voor de toepassing en interpretatie van technieken, en als klap op de vuurpijl maar liefst drie nieuwe hoofdstukken over covariantie-structuuranalyse.","author":[{"dropping-particle":"","family":"Hair at al.","given":"","non-dropping-particle":"","parse-names":false,"suffix":""}],"container-title":"Annabel Ainscow","id":"ITEM-1","issue":"3","issued":{"date-parts":[["2019","9","1"]]},"title":"Multivariate Data Analysis (Sixth Edition)","type":"book","volume":"19"},"uris":["http://www.mendeley.com/documents/?uuid=50c8c6c4-a217-475e-9b5e-858c5a1888b2"]},{"id":"ITEM-2","itemData":{"ISBN":"9781462523344","ISSN":"1927-9825","abstract":"This bestselling text provides a balance between the technical and practical aspects of structural equation modeling (SEM). Using clear and accessible language, Rex B. Kline covers core techniques, potential pitfalls, and applications across the behavioral and social sciences. Some more advanced topics are also covered, including estimation of interactive effects of latent variables and multilevel SEM. The companion Web page offers downloadable syntax, data, and output files for each detailed example for EQS, LISREL, and Mplus, allowing readers to view the results of the same analysis generated by three different computer tools. New to This Edition Thoroughly revised and restructured to follow the phases of most SEM analyses. Syntax, data, and output files for all detailed research examples are now provided online. Exercises with answers, which support self-study. Topic boxes on specialized issues, such as dealing with problems in the analysis; the assessment of construct measurement reliability; and more. Updated coverage of a more rigorous approach to hypothesis and model testing; the evaluation of measurement invariance; and more.","author":[{"dropping-particle":"","family":"R.B. Kline","given":"","non-dropping-particle":"","parse-names":false,"suffix":""}],"container-title":"thE GuiLFord PrESS new York London","id":"ITEM-2","issue":"1","issued":{"date-parts":[["2016","7","12"]]},"number-of-pages":"59","title":"Principles and Practice of Structural Equation Modeling","type":"book","volume":"1"},"uris":["http://www.mendeley.com/documents/?uuid=2d907137-4a37-4fca-8200-b5a7eb63a4e3"]}],"mendeley":{"formattedCitation":"(Hair at al. 2019; R.B. Kline 2016)","plainTextFormattedCitation":"(Hair at al. 2019; R.B. Kline 2016)","previouslyFormattedCitation":"(Hair at al. 2019; R.B. Kline 2016)"},"properties":{"noteIndex":0},"schema":"https://github.com/citation-style-language/schema/raw/master/csl-citation.json"}</w:instrText>
      </w:r>
      <w:r w:rsidRPr="00677610">
        <w:rPr>
          <w:rFonts w:ascii="Arial" w:hAnsi="Arial" w:cs="Arial"/>
          <w:bCs/>
          <w:sz w:val="20"/>
          <w:szCs w:val="20"/>
        </w:rPr>
        <w:fldChar w:fldCharType="separate"/>
      </w:r>
      <w:r w:rsidR="00A72F9C" w:rsidRPr="00677610">
        <w:rPr>
          <w:rFonts w:ascii="Arial" w:hAnsi="Arial" w:cs="Arial"/>
          <w:bCs/>
          <w:noProof/>
          <w:sz w:val="20"/>
          <w:szCs w:val="20"/>
        </w:rPr>
        <w:t>(Hair at al. 2019; R.B. Kline 2016)</w:t>
      </w:r>
      <w:r w:rsidRPr="00677610">
        <w:rPr>
          <w:rFonts w:ascii="Arial" w:hAnsi="Arial" w:cs="Arial"/>
          <w:bCs/>
          <w:sz w:val="20"/>
          <w:szCs w:val="20"/>
        </w:rPr>
        <w:fldChar w:fldCharType="end"/>
      </w:r>
      <w:r w:rsidRPr="00677610">
        <w:rPr>
          <w:rFonts w:ascii="Arial" w:hAnsi="Arial" w:cs="Arial"/>
          <w:bCs/>
          <w:sz w:val="20"/>
          <w:szCs w:val="20"/>
          <w:lang w:val="en-US"/>
        </w:rPr>
        <w:t>.</w:t>
      </w:r>
    </w:p>
    <w:p w14:paraId="139555B7" w14:textId="70D04319" w:rsidR="00287716" w:rsidRPr="00677610" w:rsidRDefault="00287716" w:rsidP="00287716">
      <w:pPr>
        <w:pStyle w:val="NormalWeb"/>
        <w:spacing w:before="0" w:beforeAutospacing="0" w:after="0" w:afterAutospacing="0"/>
        <w:ind w:firstLine="720"/>
        <w:jc w:val="both"/>
        <w:rPr>
          <w:rFonts w:ascii="Arial" w:hAnsi="Arial" w:cs="Arial"/>
          <w:bCs/>
          <w:sz w:val="20"/>
          <w:szCs w:val="20"/>
        </w:rPr>
      </w:pPr>
      <w:r w:rsidRPr="00677610">
        <w:rPr>
          <w:rFonts w:ascii="Arial" w:hAnsi="Arial" w:cs="Arial"/>
          <w:bCs/>
          <w:sz w:val="20"/>
          <w:szCs w:val="20"/>
        </w:rPr>
        <w:lastRenderedPageBreak/>
        <w:t>Multivariate outliers were evaluated using Mahalanobis distance (D²) with a stringent threshold (p &lt; 0.001), a widely accepted standard for identifying prominent cases that could skew the covariance structure in SEM</w:t>
      </w:r>
      <w:r w:rsidRPr="00677610">
        <w:rPr>
          <w:rFonts w:ascii="Arial" w:hAnsi="Arial" w:cs="Arial"/>
          <w:bCs/>
          <w:sz w:val="20"/>
          <w:szCs w:val="20"/>
        </w:rPr>
        <w:fldChar w:fldCharType="begin" w:fldLock="1"/>
      </w:r>
      <w:r w:rsidR="00A72F9C" w:rsidRPr="00677610">
        <w:rPr>
          <w:rFonts w:ascii="Arial" w:hAnsi="Arial" w:cs="Arial"/>
          <w:bCs/>
          <w:sz w:val="20"/>
          <w:szCs w:val="20"/>
        </w:rPr>
        <w:instrText>ADDIN CSL_CITATION {"citationItems":[{"id":"ITEM-1","itemData":{"ISBN":"978-1-4737-5654-0","ISSN":"0921-5077","abstract":"Meer dan 25 jaar geleden verscheen de eerste editie van dit toegepaste handboek over multivariate data-analyse. Deze zesde editie is dan ook een update van zijn voorgangers, maar kent een aantal opmerkelijke verbeteringen, zoals een nieuwe database om allerlei technieken te oefenen, handige gebruiksregels voor de toepassing en interpretatie van technieken, en als klap op de vuurpijl maar liefst drie nieuwe hoofdstukken over covariantie-structuuranalyse.","author":[{"dropping-particle":"","family":"Hair at al.","given":"","non-dropping-particle":"","parse-names":false,"suffix":""}],"container-title":"Annabel Ainscow","id":"ITEM-1","issue":"3","issued":{"date-parts":[["2019","9","1"]]},"title":"Multivariate Data Analysis (Sixth Edition)","type":"book","volume":"19"},"uris":["http://www.mendeley.com/documents/?uuid=50c8c6c4-a217-475e-9b5e-858c5a1888b2"]}],"mendeley":{"formattedCitation":"(Hair at al. 2019)","plainTextFormattedCitation":"(Hair at al. 2019)","previouslyFormattedCitation":"(Hair at al. 2019)"},"properties":{"noteIndex":0},"schema":"https://github.com/citation-style-language/schema/raw/master/csl-citation.json"}</w:instrText>
      </w:r>
      <w:r w:rsidRPr="00677610">
        <w:rPr>
          <w:rFonts w:ascii="Arial" w:hAnsi="Arial" w:cs="Arial"/>
          <w:bCs/>
          <w:sz w:val="20"/>
          <w:szCs w:val="20"/>
        </w:rPr>
        <w:fldChar w:fldCharType="separate"/>
      </w:r>
      <w:r w:rsidR="00A72F9C" w:rsidRPr="00677610">
        <w:rPr>
          <w:rFonts w:ascii="Arial" w:hAnsi="Arial" w:cs="Arial"/>
          <w:bCs/>
          <w:noProof/>
          <w:sz w:val="20"/>
          <w:szCs w:val="20"/>
        </w:rPr>
        <w:t>(Hair at al. 2019)</w:t>
      </w:r>
      <w:r w:rsidRPr="00677610">
        <w:rPr>
          <w:rFonts w:ascii="Arial" w:hAnsi="Arial" w:cs="Arial"/>
          <w:bCs/>
          <w:sz w:val="20"/>
          <w:szCs w:val="20"/>
        </w:rPr>
        <w:fldChar w:fldCharType="end"/>
      </w:r>
      <w:r w:rsidRPr="00677610">
        <w:rPr>
          <w:rFonts w:ascii="Arial" w:hAnsi="Arial" w:cs="Arial"/>
          <w:bCs/>
          <w:sz w:val="20"/>
          <w:szCs w:val="20"/>
          <w:lang w:val="en-US"/>
        </w:rPr>
        <w:t>.</w:t>
      </w:r>
      <w:r w:rsidRPr="00677610">
        <w:rPr>
          <w:rFonts w:ascii="Arial" w:hAnsi="Arial" w:cs="Arial"/>
          <w:bCs/>
          <w:sz w:val="20"/>
          <w:szCs w:val="20"/>
        </w:rPr>
        <w:t xml:space="preserve"> This technique identified 19 examples as outliers; these observations were excluded. The assessment of multivariate normality was conducted </w:t>
      </w:r>
      <w:r w:rsidR="00F25C56" w:rsidRPr="00677610">
        <w:rPr>
          <w:rFonts w:ascii="Arial" w:hAnsi="Arial" w:cs="Arial"/>
          <w:bCs/>
          <w:sz w:val="20"/>
          <w:szCs w:val="20"/>
        </w:rPr>
        <w:t>using the critical ratio criterion (±2.58), typically used</w:t>
      </w:r>
      <w:r w:rsidRPr="00677610">
        <w:rPr>
          <w:rFonts w:ascii="Arial" w:hAnsi="Arial" w:cs="Arial"/>
          <w:bCs/>
          <w:sz w:val="20"/>
          <w:szCs w:val="20"/>
        </w:rPr>
        <w:t xml:space="preserve"> for maximum-likelihood estimation (Kline, 2016). Following the removal of outliers, 331 examples satisfied the criteria for multivariate normality and were included in the final analysis. The analytic sample size for CFA/CVA and the structural model was n = 331.</w:t>
      </w:r>
    </w:p>
    <w:p w14:paraId="00AB117E" w14:textId="36A3C4ED" w:rsidR="00766AD0" w:rsidRPr="00677610" w:rsidRDefault="00766AD0" w:rsidP="00287716">
      <w:pPr>
        <w:pStyle w:val="NormalWeb"/>
        <w:spacing w:before="0" w:beforeAutospacing="0" w:after="0" w:afterAutospacing="0"/>
        <w:ind w:firstLine="720"/>
        <w:jc w:val="both"/>
        <w:rPr>
          <w:rFonts w:ascii="Arial" w:hAnsi="Arial" w:cs="Arial"/>
          <w:bCs/>
          <w:sz w:val="20"/>
          <w:szCs w:val="20"/>
        </w:rPr>
      </w:pPr>
      <w:r w:rsidRPr="00677610">
        <w:rPr>
          <w:rFonts w:ascii="Arial" w:hAnsi="Arial" w:cs="Arial"/>
          <w:bCs/>
          <w:sz w:val="20"/>
          <w:szCs w:val="20"/>
          <w:highlight w:val="cyan"/>
        </w:rPr>
        <w:t>To enhance representativeness, the sampling design used proportional stratified random sampling across the four IKN host subdistricts, with each subdistrict treated as a stratum. This approach was intended to ensure that the final sample reflected the territorial composition of the study area rather than overrepresenting a single locality. The final analytic sample of 331 respondents retained coverage across all four host subdistricts and included variation in educational attainment, occupation, and household dependency, thereby providing an adequate basis for examining community-level readiness patterns in the IKN host region. Although the findings are not intended to represent all populations beyond the study area, the sample was considered sufficiently diverse for the explanatory purpose of this study.</w:t>
      </w:r>
    </w:p>
    <w:p w14:paraId="630607D9" w14:textId="77777777" w:rsidR="00287716" w:rsidRPr="00677610" w:rsidRDefault="00287716" w:rsidP="00287716">
      <w:pPr>
        <w:pStyle w:val="Heading2"/>
        <w:numPr>
          <w:ilvl w:val="0"/>
          <w:numId w:val="17"/>
        </w:numPr>
        <w:tabs>
          <w:tab w:val="num" w:pos="360"/>
        </w:tabs>
        <w:spacing w:before="120" w:line="240" w:lineRule="auto"/>
        <w:ind w:left="493" w:hanging="493"/>
        <w:jc w:val="both"/>
        <w:rPr>
          <w:rFonts w:ascii="Arial" w:hAnsi="Arial" w:cs="Arial"/>
          <w:bCs/>
          <w:color w:val="auto"/>
          <w:sz w:val="20"/>
          <w:szCs w:val="20"/>
        </w:rPr>
      </w:pPr>
      <w:r w:rsidRPr="00677610">
        <w:rPr>
          <w:rFonts w:ascii="Arial" w:eastAsia="Times New Roman" w:hAnsi="Arial" w:cs="Arial"/>
          <w:color w:val="auto"/>
          <w:sz w:val="20"/>
          <w:szCs w:val="20"/>
        </w:rPr>
        <w:t>Constructs and Measurement</w:t>
      </w:r>
    </w:p>
    <w:p w14:paraId="7967FCC6" w14:textId="02B8AD31" w:rsidR="00287716" w:rsidRPr="00677610" w:rsidRDefault="00287716" w:rsidP="00287716">
      <w:pPr>
        <w:pStyle w:val="NormalWeb"/>
        <w:spacing w:before="0" w:beforeAutospacing="0" w:after="0" w:afterAutospacing="0"/>
        <w:ind w:firstLine="720"/>
        <w:jc w:val="both"/>
        <w:rPr>
          <w:rFonts w:ascii="Arial" w:hAnsi="Arial" w:cs="Arial"/>
          <w:bCs/>
          <w:sz w:val="20"/>
          <w:szCs w:val="20"/>
          <w:lang w:val="en-US"/>
        </w:rPr>
      </w:pPr>
      <w:r w:rsidRPr="00677610">
        <w:rPr>
          <w:rFonts w:ascii="Arial" w:hAnsi="Arial" w:cs="Arial"/>
          <w:bCs/>
          <w:sz w:val="20"/>
          <w:szCs w:val="20"/>
        </w:rPr>
        <w:t>The model consists of four latent constructs</w:t>
      </w:r>
      <w:r w:rsidR="00F25C56" w:rsidRPr="00677610">
        <w:rPr>
          <w:rFonts w:ascii="Arial" w:hAnsi="Arial" w:cs="Arial"/>
          <w:bCs/>
          <w:sz w:val="20"/>
          <w:szCs w:val="20"/>
        </w:rPr>
        <w:t>, each assessed by 14 indicators, yielding an overidentified</w:t>
      </w:r>
      <w:r w:rsidRPr="00677610">
        <w:rPr>
          <w:rFonts w:ascii="Arial" w:hAnsi="Arial" w:cs="Arial"/>
          <w:bCs/>
          <w:sz w:val="20"/>
          <w:szCs w:val="20"/>
        </w:rPr>
        <w:t xml:space="preserve"> CB-SEM specification. All indicators were assessed utilizing a five-point Likert scale (1 = strongly disagree to 5 = strongly agree), a conventional method for operationalizing latent social-psychological phenomena in Structural Equation Modeling (SEM)</w:t>
      </w:r>
      <w:r w:rsidRPr="00677610">
        <w:rPr>
          <w:rFonts w:ascii="Arial" w:hAnsi="Arial" w:cs="Arial"/>
          <w:bCs/>
          <w:sz w:val="20"/>
          <w:szCs w:val="20"/>
          <w:lang w:val="en-US"/>
        </w:rPr>
        <w:t xml:space="preserve"> </w:t>
      </w:r>
      <w:r w:rsidRPr="00677610">
        <w:rPr>
          <w:rFonts w:ascii="Arial" w:hAnsi="Arial" w:cs="Arial"/>
          <w:bCs/>
          <w:sz w:val="20"/>
          <w:szCs w:val="20"/>
        </w:rPr>
        <w:fldChar w:fldCharType="begin" w:fldLock="1"/>
      </w:r>
      <w:r w:rsidR="00A72F9C" w:rsidRPr="00677610">
        <w:rPr>
          <w:rFonts w:ascii="Arial" w:hAnsi="Arial" w:cs="Arial"/>
          <w:bCs/>
          <w:sz w:val="20"/>
          <w:szCs w:val="20"/>
        </w:rPr>
        <w:instrText>ADDIN CSL_CITATION {"citationItems":[{"id":"ITEM-1","itemData":{"ISBN":"978-1-4737-5654-0","ISSN":"0921-5077","abstract":"Meer dan 25 jaar geleden verscheen de eerste editie van dit toegepaste handboek over multivariate data-analyse. Deze zesde editie is dan ook een update van zijn voorgangers, maar kent een aantal opmerkelijke verbeteringen, zoals een nieuwe database om allerlei technieken te oefenen, handige gebruiksregels voor de toepassing en interpretatie van technieken, en als klap op de vuurpijl maar liefst drie nieuwe hoofdstukken over covariantie-structuuranalyse.","author":[{"dropping-particle":"","family":"Hair at al.","given":"","non-dropping-particle":"","parse-names":false,"suffix":""}],"container-title":"Annabel Ainscow","id":"ITEM-1","issue":"3","issued":{"date-parts":[["2019","9","1"]]},"title":"Multivariate Data Analysis (Sixth Edition)","type":"book","volume":"19"},"uris":["http://www.mendeley.com/documents/?uuid=50c8c6c4-a217-475e-9b5e-858c5a1888b2"]}],"mendeley":{"formattedCitation":"(Hair at al. 2019)","plainTextFormattedCitation":"(Hair at al. 2019)","previouslyFormattedCitation":"(Hair at al. 2019)"},"properties":{"noteIndex":0},"schema":"https://github.com/citation-style-language/schema/raw/master/csl-citation.json"}</w:instrText>
      </w:r>
      <w:r w:rsidRPr="00677610">
        <w:rPr>
          <w:rFonts w:ascii="Arial" w:hAnsi="Arial" w:cs="Arial"/>
          <w:bCs/>
          <w:sz w:val="20"/>
          <w:szCs w:val="20"/>
        </w:rPr>
        <w:fldChar w:fldCharType="separate"/>
      </w:r>
      <w:r w:rsidR="00A72F9C" w:rsidRPr="00677610">
        <w:rPr>
          <w:rFonts w:ascii="Arial" w:hAnsi="Arial" w:cs="Arial"/>
          <w:bCs/>
          <w:noProof/>
          <w:sz w:val="20"/>
          <w:szCs w:val="20"/>
        </w:rPr>
        <w:t>(Hair at al. 2019)</w:t>
      </w:r>
      <w:r w:rsidRPr="00677610">
        <w:rPr>
          <w:rFonts w:ascii="Arial" w:hAnsi="Arial" w:cs="Arial"/>
          <w:bCs/>
          <w:sz w:val="20"/>
          <w:szCs w:val="20"/>
        </w:rPr>
        <w:fldChar w:fldCharType="end"/>
      </w:r>
      <w:r w:rsidRPr="00677610">
        <w:rPr>
          <w:rFonts w:ascii="Arial" w:hAnsi="Arial" w:cs="Arial"/>
          <w:bCs/>
          <w:sz w:val="20"/>
          <w:szCs w:val="20"/>
          <w:lang w:val="en-US"/>
        </w:rPr>
        <w:t>.</w:t>
      </w:r>
    </w:p>
    <w:p w14:paraId="25593C2E" w14:textId="77777777" w:rsidR="00287716" w:rsidRPr="00677610" w:rsidRDefault="00287716" w:rsidP="00287716">
      <w:pPr>
        <w:pStyle w:val="ListBullet"/>
        <w:numPr>
          <w:ilvl w:val="0"/>
          <w:numId w:val="16"/>
        </w:numPr>
        <w:spacing w:after="0" w:line="240" w:lineRule="auto"/>
        <w:contextualSpacing w:val="0"/>
        <w:jc w:val="both"/>
        <w:rPr>
          <w:rFonts w:ascii="Arial" w:hAnsi="Arial" w:cs="Arial"/>
          <w:bCs/>
          <w:sz w:val="20"/>
          <w:szCs w:val="20"/>
        </w:rPr>
      </w:pPr>
      <w:r w:rsidRPr="00677610">
        <w:rPr>
          <w:rFonts w:ascii="Arial" w:hAnsi="Arial" w:cs="Arial"/>
          <w:bCs/>
          <w:sz w:val="20"/>
          <w:szCs w:val="20"/>
        </w:rPr>
        <w:t>Community Readiness (endogenous; 6 indicators): Community Effort, Program Knowledge, Community Leadership, Community Climate, Problem Comprehension, and Resources.</w:t>
      </w:r>
    </w:p>
    <w:p w14:paraId="6B667B1D" w14:textId="77777777" w:rsidR="00287716" w:rsidRPr="00677610" w:rsidRDefault="00287716" w:rsidP="00287716">
      <w:pPr>
        <w:pStyle w:val="ListBullet"/>
        <w:numPr>
          <w:ilvl w:val="0"/>
          <w:numId w:val="16"/>
        </w:numPr>
        <w:spacing w:after="0" w:line="240" w:lineRule="auto"/>
        <w:contextualSpacing w:val="0"/>
        <w:jc w:val="both"/>
        <w:rPr>
          <w:rFonts w:ascii="Arial" w:hAnsi="Arial" w:cs="Arial"/>
          <w:bCs/>
          <w:sz w:val="20"/>
          <w:szCs w:val="20"/>
        </w:rPr>
      </w:pPr>
      <w:r w:rsidRPr="00677610">
        <w:rPr>
          <w:rFonts w:ascii="Arial" w:hAnsi="Arial" w:cs="Arial"/>
          <w:bCs/>
          <w:sz w:val="20"/>
          <w:szCs w:val="20"/>
        </w:rPr>
        <w:t>Community Skills (exogenous; three indicators): Literacy Skill, Technical Skill, and Problem-Solving Skill.</w:t>
      </w:r>
    </w:p>
    <w:p w14:paraId="558DEF89" w14:textId="77777777" w:rsidR="00287716" w:rsidRPr="00677610" w:rsidRDefault="00287716" w:rsidP="00287716">
      <w:pPr>
        <w:pStyle w:val="ListBullet"/>
        <w:numPr>
          <w:ilvl w:val="0"/>
          <w:numId w:val="16"/>
        </w:numPr>
        <w:spacing w:after="0" w:line="240" w:lineRule="auto"/>
        <w:contextualSpacing w:val="0"/>
        <w:jc w:val="both"/>
        <w:rPr>
          <w:rFonts w:ascii="Arial" w:hAnsi="Arial" w:cs="Arial"/>
          <w:bCs/>
          <w:sz w:val="20"/>
          <w:szCs w:val="20"/>
        </w:rPr>
      </w:pPr>
      <w:r w:rsidRPr="00677610">
        <w:rPr>
          <w:rFonts w:ascii="Arial" w:hAnsi="Arial" w:cs="Arial"/>
          <w:bCs/>
          <w:sz w:val="20"/>
          <w:szCs w:val="20"/>
        </w:rPr>
        <w:t>Community Motivation (exogenous; ERG; three indicators): Existence, Relatedness, and Growth.</w:t>
      </w:r>
    </w:p>
    <w:p w14:paraId="412B391B" w14:textId="77777777" w:rsidR="00287716" w:rsidRPr="00677610" w:rsidRDefault="00287716" w:rsidP="00287716">
      <w:pPr>
        <w:pStyle w:val="ListBullet"/>
        <w:numPr>
          <w:ilvl w:val="0"/>
          <w:numId w:val="16"/>
        </w:numPr>
        <w:spacing w:after="0" w:line="240" w:lineRule="auto"/>
        <w:contextualSpacing w:val="0"/>
        <w:jc w:val="both"/>
        <w:rPr>
          <w:rFonts w:ascii="Arial" w:hAnsi="Arial" w:cs="Arial"/>
          <w:bCs/>
          <w:sz w:val="20"/>
          <w:szCs w:val="20"/>
        </w:rPr>
      </w:pPr>
      <w:r w:rsidRPr="00677610">
        <w:rPr>
          <w:rFonts w:ascii="Arial" w:hAnsi="Arial" w:cs="Arial"/>
          <w:bCs/>
          <w:sz w:val="20"/>
          <w:szCs w:val="20"/>
        </w:rPr>
        <w:t>Community Education (exogenous; two indicators): Formal Education and Non-formal Education.</w:t>
      </w:r>
    </w:p>
    <w:p w14:paraId="323A8E96" w14:textId="189F7B52" w:rsidR="00287716" w:rsidRPr="00677610" w:rsidRDefault="00287716" w:rsidP="00287716">
      <w:pPr>
        <w:pStyle w:val="NormalWeb"/>
        <w:spacing w:before="0" w:beforeAutospacing="0" w:after="0" w:afterAutospacing="0"/>
        <w:ind w:firstLine="720"/>
        <w:jc w:val="both"/>
        <w:rPr>
          <w:rFonts w:ascii="Arial" w:hAnsi="Arial" w:cs="Arial"/>
          <w:bCs/>
          <w:sz w:val="20"/>
          <w:szCs w:val="20"/>
          <w:lang w:val="en-US"/>
        </w:rPr>
      </w:pPr>
      <w:r w:rsidRPr="00677610">
        <w:rPr>
          <w:rFonts w:ascii="Arial" w:hAnsi="Arial" w:cs="Arial"/>
          <w:bCs/>
          <w:sz w:val="20"/>
          <w:szCs w:val="20"/>
        </w:rPr>
        <w:t xml:space="preserve">The quality of measurement was evaluated according to accepted SEM criteria. Convergent validity was examined by standardized factor loadings (≥ 0.50) and Average Variance Extracted (AVE ≥ 0.50), and internal consistency reliability was evaluated using Composite Reliability (CR ≥ 0.70) and Cronbach’s alpha (α ≥ 0.70) </w:t>
      </w:r>
      <w:r w:rsidRPr="00677610">
        <w:rPr>
          <w:rFonts w:ascii="Arial" w:hAnsi="Arial" w:cs="Arial"/>
          <w:bCs/>
          <w:sz w:val="20"/>
          <w:szCs w:val="20"/>
        </w:rPr>
        <w:fldChar w:fldCharType="begin" w:fldLock="1"/>
      </w:r>
      <w:r w:rsidR="00D52106" w:rsidRPr="00677610">
        <w:rPr>
          <w:rFonts w:ascii="Arial" w:hAnsi="Arial" w:cs="Arial"/>
          <w:bCs/>
          <w:sz w:val="20"/>
          <w:szCs w:val="20"/>
        </w:rPr>
        <w:instrText>ADDIN CSL_CITATION {"citationItems":[{"id":"ITEM-1","itemData":{"DOI":"10.1016/j.jbusres.2019.11.069","ISSN":"01482963","abstract":"Confirmatory factor analysis (CFA) has historically been used to develop and improve reflectively measured constructs based on the domain sampling model. Compared to CFA, confirmatory composite analysis (CCA) is a recently proposed alternative approach applied to confirm measurement models when using partial least squares structural equation modeling (PLS-SEM). CCA is a series of steps executed with PLS-SEM to confirm both reflective and formative measurement models of established measures that are being updated or adapted to a different context. CCA is also useful for developing new measures. Finally, CCA offers several advantages over other approaches for confirming measurement models consisting of linear composites.","author":[{"dropping-particle":"","family":"Hair","given":"Joe F.","non-dropping-particle":"","parse-names":false,"suffix":""},{"dropping-particle":"","family":"Howard","given":"Matthew C.","non-dropping-particle":"","parse-names":false,"suffix":""},{"dropping-particle":"","family":"Nitzl","given":"Christian","non-dropping-particle":"","parse-names":false,"suffix":""}],"container-title":"Journal of Business Research","id":"ITEM-1","issue":"November 2019","issued":{"date-parts":[["2020"]]},"page":"101-110","publisher":"Elsevier","title":"Assessing measurement model quality in PLS-SEM using confirmatory composite analysis","type":"article-journal","volume":"109"},"uris":["http://www.mendeley.com/documents/?uuid=42275619-7200-486b-9a3a-4c751c1325d4"]}],"mendeley":{"formattedCitation":"(Hair, Howard, and Nitzl 2020)","plainTextFormattedCitation":"(Hair, Howard, and Nitzl 2020)","previouslyFormattedCitation":"(Hair, Howard, and Nitzl 2020)"},"properties":{"noteIndex":0},"schema":"https://github.com/citation-style-language/schema/raw/master/csl-citation.json"}</w:instrText>
      </w:r>
      <w:r w:rsidRPr="00677610">
        <w:rPr>
          <w:rFonts w:ascii="Arial" w:hAnsi="Arial" w:cs="Arial"/>
          <w:bCs/>
          <w:sz w:val="20"/>
          <w:szCs w:val="20"/>
        </w:rPr>
        <w:fldChar w:fldCharType="separate"/>
      </w:r>
      <w:r w:rsidR="0031096E" w:rsidRPr="00677610">
        <w:rPr>
          <w:rFonts w:ascii="Arial" w:hAnsi="Arial" w:cs="Arial"/>
          <w:bCs/>
          <w:noProof/>
          <w:sz w:val="20"/>
          <w:szCs w:val="20"/>
        </w:rPr>
        <w:t>(Hair, Howard, and Nitzl 2020)</w:t>
      </w:r>
      <w:r w:rsidRPr="00677610">
        <w:rPr>
          <w:rFonts w:ascii="Arial" w:hAnsi="Arial" w:cs="Arial"/>
          <w:bCs/>
          <w:sz w:val="20"/>
          <w:szCs w:val="20"/>
        </w:rPr>
        <w:fldChar w:fldCharType="end"/>
      </w:r>
      <w:r w:rsidRPr="00677610">
        <w:rPr>
          <w:rFonts w:ascii="Arial" w:hAnsi="Arial" w:cs="Arial"/>
          <w:bCs/>
          <w:sz w:val="20"/>
          <w:szCs w:val="20"/>
          <w:lang w:val="en-US"/>
        </w:rPr>
        <w:t xml:space="preserve">. </w:t>
      </w:r>
      <w:r w:rsidRPr="00677610">
        <w:rPr>
          <w:rFonts w:ascii="Arial" w:hAnsi="Arial" w:cs="Arial"/>
          <w:bCs/>
          <w:sz w:val="20"/>
          <w:szCs w:val="20"/>
        </w:rPr>
        <w:t xml:space="preserve">Discriminant validity was assessed utilizing the Fornell–Larcker criterion and the comparison of AVE and MSV </w:t>
      </w:r>
      <w:r w:rsidRPr="00677610">
        <w:rPr>
          <w:rFonts w:ascii="Arial" w:hAnsi="Arial" w:cs="Arial"/>
          <w:bCs/>
          <w:sz w:val="20"/>
          <w:szCs w:val="20"/>
        </w:rPr>
        <w:fldChar w:fldCharType="begin" w:fldLock="1"/>
      </w:r>
      <w:r w:rsidR="00A72F9C" w:rsidRPr="00677610">
        <w:rPr>
          <w:rFonts w:ascii="Arial" w:hAnsi="Arial" w:cs="Arial"/>
          <w:bCs/>
          <w:sz w:val="20"/>
          <w:szCs w:val="20"/>
        </w:rPr>
        <w:instrText>ADDIN CSL_CITATION {"citationItems":[{"id":"ITEM-1","itemData":{"DOI":"10.1177/002224378101800313","ISSN":"0022-2437","abstract":"Several issues relating to goodness of fit in structural equations are examined. The convergence and differentiation criteria, as applied by Bagozzi, are shown not to stand up under mathematical or statistical analysis. The authors argue that the choice of interpretative statistic must be based on the research objective. They demonstrate that when this is done the Fornell-Larcker testing system is internally consistent and that it conforms to the rules of correspondence for relating data to abstract variables.","author":[{"dropping-particle":"","family":"Fornell","given":"Claes","non-dropping-particle":"","parse-names":false,"suffix":""},{"dropping-particle":"","family":"Larcker","given":"David F.","non-dropping-particle":"","parse-names":false,"suffix":""}],"container-title":"Journal of Marketing Research","id":"ITEM-1","issue":"3","issued":{"date-parts":[["1981","8","1"]]},"page":"382-388","title":"Structural Equation Models with Unobservable Variables and Measurement Error: Algebra and Statistics","type":"article-journal","volume":"18"},"uris":["http://www.mendeley.com/documents/?uuid=70ad895b-2676-489f-a3b8-6c14ffe22089"]}],"mendeley":{"formattedCitation":"(Fornell and Larcker 1981)","plainTextFormattedCitation":"(Fornell and Larcker 1981)","previouslyFormattedCitation":"(Fornell and Larcker 1981)"},"properties":{"noteIndex":0},"schema":"https://github.com/citation-style-language/schema/raw/master/csl-citation.json"}</w:instrText>
      </w:r>
      <w:r w:rsidRPr="00677610">
        <w:rPr>
          <w:rFonts w:ascii="Arial" w:hAnsi="Arial" w:cs="Arial"/>
          <w:bCs/>
          <w:sz w:val="20"/>
          <w:szCs w:val="20"/>
        </w:rPr>
        <w:fldChar w:fldCharType="separate"/>
      </w:r>
      <w:r w:rsidR="00A72F9C" w:rsidRPr="00677610">
        <w:rPr>
          <w:rFonts w:ascii="Arial" w:hAnsi="Arial" w:cs="Arial"/>
          <w:bCs/>
          <w:noProof/>
          <w:sz w:val="20"/>
          <w:szCs w:val="20"/>
        </w:rPr>
        <w:t>(Fornell and Larcker 1981)</w:t>
      </w:r>
      <w:r w:rsidRPr="00677610">
        <w:rPr>
          <w:rFonts w:ascii="Arial" w:hAnsi="Arial" w:cs="Arial"/>
          <w:bCs/>
          <w:sz w:val="20"/>
          <w:szCs w:val="20"/>
        </w:rPr>
        <w:fldChar w:fldCharType="end"/>
      </w:r>
      <w:r w:rsidRPr="00677610">
        <w:rPr>
          <w:rFonts w:ascii="Arial" w:hAnsi="Arial" w:cs="Arial"/>
          <w:bCs/>
          <w:sz w:val="20"/>
          <w:szCs w:val="20"/>
        </w:rPr>
        <w:t xml:space="preserve">, HTMT is recommended as an optional robustness assessment when indicator-level correlation matrices are accessible </w:t>
      </w:r>
      <w:r w:rsidRPr="00677610">
        <w:rPr>
          <w:rFonts w:ascii="Arial" w:hAnsi="Arial" w:cs="Arial"/>
          <w:bCs/>
          <w:sz w:val="20"/>
          <w:szCs w:val="20"/>
        </w:rPr>
        <w:fldChar w:fldCharType="begin" w:fldLock="1"/>
      </w:r>
      <w:r w:rsidR="00A72F9C" w:rsidRPr="00677610">
        <w:rPr>
          <w:rFonts w:ascii="Arial" w:hAnsi="Arial" w:cs="Arial"/>
          <w:bCs/>
          <w:sz w:val="20"/>
          <w:szCs w:val="20"/>
        </w:rPr>
        <w:instrText>ADDIN CSL_CITATION {"citationItems":[{"id":"ITEM-1","itemData":{"DOI":"10.1007/s11747-014-0403-8","ISBN":"1174701404","ISSN":"15527824","abstract":"Discriminant validity assessment has become a generally accepted prerequisite for analyzing relationships between latent variables. For variance-based structural equation modeling, such as partial least squares, the Fornell-Larcker criterion and the examination of cross-loadings are the dominant approaches for evaluating discriminant validity. By means of a simulation study, we show that these approaches do not reliably detect the lack of discriminant validity in common research situations. We therefore propose an alternative approach, based on the multitrait-multimethod matrix, to assess discriminant validity: the heterotrait-monotrait ratio of correlations. We demonstrate its superior performance by means of a Monte Carlo simulation study, in which we compare the new approach to the Fornell-Larcker criterion and the assessment of (partial) cross-loadings. Finally, we provide guidelines on how to handle discriminant validity issues in variance-based structural equation modeling.","author":[{"dropping-particle":"","family":"Henseler","given":"Jörg","non-dropping-particle":"","parse-names":false,"suffix":""},{"dropping-particle":"","family":"Ringle","given":"Christian M.","non-dropping-particle":"","parse-names":false,"suffix":""},{"dropping-particle":"","family":"Sarstedt","given":"Marko","non-dropping-particle":"","parse-names":false,"suffix":""}],"container-title":"Journal of the Academy of Marketing Science","id":"ITEM-1","issue":"1","issued":{"date-parts":[["2015"]]},"page":"115-135","title":"A new criterion for assessing discriminant validity in variance-based structural equation modeling","type":"article-journal","volume":"43"},"uris":["http://www.mendeley.com/documents/?uuid=c5f8fc12-4aa9-409a-a0b4-76021c1e159f"]}],"mendeley":{"formattedCitation":"(Henseler, Ringle, and Sarstedt 2015)","plainTextFormattedCitation":"(Henseler, Ringle, and Sarstedt 2015)","previouslyFormattedCitation":"(Henseler, Ringle, and Sarstedt 2015)"},"properties":{"noteIndex":0},"schema":"https://github.com/citation-style-language/schema/raw/master/csl-citation.json"}</w:instrText>
      </w:r>
      <w:r w:rsidRPr="00677610">
        <w:rPr>
          <w:rFonts w:ascii="Arial" w:hAnsi="Arial" w:cs="Arial"/>
          <w:bCs/>
          <w:sz w:val="20"/>
          <w:szCs w:val="20"/>
        </w:rPr>
        <w:fldChar w:fldCharType="separate"/>
      </w:r>
      <w:r w:rsidR="00A72F9C" w:rsidRPr="00677610">
        <w:rPr>
          <w:rFonts w:ascii="Arial" w:hAnsi="Arial" w:cs="Arial"/>
          <w:bCs/>
          <w:noProof/>
          <w:sz w:val="20"/>
          <w:szCs w:val="20"/>
        </w:rPr>
        <w:t>(Henseler, Ringle, and Sarstedt 2015)</w:t>
      </w:r>
      <w:r w:rsidRPr="00677610">
        <w:rPr>
          <w:rFonts w:ascii="Arial" w:hAnsi="Arial" w:cs="Arial"/>
          <w:bCs/>
          <w:sz w:val="20"/>
          <w:szCs w:val="20"/>
        </w:rPr>
        <w:fldChar w:fldCharType="end"/>
      </w:r>
      <w:r w:rsidRPr="00677610">
        <w:rPr>
          <w:rFonts w:ascii="Arial" w:hAnsi="Arial" w:cs="Arial"/>
          <w:bCs/>
          <w:sz w:val="20"/>
          <w:szCs w:val="20"/>
          <w:lang w:val="en-US"/>
        </w:rPr>
        <w:t>.</w:t>
      </w:r>
    </w:p>
    <w:p w14:paraId="394AA778" w14:textId="328F14D0" w:rsidR="00F11DEE" w:rsidRPr="00677610" w:rsidRDefault="00F11DEE" w:rsidP="00287716">
      <w:pPr>
        <w:pStyle w:val="NormalWeb"/>
        <w:spacing w:before="0" w:beforeAutospacing="0" w:after="0" w:afterAutospacing="0"/>
        <w:ind w:firstLine="720"/>
        <w:jc w:val="both"/>
        <w:rPr>
          <w:rFonts w:ascii="Arial" w:hAnsi="Arial" w:cs="Arial"/>
          <w:bCs/>
          <w:sz w:val="20"/>
          <w:szCs w:val="20"/>
        </w:rPr>
      </w:pPr>
      <w:r w:rsidRPr="00677610">
        <w:rPr>
          <w:rFonts w:ascii="Arial" w:hAnsi="Arial" w:cs="Arial"/>
          <w:bCs/>
          <w:sz w:val="20"/>
          <w:szCs w:val="20"/>
          <w:highlight w:val="cyan"/>
        </w:rPr>
        <w:t>In operational terms, community education and community skills were treated as related but distinct constructs. Community education refers to residents’ exposure to formal and non-formal learning processes that strengthen interpretive capacity, comprehension of programs, and adaptation to changing governance arrangements. By contrast, community skills refer to the practical competencies required to act within technology-mediated and institutionally structured environments, including literacy, technical proficiency, and problem-solving ability. This distinction was maintained to ensure that the model captures both the developmental basis of capability formation and the practical capacity for infrastructure use.</w:t>
      </w:r>
    </w:p>
    <w:p w14:paraId="0B7CD8CD" w14:textId="77777777" w:rsidR="00287716" w:rsidRPr="00677610" w:rsidRDefault="00287716" w:rsidP="00287716">
      <w:pPr>
        <w:pStyle w:val="Heading2"/>
        <w:numPr>
          <w:ilvl w:val="0"/>
          <w:numId w:val="17"/>
        </w:numPr>
        <w:tabs>
          <w:tab w:val="num" w:pos="360"/>
        </w:tabs>
        <w:spacing w:before="120" w:line="240" w:lineRule="auto"/>
        <w:ind w:left="493" w:hanging="493"/>
        <w:jc w:val="both"/>
        <w:rPr>
          <w:rFonts w:ascii="Arial" w:hAnsi="Arial" w:cs="Arial"/>
          <w:bCs/>
          <w:color w:val="auto"/>
          <w:sz w:val="20"/>
          <w:szCs w:val="20"/>
        </w:rPr>
      </w:pPr>
      <w:r w:rsidRPr="00677610">
        <w:rPr>
          <w:rFonts w:ascii="Arial" w:eastAsia="Times New Roman" w:hAnsi="Arial" w:cs="Arial"/>
          <w:color w:val="auto"/>
          <w:sz w:val="20"/>
          <w:szCs w:val="20"/>
        </w:rPr>
        <w:t>Data Collection Procedure</w:t>
      </w:r>
    </w:p>
    <w:p w14:paraId="7408AF15" w14:textId="58F3CF72" w:rsidR="00FF65C8" w:rsidRPr="00FF65C8" w:rsidRDefault="00FF65C8" w:rsidP="00287716">
      <w:pPr>
        <w:pStyle w:val="NormalWeb"/>
        <w:spacing w:before="0" w:beforeAutospacing="0" w:after="0" w:afterAutospacing="0"/>
        <w:ind w:firstLine="720"/>
        <w:jc w:val="both"/>
        <w:rPr>
          <w:rFonts w:ascii="Arial" w:hAnsi="Arial" w:cs="Arial"/>
          <w:bCs/>
          <w:sz w:val="20"/>
          <w:szCs w:val="20"/>
          <w:highlight w:val="cyan"/>
        </w:rPr>
      </w:pPr>
      <w:r>
        <w:rPr>
          <w:rFonts w:ascii="Arial" w:hAnsi="Arial" w:cs="Arial"/>
          <w:bCs/>
          <w:sz w:val="20"/>
          <w:szCs w:val="20"/>
          <w:lang w:val="en-US"/>
        </w:rPr>
        <w:t xml:space="preserve"> </w:t>
      </w:r>
      <w:r w:rsidRPr="00FF65C8">
        <w:rPr>
          <w:rFonts w:ascii="Arial" w:hAnsi="Arial" w:cs="Arial"/>
          <w:bCs/>
          <w:sz w:val="20"/>
          <w:szCs w:val="20"/>
          <w:highlight w:val="cyan"/>
        </w:rPr>
        <w:t>Primary data were collected in 2025 using a standardized questionnaire administered in Indonesian. Trained enumerators conducted the field survey to ensure consistent interpretation of items and to minimize interviewer-related variability. To reduce the risk of common method bias, several procedural remedies were applied, including the assurance of anonymity and careful item wording. In addition, statistical diagnostics were conducted using Harman’s single-factor test and a marker-variable approach, following established recommendations (Podsakoff, MacKenzie, and Podsakoff 2012). The Harman test showed that the first unrotated factor did not account for the majority of the total variance, indicating that common method bias was unlikely to substantially distort the observed relationships. The marker-variable assessment likewise did not indicate serious common method contamination. Taken together, these results suggest that common method bias was not a major threat to the validity of the study findings.</w:t>
      </w:r>
    </w:p>
    <w:p w14:paraId="5E4CA8D7" w14:textId="77777777" w:rsidR="0013238B" w:rsidRPr="006B30C2" w:rsidRDefault="0013238B" w:rsidP="00287716">
      <w:pPr>
        <w:pStyle w:val="NormalWeb"/>
        <w:spacing w:before="0" w:beforeAutospacing="0" w:after="0" w:afterAutospacing="0"/>
        <w:ind w:firstLine="720"/>
        <w:jc w:val="both"/>
        <w:rPr>
          <w:rFonts w:ascii="Arial" w:hAnsi="Arial" w:cs="Arial"/>
          <w:bCs/>
          <w:sz w:val="20"/>
          <w:szCs w:val="20"/>
        </w:rPr>
      </w:pPr>
    </w:p>
    <w:p w14:paraId="45F78032" w14:textId="77777777" w:rsidR="00287716" w:rsidRPr="00677610" w:rsidRDefault="00287716" w:rsidP="00287716">
      <w:pPr>
        <w:pStyle w:val="Heading2"/>
        <w:numPr>
          <w:ilvl w:val="0"/>
          <w:numId w:val="17"/>
        </w:numPr>
        <w:tabs>
          <w:tab w:val="num" w:pos="360"/>
        </w:tabs>
        <w:spacing w:before="120" w:line="240" w:lineRule="auto"/>
        <w:ind w:left="493" w:hanging="493"/>
        <w:jc w:val="both"/>
        <w:rPr>
          <w:rFonts w:ascii="Arial" w:hAnsi="Arial" w:cs="Arial"/>
          <w:bCs/>
          <w:color w:val="auto"/>
          <w:sz w:val="20"/>
          <w:szCs w:val="20"/>
        </w:rPr>
      </w:pPr>
      <w:r w:rsidRPr="00677610">
        <w:rPr>
          <w:rFonts w:ascii="Arial" w:eastAsia="Times New Roman" w:hAnsi="Arial" w:cs="Arial"/>
          <w:color w:val="auto"/>
          <w:sz w:val="20"/>
          <w:szCs w:val="20"/>
        </w:rPr>
        <w:lastRenderedPageBreak/>
        <w:t>Data Analysis</w:t>
      </w:r>
    </w:p>
    <w:p w14:paraId="42FDE7D0" w14:textId="5EF3D23C" w:rsidR="00287716" w:rsidRPr="00677610" w:rsidRDefault="00287716" w:rsidP="00287716">
      <w:pPr>
        <w:pStyle w:val="NormalWeb"/>
        <w:spacing w:before="0" w:beforeAutospacing="0" w:after="0" w:afterAutospacing="0"/>
        <w:ind w:firstLine="720"/>
        <w:jc w:val="both"/>
        <w:rPr>
          <w:rFonts w:ascii="Arial" w:hAnsi="Arial" w:cs="Arial"/>
          <w:bCs/>
          <w:sz w:val="20"/>
          <w:szCs w:val="20"/>
          <w:lang w:val="en-US"/>
        </w:rPr>
      </w:pPr>
      <w:r w:rsidRPr="00677610">
        <w:rPr>
          <w:rFonts w:ascii="Arial" w:hAnsi="Arial" w:cs="Arial"/>
          <w:bCs/>
          <w:sz w:val="20"/>
          <w:szCs w:val="20"/>
        </w:rPr>
        <w:t>The data analysis was conducted in sequential phases consistent with CB-SEM methodology. Initially, descriptive statistics were employed to characterize respondent attributes and summarize the distributions of indicators. A confirmatory factor analysis (CFA; also known as confirmatory validity analysis, CVA, in AMOS reporting) was conducted to validate the measurement model before structural testing</w:t>
      </w:r>
      <w:r w:rsidRPr="00677610">
        <w:rPr>
          <w:rFonts w:ascii="Arial" w:hAnsi="Arial" w:cs="Arial"/>
          <w:bCs/>
          <w:sz w:val="20"/>
          <w:szCs w:val="20"/>
          <w:lang w:val="en-US"/>
        </w:rPr>
        <w:t xml:space="preserve"> </w:t>
      </w:r>
      <w:r w:rsidRPr="00677610">
        <w:rPr>
          <w:rFonts w:ascii="Arial" w:hAnsi="Arial" w:cs="Arial"/>
          <w:bCs/>
          <w:sz w:val="20"/>
          <w:szCs w:val="20"/>
        </w:rPr>
        <w:fldChar w:fldCharType="begin" w:fldLock="1"/>
      </w:r>
      <w:r w:rsidR="00A72F9C" w:rsidRPr="00677610">
        <w:rPr>
          <w:rFonts w:ascii="Arial" w:hAnsi="Arial" w:cs="Arial"/>
          <w:bCs/>
          <w:sz w:val="20"/>
          <w:szCs w:val="20"/>
        </w:rPr>
        <w:instrText>ADDIN CSL_CITATION {"citationItems":[{"id":"ITEM-1","itemData":{"ISBN":"978-1-4737-5654-0","ISSN":"0921-5077","abstract":"Meer dan 25 jaar geleden verscheen de eerste editie van dit toegepaste handboek over multivariate data-analyse. Deze zesde editie is dan ook een update van zijn voorgangers, maar kent een aantal opmerkelijke verbeteringen, zoals een nieuwe database om allerlei technieken te oefenen, handige gebruiksregels voor de toepassing en interpretatie van technieken, en als klap op de vuurpijl maar liefst drie nieuwe hoofdstukken over covariantie-structuuranalyse.","author":[{"dropping-particle":"","family":"Hair at al.","given":"","non-dropping-particle":"","parse-names":false,"suffix":""}],"container-title":"Annabel Ainscow","id":"ITEM-1","issue":"3","issued":{"date-parts":[["2019","9","1"]]},"title":"Multivariate Data Analysis (Sixth Edition)","type":"book","volume":"19"},"uris":["http://www.mendeley.com/documents/?uuid=50c8c6c4-a217-475e-9b5e-858c5a1888b2"]},{"id":"ITEM-2","itemData":{"ISBN":"9781462523344","ISSN":"1927-9825","abstract":"This bestselling text provides a balance between the technical and practical aspects of structural equation modeling (SEM). Using clear and accessible language, Rex B. Kline covers core techniques, potential pitfalls, and applications across the behavioral and social sciences. Some more advanced topics are also covered, including estimation of interactive effects of latent variables and multilevel SEM. The companion Web page offers downloadable syntax, data, and output files for each detailed example for EQS, LISREL, and Mplus, allowing readers to view the results of the same analysis generated by three different computer tools. New to This Edition Thoroughly revised and restructured to follow the phases of most SEM analyses. Syntax, data, and output files for all detailed research examples are now provided online. Exercises with answers, which support self-study. Topic boxes on specialized issues, such as dealing with problems in the analysis; the assessment of construct measurement reliability; and more. Updated coverage of a more rigorous approach to hypothesis and model testing; the evaluation of measurement invariance; and more.","author":[{"dropping-particle":"","family":"R.B. Kline","given":"","non-dropping-particle":"","parse-names":false,"suffix":""}],"container-title":"thE GuiLFord PrESS new York London","id":"ITEM-2","issue":"1","issued":{"date-parts":[["2016","7","12"]]},"number-of-pages":"59","title":"Principles and Practice of Structural Equation Modeling","type":"book","volume":"1"},"uris":["http://www.mendeley.com/documents/?uuid=2d907137-4a37-4fca-8200-b5a7eb63a4e3"]}],"mendeley":{"formattedCitation":"(Hair at al. 2019; R.B. Kline 2016)","plainTextFormattedCitation":"(Hair at al. 2019; R.B. Kline 2016)","previouslyFormattedCitation":"(Hair at al. 2019; R.B. Kline 2016)"},"properties":{"noteIndex":0},"schema":"https://github.com/citation-style-language/schema/raw/master/csl-citation.json"}</w:instrText>
      </w:r>
      <w:r w:rsidRPr="00677610">
        <w:rPr>
          <w:rFonts w:ascii="Arial" w:hAnsi="Arial" w:cs="Arial"/>
          <w:bCs/>
          <w:sz w:val="20"/>
          <w:szCs w:val="20"/>
        </w:rPr>
        <w:fldChar w:fldCharType="separate"/>
      </w:r>
      <w:r w:rsidR="00A72F9C" w:rsidRPr="00677610">
        <w:rPr>
          <w:rFonts w:ascii="Arial" w:hAnsi="Arial" w:cs="Arial"/>
          <w:bCs/>
          <w:noProof/>
          <w:sz w:val="20"/>
          <w:szCs w:val="20"/>
        </w:rPr>
        <w:t>(Hair at al. 2019; R.B. Kline 2016)</w:t>
      </w:r>
      <w:r w:rsidRPr="00677610">
        <w:rPr>
          <w:rFonts w:ascii="Arial" w:hAnsi="Arial" w:cs="Arial"/>
          <w:bCs/>
          <w:sz w:val="20"/>
          <w:szCs w:val="20"/>
        </w:rPr>
        <w:fldChar w:fldCharType="end"/>
      </w:r>
      <w:r w:rsidRPr="00677610">
        <w:rPr>
          <w:rFonts w:ascii="Arial" w:hAnsi="Arial" w:cs="Arial"/>
          <w:bCs/>
          <w:sz w:val="20"/>
          <w:szCs w:val="20"/>
          <w:lang w:val="en-US"/>
        </w:rPr>
        <w:t>.</w:t>
      </w:r>
    </w:p>
    <w:p w14:paraId="21B2F4C0" w14:textId="224B2566" w:rsidR="00287716" w:rsidRPr="00677610" w:rsidRDefault="00287716" w:rsidP="00287716">
      <w:pPr>
        <w:pStyle w:val="NormalWeb"/>
        <w:spacing w:before="0" w:beforeAutospacing="0" w:after="0" w:afterAutospacing="0"/>
        <w:ind w:firstLine="720"/>
        <w:jc w:val="both"/>
        <w:rPr>
          <w:rFonts w:ascii="Arial" w:hAnsi="Arial" w:cs="Arial"/>
          <w:bCs/>
          <w:sz w:val="20"/>
          <w:szCs w:val="20"/>
          <w:lang w:val="en-US"/>
        </w:rPr>
      </w:pPr>
      <w:r w:rsidRPr="00677610">
        <w:rPr>
          <w:rFonts w:ascii="Arial" w:hAnsi="Arial" w:cs="Arial"/>
          <w:bCs/>
          <w:sz w:val="20"/>
          <w:szCs w:val="20"/>
        </w:rPr>
        <w:t>The structural model was calculated in AMOS via maximum-likelihood estimation, presenting both unstandardized (B) and standardized (β) coefficients. The model fit was assessed utilizing a combination of absolute and incremental indices often provided in CB-SEM, including Chi-square probability, CMIN/DF, RMR, RMSEA, as well as indices such as GFI, AGFI, NFI, IFI, TLI, and CFI</w:t>
      </w:r>
      <w:r w:rsidRPr="00677610">
        <w:rPr>
          <w:rFonts w:ascii="Arial" w:hAnsi="Arial" w:cs="Arial"/>
          <w:bCs/>
          <w:sz w:val="20"/>
          <w:szCs w:val="20"/>
          <w:lang w:val="en-US"/>
        </w:rPr>
        <w:t xml:space="preserve"> </w:t>
      </w:r>
      <w:r w:rsidRPr="00677610">
        <w:rPr>
          <w:rFonts w:ascii="Arial" w:hAnsi="Arial" w:cs="Arial"/>
          <w:bCs/>
          <w:sz w:val="20"/>
          <w:szCs w:val="20"/>
        </w:rPr>
        <w:fldChar w:fldCharType="begin" w:fldLock="1"/>
      </w:r>
      <w:r w:rsidR="00A72F9C" w:rsidRPr="00677610">
        <w:rPr>
          <w:rFonts w:ascii="Arial" w:hAnsi="Arial" w:cs="Arial"/>
          <w:bCs/>
          <w:sz w:val="20"/>
          <w:szCs w:val="20"/>
        </w:rPr>
        <w:instrText>ADDIN CSL_CITATION {"citationItems":[{"id":"ITEM-1","itemData":{"ISBN":"978-1-4737-5654-0","ISSN":"0921-5077","abstract":"Meer dan 25 jaar geleden verscheen de eerste editie van dit toegepaste handboek over multivariate data-analyse. Deze zesde editie is dan ook een update van zijn voorgangers, maar kent een aantal opmerkelijke verbeteringen, zoals een nieuwe database om allerlei technieken te oefenen, handige gebruiksregels voor de toepassing en interpretatie van technieken, en als klap op de vuurpijl maar liefst drie nieuwe hoofdstukken over covariantie-structuuranalyse.","author":[{"dropping-particle":"","family":"Hair at al.","given":"","non-dropping-particle":"","parse-names":false,"suffix":""}],"container-title":"Annabel Ainscow","id":"ITEM-1","issue":"3","issued":{"date-parts":[["2019","9","1"]]},"title":"Multivariate Data Analysis (Sixth Edition)","type":"book","volume":"19"},"uris":["http://www.mendeley.com/documents/?uuid=50c8c6c4-a217-475e-9b5e-858c5a1888b2"]},{"id":"ITEM-2","itemData":{"ISBN":"9781462523344","ISSN":"1927-9825","abstract":"This bestselling text provides a balance between the technical and practical aspects of structural equation modeling (SEM). Using clear and accessible language, Rex B. Kline covers core techniques, potential pitfalls, and applications across the behavioral and social sciences. Some more advanced topics are also covered, including estimation of interactive effects of latent variables and multilevel SEM. The companion Web page offers downloadable syntax, data, and output files for each detailed example for EQS, LISREL, and Mplus, allowing readers to view the results of the same analysis generated by three different computer tools. New to This Edition Thoroughly revised and restructured to follow the phases of most SEM analyses. Syntax, data, and output files for all detailed research examples are now provided online. Exercises with answers, which support self-study. Topic boxes on specialized issues, such as dealing with problems in the analysis; the assessment of construct measurement reliability; and more. Updated coverage of a more rigorous approach to hypothesis and model testing; the evaluation of measurement invariance; and more.","author":[{"dropping-particle":"","family":"R.B. Kline","given":"","non-dropping-particle":"","parse-names":false,"suffix":""}],"container-title":"thE GuiLFord PrESS new York London","id":"ITEM-2","issue":"1","issued":{"date-parts":[["2016","7","12"]]},"number-of-pages":"59","title":"Principles and Practice of Structural Equation Modeling","type":"book","volume":"1"},"uris":["http://www.mendeley.com/documents/?uuid=2d907137-4a37-4fca-8200-b5a7eb63a4e3"]}],"mendeley":{"formattedCitation":"(Hair at al. 2019; R.B. Kline 2016)","plainTextFormattedCitation":"(Hair at al. 2019; R.B. Kline 2016)","previouslyFormattedCitation":"(Hair at al. 2019; R.B. Kline 2016)"},"properties":{"noteIndex":0},"schema":"https://github.com/citation-style-language/schema/raw/master/csl-citation.json"}</w:instrText>
      </w:r>
      <w:r w:rsidRPr="00677610">
        <w:rPr>
          <w:rFonts w:ascii="Arial" w:hAnsi="Arial" w:cs="Arial"/>
          <w:bCs/>
          <w:sz w:val="20"/>
          <w:szCs w:val="20"/>
        </w:rPr>
        <w:fldChar w:fldCharType="separate"/>
      </w:r>
      <w:r w:rsidR="00A72F9C" w:rsidRPr="00677610">
        <w:rPr>
          <w:rFonts w:ascii="Arial" w:hAnsi="Arial" w:cs="Arial"/>
          <w:bCs/>
          <w:noProof/>
          <w:sz w:val="20"/>
          <w:szCs w:val="20"/>
        </w:rPr>
        <w:t>(Hair at al. 2019; R.B. Kline 2016)</w:t>
      </w:r>
      <w:r w:rsidRPr="00677610">
        <w:rPr>
          <w:rFonts w:ascii="Arial" w:hAnsi="Arial" w:cs="Arial"/>
          <w:bCs/>
          <w:sz w:val="20"/>
          <w:szCs w:val="20"/>
        </w:rPr>
        <w:fldChar w:fldCharType="end"/>
      </w:r>
      <w:r w:rsidRPr="00677610">
        <w:rPr>
          <w:rFonts w:ascii="Arial" w:hAnsi="Arial" w:cs="Arial"/>
          <w:bCs/>
          <w:sz w:val="20"/>
          <w:szCs w:val="20"/>
          <w:lang w:val="en-US"/>
        </w:rPr>
        <w:t xml:space="preserve">. </w:t>
      </w:r>
      <w:r w:rsidRPr="00677610">
        <w:rPr>
          <w:rFonts w:ascii="Arial" w:hAnsi="Arial" w:cs="Arial"/>
          <w:bCs/>
          <w:sz w:val="20"/>
          <w:szCs w:val="20"/>
        </w:rPr>
        <w:t xml:space="preserve">Where theoretically justifiable, model refinement adhered to conventional CB-SEM protocols, encompassing the assessment of modification indices for specific error covariances to enhance fit without compromising construct integrity </w:t>
      </w:r>
      <w:r w:rsidRPr="00677610">
        <w:rPr>
          <w:rFonts w:ascii="Arial" w:hAnsi="Arial" w:cs="Arial"/>
          <w:bCs/>
          <w:sz w:val="20"/>
          <w:szCs w:val="20"/>
        </w:rPr>
        <w:fldChar w:fldCharType="begin" w:fldLock="1"/>
      </w:r>
      <w:r w:rsidR="00A72F9C" w:rsidRPr="00677610">
        <w:rPr>
          <w:rFonts w:ascii="Arial" w:hAnsi="Arial" w:cs="Arial"/>
          <w:bCs/>
          <w:sz w:val="20"/>
          <w:szCs w:val="20"/>
        </w:rPr>
        <w:instrText>ADDIN CSL_CITATION {"citationItems":[{"id":"ITEM-1","itemData":{"ISBN":"9781462523344","ISSN":"1927-9825","abstract":"This bestselling text provides a balance between the technical and practical aspects of structural equation modeling (SEM). Using clear and accessible language, Rex B. Kline covers core techniques, potential pitfalls, and applications across the behavioral and social sciences. Some more advanced topics are also covered, including estimation of interactive effects of latent variables and multilevel SEM. The companion Web page offers downloadable syntax, data, and output files for each detailed example for EQS, LISREL, and Mplus, allowing readers to view the results of the same analysis generated by three different computer tools. New to This Edition Thoroughly revised and restructured to follow the phases of most SEM analyses. Syntax, data, and output files for all detailed research examples are now provided online. Exercises with answers, which support self-study. Topic boxes on specialized issues, such as dealing with problems in the analysis; the assessment of construct measurement reliability; and more. Updated coverage of a more rigorous approach to hypothesis and model testing; the evaluation of measurement invariance; and more.","author":[{"dropping-particle":"","family":"R.B. Kline","given":"","non-dropping-particle":"","parse-names":false,"suffix":""}],"container-title":"thE GuiLFord PrESS new York London","id":"ITEM-1","issue":"1","issued":{"date-parts":[["2016","7","12"]]},"number-of-pages":"59","title":"Principles and Practice of Structural Equation Modeling","type":"book","volume":"1"},"uris":["http://www.mendeley.com/documents/?uuid=2d907137-4a37-4fca-8200-b5a7eb63a4e3"]}],"mendeley":{"formattedCitation":"(R.B. Kline 2016)","plainTextFormattedCitation":"(R.B. Kline 2016)","previouslyFormattedCitation":"(R.B. Kline 2016)"},"properties":{"noteIndex":0},"schema":"https://github.com/citation-style-language/schema/raw/master/csl-citation.json"}</w:instrText>
      </w:r>
      <w:r w:rsidRPr="00677610">
        <w:rPr>
          <w:rFonts w:ascii="Arial" w:hAnsi="Arial" w:cs="Arial"/>
          <w:bCs/>
          <w:sz w:val="20"/>
          <w:szCs w:val="20"/>
        </w:rPr>
        <w:fldChar w:fldCharType="separate"/>
      </w:r>
      <w:r w:rsidR="00A72F9C" w:rsidRPr="00677610">
        <w:rPr>
          <w:rFonts w:ascii="Arial" w:hAnsi="Arial" w:cs="Arial"/>
          <w:bCs/>
          <w:noProof/>
          <w:sz w:val="20"/>
          <w:szCs w:val="20"/>
        </w:rPr>
        <w:t>(R.B. Kline 2016)</w:t>
      </w:r>
      <w:r w:rsidRPr="00677610">
        <w:rPr>
          <w:rFonts w:ascii="Arial" w:hAnsi="Arial" w:cs="Arial"/>
          <w:bCs/>
          <w:sz w:val="20"/>
          <w:szCs w:val="20"/>
        </w:rPr>
        <w:fldChar w:fldCharType="end"/>
      </w:r>
      <w:r w:rsidRPr="00677610">
        <w:rPr>
          <w:rFonts w:ascii="Arial" w:hAnsi="Arial" w:cs="Arial"/>
          <w:bCs/>
          <w:sz w:val="20"/>
          <w:szCs w:val="20"/>
          <w:lang w:val="en-US"/>
        </w:rPr>
        <w:t>.</w:t>
      </w:r>
    </w:p>
    <w:p w14:paraId="69642996" w14:textId="3E226C09" w:rsidR="00287716" w:rsidRPr="00677610" w:rsidRDefault="00287716" w:rsidP="00287716">
      <w:pPr>
        <w:pStyle w:val="NormalWeb"/>
        <w:spacing w:before="0" w:beforeAutospacing="0" w:after="0" w:afterAutospacing="0"/>
        <w:ind w:firstLine="720"/>
        <w:jc w:val="both"/>
        <w:rPr>
          <w:rFonts w:ascii="Arial" w:hAnsi="Arial" w:cs="Arial"/>
          <w:bCs/>
          <w:sz w:val="20"/>
          <w:szCs w:val="20"/>
          <w:lang w:val="en-US"/>
        </w:rPr>
      </w:pPr>
      <w:r w:rsidRPr="00677610">
        <w:rPr>
          <w:rFonts w:ascii="Arial" w:hAnsi="Arial" w:cs="Arial"/>
          <w:bCs/>
          <w:sz w:val="20"/>
          <w:szCs w:val="20"/>
        </w:rPr>
        <w:t xml:space="preserve">The hypotheses were examined using the predicted path coefficients and corresponding p-values, with statistical significance determined at α = 0.05. The model's explanatory strength was indicated by the coefficient of determination (R²) for Community Readiness </w:t>
      </w:r>
      <w:r w:rsidRPr="00677610">
        <w:rPr>
          <w:rFonts w:ascii="Arial" w:hAnsi="Arial" w:cs="Arial"/>
          <w:bCs/>
          <w:sz w:val="20"/>
          <w:szCs w:val="20"/>
        </w:rPr>
        <w:fldChar w:fldCharType="begin" w:fldLock="1"/>
      </w:r>
      <w:r w:rsidR="00A72F9C" w:rsidRPr="00677610">
        <w:rPr>
          <w:rFonts w:ascii="Arial" w:hAnsi="Arial" w:cs="Arial"/>
          <w:bCs/>
          <w:sz w:val="20"/>
          <w:szCs w:val="20"/>
        </w:rPr>
        <w:instrText>ADDIN CSL_CITATION {"citationItems":[{"id":"ITEM-1","itemData":{"DOI":"10.1037/0003-066X.59.8.676","ISSN":"0003066X","PMID":"15554821","abstract":"The author discusses 3 variables that assess different aspects of social relationships-social support, social integration, and negative interaction. The author argues that all 3 are associated with health outcomes, that these variables each influence health through different mechanisms, and that associations between these variables and health are not spurious findings attributable to our personalities. This argument suggests a broader view of how to intervene in social networks to improve health. This includes facilitating both social integration and social support by creating and nurturing both close (strong) and peripheral (weak) ties within natural social networks and reducing opportunities for negative social interaction. Finally, the author emphasizes the necessity to understand more about who benefits most and least from social-connectedness interventions.","author":[{"dropping-particle":"","family":"Cohen","given":"Sheldon","non-dropping-particle":"","parse-names":false,"suffix":""}],"container-title":"American Psychologist","id":"ITEM-1","issue":"8","issued":{"date-parts":[["2004"]]},"page":"676-684","title":"Social relationships and health","type":"article-journal","volume":"59"},"uris":["http://www.mendeley.com/documents/?uuid=95867af1-6b97-437e-88b8-84161baeb9ff"]}],"mendeley":{"formattedCitation":"(Cohen 2004)","plainTextFormattedCitation":"(Cohen 2004)","previouslyFormattedCitation":"(Cohen 2004)"},"properties":{"noteIndex":0},"schema":"https://github.com/citation-style-language/schema/raw/master/csl-citation.json"}</w:instrText>
      </w:r>
      <w:r w:rsidRPr="00677610">
        <w:rPr>
          <w:rFonts w:ascii="Arial" w:hAnsi="Arial" w:cs="Arial"/>
          <w:bCs/>
          <w:sz w:val="20"/>
          <w:szCs w:val="20"/>
        </w:rPr>
        <w:fldChar w:fldCharType="separate"/>
      </w:r>
      <w:r w:rsidR="00A72F9C" w:rsidRPr="00677610">
        <w:rPr>
          <w:rFonts w:ascii="Arial" w:hAnsi="Arial" w:cs="Arial"/>
          <w:bCs/>
          <w:noProof/>
          <w:sz w:val="20"/>
          <w:szCs w:val="20"/>
        </w:rPr>
        <w:t>(Cohen 2004)</w:t>
      </w:r>
      <w:r w:rsidRPr="00677610">
        <w:rPr>
          <w:rFonts w:ascii="Arial" w:hAnsi="Arial" w:cs="Arial"/>
          <w:bCs/>
          <w:sz w:val="20"/>
          <w:szCs w:val="20"/>
        </w:rPr>
        <w:fldChar w:fldCharType="end"/>
      </w:r>
      <w:r w:rsidRPr="00677610">
        <w:rPr>
          <w:rFonts w:ascii="Arial" w:hAnsi="Arial" w:cs="Arial"/>
          <w:bCs/>
          <w:sz w:val="20"/>
          <w:szCs w:val="20"/>
          <w:lang w:val="en-US"/>
        </w:rPr>
        <w:t>.</w:t>
      </w:r>
    </w:p>
    <w:p w14:paraId="429C5667" w14:textId="77777777" w:rsidR="00287716" w:rsidRPr="00677610" w:rsidRDefault="00287716" w:rsidP="00287716">
      <w:pPr>
        <w:pStyle w:val="Heading2"/>
        <w:numPr>
          <w:ilvl w:val="0"/>
          <w:numId w:val="17"/>
        </w:numPr>
        <w:tabs>
          <w:tab w:val="num" w:pos="360"/>
        </w:tabs>
        <w:spacing w:before="120" w:line="240" w:lineRule="auto"/>
        <w:ind w:left="493" w:hanging="493"/>
        <w:jc w:val="both"/>
        <w:rPr>
          <w:rFonts w:ascii="Arial" w:eastAsia="Times New Roman" w:hAnsi="Arial" w:cs="Arial"/>
          <w:bCs/>
          <w:color w:val="auto"/>
          <w:sz w:val="20"/>
          <w:szCs w:val="20"/>
        </w:rPr>
      </w:pPr>
      <w:r w:rsidRPr="00677610">
        <w:rPr>
          <w:rFonts w:ascii="Arial" w:eastAsia="Times New Roman" w:hAnsi="Arial" w:cs="Arial"/>
          <w:color w:val="auto"/>
          <w:sz w:val="20"/>
          <w:szCs w:val="20"/>
        </w:rPr>
        <w:t>Ethical Considerations</w:t>
      </w:r>
    </w:p>
    <w:p w14:paraId="02AB9160" w14:textId="6AE064FF" w:rsidR="00287716" w:rsidRPr="00677610" w:rsidRDefault="00287716" w:rsidP="00287716">
      <w:pPr>
        <w:pStyle w:val="NormalWeb"/>
        <w:spacing w:before="0" w:beforeAutospacing="0" w:after="0" w:afterAutospacing="0"/>
        <w:ind w:firstLine="720"/>
        <w:jc w:val="both"/>
        <w:rPr>
          <w:rFonts w:ascii="Arial" w:hAnsi="Arial" w:cs="Arial"/>
          <w:bCs/>
          <w:sz w:val="20"/>
          <w:szCs w:val="20"/>
          <w:lang w:val="en-US"/>
        </w:rPr>
      </w:pPr>
      <w:r w:rsidRPr="00677610">
        <w:rPr>
          <w:rFonts w:ascii="Arial" w:hAnsi="Arial" w:cs="Arial"/>
          <w:bCs/>
          <w:sz w:val="20"/>
          <w:szCs w:val="20"/>
        </w:rPr>
        <w:t>The research complied with essential ethical principles, encompassing informed consent, voluntary involvement, confidentiality, and anonymised reporting. Participants were apprised of the study's objective, the scholarly use of the findings, and their entitlement to withdraw at any moment. A primary constraint is that the cross-sectional design limits temporal causal inference</w:t>
      </w:r>
      <w:r w:rsidRPr="00677610">
        <w:rPr>
          <w:rFonts w:ascii="Arial" w:hAnsi="Arial" w:cs="Arial"/>
          <w:bCs/>
          <w:sz w:val="20"/>
          <w:szCs w:val="20"/>
          <w:lang w:val="en-US"/>
        </w:rPr>
        <w:t xml:space="preserve"> </w:t>
      </w:r>
      <w:r w:rsidRPr="00677610">
        <w:rPr>
          <w:rFonts w:ascii="Arial" w:hAnsi="Arial" w:cs="Arial"/>
          <w:bCs/>
          <w:sz w:val="20"/>
          <w:szCs w:val="20"/>
        </w:rPr>
        <w:fldChar w:fldCharType="begin" w:fldLock="1"/>
      </w:r>
      <w:r w:rsidR="00A72F9C" w:rsidRPr="00677610">
        <w:rPr>
          <w:rFonts w:ascii="Arial" w:hAnsi="Arial" w:cs="Arial"/>
          <w:bCs/>
          <w:sz w:val="20"/>
          <w:szCs w:val="20"/>
        </w:rPr>
        <w:instrText>ADDIN CSL_CITATION {"citationItems":[{"id":"ITEM-1","itemData":{"DOI":"10.1007/978-0-230-22911-2","abstract":"\"This best-selling introduction to research methods provides students and researchers with unrivalled coverage of both quantitative and qualitative methods, making it invaluable for anyone embarking on social research. Bridging the gap between theory and practice, Social Research Methods is packed full of engaging examples and practical tips to equip students with the tools and knowledge needed for them to complete their own research projects. In addition to providing practical advice, Bryman deftly explores the nature of social research and the wider issues impinging on it.\"--Provided by publisher. The research process -- Quantitative research -- Qualitative research -- Mixed methods research and writing up.","author":[{"dropping-particle":"","family":"Alan Bryman","given":"","non-dropping-particle":"","parse-names":false,"suffix":""}],"container-title":"Social Research Methodology","id":"ITEM-1","issued":{"date-parts":[["2016"]]},"title":"Social Research Methodology","type":"article-journal"},"uris":["http://www.mendeley.com/documents/?uuid=10e8bc19-246d-4908-abd1-942c0a6ed77c"]}],"mendeley":{"formattedCitation":"(Alan Bryman 2016)","plainTextFormattedCitation":"(Alan Bryman 2016)","previouslyFormattedCitation":"(Alan Bryman 2016)"},"properties":{"noteIndex":0},"schema":"https://github.com/citation-style-language/schema/raw/master/csl-citation.json"}</w:instrText>
      </w:r>
      <w:r w:rsidRPr="00677610">
        <w:rPr>
          <w:rFonts w:ascii="Arial" w:hAnsi="Arial" w:cs="Arial"/>
          <w:bCs/>
          <w:sz w:val="20"/>
          <w:szCs w:val="20"/>
        </w:rPr>
        <w:fldChar w:fldCharType="separate"/>
      </w:r>
      <w:r w:rsidR="00A72F9C" w:rsidRPr="00677610">
        <w:rPr>
          <w:rFonts w:ascii="Arial" w:hAnsi="Arial" w:cs="Arial"/>
          <w:bCs/>
          <w:noProof/>
          <w:sz w:val="20"/>
          <w:szCs w:val="20"/>
        </w:rPr>
        <w:t>(Alan Bryman 2016)</w:t>
      </w:r>
      <w:r w:rsidRPr="00677610">
        <w:rPr>
          <w:rFonts w:ascii="Arial" w:hAnsi="Arial" w:cs="Arial"/>
          <w:bCs/>
          <w:sz w:val="20"/>
          <w:szCs w:val="20"/>
        </w:rPr>
        <w:fldChar w:fldCharType="end"/>
      </w:r>
      <w:r w:rsidRPr="00677610">
        <w:rPr>
          <w:rFonts w:ascii="Arial" w:hAnsi="Arial" w:cs="Arial"/>
          <w:bCs/>
          <w:sz w:val="20"/>
          <w:szCs w:val="20"/>
          <w:lang w:val="en-US"/>
        </w:rPr>
        <w:t>.</w:t>
      </w:r>
    </w:p>
    <w:p w14:paraId="2E06F398" w14:textId="77777777" w:rsidR="00287716" w:rsidRPr="00677610" w:rsidRDefault="00287716" w:rsidP="00EB6BA0">
      <w:pPr>
        <w:pStyle w:val="AbstHead"/>
        <w:spacing w:after="0"/>
        <w:jc w:val="both"/>
        <w:rPr>
          <w:rFonts w:ascii="Arial" w:hAnsi="Arial" w:cs="Arial"/>
        </w:rPr>
      </w:pPr>
    </w:p>
    <w:p w14:paraId="0BE6B10D" w14:textId="08C5FCC5" w:rsidR="00EB6BA0" w:rsidRPr="00677610" w:rsidRDefault="006E45C4" w:rsidP="0013238B">
      <w:pPr>
        <w:pStyle w:val="AbstHead"/>
        <w:numPr>
          <w:ilvl w:val="0"/>
          <w:numId w:val="6"/>
        </w:numPr>
        <w:spacing w:before="120" w:after="120"/>
        <w:ind w:left="284" w:hanging="284"/>
        <w:jc w:val="both"/>
        <w:rPr>
          <w:rFonts w:ascii="Arial" w:hAnsi="Arial" w:cs="Arial"/>
        </w:rPr>
      </w:pPr>
      <w:r w:rsidRPr="00677610">
        <w:rPr>
          <w:rFonts w:ascii="Arial" w:hAnsi="Arial" w:cs="Arial"/>
          <w:caps w:val="0"/>
        </w:rPr>
        <w:t xml:space="preserve">Results </w:t>
      </w:r>
      <w:proofErr w:type="gramStart"/>
      <w:r w:rsidRPr="00677610">
        <w:rPr>
          <w:rFonts w:ascii="Arial" w:hAnsi="Arial" w:cs="Arial"/>
          <w:caps w:val="0"/>
        </w:rPr>
        <w:t>And</w:t>
      </w:r>
      <w:proofErr w:type="gramEnd"/>
      <w:r w:rsidRPr="00677610">
        <w:rPr>
          <w:rFonts w:ascii="Arial" w:hAnsi="Arial" w:cs="Arial"/>
          <w:caps w:val="0"/>
        </w:rPr>
        <w:t xml:space="preserve"> Discussion</w:t>
      </w:r>
    </w:p>
    <w:p w14:paraId="7CD80902" w14:textId="77777777" w:rsidR="0013238B" w:rsidRPr="00677610" w:rsidRDefault="0013238B" w:rsidP="0013238B">
      <w:pPr>
        <w:pStyle w:val="ListParagraph"/>
        <w:numPr>
          <w:ilvl w:val="0"/>
          <w:numId w:val="18"/>
        </w:numPr>
        <w:spacing w:after="0" w:line="240" w:lineRule="auto"/>
        <w:ind w:left="491" w:hanging="491"/>
        <w:jc w:val="both"/>
        <w:rPr>
          <w:rFonts w:ascii="Arial" w:hAnsi="Arial" w:cs="Arial"/>
          <w:b/>
          <w:bCs/>
          <w:sz w:val="20"/>
          <w:szCs w:val="20"/>
        </w:rPr>
      </w:pPr>
      <w:r w:rsidRPr="00677610">
        <w:rPr>
          <w:rFonts w:ascii="Arial" w:hAnsi="Arial" w:cs="Arial"/>
          <w:b/>
          <w:bCs/>
          <w:sz w:val="20"/>
          <w:szCs w:val="20"/>
        </w:rPr>
        <w:t>Demographic Profile of Respondents</w:t>
      </w:r>
    </w:p>
    <w:p w14:paraId="06DE8366" w14:textId="26D3CAD6" w:rsidR="0013238B" w:rsidRPr="00677610" w:rsidRDefault="0013238B" w:rsidP="0013238B">
      <w:pPr>
        <w:spacing w:after="0" w:line="240" w:lineRule="auto"/>
        <w:ind w:firstLine="720"/>
        <w:contextualSpacing/>
        <w:jc w:val="both"/>
        <w:rPr>
          <w:rFonts w:ascii="Arial" w:hAnsi="Arial" w:cs="Arial"/>
          <w:sz w:val="20"/>
          <w:szCs w:val="20"/>
        </w:rPr>
      </w:pPr>
      <w:r w:rsidRPr="00677610">
        <w:rPr>
          <w:rFonts w:ascii="Arial" w:hAnsi="Arial" w:cs="Arial"/>
          <w:sz w:val="20"/>
          <w:szCs w:val="20"/>
        </w:rPr>
        <w:t>The demographic profile of 3</w:t>
      </w:r>
      <w:r w:rsidR="008B320C" w:rsidRPr="00677610">
        <w:rPr>
          <w:rFonts w:ascii="Arial" w:hAnsi="Arial" w:cs="Arial"/>
          <w:sz w:val="20"/>
          <w:szCs w:val="20"/>
        </w:rPr>
        <w:t>31</w:t>
      </w:r>
      <w:r w:rsidRPr="00677610">
        <w:rPr>
          <w:rFonts w:ascii="Arial" w:hAnsi="Arial" w:cs="Arial"/>
          <w:sz w:val="20"/>
          <w:szCs w:val="20"/>
        </w:rPr>
        <w:t xml:space="preserve"> local-community respondents in the </w:t>
      </w:r>
      <w:proofErr w:type="spellStart"/>
      <w:r w:rsidRPr="00677610">
        <w:rPr>
          <w:rFonts w:ascii="Arial" w:hAnsi="Arial" w:cs="Arial"/>
          <w:sz w:val="20"/>
          <w:szCs w:val="20"/>
        </w:rPr>
        <w:t>Ibu</w:t>
      </w:r>
      <w:proofErr w:type="spellEnd"/>
      <w:r w:rsidRPr="00677610">
        <w:rPr>
          <w:rFonts w:ascii="Arial" w:hAnsi="Arial" w:cs="Arial"/>
          <w:sz w:val="20"/>
          <w:szCs w:val="20"/>
        </w:rPr>
        <w:t xml:space="preserve"> Kota Nusantara (IKN) research region, as depicted in Table 1, demonstrates sufficient territorial representation across the four study subdistricts. The highest percentage of respondents lived in </w:t>
      </w:r>
      <w:proofErr w:type="spellStart"/>
      <w:r w:rsidRPr="00677610">
        <w:rPr>
          <w:rFonts w:ascii="Arial" w:hAnsi="Arial" w:cs="Arial"/>
          <w:sz w:val="20"/>
          <w:szCs w:val="20"/>
        </w:rPr>
        <w:t>Penajam</w:t>
      </w:r>
      <w:proofErr w:type="spellEnd"/>
      <w:r w:rsidRPr="00677610">
        <w:rPr>
          <w:rFonts w:ascii="Arial" w:hAnsi="Arial" w:cs="Arial"/>
          <w:sz w:val="20"/>
          <w:szCs w:val="20"/>
        </w:rPr>
        <w:t xml:space="preserve"> (44.4%), followed by </w:t>
      </w:r>
      <w:proofErr w:type="spellStart"/>
      <w:r w:rsidRPr="00677610">
        <w:rPr>
          <w:rFonts w:ascii="Arial" w:hAnsi="Arial" w:cs="Arial"/>
          <w:sz w:val="20"/>
          <w:szCs w:val="20"/>
        </w:rPr>
        <w:t>Sepaku</w:t>
      </w:r>
      <w:proofErr w:type="spellEnd"/>
      <w:r w:rsidRPr="00677610">
        <w:rPr>
          <w:rFonts w:ascii="Arial" w:hAnsi="Arial" w:cs="Arial"/>
          <w:sz w:val="20"/>
          <w:szCs w:val="20"/>
        </w:rPr>
        <w:t xml:space="preserve"> (21.6%), </w:t>
      </w:r>
      <w:proofErr w:type="spellStart"/>
      <w:r w:rsidRPr="00677610">
        <w:rPr>
          <w:rFonts w:ascii="Arial" w:hAnsi="Arial" w:cs="Arial"/>
          <w:sz w:val="20"/>
          <w:szCs w:val="20"/>
        </w:rPr>
        <w:t>Babulu</w:t>
      </w:r>
      <w:proofErr w:type="spellEnd"/>
      <w:r w:rsidRPr="00677610">
        <w:rPr>
          <w:rFonts w:ascii="Arial" w:hAnsi="Arial" w:cs="Arial"/>
          <w:sz w:val="20"/>
          <w:szCs w:val="20"/>
        </w:rPr>
        <w:t xml:space="preserve"> (18.5%), and </w:t>
      </w:r>
      <w:proofErr w:type="spellStart"/>
      <w:r w:rsidRPr="00677610">
        <w:rPr>
          <w:rFonts w:ascii="Arial" w:hAnsi="Arial" w:cs="Arial"/>
          <w:sz w:val="20"/>
          <w:szCs w:val="20"/>
        </w:rPr>
        <w:t>Waru</w:t>
      </w:r>
      <w:proofErr w:type="spellEnd"/>
      <w:r w:rsidRPr="00677610">
        <w:rPr>
          <w:rFonts w:ascii="Arial" w:hAnsi="Arial" w:cs="Arial"/>
          <w:sz w:val="20"/>
          <w:szCs w:val="20"/>
        </w:rPr>
        <w:t xml:space="preserve"> (15.5%). The sample mostly consisted of individuals with Bachelor’s degrees (39.2%) and senior high school/vocational qualifications (35.6%), while those with diploma-level education (20.1%) and postgraduate/professional education (5.2%) represented lesser proportions. All participants were within the working-age demographic (18–64 years), with an average age of 32 years. Employment was predominantly among self-employed individuals/entrepreneurs (34.0%) and private-sector employees (29.2%), although household dependency was most commonly observed in the 3–4 dependents category (49.8%).</w:t>
      </w:r>
    </w:p>
    <w:p w14:paraId="2163824D" w14:textId="77777777" w:rsidR="0013238B" w:rsidRPr="00677610" w:rsidRDefault="0013238B" w:rsidP="0013238B">
      <w:pPr>
        <w:spacing w:after="0" w:line="240" w:lineRule="auto"/>
        <w:ind w:firstLine="720"/>
        <w:jc w:val="both"/>
        <w:rPr>
          <w:rFonts w:ascii="Arial" w:hAnsi="Arial" w:cs="Arial"/>
          <w:bCs/>
          <w:sz w:val="20"/>
          <w:szCs w:val="20"/>
        </w:rPr>
      </w:pPr>
      <w:r w:rsidRPr="00677610">
        <w:rPr>
          <w:rFonts w:ascii="Arial" w:hAnsi="Arial" w:cs="Arial"/>
          <w:bCs/>
          <w:sz w:val="20"/>
          <w:szCs w:val="20"/>
        </w:rPr>
        <w:t>Table 1. Respondent Demographic Profile (n = 331)</w:t>
      </w:r>
    </w:p>
    <w:tbl>
      <w:tblPr>
        <w:tblStyle w:val="TableGrid"/>
        <w:tblW w:w="0" w:type="auto"/>
        <w:tblInd w:w="56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262"/>
        <w:gridCol w:w="863"/>
        <w:gridCol w:w="863"/>
      </w:tblGrid>
      <w:tr w:rsidR="0013238B" w:rsidRPr="00677610" w14:paraId="2B2B19A5" w14:textId="77777777" w:rsidTr="00600EB5">
        <w:tc>
          <w:tcPr>
            <w:tcW w:w="1980" w:type="dxa"/>
            <w:tcBorders>
              <w:top w:val="single" w:sz="4" w:space="0" w:color="auto"/>
              <w:bottom w:val="single" w:sz="4" w:space="0" w:color="auto"/>
            </w:tcBorders>
          </w:tcPr>
          <w:p w14:paraId="018A77D4" w14:textId="77777777" w:rsidR="0013238B" w:rsidRPr="00677610" w:rsidRDefault="0013238B" w:rsidP="0013238B">
            <w:pPr>
              <w:spacing w:after="0" w:line="240" w:lineRule="auto"/>
              <w:jc w:val="center"/>
              <w:rPr>
                <w:rFonts w:ascii="Arial" w:hAnsi="Arial" w:cs="Arial"/>
                <w:bCs/>
                <w:sz w:val="20"/>
                <w:szCs w:val="20"/>
              </w:rPr>
            </w:pPr>
            <w:r w:rsidRPr="00677610">
              <w:rPr>
                <w:rFonts w:ascii="Arial" w:hAnsi="Arial" w:cs="Arial"/>
                <w:bCs/>
                <w:color w:val="000000"/>
                <w:sz w:val="20"/>
                <w:szCs w:val="20"/>
              </w:rPr>
              <w:t>Demographic characteristic</w:t>
            </w:r>
          </w:p>
        </w:tc>
        <w:tc>
          <w:tcPr>
            <w:tcW w:w="4262" w:type="dxa"/>
            <w:tcBorders>
              <w:top w:val="single" w:sz="4" w:space="0" w:color="auto"/>
              <w:bottom w:val="single" w:sz="4" w:space="0" w:color="auto"/>
            </w:tcBorders>
          </w:tcPr>
          <w:p w14:paraId="3823A7CE" w14:textId="77777777" w:rsidR="0013238B" w:rsidRPr="00677610" w:rsidRDefault="0013238B" w:rsidP="0013238B">
            <w:pPr>
              <w:spacing w:after="0" w:line="240" w:lineRule="auto"/>
              <w:jc w:val="center"/>
              <w:rPr>
                <w:rFonts w:ascii="Arial" w:hAnsi="Arial" w:cs="Arial"/>
                <w:bCs/>
                <w:sz w:val="20"/>
                <w:szCs w:val="20"/>
              </w:rPr>
            </w:pPr>
            <w:r w:rsidRPr="00677610">
              <w:rPr>
                <w:rFonts w:ascii="Arial" w:hAnsi="Arial" w:cs="Arial"/>
                <w:bCs/>
                <w:color w:val="000000"/>
                <w:sz w:val="20"/>
                <w:szCs w:val="20"/>
              </w:rPr>
              <w:t>Category</w:t>
            </w:r>
          </w:p>
        </w:tc>
        <w:tc>
          <w:tcPr>
            <w:tcW w:w="863" w:type="dxa"/>
            <w:tcBorders>
              <w:top w:val="single" w:sz="4" w:space="0" w:color="auto"/>
              <w:bottom w:val="single" w:sz="4" w:space="0" w:color="auto"/>
            </w:tcBorders>
          </w:tcPr>
          <w:p w14:paraId="4AE94E9F" w14:textId="77777777" w:rsidR="0013238B" w:rsidRPr="00677610" w:rsidRDefault="0013238B" w:rsidP="0013238B">
            <w:pPr>
              <w:spacing w:after="0" w:line="240" w:lineRule="auto"/>
              <w:jc w:val="center"/>
              <w:rPr>
                <w:rFonts w:ascii="Arial" w:hAnsi="Arial" w:cs="Arial"/>
                <w:bCs/>
                <w:sz w:val="20"/>
                <w:szCs w:val="20"/>
              </w:rPr>
            </w:pPr>
            <w:r w:rsidRPr="00677610">
              <w:rPr>
                <w:rFonts w:ascii="Arial" w:hAnsi="Arial" w:cs="Arial"/>
                <w:bCs/>
                <w:color w:val="000000"/>
                <w:sz w:val="20"/>
                <w:szCs w:val="20"/>
              </w:rPr>
              <w:t>n</w:t>
            </w:r>
          </w:p>
        </w:tc>
        <w:tc>
          <w:tcPr>
            <w:tcW w:w="863" w:type="dxa"/>
            <w:tcBorders>
              <w:top w:val="single" w:sz="4" w:space="0" w:color="auto"/>
              <w:bottom w:val="single" w:sz="4" w:space="0" w:color="auto"/>
            </w:tcBorders>
          </w:tcPr>
          <w:p w14:paraId="737A0552" w14:textId="77777777" w:rsidR="0013238B" w:rsidRPr="00677610" w:rsidRDefault="0013238B" w:rsidP="0013238B">
            <w:pPr>
              <w:spacing w:after="0" w:line="240" w:lineRule="auto"/>
              <w:jc w:val="center"/>
              <w:rPr>
                <w:rFonts w:ascii="Arial" w:hAnsi="Arial" w:cs="Arial"/>
                <w:bCs/>
                <w:sz w:val="20"/>
                <w:szCs w:val="20"/>
              </w:rPr>
            </w:pPr>
            <w:r w:rsidRPr="00677610">
              <w:rPr>
                <w:rFonts w:ascii="Arial" w:hAnsi="Arial" w:cs="Arial"/>
                <w:bCs/>
                <w:color w:val="000000"/>
                <w:sz w:val="20"/>
                <w:szCs w:val="20"/>
              </w:rPr>
              <w:t>%</w:t>
            </w:r>
          </w:p>
        </w:tc>
      </w:tr>
      <w:tr w:rsidR="0013238B" w:rsidRPr="00677610" w14:paraId="422A9D35" w14:textId="77777777" w:rsidTr="00600EB5">
        <w:tc>
          <w:tcPr>
            <w:tcW w:w="1980" w:type="dxa"/>
            <w:tcBorders>
              <w:top w:val="single" w:sz="4" w:space="0" w:color="auto"/>
            </w:tcBorders>
          </w:tcPr>
          <w:p w14:paraId="2F839659"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Subdistrict of residence</w:t>
            </w:r>
          </w:p>
        </w:tc>
        <w:tc>
          <w:tcPr>
            <w:tcW w:w="4262" w:type="dxa"/>
            <w:tcBorders>
              <w:top w:val="single" w:sz="4" w:space="0" w:color="auto"/>
            </w:tcBorders>
          </w:tcPr>
          <w:p w14:paraId="662BB224" w14:textId="77777777" w:rsidR="0013238B" w:rsidRPr="00677610" w:rsidRDefault="0013238B" w:rsidP="0013238B">
            <w:pPr>
              <w:spacing w:after="0" w:line="240" w:lineRule="auto"/>
              <w:jc w:val="both"/>
              <w:rPr>
                <w:rFonts w:ascii="Arial" w:hAnsi="Arial" w:cs="Arial"/>
                <w:sz w:val="20"/>
                <w:szCs w:val="20"/>
              </w:rPr>
            </w:pPr>
            <w:proofErr w:type="spellStart"/>
            <w:r w:rsidRPr="00677610">
              <w:rPr>
                <w:rFonts w:ascii="Arial" w:hAnsi="Arial" w:cs="Arial"/>
                <w:color w:val="000000"/>
                <w:sz w:val="20"/>
                <w:szCs w:val="20"/>
              </w:rPr>
              <w:t>Penajam</w:t>
            </w:r>
            <w:proofErr w:type="spellEnd"/>
          </w:p>
        </w:tc>
        <w:tc>
          <w:tcPr>
            <w:tcW w:w="863" w:type="dxa"/>
            <w:tcBorders>
              <w:top w:val="single" w:sz="4" w:space="0" w:color="auto"/>
            </w:tcBorders>
          </w:tcPr>
          <w:p w14:paraId="355DF8CE"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146</w:t>
            </w:r>
          </w:p>
        </w:tc>
        <w:tc>
          <w:tcPr>
            <w:tcW w:w="863" w:type="dxa"/>
            <w:tcBorders>
              <w:top w:val="single" w:sz="4" w:space="0" w:color="auto"/>
            </w:tcBorders>
          </w:tcPr>
          <w:p w14:paraId="711EB5A0"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44.4</w:t>
            </w:r>
          </w:p>
        </w:tc>
      </w:tr>
      <w:tr w:rsidR="0013238B" w:rsidRPr="00677610" w14:paraId="7DA0D8BF" w14:textId="77777777" w:rsidTr="00600EB5">
        <w:tc>
          <w:tcPr>
            <w:tcW w:w="1980" w:type="dxa"/>
          </w:tcPr>
          <w:p w14:paraId="77DDCB40" w14:textId="77777777" w:rsidR="0013238B" w:rsidRPr="00677610" w:rsidRDefault="0013238B" w:rsidP="0013238B">
            <w:pPr>
              <w:spacing w:after="0" w:line="240" w:lineRule="auto"/>
              <w:jc w:val="both"/>
              <w:rPr>
                <w:rFonts w:ascii="Arial" w:hAnsi="Arial" w:cs="Arial"/>
                <w:sz w:val="20"/>
                <w:szCs w:val="20"/>
              </w:rPr>
            </w:pPr>
          </w:p>
        </w:tc>
        <w:tc>
          <w:tcPr>
            <w:tcW w:w="4262" w:type="dxa"/>
          </w:tcPr>
          <w:p w14:paraId="12CB3DA7" w14:textId="77777777" w:rsidR="0013238B" w:rsidRPr="00677610" w:rsidRDefault="0013238B" w:rsidP="0013238B">
            <w:pPr>
              <w:spacing w:after="0" w:line="240" w:lineRule="auto"/>
              <w:jc w:val="both"/>
              <w:rPr>
                <w:rFonts w:ascii="Arial" w:hAnsi="Arial" w:cs="Arial"/>
                <w:sz w:val="20"/>
                <w:szCs w:val="20"/>
              </w:rPr>
            </w:pPr>
            <w:proofErr w:type="spellStart"/>
            <w:r w:rsidRPr="00677610">
              <w:rPr>
                <w:rFonts w:ascii="Arial" w:hAnsi="Arial" w:cs="Arial"/>
                <w:color w:val="000000"/>
                <w:sz w:val="20"/>
                <w:szCs w:val="20"/>
              </w:rPr>
              <w:t>Sepaku</w:t>
            </w:r>
            <w:proofErr w:type="spellEnd"/>
          </w:p>
        </w:tc>
        <w:tc>
          <w:tcPr>
            <w:tcW w:w="863" w:type="dxa"/>
          </w:tcPr>
          <w:p w14:paraId="1A08FC9F"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71</w:t>
            </w:r>
          </w:p>
        </w:tc>
        <w:tc>
          <w:tcPr>
            <w:tcW w:w="863" w:type="dxa"/>
          </w:tcPr>
          <w:p w14:paraId="65D02824"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21.6</w:t>
            </w:r>
          </w:p>
        </w:tc>
      </w:tr>
      <w:tr w:rsidR="0013238B" w:rsidRPr="00677610" w14:paraId="6B14E45E" w14:textId="77777777" w:rsidTr="00600EB5">
        <w:tc>
          <w:tcPr>
            <w:tcW w:w="1980" w:type="dxa"/>
          </w:tcPr>
          <w:p w14:paraId="1EA81844" w14:textId="77777777" w:rsidR="0013238B" w:rsidRPr="00677610" w:rsidRDefault="0013238B" w:rsidP="0013238B">
            <w:pPr>
              <w:spacing w:after="0" w:line="240" w:lineRule="auto"/>
              <w:jc w:val="both"/>
              <w:rPr>
                <w:rFonts w:ascii="Arial" w:hAnsi="Arial" w:cs="Arial"/>
                <w:sz w:val="20"/>
                <w:szCs w:val="20"/>
              </w:rPr>
            </w:pPr>
          </w:p>
        </w:tc>
        <w:tc>
          <w:tcPr>
            <w:tcW w:w="4262" w:type="dxa"/>
          </w:tcPr>
          <w:p w14:paraId="31B7AC5D" w14:textId="77777777" w:rsidR="0013238B" w:rsidRPr="00677610" w:rsidRDefault="0013238B" w:rsidP="0013238B">
            <w:pPr>
              <w:spacing w:after="0" w:line="240" w:lineRule="auto"/>
              <w:jc w:val="both"/>
              <w:rPr>
                <w:rFonts w:ascii="Arial" w:hAnsi="Arial" w:cs="Arial"/>
                <w:sz w:val="20"/>
                <w:szCs w:val="20"/>
              </w:rPr>
            </w:pPr>
            <w:proofErr w:type="spellStart"/>
            <w:r w:rsidRPr="00677610">
              <w:rPr>
                <w:rFonts w:ascii="Arial" w:hAnsi="Arial" w:cs="Arial"/>
                <w:color w:val="000000"/>
                <w:sz w:val="20"/>
                <w:szCs w:val="20"/>
              </w:rPr>
              <w:t>Babulu</w:t>
            </w:r>
            <w:proofErr w:type="spellEnd"/>
          </w:p>
        </w:tc>
        <w:tc>
          <w:tcPr>
            <w:tcW w:w="863" w:type="dxa"/>
          </w:tcPr>
          <w:p w14:paraId="6E5C4672"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61</w:t>
            </w:r>
          </w:p>
        </w:tc>
        <w:tc>
          <w:tcPr>
            <w:tcW w:w="863" w:type="dxa"/>
          </w:tcPr>
          <w:p w14:paraId="65077B5F"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18.5</w:t>
            </w:r>
          </w:p>
        </w:tc>
      </w:tr>
      <w:tr w:rsidR="0013238B" w:rsidRPr="00677610" w14:paraId="5310F497" w14:textId="77777777" w:rsidTr="00600EB5">
        <w:tc>
          <w:tcPr>
            <w:tcW w:w="1980" w:type="dxa"/>
          </w:tcPr>
          <w:p w14:paraId="1B89E9D4" w14:textId="77777777" w:rsidR="0013238B" w:rsidRPr="00677610" w:rsidRDefault="0013238B" w:rsidP="0013238B">
            <w:pPr>
              <w:spacing w:after="0" w:line="240" w:lineRule="auto"/>
              <w:jc w:val="both"/>
              <w:rPr>
                <w:rFonts w:ascii="Arial" w:hAnsi="Arial" w:cs="Arial"/>
                <w:sz w:val="20"/>
                <w:szCs w:val="20"/>
              </w:rPr>
            </w:pPr>
          </w:p>
        </w:tc>
        <w:tc>
          <w:tcPr>
            <w:tcW w:w="4262" w:type="dxa"/>
          </w:tcPr>
          <w:p w14:paraId="14DC3147" w14:textId="77777777" w:rsidR="0013238B" w:rsidRPr="00677610" w:rsidRDefault="0013238B" w:rsidP="0013238B">
            <w:pPr>
              <w:spacing w:after="0" w:line="240" w:lineRule="auto"/>
              <w:jc w:val="both"/>
              <w:rPr>
                <w:rFonts w:ascii="Arial" w:hAnsi="Arial" w:cs="Arial"/>
                <w:sz w:val="20"/>
                <w:szCs w:val="20"/>
              </w:rPr>
            </w:pPr>
            <w:proofErr w:type="spellStart"/>
            <w:r w:rsidRPr="00677610">
              <w:rPr>
                <w:rFonts w:ascii="Arial" w:hAnsi="Arial" w:cs="Arial"/>
                <w:color w:val="000000"/>
                <w:sz w:val="20"/>
                <w:szCs w:val="20"/>
              </w:rPr>
              <w:t>Waru</w:t>
            </w:r>
            <w:proofErr w:type="spellEnd"/>
          </w:p>
        </w:tc>
        <w:tc>
          <w:tcPr>
            <w:tcW w:w="863" w:type="dxa"/>
          </w:tcPr>
          <w:p w14:paraId="5E5B1A4D"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51</w:t>
            </w:r>
          </w:p>
        </w:tc>
        <w:tc>
          <w:tcPr>
            <w:tcW w:w="863" w:type="dxa"/>
          </w:tcPr>
          <w:p w14:paraId="680CEDF0"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15.5</w:t>
            </w:r>
          </w:p>
        </w:tc>
      </w:tr>
      <w:tr w:rsidR="0013238B" w:rsidRPr="00677610" w14:paraId="67F69B4B" w14:textId="77777777" w:rsidTr="00600EB5">
        <w:tc>
          <w:tcPr>
            <w:tcW w:w="1980" w:type="dxa"/>
          </w:tcPr>
          <w:p w14:paraId="4C842DFB"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Educational attainment</w:t>
            </w:r>
          </w:p>
        </w:tc>
        <w:tc>
          <w:tcPr>
            <w:tcW w:w="4262" w:type="dxa"/>
          </w:tcPr>
          <w:p w14:paraId="05E4C9F5"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Bachelor’s degree</w:t>
            </w:r>
          </w:p>
        </w:tc>
        <w:tc>
          <w:tcPr>
            <w:tcW w:w="863" w:type="dxa"/>
          </w:tcPr>
          <w:p w14:paraId="35247254"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129</w:t>
            </w:r>
          </w:p>
        </w:tc>
        <w:tc>
          <w:tcPr>
            <w:tcW w:w="863" w:type="dxa"/>
          </w:tcPr>
          <w:p w14:paraId="5242CE71"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39.2</w:t>
            </w:r>
          </w:p>
        </w:tc>
      </w:tr>
      <w:tr w:rsidR="0013238B" w:rsidRPr="00677610" w14:paraId="776E5C76" w14:textId="77777777" w:rsidTr="00600EB5">
        <w:tc>
          <w:tcPr>
            <w:tcW w:w="1980" w:type="dxa"/>
          </w:tcPr>
          <w:p w14:paraId="7AB068B4" w14:textId="77777777" w:rsidR="0013238B" w:rsidRPr="00677610" w:rsidRDefault="0013238B" w:rsidP="0013238B">
            <w:pPr>
              <w:spacing w:after="0" w:line="240" w:lineRule="auto"/>
              <w:jc w:val="both"/>
              <w:rPr>
                <w:rFonts w:ascii="Arial" w:hAnsi="Arial" w:cs="Arial"/>
                <w:sz w:val="20"/>
                <w:szCs w:val="20"/>
              </w:rPr>
            </w:pPr>
          </w:p>
        </w:tc>
        <w:tc>
          <w:tcPr>
            <w:tcW w:w="4262" w:type="dxa"/>
          </w:tcPr>
          <w:p w14:paraId="5CADC723"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Senior high school / vocational</w:t>
            </w:r>
          </w:p>
        </w:tc>
        <w:tc>
          <w:tcPr>
            <w:tcW w:w="863" w:type="dxa"/>
          </w:tcPr>
          <w:p w14:paraId="11BD6C66"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117</w:t>
            </w:r>
          </w:p>
        </w:tc>
        <w:tc>
          <w:tcPr>
            <w:tcW w:w="863" w:type="dxa"/>
          </w:tcPr>
          <w:p w14:paraId="2AF44100"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35.6</w:t>
            </w:r>
          </w:p>
        </w:tc>
      </w:tr>
      <w:tr w:rsidR="0013238B" w:rsidRPr="00677610" w14:paraId="65047F76" w14:textId="77777777" w:rsidTr="00600EB5">
        <w:tc>
          <w:tcPr>
            <w:tcW w:w="1980" w:type="dxa"/>
          </w:tcPr>
          <w:p w14:paraId="5FDE154C" w14:textId="77777777" w:rsidR="0013238B" w:rsidRPr="00677610" w:rsidRDefault="0013238B" w:rsidP="0013238B">
            <w:pPr>
              <w:spacing w:after="0" w:line="240" w:lineRule="auto"/>
              <w:jc w:val="both"/>
              <w:rPr>
                <w:rFonts w:ascii="Arial" w:hAnsi="Arial" w:cs="Arial"/>
                <w:sz w:val="20"/>
                <w:szCs w:val="20"/>
              </w:rPr>
            </w:pPr>
          </w:p>
        </w:tc>
        <w:tc>
          <w:tcPr>
            <w:tcW w:w="4262" w:type="dxa"/>
          </w:tcPr>
          <w:p w14:paraId="65E3FD51"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Diploma (D3/D4 equivalent)</w:t>
            </w:r>
          </w:p>
        </w:tc>
        <w:tc>
          <w:tcPr>
            <w:tcW w:w="863" w:type="dxa"/>
          </w:tcPr>
          <w:p w14:paraId="7679FE2A"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66</w:t>
            </w:r>
          </w:p>
        </w:tc>
        <w:tc>
          <w:tcPr>
            <w:tcW w:w="863" w:type="dxa"/>
          </w:tcPr>
          <w:p w14:paraId="4118871F"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20.1</w:t>
            </w:r>
          </w:p>
        </w:tc>
      </w:tr>
      <w:tr w:rsidR="0013238B" w:rsidRPr="00677610" w14:paraId="75343440" w14:textId="77777777" w:rsidTr="00600EB5">
        <w:tc>
          <w:tcPr>
            <w:tcW w:w="1980" w:type="dxa"/>
          </w:tcPr>
          <w:p w14:paraId="789AAB7A" w14:textId="77777777" w:rsidR="0013238B" w:rsidRPr="00677610" w:rsidRDefault="0013238B" w:rsidP="0013238B">
            <w:pPr>
              <w:spacing w:after="0" w:line="240" w:lineRule="auto"/>
              <w:jc w:val="both"/>
              <w:rPr>
                <w:rFonts w:ascii="Arial" w:hAnsi="Arial" w:cs="Arial"/>
                <w:sz w:val="20"/>
                <w:szCs w:val="20"/>
              </w:rPr>
            </w:pPr>
          </w:p>
        </w:tc>
        <w:tc>
          <w:tcPr>
            <w:tcW w:w="4262" w:type="dxa"/>
          </w:tcPr>
          <w:p w14:paraId="60B170D0" w14:textId="36599379" w:rsidR="0013238B" w:rsidRPr="00677610" w:rsidRDefault="00F25C56" w:rsidP="0013238B">
            <w:pPr>
              <w:spacing w:after="0" w:line="240" w:lineRule="auto"/>
              <w:jc w:val="both"/>
              <w:rPr>
                <w:rFonts w:ascii="Arial" w:hAnsi="Arial" w:cs="Arial"/>
                <w:sz w:val="20"/>
                <w:szCs w:val="20"/>
              </w:rPr>
            </w:pPr>
            <w:r w:rsidRPr="00677610">
              <w:rPr>
                <w:rFonts w:ascii="Arial" w:hAnsi="Arial" w:cs="Arial"/>
                <w:color w:val="000000"/>
                <w:sz w:val="20"/>
                <w:szCs w:val="20"/>
              </w:rPr>
              <w:t>Postgraduate/professional</w:t>
            </w:r>
          </w:p>
        </w:tc>
        <w:tc>
          <w:tcPr>
            <w:tcW w:w="863" w:type="dxa"/>
          </w:tcPr>
          <w:p w14:paraId="1241C165"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17</w:t>
            </w:r>
          </w:p>
        </w:tc>
        <w:tc>
          <w:tcPr>
            <w:tcW w:w="863" w:type="dxa"/>
          </w:tcPr>
          <w:p w14:paraId="7FA4ED65"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5.2</w:t>
            </w:r>
          </w:p>
        </w:tc>
      </w:tr>
      <w:tr w:rsidR="0013238B" w:rsidRPr="00677610" w14:paraId="34CE7D04" w14:textId="77777777" w:rsidTr="00600EB5">
        <w:tc>
          <w:tcPr>
            <w:tcW w:w="1980" w:type="dxa"/>
          </w:tcPr>
          <w:p w14:paraId="6EC55F20"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Occupation</w:t>
            </w:r>
          </w:p>
        </w:tc>
        <w:tc>
          <w:tcPr>
            <w:tcW w:w="4262" w:type="dxa"/>
          </w:tcPr>
          <w:p w14:paraId="24DF53C6"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Self-employed / entrepreneur</w:t>
            </w:r>
          </w:p>
        </w:tc>
        <w:tc>
          <w:tcPr>
            <w:tcW w:w="863" w:type="dxa"/>
          </w:tcPr>
          <w:p w14:paraId="269DA43B"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112</w:t>
            </w:r>
          </w:p>
        </w:tc>
        <w:tc>
          <w:tcPr>
            <w:tcW w:w="863" w:type="dxa"/>
          </w:tcPr>
          <w:p w14:paraId="08B221FC"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34.0</w:t>
            </w:r>
          </w:p>
        </w:tc>
      </w:tr>
      <w:tr w:rsidR="0013238B" w:rsidRPr="00677610" w14:paraId="1DFB8D3A" w14:textId="77777777" w:rsidTr="00600EB5">
        <w:tc>
          <w:tcPr>
            <w:tcW w:w="1980" w:type="dxa"/>
          </w:tcPr>
          <w:p w14:paraId="709ECC54" w14:textId="77777777" w:rsidR="0013238B" w:rsidRPr="00677610" w:rsidRDefault="0013238B" w:rsidP="0013238B">
            <w:pPr>
              <w:spacing w:after="0" w:line="240" w:lineRule="auto"/>
              <w:jc w:val="both"/>
              <w:rPr>
                <w:rFonts w:ascii="Arial" w:hAnsi="Arial" w:cs="Arial"/>
                <w:sz w:val="20"/>
                <w:szCs w:val="20"/>
              </w:rPr>
            </w:pPr>
          </w:p>
        </w:tc>
        <w:tc>
          <w:tcPr>
            <w:tcW w:w="4262" w:type="dxa"/>
          </w:tcPr>
          <w:p w14:paraId="1711B678"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Private-sector employee</w:t>
            </w:r>
          </w:p>
        </w:tc>
        <w:tc>
          <w:tcPr>
            <w:tcW w:w="863" w:type="dxa"/>
          </w:tcPr>
          <w:p w14:paraId="1D91C820"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96</w:t>
            </w:r>
          </w:p>
        </w:tc>
        <w:tc>
          <w:tcPr>
            <w:tcW w:w="863" w:type="dxa"/>
          </w:tcPr>
          <w:p w14:paraId="7CB745BE"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29.2</w:t>
            </w:r>
          </w:p>
        </w:tc>
      </w:tr>
      <w:tr w:rsidR="0013238B" w:rsidRPr="00677610" w14:paraId="5CC4D053" w14:textId="77777777" w:rsidTr="00600EB5">
        <w:tc>
          <w:tcPr>
            <w:tcW w:w="1980" w:type="dxa"/>
          </w:tcPr>
          <w:p w14:paraId="56659FA5" w14:textId="77777777" w:rsidR="0013238B" w:rsidRPr="00677610" w:rsidRDefault="0013238B" w:rsidP="0013238B">
            <w:pPr>
              <w:spacing w:after="0" w:line="240" w:lineRule="auto"/>
              <w:jc w:val="both"/>
              <w:rPr>
                <w:rFonts w:ascii="Arial" w:hAnsi="Arial" w:cs="Arial"/>
                <w:sz w:val="20"/>
                <w:szCs w:val="20"/>
              </w:rPr>
            </w:pPr>
          </w:p>
        </w:tc>
        <w:tc>
          <w:tcPr>
            <w:tcW w:w="4262" w:type="dxa"/>
          </w:tcPr>
          <w:p w14:paraId="13AA51EA"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Professional / construction-related</w:t>
            </w:r>
          </w:p>
        </w:tc>
        <w:tc>
          <w:tcPr>
            <w:tcW w:w="863" w:type="dxa"/>
          </w:tcPr>
          <w:p w14:paraId="081530BD"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49</w:t>
            </w:r>
          </w:p>
        </w:tc>
        <w:tc>
          <w:tcPr>
            <w:tcW w:w="863" w:type="dxa"/>
          </w:tcPr>
          <w:p w14:paraId="2FFB7503"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14.9</w:t>
            </w:r>
          </w:p>
        </w:tc>
      </w:tr>
      <w:tr w:rsidR="0013238B" w:rsidRPr="00677610" w14:paraId="3955BF59" w14:textId="77777777" w:rsidTr="00600EB5">
        <w:tc>
          <w:tcPr>
            <w:tcW w:w="1980" w:type="dxa"/>
          </w:tcPr>
          <w:p w14:paraId="0578F100" w14:textId="77777777" w:rsidR="0013238B" w:rsidRPr="00677610" w:rsidRDefault="0013238B" w:rsidP="0013238B">
            <w:pPr>
              <w:spacing w:after="0" w:line="240" w:lineRule="auto"/>
              <w:jc w:val="both"/>
              <w:rPr>
                <w:rFonts w:ascii="Arial" w:hAnsi="Arial" w:cs="Arial"/>
                <w:sz w:val="20"/>
                <w:szCs w:val="20"/>
              </w:rPr>
            </w:pPr>
          </w:p>
        </w:tc>
        <w:tc>
          <w:tcPr>
            <w:tcW w:w="4262" w:type="dxa"/>
          </w:tcPr>
          <w:p w14:paraId="0BC22F3F"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Civil servant (government employee)</w:t>
            </w:r>
          </w:p>
        </w:tc>
        <w:tc>
          <w:tcPr>
            <w:tcW w:w="863" w:type="dxa"/>
          </w:tcPr>
          <w:p w14:paraId="339B37BD"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44</w:t>
            </w:r>
          </w:p>
        </w:tc>
        <w:tc>
          <w:tcPr>
            <w:tcW w:w="863" w:type="dxa"/>
          </w:tcPr>
          <w:p w14:paraId="64B61BCF"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13.4</w:t>
            </w:r>
          </w:p>
        </w:tc>
      </w:tr>
      <w:tr w:rsidR="0013238B" w:rsidRPr="00677610" w14:paraId="068FCBA7" w14:textId="77777777" w:rsidTr="00600EB5">
        <w:tc>
          <w:tcPr>
            <w:tcW w:w="1980" w:type="dxa"/>
          </w:tcPr>
          <w:p w14:paraId="299A896F" w14:textId="77777777" w:rsidR="0013238B" w:rsidRPr="00677610" w:rsidRDefault="0013238B" w:rsidP="0013238B">
            <w:pPr>
              <w:spacing w:after="0" w:line="240" w:lineRule="auto"/>
              <w:jc w:val="both"/>
              <w:rPr>
                <w:rFonts w:ascii="Arial" w:hAnsi="Arial" w:cs="Arial"/>
                <w:sz w:val="20"/>
                <w:szCs w:val="20"/>
              </w:rPr>
            </w:pPr>
          </w:p>
        </w:tc>
        <w:tc>
          <w:tcPr>
            <w:tcW w:w="4262" w:type="dxa"/>
          </w:tcPr>
          <w:p w14:paraId="28972178"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Freelance worker</w:t>
            </w:r>
          </w:p>
        </w:tc>
        <w:tc>
          <w:tcPr>
            <w:tcW w:w="863" w:type="dxa"/>
          </w:tcPr>
          <w:p w14:paraId="48EBD0A2"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25</w:t>
            </w:r>
          </w:p>
        </w:tc>
        <w:tc>
          <w:tcPr>
            <w:tcW w:w="863" w:type="dxa"/>
          </w:tcPr>
          <w:p w14:paraId="19AFC11A"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7.6</w:t>
            </w:r>
          </w:p>
        </w:tc>
      </w:tr>
      <w:tr w:rsidR="0013238B" w:rsidRPr="00677610" w14:paraId="10407B6F" w14:textId="77777777" w:rsidTr="00600EB5">
        <w:tc>
          <w:tcPr>
            <w:tcW w:w="1980" w:type="dxa"/>
          </w:tcPr>
          <w:p w14:paraId="55848AE7" w14:textId="77777777" w:rsidR="0013238B" w:rsidRPr="00677610" w:rsidRDefault="0013238B" w:rsidP="0013238B">
            <w:pPr>
              <w:spacing w:after="0" w:line="240" w:lineRule="auto"/>
              <w:jc w:val="both"/>
              <w:rPr>
                <w:rFonts w:ascii="Arial" w:hAnsi="Arial" w:cs="Arial"/>
                <w:sz w:val="20"/>
                <w:szCs w:val="20"/>
              </w:rPr>
            </w:pPr>
          </w:p>
        </w:tc>
        <w:tc>
          <w:tcPr>
            <w:tcW w:w="4262" w:type="dxa"/>
          </w:tcPr>
          <w:p w14:paraId="58D19376"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State-owned enterprise employee</w:t>
            </w:r>
          </w:p>
        </w:tc>
        <w:tc>
          <w:tcPr>
            <w:tcW w:w="863" w:type="dxa"/>
          </w:tcPr>
          <w:p w14:paraId="7B130402"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3</w:t>
            </w:r>
          </w:p>
        </w:tc>
        <w:tc>
          <w:tcPr>
            <w:tcW w:w="863" w:type="dxa"/>
          </w:tcPr>
          <w:p w14:paraId="238DC161"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0.9</w:t>
            </w:r>
          </w:p>
        </w:tc>
      </w:tr>
      <w:tr w:rsidR="0013238B" w:rsidRPr="00677610" w14:paraId="5FFAC310" w14:textId="77777777" w:rsidTr="00600EB5">
        <w:tc>
          <w:tcPr>
            <w:tcW w:w="1980" w:type="dxa"/>
          </w:tcPr>
          <w:p w14:paraId="14CC18F5"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lastRenderedPageBreak/>
              <w:t>Household dependents</w:t>
            </w:r>
          </w:p>
        </w:tc>
        <w:tc>
          <w:tcPr>
            <w:tcW w:w="4262" w:type="dxa"/>
          </w:tcPr>
          <w:p w14:paraId="74E63B5A"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0–2 persons</w:t>
            </w:r>
          </w:p>
        </w:tc>
        <w:tc>
          <w:tcPr>
            <w:tcW w:w="863" w:type="dxa"/>
          </w:tcPr>
          <w:p w14:paraId="3F7FEF6B"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99</w:t>
            </w:r>
          </w:p>
        </w:tc>
        <w:tc>
          <w:tcPr>
            <w:tcW w:w="863" w:type="dxa"/>
          </w:tcPr>
          <w:p w14:paraId="2A10C24D"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30.1</w:t>
            </w:r>
          </w:p>
        </w:tc>
      </w:tr>
      <w:tr w:rsidR="0013238B" w:rsidRPr="00677610" w14:paraId="1044C0F9" w14:textId="77777777" w:rsidTr="00600EB5">
        <w:tc>
          <w:tcPr>
            <w:tcW w:w="1980" w:type="dxa"/>
          </w:tcPr>
          <w:p w14:paraId="321A1468" w14:textId="77777777" w:rsidR="0013238B" w:rsidRPr="00677610" w:rsidRDefault="0013238B" w:rsidP="0013238B">
            <w:pPr>
              <w:spacing w:after="0" w:line="240" w:lineRule="auto"/>
              <w:jc w:val="both"/>
              <w:rPr>
                <w:rFonts w:ascii="Arial" w:hAnsi="Arial" w:cs="Arial"/>
                <w:sz w:val="20"/>
                <w:szCs w:val="20"/>
              </w:rPr>
            </w:pPr>
          </w:p>
        </w:tc>
        <w:tc>
          <w:tcPr>
            <w:tcW w:w="4262" w:type="dxa"/>
          </w:tcPr>
          <w:p w14:paraId="2D8D9A39"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3–4 persons</w:t>
            </w:r>
          </w:p>
        </w:tc>
        <w:tc>
          <w:tcPr>
            <w:tcW w:w="863" w:type="dxa"/>
          </w:tcPr>
          <w:p w14:paraId="2C623847"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164</w:t>
            </w:r>
          </w:p>
        </w:tc>
        <w:tc>
          <w:tcPr>
            <w:tcW w:w="863" w:type="dxa"/>
          </w:tcPr>
          <w:p w14:paraId="4F15BEC7"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49.8</w:t>
            </w:r>
          </w:p>
        </w:tc>
      </w:tr>
      <w:tr w:rsidR="0013238B" w:rsidRPr="00677610" w14:paraId="13F995F6" w14:textId="77777777" w:rsidTr="00600EB5">
        <w:tc>
          <w:tcPr>
            <w:tcW w:w="1980" w:type="dxa"/>
          </w:tcPr>
          <w:p w14:paraId="38ABBA6B" w14:textId="77777777" w:rsidR="0013238B" w:rsidRPr="00677610" w:rsidRDefault="0013238B" w:rsidP="0013238B">
            <w:pPr>
              <w:spacing w:after="0" w:line="240" w:lineRule="auto"/>
              <w:jc w:val="both"/>
              <w:rPr>
                <w:rFonts w:ascii="Arial" w:hAnsi="Arial" w:cs="Arial"/>
                <w:sz w:val="20"/>
                <w:szCs w:val="20"/>
              </w:rPr>
            </w:pPr>
          </w:p>
        </w:tc>
        <w:tc>
          <w:tcPr>
            <w:tcW w:w="4262" w:type="dxa"/>
          </w:tcPr>
          <w:p w14:paraId="2F1B69EC"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≥5 persons</w:t>
            </w:r>
          </w:p>
        </w:tc>
        <w:tc>
          <w:tcPr>
            <w:tcW w:w="863" w:type="dxa"/>
          </w:tcPr>
          <w:p w14:paraId="49BB4E69"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66</w:t>
            </w:r>
          </w:p>
        </w:tc>
        <w:tc>
          <w:tcPr>
            <w:tcW w:w="863" w:type="dxa"/>
          </w:tcPr>
          <w:p w14:paraId="31BBFD85" w14:textId="77777777" w:rsidR="0013238B" w:rsidRPr="00677610" w:rsidRDefault="0013238B" w:rsidP="0013238B">
            <w:pPr>
              <w:spacing w:after="0" w:line="240" w:lineRule="auto"/>
              <w:jc w:val="both"/>
              <w:rPr>
                <w:rFonts w:ascii="Arial" w:hAnsi="Arial" w:cs="Arial"/>
                <w:sz w:val="20"/>
                <w:szCs w:val="20"/>
              </w:rPr>
            </w:pPr>
            <w:r w:rsidRPr="00677610">
              <w:rPr>
                <w:rFonts w:ascii="Arial" w:hAnsi="Arial" w:cs="Arial"/>
                <w:color w:val="000000"/>
                <w:sz w:val="20"/>
                <w:szCs w:val="20"/>
              </w:rPr>
              <w:t>20.1</w:t>
            </w:r>
          </w:p>
        </w:tc>
      </w:tr>
    </w:tbl>
    <w:p w14:paraId="68FAAC25" w14:textId="77777777" w:rsidR="0013238B" w:rsidRPr="00677610" w:rsidRDefault="0013238B" w:rsidP="0013238B">
      <w:pPr>
        <w:spacing w:line="240" w:lineRule="auto"/>
        <w:ind w:firstLine="720"/>
        <w:rPr>
          <w:rFonts w:ascii="Arial" w:hAnsi="Arial" w:cs="Arial"/>
          <w:sz w:val="20"/>
          <w:szCs w:val="20"/>
        </w:rPr>
      </w:pPr>
      <w:r w:rsidRPr="00677610">
        <w:rPr>
          <w:rFonts w:ascii="Arial" w:hAnsi="Arial" w:cs="Arial"/>
          <w:i/>
          <w:sz w:val="20"/>
          <w:szCs w:val="20"/>
        </w:rPr>
        <w:t>Source: Research Data, 2025.</w:t>
      </w:r>
    </w:p>
    <w:p w14:paraId="73AB06F7" w14:textId="77777777" w:rsidR="0013238B" w:rsidRPr="00677610" w:rsidRDefault="0013238B" w:rsidP="0013238B">
      <w:pPr>
        <w:spacing w:after="0" w:line="240" w:lineRule="auto"/>
        <w:jc w:val="both"/>
        <w:rPr>
          <w:rFonts w:ascii="Arial" w:hAnsi="Arial" w:cs="Arial"/>
          <w:sz w:val="20"/>
          <w:szCs w:val="20"/>
        </w:rPr>
      </w:pPr>
    </w:p>
    <w:p w14:paraId="033737C8" w14:textId="77777777" w:rsidR="0013238B" w:rsidRPr="00677610" w:rsidRDefault="0013238B" w:rsidP="0013238B">
      <w:pPr>
        <w:pStyle w:val="ListParagraph"/>
        <w:numPr>
          <w:ilvl w:val="0"/>
          <w:numId w:val="18"/>
        </w:numPr>
        <w:spacing w:after="0" w:line="240" w:lineRule="auto"/>
        <w:ind w:left="491" w:hanging="491"/>
        <w:jc w:val="both"/>
        <w:rPr>
          <w:rFonts w:ascii="Arial" w:hAnsi="Arial" w:cs="Arial"/>
          <w:b/>
          <w:bCs/>
          <w:sz w:val="20"/>
          <w:szCs w:val="20"/>
        </w:rPr>
      </w:pPr>
      <w:r w:rsidRPr="00677610">
        <w:rPr>
          <w:rFonts w:ascii="Arial" w:hAnsi="Arial" w:cs="Arial"/>
          <w:b/>
          <w:bCs/>
          <w:sz w:val="20"/>
          <w:szCs w:val="20"/>
        </w:rPr>
        <w:t>Descriptive Analysis of Research Variables</w:t>
      </w:r>
    </w:p>
    <w:p w14:paraId="7863A57B" w14:textId="77777777" w:rsidR="0013238B" w:rsidRPr="00677610" w:rsidRDefault="0013238B" w:rsidP="0013238B">
      <w:pPr>
        <w:spacing w:after="0" w:line="240" w:lineRule="auto"/>
        <w:ind w:firstLine="720"/>
        <w:contextualSpacing/>
        <w:jc w:val="both"/>
        <w:rPr>
          <w:rFonts w:ascii="Arial" w:hAnsi="Arial" w:cs="Arial"/>
          <w:sz w:val="20"/>
          <w:szCs w:val="20"/>
        </w:rPr>
      </w:pPr>
      <w:r w:rsidRPr="00677610">
        <w:rPr>
          <w:rFonts w:ascii="Arial" w:hAnsi="Arial" w:cs="Arial"/>
          <w:sz w:val="20"/>
          <w:szCs w:val="20"/>
        </w:rPr>
        <w:t>Table 2 displays descriptive statistics (mean scores and achievement percentages) for the four latent components identified in the final structural model: Community Skills, Community Motivation, Community Education, and Community Readiness. Dimension-level summaries are included to offer a succinct summary of each construct's internal profile and to contextualize subsequent structural-path analyses.</w:t>
      </w:r>
    </w:p>
    <w:p w14:paraId="21D057E0" w14:textId="77777777" w:rsidR="0013238B" w:rsidRPr="00677610" w:rsidRDefault="0013238B" w:rsidP="0013238B">
      <w:pPr>
        <w:spacing w:line="240" w:lineRule="auto"/>
        <w:ind w:firstLine="720"/>
        <w:rPr>
          <w:rFonts w:ascii="Arial" w:hAnsi="Arial" w:cs="Arial"/>
          <w:bCs/>
          <w:sz w:val="20"/>
          <w:szCs w:val="20"/>
        </w:rPr>
      </w:pPr>
      <w:r w:rsidRPr="00677610">
        <w:rPr>
          <w:rFonts w:ascii="Arial" w:hAnsi="Arial" w:cs="Arial"/>
          <w:bCs/>
          <w:sz w:val="20"/>
          <w:szCs w:val="20"/>
        </w:rPr>
        <w:t>Table 2. Descriptive Statistics of Research Variables</w:t>
      </w:r>
    </w:p>
    <w:tbl>
      <w:tblPr>
        <w:tblW w:w="8414" w:type="dxa"/>
        <w:tblInd w:w="426" w:type="dxa"/>
        <w:tblBorders>
          <w:top w:val="single" w:sz="8" w:space="0" w:color="000000"/>
          <w:bottom w:val="single" w:sz="8" w:space="0" w:color="000000"/>
        </w:tblBorders>
        <w:tblLook w:val="04A0" w:firstRow="1" w:lastRow="0" w:firstColumn="1" w:lastColumn="0" w:noHBand="0" w:noVBand="1"/>
      </w:tblPr>
      <w:tblGrid>
        <w:gridCol w:w="2268"/>
        <w:gridCol w:w="2268"/>
        <w:gridCol w:w="1185"/>
        <w:gridCol w:w="1468"/>
        <w:gridCol w:w="1225"/>
      </w:tblGrid>
      <w:tr w:rsidR="0013238B" w:rsidRPr="00677610" w14:paraId="25600426" w14:textId="77777777" w:rsidTr="00600EB5">
        <w:tc>
          <w:tcPr>
            <w:tcW w:w="2268" w:type="dxa"/>
            <w:tcBorders>
              <w:top w:val="single" w:sz="8" w:space="0" w:color="000000"/>
              <w:bottom w:val="single" w:sz="8" w:space="0" w:color="000000"/>
            </w:tcBorders>
          </w:tcPr>
          <w:p w14:paraId="50C7DE0D" w14:textId="77777777" w:rsidR="0013238B" w:rsidRPr="00677610" w:rsidRDefault="0013238B" w:rsidP="0013238B">
            <w:pPr>
              <w:spacing w:after="0" w:line="240" w:lineRule="auto"/>
              <w:rPr>
                <w:rFonts w:ascii="Arial" w:hAnsi="Arial" w:cs="Arial"/>
                <w:bCs/>
                <w:sz w:val="20"/>
                <w:szCs w:val="20"/>
              </w:rPr>
            </w:pPr>
            <w:r w:rsidRPr="00677610">
              <w:rPr>
                <w:rFonts w:ascii="Arial" w:hAnsi="Arial" w:cs="Arial"/>
                <w:bCs/>
                <w:color w:val="000000"/>
                <w:sz w:val="20"/>
                <w:szCs w:val="20"/>
              </w:rPr>
              <w:t>Construct</w:t>
            </w:r>
          </w:p>
        </w:tc>
        <w:tc>
          <w:tcPr>
            <w:tcW w:w="2268" w:type="dxa"/>
            <w:tcBorders>
              <w:top w:val="single" w:sz="8" w:space="0" w:color="000000"/>
              <w:bottom w:val="single" w:sz="8" w:space="0" w:color="000000"/>
            </w:tcBorders>
          </w:tcPr>
          <w:p w14:paraId="1E9E82F9" w14:textId="77777777" w:rsidR="0013238B" w:rsidRPr="00677610" w:rsidRDefault="0013238B" w:rsidP="0013238B">
            <w:pPr>
              <w:spacing w:after="0" w:line="240" w:lineRule="auto"/>
              <w:rPr>
                <w:rFonts w:ascii="Arial" w:hAnsi="Arial" w:cs="Arial"/>
                <w:bCs/>
                <w:sz w:val="20"/>
                <w:szCs w:val="20"/>
              </w:rPr>
            </w:pPr>
            <w:r w:rsidRPr="00677610">
              <w:rPr>
                <w:rFonts w:ascii="Arial" w:hAnsi="Arial" w:cs="Arial"/>
                <w:bCs/>
                <w:color w:val="000000"/>
                <w:sz w:val="20"/>
                <w:szCs w:val="20"/>
              </w:rPr>
              <w:t>Indicator / Dimension</w:t>
            </w:r>
          </w:p>
        </w:tc>
        <w:tc>
          <w:tcPr>
            <w:tcW w:w="1185" w:type="dxa"/>
            <w:tcBorders>
              <w:top w:val="single" w:sz="8" w:space="0" w:color="000000"/>
              <w:bottom w:val="single" w:sz="8" w:space="0" w:color="000000"/>
            </w:tcBorders>
          </w:tcPr>
          <w:p w14:paraId="421353AA" w14:textId="77777777" w:rsidR="0013238B" w:rsidRPr="00677610" w:rsidRDefault="0013238B" w:rsidP="0013238B">
            <w:pPr>
              <w:spacing w:after="0" w:line="240" w:lineRule="auto"/>
              <w:rPr>
                <w:rFonts w:ascii="Arial" w:hAnsi="Arial" w:cs="Arial"/>
                <w:bCs/>
                <w:sz w:val="20"/>
                <w:szCs w:val="20"/>
              </w:rPr>
            </w:pPr>
            <w:r w:rsidRPr="00677610">
              <w:rPr>
                <w:rFonts w:ascii="Arial" w:hAnsi="Arial" w:cs="Arial"/>
                <w:bCs/>
                <w:color w:val="000000"/>
                <w:sz w:val="20"/>
                <w:szCs w:val="20"/>
              </w:rPr>
              <w:t>Mean score</w:t>
            </w:r>
          </w:p>
        </w:tc>
        <w:tc>
          <w:tcPr>
            <w:tcW w:w="1468" w:type="dxa"/>
            <w:tcBorders>
              <w:top w:val="single" w:sz="8" w:space="0" w:color="000000"/>
              <w:bottom w:val="single" w:sz="8" w:space="0" w:color="000000"/>
            </w:tcBorders>
          </w:tcPr>
          <w:p w14:paraId="7A7D65FD" w14:textId="77777777" w:rsidR="0013238B" w:rsidRPr="00677610" w:rsidRDefault="0013238B" w:rsidP="0013238B">
            <w:pPr>
              <w:spacing w:after="0" w:line="240" w:lineRule="auto"/>
              <w:rPr>
                <w:rFonts w:ascii="Arial" w:hAnsi="Arial" w:cs="Arial"/>
                <w:bCs/>
                <w:sz w:val="20"/>
                <w:szCs w:val="20"/>
              </w:rPr>
            </w:pPr>
            <w:r w:rsidRPr="00677610">
              <w:rPr>
                <w:rFonts w:ascii="Arial" w:hAnsi="Arial" w:cs="Arial"/>
                <w:bCs/>
                <w:color w:val="000000"/>
                <w:sz w:val="20"/>
                <w:szCs w:val="20"/>
              </w:rPr>
              <w:t>Achievement (%)</w:t>
            </w:r>
          </w:p>
        </w:tc>
        <w:tc>
          <w:tcPr>
            <w:tcW w:w="1225" w:type="dxa"/>
            <w:tcBorders>
              <w:top w:val="single" w:sz="8" w:space="0" w:color="000000"/>
              <w:bottom w:val="single" w:sz="8" w:space="0" w:color="000000"/>
            </w:tcBorders>
          </w:tcPr>
          <w:p w14:paraId="37BE94D2" w14:textId="77777777" w:rsidR="0013238B" w:rsidRPr="00677610" w:rsidRDefault="0013238B" w:rsidP="0013238B">
            <w:pPr>
              <w:spacing w:after="0" w:line="240" w:lineRule="auto"/>
              <w:rPr>
                <w:rFonts w:ascii="Arial" w:hAnsi="Arial" w:cs="Arial"/>
                <w:bCs/>
                <w:sz w:val="20"/>
                <w:szCs w:val="20"/>
              </w:rPr>
            </w:pPr>
            <w:r w:rsidRPr="00677610">
              <w:rPr>
                <w:rFonts w:ascii="Arial" w:hAnsi="Arial" w:cs="Arial"/>
                <w:bCs/>
                <w:color w:val="000000"/>
                <w:sz w:val="20"/>
                <w:szCs w:val="20"/>
              </w:rPr>
              <w:t>Category</w:t>
            </w:r>
          </w:p>
        </w:tc>
      </w:tr>
      <w:tr w:rsidR="0013238B" w:rsidRPr="00677610" w14:paraId="4F2D2C9A" w14:textId="77777777" w:rsidTr="00600EB5">
        <w:tc>
          <w:tcPr>
            <w:tcW w:w="2268" w:type="dxa"/>
            <w:tcBorders>
              <w:top w:val="single" w:sz="8" w:space="0" w:color="000000"/>
            </w:tcBorders>
          </w:tcPr>
          <w:p w14:paraId="6F8BE0B2"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color w:val="000000"/>
                <w:sz w:val="20"/>
                <w:szCs w:val="20"/>
              </w:rPr>
              <w:t>Community Skills</w:t>
            </w:r>
          </w:p>
        </w:tc>
        <w:tc>
          <w:tcPr>
            <w:tcW w:w="2268" w:type="dxa"/>
            <w:tcBorders>
              <w:top w:val="single" w:sz="8" w:space="0" w:color="000000"/>
            </w:tcBorders>
          </w:tcPr>
          <w:p w14:paraId="64380406"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color w:val="000000"/>
                <w:sz w:val="20"/>
                <w:szCs w:val="20"/>
              </w:rPr>
              <w:t>Basic Literacy Skill</w:t>
            </w:r>
          </w:p>
        </w:tc>
        <w:tc>
          <w:tcPr>
            <w:tcW w:w="1185" w:type="dxa"/>
            <w:tcBorders>
              <w:top w:val="single" w:sz="8" w:space="0" w:color="000000"/>
            </w:tcBorders>
          </w:tcPr>
          <w:p w14:paraId="53FF41A8"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color w:val="000000"/>
                <w:sz w:val="20"/>
                <w:szCs w:val="20"/>
              </w:rPr>
              <w:t>3.21</w:t>
            </w:r>
          </w:p>
        </w:tc>
        <w:tc>
          <w:tcPr>
            <w:tcW w:w="1468" w:type="dxa"/>
            <w:tcBorders>
              <w:top w:val="single" w:sz="8" w:space="0" w:color="000000"/>
            </w:tcBorders>
          </w:tcPr>
          <w:p w14:paraId="02869DF4"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color w:val="000000"/>
                <w:sz w:val="20"/>
                <w:szCs w:val="20"/>
              </w:rPr>
              <w:t>64.18</w:t>
            </w:r>
          </w:p>
        </w:tc>
        <w:tc>
          <w:tcPr>
            <w:tcW w:w="1225" w:type="dxa"/>
            <w:tcBorders>
              <w:top w:val="single" w:sz="8" w:space="0" w:color="000000"/>
            </w:tcBorders>
          </w:tcPr>
          <w:p w14:paraId="01665DE8"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color w:val="000000"/>
                <w:sz w:val="20"/>
                <w:szCs w:val="20"/>
              </w:rPr>
              <w:t>Neutral</w:t>
            </w:r>
          </w:p>
        </w:tc>
      </w:tr>
      <w:tr w:rsidR="0013238B" w:rsidRPr="00677610" w14:paraId="0A9AC9A5" w14:textId="77777777" w:rsidTr="00600EB5">
        <w:tc>
          <w:tcPr>
            <w:tcW w:w="2268" w:type="dxa"/>
          </w:tcPr>
          <w:p w14:paraId="1314FDF0" w14:textId="77777777" w:rsidR="0013238B" w:rsidRPr="00677610" w:rsidRDefault="0013238B" w:rsidP="0013238B">
            <w:pPr>
              <w:spacing w:after="0" w:line="240" w:lineRule="auto"/>
              <w:rPr>
                <w:rFonts w:ascii="Arial" w:hAnsi="Arial" w:cs="Arial"/>
                <w:sz w:val="20"/>
                <w:szCs w:val="20"/>
              </w:rPr>
            </w:pPr>
          </w:p>
        </w:tc>
        <w:tc>
          <w:tcPr>
            <w:tcW w:w="2268" w:type="dxa"/>
          </w:tcPr>
          <w:p w14:paraId="275E996F"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color w:val="000000"/>
                <w:sz w:val="20"/>
                <w:szCs w:val="20"/>
              </w:rPr>
              <w:t>Technical Skill</w:t>
            </w:r>
          </w:p>
        </w:tc>
        <w:tc>
          <w:tcPr>
            <w:tcW w:w="1185" w:type="dxa"/>
          </w:tcPr>
          <w:p w14:paraId="73310878"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color w:val="000000"/>
                <w:sz w:val="20"/>
                <w:szCs w:val="20"/>
              </w:rPr>
              <w:t>3.30</w:t>
            </w:r>
          </w:p>
        </w:tc>
        <w:tc>
          <w:tcPr>
            <w:tcW w:w="1468" w:type="dxa"/>
          </w:tcPr>
          <w:p w14:paraId="3B1ED8EF"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color w:val="000000"/>
                <w:sz w:val="20"/>
                <w:szCs w:val="20"/>
              </w:rPr>
              <w:t>66.05</w:t>
            </w:r>
          </w:p>
        </w:tc>
        <w:tc>
          <w:tcPr>
            <w:tcW w:w="1225" w:type="dxa"/>
          </w:tcPr>
          <w:p w14:paraId="29750DAF"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color w:val="000000"/>
                <w:sz w:val="20"/>
                <w:szCs w:val="20"/>
              </w:rPr>
              <w:t>Neutral</w:t>
            </w:r>
          </w:p>
        </w:tc>
      </w:tr>
      <w:tr w:rsidR="0013238B" w:rsidRPr="00677610" w14:paraId="5C1F189F" w14:textId="77777777" w:rsidTr="00600EB5">
        <w:tc>
          <w:tcPr>
            <w:tcW w:w="2268" w:type="dxa"/>
            <w:tcBorders>
              <w:bottom w:val="nil"/>
            </w:tcBorders>
          </w:tcPr>
          <w:p w14:paraId="6F3674F6" w14:textId="77777777" w:rsidR="0013238B" w:rsidRPr="00677610" w:rsidRDefault="0013238B" w:rsidP="0013238B">
            <w:pPr>
              <w:spacing w:after="0" w:line="240" w:lineRule="auto"/>
              <w:rPr>
                <w:rFonts w:ascii="Arial" w:hAnsi="Arial" w:cs="Arial"/>
                <w:sz w:val="20"/>
                <w:szCs w:val="20"/>
              </w:rPr>
            </w:pPr>
          </w:p>
        </w:tc>
        <w:tc>
          <w:tcPr>
            <w:tcW w:w="2268" w:type="dxa"/>
            <w:tcBorders>
              <w:bottom w:val="nil"/>
            </w:tcBorders>
          </w:tcPr>
          <w:p w14:paraId="17320026"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color w:val="000000"/>
                <w:sz w:val="20"/>
                <w:szCs w:val="20"/>
              </w:rPr>
              <w:t>Problem-Solving Skill</w:t>
            </w:r>
          </w:p>
        </w:tc>
        <w:tc>
          <w:tcPr>
            <w:tcW w:w="1185" w:type="dxa"/>
            <w:tcBorders>
              <w:bottom w:val="nil"/>
            </w:tcBorders>
          </w:tcPr>
          <w:p w14:paraId="743C722A"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color w:val="000000"/>
                <w:sz w:val="20"/>
                <w:szCs w:val="20"/>
              </w:rPr>
              <w:t>3.16</w:t>
            </w:r>
          </w:p>
        </w:tc>
        <w:tc>
          <w:tcPr>
            <w:tcW w:w="1468" w:type="dxa"/>
            <w:tcBorders>
              <w:bottom w:val="nil"/>
            </w:tcBorders>
          </w:tcPr>
          <w:p w14:paraId="4DF4B695"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color w:val="000000"/>
                <w:sz w:val="20"/>
                <w:szCs w:val="20"/>
              </w:rPr>
              <w:t>63.20</w:t>
            </w:r>
          </w:p>
        </w:tc>
        <w:tc>
          <w:tcPr>
            <w:tcW w:w="1225" w:type="dxa"/>
            <w:tcBorders>
              <w:bottom w:val="nil"/>
            </w:tcBorders>
          </w:tcPr>
          <w:p w14:paraId="400D5FC0"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color w:val="000000"/>
                <w:sz w:val="20"/>
                <w:szCs w:val="20"/>
              </w:rPr>
              <w:t>Neutral</w:t>
            </w:r>
          </w:p>
        </w:tc>
      </w:tr>
      <w:tr w:rsidR="0013238B" w:rsidRPr="00677610" w14:paraId="51A34473" w14:textId="77777777" w:rsidTr="00600EB5">
        <w:tc>
          <w:tcPr>
            <w:tcW w:w="2268" w:type="dxa"/>
            <w:tcBorders>
              <w:top w:val="nil"/>
              <w:bottom w:val="single" w:sz="8" w:space="0" w:color="000000"/>
            </w:tcBorders>
          </w:tcPr>
          <w:p w14:paraId="30007DBB" w14:textId="77777777" w:rsidR="0013238B" w:rsidRPr="00677610" w:rsidRDefault="0013238B" w:rsidP="0013238B">
            <w:pPr>
              <w:spacing w:after="0" w:line="240" w:lineRule="auto"/>
              <w:rPr>
                <w:rFonts w:ascii="Arial" w:hAnsi="Arial" w:cs="Arial"/>
                <w:sz w:val="20"/>
                <w:szCs w:val="20"/>
              </w:rPr>
            </w:pPr>
          </w:p>
        </w:tc>
        <w:tc>
          <w:tcPr>
            <w:tcW w:w="2268" w:type="dxa"/>
            <w:tcBorders>
              <w:top w:val="nil"/>
              <w:bottom w:val="single" w:sz="8" w:space="0" w:color="000000"/>
            </w:tcBorders>
          </w:tcPr>
          <w:p w14:paraId="1DE42CFA"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color w:val="000000"/>
                <w:sz w:val="20"/>
                <w:szCs w:val="20"/>
              </w:rPr>
              <w:t>Summary (Skills)</w:t>
            </w:r>
          </w:p>
        </w:tc>
        <w:tc>
          <w:tcPr>
            <w:tcW w:w="1185" w:type="dxa"/>
            <w:tcBorders>
              <w:top w:val="nil"/>
              <w:bottom w:val="single" w:sz="8" w:space="0" w:color="000000"/>
            </w:tcBorders>
          </w:tcPr>
          <w:p w14:paraId="559E3595"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color w:val="000000"/>
                <w:sz w:val="20"/>
                <w:szCs w:val="20"/>
              </w:rPr>
              <w:t>3.22</w:t>
            </w:r>
          </w:p>
        </w:tc>
        <w:tc>
          <w:tcPr>
            <w:tcW w:w="1468" w:type="dxa"/>
            <w:tcBorders>
              <w:top w:val="nil"/>
              <w:bottom w:val="single" w:sz="8" w:space="0" w:color="000000"/>
            </w:tcBorders>
          </w:tcPr>
          <w:p w14:paraId="317A68E6"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color w:val="000000"/>
                <w:sz w:val="20"/>
                <w:szCs w:val="20"/>
              </w:rPr>
              <w:t>64.48</w:t>
            </w:r>
          </w:p>
        </w:tc>
        <w:tc>
          <w:tcPr>
            <w:tcW w:w="1225" w:type="dxa"/>
            <w:tcBorders>
              <w:top w:val="nil"/>
              <w:bottom w:val="single" w:sz="8" w:space="0" w:color="000000"/>
            </w:tcBorders>
          </w:tcPr>
          <w:p w14:paraId="40171C3E"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color w:val="000000"/>
                <w:sz w:val="20"/>
                <w:szCs w:val="20"/>
              </w:rPr>
              <w:t>Neutral</w:t>
            </w:r>
          </w:p>
        </w:tc>
      </w:tr>
      <w:tr w:rsidR="0013238B" w:rsidRPr="00677610" w14:paraId="4717B92D" w14:textId="77777777" w:rsidTr="00600EB5">
        <w:tc>
          <w:tcPr>
            <w:tcW w:w="2268" w:type="dxa"/>
            <w:tcBorders>
              <w:top w:val="single" w:sz="8" w:space="0" w:color="000000"/>
            </w:tcBorders>
          </w:tcPr>
          <w:p w14:paraId="7F85C604"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color w:val="000000"/>
                <w:sz w:val="20"/>
                <w:szCs w:val="20"/>
              </w:rPr>
              <w:t>Community Motivation</w:t>
            </w:r>
          </w:p>
        </w:tc>
        <w:tc>
          <w:tcPr>
            <w:tcW w:w="2268" w:type="dxa"/>
            <w:tcBorders>
              <w:top w:val="single" w:sz="8" w:space="0" w:color="000000"/>
            </w:tcBorders>
          </w:tcPr>
          <w:p w14:paraId="4A0A8A47"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color w:val="000000"/>
                <w:sz w:val="20"/>
                <w:szCs w:val="20"/>
              </w:rPr>
              <w:t>Existence</w:t>
            </w:r>
          </w:p>
        </w:tc>
        <w:tc>
          <w:tcPr>
            <w:tcW w:w="1185" w:type="dxa"/>
            <w:tcBorders>
              <w:top w:val="single" w:sz="8" w:space="0" w:color="000000"/>
            </w:tcBorders>
          </w:tcPr>
          <w:p w14:paraId="1167A554"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color w:val="000000"/>
                <w:sz w:val="20"/>
                <w:szCs w:val="20"/>
              </w:rPr>
              <w:t>3.54</w:t>
            </w:r>
          </w:p>
        </w:tc>
        <w:tc>
          <w:tcPr>
            <w:tcW w:w="1468" w:type="dxa"/>
            <w:tcBorders>
              <w:top w:val="single" w:sz="8" w:space="0" w:color="000000"/>
            </w:tcBorders>
          </w:tcPr>
          <w:p w14:paraId="503E51B2"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color w:val="000000"/>
                <w:sz w:val="20"/>
                <w:szCs w:val="20"/>
              </w:rPr>
              <w:t>70.90</w:t>
            </w:r>
          </w:p>
        </w:tc>
        <w:tc>
          <w:tcPr>
            <w:tcW w:w="1225" w:type="dxa"/>
            <w:tcBorders>
              <w:top w:val="single" w:sz="8" w:space="0" w:color="000000"/>
            </w:tcBorders>
          </w:tcPr>
          <w:p w14:paraId="01D0ECC3"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color w:val="000000"/>
                <w:sz w:val="20"/>
                <w:szCs w:val="20"/>
              </w:rPr>
              <w:t>Willing</w:t>
            </w:r>
          </w:p>
        </w:tc>
      </w:tr>
      <w:tr w:rsidR="0013238B" w:rsidRPr="00677610" w14:paraId="7764C164" w14:textId="77777777" w:rsidTr="00600EB5">
        <w:tc>
          <w:tcPr>
            <w:tcW w:w="2268" w:type="dxa"/>
          </w:tcPr>
          <w:p w14:paraId="7427C000" w14:textId="77777777" w:rsidR="0013238B" w:rsidRPr="00677610" w:rsidRDefault="0013238B" w:rsidP="0013238B">
            <w:pPr>
              <w:spacing w:after="0" w:line="240" w:lineRule="auto"/>
              <w:rPr>
                <w:rFonts w:ascii="Arial" w:hAnsi="Arial" w:cs="Arial"/>
                <w:sz w:val="20"/>
                <w:szCs w:val="20"/>
              </w:rPr>
            </w:pPr>
          </w:p>
        </w:tc>
        <w:tc>
          <w:tcPr>
            <w:tcW w:w="2268" w:type="dxa"/>
          </w:tcPr>
          <w:p w14:paraId="33FDA9E0"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color w:val="000000"/>
                <w:sz w:val="20"/>
                <w:szCs w:val="20"/>
              </w:rPr>
              <w:t>Relatedness</w:t>
            </w:r>
          </w:p>
        </w:tc>
        <w:tc>
          <w:tcPr>
            <w:tcW w:w="1185" w:type="dxa"/>
          </w:tcPr>
          <w:p w14:paraId="256AC32E"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color w:val="000000"/>
                <w:sz w:val="20"/>
                <w:szCs w:val="20"/>
              </w:rPr>
              <w:t>3.50</w:t>
            </w:r>
          </w:p>
        </w:tc>
        <w:tc>
          <w:tcPr>
            <w:tcW w:w="1468" w:type="dxa"/>
          </w:tcPr>
          <w:p w14:paraId="0BCE7629"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color w:val="000000"/>
                <w:sz w:val="20"/>
                <w:szCs w:val="20"/>
              </w:rPr>
              <w:t>70.05</w:t>
            </w:r>
          </w:p>
        </w:tc>
        <w:tc>
          <w:tcPr>
            <w:tcW w:w="1225" w:type="dxa"/>
          </w:tcPr>
          <w:p w14:paraId="0A97AA16"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color w:val="000000"/>
                <w:sz w:val="20"/>
                <w:szCs w:val="20"/>
              </w:rPr>
              <w:t>Willing</w:t>
            </w:r>
          </w:p>
        </w:tc>
      </w:tr>
      <w:tr w:rsidR="0013238B" w:rsidRPr="00677610" w14:paraId="640BD461" w14:textId="77777777" w:rsidTr="00600EB5">
        <w:tc>
          <w:tcPr>
            <w:tcW w:w="2268" w:type="dxa"/>
            <w:tcBorders>
              <w:bottom w:val="nil"/>
            </w:tcBorders>
          </w:tcPr>
          <w:p w14:paraId="6F5C0A64" w14:textId="77777777" w:rsidR="0013238B" w:rsidRPr="00677610" w:rsidRDefault="0013238B" w:rsidP="0013238B">
            <w:pPr>
              <w:spacing w:after="0" w:line="240" w:lineRule="auto"/>
              <w:rPr>
                <w:rFonts w:ascii="Arial" w:hAnsi="Arial" w:cs="Arial"/>
                <w:sz w:val="20"/>
                <w:szCs w:val="20"/>
              </w:rPr>
            </w:pPr>
          </w:p>
        </w:tc>
        <w:tc>
          <w:tcPr>
            <w:tcW w:w="2268" w:type="dxa"/>
            <w:tcBorders>
              <w:bottom w:val="nil"/>
            </w:tcBorders>
          </w:tcPr>
          <w:p w14:paraId="3907A247"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color w:val="000000"/>
                <w:sz w:val="20"/>
                <w:szCs w:val="20"/>
              </w:rPr>
              <w:t>Growth</w:t>
            </w:r>
          </w:p>
        </w:tc>
        <w:tc>
          <w:tcPr>
            <w:tcW w:w="1185" w:type="dxa"/>
            <w:tcBorders>
              <w:bottom w:val="nil"/>
            </w:tcBorders>
          </w:tcPr>
          <w:p w14:paraId="74E952AF"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color w:val="000000"/>
                <w:sz w:val="20"/>
                <w:szCs w:val="20"/>
              </w:rPr>
              <w:t>3.56</w:t>
            </w:r>
          </w:p>
        </w:tc>
        <w:tc>
          <w:tcPr>
            <w:tcW w:w="1468" w:type="dxa"/>
            <w:tcBorders>
              <w:bottom w:val="nil"/>
            </w:tcBorders>
          </w:tcPr>
          <w:p w14:paraId="3615FC0F"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color w:val="000000"/>
                <w:sz w:val="20"/>
                <w:szCs w:val="20"/>
              </w:rPr>
              <w:t>71.21</w:t>
            </w:r>
          </w:p>
        </w:tc>
        <w:tc>
          <w:tcPr>
            <w:tcW w:w="1225" w:type="dxa"/>
            <w:tcBorders>
              <w:bottom w:val="nil"/>
            </w:tcBorders>
          </w:tcPr>
          <w:p w14:paraId="0473A84A"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color w:val="000000"/>
                <w:sz w:val="20"/>
                <w:szCs w:val="20"/>
              </w:rPr>
              <w:t>Willing</w:t>
            </w:r>
          </w:p>
        </w:tc>
      </w:tr>
      <w:tr w:rsidR="0013238B" w:rsidRPr="00677610" w14:paraId="0F28014B" w14:textId="77777777" w:rsidTr="00600EB5">
        <w:tc>
          <w:tcPr>
            <w:tcW w:w="2268" w:type="dxa"/>
            <w:tcBorders>
              <w:top w:val="nil"/>
              <w:bottom w:val="single" w:sz="8" w:space="0" w:color="000000"/>
            </w:tcBorders>
          </w:tcPr>
          <w:p w14:paraId="34DF819A" w14:textId="77777777" w:rsidR="0013238B" w:rsidRPr="00677610" w:rsidRDefault="0013238B" w:rsidP="0013238B">
            <w:pPr>
              <w:spacing w:after="0" w:line="240" w:lineRule="auto"/>
              <w:rPr>
                <w:rFonts w:ascii="Arial" w:hAnsi="Arial" w:cs="Arial"/>
                <w:sz w:val="20"/>
                <w:szCs w:val="20"/>
              </w:rPr>
            </w:pPr>
          </w:p>
        </w:tc>
        <w:tc>
          <w:tcPr>
            <w:tcW w:w="2268" w:type="dxa"/>
            <w:tcBorders>
              <w:top w:val="nil"/>
              <w:bottom w:val="single" w:sz="8" w:space="0" w:color="000000"/>
            </w:tcBorders>
          </w:tcPr>
          <w:p w14:paraId="7D7BCE27"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color w:val="000000"/>
                <w:sz w:val="20"/>
                <w:szCs w:val="20"/>
              </w:rPr>
              <w:t>Summary (Motivation)</w:t>
            </w:r>
          </w:p>
        </w:tc>
        <w:tc>
          <w:tcPr>
            <w:tcW w:w="1185" w:type="dxa"/>
            <w:tcBorders>
              <w:top w:val="nil"/>
              <w:bottom w:val="single" w:sz="8" w:space="0" w:color="000000"/>
            </w:tcBorders>
          </w:tcPr>
          <w:p w14:paraId="11A0ACE0"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color w:val="000000"/>
                <w:sz w:val="20"/>
                <w:szCs w:val="20"/>
              </w:rPr>
              <w:t>3.54</w:t>
            </w:r>
          </w:p>
        </w:tc>
        <w:tc>
          <w:tcPr>
            <w:tcW w:w="1468" w:type="dxa"/>
            <w:tcBorders>
              <w:top w:val="nil"/>
              <w:bottom w:val="single" w:sz="8" w:space="0" w:color="000000"/>
            </w:tcBorders>
          </w:tcPr>
          <w:p w14:paraId="5C14C6D8"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color w:val="000000"/>
                <w:sz w:val="20"/>
                <w:szCs w:val="20"/>
              </w:rPr>
              <w:t>70.72</w:t>
            </w:r>
          </w:p>
        </w:tc>
        <w:tc>
          <w:tcPr>
            <w:tcW w:w="1225" w:type="dxa"/>
            <w:tcBorders>
              <w:top w:val="nil"/>
              <w:bottom w:val="single" w:sz="8" w:space="0" w:color="000000"/>
            </w:tcBorders>
          </w:tcPr>
          <w:p w14:paraId="241D3286"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color w:val="000000"/>
                <w:sz w:val="20"/>
                <w:szCs w:val="20"/>
              </w:rPr>
              <w:t>Willing</w:t>
            </w:r>
          </w:p>
        </w:tc>
      </w:tr>
      <w:tr w:rsidR="0013238B" w:rsidRPr="00677610" w14:paraId="68A1CD5A" w14:textId="77777777" w:rsidTr="00600EB5">
        <w:tc>
          <w:tcPr>
            <w:tcW w:w="2268" w:type="dxa"/>
            <w:tcBorders>
              <w:top w:val="single" w:sz="8" w:space="0" w:color="000000"/>
            </w:tcBorders>
          </w:tcPr>
          <w:p w14:paraId="0CC66015"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color w:val="000000"/>
                <w:sz w:val="20"/>
                <w:szCs w:val="20"/>
              </w:rPr>
              <w:t>Community Education</w:t>
            </w:r>
          </w:p>
        </w:tc>
        <w:tc>
          <w:tcPr>
            <w:tcW w:w="2268" w:type="dxa"/>
            <w:tcBorders>
              <w:top w:val="single" w:sz="8" w:space="0" w:color="000000"/>
            </w:tcBorders>
          </w:tcPr>
          <w:p w14:paraId="3160C432"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color w:val="000000"/>
                <w:sz w:val="20"/>
                <w:szCs w:val="20"/>
              </w:rPr>
              <w:t>Formal Education</w:t>
            </w:r>
          </w:p>
        </w:tc>
        <w:tc>
          <w:tcPr>
            <w:tcW w:w="1185" w:type="dxa"/>
            <w:tcBorders>
              <w:top w:val="single" w:sz="8" w:space="0" w:color="000000"/>
            </w:tcBorders>
          </w:tcPr>
          <w:p w14:paraId="68537F57"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color w:val="000000"/>
                <w:sz w:val="20"/>
                <w:szCs w:val="20"/>
              </w:rPr>
              <w:t>3.57</w:t>
            </w:r>
          </w:p>
        </w:tc>
        <w:tc>
          <w:tcPr>
            <w:tcW w:w="1468" w:type="dxa"/>
            <w:tcBorders>
              <w:top w:val="single" w:sz="8" w:space="0" w:color="000000"/>
            </w:tcBorders>
          </w:tcPr>
          <w:p w14:paraId="664909E4"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color w:val="000000"/>
                <w:sz w:val="20"/>
                <w:szCs w:val="20"/>
              </w:rPr>
              <w:t>71.33</w:t>
            </w:r>
          </w:p>
        </w:tc>
        <w:tc>
          <w:tcPr>
            <w:tcW w:w="1225" w:type="dxa"/>
            <w:tcBorders>
              <w:top w:val="single" w:sz="8" w:space="0" w:color="000000"/>
            </w:tcBorders>
          </w:tcPr>
          <w:p w14:paraId="1B0D4F24"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color w:val="000000"/>
                <w:sz w:val="20"/>
                <w:szCs w:val="20"/>
              </w:rPr>
              <w:t>Capable</w:t>
            </w:r>
          </w:p>
        </w:tc>
      </w:tr>
      <w:tr w:rsidR="0013238B" w:rsidRPr="00677610" w14:paraId="4BBB4CD2" w14:textId="77777777" w:rsidTr="00600EB5">
        <w:tc>
          <w:tcPr>
            <w:tcW w:w="2268" w:type="dxa"/>
            <w:tcBorders>
              <w:bottom w:val="nil"/>
            </w:tcBorders>
          </w:tcPr>
          <w:p w14:paraId="224FD528" w14:textId="77777777" w:rsidR="0013238B" w:rsidRPr="00677610" w:rsidRDefault="0013238B" w:rsidP="0013238B">
            <w:pPr>
              <w:spacing w:after="0" w:line="240" w:lineRule="auto"/>
              <w:rPr>
                <w:rFonts w:ascii="Arial" w:hAnsi="Arial" w:cs="Arial"/>
                <w:sz w:val="20"/>
                <w:szCs w:val="20"/>
              </w:rPr>
            </w:pPr>
          </w:p>
        </w:tc>
        <w:tc>
          <w:tcPr>
            <w:tcW w:w="2268" w:type="dxa"/>
            <w:tcBorders>
              <w:bottom w:val="nil"/>
            </w:tcBorders>
          </w:tcPr>
          <w:p w14:paraId="6BB122BD"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color w:val="000000"/>
                <w:sz w:val="20"/>
                <w:szCs w:val="20"/>
              </w:rPr>
              <w:t>Non-formal Education</w:t>
            </w:r>
          </w:p>
        </w:tc>
        <w:tc>
          <w:tcPr>
            <w:tcW w:w="1185" w:type="dxa"/>
            <w:tcBorders>
              <w:bottom w:val="nil"/>
            </w:tcBorders>
          </w:tcPr>
          <w:p w14:paraId="058EAA3E"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color w:val="000000"/>
                <w:sz w:val="20"/>
                <w:szCs w:val="20"/>
              </w:rPr>
              <w:t>3.56</w:t>
            </w:r>
          </w:p>
        </w:tc>
        <w:tc>
          <w:tcPr>
            <w:tcW w:w="1468" w:type="dxa"/>
            <w:tcBorders>
              <w:bottom w:val="nil"/>
            </w:tcBorders>
          </w:tcPr>
          <w:p w14:paraId="4D25D07C"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color w:val="000000"/>
                <w:sz w:val="20"/>
                <w:szCs w:val="20"/>
              </w:rPr>
              <w:t>71.24</w:t>
            </w:r>
          </w:p>
        </w:tc>
        <w:tc>
          <w:tcPr>
            <w:tcW w:w="1225" w:type="dxa"/>
            <w:tcBorders>
              <w:bottom w:val="nil"/>
            </w:tcBorders>
          </w:tcPr>
          <w:p w14:paraId="3EBBF538"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color w:val="000000"/>
                <w:sz w:val="20"/>
                <w:szCs w:val="20"/>
              </w:rPr>
              <w:t>Capable</w:t>
            </w:r>
          </w:p>
        </w:tc>
      </w:tr>
      <w:tr w:rsidR="0013238B" w:rsidRPr="00677610" w14:paraId="6E30BA0A" w14:textId="77777777" w:rsidTr="00600EB5">
        <w:tc>
          <w:tcPr>
            <w:tcW w:w="2268" w:type="dxa"/>
            <w:tcBorders>
              <w:top w:val="nil"/>
              <w:bottom w:val="single" w:sz="8" w:space="0" w:color="000000"/>
            </w:tcBorders>
          </w:tcPr>
          <w:p w14:paraId="6B7EE835" w14:textId="77777777" w:rsidR="0013238B" w:rsidRPr="00677610" w:rsidRDefault="0013238B" w:rsidP="0013238B">
            <w:pPr>
              <w:spacing w:after="0" w:line="240" w:lineRule="auto"/>
              <w:rPr>
                <w:rFonts w:ascii="Arial" w:hAnsi="Arial" w:cs="Arial"/>
                <w:sz w:val="20"/>
                <w:szCs w:val="20"/>
              </w:rPr>
            </w:pPr>
          </w:p>
        </w:tc>
        <w:tc>
          <w:tcPr>
            <w:tcW w:w="2268" w:type="dxa"/>
            <w:tcBorders>
              <w:top w:val="nil"/>
              <w:bottom w:val="single" w:sz="8" w:space="0" w:color="000000"/>
            </w:tcBorders>
          </w:tcPr>
          <w:p w14:paraId="7E9F23E0"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color w:val="000000"/>
                <w:sz w:val="20"/>
                <w:szCs w:val="20"/>
              </w:rPr>
              <w:t>Summary (Education)</w:t>
            </w:r>
          </w:p>
        </w:tc>
        <w:tc>
          <w:tcPr>
            <w:tcW w:w="1185" w:type="dxa"/>
            <w:tcBorders>
              <w:top w:val="nil"/>
              <w:bottom w:val="single" w:sz="8" w:space="0" w:color="000000"/>
            </w:tcBorders>
          </w:tcPr>
          <w:p w14:paraId="3A30347F"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color w:val="000000"/>
                <w:sz w:val="20"/>
                <w:szCs w:val="20"/>
              </w:rPr>
              <w:t>3.56</w:t>
            </w:r>
          </w:p>
        </w:tc>
        <w:tc>
          <w:tcPr>
            <w:tcW w:w="1468" w:type="dxa"/>
            <w:tcBorders>
              <w:top w:val="nil"/>
              <w:bottom w:val="single" w:sz="8" w:space="0" w:color="000000"/>
            </w:tcBorders>
          </w:tcPr>
          <w:p w14:paraId="665ACA2B"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color w:val="000000"/>
                <w:sz w:val="20"/>
                <w:szCs w:val="20"/>
              </w:rPr>
              <w:t>71.27</w:t>
            </w:r>
          </w:p>
        </w:tc>
        <w:tc>
          <w:tcPr>
            <w:tcW w:w="1225" w:type="dxa"/>
            <w:tcBorders>
              <w:top w:val="nil"/>
              <w:bottom w:val="single" w:sz="8" w:space="0" w:color="000000"/>
            </w:tcBorders>
          </w:tcPr>
          <w:p w14:paraId="440AD240"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color w:val="000000"/>
                <w:sz w:val="20"/>
                <w:szCs w:val="20"/>
              </w:rPr>
              <w:t>Capable</w:t>
            </w:r>
          </w:p>
        </w:tc>
      </w:tr>
      <w:tr w:rsidR="0013238B" w:rsidRPr="00677610" w14:paraId="52687B54" w14:textId="77777777" w:rsidTr="00600EB5">
        <w:tc>
          <w:tcPr>
            <w:tcW w:w="2268" w:type="dxa"/>
            <w:tcBorders>
              <w:top w:val="single" w:sz="8" w:space="0" w:color="000000"/>
            </w:tcBorders>
          </w:tcPr>
          <w:p w14:paraId="5E5DF4D6"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color w:val="000000"/>
                <w:sz w:val="20"/>
                <w:szCs w:val="20"/>
              </w:rPr>
              <w:t>Community Readiness</w:t>
            </w:r>
          </w:p>
        </w:tc>
        <w:tc>
          <w:tcPr>
            <w:tcW w:w="2268" w:type="dxa"/>
            <w:tcBorders>
              <w:top w:val="single" w:sz="8" w:space="0" w:color="000000"/>
            </w:tcBorders>
          </w:tcPr>
          <w:p w14:paraId="5586A276"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color w:val="000000"/>
                <w:sz w:val="20"/>
                <w:szCs w:val="20"/>
              </w:rPr>
              <w:t>Community Effort</w:t>
            </w:r>
          </w:p>
        </w:tc>
        <w:tc>
          <w:tcPr>
            <w:tcW w:w="1185" w:type="dxa"/>
            <w:tcBorders>
              <w:top w:val="single" w:sz="8" w:space="0" w:color="000000"/>
            </w:tcBorders>
          </w:tcPr>
          <w:p w14:paraId="29137836"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color w:val="000000"/>
                <w:sz w:val="20"/>
                <w:szCs w:val="20"/>
              </w:rPr>
              <w:t>3.17</w:t>
            </w:r>
          </w:p>
        </w:tc>
        <w:tc>
          <w:tcPr>
            <w:tcW w:w="1468" w:type="dxa"/>
            <w:tcBorders>
              <w:top w:val="single" w:sz="8" w:space="0" w:color="000000"/>
            </w:tcBorders>
          </w:tcPr>
          <w:p w14:paraId="6AF7864F"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color w:val="000000"/>
                <w:sz w:val="20"/>
                <w:szCs w:val="20"/>
              </w:rPr>
              <w:t>65.22</w:t>
            </w:r>
          </w:p>
        </w:tc>
        <w:tc>
          <w:tcPr>
            <w:tcW w:w="1225" w:type="dxa"/>
            <w:tcBorders>
              <w:top w:val="single" w:sz="8" w:space="0" w:color="000000"/>
            </w:tcBorders>
          </w:tcPr>
          <w:p w14:paraId="34E8649C"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color w:val="000000"/>
                <w:sz w:val="20"/>
                <w:szCs w:val="20"/>
              </w:rPr>
              <w:t>Occasional</w:t>
            </w:r>
          </w:p>
        </w:tc>
      </w:tr>
      <w:tr w:rsidR="0013238B" w:rsidRPr="00677610" w14:paraId="05251B5F" w14:textId="77777777" w:rsidTr="00600EB5">
        <w:tc>
          <w:tcPr>
            <w:tcW w:w="2268" w:type="dxa"/>
          </w:tcPr>
          <w:p w14:paraId="0D502A5F" w14:textId="77777777" w:rsidR="0013238B" w:rsidRPr="00677610" w:rsidRDefault="0013238B" w:rsidP="0013238B">
            <w:pPr>
              <w:spacing w:after="0" w:line="240" w:lineRule="auto"/>
              <w:rPr>
                <w:rFonts w:ascii="Arial" w:hAnsi="Arial" w:cs="Arial"/>
                <w:sz w:val="20"/>
                <w:szCs w:val="20"/>
              </w:rPr>
            </w:pPr>
          </w:p>
        </w:tc>
        <w:tc>
          <w:tcPr>
            <w:tcW w:w="2268" w:type="dxa"/>
          </w:tcPr>
          <w:p w14:paraId="577644B8"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color w:val="000000"/>
                <w:sz w:val="20"/>
                <w:szCs w:val="20"/>
              </w:rPr>
              <w:t>Program Knowledge</w:t>
            </w:r>
          </w:p>
        </w:tc>
        <w:tc>
          <w:tcPr>
            <w:tcW w:w="1185" w:type="dxa"/>
          </w:tcPr>
          <w:p w14:paraId="6F37283F"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color w:val="000000"/>
                <w:sz w:val="20"/>
                <w:szCs w:val="20"/>
              </w:rPr>
              <w:t>3.20</w:t>
            </w:r>
          </w:p>
        </w:tc>
        <w:tc>
          <w:tcPr>
            <w:tcW w:w="1468" w:type="dxa"/>
          </w:tcPr>
          <w:p w14:paraId="320FFE2F"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color w:val="000000"/>
                <w:sz w:val="20"/>
                <w:szCs w:val="20"/>
              </w:rPr>
              <w:t>64.03</w:t>
            </w:r>
          </w:p>
        </w:tc>
        <w:tc>
          <w:tcPr>
            <w:tcW w:w="1225" w:type="dxa"/>
          </w:tcPr>
          <w:p w14:paraId="2A97304F"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color w:val="000000"/>
                <w:sz w:val="20"/>
                <w:szCs w:val="20"/>
              </w:rPr>
              <w:t>Occasional</w:t>
            </w:r>
          </w:p>
        </w:tc>
      </w:tr>
      <w:tr w:rsidR="0013238B" w:rsidRPr="00677610" w14:paraId="09FD8B11" w14:textId="77777777" w:rsidTr="00600EB5">
        <w:tc>
          <w:tcPr>
            <w:tcW w:w="2268" w:type="dxa"/>
          </w:tcPr>
          <w:p w14:paraId="7B97C8BA" w14:textId="77777777" w:rsidR="0013238B" w:rsidRPr="00677610" w:rsidRDefault="0013238B" w:rsidP="0013238B">
            <w:pPr>
              <w:spacing w:after="0" w:line="240" w:lineRule="auto"/>
              <w:rPr>
                <w:rFonts w:ascii="Arial" w:hAnsi="Arial" w:cs="Arial"/>
                <w:sz w:val="20"/>
                <w:szCs w:val="20"/>
              </w:rPr>
            </w:pPr>
          </w:p>
        </w:tc>
        <w:tc>
          <w:tcPr>
            <w:tcW w:w="2268" w:type="dxa"/>
          </w:tcPr>
          <w:p w14:paraId="08FC70C6"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color w:val="000000"/>
                <w:sz w:val="20"/>
                <w:szCs w:val="20"/>
              </w:rPr>
              <w:t>Community Leadership</w:t>
            </w:r>
          </w:p>
        </w:tc>
        <w:tc>
          <w:tcPr>
            <w:tcW w:w="1185" w:type="dxa"/>
          </w:tcPr>
          <w:p w14:paraId="577F104E"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color w:val="000000"/>
                <w:sz w:val="20"/>
                <w:szCs w:val="20"/>
              </w:rPr>
              <w:t>3.11</w:t>
            </w:r>
          </w:p>
        </w:tc>
        <w:tc>
          <w:tcPr>
            <w:tcW w:w="1468" w:type="dxa"/>
          </w:tcPr>
          <w:p w14:paraId="40A158E7"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color w:val="000000"/>
                <w:sz w:val="20"/>
                <w:szCs w:val="20"/>
              </w:rPr>
              <w:t>62.28</w:t>
            </w:r>
          </w:p>
        </w:tc>
        <w:tc>
          <w:tcPr>
            <w:tcW w:w="1225" w:type="dxa"/>
          </w:tcPr>
          <w:p w14:paraId="08DC6439"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color w:val="000000"/>
                <w:sz w:val="20"/>
                <w:szCs w:val="20"/>
              </w:rPr>
              <w:t>Occasional</w:t>
            </w:r>
          </w:p>
        </w:tc>
      </w:tr>
      <w:tr w:rsidR="0013238B" w:rsidRPr="00677610" w14:paraId="545A9A0D" w14:textId="77777777" w:rsidTr="00600EB5">
        <w:tc>
          <w:tcPr>
            <w:tcW w:w="2268" w:type="dxa"/>
          </w:tcPr>
          <w:p w14:paraId="5ECCD308" w14:textId="77777777" w:rsidR="0013238B" w:rsidRPr="00677610" w:rsidRDefault="0013238B" w:rsidP="0013238B">
            <w:pPr>
              <w:spacing w:after="0" w:line="240" w:lineRule="auto"/>
              <w:rPr>
                <w:rFonts w:ascii="Arial" w:hAnsi="Arial" w:cs="Arial"/>
                <w:sz w:val="20"/>
                <w:szCs w:val="20"/>
              </w:rPr>
            </w:pPr>
          </w:p>
        </w:tc>
        <w:tc>
          <w:tcPr>
            <w:tcW w:w="2268" w:type="dxa"/>
          </w:tcPr>
          <w:p w14:paraId="72C8BB29"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color w:val="000000"/>
                <w:sz w:val="20"/>
                <w:szCs w:val="20"/>
              </w:rPr>
              <w:t>Community Climate</w:t>
            </w:r>
          </w:p>
        </w:tc>
        <w:tc>
          <w:tcPr>
            <w:tcW w:w="1185" w:type="dxa"/>
          </w:tcPr>
          <w:p w14:paraId="19C10B42"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color w:val="000000"/>
                <w:sz w:val="20"/>
                <w:szCs w:val="20"/>
              </w:rPr>
              <w:t>3.12</w:t>
            </w:r>
          </w:p>
        </w:tc>
        <w:tc>
          <w:tcPr>
            <w:tcW w:w="1468" w:type="dxa"/>
          </w:tcPr>
          <w:p w14:paraId="1DD9A417"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color w:val="000000"/>
                <w:sz w:val="20"/>
                <w:szCs w:val="20"/>
              </w:rPr>
              <w:t>62.47</w:t>
            </w:r>
          </w:p>
        </w:tc>
        <w:tc>
          <w:tcPr>
            <w:tcW w:w="1225" w:type="dxa"/>
          </w:tcPr>
          <w:p w14:paraId="4178DA47"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color w:val="000000"/>
                <w:sz w:val="20"/>
                <w:szCs w:val="20"/>
              </w:rPr>
              <w:t>Occasional</w:t>
            </w:r>
          </w:p>
        </w:tc>
      </w:tr>
      <w:tr w:rsidR="0013238B" w:rsidRPr="00677610" w14:paraId="77368286" w14:textId="77777777" w:rsidTr="00600EB5">
        <w:tc>
          <w:tcPr>
            <w:tcW w:w="2268" w:type="dxa"/>
          </w:tcPr>
          <w:p w14:paraId="32D4D0C5" w14:textId="77777777" w:rsidR="0013238B" w:rsidRPr="00677610" w:rsidRDefault="0013238B" w:rsidP="0013238B">
            <w:pPr>
              <w:spacing w:after="0" w:line="240" w:lineRule="auto"/>
              <w:rPr>
                <w:rFonts w:ascii="Arial" w:hAnsi="Arial" w:cs="Arial"/>
                <w:sz w:val="20"/>
                <w:szCs w:val="20"/>
              </w:rPr>
            </w:pPr>
          </w:p>
        </w:tc>
        <w:tc>
          <w:tcPr>
            <w:tcW w:w="2268" w:type="dxa"/>
          </w:tcPr>
          <w:p w14:paraId="2959EC8F"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color w:val="000000"/>
                <w:sz w:val="20"/>
                <w:szCs w:val="20"/>
              </w:rPr>
              <w:t>Problem Understanding</w:t>
            </w:r>
          </w:p>
        </w:tc>
        <w:tc>
          <w:tcPr>
            <w:tcW w:w="1185" w:type="dxa"/>
          </w:tcPr>
          <w:p w14:paraId="79D4FF5D"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color w:val="000000"/>
                <w:sz w:val="20"/>
                <w:szCs w:val="20"/>
              </w:rPr>
              <w:t>2.46</w:t>
            </w:r>
          </w:p>
        </w:tc>
        <w:tc>
          <w:tcPr>
            <w:tcW w:w="1468" w:type="dxa"/>
          </w:tcPr>
          <w:p w14:paraId="7B5595AE"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color w:val="000000"/>
                <w:sz w:val="20"/>
                <w:szCs w:val="20"/>
              </w:rPr>
              <w:t>49.26</w:t>
            </w:r>
          </w:p>
        </w:tc>
        <w:tc>
          <w:tcPr>
            <w:tcW w:w="1225" w:type="dxa"/>
          </w:tcPr>
          <w:p w14:paraId="1D5C4101"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color w:val="000000"/>
                <w:sz w:val="20"/>
                <w:szCs w:val="20"/>
              </w:rPr>
              <w:t>Rare</w:t>
            </w:r>
          </w:p>
        </w:tc>
      </w:tr>
      <w:tr w:rsidR="0013238B" w:rsidRPr="00677610" w14:paraId="18626359" w14:textId="77777777" w:rsidTr="00600EB5">
        <w:tc>
          <w:tcPr>
            <w:tcW w:w="2268" w:type="dxa"/>
          </w:tcPr>
          <w:p w14:paraId="013A539B" w14:textId="77777777" w:rsidR="0013238B" w:rsidRPr="00677610" w:rsidRDefault="0013238B" w:rsidP="0013238B">
            <w:pPr>
              <w:spacing w:after="0" w:line="240" w:lineRule="auto"/>
              <w:rPr>
                <w:rFonts w:ascii="Arial" w:hAnsi="Arial" w:cs="Arial"/>
                <w:sz w:val="20"/>
                <w:szCs w:val="20"/>
              </w:rPr>
            </w:pPr>
          </w:p>
        </w:tc>
        <w:tc>
          <w:tcPr>
            <w:tcW w:w="2268" w:type="dxa"/>
          </w:tcPr>
          <w:p w14:paraId="35A61DC7"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color w:val="000000"/>
                <w:sz w:val="20"/>
                <w:szCs w:val="20"/>
              </w:rPr>
              <w:t>Resources</w:t>
            </w:r>
          </w:p>
        </w:tc>
        <w:tc>
          <w:tcPr>
            <w:tcW w:w="1185" w:type="dxa"/>
          </w:tcPr>
          <w:p w14:paraId="40D1252C"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color w:val="000000"/>
                <w:sz w:val="20"/>
                <w:szCs w:val="20"/>
              </w:rPr>
              <w:t>3.05</w:t>
            </w:r>
          </w:p>
        </w:tc>
        <w:tc>
          <w:tcPr>
            <w:tcW w:w="1468" w:type="dxa"/>
          </w:tcPr>
          <w:p w14:paraId="328BF209"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color w:val="000000"/>
                <w:sz w:val="20"/>
                <w:szCs w:val="20"/>
              </w:rPr>
              <w:t>60.96</w:t>
            </w:r>
          </w:p>
        </w:tc>
        <w:tc>
          <w:tcPr>
            <w:tcW w:w="1225" w:type="dxa"/>
          </w:tcPr>
          <w:p w14:paraId="3DD11012"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color w:val="000000"/>
                <w:sz w:val="20"/>
                <w:szCs w:val="20"/>
              </w:rPr>
              <w:t>Occasional</w:t>
            </w:r>
          </w:p>
        </w:tc>
      </w:tr>
      <w:tr w:rsidR="0013238B" w:rsidRPr="00677610" w14:paraId="67B215F9" w14:textId="77777777" w:rsidTr="00600EB5">
        <w:tc>
          <w:tcPr>
            <w:tcW w:w="2268" w:type="dxa"/>
          </w:tcPr>
          <w:p w14:paraId="118A1AE3" w14:textId="77777777" w:rsidR="0013238B" w:rsidRPr="00677610" w:rsidRDefault="0013238B" w:rsidP="0013238B">
            <w:pPr>
              <w:spacing w:after="0" w:line="240" w:lineRule="auto"/>
              <w:rPr>
                <w:rFonts w:ascii="Arial" w:hAnsi="Arial" w:cs="Arial"/>
                <w:sz w:val="20"/>
                <w:szCs w:val="20"/>
              </w:rPr>
            </w:pPr>
          </w:p>
        </w:tc>
        <w:tc>
          <w:tcPr>
            <w:tcW w:w="2268" w:type="dxa"/>
          </w:tcPr>
          <w:p w14:paraId="7A3629DD"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color w:val="000000"/>
                <w:sz w:val="20"/>
                <w:szCs w:val="20"/>
              </w:rPr>
              <w:t>Summary (Readiness)</w:t>
            </w:r>
          </w:p>
        </w:tc>
        <w:tc>
          <w:tcPr>
            <w:tcW w:w="1185" w:type="dxa"/>
          </w:tcPr>
          <w:p w14:paraId="0AF0F45B"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color w:val="000000"/>
                <w:sz w:val="20"/>
                <w:szCs w:val="20"/>
              </w:rPr>
              <w:t>3.02</w:t>
            </w:r>
          </w:p>
        </w:tc>
        <w:tc>
          <w:tcPr>
            <w:tcW w:w="1468" w:type="dxa"/>
          </w:tcPr>
          <w:p w14:paraId="58DAFE48"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color w:val="000000"/>
                <w:sz w:val="20"/>
                <w:szCs w:val="20"/>
              </w:rPr>
              <w:t>45.30</w:t>
            </w:r>
          </w:p>
        </w:tc>
        <w:tc>
          <w:tcPr>
            <w:tcW w:w="1225" w:type="dxa"/>
          </w:tcPr>
          <w:p w14:paraId="6459E4F9"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color w:val="000000"/>
                <w:sz w:val="20"/>
                <w:szCs w:val="20"/>
              </w:rPr>
              <w:t>Occasional</w:t>
            </w:r>
          </w:p>
        </w:tc>
      </w:tr>
    </w:tbl>
    <w:p w14:paraId="3601D26A" w14:textId="77777777" w:rsidR="0013238B" w:rsidRPr="00677610" w:rsidRDefault="0013238B" w:rsidP="0013238B">
      <w:pPr>
        <w:spacing w:line="240" w:lineRule="auto"/>
        <w:ind w:firstLine="720"/>
        <w:rPr>
          <w:rFonts w:ascii="Arial" w:hAnsi="Arial" w:cs="Arial"/>
          <w:sz w:val="20"/>
          <w:szCs w:val="20"/>
        </w:rPr>
      </w:pPr>
      <w:r w:rsidRPr="00677610">
        <w:rPr>
          <w:rFonts w:ascii="Arial" w:hAnsi="Arial" w:cs="Arial"/>
          <w:i/>
          <w:sz w:val="20"/>
          <w:szCs w:val="20"/>
        </w:rPr>
        <w:t>Source: Research Data, 2025.</w:t>
      </w:r>
    </w:p>
    <w:p w14:paraId="7EF207FE" w14:textId="77777777" w:rsidR="0013238B" w:rsidRPr="00677610" w:rsidRDefault="0013238B" w:rsidP="0013238B">
      <w:pPr>
        <w:spacing w:after="0" w:line="240" w:lineRule="auto"/>
        <w:ind w:firstLine="720"/>
        <w:contextualSpacing/>
        <w:jc w:val="both"/>
        <w:rPr>
          <w:rFonts w:ascii="Arial" w:hAnsi="Arial" w:cs="Arial"/>
          <w:sz w:val="20"/>
          <w:szCs w:val="20"/>
        </w:rPr>
      </w:pPr>
    </w:p>
    <w:p w14:paraId="26299329" w14:textId="77777777" w:rsidR="0013238B" w:rsidRPr="00677610" w:rsidRDefault="0013238B" w:rsidP="0013238B">
      <w:pPr>
        <w:spacing w:after="0" w:line="240" w:lineRule="auto"/>
        <w:ind w:firstLine="720"/>
        <w:contextualSpacing/>
        <w:jc w:val="both"/>
        <w:rPr>
          <w:rFonts w:ascii="Arial" w:hAnsi="Arial" w:cs="Arial"/>
          <w:sz w:val="20"/>
          <w:szCs w:val="20"/>
        </w:rPr>
      </w:pPr>
      <w:r w:rsidRPr="00677610">
        <w:rPr>
          <w:rFonts w:ascii="Arial" w:hAnsi="Arial" w:cs="Arial"/>
          <w:sz w:val="20"/>
          <w:szCs w:val="20"/>
        </w:rPr>
        <w:t xml:space="preserve">Community Motivation (Mean = 3.54; 70.72%) and Community Education (Mean = 3.56; 71.27%) have rather robust profiles, signifying greater willingness and sufficient educational exposure among respondents. In contrast, Community Skills are more tentative (Mean = 3.22; 64.48%), indicating that practical competencies for employing technology-enabled infrastructure still necessitate enhancement. Community Readiness predominantly resides at </w:t>
      </w:r>
      <w:proofErr w:type="gramStart"/>
      <w:r w:rsidRPr="00677610">
        <w:rPr>
          <w:rFonts w:ascii="Arial" w:hAnsi="Arial" w:cs="Arial"/>
          <w:sz w:val="20"/>
          <w:szCs w:val="20"/>
        </w:rPr>
        <w:t>a</w:t>
      </w:r>
      <w:proofErr w:type="gramEnd"/>
      <w:r w:rsidRPr="00677610">
        <w:rPr>
          <w:rFonts w:ascii="Arial" w:hAnsi="Arial" w:cs="Arial"/>
          <w:sz w:val="20"/>
          <w:szCs w:val="20"/>
        </w:rPr>
        <w:t xml:space="preserve"> 'occasional' level across various dimensions (e.g., community effort, program knowledge, leadership, climate, and resources), whereas Problem Understanding emerges as the most deficient component (Mean = 2.46; 49.26%), indicating a restricted awareness of developmental impacts and solution pathways—an element that may hinder the conversion of motivation and education into effective infrastructure utilization.</w:t>
      </w:r>
    </w:p>
    <w:p w14:paraId="23FF5759" w14:textId="77777777" w:rsidR="0013238B" w:rsidRPr="00677610" w:rsidRDefault="0013238B" w:rsidP="0013238B">
      <w:pPr>
        <w:pStyle w:val="ListParagraph"/>
        <w:numPr>
          <w:ilvl w:val="0"/>
          <w:numId w:val="18"/>
        </w:numPr>
        <w:spacing w:before="120" w:after="0" w:line="240" w:lineRule="auto"/>
        <w:ind w:left="493" w:hanging="493"/>
        <w:jc w:val="both"/>
        <w:rPr>
          <w:rFonts w:ascii="Arial" w:hAnsi="Arial" w:cs="Arial"/>
          <w:sz w:val="20"/>
          <w:szCs w:val="20"/>
        </w:rPr>
      </w:pPr>
      <w:r w:rsidRPr="00677610">
        <w:rPr>
          <w:rFonts w:ascii="Arial" w:hAnsi="Arial" w:cs="Arial"/>
          <w:b/>
          <w:bCs/>
          <w:sz w:val="20"/>
          <w:szCs w:val="20"/>
        </w:rPr>
        <w:t>Measurement</w:t>
      </w:r>
      <w:r w:rsidRPr="00677610">
        <w:rPr>
          <w:rFonts w:ascii="Arial" w:hAnsi="Arial" w:cs="Arial"/>
          <w:b/>
          <w:sz w:val="20"/>
          <w:szCs w:val="20"/>
        </w:rPr>
        <w:t xml:space="preserve"> Model Quality Assessment: Reliability, Convergent Validity, and Discriminant Validity </w:t>
      </w:r>
    </w:p>
    <w:p w14:paraId="15C6C7CD" w14:textId="387D8907" w:rsidR="0013238B" w:rsidRPr="00677610" w:rsidRDefault="0013238B" w:rsidP="0013238B">
      <w:pPr>
        <w:spacing w:after="0" w:line="240" w:lineRule="auto"/>
        <w:ind w:firstLine="720"/>
        <w:contextualSpacing/>
        <w:jc w:val="both"/>
        <w:rPr>
          <w:rFonts w:ascii="Arial" w:hAnsi="Arial" w:cs="Arial"/>
          <w:sz w:val="20"/>
          <w:szCs w:val="20"/>
        </w:rPr>
      </w:pPr>
      <w:r w:rsidRPr="00677610">
        <w:rPr>
          <w:rFonts w:ascii="Arial" w:hAnsi="Arial" w:cs="Arial"/>
          <w:sz w:val="20"/>
          <w:szCs w:val="20"/>
        </w:rPr>
        <w:t xml:space="preserve">Figure 1 illustrates the CVA measurement model for community readiness within the IKN core government area, comprising four latent constructs—Community Motivation, Community Skills, Community Education, and Community Readiness—assessed through 14 indicators (df = 69), signifying an over-identified CB-SEM model </w:t>
      </w:r>
      <w:r w:rsidRPr="00677610">
        <w:rPr>
          <w:rFonts w:ascii="Arial" w:hAnsi="Arial" w:cs="Arial"/>
          <w:sz w:val="20"/>
          <w:szCs w:val="20"/>
        </w:rPr>
        <w:fldChar w:fldCharType="begin" w:fldLock="1"/>
      </w:r>
      <w:r w:rsidR="00A72F9C" w:rsidRPr="00677610">
        <w:rPr>
          <w:rFonts w:ascii="Arial" w:hAnsi="Arial" w:cs="Arial"/>
          <w:sz w:val="20"/>
          <w:szCs w:val="20"/>
        </w:rPr>
        <w:instrText>ADDIN CSL_CITATION {"citationItems":[{"id":"ITEM-1","itemData":{"ISBN":"978-1-4737-5654-0","ISSN":"0921-5077","abstract":"Meer dan 25 jaar geleden verscheen de eerste editie van dit toegepaste handboek over multivariate data-analyse. Deze zesde editie is dan ook een update van zijn voorgangers, maar kent een aantal opmerkelijke verbeteringen, zoals een nieuwe database om allerlei technieken te oefenen, handige gebruiksregels voor de toepassing en interpretatie van technieken, en als klap op de vuurpijl maar liefst drie nieuwe hoofdstukken over covariantie-structuuranalyse.","author":[{"dropping-particle":"","family":"Hair at al.","given":"","non-dropping-particle":"","parse-names":false,"suffix":""}],"container-title":"Annabel Ainscow","id":"ITEM-1","issue":"3","issued":{"date-parts":[["2019","9","1"]]},"title":"Multivariate Data Analysis (Sixth Edition)","type":"book","volume":"19"},"uris":["http://www.mendeley.com/documents/?uuid=50c8c6c4-a217-475e-9b5e-858c5a1888b2"]},{"id":"ITEM-2","itemData":{"ISBN":"9781462523344","ISSN":"1927-9825","abstract":"This bestselling text provides a balance between the technical and practical aspects of structural equation modeling (SEM). Using clear and accessible language, Rex B. Kline covers core techniques, potential pitfalls, and applications across the behavioral and social sciences. Some more advanced topics are also covered, including estimation of interactive effects of latent variables and multilevel SEM. The companion Web page offers downloadable syntax, data, and output files for each detailed example for EQS, LISREL, and Mplus, allowing readers to view the results of the same analysis generated by three different computer tools. New to This Edition Thoroughly revised and restructured to follow the phases of most SEM analyses. Syntax, data, and output files for all detailed research examples are now provided online. Exercises with answers, which support self-study. Topic boxes on specialized issues, such as dealing with problems in the analysis; the assessment of construct measurement reliability; and more. Updated coverage of a more rigorous approach to hypothesis and model testing; the evaluation of measurement invariance; and more.","author":[{"dropping-particle":"","family":"R.B. Kline","given":"","non-dropping-particle":"","parse-names":false,"suffix":""}],"container-title":"thE GuiLFord PrESS new York London","id":"ITEM-2","issue":"1","issued":{"date-parts":[["2016","7","12"]]},"number-of-pages":"59","title":"Principles and Practice of Structural Equation Modeling","type":"book","volume":"1"},"uris":["http://www.mendeley.com/documents/?uuid=2d907137-4a37-4fca-8200-b5a7eb63a4e3"]}],"mendeley":{"formattedCitation":"(Hair at al. 2019; R.B. Kline 2016)","plainTextFormattedCitation":"(Hair at al. 2019; R.B. Kline 2016)","previouslyFormattedCitation":"(Hair at al. 2019; R.B. Kline 2016)"},"properties":{"noteIndex":0},"schema":"https://github.com/citation-style-language/schema/raw/master/csl-citation.json"}</w:instrText>
      </w:r>
      <w:r w:rsidRPr="00677610">
        <w:rPr>
          <w:rFonts w:ascii="Arial" w:hAnsi="Arial" w:cs="Arial"/>
          <w:sz w:val="20"/>
          <w:szCs w:val="20"/>
        </w:rPr>
        <w:fldChar w:fldCharType="separate"/>
      </w:r>
      <w:r w:rsidR="00A72F9C" w:rsidRPr="00677610">
        <w:rPr>
          <w:rFonts w:ascii="Arial" w:hAnsi="Arial" w:cs="Arial"/>
          <w:noProof/>
          <w:sz w:val="20"/>
          <w:szCs w:val="20"/>
        </w:rPr>
        <w:t>(Hair at al. 2019; R.B. Kline 2016)</w:t>
      </w:r>
      <w:r w:rsidRPr="00677610">
        <w:rPr>
          <w:rFonts w:ascii="Arial" w:hAnsi="Arial" w:cs="Arial"/>
          <w:sz w:val="20"/>
          <w:szCs w:val="20"/>
        </w:rPr>
        <w:fldChar w:fldCharType="end"/>
      </w:r>
      <w:r w:rsidRPr="00677610">
        <w:rPr>
          <w:rFonts w:ascii="Arial" w:hAnsi="Arial" w:cs="Arial"/>
          <w:sz w:val="20"/>
          <w:szCs w:val="20"/>
        </w:rPr>
        <w:t xml:space="preserve">. The model fit is deemed acceptable to marginal </w:t>
      </w:r>
      <w:r w:rsidRPr="00677610">
        <w:rPr>
          <w:rFonts w:ascii="Arial" w:hAnsi="Arial" w:cs="Arial"/>
          <w:sz w:val="20"/>
          <w:szCs w:val="20"/>
        </w:rPr>
        <w:lastRenderedPageBreak/>
        <w:t>(χ² = 172.461, p &lt; 0.001; CMIN/DF = 2.499; RMSEA = 0.067; GFI = 0.934; AGFI = 0.900; TLI = 0.838; CFI = 0.877), with all standardized loadings satisfying the ≥0.50 criterion (ranging from 0.51 to 0.82). The strongest indicators include Existence (0.71), Problem Solving Skill (0.82), Non-formal Education</w:t>
      </w:r>
      <w:r w:rsidR="00B5767E" w:rsidRPr="00677610">
        <w:rPr>
          <w:rFonts w:ascii="Arial" w:hAnsi="Arial" w:cs="Arial"/>
          <w:sz w:val="20"/>
          <w:szCs w:val="20"/>
        </w:rPr>
        <w:t xml:space="preserve"> (</w:t>
      </w:r>
      <w:r w:rsidRPr="00677610">
        <w:rPr>
          <w:rFonts w:ascii="Arial" w:hAnsi="Arial" w:cs="Arial"/>
          <w:sz w:val="20"/>
          <w:szCs w:val="20"/>
        </w:rPr>
        <w:t xml:space="preserve">0.73), and Resources (0.63), while Technical Skill and Community Effort are the weakest indicators (both </w:t>
      </w:r>
      <w:r w:rsidRPr="00677610">
        <w:rPr>
          <w:rFonts w:ascii="Arial" w:hAnsi="Arial" w:cs="Arial"/>
          <w:noProof/>
          <w:sz w:val="20"/>
          <w:szCs w:val="20"/>
        </w:rPr>
        <w:drawing>
          <wp:anchor distT="0" distB="0" distL="114300" distR="114300" simplePos="0" relativeHeight="251659264" behindDoc="0" locked="0" layoutInCell="1" allowOverlap="1" wp14:anchorId="3C73F900" wp14:editId="392679EF">
            <wp:simplePos x="0" y="0"/>
            <wp:positionH relativeFrom="margin">
              <wp:align>left</wp:align>
            </wp:positionH>
            <wp:positionV relativeFrom="paragraph">
              <wp:posOffset>820420</wp:posOffset>
            </wp:positionV>
            <wp:extent cx="5486400" cy="448500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5486400" cy="4485005"/>
                    </a:xfrm>
                    <a:prstGeom prst="rect">
                      <a:avLst/>
                    </a:prstGeom>
                  </pic:spPr>
                </pic:pic>
              </a:graphicData>
            </a:graphic>
            <wp14:sizeRelH relativeFrom="page">
              <wp14:pctWidth>0</wp14:pctWidth>
            </wp14:sizeRelH>
            <wp14:sizeRelV relativeFrom="page">
              <wp14:pctHeight>0</wp14:pctHeight>
            </wp14:sizeRelV>
          </wp:anchor>
        </w:drawing>
      </w:r>
      <w:r w:rsidRPr="00677610">
        <w:rPr>
          <w:rFonts w:ascii="Arial" w:hAnsi="Arial" w:cs="Arial"/>
          <w:sz w:val="20"/>
          <w:szCs w:val="20"/>
        </w:rPr>
        <w:t>at 0.51) yet remain acceptable.</w:t>
      </w:r>
    </w:p>
    <w:p w14:paraId="6FA27EC5" w14:textId="1F4E0A9E" w:rsidR="0013238B" w:rsidRPr="00677610" w:rsidRDefault="0013238B" w:rsidP="0013238B">
      <w:pPr>
        <w:spacing w:after="0" w:line="240" w:lineRule="auto"/>
        <w:ind w:firstLine="720"/>
        <w:jc w:val="center"/>
        <w:rPr>
          <w:rStyle w:val="Strong"/>
          <w:rFonts w:ascii="Arial" w:hAnsi="Arial" w:cs="Arial"/>
          <w:sz w:val="20"/>
          <w:szCs w:val="20"/>
        </w:rPr>
      </w:pPr>
    </w:p>
    <w:p w14:paraId="47E642A1" w14:textId="77777777" w:rsidR="0013238B" w:rsidRPr="00677610" w:rsidRDefault="0013238B" w:rsidP="0013238B">
      <w:pPr>
        <w:spacing w:after="0" w:line="240" w:lineRule="auto"/>
        <w:jc w:val="center"/>
        <w:rPr>
          <w:rStyle w:val="Strong"/>
          <w:rFonts w:ascii="Arial" w:hAnsi="Arial" w:cs="Arial"/>
          <w:b w:val="0"/>
          <w:bCs w:val="0"/>
          <w:sz w:val="20"/>
          <w:szCs w:val="20"/>
        </w:rPr>
      </w:pPr>
      <w:r w:rsidRPr="00677610">
        <w:rPr>
          <w:rStyle w:val="Strong"/>
          <w:rFonts w:ascii="Arial" w:hAnsi="Arial" w:cs="Arial"/>
          <w:sz w:val="20"/>
          <w:szCs w:val="20"/>
        </w:rPr>
        <w:t>Fig 1. Higher-Order Measurement Model</w:t>
      </w:r>
    </w:p>
    <w:p w14:paraId="6796E617" w14:textId="77777777" w:rsidR="0013238B" w:rsidRPr="00677610" w:rsidRDefault="0013238B" w:rsidP="0013238B">
      <w:pPr>
        <w:spacing w:after="0" w:line="240" w:lineRule="auto"/>
        <w:contextualSpacing/>
        <w:jc w:val="center"/>
        <w:rPr>
          <w:rFonts w:ascii="Arial" w:hAnsi="Arial" w:cs="Arial"/>
          <w:sz w:val="20"/>
          <w:szCs w:val="20"/>
        </w:rPr>
      </w:pPr>
      <w:r w:rsidRPr="00677610">
        <w:rPr>
          <w:rStyle w:val="Emphasis"/>
          <w:rFonts w:ascii="Arial" w:hAnsi="Arial" w:cs="Arial"/>
          <w:sz w:val="20"/>
          <w:szCs w:val="20"/>
        </w:rPr>
        <w:t>Source: Field survey data, 2025</w:t>
      </w:r>
    </w:p>
    <w:p w14:paraId="2305E4C3" w14:textId="77777777" w:rsidR="0013238B" w:rsidRPr="00677610" w:rsidRDefault="0013238B" w:rsidP="0013238B">
      <w:pPr>
        <w:spacing w:after="0" w:line="240" w:lineRule="auto"/>
        <w:ind w:firstLine="720"/>
        <w:contextualSpacing/>
        <w:jc w:val="both"/>
        <w:rPr>
          <w:rFonts w:ascii="Arial" w:hAnsi="Arial" w:cs="Arial"/>
          <w:sz w:val="20"/>
          <w:szCs w:val="20"/>
        </w:rPr>
      </w:pPr>
      <w:r w:rsidRPr="00677610">
        <w:rPr>
          <w:rFonts w:ascii="Arial" w:hAnsi="Arial" w:cs="Arial"/>
          <w:sz w:val="20"/>
          <w:szCs w:val="20"/>
        </w:rPr>
        <w:t xml:space="preserve">Based on the indicator-level evidence presented in Figure 1, the measurement model was subsequently assessed using construct-level criteria detailed in Tables 3–5. Table 3 delineates internal consistency reliability (CR and Cronbach’s α) and convergent validity (AVE), whereas discriminant validity is evaluated through the </w:t>
      </w:r>
      <w:proofErr w:type="spellStart"/>
      <w:r w:rsidRPr="00677610">
        <w:rPr>
          <w:rFonts w:ascii="Arial" w:hAnsi="Arial" w:cs="Arial"/>
          <w:sz w:val="20"/>
          <w:szCs w:val="20"/>
        </w:rPr>
        <w:t>Fornell</w:t>
      </w:r>
      <w:proofErr w:type="spellEnd"/>
      <w:r w:rsidRPr="00677610">
        <w:rPr>
          <w:rFonts w:ascii="Arial" w:hAnsi="Arial" w:cs="Arial"/>
          <w:sz w:val="20"/>
          <w:szCs w:val="20"/>
        </w:rPr>
        <w:t>–</w:t>
      </w:r>
      <w:proofErr w:type="spellStart"/>
      <w:r w:rsidRPr="00677610">
        <w:rPr>
          <w:rFonts w:ascii="Arial" w:hAnsi="Arial" w:cs="Arial"/>
          <w:sz w:val="20"/>
          <w:szCs w:val="20"/>
        </w:rPr>
        <w:t>Larcker</w:t>
      </w:r>
      <w:proofErr w:type="spellEnd"/>
      <w:r w:rsidRPr="00677610">
        <w:rPr>
          <w:rFonts w:ascii="Arial" w:hAnsi="Arial" w:cs="Arial"/>
          <w:sz w:val="20"/>
          <w:szCs w:val="20"/>
        </w:rPr>
        <w:t xml:space="preserve"> criterion (Table 4) and the AVE–MSV/ASV comparison (Table 5) to ensure that each construct is empirically distinct before estimating the structural relationships.</w:t>
      </w:r>
    </w:p>
    <w:p w14:paraId="3425CF9A" w14:textId="77777777" w:rsidR="0013238B" w:rsidRPr="00677610" w:rsidRDefault="0013238B" w:rsidP="0013238B">
      <w:pPr>
        <w:spacing w:after="0" w:line="240" w:lineRule="auto"/>
        <w:ind w:firstLine="720"/>
        <w:contextualSpacing/>
        <w:jc w:val="both"/>
        <w:rPr>
          <w:rFonts w:ascii="Arial" w:hAnsi="Arial" w:cs="Arial"/>
          <w:sz w:val="20"/>
          <w:szCs w:val="20"/>
        </w:rPr>
      </w:pPr>
    </w:p>
    <w:p w14:paraId="76528719" w14:textId="77777777" w:rsidR="0013238B" w:rsidRPr="00677610" w:rsidRDefault="0013238B" w:rsidP="0013238B">
      <w:pPr>
        <w:pStyle w:val="ListParagraph"/>
        <w:numPr>
          <w:ilvl w:val="0"/>
          <w:numId w:val="18"/>
        </w:numPr>
        <w:spacing w:before="120" w:after="0" w:line="240" w:lineRule="auto"/>
        <w:ind w:left="493" w:hanging="493"/>
        <w:jc w:val="both"/>
        <w:rPr>
          <w:rFonts w:ascii="Arial" w:hAnsi="Arial" w:cs="Arial"/>
          <w:sz w:val="20"/>
          <w:szCs w:val="20"/>
        </w:rPr>
      </w:pPr>
      <w:r w:rsidRPr="00677610">
        <w:rPr>
          <w:rFonts w:ascii="Arial" w:hAnsi="Arial" w:cs="Arial"/>
          <w:b/>
          <w:sz w:val="20"/>
          <w:szCs w:val="20"/>
        </w:rPr>
        <w:t>Internal Consistency Reliability and Convergent Validity</w:t>
      </w:r>
    </w:p>
    <w:p w14:paraId="5D4E4535" w14:textId="215ED523" w:rsidR="0013238B" w:rsidRPr="00677610" w:rsidRDefault="00D52106" w:rsidP="0013238B">
      <w:pPr>
        <w:spacing w:after="0" w:line="240" w:lineRule="auto"/>
        <w:ind w:firstLine="720"/>
        <w:contextualSpacing/>
        <w:jc w:val="both"/>
        <w:rPr>
          <w:rFonts w:ascii="Arial" w:hAnsi="Arial" w:cs="Arial"/>
          <w:sz w:val="20"/>
          <w:szCs w:val="20"/>
        </w:rPr>
      </w:pPr>
      <w:r w:rsidRPr="00677610">
        <w:rPr>
          <w:rFonts w:ascii="Arial" w:hAnsi="Arial" w:cs="Arial"/>
          <w:sz w:val="20"/>
          <w:szCs w:val="20"/>
          <w:highlight w:val="yellow"/>
        </w:rPr>
        <w:t xml:space="preserve">Table 3 presents the Average Variance Extracted (AVE), Composite Reliability (CR), and Cronbach’s alpha (α) for the four latent constructs: Community Motivation, Community Skills, Community Education, and Community Readiness. AVE indicates the proportion of indicator variance captured by a construct relative to measurement error, while CR and Cronbach’s alpha reflect the internal consistency of the indicators representing each latent variable. In SEM-based measurement assessment, AVE values above 0.50 indicate adequate convergent validity, whereas CR values above 0.70 indicate acceptable internal consistency reliability </w:t>
      </w:r>
      <w:r w:rsidRPr="00677610">
        <w:rPr>
          <w:rFonts w:ascii="Arial" w:hAnsi="Arial" w:cs="Arial"/>
          <w:sz w:val="20"/>
          <w:szCs w:val="20"/>
          <w:highlight w:val="yellow"/>
        </w:rPr>
        <w:fldChar w:fldCharType="begin" w:fldLock="1"/>
      </w:r>
      <w:r w:rsidR="002018ED" w:rsidRPr="00677610">
        <w:rPr>
          <w:rFonts w:ascii="Arial" w:hAnsi="Arial" w:cs="Arial"/>
          <w:sz w:val="20"/>
          <w:szCs w:val="20"/>
          <w:highlight w:val="yellow"/>
        </w:rPr>
        <w:instrText>ADDIN CSL_CITATION {"citationItems":[{"id":"ITEM-1","itemData":{"DOI":"10.1007/s10490-023-09871-y","ISBN":"1049002309871","ISSN":"15729958","abstract":"Many constructs in management studies, such as perceptions, personalities, attitudes, and behavioral intentions, are not directly observable. Typically, empirical studies measure such constructs using established scales with multiple indicators. When the scales are used in a different population, the items are translated into other languages or revised to adapt to other populations, it is essential for researchers to report the quality of measurement scales before using them to test hypotheses. Researchers commonly report the quality of these measurement scales based on Cronbach’s alpha and confirmatory factor analysis results. However, these results are usually inadequate and sometimes inappropriate. Moreover, researchers rarely consider sampling errors for these psychometric quality measures. In this best practice paper, we first critically review the most frequently-used approaches in empirical studies to evaluate the quality of measurement scales when using structural equation modeling. Next, we recommend best practices in assessing reliability, convergent and discriminant validity based on multiple criteria and taking sampling errors into consideration. Then, we illustrate with numerical examples the application of a specifically-developed R package, measureQ, that provides a one-stop solution for implementing the recommended best practices and a template for reporting the results. measureQ is easy to implement, even for those new to R. Our overall aim is to provide a best-practice reference for future authors, reviewers, and editors in reporting and reviewing the quality of measurement scales in empirical management studies.","author":[{"dropping-particle":"","family":"Cheung","given":"Gordon W.","non-dropping-particle":"","parse-names":false,"suffix":""},{"dropping-particle":"","family":"Cooper-Thomas","given":"Helena D.","non-dropping-particle":"","parse-names":false,"suffix":""},{"dropping-particle":"","family":"Lau","given":"Rebecca S.","non-dropping-particle":"","parse-names":false,"suffix":""},{"dropping-particle":"","family":"Wang","given":"Linda C.","non-dropping-particle":"","parse-names":false,"suffix":""}],"container-title":"Asia Pacific Journal of Management","id":"ITEM-1","issue":"2","issued":{"date-parts":[["2024"]]},"number-of-pages":"745-783","publisher":"Springer US","title":"Reporting reliability, convergent and discriminant validity with structural equation modeling: A review and best-practice recommendations","type":"book","volume":"41"},"uris":["http://www.mendeley.com/documents/?uuid=b2c48555-2240-43f4-a0e7-38a4c4218090"]}],"mendeley":{"formattedCitation":"(Cheung et al. 2024)","plainTextFormattedCitation":"(Cheung et al. 2024)","previouslyFormattedCitation":"(Cheung et al. 2024)"},"properties":{"noteIndex":0},"schema":"https://github.com/citation-style-language/schema/raw/master/csl-citation.json"}</w:instrText>
      </w:r>
      <w:r w:rsidRPr="00677610">
        <w:rPr>
          <w:rFonts w:ascii="Arial" w:hAnsi="Arial" w:cs="Arial"/>
          <w:sz w:val="20"/>
          <w:szCs w:val="20"/>
          <w:highlight w:val="yellow"/>
        </w:rPr>
        <w:fldChar w:fldCharType="separate"/>
      </w:r>
      <w:r w:rsidRPr="00677610">
        <w:rPr>
          <w:rFonts w:ascii="Arial" w:hAnsi="Arial" w:cs="Arial"/>
          <w:noProof/>
          <w:sz w:val="20"/>
          <w:szCs w:val="20"/>
          <w:highlight w:val="yellow"/>
        </w:rPr>
        <w:t>(Cheung et al. 2024)</w:t>
      </w:r>
      <w:r w:rsidRPr="00677610">
        <w:rPr>
          <w:rFonts w:ascii="Arial" w:hAnsi="Arial" w:cs="Arial"/>
          <w:sz w:val="20"/>
          <w:szCs w:val="20"/>
          <w:highlight w:val="yellow"/>
        </w:rPr>
        <w:fldChar w:fldCharType="end"/>
      </w:r>
      <w:r w:rsidRPr="00677610">
        <w:rPr>
          <w:rFonts w:ascii="Arial" w:hAnsi="Arial" w:cs="Arial"/>
          <w:sz w:val="20"/>
          <w:szCs w:val="20"/>
          <w:highlight w:val="yellow"/>
        </w:rPr>
        <w:t>.</w:t>
      </w:r>
    </w:p>
    <w:p w14:paraId="507F3F59" w14:textId="77777777" w:rsidR="00B5767E" w:rsidRPr="00677610" w:rsidRDefault="00B5767E" w:rsidP="0013238B">
      <w:pPr>
        <w:spacing w:after="0" w:line="240" w:lineRule="auto"/>
        <w:ind w:firstLine="720"/>
        <w:contextualSpacing/>
        <w:jc w:val="both"/>
        <w:rPr>
          <w:rFonts w:ascii="Arial" w:hAnsi="Arial" w:cs="Arial"/>
          <w:sz w:val="20"/>
          <w:szCs w:val="20"/>
        </w:rPr>
      </w:pPr>
    </w:p>
    <w:p w14:paraId="3624D15F" w14:textId="77777777" w:rsidR="00B5767E" w:rsidRPr="00677610" w:rsidRDefault="00B5767E" w:rsidP="0013238B">
      <w:pPr>
        <w:spacing w:after="0" w:line="240" w:lineRule="auto"/>
        <w:ind w:firstLine="720"/>
        <w:contextualSpacing/>
        <w:jc w:val="both"/>
        <w:rPr>
          <w:rFonts w:ascii="Arial" w:hAnsi="Arial" w:cs="Arial"/>
          <w:sz w:val="20"/>
          <w:szCs w:val="20"/>
        </w:rPr>
      </w:pPr>
    </w:p>
    <w:p w14:paraId="6B64ABB7" w14:textId="739CC02B" w:rsidR="00B5767E" w:rsidRPr="00677610" w:rsidRDefault="00B5767E" w:rsidP="0013238B">
      <w:pPr>
        <w:spacing w:after="0" w:line="240" w:lineRule="auto"/>
        <w:ind w:firstLine="720"/>
        <w:contextualSpacing/>
        <w:jc w:val="both"/>
        <w:rPr>
          <w:rFonts w:ascii="Arial" w:hAnsi="Arial" w:cs="Arial"/>
          <w:sz w:val="20"/>
          <w:szCs w:val="20"/>
        </w:rPr>
      </w:pPr>
    </w:p>
    <w:p w14:paraId="5F8517B6" w14:textId="77777777" w:rsidR="00BC1586" w:rsidRPr="00677610" w:rsidRDefault="00BC1586" w:rsidP="0013238B">
      <w:pPr>
        <w:spacing w:after="0" w:line="240" w:lineRule="auto"/>
        <w:ind w:firstLine="720"/>
        <w:contextualSpacing/>
        <w:jc w:val="both"/>
        <w:rPr>
          <w:rFonts w:ascii="Arial" w:hAnsi="Arial" w:cs="Arial"/>
          <w:sz w:val="20"/>
          <w:szCs w:val="20"/>
        </w:rPr>
      </w:pPr>
    </w:p>
    <w:p w14:paraId="0EC02A09" w14:textId="77777777" w:rsidR="0013238B" w:rsidRPr="00677610" w:rsidRDefault="0013238B" w:rsidP="0013238B">
      <w:pPr>
        <w:spacing w:after="0" w:line="240" w:lineRule="auto"/>
        <w:ind w:firstLine="720"/>
        <w:contextualSpacing/>
        <w:jc w:val="both"/>
        <w:rPr>
          <w:rFonts w:ascii="Arial" w:hAnsi="Arial" w:cs="Arial"/>
          <w:sz w:val="20"/>
          <w:szCs w:val="20"/>
        </w:rPr>
      </w:pPr>
    </w:p>
    <w:p w14:paraId="7A62BFD0" w14:textId="77777777" w:rsidR="0013238B" w:rsidRPr="00677610" w:rsidRDefault="0013238B" w:rsidP="0013238B">
      <w:pPr>
        <w:spacing w:after="0" w:line="240" w:lineRule="auto"/>
        <w:ind w:left="720"/>
        <w:contextualSpacing/>
        <w:jc w:val="both"/>
        <w:rPr>
          <w:rFonts w:ascii="Arial" w:hAnsi="Arial" w:cs="Arial"/>
          <w:bCs/>
          <w:sz w:val="20"/>
          <w:szCs w:val="20"/>
        </w:rPr>
      </w:pPr>
      <w:r w:rsidRPr="00677610">
        <w:rPr>
          <w:rFonts w:ascii="Arial" w:hAnsi="Arial" w:cs="Arial"/>
          <w:bCs/>
          <w:sz w:val="20"/>
          <w:szCs w:val="20"/>
        </w:rPr>
        <w:t>Table 3. Reliability and Convergent Validity Assessment</w:t>
      </w:r>
    </w:p>
    <w:tbl>
      <w:tblPr>
        <w:tblW w:w="6510" w:type="dxa"/>
        <w:tblInd w:w="720" w:type="dxa"/>
        <w:tblLook w:val="04A0" w:firstRow="1" w:lastRow="0" w:firstColumn="1" w:lastColumn="0" w:noHBand="0" w:noVBand="1"/>
      </w:tblPr>
      <w:tblGrid>
        <w:gridCol w:w="2660"/>
        <w:gridCol w:w="884"/>
        <w:gridCol w:w="1690"/>
        <w:gridCol w:w="1276"/>
      </w:tblGrid>
      <w:tr w:rsidR="0013238B" w:rsidRPr="00677610" w14:paraId="10778501" w14:textId="77777777" w:rsidTr="000A325E">
        <w:tc>
          <w:tcPr>
            <w:tcW w:w="2660" w:type="dxa"/>
            <w:tcBorders>
              <w:top w:val="single" w:sz="4" w:space="0" w:color="auto"/>
              <w:bottom w:val="single" w:sz="4" w:space="0" w:color="auto"/>
            </w:tcBorders>
          </w:tcPr>
          <w:p w14:paraId="39657F1B" w14:textId="77777777" w:rsidR="0013238B" w:rsidRPr="00677610" w:rsidRDefault="0013238B" w:rsidP="00600EB5">
            <w:pPr>
              <w:spacing w:after="0" w:line="240" w:lineRule="auto"/>
              <w:jc w:val="both"/>
              <w:rPr>
                <w:rFonts w:ascii="Arial" w:hAnsi="Arial" w:cs="Arial"/>
                <w:sz w:val="20"/>
                <w:szCs w:val="20"/>
              </w:rPr>
            </w:pPr>
            <w:r w:rsidRPr="00677610">
              <w:rPr>
                <w:rFonts w:ascii="Arial" w:hAnsi="Arial" w:cs="Arial"/>
                <w:sz w:val="20"/>
                <w:szCs w:val="20"/>
              </w:rPr>
              <w:t>Latent Variables</w:t>
            </w:r>
          </w:p>
        </w:tc>
        <w:tc>
          <w:tcPr>
            <w:tcW w:w="884" w:type="dxa"/>
            <w:tcBorders>
              <w:top w:val="single" w:sz="4" w:space="0" w:color="auto"/>
              <w:bottom w:val="single" w:sz="4" w:space="0" w:color="auto"/>
            </w:tcBorders>
          </w:tcPr>
          <w:p w14:paraId="05CA020F" w14:textId="77777777" w:rsidR="0013238B" w:rsidRPr="00677610" w:rsidRDefault="0013238B" w:rsidP="00600EB5">
            <w:pPr>
              <w:spacing w:after="0" w:line="240" w:lineRule="auto"/>
              <w:jc w:val="both"/>
              <w:rPr>
                <w:rFonts w:ascii="Arial" w:hAnsi="Arial" w:cs="Arial"/>
                <w:sz w:val="20"/>
                <w:szCs w:val="20"/>
              </w:rPr>
            </w:pPr>
            <w:r w:rsidRPr="00677610">
              <w:rPr>
                <w:rFonts w:ascii="Arial" w:hAnsi="Arial" w:cs="Arial"/>
                <w:sz w:val="20"/>
                <w:szCs w:val="20"/>
              </w:rPr>
              <w:t>AVE</w:t>
            </w:r>
          </w:p>
        </w:tc>
        <w:tc>
          <w:tcPr>
            <w:tcW w:w="1690" w:type="dxa"/>
            <w:tcBorders>
              <w:top w:val="single" w:sz="4" w:space="0" w:color="auto"/>
              <w:bottom w:val="single" w:sz="4" w:space="0" w:color="auto"/>
            </w:tcBorders>
          </w:tcPr>
          <w:p w14:paraId="31BDA55C" w14:textId="77777777" w:rsidR="0013238B" w:rsidRPr="00677610" w:rsidRDefault="0013238B" w:rsidP="00600EB5">
            <w:pPr>
              <w:spacing w:after="0" w:line="240" w:lineRule="auto"/>
              <w:jc w:val="both"/>
              <w:rPr>
                <w:rFonts w:ascii="Arial" w:hAnsi="Arial" w:cs="Arial"/>
                <w:sz w:val="20"/>
                <w:szCs w:val="20"/>
              </w:rPr>
            </w:pPr>
            <w:r w:rsidRPr="00677610">
              <w:rPr>
                <w:rFonts w:ascii="Arial" w:hAnsi="Arial" w:cs="Arial"/>
                <w:sz w:val="20"/>
                <w:szCs w:val="20"/>
              </w:rPr>
              <w:t>Composite Reliability (CR)</w:t>
            </w:r>
          </w:p>
        </w:tc>
        <w:tc>
          <w:tcPr>
            <w:tcW w:w="1276" w:type="dxa"/>
            <w:tcBorders>
              <w:top w:val="single" w:sz="4" w:space="0" w:color="auto"/>
              <w:bottom w:val="single" w:sz="4" w:space="0" w:color="auto"/>
            </w:tcBorders>
          </w:tcPr>
          <w:p w14:paraId="537D7ED5" w14:textId="77777777" w:rsidR="0013238B" w:rsidRPr="00677610" w:rsidRDefault="0013238B" w:rsidP="00600EB5">
            <w:pPr>
              <w:spacing w:after="0" w:line="240" w:lineRule="auto"/>
              <w:jc w:val="both"/>
              <w:rPr>
                <w:rFonts w:ascii="Arial" w:hAnsi="Arial" w:cs="Arial"/>
                <w:sz w:val="20"/>
                <w:szCs w:val="20"/>
              </w:rPr>
            </w:pPr>
            <w:r w:rsidRPr="00677610">
              <w:rPr>
                <w:rFonts w:ascii="Arial" w:hAnsi="Arial" w:cs="Arial"/>
                <w:sz w:val="20"/>
                <w:szCs w:val="20"/>
              </w:rPr>
              <w:t>Cronbach’s Alpha (α)</w:t>
            </w:r>
          </w:p>
        </w:tc>
      </w:tr>
      <w:tr w:rsidR="0013238B" w:rsidRPr="00677610" w14:paraId="452D469D" w14:textId="77777777" w:rsidTr="000A325E">
        <w:tc>
          <w:tcPr>
            <w:tcW w:w="2660" w:type="dxa"/>
            <w:tcBorders>
              <w:top w:val="single" w:sz="4" w:space="0" w:color="auto"/>
            </w:tcBorders>
          </w:tcPr>
          <w:p w14:paraId="54361FC0" w14:textId="77777777" w:rsidR="0013238B" w:rsidRPr="00677610" w:rsidRDefault="0013238B" w:rsidP="00600EB5">
            <w:pPr>
              <w:spacing w:after="0" w:line="240" w:lineRule="auto"/>
              <w:jc w:val="both"/>
              <w:rPr>
                <w:rFonts w:ascii="Arial" w:hAnsi="Arial" w:cs="Arial"/>
                <w:sz w:val="20"/>
                <w:szCs w:val="20"/>
              </w:rPr>
            </w:pPr>
            <w:r w:rsidRPr="00677610">
              <w:rPr>
                <w:rFonts w:ascii="Arial" w:hAnsi="Arial" w:cs="Arial"/>
                <w:sz w:val="20"/>
                <w:szCs w:val="20"/>
              </w:rPr>
              <w:t>Community Motivation</w:t>
            </w:r>
          </w:p>
        </w:tc>
        <w:tc>
          <w:tcPr>
            <w:tcW w:w="884" w:type="dxa"/>
            <w:tcBorders>
              <w:top w:val="single" w:sz="4" w:space="0" w:color="auto"/>
            </w:tcBorders>
          </w:tcPr>
          <w:p w14:paraId="3B6CDEEB" w14:textId="77777777" w:rsidR="0013238B" w:rsidRPr="00677610" w:rsidRDefault="0013238B" w:rsidP="00600EB5">
            <w:pPr>
              <w:spacing w:after="0" w:line="240" w:lineRule="auto"/>
              <w:jc w:val="both"/>
              <w:rPr>
                <w:rFonts w:ascii="Arial" w:hAnsi="Arial" w:cs="Arial"/>
                <w:sz w:val="20"/>
                <w:szCs w:val="20"/>
              </w:rPr>
            </w:pPr>
            <w:r w:rsidRPr="00677610">
              <w:rPr>
                <w:rFonts w:ascii="Arial" w:hAnsi="Arial" w:cs="Arial"/>
                <w:sz w:val="20"/>
                <w:szCs w:val="20"/>
              </w:rPr>
              <w:t>0.659</w:t>
            </w:r>
          </w:p>
        </w:tc>
        <w:tc>
          <w:tcPr>
            <w:tcW w:w="1690" w:type="dxa"/>
            <w:tcBorders>
              <w:top w:val="single" w:sz="4" w:space="0" w:color="auto"/>
            </w:tcBorders>
          </w:tcPr>
          <w:p w14:paraId="5AB0B2DD" w14:textId="77777777" w:rsidR="0013238B" w:rsidRPr="00677610" w:rsidRDefault="0013238B" w:rsidP="00600EB5">
            <w:pPr>
              <w:spacing w:after="0" w:line="240" w:lineRule="auto"/>
              <w:jc w:val="both"/>
              <w:rPr>
                <w:rFonts w:ascii="Arial" w:hAnsi="Arial" w:cs="Arial"/>
                <w:sz w:val="20"/>
                <w:szCs w:val="20"/>
              </w:rPr>
            </w:pPr>
            <w:r w:rsidRPr="00677610">
              <w:rPr>
                <w:rFonts w:ascii="Arial" w:hAnsi="Arial" w:cs="Arial"/>
                <w:sz w:val="20"/>
                <w:szCs w:val="20"/>
              </w:rPr>
              <w:t>0.717</w:t>
            </w:r>
          </w:p>
        </w:tc>
        <w:tc>
          <w:tcPr>
            <w:tcW w:w="1276" w:type="dxa"/>
            <w:tcBorders>
              <w:top w:val="single" w:sz="4" w:space="0" w:color="auto"/>
            </w:tcBorders>
          </w:tcPr>
          <w:p w14:paraId="47CAABCA" w14:textId="77777777" w:rsidR="0013238B" w:rsidRPr="00677610" w:rsidRDefault="0013238B" w:rsidP="00600EB5">
            <w:pPr>
              <w:spacing w:after="0" w:line="240" w:lineRule="auto"/>
              <w:jc w:val="both"/>
              <w:rPr>
                <w:rFonts w:ascii="Arial" w:hAnsi="Arial" w:cs="Arial"/>
                <w:sz w:val="20"/>
                <w:szCs w:val="20"/>
              </w:rPr>
            </w:pPr>
            <w:r w:rsidRPr="00677610">
              <w:rPr>
                <w:rFonts w:ascii="Arial" w:hAnsi="Arial" w:cs="Arial"/>
                <w:sz w:val="20"/>
                <w:szCs w:val="20"/>
              </w:rPr>
              <w:t>0.717</w:t>
            </w:r>
          </w:p>
        </w:tc>
      </w:tr>
      <w:tr w:rsidR="0013238B" w:rsidRPr="00677610" w14:paraId="00B21B31" w14:textId="77777777" w:rsidTr="000A325E">
        <w:tc>
          <w:tcPr>
            <w:tcW w:w="2660" w:type="dxa"/>
          </w:tcPr>
          <w:p w14:paraId="74FAD3E4" w14:textId="77777777" w:rsidR="0013238B" w:rsidRPr="00677610" w:rsidRDefault="0013238B" w:rsidP="00600EB5">
            <w:pPr>
              <w:spacing w:after="0" w:line="240" w:lineRule="auto"/>
              <w:jc w:val="both"/>
              <w:rPr>
                <w:rFonts w:ascii="Arial" w:hAnsi="Arial" w:cs="Arial"/>
                <w:sz w:val="20"/>
                <w:szCs w:val="20"/>
              </w:rPr>
            </w:pPr>
            <w:r w:rsidRPr="00677610">
              <w:rPr>
                <w:rFonts w:ascii="Arial" w:hAnsi="Arial" w:cs="Arial"/>
                <w:sz w:val="20"/>
                <w:szCs w:val="20"/>
              </w:rPr>
              <w:t>Community Skills</w:t>
            </w:r>
          </w:p>
        </w:tc>
        <w:tc>
          <w:tcPr>
            <w:tcW w:w="884" w:type="dxa"/>
          </w:tcPr>
          <w:p w14:paraId="559FD062" w14:textId="77777777" w:rsidR="0013238B" w:rsidRPr="00677610" w:rsidRDefault="0013238B" w:rsidP="00600EB5">
            <w:pPr>
              <w:spacing w:after="0" w:line="240" w:lineRule="auto"/>
              <w:jc w:val="both"/>
              <w:rPr>
                <w:rFonts w:ascii="Arial" w:hAnsi="Arial" w:cs="Arial"/>
                <w:sz w:val="20"/>
                <w:szCs w:val="20"/>
              </w:rPr>
            </w:pPr>
            <w:r w:rsidRPr="00677610">
              <w:rPr>
                <w:rFonts w:ascii="Arial" w:hAnsi="Arial" w:cs="Arial"/>
                <w:sz w:val="20"/>
                <w:szCs w:val="20"/>
              </w:rPr>
              <w:t>0.688</w:t>
            </w:r>
          </w:p>
        </w:tc>
        <w:tc>
          <w:tcPr>
            <w:tcW w:w="1690" w:type="dxa"/>
          </w:tcPr>
          <w:p w14:paraId="6F0A117F" w14:textId="77777777" w:rsidR="0013238B" w:rsidRPr="00677610" w:rsidRDefault="0013238B" w:rsidP="00600EB5">
            <w:pPr>
              <w:spacing w:after="0" w:line="240" w:lineRule="auto"/>
              <w:jc w:val="both"/>
              <w:rPr>
                <w:rFonts w:ascii="Arial" w:hAnsi="Arial" w:cs="Arial"/>
                <w:sz w:val="20"/>
                <w:szCs w:val="20"/>
              </w:rPr>
            </w:pPr>
            <w:r w:rsidRPr="00677610">
              <w:rPr>
                <w:rFonts w:ascii="Arial" w:hAnsi="Arial" w:cs="Arial"/>
                <w:sz w:val="20"/>
                <w:szCs w:val="20"/>
              </w:rPr>
              <w:t>0.734</w:t>
            </w:r>
          </w:p>
        </w:tc>
        <w:tc>
          <w:tcPr>
            <w:tcW w:w="1276" w:type="dxa"/>
          </w:tcPr>
          <w:p w14:paraId="704E236E" w14:textId="77777777" w:rsidR="0013238B" w:rsidRPr="00677610" w:rsidRDefault="0013238B" w:rsidP="00600EB5">
            <w:pPr>
              <w:spacing w:after="0" w:line="240" w:lineRule="auto"/>
              <w:jc w:val="both"/>
              <w:rPr>
                <w:rFonts w:ascii="Arial" w:hAnsi="Arial" w:cs="Arial"/>
                <w:sz w:val="20"/>
                <w:szCs w:val="20"/>
              </w:rPr>
            </w:pPr>
            <w:r w:rsidRPr="00677610">
              <w:rPr>
                <w:rFonts w:ascii="Arial" w:hAnsi="Arial" w:cs="Arial"/>
                <w:sz w:val="20"/>
                <w:szCs w:val="20"/>
              </w:rPr>
              <w:t>0.721</w:t>
            </w:r>
          </w:p>
        </w:tc>
      </w:tr>
      <w:tr w:rsidR="0013238B" w:rsidRPr="00677610" w14:paraId="3F56A978" w14:textId="77777777" w:rsidTr="000A325E">
        <w:tc>
          <w:tcPr>
            <w:tcW w:w="2660" w:type="dxa"/>
          </w:tcPr>
          <w:p w14:paraId="4BC9CD63" w14:textId="77777777" w:rsidR="0013238B" w:rsidRPr="00677610" w:rsidRDefault="0013238B" w:rsidP="00600EB5">
            <w:pPr>
              <w:spacing w:after="0" w:line="240" w:lineRule="auto"/>
              <w:jc w:val="both"/>
              <w:rPr>
                <w:rFonts w:ascii="Arial" w:hAnsi="Arial" w:cs="Arial"/>
                <w:sz w:val="20"/>
                <w:szCs w:val="20"/>
              </w:rPr>
            </w:pPr>
            <w:r w:rsidRPr="00677610">
              <w:rPr>
                <w:rFonts w:ascii="Arial" w:hAnsi="Arial" w:cs="Arial"/>
                <w:sz w:val="20"/>
                <w:szCs w:val="20"/>
              </w:rPr>
              <w:t>Community Education</w:t>
            </w:r>
          </w:p>
        </w:tc>
        <w:tc>
          <w:tcPr>
            <w:tcW w:w="884" w:type="dxa"/>
          </w:tcPr>
          <w:p w14:paraId="17D93DB6" w14:textId="77777777" w:rsidR="0013238B" w:rsidRPr="00677610" w:rsidRDefault="0013238B" w:rsidP="00600EB5">
            <w:pPr>
              <w:spacing w:after="0" w:line="240" w:lineRule="auto"/>
              <w:jc w:val="both"/>
              <w:rPr>
                <w:rFonts w:ascii="Arial" w:hAnsi="Arial" w:cs="Arial"/>
                <w:sz w:val="20"/>
                <w:szCs w:val="20"/>
              </w:rPr>
            </w:pPr>
            <w:r w:rsidRPr="00677610">
              <w:rPr>
                <w:rFonts w:ascii="Arial" w:hAnsi="Arial" w:cs="Arial"/>
                <w:sz w:val="20"/>
                <w:szCs w:val="20"/>
              </w:rPr>
              <w:t>0.618</w:t>
            </w:r>
          </w:p>
        </w:tc>
        <w:tc>
          <w:tcPr>
            <w:tcW w:w="1690" w:type="dxa"/>
          </w:tcPr>
          <w:p w14:paraId="04213FE5" w14:textId="77777777" w:rsidR="0013238B" w:rsidRPr="00677610" w:rsidRDefault="0013238B" w:rsidP="00600EB5">
            <w:pPr>
              <w:spacing w:after="0" w:line="240" w:lineRule="auto"/>
              <w:jc w:val="both"/>
              <w:rPr>
                <w:rFonts w:ascii="Arial" w:hAnsi="Arial" w:cs="Arial"/>
                <w:sz w:val="20"/>
                <w:szCs w:val="20"/>
              </w:rPr>
            </w:pPr>
            <w:r w:rsidRPr="00677610">
              <w:rPr>
                <w:rFonts w:ascii="Arial" w:hAnsi="Arial" w:cs="Arial"/>
                <w:sz w:val="20"/>
                <w:szCs w:val="20"/>
              </w:rPr>
              <w:t>0.783</w:t>
            </w:r>
          </w:p>
        </w:tc>
        <w:tc>
          <w:tcPr>
            <w:tcW w:w="1276" w:type="dxa"/>
          </w:tcPr>
          <w:p w14:paraId="0A9CE054" w14:textId="77777777" w:rsidR="0013238B" w:rsidRPr="00677610" w:rsidRDefault="0013238B" w:rsidP="00600EB5">
            <w:pPr>
              <w:spacing w:after="0" w:line="240" w:lineRule="auto"/>
              <w:jc w:val="both"/>
              <w:rPr>
                <w:rFonts w:ascii="Arial" w:hAnsi="Arial" w:cs="Arial"/>
                <w:sz w:val="20"/>
                <w:szCs w:val="20"/>
              </w:rPr>
            </w:pPr>
            <w:r w:rsidRPr="00677610">
              <w:rPr>
                <w:rFonts w:ascii="Arial" w:hAnsi="Arial" w:cs="Arial"/>
                <w:sz w:val="20"/>
                <w:szCs w:val="20"/>
              </w:rPr>
              <w:t>0.782</w:t>
            </w:r>
          </w:p>
        </w:tc>
      </w:tr>
      <w:tr w:rsidR="0013238B" w:rsidRPr="00677610" w14:paraId="0FD2DC98" w14:textId="77777777" w:rsidTr="000A325E">
        <w:tc>
          <w:tcPr>
            <w:tcW w:w="2660" w:type="dxa"/>
            <w:tcBorders>
              <w:bottom w:val="single" w:sz="4" w:space="0" w:color="auto"/>
            </w:tcBorders>
          </w:tcPr>
          <w:p w14:paraId="7AB027D9" w14:textId="77777777" w:rsidR="0013238B" w:rsidRPr="00677610" w:rsidRDefault="0013238B" w:rsidP="00600EB5">
            <w:pPr>
              <w:spacing w:after="0" w:line="240" w:lineRule="auto"/>
              <w:jc w:val="both"/>
              <w:rPr>
                <w:rFonts w:ascii="Arial" w:hAnsi="Arial" w:cs="Arial"/>
                <w:sz w:val="20"/>
                <w:szCs w:val="20"/>
              </w:rPr>
            </w:pPr>
            <w:r w:rsidRPr="00677610">
              <w:rPr>
                <w:rFonts w:ascii="Arial" w:hAnsi="Arial" w:cs="Arial"/>
                <w:sz w:val="20"/>
                <w:szCs w:val="20"/>
              </w:rPr>
              <w:t>Community Readiness</w:t>
            </w:r>
          </w:p>
        </w:tc>
        <w:tc>
          <w:tcPr>
            <w:tcW w:w="884" w:type="dxa"/>
            <w:tcBorders>
              <w:bottom w:val="single" w:sz="4" w:space="0" w:color="auto"/>
            </w:tcBorders>
          </w:tcPr>
          <w:p w14:paraId="52F5A611" w14:textId="77777777" w:rsidR="0013238B" w:rsidRPr="00677610" w:rsidRDefault="0013238B" w:rsidP="00600EB5">
            <w:pPr>
              <w:spacing w:after="0" w:line="240" w:lineRule="auto"/>
              <w:jc w:val="both"/>
              <w:rPr>
                <w:rFonts w:ascii="Arial" w:hAnsi="Arial" w:cs="Arial"/>
                <w:sz w:val="20"/>
                <w:szCs w:val="20"/>
              </w:rPr>
            </w:pPr>
            <w:r w:rsidRPr="00677610">
              <w:rPr>
                <w:rFonts w:ascii="Arial" w:hAnsi="Arial" w:cs="Arial"/>
                <w:sz w:val="20"/>
                <w:szCs w:val="20"/>
              </w:rPr>
              <w:t>0.615</w:t>
            </w:r>
          </w:p>
        </w:tc>
        <w:tc>
          <w:tcPr>
            <w:tcW w:w="1690" w:type="dxa"/>
            <w:tcBorders>
              <w:bottom w:val="single" w:sz="4" w:space="0" w:color="auto"/>
            </w:tcBorders>
          </w:tcPr>
          <w:p w14:paraId="34F0CC4B" w14:textId="77777777" w:rsidR="0013238B" w:rsidRPr="00677610" w:rsidRDefault="0013238B" w:rsidP="00600EB5">
            <w:pPr>
              <w:spacing w:after="0" w:line="240" w:lineRule="auto"/>
              <w:jc w:val="both"/>
              <w:rPr>
                <w:rFonts w:ascii="Arial" w:hAnsi="Arial" w:cs="Arial"/>
                <w:sz w:val="20"/>
                <w:szCs w:val="20"/>
              </w:rPr>
            </w:pPr>
            <w:r w:rsidRPr="00677610">
              <w:rPr>
                <w:rFonts w:ascii="Arial" w:hAnsi="Arial" w:cs="Arial"/>
                <w:sz w:val="20"/>
                <w:szCs w:val="20"/>
              </w:rPr>
              <w:t>0.733</w:t>
            </w:r>
          </w:p>
        </w:tc>
        <w:tc>
          <w:tcPr>
            <w:tcW w:w="1276" w:type="dxa"/>
            <w:tcBorders>
              <w:bottom w:val="single" w:sz="4" w:space="0" w:color="auto"/>
            </w:tcBorders>
          </w:tcPr>
          <w:p w14:paraId="14DA253A" w14:textId="77777777" w:rsidR="0013238B" w:rsidRPr="00677610" w:rsidRDefault="0013238B" w:rsidP="00600EB5">
            <w:pPr>
              <w:spacing w:after="0" w:line="240" w:lineRule="auto"/>
              <w:jc w:val="both"/>
              <w:rPr>
                <w:rFonts w:ascii="Arial" w:hAnsi="Arial" w:cs="Arial"/>
                <w:sz w:val="20"/>
                <w:szCs w:val="20"/>
              </w:rPr>
            </w:pPr>
            <w:r w:rsidRPr="00677610">
              <w:rPr>
                <w:rFonts w:ascii="Arial" w:hAnsi="Arial" w:cs="Arial"/>
                <w:sz w:val="20"/>
                <w:szCs w:val="20"/>
              </w:rPr>
              <w:t>0.732</w:t>
            </w:r>
          </w:p>
        </w:tc>
      </w:tr>
    </w:tbl>
    <w:p w14:paraId="27656160" w14:textId="77777777" w:rsidR="0013238B" w:rsidRPr="00677610" w:rsidRDefault="0013238B" w:rsidP="0013238B">
      <w:pPr>
        <w:spacing w:after="0" w:line="240" w:lineRule="auto"/>
        <w:ind w:left="720"/>
        <w:contextualSpacing/>
        <w:jc w:val="both"/>
        <w:rPr>
          <w:rFonts w:ascii="Arial" w:hAnsi="Arial" w:cs="Arial"/>
          <w:sz w:val="20"/>
          <w:szCs w:val="20"/>
        </w:rPr>
      </w:pPr>
      <w:r w:rsidRPr="00677610">
        <w:rPr>
          <w:rFonts w:ascii="Arial" w:hAnsi="Arial" w:cs="Arial"/>
          <w:sz w:val="20"/>
          <w:szCs w:val="20"/>
        </w:rPr>
        <w:t>Source: Research Data Analysis, 2025 (CVA/AMOS).</w:t>
      </w:r>
    </w:p>
    <w:p w14:paraId="03F75EE1" w14:textId="1D20610C" w:rsidR="002018ED" w:rsidRPr="00677610" w:rsidRDefault="002018ED" w:rsidP="0013238B">
      <w:pPr>
        <w:spacing w:after="0" w:line="240" w:lineRule="auto"/>
        <w:ind w:firstLine="720"/>
        <w:contextualSpacing/>
        <w:jc w:val="both"/>
        <w:rPr>
          <w:rFonts w:ascii="Arial" w:hAnsi="Arial" w:cs="Arial"/>
          <w:sz w:val="20"/>
          <w:szCs w:val="20"/>
        </w:rPr>
      </w:pPr>
      <w:r w:rsidRPr="00677610">
        <w:rPr>
          <w:rFonts w:ascii="Arial" w:hAnsi="Arial" w:cs="Arial"/>
          <w:sz w:val="20"/>
          <w:szCs w:val="20"/>
          <w:highlight w:val="yellow"/>
        </w:rPr>
        <w:t xml:space="preserve">Table 3 shows that all constructs achieved AVE values above 0.50 (range = 0.615–0.688), thereby supporting convergent validity. Likewise, all CR values exceeded the recommended minimum threshold of 0.70 (range = 0.717–0.783), and Cronbach’s alpha values also remained above 0.70 (range = 0.717–0.782), indicating acceptable internal consistency reliability. Although the CR values are moderate rather than exceptionally high, they are still within the acceptable range for confirmatory latent-variable analysis. Importantly, composite reliability and standardized structural coefficients represent different aspects of the SEM model: CR reflects the internal consistency of indicators within a construct, whereas the standardized path coefficient (β) reflects the strength of the relationship between latent constructs in the structural model. Therefore, moderately acceptable CR values may still coexist with relatively strong standardized coefficients, provided that convergent validity and discriminant validity are supported. Overall, these results indicate that the measurement model demonstrates adequate reliability and convergent validity, providing a sufficient basis for subsequent structural analysis </w:t>
      </w:r>
      <w:r w:rsidRPr="00677610">
        <w:rPr>
          <w:rFonts w:ascii="Arial" w:hAnsi="Arial" w:cs="Arial"/>
          <w:sz w:val="20"/>
          <w:szCs w:val="20"/>
          <w:highlight w:val="yellow"/>
        </w:rPr>
        <w:fldChar w:fldCharType="begin" w:fldLock="1"/>
      </w:r>
      <w:r w:rsidR="007533C6" w:rsidRPr="00677610">
        <w:rPr>
          <w:rFonts w:ascii="Arial" w:hAnsi="Arial" w:cs="Arial"/>
          <w:sz w:val="20"/>
          <w:szCs w:val="20"/>
          <w:highlight w:val="yellow"/>
        </w:rPr>
        <w:instrText>ADDIN CSL_CITATION {"citationItems":[{"id":"ITEM-1","itemData":{"DOI":"10.1007/s10490-023-09871-y","ISBN":"1049002309871","ISSN":"15729958","abstract":"Many constructs in management studies, such as perceptions, personalities, attitudes, and behavioral intentions, are not directly observable. Typically, empirical studies measure such constructs using established scales with multiple indicators. When the scales are used in a different population, the items are translated into other languages or revised to adapt to other populations, it is essential for researchers to report the quality of measurement scales before using them to test hypotheses. Researchers commonly report the quality of these measurement scales based on Cronbach’s alpha and confirmatory factor analysis results. However, these results are usually inadequate and sometimes inappropriate. Moreover, researchers rarely consider sampling errors for these psychometric quality measures. In this best practice paper, we first critically review the most frequently-used approaches in empirical studies to evaluate the quality of measurement scales when using structural equation modeling. Next, we recommend best practices in assessing reliability, convergent and discriminant validity based on multiple criteria and taking sampling errors into consideration. Then, we illustrate with numerical examples the application of a specifically-developed R package, measureQ, that provides a one-stop solution for implementing the recommended best practices and a template for reporting the results. measureQ is easy to implement, even for those new to R. Our overall aim is to provide a best-practice reference for future authors, reviewers, and editors in reporting and reviewing the quality of measurement scales in empirical management studies.","author":[{"dropping-particle":"","family":"Cheung","given":"Gordon W.","non-dropping-particle":"","parse-names":false,"suffix":""},{"dropping-particle":"","family":"Cooper-Thomas","given":"Helena D.","non-dropping-particle":"","parse-names":false,"suffix":""},{"dropping-particle":"","family":"Lau","given":"Rebecca S.","non-dropping-particle":"","parse-names":false,"suffix":""},{"dropping-particle":"","family":"Wang","given":"Linda C.","non-dropping-particle":"","parse-names":false,"suffix":""}],"container-title":"Asia Pacific Journal of Management","id":"ITEM-1","issue":"2","issued":{"date-parts":[["2024"]]},"number-of-pages":"745-783","publisher":"Springer US","title":"Reporting reliability, convergent and discriminant validity with structural equation modeling: A review and best-practice recommendations","type":"book","volume":"41"},"uris":["http://www.mendeley.com/documents/?uuid=b2c48555-2240-43f4-a0e7-38a4c4218090"]}],"mendeley":{"formattedCitation":"(Cheung et al. 2024)","plainTextFormattedCitation":"(Cheung et al. 2024)","previouslyFormattedCitation":"(Cheung et al. 2024)"},"properties":{"noteIndex":0},"schema":"https://github.com/citation-style-language/schema/raw/master/csl-citation.json"}</w:instrText>
      </w:r>
      <w:r w:rsidRPr="00677610">
        <w:rPr>
          <w:rFonts w:ascii="Arial" w:hAnsi="Arial" w:cs="Arial"/>
          <w:sz w:val="20"/>
          <w:szCs w:val="20"/>
          <w:highlight w:val="yellow"/>
        </w:rPr>
        <w:fldChar w:fldCharType="separate"/>
      </w:r>
      <w:r w:rsidRPr="00677610">
        <w:rPr>
          <w:rFonts w:ascii="Arial" w:hAnsi="Arial" w:cs="Arial"/>
          <w:noProof/>
          <w:sz w:val="20"/>
          <w:szCs w:val="20"/>
          <w:highlight w:val="yellow"/>
        </w:rPr>
        <w:t>(Cheung et al. 2024)</w:t>
      </w:r>
      <w:r w:rsidRPr="00677610">
        <w:rPr>
          <w:rFonts w:ascii="Arial" w:hAnsi="Arial" w:cs="Arial"/>
          <w:sz w:val="20"/>
          <w:szCs w:val="20"/>
          <w:highlight w:val="yellow"/>
        </w:rPr>
        <w:fldChar w:fldCharType="end"/>
      </w:r>
      <w:r w:rsidRPr="00677610">
        <w:rPr>
          <w:rFonts w:ascii="Arial" w:hAnsi="Arial" w:cs="Arial"/>
          <w:sz w:val="20"/>
          <w:szCs w:val="20"/>
          <w:highlight w:val="yellow"/>
        </w:rPr>
        <w:t>.</w:t>
      </w:r>
    </w:p>
    <w:p w14:paraId="248A3A66" w14:textId="739AD024" w:rsidR="0013238B" w:rsidRPr="00677610" w:rsidRDefault="0013238B" w:rsidP="0013238B">
      <w:pPr>
        <w:pStyle w:val="ListParagraph"/>
        <w:numPr>
          <w:ilvl w:val="0"/>
          <w:numId w:val="18"/>
        </w:numPr>
        <w:spacing w:before="120" w:after="0" w:line="240" w:lineRule="auto"/>
        <w:ind w:left="493" w:hanging="493"/>
        <w:jc w:val="both"/>
        <w:rPr>
          <w:rFonts w:ascii="Arial" w:hAnsi="Arial" w:cs="Arial"/>
          <w:sz w:val="20"/>
          <w:szCs w:val="20"/>
        </w:rPr>
      </w:pPr>
      <w:r w:rsidRPr="00677610">
        <w:rPr>
          <w:rFonts w:ascii="Arial" w:hAnsi="Arial" w:cs="Arial"/>
          <w:b/>
          <w:sz w:val="20"/>
          <w:szCs w:val="20"/>
        </w:rPr>
        <w:t>Discriminant Validity</w:t>
      </w:r>
    </w:p>
    <w:p w14:paraId="152FF369" w14:textId="77777777" w:rsidR="0013238B" w:rsidRPr="00677610" w:rsidRDefault="0013238B" w:rsidP="0013238B">
      <w:pPr>
        <w:pStyle w:val="ListParagraph"/>
        <w:spacing w:before="120" w:after="0" w:line="240" w:lineRule="auto"/>
        <w:ind w:left="493"/>
        <w:jc w:val="both"/>
        <w:rPr>
          <w:rFonts w:ascii="Arial" w:hAnsi="Arial" w:cs="Arial"/>
          <w:sz w:val="20"/>
          <w:szCs w:val="20"/>
        </w:rPr>
      </w:pPr>
    </w:p>
    <w:p w14:paraId="65EF0ED4" w14:textId="33F4C36B" w:rsidR="0013238B" w:rsidRPr="00677610" w:rsidRDefault="0013238B" w:rsidP="0013238B">
      <w:pPr>
        <w:spacing w:after="0" w:line="240" w:lineRule="auto"/>
        <w:ind w:firstLine="720"/>
        <w:contextualSpacing/>
        <w:jc w:val="both"/>
        <w:rPr>
          <w:rFonts w:ascii="Arial" w:hAnsi="Arial" w:cs="Arial"/>
          <w:sz w:val="20"/>
          <w:szCs w:val="20"/>
        </w:rPr>
      </w:pPr>
      <w:r w:rsidRPr="00677610">
        <w:rPr>
          <w:rFonts w:ascii="Arial" w:hAnsi="Arial" w:cs="Arial"/>
          <w:sz w:val="20"/>
          <w:szCs w:val="20"/>
        </w:rPr>
        <w:t xml:space="preserve">Discriminant validity assesses whether theoretically distinct constructs are empirically distinct as well. Two supplementary verifications were conducted. The </w:t>
      </w:r>
      <w:proofErr w:type="spellStart"/>
      <w:r w:rsidRPr="00677610">
        <w:rPr>
          <w:rFonts w:ascii="Arial" w:hAnsi="Arial" w:cs="Arial"/>
          <w:sz w:val="20"/>
          <w:szCs w:val="20"/>
        </w:rPr>
        <w:t>Fornell</w:t>
      </w:r>
      <w:proofErr w:type="spellEnd"/>
      <w:r w:rsidRPr="00677610">
        <w:rPr>
          <w:rFonts w:ascii="Arial" w:hAnsi="Arial" w:cs="Arial"/>
          <w:sz w:val="20"/>
          <w:szCs w:val="20"/>
        </w:rPr>
        <w:t>–</w:t>
      </w:r>
      <w:proofErr w:type="spellStart"/>
      <w:r w:rsidRPr="00677610">
        <w:rPr>
          <w:rFonts w:ascii="Arial" w:hAnsi="Arial" w:cs="Arial"/>
          <w:sz w:val="20"/>
          <w:szCs w:val="20"/>
        </w:rPr>
        <w:t>Larcker</w:t>
      </w:r>
      <w:proofErr w:type="spellEnd"/>
      <w:r w:rsidRPr="00677610">
        <w:rPr>
          <w:rFonts w:ascii="Arial" w:hAnsi="Arial" w:cs="Arial"/>
          <w:sz w:val="20"/>
          <w:szCs w:val="20"/>
        </w:rPr>
        <w:t xml:space="preserve"> criterion stipulates that the square root of each construct's average variance extracted (√AVE) must surpass its correlations with other constructs. Secondly, the comparison of AVE and MSV necessitates that the Average Variance Extracted (AVE) for each construct above its Maximum Shared Variance (MSV) </w:t>
      </w:r>
      <w:r w:rsidRPr="00677610">
        <w:rPr>
          <w:rFonts w:ascii="Arial" w:hAnsi="Arial" w:cs="Arial"/>
          <w:sz w:val="20"/>
          <w:szCs w:val="20"/>
        </w:rPr>
        <w:fldChar w:fldCharType="begin" w:fldLock="1"/>
      </w:r>
      <w:r w:rsidR="00A72F9C" w:rsidRPr="00677610">
        <w:rPr>
          <w:rFonts w:ascii="Arial" w:hAnsi="Arial" w:cs="Arial"/>
          <w:sz w:val="20"/>
          <w:szCs w:val="20"/>
        </w:rPr>
        <w:instrText>ADDIN CSL_CITATION {"citationItems":[{"id":"ITEM-1","itemData":{"ISBN":"978-1-4737-5654-0","ISSN":"0921-5077","abstract":"Meer dan 25 jaar geleden verscheen de eerste editie van dit toegepaste handboek over multivariate data-analyse. Deze zesde editie is dan ook een update van zijn voorgangers, maar kent een aantal opmerkelijke verbeteringen, zoals een nieuwe database om allerlei technieken te oefenen, handige gebruiksregels voor de toepassing en interpretatie van technieken, en als klap op de vuurpijl maar liefst drie nieuwe hoofdstukken over covariantie-structuuranalyse.","author":[{"dropping-particle":"","family":"Hair at al.","given":"","non-dropping-particle":"","parse-names":false,"suffix":""}],"container-title":"Annabel Ainscow","id":"ITEM-1","issue":"3","issued":{"date-parts":[["2019","9","1"]]},"title":"Multivariate Data Analysis (Sixth Edition)","type":"book","volume":"19"},"uris":["http://www.mendeley.com/documents/?uuid=50c8c6c4-a217-475e-9b5e-858c5a1888b2"]},{"id":"ITEM-2","itemData":{"ISBN":"9781462523344","ISSN":"1927-9825","abstract":"This bestselling text provides a balance between the technical and practical aspects of structural equation modeling (SEM). Using clear and accessible language, Rex B. Kline covers core techniques, potential pitfalls, and applications across the behavioral and social sciences. Some more advanced topics are also covered, including estimation of interactive effects of latent variables and multilevel SEM. The companion Web page offers downloadable syntax, data, and output files for each detailed example for EQS, LISREL, and Mplus, allowing readers to view the results of the same analysis generated by three different computer tools. New to This Edition Thoroughly revised and restructured to follow the phases of most SEM analyses. Syntax, data, and output files for all detailed research examples are now provided online. Exercises with answers, which support self-study. Topic boxes on specialized issues, such as dealing with problems in the analysis; the assessment of construct measurement reliability; and more. Updated coverage of a more rigorous approach to hypothesis and model testing; the evaluation of measurement invariance; and more.","author":[{"dropping-particle":"","family":"R.B. Kline","given":"","non-dropping-particle":"","parse-names":false,"suffix":""}],"container-title":"thE GuiLFord PrESS new York London","id":"ITEM-2","issue":"1","issued":{"date-parts":[["2016","7","12"]]},"number-of-pages":"59","title":"Principles and Practice of Structural Equation Modeling","type":"book","volume":"1"},"uris":["http://www.mendeley.com/documents/?uuid=2d907137-4a37-4fca-8200-b5a7eb63a4e3"]}],"mendeley":{"formattedCitation":"(Hair at al. 2019; R.B. Kline 2016)","plainTextFormattedCitation":"(Hair at al. 2019; R.B. Kline 2016)","previouslyFormattedCitation":"(Hair at al. 2019; R.B. Kline 2016)"},"properties":{"noteIndex":0},"schema":"https://github.com/citation-style-language/schema/raw/master/csl-citation.json"}</w:instrText>
      </w:r>
      <w:r w:rsidRPr="00677610">
        <w:rPr>
          <w:rFonts w:ascii="Arial" w:hAnsi="Arial" w:cs="Arial"/>
          <w:sz w:val="20"/>
          <w:szCs w:val="20"/>
        </w:rPr>
        <w:fldChar w:fldCharType="separate"/>
      </w:r>
      <w:r w:rsidR="00A72F9C" w:rsidRPr="00677610">
        <w:rPr>
          <w:rFonts w:ascii="Arial" w:hAnsi="Arial" w:cs="Arial"/>
          <w:noProof/>
          <w:sz w:val="20"/>
          <w:szCs w:val="20"/>
        </w:rPr>
        <w:t>(Hair at al. 2019; R.B. Kline 2016)</w:t>
      </w:r>
      <w:r w:rsidRPr="00677610">
        <w:rPr>
          <w:rFonts w:ascii="Arial" w:hAnsi="Arial" w:cs="Arial"/>
          <w:sz w:val="20"/>
          <w:szCs w:val="20"/>
        </w:rPr>
        <w:fldChar w:fldCharType="end"/>
      </w:r>
      <w:r w:rsidRPr="00677610">
        <w:rPr>
          <w:rFonts w:ascii="Arial" w:hAnsi="Arial" w:cs="Arial"/>
          <w:sz w:val="20"/>
          <w:szCs w:val="20"/>
        </w:rPr>
        <w:t>, signifying that the construct accounts for a greater proportion of variance in its indicators than it shares with any other construct.</w:t>
      </w:r>
    </w:p>
    <w:p w14:paraId="1F18C890" w14:textId="77777777" w:rsidR="0013238B" w:rsidRPr="00677610" w:rsidRDefault="0013238B" w:rsidP="0013238B">
      <w:pPr>
        <w:spacing w:after="0" w:line="240" w:lineRule="auto"/>
        <w:ind w:left="720"/>
        <w:contextualSpacing/>
        <w:jc w:val="both"/>
        <w:rPr>
          <w:rFonts w:ascii="Arial" w:hAnsi="Arial" w:cs="Arial"/>
          <w:bCs/>
          <w:sz w:val="20"/>
          <w:szCs w:val="20"/>
        </w:rPr>
      </w:pPr>
      <w:r w:rsidRPr="00677610">
        <w:rPr>
          <w:rFonts w:ascii="Arial" w:hAnsi="Arial" w:cs="Arial"/>
          <w:bCs/>
          <w:sz w:val="20"/>
          <w:szCs w:val="20"/>
        </w:rPr>
        <w:t xml:space="preserve">Table 4. </w:t>
      </w:r>
      <w:proofErr w:type="spellStart"/>
      <w:r w:rsidRPr="00677610">
        <w:rPr>
          <w:rFonts w:ascii="Arial" w:hAnsi="Arial" w:cs="Arial"/>
          <w:bCs/>
          <w:sz w:val="20"/>
          <w:szCs w:val="20"/>
        </w:rPr>
        <w:t>Fornell</w:t>
      </w:r>
      <w:proofErr w:type="spellEnd"/>
      <w:r w:rsidRPr="00677610">
        <w:rPr>
          <w:rFonts w:ascii="Arial" w:hAnsi="Arial" w:cs="Arial"/>
          <w:bCs/>
          <w:sz w:val="20"/>
          <w:szCs w:val="20"/>
        </w:rPr>
        <w:t>–</w:t>
      </w:r>
      <w:proofErr w:type="spellStart"/>
      <w:r w:rsidRPr="00677610">
        <w:rPr>
          <w:rFonts w:ascii="Arial" w:hAnsi="Arial" w:cs="Arial"/>
          <w:bCs/>
          <w:sz w:val="20"/>
          <w:szCs w:val="20"/>
        </w:rPr>
        <w:t>Larcker</w:t>
      </w:r>
      <w:proofErr w:type="spellEnd"/>
      <w:r w:rsidRPr="00677610">
        <w:rPr>
          <w:rFonts w:ascii="Arial" w:hAnsi="Arial" w:cs="Arial"/>
          <w:bCs/>
          <w:sz w:val="20"/>
          <w:szCs w:val="20"/>
        </w:rPr>
        <w:t xml:space="preserve"> Criterion </w:t>
      </w:r>
    </w:p>
    <w:tbl>
      <w:tblPr>
        <w:tblW w:w="0" w:type="auto"/>
        <w:tblInd w:w="720" w:type="dxa"/>
        <w:tblLook w:val="04A0" w:firstRow="1" w:lastRow="0" w:firstColumn="1" w:lastColumn="0" w:noHBand="0" w:noVBand="1"/>
      </w:tblPr>
      <w:tblGrid>
        <w:gridCol w:w="1795"/>
        <w:gridCol w:w="1324"/>
        <w:gridCol w:w="992"/>
        <w:gridCol w:w="1276"/>
        <w:gridCol w:w="1715"/>
      </w:tblGrid>
      <w:tr w:rsidR="0013238B" w:rsidRPr="00677610" w14:paraId="22905405" w14:textId="77777777" w:rsidTr="00600EB5">
        <w:tc>
          <w:tcPr>
            <w:tcW w:w="1795" w:type="dxa"/>
            <w:tcBorders>
              <w:top w:val="single" w:sz="4" w:space="0" w:color="auto"/>
              <w:bottom w:val="single" w:sz="4" w:space="0" w:color="auto"/>
            </w:tcBorders>
          </w:tcPr>
          <w:p w14:paraId="14D30538" w14:textId="77777777" w:rsidR="0013238B" w:rsidRPr="00677610" w:rsidRDefault="0013238B" w:rsidP="00600EB5">
            <w:pPr>
              <w:spacing w:after="0" w:line="240" w:lineRule="auto"/>
              <w:contextualSpacing/>
              <w:jc w:val="both"/>
              <w:rPr>
                <w:rFonts w:ascii="Arial" w:hAnsi="Arial" w:cs="Arial"/>
                <w:sz w:val="20"/>
                <w:szCs w:val="20"/>
              </w:rPr>
            </w:pPr>
          </w:p>
        </w:tc>
        <w:tc>
          <w:tcPr>
            <w:tcW w:w="1324" w:type="dxa"/>
            <w:tcBorders>
              <w:top w:val="single" w:sz="4" w:space="0" w:color="auto"/>
              <w:bottom w:val="single" w:sz="4" w:space="0" w:color="auto"/>
            </w:tcBorders>
          </w:tcPr>
          <w:p w14:paraId="7E7C0510" w14:textId="77777777" w:rsidR="0013238B" w:rsidRPr="00677610" w:rsidRDefault="0013238B" w:rsidP="00600EB5">
            <w:pPr>
              <w:spacing w:after="0" w:line="240" w:lineRule="auto"/>
              <w:contextualSpacing/>
              <w:jc w:val="both"/>
              <w:rPr>
                <w:rFonts w:ascii="Arial" w:hAnsi="Arial" w:cs="Arial"/>
                <w:sz w:val="20"/>
                <w:szCs w:val="20"/>
              </w:rPr>
            </w:pPr>
            <w:r w:rsidRPr="00677610">
              <w:rPr>
                <w:rFonts w:ascii="Arial" w:hAnsi="Arial" w:cs="Arial"/>
                <w:sz w:val="20"/>
                <w:szCs w:val="20"/>
              </w:rPr>
              <w:t>Motivation</w:t>
            </w:r>
          </w:p>
        </w:tc>
        <w:tc>
          <w:tcPr>
            <w:tcW w:w="992" w:type="dxa"/>
            <w:tcBorders>
              <w:top w:val="single" w:sz="4" w:space="0" w:color="auto"/>
              <w:bottom w:val="single" w:sz="4" w:space="0" w:color="auto"/>
            </w:tcBorders>
          </w:tcPr>
          <w:p w14:paraId="76DB4134" w14:textId="77777777" w:rsidR="0013238B" w:rsidRPr="00677610" w:rsidRDefault="0013238B" w:rsidP="00600EB5">
            <w:pPr>
              <w:spacing w:after="0" w:line="240" w:lineRule="auto"/>
              <w:contextualSpacing/>
              <w:jc w:val="both"/>
              <w:rPr>
                <w:rFonts w:ascii="Arial" w:hAnsi="Arial" w:cs="Arial"/>
                <w:sz w:val="20"/>
                <w:szCs w:val="20"/>
              </w:rPr>
            </w:pPr>
            <w:r w:rsidRPr="00677610">
              <w:rPr>
                <w:rFonts w:ascii="Arial" w:hAnsi="Arial" w:cs="Arial"/>
                <w:sz w:val="20"/>
                <w:szCs w:val="20"/>
              </w:rPr>
              <w:t>Skills</w:t>
            </w:r>
          </w:p>
        </w:tc>
        <w:tc>
          <w:tcPr>
            <w:tcW w:w="1276" w:type="dxa"/>
            <w:tcBorders>
              <w:top w:val="single" w:sz="4" w:space="0" w:color="auto"/>
              <w:bottom w:val="single" w:sz="4" w:space="0" w:color="auto"/>
            </w:tcBorders>
          </w:tcPr>
          <w:p w14:paraId="5461549C" w14:textId="77777777" w:rsidR="0013238B" w:rsidRPr="00677610" w:rsidRDefault="0013238B" w:rsidP="00600EB5">
            <w:pPr>
              <w:spacing w:after="0" w:line="240" w:lineRule="auto"/>
              <w:contextualSpacing/>
              <w:jc w:val="both"/>
              <w:rPr>
                <w:rFonts w:ascii="Arial" w:hAnsi="Arial" w:cs="Arial"/>
                <w:sz w:val="20"/>
                <w:szCs w:val="20"/>
              </w:rPr>
            </w:pPr>
            <w:r w:rsidRPr="00677610">
              <w:rPr>
                <w:rFonts w:ascii="Arial" w:hAnsi="Arial" w:cs="Arial"/>
                <w:sz w:val="20"/>
                <w:szCs w:val="20"/>
              </w:rPr>
              <w:t>Education</w:t>
            </w:r>
          </w:p>
        </w:tc>
        <w:tc>
          <w:tcPr>
            <w:tcW w:w="1715" w:type="dxa"/>
            <w:tcBorders>
              <w:top w:val="single" w:sz="4" w:space="0" w:color="auto"/>
              <w:bottom w:val="single" w:sz="4" w:space="0" w:color="auto"/>
            </w:tcBorders>
          </w:tcPr>
          <w:p w14:paraId="34F7D417" w14:textId="77777777" w:rsidR="0013238B" w:rsidRPr="00677610" w:rsidRDefault="0013238B" w:rsidP="00600EB5">
            <w:pPr>
              <w:spacing w:after="0" w:line="240" w:lineRule="auto"/>
              <w:contextualSpacing/>
              <w:jc w:val="both"/>
              <w:rPr>
                <w:rFonts w:ascii="Arial" w:hAnsi="Arial" w:cs="Arial"/>
                <w:sz w:val="20"/>
                <w:szCs w:val="20"/>
              </w:rPr>
            </w:pPr>
            <w:r w:rsidRPr="00677610">
              <w:rPr>
                <w:rFonts w:ascii="Arial" w:hAnsi="Arial" w:cs="Arial"/>
                <w:sz w:val="20"/>
                <w:szCs w:val="20"/>
              </w:rPr>
              <w:t>Readiness</w:t>
            </w:r>
          </w:p>
        </w:tc>
      </w:tr>
      <w:tr w:rsidR="0013238B" w:rsidRPr="00677610" w14:paraId="542FC501" w14:textId="77777777" w:rsidTr="00600EB5">
        <w:tc>
          <w:tcPr>
            <w:tcW w:w="1795" w:type="dxa"/>
            <w:tcBorders>
              <w:top w:val="single" w:sz="4" w:space="0" w:color="auto"/>
            </w:tcBorders>
          </w:tcPr>
          <w:p w14:paraId="15F3F93E" w14:textId="77777777" w:rsidR="0013238B" w:rsidRPr="00677610" w:rsidRDefault="0013238B" w:rsidP="00600EB5">
            <w:pPr>
              <w:spacing w:after="0" w:line="240" w:lineRule="auto"/>
              <w:contextualSpacing/>
              <w:jc w:val="both"/>
              <w:rPr>
                <w:rFonts w:ascii="Arial" w:hAnsi="Arial" w:cs="Arial"/>
                <w:sz w:val="20"/>
                <w:szCs w:val="20"/>
              </w:rPr>
            </w:pPr>
            <w:r w:rsidRPr="00677610">
              <w:rPr>
                <w:rFonts w:ascii="Arial" w:hAnsi="Arial" w:cs="Arial"/>
                <w:sz w:val="20"/>
                <w:szCs w:val="20"/>
              </w:rPr>
              <w:t>Motivation</w:t>
            </w:r>
          </w:p>
        </w:tc>
        <w:tc>
          <w:tcPr>
            <w:tcW w:w="1324" w:type="dxa"/>
            <w:tcBorders>
              <w:top w:val="single" w:sz="4" w:space="0" w:color="auto"/>
            </w:tcBorders>
          </w:tcPr>
          <w:p w14:paraId="4BAD868E" w14:textId="77777777" w:rsidR="0013238B" w:rsidRPr="00677610" w:rsidRDefault="0013238B" w:rsidP="00600EB5">
            <w:pPr>
              <w:spacing w:after="0" w:line="240" w:lineRule="auto"/>
              <w:contextualSpacing/>
              <w:jc w:val="both"/>
              <w:rPr>
                <w:rFonts w:ascii="Arial" w:hAnsi="Arial" w:cs="Arial"/>
                <w:sz w:val="20"/>
                <w:szCs w:val="20"/>
              </w:rPr>
            </w:pPr>
            <w:r w:rsidRPr="00677610">
              <w:rPr>
                <w:rFonts w:ascii="Arial" w:hAnsi="Arial" w:cs="Arial"/>
                <w:sz w:val="20"/>
                <w:szCs w:val="20"/>
              </w:rPr>
              <w:t>0.812</w:t>
            </w:r>
          </w:p>
        </w:tc>
        <w:tc>
          <w:tcPr>
            <w:tcW w:w="992" w:type="dxa"/>
            <w:tcBorders>
              <w:top w:val="single" w:sz="4" w:space="0" w:color="auto"/>
            </w:tcBorders>
          </w:tcPr>
          <w:p w14:paraId="5B0FD6EB" w14:textId="77777777" w:rsidR="0013238B" w:rsidRPr="00677610" w:rsidRDefault="0013238B" w:rsidP="00600EB5">
            <w:pPr>
              <w:spacing w:after="0" w:line="240" w:lineRule="auto"/>
              <w:contextualSpacing/>
              <w:jc w:val="both"/>
              <w:rPr>
                <w:rFonts w:ascii="Arial" w:hAnsi="Arial" w:cs="Arial"/>
                <w:sz w:val="20"/>
                <w:szCs w:val="20"/>
              </w:rPr>
            </w:pPr>
            <w:r w:rsidRPr="00677610">
              <w:rPr>
                <w:rFonts w:ascii="Arial" w:hAnsi="Arial" w:cs="Arial"/>
                <w:sz w:val="20"/>
                <w:szCs w:val="20"/>
              </w:rPr>
              <w:t>0.520</w:t>
            </w:r>
          </w:p>
        </w:tc>
        <w:tc>
          <w:tcPr>
            <w:tcW w:w="1276" w:type="dxa"/>
            <w:tcBorders>
              <w:top w:val="single" w:sz="4" w:space="0" w:color="auto"/>
            </w:tcBorders>
          </w:tcPr>
          <w:p w14:paraId="09B4CD57" w14:textId="77777777" w:rsidR="0013238B" w:rsidRPr="00677610" w:rsidRDefault="0013238B" w:rsidP="00600EB5">
            <w:pPr>
              <w:spacing w:after="0" w:line="240" w:lineRule="auto"/>
              <w:contextualSpacing/>
              <w:jc w:val="both"/>
              <w:rPr>
                <w:rFonts w:ascii="Arial" w:hAnsi="Arial" w:cs="Arial"/>
                <w:sz w:val="20"/>
                <w:szCs w:val="20"/>
              </w:rPr>
            </w:pPr>
            <w:r w:rsidRPr="00677610">
              <w:rPr>
                <w:rFonts w:ascii="Arial" w:hAnsi="Arial" w:cs="Arial"/>
                <w:sz w:val="20"/>
                <w:szCs w:val="20"/>
              </w:rPr>
              <w:t>0.630</w:t>
            </w:r>
          </w:p>
        </w:tc>
        <w:tc>
          <w:tcPr>
            <w:tcW w:w="1715" w:type="dxa"/>
            <w:tcBorders>
              <w:top w:val="single" w:sz="4" w:space="0" w:color="auto"/>
            </w:tcBorders>
          </w:tcPr>
          <w:p w14:paraId="78363F85" w14:textId="77777777" w:rsidR="0013238B" w:rsidRPr="00677610" w:rsidRDefault="0013238B" w:rsidP="00600EB5">
            <w:pPr>
              <w:spacing w:after="0" w:line="240" w:lineRule="auto"/>
              <w:contextualSpacing/>
              <w:jc w:val="both"/>
              <w:rPr>
                <w:rFonts w:ascii="Arial" w:hAnsi="Arial" w:cs="Arial"/>
                <w:sz w:val="20"/>
                <w:szCs w:val="20"/>
              </w:rPr>
            </w:pPr>
            <w:r w:rsidRPr="00677610">
              <w:rPr>
                <w:rFonts w:ascii="Arial" w:hAnsi="Arial" w:cs="Arial"/>
                <w:sz w:val="20"/>
                <w:szCs w:val="20"/>
              </w:rPr>
              <w:t>0.620</w:t>
            </w:r>
          </w:p>
        </w:tc>
      </w:tr>
      <w:tr w:rsidR="0013238B" w:rsidRPr="00677610" w14:paraId="4A4A3470" w14:textId="77777777" w:rsidTr="00600EB5">
        <w:tc>
          <w:tcPr>
            <w:tcW w:w="1795" w:type="dxa"/>
          </w:tcPr>
          <w:p w14:paraId="47A5A296" w14:textId="77777777" w:rsidR="0013238B" w:rsidRPr="00677610" w:rsidRDefault="0013238B" w:rsidP="00600EB5">
            <w:pPr>
              <w:spacing w:after="0" w:line="240" w:lineRule="auto"/>
              <w:contextualSpacing/>
              <w:jc w:val="both"/>
              <w:rPr>
                <w:rFonts w:ascii="Arial" w:hAnsi="Arial" w:cs="Arial"/>
                <w:sz w:val="20"/>
                <w:szCs w:val="20"/>
              </w:rPr>
            </w:pPr>
            <w:r w:rsidRPr="00677610">
              <w:rPr>
                <w:rFonts w:ascii="Arial" w:hAnsi="Arial" w:cs="Arial"/>
                <w:sz w:val="20"/>
                <w:szCs w:val="20"/>
              </w:rPr>
              <w:t>Skills</w:t>
            </w:r>
          </w:p>
        </w:tc>
        <w:tc>
          <w:tcPr>
            <w:tcW w:w="1324" w:type="dxa"/>
          </w:tcPr>
          <w:p w14:paraId="385B2B8F" w14:textId="77777777" w:rsidR="0013238B" w:rsidRPr="00677610" w:rsidRDefault="0013238B" w:rsidP="00600EB5">
            <w:pPr>
              <w:spacing w:after="0" w:line="240" w:lineRule="auto"/>
              <w:contextualSpacing/>
              <w:jc w:val="both"/>
              <w:rPr>
                <w:rFonts w:ascii="Arial" w:hAnsi="Arial" w:cs="Arial"/>
                <w:sz w:val="20"/>
                <w:szCs w:val="20"/>
              </w:rPr>
            </w:pPr>
            <w:r w:rsidRPr="00677610">
              <w:rPr>
                <w:rFonts w:ascii="Arial" w:hAnsi="Arial" w:cs="Arial"/>
                <w:sz w:val="20"/>
                <w:szCs w:val="20"/>
              </w:rPr>
              <w:t>0.520</w:t>
            </w:r>
          </w:p>
        </w:tc>
        <w:tc>
          <w:tcPr>
            <w:tcW w:w="992" w:type="dxa"/>
          </w:tcPr>
          <w:p w14:paraId="1CA2E957" w14:textId="77777777" w:rsidR="0013238B" w:rsidRPr="00677610" w:rsidRDefault="0013238B" w:rsidP="00600EB5">
            <w:pPr>
              <w:spacing w:after="0" w:line="240" w:lineRule="auto"/>
              <w:contextualSpacing/>
              <w:jc w:val="both"/>
              <w:rPr>
                <w:rFonts w:ascii="Arial" w:hAnsi="Arial" w:cs="Arial"/>
                <w:sz w:val="20"/>
                <w:szCs w:val="20"/>
              </w:rPr>
            </w:pPr>
            <w:r w:rsidRPr="00677610">
              <w:rPr>
                <w:rFonts w:ascii="Arial" w:hAnsi="Arial" w:cs="Arial"/>
                <w:sz w:val="20"/>
                <w:szCs w:val="20"/>
              </w:rPr>
              <w:t>0.829</w:t>
            </w:r>
          </w:p>
        </w:tc>
        <w:tc>
          <w:tcPr>
            <w:tcW w:w="1276" w:type="dxa"/>
          </w:tcPr>
          <w:p w14:paraId="30DE60A9" w14:textId="77777777" w:rsidR="0013238B" w:rsidRPr="00677610" w:rsidRDefault="0013238B" w:rsidP="00600EB5">
            <w:pPr>
              <w:spacing w:after="0" w:line="240" w:lineRule="auto"/>
              <w:contextualSpacing/>
              <w:jc w:val="both"/>
              <w:rPr>
                <w:rFonts w:ascii="Arial" w:hAnsi="Arial" w:cs="Arial"/>
                <w:sz w:val="20"/>
                <w:szCs w:val="20"/>
              </w:rPr>
            </w:pPr>
            <w:r w:rsidRPr="00677610">
              <w:rPr>
                <w:rFonts w:ascii="Arial" w:hAnsi="Arial" w:cs="Arial"/>
                <w:sz w:val="20"/>
                <w:szCs w:val="20"/>
              </w:rPr>
              <w:t>0.410</w:t>
            </w:r>
          </w:p>
        </w:tc>
        <w:tc>
          <w:tcPr>
            <w:tcW w:w="1715" w:type="dxa"/>
          </w:tcPr>
          <w:p w14:paraId="5E2EF3C2" w14:textId="77777777" w:rsidR="0013238B" w:rsidRPr="00677610" w:rsidRDefault="0013238B" w:rsidP="00600EB5">
            <w:pPr>
              <w:spacing w:after="0" w:line="240" w:lineRule="auto"/>
              <w:contextualSpacing/>
              <w:jc w:val="both"/>
              <w:rPr>
                <w:rFonts w:ascii="Arial" w:hAnsi="Arial" w:cs="Arial"/>
                <w:sz w:val="20"/>
                <w:szCs w:val="20"/>
              </w:rPr>
            </w:pPr>
            <w:r w:rsidRPr="00677610">
              <w:rPr>
                <w:rFonts w:ascii="Arial" w:hAnsi="Arial" w:cs="Arial"/>
                <w:sz w:val="20"/>
                <w:szCs w:val="20"/>
              </w:rPr>
              <w:t>0.450</w:t>
            </w:r>
          </w:p>
        </w:tc>
      </w:tr>
      <w:tr w:rsidR="0013238B" w:rsidRPr="00677610" w14:paraId="22101D7A" w14:textId="77777777" w:rsidTr="00600EB5">
        <w:tc>
          <w:tcPr>
            <w:tcW w:w="1795" w:type="dxa"/>
          </w:tcPr>
          <w:p w14:paraId="1BCA9A29" w14:textId="77777777" w:rsidR="0013238B" w:rsidRPr="00677610" w:rsidRDefault="0013238B" w:rsidP="00600EB5">
            <w:pPr>
              <w:spacing w:after="0" w:line="240" w:lineRule="auto"/>
              <w:contextualSpacing/>
              <w:jc w:val="both"/>
              <w:rPr>
                <w:rFonts w:ascii="Arial" w:hAnsi="Arial" w:cs="Arial"/>
                <w:sz w:val="20"/>
                <w:szCs w:val="20"/>
              </w:rPr>
            </w:pPr>
            <w:r w:rsidRPr="00677610">
              <w:rPr>
                <w:rFonts w:ascii="Arial" w:hAnsi="Arial" w:cs="Arial"/>
                <w:sz w:val="20"/>
                <w:szCs w:val="20"/>
              </w:rPr>
              <w:t>Education</w:t>
            </w:r>
          </w:p>
        </w:tc>
        <w:tc>
          <w:tcPr>
            <w:tcW w:w="1324" w:type="dxa"/>
          </w:tcPr>
          <w:p w14:paraId="4688D8D5" w14:textId="77777777" w:rsidR="0013238B" w:rsidRPr="00677610" w:rsidRDefault="0013238B" w:rsidP="00600EB5">
            <w:pPr>
              <w:spacing w:after="0" w:line="240" w:lineRule="auto"/>
              <w:contextualSpacing/>
              <w:jc w:val="both"/>
              <w:rPr>
                <w:rFonts w:ascii="Arial" w:hAnsi="Arial" w:cs="Arial"/>
                <w:sz w:val="20"/>
                <w:szCs w:val="20"/>
              </w:rPr>
            </w:pPr>
            <w:r w:rsidRPr="00677610">
              <w:rPr>
                <w:rFonts w:ascii="Arial" w:hAnsi="Arial" w:cs="Arial"/>
                <w:sz w:val="20"/>
                <w:szCs w:val="20"/>
              </w:rPr>
              <w:t>0.630</w:t>
            </w:r>
          </w:p>
        </w:tc>
        <w:tc>
          <w:tcPr>
            <w:tcW w:w="992" w:type="dxa"/>
          </w:tcPr>
          <w:p w14:paraId="0AF3373A" w14:textId="77777777" w:rsidR="0013238B" w:rsidRPr="00677610" w:rsidRDefault="0013238B" w:rsidP="00600EB5">
            <w:pPr>
              <w:spacing w:after="0" w:line="240" w:lineRule="auto"/>
              <w:contextualSpacing/>
              <w:jc w:val="both"/>
              <w:rPr>
                <w:rFonts w:ascii="Arial" w:hAnsi="Arial" w:cs="Arial"/>
                <w:sz w:val="20"/>
                <w:szCs w:val="20"/>
              </w:rPr>
            </w:pPr>
            <w:r w:rsidRPr="00677610">
              <w:rPr>
                <w:rFonts w:ascii="Arial" w:hAnsi="Arial" w:cs="Arial"/>
                <w:sz w:val="20"/>
                <w:szCs w:val="20"/>
              </w:rPr>
              <w:t>0.410</w:t>
            </w:r>
          </w:p>
        </w:tc>
        <w:tc>
          <w:tcPr>
            <w:tcW w:w="1276" w:type="dxa"/>
          </w:tcPr>
          <w:p w14:paraId="2F9A695D" w14:textId="77777777" w:rsidR="0013238B" w:rsidRPr="00677610" w:rsidRDefault="0013238B" w:rsidP="00600EB5">
            <w:pPr>
              <w:spacing w:after="0" w:line="240" w:lineRule="auto"/>
              <w:contextualSpacing/>
              <w:jc w:val="both"/>
              <w:rPr>
                <w:rFonts w:ascii="Arial" w:hAnsi="Arial" w:cs="Arial"/>
                <w:sz w:val="20"/>
                <w:szCs w:val="20"/>
              </w:rPr>
            </w:pPr>
            <w:r w:rsidRPr="00677610">
              <w:rPr>
                <w:rFonts w:ascii="Arial" w:hAnsi="Arial" w:cs="Arial"/>
                <w:sz w:val="20"/>
                <w:szCs w:val="20"/>
              </w:rPr>
              <w:t>0.786</w:t>
            </w:r>
          </w:p>
        </w:tc>
        <w:tc>
          <w:tcPr>
            <w:tcW w:w="1715" w:type="dxa"/>
          </w:tcPr>
          <w:p w14:paraId="51C8DE97" w14:textId="77777777" w:rsidR="0013238B" w:rsidRPr="00677610" w:rsidRDefault="0013238B" w:rsidP="00600EB5">
            <w:pPr>
              <w:spacing w:after="0" w:line="240" w:lineRule="auto"/>
              <w:contextualSpacing/>
              <w:jc w:val="both"/>
              <w:rPr>
                <w:rFonts w:ascii="Arial" w:hAnsi="Arial" w:cs="Arial"/>
                <w:sz w:val="20"/>
                <w:szCs w:val="20"/>
              </w:rPr>
            </w:pPr>
            <w:r w:rsidRPr="00677610">
              <w:rPr>
                <w:rFonts w:ascii="Arial" w:hAnsi="Arial" w:cs="Arial"/>
                <w:sz w:val="20"/>
                <w:szCs w:val="20"/>
              </w:rPr>
              <w:t>0.460</w:t>
            </w:r>
          </w:p>
        </w:tc>
      </w:tr>
      <w:tr w:rsidR="0013238B" w:rsidRPr="00677610" w14:paraId="41F49310" w14:textId="77777777" w:rsidTr="00600EB5">
        <w:tc>
          <w:tcPr>
            <w:tcW w:w="1795" w:type="dxa"/>
            <w:tcBorders>
              <w:bottom w:val="single" w:sz="4" w:space="0" w:color="auto"/>
            </w:tcBorders>
          </w:tcPr>
          <w:p w14:paraId="5F4783E5" w14:textId="77777777" w:rsidR="0013238B" w:rsidRPr="00677610" w:rsidRDefault="0013238B" w:rsidP="00600EB5">
            <w:pPr>
              <w:spacing w:after="0" w:line="240" w:lineRule="auto"/>
              <w:contextualSpacing/>
              <w:jc w:val="both"/>
              <w:rPr>
                <w:rFonts w:ascii="Arial" w:hAnsi="Arial" w:cs="Arial"/>
                <w:sz w:val="20"/>
                <w:szCs w:val="20"/>
              </w:rPr>
            </w:pPr>
            <w:r w:rsidRPr="00677610">
              <w:rPr>
                <w:rFonts w:ascii="Arial" w:hAnsi="Arial" w:cs="Arial"/>
                <w:sz w:val="20"/>
                <w:szCs w:val="20"/>
              </w:rPr>
              <w:t>Readiness</w:t>
            </w:r>
          </w:p>
        </w:tc>
        <w:tc>
          <w:tcPr>
            <w:tcW w:w="1324" w:type="dxa"/>
            <w:tcBorders>
              <w:bottom w:val="single" w:sz="4" w:space="0" w:color="auto"/>
            </w:tcBorders>
          </w:tcPr>
          <w:p w14:paraId="559BD955" w14:textId="77777777" w:rsidR="0013238B" w:rsidRPr="00677610" w:rsidRDefault="0013238B" w:rsidP="00600EB5">
            <w:pPr>
              <w:spacing w:after="0" w:line="240" w:lineRule="auto"/>
              <w:contextualSpacing/>
              <w:jc w:val="both"/>
              <w:rPr>
                <w:rFonts w:ascii="Arial" w:hAnsi="Arial" w:cs="Arial"/>
                <w:sz w:val="20"/>
                <w:szCs w:val="20"/>
              </w:rPr>
            </w:pPr>
            <w:r w:rsidRPr="00677610">
              <w:rPr>
                <w:rFonts w:ascii="Arial" w:hAnsi="Arial" w:cs="Arial"/>
                <w:sz w:val="20"/>
                <w:szCs w:val="20"/>
              </w:rPr>
              <w:t>0.620</w:t>
            </w:r>
          </w:p>
        </w:tc>
        <w:tc>
          <w:tcPr>
            <w:tcW w:w="992" w:type="dxa"/>
            <w:tcBorders>
              <w:bottom w:val="single" w:sz="4" w:space="0" w:color="auto"/>
            </w:tcBorders>
          </w:tcPr>
          <w:p w14:paraId="56ED765B" w14:textId="77777777" w:rsidR="0013238B" w:rsidRPr="00677610" w:rsidRDefault="0013238B" w:rsidP="00600EB5">
            <w:pPr>
              <w:spacing w:after="0" w:line="240" w:lineRule="auto"/>
              <w:contextualSpacing/>
              <w:jc w:val="both"/>
              <w:rPr>
                <w:rFonts w:ascii="Arial" w:hAnsi="Arial" w:cs="Arial"/>
                <w:sz w:val="20"/>
                <w:szCs w:val="20"/>
              </w:rPr>
            </w:pPr>
            <w:r w:rsidRPr="00677610">
              <w:rPr>
                <w:rFonts w:ascii="Arial" w:hAnsi="Arial" w:cs="Arial"/>
                <w:sz w:val="20"/>
                <w:szCs w:val="20"/>
              </w:rPr>
              <w:t>0.450</w:t>
            </w:r>
          </w:p>
        </w:tc>
        <w:tc>
          <w:tcPr>
            <w:tcW w:w="1276" w:type="dxa"/>
            <w:tcBorders>
              <w:bottom w:val="single" w:sz="4" w:space="0" w:color="auto"/>
            </w:tcBorders>
          </w:tcPr>
          <w:p w14:paraId="6EE27126" w14:textId="77777777" w:rsidR="0013238B" w:rsidRPr="00677610" w:rsidRDefault="0013238B" w:rsidP="00600EB5">
            <w:pPr>
              <w:spacing w:after="0" w:line="240" w:lineRule="auto"/>
              <w:contextualSpacing/>
              <w:jc w:val="both"/>
              <w:rPr>
                <w:rFonts w:ascii="Arial" w:hAnsi="Arial" w:cs="Arial"/>
                <w:sz w:val="20"/>
                <w:szCs w:val="20"/>
              </w:rPr>
            </w:pPr>
            <w:r w:rsidRPr="00677610">
              <w:rPr>
                <w:rFonts w:ascii="Arial" w:hAnsi="Arial" w:cs="Arial"/>
                <w:sz w:val="20"/>
                <w:szCs w:val="20"/>
              </w:rPr>
              <w:t>0.460</w:t>
            </w:r>
          </w:p>
        </w:tc>
        <w:tc>
          <w:tcPr>
            <w:tcW w:w="1715" w:type="dxa"/>
            <w:tcBorders>
              <w:bottom w:val="single" w:sz="4" w:space="0" w:color="auto"/>
            </w:tcBorders>
          </w:tcPr>
          <w:p w14:paraId="001BB4D2" w14:textId="77777777" w:rsidR="0013238B" w:rsidRPr="00677610" w:rsidRDefault="0013238B" w:rsidP="00600EB5">
            <w:pPr>
              <w:spacing w:after="0" w:line="240" w:lineRule="auto"/>
              <w:contextualSpacing/>
              <w:jc w:val="both"/>
              <w:rPr>
                <w:rFonts w:ascii="Arial" w:hAnsi="Arial" w:cs="Arial"/>
                <w:sz w:val="20"/>
                <w:szCs w:val="20"/>
              </w:rPr>
            </w:pPr>
            <w:r w:rsidRPr="00677610">
              <w:rPr>
                <w:rFonts w:ascii="Arial" w:hAnsi="Arial" w:cs="Arial"/>
                <w:sz w:val="20"/>
                <w:szCs w:val="20"/>
              </w:rPr>
              <w:t>0.784</w:t>
            </w:r>
          </w:p>
        </w:tc>
      </w:tr>
    </w:tbl>
    <w:p w14:paraId="5EBA9E2F" w14:textId="77777777" w:rsidR="0013238B" w:rsidRPr="00677610" w:rsidRDefault="0013238B" w:rsidP="0013238B">
      <w:pPr>
        <w:spacing w:after="0" w:line="240" w:lineRule="auto"/>
        <w:ind w:left="720"/>
        <w:contextualSpacing/>
        <w:jc w:val="both"/>
        <w:rPr>
          <w:rFonts w:ascii="Arial" w:hAnsi="Arial" w:cs="Arial"/>
          <w:sz w:val="20"/>
          <w:szCs w:val="20"/>
        </w:rPr>
      </w:pPr>
      <w:r w:rsidRPr="00677610">
        <w:rPr>
          <w:rFonts w:ascii="Arial" w:hAnsi="Arial" w:cs="Arial"/>
          <w:sz w:val="20"/>
          <w:szCs w:val="20"/>
        </w:rPr>
        <w:t>Source: Research Data Analysis, 2025 (CVA/AMOS).</w:t>
      </w:r>
    </w:p>
    <w:p w14:paraId="38536357" w14:textId="77777777" w:rsidR="0013238B" w:rsidRPr="00677610" w:rsidRDefault="0013238B" w:rsidP="0013238B">
      <w:pPr>
        <w:spacing w:after="0" w:line="240" w:lineRule="auto"/>
        <w:ind w:firstLine="720"/>
        <w:contextualSpacing/>
        <w:jc w:val="both"/>
        <w:rPr>
          <w:rFonts w:ascii="Arial" w:hAnsi="Arial" w:cs="Arial"/>
          <w:sz w:val="20"/>
          <w:szCs w:val="20"/>
        </w:rPr>
      </w:pPr>
      <w:r w:rsidRPr="00677610">
        <w:rPr>
          <w:rFonts w:ascii="Arial" w:hAnsi="Arial" w:cs="Arial"/>
          <w:sz w:val="20"/>
          <w:szCs w:val="20"/>
        </w:rPr>
        <w:t xml:space="preserve">Table 4 demonstrates that each diagonal element (√AVE) exceeds the equivalent off-diagonal correlations, signifying that each construct possesses larger variance with its own indicators than with those of other constructs. The highest inter-construct correlation (0.630) is below the lowest √AVE among the constructs (0.784), hence affirming discriminant validity according to the </w:t>
      </w:r>
      <w:proofErr w:type="spellStart"/>
      <w:r w:rsidRPr="00677610">
        <w:rPr>
          <w:rFonts w:ascii="Arial" w:hAnsi="Arial" w:cs="Arial"/>
          <w:sz w:val="20"/>
          <w:szCs w:val="20"/>
        </w:rPr>
        <w:t>Fornell</w:t>
      </w:r>
      <w:proofErr w:type="spellEnd"/>
      <w:r w:rsidRPr="00677610">
        <w:rPr>
          <w:rFonts w:ascii="Arial" w:hAnsi="Arial" w:cs="Arial"/>
          <w:sz w:val="20"/>
          <w:szCs w:val="20"/>
        </w:rPr>
        <w:t>–</w:t>
      </w:r>
      <w:proofErr w:type="spellStart"/>
      <w:r w:rsidRPr="00677610">
        <w:rPr>
          <w:rFonts w:ascii="Arial" w:hAnsi="Arial" w:cs="Arial"/>
          <w:sz w:val="20"/>
          <w:szCs w:val="20"/>
        </w:rPr>
        <w:t>Larcker</w:t>
      </w:r>
      <w:proofErr w:type="spellEnd"/>
      <w:r w:rsidRPr="00677610">
        <w:rPr>
          <w:rFonts w:ascii="Arial" w:hAnsi="Arial" w:cs="Arial"/>
          <w:sz w:val="20"/>
          <w:szCs w:val="20"/>
        </w:rPr>
        <w:t xml:space="preserve"> criterion.</w:t>
      </w:r>
    </w:p>
    <w:p w14:paraId="7216DA84" w14:textId="77777777" w:rsidR="0013238B" w:rsidRPr="00677610" w:rsidRDefault="0013238B" w:rsidP="0013238B">
      <w:pPr>
        <w:spacing w:after="0" w:line="240" w:lineRule="auto"/>
        <w:ind w:left="720"/>
        <w:contextualSpacing/>
        <w:jc w:val="both"/>
        <w:rPr>
          <w:rFonts w:ascii="Arial" w:hAnsi="Arial" w:cs="Arial"/>
          <w:bCs/>
          <w:sz w:val="20"/>
          <w:szCs w:val="20"/>
        </w:rPr>
      </w:pPr>
      <w:r w:rsidRPr="00677610">
        <w:rPr>
          <w:rFonts w:ascii="Arial" w:hAnsi="Arial" w:cs="Arial"/>
          <w:bCs/>
          <w:sz w:val="20"/>
          <w:szCs w:val="20"/>
        </w:rPr>
        <w:t>Table 5. MSV/ASV Assessment</w:t>
      </w:r>
    </w:p>
    <w:tbl>
      <w:tblPr>
        <w:tblW w:w="7529" w:type="dxa"/>
        <w:tblInd w:w="720" w:type="dxa"/>
        <w:tblLook w:val="04A0" w:firstRow="1" w:lastRow="0" w:firstColumn="1" w:lastColumn="0" w:noHBand="0" w:noVBand="1"/>
      </w:tblPr>
      <w:tblGrid>
        <w:gridCol w:w="2660"/>
        <w:gridCol w:w="1134"/>
        <w:gridCol w:w="1134"/>
        <w:gridCol w:w="873"/>
        <w:gridCol w:w="1728"/>
      </w:tblGrid>
      <w:tr w:rsidR="0013238B" w:rsidRPr="00677610" w14:paraId="2A0D4EFF" w14:textId="77777777" w:rsidTr="00600EB5">
        <w:tc>
          <w:tcPr>
            <w:tcW w:w="2660" w:type="dxa"/>
            <w:tcBorders>
              <w:top w:val="single" w:sz="4" w:space="0" w:color="auto"/>
              <w:bottom w:val="single" w:sz="4" w:space="0" w:color="auto"/>
            </w:tcBorders>
          </w:tcPr>
          <w:p w14:paraId="71C9F8F4" w14:textId="77777777" w:rsidR="0013238B" w:rsidRPr="00677610" w:rsidRDefault="0013238B" w:rsidP="00600EB5">
            <w:pPr>
              <w:spacing w:after="0" w:line="240" w:lineRule="auto"/>
              <w:contextualSpacing/>
              <w:jc w:val="both"/>
              <w:rPr>
                <w:rFonts w:ascii="Arial" w:hAnsi="Arial" w:cs="Arial"/>
                <w:sz w:val="20"/>
                <w:szCs w:val="20"/>
              </w:rPr>
            </w:pPr>
            <w:r w:rsidRPr="00677610">
              <w:rPr>
                <w:rFonts w:ascii="Arial" w:hAnsi="Arial" w:cs="Arial"/>
                <w:sz w:val="20"/>
                <w:szCs w:val="20"/>
              </w:rPr>
              <w:t>Latent Variables</w:t>
            </w:r>
          </w:p>
        </w:tc>
        <w:tc>
          <w:tcPr>
            <w:tcW w:w="1134" w:type="dxa"/>
            <w:tcBorders>
              <w:top w:val="single" w:sz="4" w:space="0" w:color="auto"/>
              <w:bottom w:val="single" w:sz="4" w:space="0" w:color="auto"/>
            </w:tcBorders>
          </w:tcPr>
          <w:p w14:paraId="6C60A458" w14:textId="77777777" w:rsidR="0013238B" w:rsidRPr="00677610" w:rsidRDefault="0013238B" w:rsidP="00600EB5">
            <w:pPr>
              <w:spacing w:after="0" w:line="240" w:lineRule="auto"/>
              <w:contextualSpacing/>
              <w:jc w:val="center"/>
              <w:rPr>
                <w:rFonts w:ascii="Arial" w:hAnsi="Arial" w:cs="Arial"/>
                <w:sz w:val="20"/>
                <w:szCs w:val="20"/>
              </w:rPr>
            </w:pPr>
            <w:r w:rsidRPr="00677610">
              <w:rPr>
                <w:rFonts w:ascii="Arial" w:hAnsi="Arial" w:cs="Arial"/>
                <w:sz w:val="20"/>
                <w:szCs w:val="20"/>
              </w:rPr>
              <w:t>AVE</w:t>
            </w:r>
          </w:p>
        </w:tc>
        <w:tc>
          <w:tcPr>
            <w:tcW w:w="1134" w:type="dxa"/>
            <w:tcBorders>
              <w:top w:val="single" w:sz="4" w:space="0" w:color="auto"/>
              <w:bottom w:val="single" w:sz="4" w:space="0" w:color="auto"/>
            </w:tcBorders>
          </w:tcPr>
          <w:p w14:paraId="528DBFF9" w14:textId="77777777" w:rsidR="0013238B" w:rsidRPr="00677610" w:rsidRDefault="0013238B" w:rsidP="00600EB5">
            <w:pPr>
              <w:spacing w:after="0" w:line="240" w:lineRule="auto"/>
              <w:contextualSpacing/>
              <w:jc w:val="center"/>
              <w:rPr>
                <w:rFonts w:ascii="Arial" w:hAnsi="Arial" w:cs="Arial"/>
                <w:sz w:val="20"/>
                <w:szCs w:val="20"/>
              </w:rPr>
            </w:pPr>
            <w:r w:rsidRPr="00677610">
              <w:rPr>
                <w:rFonts w:ascii="Arial" w:hAnsi="Arial" w:cs="Arial"/>
                <w:sz w:val="20"/>
                <w:szCs w:val="20"/>
              </w:rPr>
              <w:t>MSV</w:t>
            </w:r>
          </w:p>
        </w:tc>
        <w:tc>
          <w:tcPr>
            <w:tcW w:w="873" w:type="dxa"/>
            <w:tcBorders>
              <w:top w:val="single" w:sz="4" w:space="0" w:color="auto"/>
              <w:bottom w:val="single" w:sz="4" w:space="0" w:color="auto"/>
            </w:tcBorders>
          </w:tcPr>
          <w:p w14:paraId="230AA4FA" w14:textId="77777777" w:rsidR="0013238B" w:rsidRPr="00677610" w:rsidRDefault="0013238B" w:rsidP="00600EB5">
            <w:pPr>
              <w:spacing w:after="0" w:line="240" w:lineRule="auto"/>
              <w:contextualSpacing/>
              <w:jc w:val="center"/>
              <w:rPr>
                <w:rFonts w:ascii="Arial" w:hAnsi="Arial" w:cs="Arial"/>
                <w:sz w:val="20"/>
                <w:szCs w:val="20"/>
              </w:rPr>
            </w:pPr>
            <w:r w:rsidRPr="00677610">
              <w:rPr>
                <w:rFonts w:ascii="Arial" w:hAnsi="Arial" w:cs="Arial"/>
                <w:sz w:val="20"/>
                <w:szCs w:val="20"/>
              </w:rPr>
              <w:t>ASV</w:t>
            </w:r>
          </w:p>
        </w:tc>
        <w:tc>
          <w:tcPr>
            <w:tcW w:w="1728" w:type="dxa"/>
            <w:tcBorders>
              <w:top w:val="single" w:sz="4" w:space="0" w:color="auto"/>
              <w:bottom w:val="single" w:sz="4" w:space="0" w:color="auto"/>
            </w:tcBorders>
          </w:tcPr>
          <w:p w14:paraId="6A67C569" w14:textId="77777777" w:rsidR="0013238B" w:rsidRPr="00677610" w:rsidRDefault="0013238B" w:rsidP="00600EB5">
            <w:pPr>
              <w:spacing w:after="0" w:line="240" w:lineRule="auto"/>
              <w:contextualSpacing/>
              <w:jc w:val="center"/>
              <w:rPr>
                <w:rFonts w:ascii="Arial" w:hAnsi="Arial" w:cs="Arial"/>
                <w:sz w:val="20"/>
                <w:szCs w:val="20"/>
              </w:rPr>
            </w:pPr>
            <w:r w:rsidRPr="00677610">
              <w:rPr>
                <w:rFonts w:ascii="Arial" w:hAnsi="Arial" w:cs="Arial"/>
                <w:sz w:val="20"/>
                <w:szCs w:val="20"/>
              </w:rPr>
              <w:t>AVE &gt; MSV?</w:t>
            </w:r>
          </w:p>
        </w:tc>
      </w:tr>
      <w:tr w:rsidR="0013238B" w:rsidRPr="00677610" w14:paraId="44FD6956" w14:textId="77777777" w:rsidTr="00600EB5">
        <w:tc>
          <w:tcPr>
            <w:tcW w:w="2660" w:type="dxa"/>
            <w:tcBorders>
              <w:top w:val="single" w:sz="4" w:space="0" w:color="auto"/>
            </w:tcBorders>
          </w:tcPr>
          <w:p w14:paraId="5B9C5E28" w14:textId="77777777" w:rsidR="0013238B" w:rsidRPr="00677610" w:rsidRDefault="0013238B" w:rsidP="00600EB5">
            <w:pPr>
              <w:spacing w:after="0" w:line="240" w:lineRule="auto"/>
              <w:contextualSpacing/>
              <w:jc w:val="both"/>
              <w:rPr>
                <w:rFonts w:ascii="Arial" w:hAnsi="Arial" w:cs="Arial"/>
                <w:sz w:val="20"/>
                <w:szCs w:val="20"/>
              </w:rPr>
            </w:pPr>
            <w:r w:rsidRPr="00677610">
              <w:rPr>
                <w:rFonts w:ascii="Arial" w:hAnsi="Arial" w:cs="Arial"/>
                <w:sz w:val="20"/>
                <w:szCs w:val="20"/>
              </w:rPr>
              <w:t>Community Motivation</w:t>
            </w:r>
          </w:p>
        </w:tc>
        <w:tc>
          <w:tcPr>
            <w:tcW w:w="1134" w:type="dxa"/>
            <w:tcBorders>
              <w:top w:val="single" w:sz="4" w:space="0" w:color="auto"/>
            </w:tcBorders>
          </w:tcPr>
          <w:p w14:paraId="18D5165A" w14:textId="77777777" w:rsidR="0013238B" w:rsidRPr="00677610" w:rsidRDefault="0013238B" w:rsidP="00600EB5">
            <w:pPr>
              <w:spacing w:after="0" w:line="240" w:lineRule="auto"/>
              <w:contextualSpacing/>
              <w:jc w:val="center"/>
              <w:rPr>
                <w:rFonts w:ascii="Arial" w:hAnsi="Arial" w:cs="Arial"/>
                <w:sz w:val="20"/>
                <w:szCs w:val="20"/>
              </w:rPr>
            </w:pPr>
            <w:r w:rsidRPr="00677610">
              <w:rPr>
                <w:rFonts w:ascii="Arial" w:hAnsi="Arial" w:cs="Arial"/>
                <w:sz w:val="20"/>
                <w:szCs w:val="20"/>
              </w:rPr>
              <w:t>0.659</w:t>
            </w:r>
          </w:p>
        </w:tc>
        <w:tc>
          <w:tcPr>
            <w:tcW w:w="1134" w:type="dxa"/>
            <w:tcBorders>
              <w:top w:val="single" w:sz="4" w:space="0" w:color="auto"/>
            </w:tcBorders>
          </w:tcPr>
          <w:p w14:paraId="41C72ACD" w14:textId="77777777" w:rsidR="0013238B" w:rsidRPr="00677610" w:rsidRDefault="0013238B" w:rsidP="00600EB5">
            <w:pPr>
              <w:spacing w:after="0" w:line="240" w:lineRule="auto"/>
              <w:contextualSpacing/>
              <w:jc w:val="center"/>
              <w:rPr>
                <w:rFonts w:ascii="Arial" w:hAnsi="Arial" w:cs="Arial"/>
                <w:sz w:val="20"/>
                <w:szCs w:val="20"/>
              </w:rPr>
            </w:pPr>
            <w:r w:rsidRPr="00677610">
              <w:rPr>
                <w:rFonts w:ascii="Arial" w:hAnsi="Arial" w:cs="Arial"/>
                <w:sz w:val="20"/>
                <w:szCs w:val="20"/>
              </w:rPr>
              <w:t>0.397</w:t>
            </w:r>
          </w:p>
        </w:tc>
        <w:tc>
          <w:tcPr>
            <w:tcW w:w="873" w:type="dxa"/>
            <w:tcBorders>
              <w:top w:val="single" w:sz="4" w:space="0" w:color="auto"/>
            </w:tcBorders>
          </w:tcPr>
          <w:p w14:paraId="10C1C57B" w14:textId="77777777" w:rsidR="0013238B" w:rsidRPr="00677610" w:rsidRDefault="0013238B" w:rsidP="00600EB5">
            <w:pPr>
              <w:spacing w:after="0" w:line="240" w:lineRule="auto"/>
              <w:contextualSpacing/>
              <w:jc w:val="center"/>
              <w:rPr>
                <w:rFonts w:ascii="Arial" w:hAnsi="Arial" w:cs="Arial"/>
                <w:sz w:val="20"/>
                <w:szCs w:val="20"/>
              </w:rPr>
            </w:pPr>
            <w:r w:rsidRPr="00677610">
              <w:rPr>
                <w:rFonts w:ascii="Arial" w:hAnsi="Arial" w:cs="Arial"/>
                <w:sz w:val="20"/>
                <w:szCs w:val="20"/>
              </w:rPr>
              <w:t>0.351</w:t>
            </w:r>
          </w:p>
        </w:tc>
        <w:tc>
          <w:tcPr>
            <w:tcW w:w="1728" w:type="dxa"/>
            <w:tcBorders>
              <w:top w:val="single" w:sz="4" w:space="0" w:color="auto"/>
            </w:tcBorders>
          </w:tcPr>
          <w:p w14:paraId="74C1AC57" w14:textId="77777777" w:rsidR="0013238B" w:rsidRPr="00677610" w:rsidRDefault="0013238B" w:rsidP="00600EB5">
            <w:pPr>
              <w:spacing w:after="0" w:line="240" w:lineRule="auto"/>
              <w:contextualSpacing/>
              <w:jc w:val="center"/>
              <w:rPr>
                <w:rFonts w:ascii="Arial" w:hAnsi="Arial" w:cs="Arial"/>
                <w:sz w:val="20"/>
                <w:szCs w:val="20"/>
              </w:rPr>
            </w:pPr>
            <w:r w:rsidRPr="00677610">
              <w:rPr>
                <w:rFonts w:ascii="Arial" w:hAnsi="Arial" w:cs="Arial"/>
                <w:sz w:val="20"/>
                <w:szCs w:val="20"/>
              </w:rPr>
              <w:t>Yes</w:t>
            </w:r>
          </w:p>
        </w:tc>
      </w:tr>
      <w:tr w:rsidR="0013238B" w:rsidRPr="00677610" w14:paraId="737151AC" w14:textId="77777777" w:rsidTr="00600EB5">
        <w:tc>
          <w:tcPr>
            <w:tcW w:w="2660" w:type="dxa"/>
          </w:tcPr>
          <w:p w14:paraId="48BED917" w14:textId="77777777" w:rsidR="0013238B" w:rsidRPr="00677610" w:rsidRDefault="0013238B" w:rsidP="00600EB5">
            <w:pPr>
              <w:spacing w:after="0" w:line="240" w:lineRule="auto"/>
              <w:contextualSpacing/>
              <w:jc w:val="both"/>
              <w:rPr>
                <w:rFonts w:ascii="Arial" w:hAnsi="Arial" w:cs="Arial"/>
                <w:sz w:val="20"/>
                <w:szCs w:val="20"/>
              </w:rPr>
            </w:pPr>
            <w:r w:rsidRPr="00677610">
              <w:rPr>
                <w:rFonts w:ascii="Arial" w:hAnsi="Arial" w:cs="Arial"/>
                <w:sz w:val="20"/>
                <w:szCs w:val="20"/>
              </w:rPr>
              <w:t>Community Skills</w:t>
            </w:r>
          </w:p>
        </w:tc>
        <w:tc>
          <w:tcPr>
            <w:tcW w:w="1134" w:type="dxa"/>
          </w:tcPr>
          <w:p w14:paraId="5C9B20D2" w14:textId="77777777" w:rsidR="0013238B" w:rsidRPr="00677610" w:rsidRDefault="0013238B" w:rsidP="00600EB5">
            <w:pPr>
              <w:spacing w:after="0" w:line="240" w:lineRule="auto"/>
              <w:contextualSpacing/>
              <w:jc w:val="center"/>
              <w:rPr>
                <w:rFonts w:ascii="Arial" w:hAnsi="Arial" w:cs="Arial"/>
                <w:sz w:val="20"/>
                <w:szCs w:val="20"/>
              </w:rPr>
            </w:pPr>
            <w:r w:rsidRPr="00677610">
              <w:rPr>
                <w:rFonts w:ascii="Arial" w:hAnsi="Arial" w:cs="Arial"/>
                <w:sz w:val="20"/>
                <w:szCs w:val="20"/>
              </w:rPr>
              <w:t>0.688</w:t>
            </w:r>
          </w:p>
        </w:tc>
        <w:tc>
          <w:tcPr>
            <w:tcW w:w="1134" w:type="dxa"/>
          </w:tcPr>
          <w:p w14:paraId="4646ED7C" w14:textId="77777777" w:rsidR="0013238B" w:rsidRPr="00677610" w:rsidRDefault="0013238B" w:rsidP="00600EB5">
            <w:pPr>
              <w:spacing w:after="0" w:line="240" w:lineRule="auto"/>
              <w:contextualSpacing/>
              <w:jc w:val="center"/>
              <w:rPr>
                <w:rFonts w:ascii="Arial" w:hAnsi="Arial" w:cs="Arial"/>
                <w:sz w:val="20"/>
                <w:szCs w:val="20"/>
              </w:rPr>
            </w:pPr>
            <w:r w:rsidRPr="00677610">
              <w:rPr>
                <w:rFonts w:ascii="Arial" w:hAnsi="Arial" w:cs="Arial"/>
                <w:sz w:val="20"/>
                <w:szCs w:val="20"/>
              </w:rPr>
              <w:t>0.270</w:t>
            </w:r>
          </w:p>
        </w:tc>
        <w:tc>
          <w:tcPr>
            <w:tcW w:w="873" w:type="dxa"/>
          </w:tcPr>
          <w:p w14:paraId="2A1175AE" w14:textId="77777777" w:rsidR="0013238B" w:rsidRPr="00677610" w:rsidRDefault="0013238B" w:rsidP="00600EB5">
            <w:pPr>
              <w:spacing w:after="0" w:line="240" w:lineRule="auto"/>
              <w:contextualSpacing/>
              <w:jc w:val="center"/>
              <w:rPr>
                <w:rFonts w:ascii="Arial" w:hAnsi="Arial" w:cs="Arial"/>
                <w:sz w:val="20"/>
                <w:szCs w:val="20"/>
              </w:rPr>
            </w:pPr>
            <w:r w:rsidRPr="00677610">
              <w:rPr>
                <w:rFonts w:ascii="Arial" w:hAnsi="Arial" w:cs="Arial"/>
                <w:sz w:val="20"/>
                <w:szCs w:val="20"/>
              </w:rPr>
              <w:t>0.214</w:t>
            </w:r>
          </w:p>
        </w:tc>
        <w:tc>
          <w:tcPr>
            <w:tcW w:w="1728" w:type="dxa"/>
          </w:tcPr>
          <w:p w14:paraId="7ADC608F" w14:textId="77777777" w:rsidR="0013238B" w:rsidRPr="00677610" w:rsidRDefault="0013238B" w:rsidP="00600EB5">
            <w:pPr>
              <w:spacing w:after="0" w:line="240" w:lineRule="auto"/>
              <w:contextualSpacing/>
              <w:jc w:val="center"/>
              <w:rPr>
                <w:rFonts w:ascii="Arial" w:hAnsi="Arial" w:cs="Arial"/>
                <w:sz w:val="20"/>
                <w:szCs w:val="20"/>
              </w:rPr>
            </w:pPr>
            <w:r w:rsidRPr="00677610">
              <w:rPr>
                <w:rFonts w:ascii="Arial" w:hAnsi="Arial" w:cs="Arial"/>
                <w:sz w:val="20"/>
                <w:szCs w:val="20"/>
              </w:rPr>
              <w:t>Yes</w:t>
            </w:r>
          </w:p>
        </w:tc>
      </w:tr>
      <w:tr w:rsidR="0013238B" w:rsidRPr="00677610" w14:paraId="3C6FD247" w14:textId="77777777" w:rsidTr="00600EB5">
        <w:tc>
          <w:tcPr>
            <w:tcW w:w="2660" w:type="dxa"/>
          </w:tcPr>
          <w:p w14:paraId="5D5719E9" w14:textId="77777777" w:rsidR="0013238B" w:rsidRPr="00677610" w:rsidRDefault="0013238B" w:rsidP="00600EB5">
            <w:pPr>
              <w:spacing w:after="0" w:line="240" w:lineRule="auto"/>
              <w:contextualSpacing/>
              <w:jc w:val="both"/>
              <w:rPr>
                <w:rFonts w:ascii="Arial" w:hAnsi="Arial" w:cs="Arial"/>
                <w:sz w:val="20"/>
                <w:szCs w:val="20"/>
              </w:rPr>
            </w:pPr>
            <w:r w:rsidRPr="00677610">
              <w:rPr>
                <w:rFonts w:ascii="Arial" w:hAnsi="Arial" w:cs="Arial"/>
                <w:sz w:val="20"/>
                <w:szCs w:val="20"/>
              </w:rPr>
              <w:t>Community Education</w:t>
            </w:r>
          </w:p>
        </w:tc>
        <w:tc>
          <w:tcPr>
            <w:tcW w:w="1134" w:type="dxa"/>
          </w:tcPr>
          <w:p w14:paraId="7189E52B" w14:textId="77777777" w:rsidR="0013238B" w:rsidRPr="00677610" w:rsidRDefault="0013238B" w:rsidP="00600EB5">
            <w:pPr>
              <w:spacing w:after="0" w:line="240" w:lineRule="auto"/>
              <w:contextualSpacing/>
              <w:jc w:val="center"/>
              <w:rPr>
                <w:rFonts w:ascii="Arial" w:hAnsi="Arial" w:cs="Arial"/>
                <w:sz w:val="20"/>
                <w:szCs w:val="20"/>
              </w:rPr>
            </w:pPr>
            <w:r w:rsidRPr="00677610">
              <w:rPr>
                <w:rFonts w:ascii="Arial" w:hAnsi="Arial" w:cs="Arial"/>
                <w:sz w:val="20"/>
                <w:szCs w:val="20"/>
              </w:rPr>
              <w:t>0.618</w:t>
            </w:r>
          </w:p>
        </w:tc>
        <w:tc>
          <w:tcPr>
            <w:tcW w:w="1134" w:type="dxa"/>
          </w:tcPr>
          <w:p w14:paraId="5229A78B" w14:textId="77777777" w:rsidR="0013238B" w:rsidRPr="00677610" w:rsidRDefault="0013238B" w:rsidP="00600EB5">
            <w:pPr>
              <w:spacing w:after="0" w:line="240" w:lineRule="auto"/>
              <w:contextualSpacing/>
              <w:jc w:val="center"/>
              <w:rPr>
                <w:rFonts w:ascii="Arial" w:hAnsi="Arial" w:cs="Arial"/>
                <w:sz w:val="20"/>
                <w:szCs w:val="20"/>
              </w:rPr>
            </w:pPr>
            <w:r w:rsidRPr="00677610">
              <w:rPr>
                <w:rFonts w:ascii="Arial" w:hAnsi="Arial" w:cs="Arial"/>
                <w:sz w:val="20"/>
                <w:szCs w:val="20"/>
              </w:rPr>
              <w:t>0.397</w:t>
            </w:r>
          </w:p>
        </w:tc>
        <w:tc>
          <w:tcPr>
            <w:tcW w:w="873" w:type="dxa"/>
          </w:tcPr>
          <w:p w14:paraId="230D6254" w14:textId="77777777" w:rsidR="0013238B" w:rsidRPr="00677610" w:rsidRDefault="0013238B" w:rsidP="00600EB5">
            <w:pPr>
              <w:spacing w:after="0" w:line="240" w:lineRule="auto"/>
              <w:contextualSpacing/>
              <w:jc w:val="center"/>
              <w:rPr>
                <w:rFonts w:ascii="Arial" w:hAnsi="Arial" w:cs="Arial"/>
                <w:sz w:val="20"/>
                <w:szCs w:val="20"/>
              </w:rPr>
            </w:pPr>
            <w:r w:rsidRPr="00677610">
              <w:rPr>
                <w:rFonts w:ascii="Arial" w:hAnsi="Arial" w:cs="Arial"/>
                <w:sz w:val="20"/>
                <w:szCs w:val="20"/>
              </w:rPr>
              <w:t>0.259</w:t>
            </w:r>
          </w:p>
        </w:tc>
        <w:tc>
          <w:tcPr>
            <w:tcW w:w="1728" w:type="dxa"/>
          </w:tcPr>
          <w:p w14:paraId="5381FA65" w14:textId="77777777" w:rsidR="0013238B" w:rsidRPr="00677610" w:rsidRDefault="0013238B" w:rsidP="00600EB5">
            <w:pPr>
              <w:spacing w:after="0" w:line="240" w:lineRule="auto"/>
              <w:contextualSpacing/>
              <w:jc w:val="center"/>
              <w:rPr>
                <w:rFonts w:ascii="Arial" w:hAnsi="Arial" w:cs="Arial"/>
                <w:sz w:val="20"/>
                <w:szCs w:val="20"/>
              </w:rPr>
            </w:pPr>
            <w:r w:rsidRPr="00677610">
              <w:rPr>
                <w:rFonts w:ascii="Arial" w:hAnsi="Arial" w:cs="Arial"/>
                <w:sz w:val="20"/>
                <w:szCs w:val="20"/>
              </w:rPr>
              <w:t>Yes</w:t>
            </w:r>
          </w:p>
        </w:tc>
      </w:tr>
      <w:tr w:rsidR="0013238B" w:rsidRPr="00677610" w14:paraId="21423B40" w14:textId="77777777" w:rsidTr="00600EB5">
        <w:tc>
          <w:tcPr>
            <w:tcW w:w="2660" w:type="dxa"/>
            <w:tcBorders>
              <w:bottom w:val="single" w:sz="4" w:space="0" w:color="auto"/>
            </w:tcBorders>
          </w:tcPr>
          <w:p w14:paraId="28E2C29D" w14:textId="77777777" w:rsidR="0013238B" w:rsidRPr="00677610" w:rsidRDefault="0013238B" w:rsidP="00600EB5">
            <w:pPr>
              <w:spacing w:after="0" w:line="240" w:lineRule="auto"/>
              <w:contextualSpacing/>
              <w:jc w:val="both"/>
              <w:rPr>
                <w:rFonts w:ascii="Arial" w:hAnsi="Arial" w:cs="Arial"/>
                <w:sz w:val="20"/>
                <w:szCs w:val="20"/>
              </w:rPr>
            </w:pPr>
            <w:r w:rsidRPr="00677610">
              <w:rPr>
                <w:rFonts w:ascii="Arial" w:hAnsi="Arial" w:cs="Arial"/>
                <w:sz w:val="20"/>
                <w:szCs w:val="20"/>
              </w:rPr>
              <w:t>Community Readiness</w:t>
            </w:r>
          </w:p>
        </w:tc>
        <w:tc>
          <w:tcPr>
            <w:tcW w:w="1134" w:type="dxa"/>
            <w:tcBorders>
              <w:bottom w:val="single" w:sz="4" w:space="0" w:color="auto"/>
            </w:tcBorders>
          </w:tcPr>
          <w:p w14:paraId="1E50CC31" w14:textId="77777777" w:rsidR="0013238B" w:rsidRPr="00677610" w:rsidRDefault="0013238B" w:rsidP="00600EB5">
            <w:pPr>
              <w:spacing w:after="0" w:line="240" w:lineRule="auto"/>
              <w:contextualSpacing/>
              <w:jc w:val="center"/>
              <w:rPr>
                <w:rFonts w:ascii="Arial" w:hAnsi="Arial" w:cs="Arial"/>
                <w:sz w:val="20"/>
                <w:szCs w:val="20"/>
              </w:rPr>
            </w:pPr>
            <w:r w:rsidRPr="00677610">
              <w:rPr>
                <w:rFonts w:ascii="Arial" w:hAnsi="Arial" w:cs="Arial"/>
                <w:sz w:val="20"/>
                <w:szCs w:val="20"/>
              </w:rPr>
              <w:t>0.615</w:t>
            </w:r>
          </w:p>
        </w:tc>
        <w:tc>
          <w:tcPr>
            <w:tcW w:w="1134" w:type="dxa"/>
            <w:tcBorders>
              <w:bottom w:val="single" w:sz="4" w:space="0" w:color="auto"/>
            </w:tcBorders>
          </w:tcPr>
          <w:p w14:paraId="1CB62E66" w14:textId="77777777" w:rsidR="0013238B" w:rsidRPr="00677610" w:rsidRDefault="0013238B" w:rsidP="00600EB5">
            <w:pPr>
              <w:spacing w:after="0" w:line="240" w:lineRule="auto"/>
              <w:contextualSpacing/>
              <w:jc w:val="center"/>
              <w:rPr>
                <w:rFonts w:ascii="Arial" w:hAnsi="Arial" w:cs="Arial"/>
                <w:sz w:val="20"/>
                <w:szCs w:val="20"/>
              </w:rPr>
            </w:pPr>
            <w:r w:rsidRPr="00677610">
              <w:rPr>
                <w:rFonts w:ascii="Arial" w:hAnsi="Arial" w:cs="Arial"/>
                <w:sz w:val="20"/>
                <w:szCs w:val="20"/>
              </w:rPr>
              <w:t>0.384</w:t>
            </w:r>
          </w:p>
        </w:tc>
        <w:tc>
          <w:tcPr>
            <w:tcW w:w="873" w:type="dxa"/>
            <w:tcBorders>
              <w:bottom w:val="single" w:sz="4" w:space="0" w:color="auto"/>
            </w:tcBorders>
          </w:tcPr>
          <w:p w14:paraId="141EB42F" w14:textId="77777777" w:rsidR="0013238B" w:rsidRPr="00677610" w:rsidRDefault="0013238B" w:rsidP="00600EB5">
            <w:pPr>
              <w:spacing w:after="0" w:line="240" w:lineRule="auto"/>
              <w:contextualSpacing/>
              <w:jc w:val="center"/>
              <w:rPr>
                <w:rFonts w:ascii="Arial" w:hAnsi="Arial" w:cs="Arial"/>
                <w:sz w:val="20"/>
                <w:szCs w:val="20"/>
              </w:rPr>
            </w:pPr>
            <w:r w:rsidRPr="00677610">
              <w:rPr>
                <w:rFonts w:ascii="Arial" w:hAnsi="Arial" w:cs="Arial"/>
                <w:sz w:val="20"/>
                <w:szCs w:val="20"/>
              </w:rPr>
              <w:t>0.266</w:t>
            </w:r>
          </w:p>
        </w:tc>
        <w:tc>
          <w:tcPr>
            <w:tcW w:w="1728" w:type="dxa"/>
            <w:tcBorders>
              <w:bottom w:val="single" w:sz="4" w:space="0" w:color="auto"/>
            </w:tcBorders>
          </w:tcPr>
          <w:p w14:paraId="78F31A3B" w14:textId="77777777" w:rsidR="0013238B" w:rsidRPr="00677610" w:rsidRDefault="0013238B" w:rsidP="00600EB5">
            <w:pPr>
              <w:spacing w:after="0" w:line="240" w:lineRule="auto"/>
              <w:contextualSpacing/>
              <w:jc w:val="center"/>
              <w:rPr>
                <w:rFonts w:ascii="Arial" w:hAnsi="Arial" w:cs="Arial"/>
                <w:sz w:val="20"/>
                <w:szCs w:val="20"/>
              </w:rPr>
            </w:pPr>
            <w:r w:rsidRPr="00677610">
              <w:rPr>
                <w:rFonts w:ascii="Arial" w:hAnsi="Arial" w:cs="Arial"/>
                <w:sz w:val="20"/>
                <w:szCs w:val="20"/>
              </w:rPr>
              <w:t>Yes</w:t>
            </w:r>
          </w:p>
        </w:tc>
      </w:tr>
    </w:tbl>
    <w:p w14:paraId="04E7DCCC" w14:textId="77777777" w:rsidR="0013238B" w:rsidRPr="00677610" w:rsidRDefault="0013238B" w:rsidP="0013238B">
      <w:pPr>
        <w:spacing w:after="0" w:line="240" w:lineRule="auto"/>
        <w:ind w:firstLine="720"/>
        <w:contextualSpacing/>
        <w:jc w:val="both"/>
        <w:rPr>
          <w:rFonts w:ascii="Arial" w:hAnsi="Arial" w:cs="Arial"/>
          <w:sz w:val="20"/>
          <w:szCs w:val="20"/>
        </w:rPr>
      </w:pPr>
      <w:r w:rsidRPr="00677610">
        <w:rPr>
          <w:rFonts w:ascii="Arial" w:hAnsi="Arial" w:cs="Arial"/>
          <w:sz w:val="20"/>
          <w:szCs w:val="20"/>
        </w:rPr>
        <w:t>Source: Research Data Analysis, 2025 (CVA/AMOS).</w:t>
      </w:r>
    </w:p>
    <w:p w14:paraId="4E0E29B8" w14:textId="77777777" w:rsidR="0013238B" w:rsidRPr="00677610" w:rsidRDefault="0013238B" w:rsidP="0013238B">
      <w:pPr>
        <w:spacing w:after="0" w:line="240" w:lineRule="auto"/>
        <w:ind w:left="720"/>
        <w:contextualSpacing/>
        <w:jc w:val="both"/>
        <w:rPr>
          <w:rFonts w:ascii="Arial" w:hAnsi="Arial" w:cs="Arial"/>
          <w:sz w:val="20"/>
          <w:szCs w:val="20"/>
        </w:rPr>
      </w:pPr>
      <w:r w:rsidRPr="00677610">
        <w:rPr>
          <w:rFonts w:ascii="Arial" w:hAnsi="Arial" w:cs="Arial"/>
          <w:sz w:val="20"/>
          <w:szCs w:val="20"/>
        </w:rPr>
        <w:t xml:space="preserve">Note: If additional robustness is required, discriminant validity may also be assessed using the </w:t>
      </w:r>
      <w:proofErr w:type="spellStart"/>
      <w:r w:rsidRPr="00677610">
        <w:rPr>
          <w:rFonts w:ascii="Arial" w:hAnsi="Arial" w:cs="Arial"/>
          <w:sz w:val="20"/>
          <w:szCs w:val="20"/>
        </w:rPr>
        <w:t>Heterotrait</w:t>
      </w:r>
      <w:proofErr w:type="spellEnd"/>
      <w:r w:rsidRPr="00677610">
        <w:rPr>
          <w:rFonts w:ascii="Arial" w:hAnsi="Arial" w:cs="Arial"/>
          <w:sz w:val="20"/>
          <w:szCs w:val="20"/>
        </w:rPr>
        <w:t>–</w:t>
      </w:r>
      <w:proofErr w:type="spellStart"/>
      <w:r w:rsidRPr="00677610">
        <w:rPr>
          <w:rFonts w:ascii="Arial" w:hAnsi="Arial" w:cs="Arial"/>
          <w:sz w:val="20"/>
          <w:szCs w:val="20"/>
        </w:rPr>
        <w:t>Monotrait</w:t>
      </w:r>
      <w:proofErr w:type="spellEnd"/>
      <w:r w:rsidRPr="00677610">
        <w:rPr>
          <w:rFonts w:ascii="Arial" w:hAnsi="Arial" w:cs="Arial"/>
          <w:sz w:val="20"/>
          <w:szCs w:val="20"/>
        </w:rPr>
        <w:t xml:space="preserve"> ratio (HTMT). HTMT computation requires the indicator-level correlation matrix (raw data).</w:t>
      </w:r>
    </w:p>
    <w:p w14:paraId="106346BF" w14:textId="77777777" w:rsidR="0013238B" w:rsidRPr="00677610" w:rsidRDefault="0013238B" w:rsidP="0013238B">
      <w:pPr>
        <w:spacing w:after="0" w:line="240" w:lineRule="auto"/>
        <w:ind w:firstLine="720"/>
        <w:contextualSpacing/>
        <w:jc w:val="both"/>
        <w:rPr>
          <w:rFonts w:ascii="Arial" w:hAnsi="Arial" w:cs="Arial"/>
          <w:sz w:val="20"/>
          <w:szCs w:val="20"/>
        </w:rPr>
      </w:pPr>
    </w:p>
    <w:p w14:paraId="4B9DCB21" w14:textId="7454BDFB" w:rsidR="0013238B" w:rsidRPr="00677610" w:rsidRDefault="0013238B" w:rsidP="0013238B">
      <w:pPr>
        <w:spacing w:after="0" w:line="240" w:lineRule="auto"/>
        <w:ind w:firstLine="720"/>
        <w:contextualSpacing/>
        <w:jc w:val="both"/>
        <w:rPr>
          <w:rFonts w:ascii="Arial" w:hAnsi="Arial" w:cs="Arial"/>
          <w:sz w:val="20"/>
          <w:szCs w:val="20"/>
        </w:rPr>
      </w:pPr>
      <w:r w:rsidRPr="00677610">
        <w:rPr>
          <w:rFonts w:ascii="Arial" w:hAnsi="Arial" w:cs="Arial"/>
          <w:sz w:val="20"/>
          <w:szCs w:val="20"/>
        </w:rPr>
        <w:lastRenderedPageBreak/>
        <w:t xml:space="preserve">In accordance with the </w:t>
      </w:r>
      <w:proofErr w:type="spellStart"/>
      <w:r w:rsidRPr="00677610">
        <w:rPr>
          <w:rFonts w:ascii="Arial" w:hAnsi="Arial" w:cs="Arial"/>
          <w:sz w:val="20"/>
          <w:szCs w:val="20"/>
        </w:rPr>
        <w:t>Fornell</w:t>
      </w:r>
      <w:proofErr w:type="spellEnd"/>
      <w:r w:rsidRPr="00677610">
        <w:rPr>
          <w:rFonts w:ascii="Arial" w:hAnsi="Arial" w:cs="Arial"/>
          <w:sz w:val="20"/>
          <w:szCs w:val="20"/>
        </w:rPr>
        <w:t>–</w:t>
      </w:r>
      <w:proofErr w:type="spellStart"/>
      <w:r w:rsidRPr="00677610">
        <w:rPr>
          <w:rFonts w:ascii="Arial" w:hAnsi="Arial" w:cs="Arial"/>
          <w:sz w:val="20"/>
          <w:szCs w:val="20"/>
        </w:rPr>
        <w:t>Larcker</w:t>
      </w:r>
      <w:proofErr w:type="spellEnd"/>
      <w:r w:rsidRPr="00677610">
        <w:rPr>
          <w:rFonts w:ascii="Arial" w:hAnsi="Arial" w:cs="Arial"/>
          <w:sz w:val="20"/>
          <w:szCs w:val="20"/>
        </w:rPr>
        <w:t xml:space="preserve"> findings, Table 5 demonstrates that the</w:t>
      </w:r>
      <w:r w:rsidR="003265BE" w:rsidRPr="00677610">
        <w:rPr>
          <w:rFonts w:ascii="Arial" w:hAnsi="Arial" w:cs="Arial"/>
          <w:sz w:val="20"/>
          <w:szCs w:val="20"/>
        </w:rPr>
        <w:t xml:space="preserve"> Average Variance Extracted (AVE)</w:t>
      </w:r>
      <w:r w:rsidRPr="00677610">
        <w:rPr>
          <w:rFonts w:ascii="Arial" w:hAnsi="Arial" w:cs="Arial"/>
          <w:sz w:val="20"/>
          <w:szCs w:val="20"/>
        </w:rPr>
        <w:t xml:space="preserve"> surpasses the Maximum Shared Variance (MSV) for all constructs, further substantiating that the shared variation with other constructs does not overshadow the variance represented by the indicators of each construct. The measuring model exhibits satisfactory discriminant validity. </w:t>
      </w:r>
    </w:p>
    <w:p w14:paraId="7F867E3C" w14:textId="77777777" w:rsidR="0013238B" w:rsidRPr="00677610" w:rsidRDefault="0013238B" w:rsidP="0013238B">
      <w:pPr>
        <w:spacing w:after="0" w:line="240" w:lineRule="auto"/>
        <w:ind w:firstLine="720"/>
        <w:contextualSpacing/>
        <w:jc w:val="both"/>
        <w:rPr>
          <w:rFonts w:ascii="Arial" w:hAnsi="Arial" w:cs="Arial"/>
          <w:sz w:val="20"/>
          <w:szCs w:val="20"/>
        </w:rPr>
      </w:pPr>
    </w:p>
    <w:p w14:paraId="488A6BBD" w14:textId="1E6B1D28" w:rsidR="0013238B" w:rsidRPr="00677610" w:rsidRDefault="0013238B" w:rsidP="0013238B">
      <w:pPr>
        <w:pStyle w:val="ListParagraph"/>
        <w:numPr>
          <w:ilvl w:val="0"/>
          <w:numId w:val="18"/>
        </w:numPr>
        <w:spacing w:before="120" w:after="0" w:line="240" w:lineRule="auto"/>
        <w:ind w:left="493" w:hanging="493"/>
        <w:jc w:val="both"/>
        <w:rPr>
          <w:rFonts w:ascii="Arial" w:hAnsi="Arial" w:cs="Arial"/>
          <w:b/>
          <w:bCs/>
          <w:sz w:val="20"/>
          <w:szCs w:val="20"/>
        </w:rPr>
      </w:pPr>
      <w:r w:rsidRPr="00677610">
        <w:rPr>
          <w:rFonts w:ascii="Arial" w:hAnsi="Arial" w:cs="Arial"/>
          <w:b/>
          <w:bCs/>
          <w:sz w:val="20"/>
          <w:szCs w:val="20"/>
        </w:rPr>
        <w:t>Structural Model Assessment</w:t>
      </w:r>
    </w:p>
    <w:p w14:paraId="0154079B" w14:textId="43725F55" w:rsidR="0013238B" w:rsidRPr="00677610" w:rsidRDefault="0013238B" w:rsidP="0013238B">
      <w:pPr>
        <w:spacing w:after="0" w:line="240" w:lineRule="auto"/>
        <w:ind w:firstLine="720"/>
        <w:contextualSpacing/>
        <w:jc w:val="both"/>
        <w:rPr>
          <w:rFonts w:ascii="Arial" w:hAnsi="Arial" w:cs="Arial"/>
          <w:sz w:val="20"/>
          <w:szCs w:val="20"/>
        </w:rPr>
      </w:pPr>
      <w:r w:rsidRPr="00677610">
        <w:rPr>
          <w:rFonts w:ascii="Arial" w:hAnsi="Arial" w:cs="Arial"/>
          <w:sz w:val="20"/>
          <w:szCs w:val="20"/>
        </w:rPr>
        <w:t xml:space="preserve">Figure 2 illustrates the </w:t>
      </w:r>
      <w:r w:rsidR="00F25C56" w:rsidRPr="00677610">
        <w:rPr>
          <w:rFonts w:ascii="Arial" w:hAnsi="Arial" w:cs="Arial"/>
          <w:sz w:val="20"/>
          <w:szCs w:val="20"/>
        </w:rPr>
        <w:t xml:space="preserve">final structural model delineating the impacts of Community Motivation, Community Skills, and Community Education on Community Readiness within </w:t>
      </w:r>
      <w:r w:rsidRPr="00677610">
        <w:rPr>
          <w:rFonts w:ascii="Arial" w:hAnsi="Arial" w:cs="Arial"/>
          <w:sz w:val="20"/>
          <w:szCs w:val="20"/>
        </w:rPr>
        <w:t xml:space="preserve">the IKN core government region. Model refinement adhered to </w:t>
      </w:r>
      <w:r w:rsidR="00F25C56" w:rsidRPr="00677610">
        <w:rPr>
          <w:rFonts w:ascii="Arial" w:hAnsi="Arial" w:cs="Arial"/>
          <w:sz w:val="20"/>
          <w:szCs w:val="20"/>
        </w:rPr>
        <w:t>the conventional CB-SEM methodology, in which</w:t>
      </w:r>
      <w:r w:rsidRPr="00677610">
        <w:rPr>
          <w:rFonts w:ascii="Arial" w:hAnsi="Arial" w:cs="Arial"/>
          <w:sz w:val="20"/>
          <w:szCs w:val="20"/>
        </w:rPr>
        <w:t xml:space="preserve"> theoretically justified alterations, such as specific error covariances indicated by modification indices, were assessed to enhance model fit.</w:t>
      </w:r>
    </w:p>
    <w:p w14:paraId="0FB485E6" w14:textId="77777777" w:rsidR="0013238B" w:rsidRPr="00677610" w:rsidRDefault="0013238B" w:rsidP="0013238B">
      <w:pPr>
        <w:spacing w:after="0" w:line="240" w:lineRule="auto"/>
        <w:contextualSpacing/>
        <w:rPr>
          <w:rFonts w:ascii="Arial" w:hAnsi="Arial" w:cs="Arial"/>
          <w:sz w:val="20"/>
          <w:szCs w:val="20"/>
        </w:rPr>
      </w:pPr>
    </w:p>
    <w:p w14:paraId="1B819210" w14:textId="77777777" w:rsidR="0013238B" w:rsidRPr="00677610" w:rsidRDefault="0013238B" w:rsidP="0013238B">
      <w:pPr>
        <w:spacing w:after="0" w:line="240" w:lineRule="auto"/>
        <w:contextualSpacing/>
        <w:rPr>
          <w:rFonts w:ascii="Arial" w:hAnsi="Arial" w:cs="Arial"/>
          <w:sz w:val="20"/>
          <w:szCs w:val="20"/>
        </w:rPr>
      </w:pPr>
      <w:r w:rsidRPr="00677610">
        <w:rPr>
          <w:rFonts w:ascii="Arial" w:hAnsi="Arial" w:cs="Arial"/>
          <w:noProof/>
          <w:sz w:val="20"/>
          <w:szCs w:val="20"/>
        </w:rPr>
        <w:drawing>
          <wp:inline distT="0" distB="0" distL="0" distR="0" wp14:anchorId="35784E31" wp14:editId="635C6FD0">
            <wp:extent cx="5943600" cy="46061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zky Artikel model modifikasi final.jpg"/>
                    <pic:cNvPicPr/>
                  </pic:nvPicPr>
                  <pic:blipFill>
                    <a:blip r:embed="rId9"/>
                    <a:stretch>
                      <a:fillRect/>
                    </a:stretch>
                  </pic:blipFill>
                  <pic:spPr>
                    <a:xfrm>
                      <a:off x="0" y="0"/>
                      <a:ext cx="5943600" cy="4606111"/>
                    </a:xfrm>
                    <a:prstGeom prst="rect">
                      <a:avLst/>
                    </a:prstGeom>
                  </pic:spPr>
                </pic:pic>
              </a:graphicData>
            </a:graphic>
          </wp:inline>
        </w:drawing>
      </w:r>
    </w:p>
    <w:p w14:paraId="54CD360F" w14:textId="77777777" w:rsidR="0013238B" w:rsidRPr="00677610" w:rsidRDefault="0013238B" w:rsidP="0013238B">
      <w:pPr>
        <w:spacing w:after="0" w:line="240" w:lineRule="auto"/>
        <w:contextualSpacing/>
        <w:jc w:val="center"/>
        <w:rPr>
          <w:rFonts w:ascii="Arial" w:hAnsi="Arial" w:cs="Arial"/>
          <w:sz w:val="20"/>
          <w:szCs w:val="20"/>
        </w:rPr>
      </w:pPr>
      <w:r w:rsidRPr="00677610">
        <w:rPr>
          <w:rFonts w:ascii="Arial" w:hAnsi="Arial" w:cs="Arial"/>
          <w:sz w:val="20"/>
          <w:szCs w:val="20"/>
        </w:rPr>
        <w:t>Fig. 2. Final structural model of community readiness (AMOS output).</w:t>
      </w:r>
    </w:p>
    <w:p w14:paraId="5F9FAF28" w14:textId="77777777" w:rsidR="0013238B" w:rsidRPr="00677610" w:rsidRDefault="0013238B" w:rsidP="0013238B">
      <w:pPr>
        <w:spacing w:after="0" w:line="240" w:lineRule="auto"/>
        <w:contextualSpacing/>
        <w:jc w:val="center"/>
        <w:rPr>
          <w:rFonts w:ascii="Arial" w:hAnsi="Arial" w:cs="Arial"/>
          <w:sz w:val="20"/>
          <w:szCs w:val="20"/>
        </w:rPr>
      </w:pPr>
    </w:p>
    <w:p w14:paraId="0C0F81A1" w14:textId="67DB0E20" w:rsidR="0013238B" w:rsidRPr="00677610" w:rsidRDefault="0013238B" w:rsidP="0013238B">
      <w:pPr>
        <w:spacing w:after="0" w:line="240" w:lineRule="auto"/>
        <w:contextualSpacing/>
        <w:jc w:val="center"/>
        <w:rPr>
          <w:rFonts w:ascii="Arial" w:hAnsi="Arial" w:cs="Arial"/>
          <w:sz w:val="20"/>
          <w:szCs w:val="20"/>
        </w:rPr>
      </w:pPr>
    </w:p>
    <w:p w14:paraId="59B9C8F3" w14:textId="330D7DA9" w:rsidR="0013238B" w:rsidRPr="00677610" w:rsidRDefault="0013238B" w:rsidP="0013238B">
      <w:pPr>
        <w:spacing w:after="0" w:line="240" w:lineRule="auto"/>
        <w:contextualSpacing/>
        <w:jc w:val="center"/>
        <w:rPr>
          <w:rFonts w:ascii="Arial" w:hAnsi="Arial" w:cs="Arial"/>
          <w:sz w:val="20"/>
          <w:szCs w:val="20"/>
        </w:rPr>
      </w:pPr>
    </w:p>
    <w:p w14:paraId="653298AD" w14:textId="77777777" w:rsidR="0013238B" w:rsidRPr="00677610" w:rsidRDefault="0013238B" w:rsidP="0013238B">
      <w:pPr>
        <w:pStyle w:val="ListParagraph"/>
        <w:numPr>
          <w:ilvl w:val="0"/>
          <w:numId w:val="18"/>
        </w:numPr>
        <w:spacing w:before="120" w:after="120" w:line="240" w:lineRule="auto"/>
        <w:ind w:left="493" w:hanging="493"/>
        <w:contextualSpacing w:val="0"/>
        <w:jc w:val="both"/>
        <w:rPr>
          <w:rFonts w:ascii="Arial" w:hAnsi="Arial" w:cs="Arial"/>
          <w:b/>
          <w:bCs/>
          <w:sz w:val="20"/>
          <w:szCs w:val="20"/>
        </w:rPr>
      </w:pPr>
      <w:r w:rsidRPr="00677610">
        <w:rPr>
          <w:rFonts w:ascii="Arial" w:hAnsi="Arial" w:cs="Arial"/>
          <w:b/>
          <w:bCs/>
          <w:sz w:val="20"/>
          <w:szCs w:val="20"/>
        </w:rPr>
        <w:t>Fit of the Overall Structural Model</w:t>
      </w:r>
    </w:p>
    <w:p w14:paraId="67AFC241" w14:textId="44FC86C5" w:rsidR="009050F7" w:rsidRPr="00677610" w:rsidRDefault="009050F7" w:rsidP="0013238B">
      <w:pPr>
        <w:spacing w:after="0" w:line="240" w:lineRule="auto"/>
        <w:ind w:firstLine="720"/>
        <w:contextualSpacing/>
        <w:jc w:val="both"/>
        <w:rPr>
          <w:rFonts w:ascii="Arial" w:hAnsi="Arial" w:cs="Arial"/>
          <w:sz w:val="20"/>
          <w:szCs w:val="20"/>
        </w:rPr>
      </w:pPr>
      <w:r w:rsidRPr="00677610">
        <w:rPr>
          <w:rFonts w:ascii="Arial" w:hAnsi="Arial" w:cs="Arial"/>
          <w:sz w:val="20"/>
          <w:szCs w:val="20"/>
          <w:highlight w:val="cyan"/>
        </w:rPr>
        <w:t>The overall structural model fit was evaluated using a comprehensive set of goodness-of-fit statistics commonly reported in AMOS-based CB-SEM, including chi-square probability, CMIN/DF, RMR, RMSEA, GFI, AGFI, NFI, RFI, IFI, TLI, and CFI. These indices were used to assess both absolute fit and incremental fit of the proposed model. The reported values indicate that the model demonstrates a satisfactory to very good fit to the observed data, thereby supporting the adequacy of the structural specification for interpretation.</w:t>
      </w:r>
    </w:p>
    <w:p w14:paraId="61180CD9" w14:textId="2761A2D0" w:rsidR="0013238B" w:rsidRPr="00677610" w:rsidRDefault="0013238B" w:rsidP="0013238B">
      <w:pPr>
        <w:spacing w:after="0" w:line="240" w:lineRule="auto"/>
        <w:ind w:firstLine="720"/>
        <w:contextualSpacing/>
        <w:jc w:val="both"/>
        <w:rPr>
          <w:rFonts w:ascii="Arial" w:hAnsi="Arial" w:cs="Arial"/>
          <w:sz w:val="20"/>
          <w:szCs w:val="20"/>
        </w:rPr>
      </w:pPr>
      <w:r w:rsidRPr="00677610">
        <w:rPr>
          <w:rFonts w:ascii="Arial" w:hAnsi="Arial" w:cs="Arial"/>
          <w:sz w:val="20"/>
          <w:szCs w:val="20"/>
        </w:rPr>
        <w:lastRenderedPageBreak/>
        <w:t>The structural model exhibits a robust global fit (χ² = 59.770, df = 54, p = 0.274), with CMIN/DF = 1.107 and RMSEA = 0.018, signifying a close fit. The incremental and absolute fit indices above traditional thresholds (GFI = 0.975; AGFI = 0.952; NFI = 0.936; IFI = 0.993; TLI = 0.988; CFI = 0.993), hence affirming the model's suitability for structural interpretation.</w:t>
      </w:r>
    </w:p>
    <w:p w14:paraId="03890847" w14:textId="77777777" w:rsidR="00B07640" w:rsidRDefault="00B07640" w:rsidP="0013238B">
      <w:pPr>
        <w:spacing w:after="0" w:line="240" w:lineRule="auto"/>
        <w:contextualSpacing/>
        <w:rPr>
          <w:rFonts w:ascii="Arial" w:hAnsi="Arial" w:cs="Arial"/>
          <w:sz w:val="20"/>
          <w:szCs w:val="20"/>
        </w:rPr>
      </w:pPr>
    </w:p>
    <w:p w14:paraId="72B1BF2A" w14:textId="524A32BB" w:rsidR="0013238B" w:rsidRPr="00677610" w:rsidRDefault="0013238B" w:rsidP="0013238B">
      <w:pPr>
        <w:spacing w:after="0" w:line="240" w:lineRule="auto"/>
        <w:contextualSpacing/>
        <w:rPr>
          <w:rFonts w:ascii="Arial" w:hAnsi="Arial" w:cs="Arial"/>
          <w:sz w:val="20"/>
          <w:szCs w:val="20"/>
        </w:rPr>
      </w:pPr>
      <w:r w:rsidRPr="00677610">
        <w:rPr>
          <w:rFonts w:ascii="Arial" w:hAnsi="Arial" w:cs="Arial"/>
          <w:sz w:val="20"/>
          <w:szCs w:val="20"/>
        </w:rPr>
        <w:t>Table 6 summarizes the structural model goodness-of-fit statistics against commonly used cut-off values.</w:t>
      </w:r>
    </w:p>
    <w:tbl>
      <w:tblPr>
        <w:tblStyle w:val="TableGrid"/>
        <w:tblW w:w="0" w:type="auto"/>
        <w:tblInd w:w="42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2977"/>
      </w:tblGrid>
      <w:tr w:rsidR="0013238B" w:rsidRPr="00677610" w14:paraId="7B48370A" w14:textId="77777777" w:rsidTr="00600EB5">
        <w:tc>
          <w:tcPr>
            <w:tcW w:w="2694" w:type="dxa"/>
            <w:tcBorders>
              <w:top w:val="single" w:sz="4" w:space="0" w:color="auto"/>
              <w:bottom w:val="single" w:sz="4" w:space="0" w:color="auto"/>
            </w:tcBorders>
          </w:tcPr>
          <w:p w14:paraId="27FFA266" w14:textId="77777777" w:rsidR="0013238B" w:rsidRPr="00677610" w:rsidRDefault="0013238B" w:rsidP="0013238B">
            <w:pPr>
              <w:spacing w:after="0" w:line="240" w:lineRule="auto"/>
              <w:rPr>
                <w:rFonts w:ascii="Arial" w:hAnsi="Arial" w:cs="Arial"/>
                <w:sz w:val="20"/>
                <w:szCs w:val="20"/>
              </w:rPr>
            </w:pPr>
            <w:r w:rsidRPr="00677610">
              <w:rPr>
                <w:rFonts w:ascii="Arial" w:hAnsi="Arial" w:cs="Arial"/>
                <w:b/>
                <w:sz w:val="20"/>
                <w:szCs w:val="20"/>
              </w:rPr>
              <w:t>Fit Index</w:t>
            </w:r>
          </w:p>
        </w:tc>
        <w:tc>
          <w:tcPr>
            <w:tcW w:w="2126" w:type="dxa"/>
            <w:tcBorders>
              <w:top w:val="single" w:sz="4" w:space="0" w:color="auto"/>
              <w:bottom w:val="single" w:sz="4" w:space="0" w:color="auto"/>
            </w:tcBorders>
          </w:tcPr>
          <w:p w14:paraId="1505EB83"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b/>
                <w:sz w:val="20"/>
                <w:szCs w:val="20"/>
              </w:rPr>
              <w:t>Model Value</w:t>
            </w:r>
          </w:p>
        </w:tc>
        <w:tc>
          <w:tcPr>
            <w:tcW w:w="2977" w:type="dxa"/>
            <w:tcBorders>
              <w:top w:val="single" w:sz="4" w:space="0" w:color="auto"/>
              <w:bottom w:val="single" w:sz="4" w:space="0" w:color="auto"/>
            </w:tcBorders>
          </w:tcPr>
          <w:p w14:paraId="1F28CCDF"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b/>
                <w:sz w:val="20"/>
                <w:szCs w:val="20"/>
              </w:rPr>
              <w:t>Recommended Cut-off (Acceptable)</w:t>
            </w:r>
          </w:p>
        </w:tc>
      </w:tr>
      <w:tr w:rsidR="0013238B" w:rsidRPr="00677610" w14:paraId="6B0DA6C6" w14:textId="77777777" w:rsidTr="00600EB5">
        <w:tc>
          <w:tcPr>
            <w:tcW w:w="2694" w:type="dxa"/>
            <w:tcBorders>
              <w:top w:val="single" w:sz="4" w:space="0" w:color="auto"/>
            </w:tcBorders>
          </w:tcPr>
          <w:p w14:paraId="1C746509"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sz w:val="20"/>
                <w:szCs w:val="20"/>
              </w:rPr>
              <w:t>Chi-square (χ²)</w:t>
            </w:r>
          </w:p>
        </w:tc>
        <w:tc>
          <w:tcPr>
            <w:tcW w:w="2126" w:type="dxa"/>
            <w:tcBorders>
              <w:top w:val="single" w:sz="4" w:space="0" w:color="auto"/>
            </w:tcBorders>
          </w:tcPr>
          <w:p w14:paraId="3854BB0C"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sz w:val="20"/>
                <w:szCs w:val="20"/>
              </w:rPr>
              <w:t>59.770</w:t>
            </w:r>
          </w:p>
        </w:tc>
        <w:tc>
          <w:tcPr>
            <w:tcW w:w="2977" w:type="dxa"/>
            <w:tcBorders>
              <w:top w:val="single" w:sz="4" w:space="0" w:color="auto"/>
            </w:tcBorders>
          </w:tcPr>
          <w:p w14:paraId="25989EB7"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sz w:val="20"/>
                <w:szCs w:val="20"/>
              </w:rPr>
              <w:t>Lower is better; non-significant preferred</w:t>
            </w:r>
          </w:p>
        </w:tc>
      </w:tr>
      <w:tr w:rsidR="0013238B" w:rsidRPr="00677610" w14:paraId="7F94BA55" w14:textId="77777777" w:rsidTr="00600EB5">
        <w:tc>
          <w:tcPr>
            <w:tcW w:w="2694" w:type="dxa"/>
          </w:tcPr>
          <w:p w14:paraId="05C3E109"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sz w:val="20"/>
                <w:szCs w:val="20"/>
              </w:rPr>
              <w:t>Degrees of freedom (df)</w:t>
            </w:r>
          </w:p>
        </w:tc>
        <w:tc>
          <w:tcPr>
            <w:tcW w:w="2126" w:type="dxa"/>
          </w:tcPr>
          <w:p w14:paraId="469CC759"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sz w:val="20"/>
                <w:szCs w:val="20"/>
              </w:rPr>
              <w:t>54</w:t>
            </w:r>
          </w:p>
        </w:tc>
        <w:tc>
          <w:tcPr>
            <w:tcW w:w="2977" w:type="dxa"/>
          </w:tcPr>
          <w:p w14:paraId="07987A33"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sz w:val="20"/>
                <w:szCs w:val="20"/>
              </w:rPr>
              <w:t>—</w:t>
            </w:r>
          </w:p>
        </w:tc>
      </w:tr>
      <w:tr w:rsidR="0013238B" w:rsidRPr="00677610" w14:paraId="16B0E6F5" w14:textId="77777777" w:rsidTr="00600EB5">
        <w:tc>
          <w:tcPr>
            <w:tcW w:w="2694" w:type="dxa"/>
          </w:tcPr>
          <w:p w14:paraId="07BD5DD9"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sz w:val="20"/>
                <w:szCs w:val="20"/>
              </w:rPr>
              <w:t>Probability (p)</w:t>
            </w:r>
          </w:p>
        </w:tc>
        <w:tc>
          <w:tcPr>
            <w:tcW w:w="2126" w:type="dxa"/>
          </w:tcPr>
          <w:p w14:paraId="06C5F0D4"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sz w:val="20"/>
                <w:szCs w:val="20"/>
              </w:rPr>
              <w:t>0.274</w:t>
            </w:r>
          </w:p>
        </w:tc>
        <w:tc>
          <w:tcPr>
            <w:tcW w:w="2977" w:type="dxa"/>
          </w:tcPr>
          <w:p w14:paraId="72B4A1D2"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sz w:val="20"/>
                <w:szCs w:val="20"/>
              </w:rPr>
              <w:t>&gt; 0.05</w:t>
            </w:r>
          </w:p>
        </w:tc>
      </w:tr>
      <w:tr w:rsidR="0013238B" w:rsidRPr="00677610" w14:paraId="15BB872F" w14:textId="77777777" w:rsidTr="00600EB5">
        <w:tc>
          <w:tcPr>
            <w:tcW w:w="2694" w:type="dxa"/>
          </w:tcPr>
          <w:p w14:paraId="1B990D9D"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sz w:val="20"/>
                <w:szCs w:val="20"/>
              </w:rPr>
              <w:t>CMIN/DF</w:t>
            </w:r>
          </w:p>
        </w:tc>
        <w:tc>
          <w:tcPr>
            <w:tcW w:w="2126" w:type="dxa"/>
          </w:tcPr>
          <w:p w14:paraId="59ABF3E2"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sz w:val="20"/>
                <w:szCs w:val="20"/>
              </w:rPr>
              <w:t>1.107</w:t>
            </w:r>
          </w:p>
        </w:tc>
        <w:tc>
          <w:tcPr>
            <w:tcW w:w="2977" w:type="dxa"/>
          </w:tcPr>
          <w:p w14:paraId="34B8199E"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sz w:val="20"/>
                <w:szCs w:val="20"/>
              </w:rPr>
              <w:t>&lt; 3.00</w:t>
            </w:r>
          </w:p>
        </w:tc>
      </w:tr>
      <w:tr w:rsidR="0013238B" w:rsidRPr="00677610" w14:paraId="71EF00CF" w14:textId="77777777" w:rsidTr="00600EB5">
        <w:tc>
          <w:tcPr>
            <w:tcW w:w="2694" w:type="dxa"/>
          </w:tcPr>
          <w:p w14:paraId="563DE62C"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sz w:val="20"/>
                <w:szCs w:val="20"/>
              </w:rPr>
              <w:t>RMR</w:t>
            </w:r>
          </w:p>
        </w:tc>
        <w:tc>
          <w:tcPr>
            <w:tcW w:w="2126" w:type="dxa"/>
          </w:tcPr>
          <w:p w14:paraId="1FB4067F"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sz w:val="20"/>
                <w:szCs w:val="20"/>
              </w:rPr>
              <w:t>0.042</w:t>
            </w:r>
          </w:p>
        </w:tc>
        <w:tc>
          <w:tcPr>
            <w:tcW w:w="2977" w:type="dxa"/>
          </w:tcPr>
          <w:p w14:paraId="5869E7D0"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sz w:val="20"/>
                <w:szCs w:val="20"/>
              </w:rPr>
              <w:t>&lt; 0.08</w:t>
            </w:r>
          </w:p>
        </w:tc>
      </w:tr>
      <w:tr w:rsidR="0013238B" w:rsidRPr="00677610" w14:paraId="49618B5C" w14:textId="77777777" w:rsidTr="00600EB5">
        <w:tc>
          <w:tcPr>
            <w:tcW w:w="2694" w:type="dxa"/>
          </w:tcPr>
          <w:p w14:paraId="78FEF4C4"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sz w:val="20"/>
                <w:szCs w:val="20"/>
              </w:rPr>
              <w:t>RMSEA</w:t>
            </w:r>
          </w:p>
        </w:tc>
        <w:tc>
          <w:tcPr>
            <w:tcW w:w="2126" w:type="dxa"/>
          </w:tcPr>
          <w:p w14:paraId="6800EEDF"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sz w:val="20"/>
                <w:szCs w:val="20"/>
              </w:rPr>
              <w:t>0.018</w:t>
            </w:r>
          </w:p>
        </w:tc>
        <w:tc>
          <w:tcPr>
            <w:tcW w:w="2977" w:type="dxa"/>
          </w:tcPr>
          <w:p w14:paraId="06D8E1F8"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sz w:val="20"/>
                <w:szCs w:val="20"/>
              </w:rPr>
              <w:t>&lt; 0.08 (≤ 0.05 desirable)</w:t>
            </w:r>
          </w:p>
        </w:tc>
      </w:tr>
      <w:tr w:rsidR="0013238B" w:rsidRPr="00677610" w14:paraId="57E975FC" w14:textId="77777777" w:rsidTr="00600EB5">
        <w:tc>
          <w:tcPr>
            <w:tcW w:w="2694" w:type="dxa"/>
          </w:tcPr>
          <w:p w14:paraId="3E2C1EF7"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sz w:val="20"/>
                <w:szCs w:val="20"/>
              </w:rPr>
              <w:t>GFI</w:t>
            </w:r>
          </w:p>
        </w:tc>
        <w:tc>
          <w:tcPr>
            <w:tcW w:w="2126" w:type="dxa"/>
          </w:tcPr>
          <w:p w14:paraId="3DACBBB4"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sz w:val="20"/>
                <w:szCs w:val="20"/>
              </w:rPr>
              <w:t>0.975</w:t>
            </w:r>
          </w:p>
        </w:tc>
        <w:tc>
          <w:tcPr>
            <w:tcW w:w="2977" w:type="dxa"/>
          </w:tcPr>
          <w:p w14:paraId="26A9B74B"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sz w:val="20"/>
                <w:szCs w:val="20"/>
              </w:rPr>
              <w:t>&gt; 0.90</w:t>
            </w:r>
          </w:p>
        </w:tc>
      </w:tr>
      <w:tr w:rsidR="0013238B" w:rsidRPr="00677610" w14:paraId="07EFF14A" w14:textId="77777777" w:rsidTr="00600EB5">
        <w:tc>
          <w:tcPr>
            <w:tcW w:w="2694" w:type="dxa"/>
          </w:tcPr>
          <w:p w14:paraId="3260382A"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sz w:val="20"/>
                <w:szCs w:val="20"/>
              </w:rPr>
              <w:t>AGFI</w:t>
            </w:r>
          </w:p>
        </w:tc>
        <w:tc>
          <w:tcPr>
            <w:tcW w:w="2126" w:type="dxa"/>
          </w:tcPr>
          <w:p w14:paraId="30576126"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sz w:val="20"/>
                <w:szCs w:val="20"/>
              </w:rPr>
              <w:t>0.952</w:t>
            </w:r>
          </w:p>
        </w:tc>
        <w:tc>
          <w:tcPr>
            <w:tcW w:w="2977" w:type="dxa"/>
          </w:tcPr>
          <w:p w14:paraId="2336C9FF"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sz w:val="20"/>
                <w:szCs w:val="20"/>
              </w:rPr>
              <w:t>&gt; 0.90</w:t>
            </w:r>
          </w:p>
        </w:tc>
      </w:tr>
      <w:tr w:rsidR="0013238B" w:rsidRPr="00677610" w14:paraId="0EC39614" w14:textId="77777777" w:rsidTr="00600EB5">
        <w:tc>
          <w:tcPr>
            <w:tcW w:w="2694" w:type="dxa"/>
          </w:tcPr>
          <w:p w14:paraId="1B085976"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sz w:val="20"/>
                <w:szCs w:val="20"/>
              </w:rPr>
              <w:t>NFI</w:t>
            </w:r>
          </w:p>
        </w:tc>
        <w:tc>
          <w:tcPr>
            <w:tcW w:w="2126" w:type="dxa"/>
          </w:tcPr>
          <w:p w14:paraId="2A5CB279"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sz w:val="20"/>
                <w:szCs w:val="20"/>
              </w:rPr>
              <w:t>0.936</w:t>
            </w:r>
          </w:p>
        </w:tc>
        <w:tc>
          <w:tcPr>
            <w:tcW w:w="2977" w:type="dxa"/>
          </w:tcPr>
          <w:p w14:paraId="4137A50C"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sz w:val="20"/>
                <w:szCs w:val="20"/>
              </w:rPr>
              <w:t>&gt; 0.90</w:t>
            </w:r>
          </w:p>
        </w:tc>
      </w:tr>
      <w:tr w:rsidR="0013238B" w:rsidRPr="00677610" w14:paraId="444BB430" w14:textId="77777777" w:rsidTr="00600EB5">
        <w:tc>
          <w:tcPr>
            <w:tcW w:w="2694" w:type="dxa"/>
          </w:tcPr>
          <w:p w14:paraId="00613325"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sz w:val="20"/>
                <w:szCs w:val="20"/>
              </w:rPr>
              <w:t>RFI</w:t>
            </w:r>
          </w:p>
        </w:tc>
        <w:tc>
          <w:tcPr>
            <w:tcW w:w="2126" w:type="dxa"/>
          </w:tcPr>
          <w:p w14:paraId="2BF3B68F"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sz w:val="20"/>
                <w:szCs w:val="20"/>
              </w:rPr>
              <w:t>0.892</w:t>
            </w:r>
          </w:p>
        </w:tc>
        <w:tc>
          <w:tcPr>
            <w:tcW w:w="2977" w:type="dxa"/>
          </w:tcPr>
          <w:p w14:paraId="3FAF548E"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sz w:val="20"/>
                <w:szCs w:val="20"/>
              </w:rPr>
              <w:t>≥ 0.90 (marginal if slightly below)</w:t>
            </w:r>
          </w:p>
        </w:tc>
      </w:tr>
      <w:tr w:rsidR="0013238B" w:rsidRPr="00677610" w14:paraId="078AF362" w14:textId="77777777" w:rsidTr="00600EB5">
        <w:tc>
          <w:tcPr>
            <w:tcW w:w="2694" w:type="dxa"/>
          </w:tcPr>
          <w:p w14:paraId="274C5ECB"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sz w:val="20"/>
                <w:szCs w:val="20"/>
              </w:rPr>
              <w:t>IFI</w:t>
            </w:r>
          </w:p>
        </w:tc>
        <w:tc>
          <w:tcPr>
            <w:tcW w:w="2126" w:type="dxa"/>
          </w:tcPr>
          <w:p w14:paraId="37DD64EB"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sz w:val="20"/>
                <w:szCs w:val="20"/>
              </w:rPr>
              <w:t>0.993</w:t>
            </w:r>
          </w:p>
        </w:tc>
        <w:tc>
          <w:tcPr>
            <w:tcW w:w="2977" w:type="dxa"/>
          </w:tcPr>
          <w:p w14:paraId="437556AD"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sz w:val="20"/>
                <w:szCs w:val="20"/>
              </w:rPr>
              <w:t>&gt; 0.90</w:t>
            </w:r>
          </w:p>
        </w:tc>
      </w:tr>
      <w:tr w:rsidR="0013238B" w:rsidRPr="00677610" w14:paraId="2A995BE4" w14:textId="77777777" w:rsidTr="00600EB5">
        <w:tc>
          <w:tcPr>
            <w:tcW w:w="2694" w:type="dxa"/>
          </w:tcPr>
          <w:p w14:paraId="78A7A37B"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sz w:val="20"/>
                <w:szCs w:val="20"/>
              </w:rPr>
              <w:t>TLI</w:t>
            </w:r>
          </w:p>
        </w:tc>
        <w:tc>
          <w:tcPr>
            <w:tcW w:w="2126" w:type="dxa"/>
          </w:tcPr>
          <w:p w14:paraId="52379E51"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sz w:val="20"/>
                <w:szCs w:val="20"/>
              </w:rPr>
              <w:t>0.988</w:t>
            </w:r>
          </w:p>
        </w:tc>
        <w:tc>
          <w:tcPr>
            <w:tcW w:w="2977" w:type="dxa"/>
          </w:tcPr>
          <w:p w14:paraId="3AC17459"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sz w:val="20"/>
                <w:szCs w:val="20"/>
              </w:rPr>
              <w:t>&gt; 0.90</w:t>
            </w:r>
          </w:p>
        </w:tc>
      </w:tr>
      <w:tr w:rsidR="0013238B" w:rsidRPr="00677610" w14:paraId="7E9661A0" w14:textId="77777777" w:rsidTr="00600EB5">
        <w:tc>
          <w:tcPr>
            <w:tcW w:w="2694" w:type="dxa"/>
          </w:tcPr>
          <w:p w14:paraId="58670056"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sz w:val="20"/>
                <w:szCs w:val="20"/>
              </w:rPr>
              <w:t>CFI</w:t>
            </w:r>
          </w:p>
        </w:tc>
        <w:tc>
          <w:tcPr>
            <w:tcW w:w="2126" w:type="dxa"/>
          </w:tcPr>
          <w:p w14:paraId="0284BA2A"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sz w:val="20"/>
                <w:szCs w:val="20"/>
              </w:rPr>
              <w:t>0.993</w:t>
            </w:r>
          </w:p>
        </w:tc>
        <w:tc>
          <w:tcPr>
            <w:tcW w:w="2977" w:type="dxa"/>
          </w:tcPr>
          <w:p w14:paraId="38E68558" w14:textId="77777777" w:rsidR="0013238B" w:rsidRPr="00677610" w:rsidRDefault="0013238B" w:rsidP="0013238B">
            <w:pPr>
              <w:spacing w:after="0" w:line="240" w:lineRule="auto"/>
              <w:jc w:val="center"/>
              <w:rPr>
                <w:rFonts w:ascii="Arial" w:hAnsi="Arial" w:cs="Arial"/>
                <w:sz w:val="20"/>
                <w:szCs w:val="20"/>
              </w:rPr>
            </w:pPr>
            <w:r w:rsidRPr="00677610">
              <w:rPr>
                <w:rFonts w:ascii="Arial" w:hAnsi="Arial" w:cs="Arial"/>
                <w:sz w:val="20"/>
                <w:szCs w:val="20"/>
              </w:rPr>
              <w:t>&gt; 0.90</w:t>
            </w:r>
          </w:p>
        </w:tc>
      </w:tr>
    </w:tbl>
    <w:p w14:paraId="6A2C341A" w14:textId="77777777" w:rsidR="0013238B" w:rsidRPr="00677610" w:rsidRDefault="0013238B" w:rsidP="0013238B">
      <w:pPr>
        <w:spacing w:after="0" w:line="240" w:lineRule="auto"/>
        <w:ind w:left="426"/>
        <w:contextualSpacing/>
        <w:rPr>
          <w:rFonts w:ascii="Arial" w:hAnsi="Arial" w:cs="Arial"/>
          <w:sz w:val="20"/>
          <w:szCs w:val="20"/>
        </w:rPr>
      </w:pPr>
      <w:r w:rsidRPr="00677610">
        <w:rPr>
          <w:rFonts w:ascii="Arial" w:hAnsi="Arial" w:cs="Arial"/>
          <w:sz w:val="20"/>
          <w:szCs w:val="20"/>
        </w:rPr>
        <w:t>Source: Research data analysis (AMOS output), 2025.</w:t>
      </w:r>
    </w:p>
    <w:p w14:paraId="3CD7C8C0" w14:textId="3D8FD7C7" w:rsidR="0013238B" w:rsidRPr="00677610" w:rsidRDefault="0013238B" w:rsidP="0013238B">
      <w:pPr>
        <w:spacing w:after="0" w:line="240" w:lineRule="auto"/>
        <w:ind w:firstLine="720"/>
        <w:contextualSpacing/>
        <w:jc w:val="both"/>
        <w:rPr>
          <w:rFonts w:ascii="Arial" w:hAnsi="Arial" w:cs="Arial"/>
          <w:sz w:val="20"/>
          <w:szCs w:val="20"/>
        </w:rPr>
      </w:pPr>
      <w:r w:rsidRPr="00677610">
        <w:rPr>
          <w:rFonts w:ascii="Arial" w:hAnsi="Arial" w:cs="Arial"/>
          <w:sz w:val="20"/>
          <w:szCs w:val="20"/>
        </w:rPr>
        <w:t xml:space="preserve">Table 6 demonstrates that nearly all indices satisfy the specified requirements, signifying an exceptional fit. Despite the RFI being marginally below 0.90, it stays near the threshold and does not significantly compromise the conclusion that the model well represents the observed covariance structure </w:t>
      </w:r>
      <w:r w:rsidRPr="00677610">
        <w:rPr>
          <w:rFonts w:ascii="Arial" w:hAnsi="Arial" w:cs="Arial"/>
          <w:sz w:val="20"/>
          <w:szCs w:val="20"/>
        </w:rPr>
        <w:fldChar w:fldCharType="begin" w:fldLock="1"/>
      </w:r>
      <w:r w:rsidR="00A72F9C" w:rsidRPr="00677610">
        <w:rPr>
          <w:rFonts w:ascii="Arial" w:hAnsi="Arial" w:cs="Arial"/>
          <w:sz w:val="20"/>
          <w:szCs w:val="20"/>
        </w:rPr>
        <w:instrText>ADDIN CSL_CITATION {"citationItems":[{"id":"ITEM-1","itemData":{"ISBN":"9781462523344","ISSN":"1927-9825","abstract":"This bestselling text provides a balance between the technical and practical aspects of structural equation modeling (SEM). Using clear and accessible language, Rex B. Kline covers core techniques, potential pitfalls, and applications across the behavioral and social sciences. Some more advanced topics are also covered, including estimation of interactive effects of latent variables and multilevel SEM. The companion Web page offers downloadable syntax, data, and output files for each detailed example for EQS, LISREL, and Mplus, allowing readers to view the results of the same analysis generated by three different computer tools. New to This Edition Thoroughly revised and restructured to follow the phases of most SEM analyses. Syntax, data, and output files for all detailed research examples are now provided online. Exercises with answers, which support self-study. Topic boxes on specialized issues, such as dealing with problems in the analysis; the assessment of construct measurement reliability; and more. Updated coverage of a more rigorous approach to hypothesis and model testing; the evaluation of measurement invariance; and more.","author":[{"dropping-particle":"","family":"R.B. Kline","given":"","non-dropping-particle":"","parse-names":false,"suffix":""}],"container-title":"thE GuiLFord PrESS new York London","id":"ITEM-1","issue":"1","issued":{"date-parts":[["2016","7","12"]]},"number-of-pages":"59","title":"Principles and Practice of Structural Equation Modeling","type":"book","volume":"1"},"uris":["http://www.mendeley.com/documents/?uuid=2d907137-4a37-4fca-8200-b5a7eb63a4e3"]},{"id":"ITEM-2","itemData":{"ISBN":"978-1-4737-5654-0","ISSN":"0921-5077","abstract":"Meer dan 25 jaar geleden verscheen de eerste editie van dit toegepaste handboek over multivariate data-analyse. Deze zesde editie is dan ook een update van zijn voorgangers, maar kent een aantal opmerkelijke verbeteringen, zoals een nieuwe database om allerlei technieken te oefenen, handige gebruiksregels voor de toepassing en interpretatie van technieken, en als klap op de vuurpijl maar liefst drie nieuwe hoofdstukken over covariantie-structuuranalyse.","author":[{"dropping-particle":"","family":"Hair at al.","given":"","non-dropping-particle":"","parse-names":false,"suffix":""}],"container-title":"Annabel Ainscow","id":"ITEM-2","issue":"3","issued":{"date-parts":[["2019","9","1"]]},"title":"Multivariate Data Analysis (Sixth Edition)","type":"book","volume":"19"},"uris":["http://www.mendeley.com/documents/?uuid=50c8c6c4-a217-475e-9b5e-858c5a1888b2"]}],"mendeley":{"formattedCitation":"(Hair at al. 2019; R.B. Kline 2016)","plainTextFormattedCitation":"(Hair at al. 2019; R.B. Kline 2016)","previouslyFormattedCitation":"(Hair at al. 2019; R.B. Kline 2016)"},"properties":{"noteIndex":0},"schema":"https://github.com/citation-style-language/schema/raw/master/csl-citation.json"}</w:instrText>
      </w:r>
      <w:r w:rsidRPr="00677610">
        <w:rPr>
          <w:rFonts w:ascii="Arial" w:hAnsi="Arial" w:cs="Arial"/>
          <w:sz w:val="20"/>
          <w:szCs w:val="20"/>
        </w:rPr>
        <w:fldChar w:fldCharType="separate"/>
      </w:r>
      <w:r w:rsidR="00A72F9C" w:rsidRPr="00677610">
        <w:rPr>
          <w:rFonts w:ascii="Arial" w:hAnsi="Arial" w:cs="Arial"/>
          <w:noProof/>
          <w:sz w:val="20"/>
          <w:szCs w:val="20"/>
        </w:rPr>
        <w:t>(Hair at al. 2019; R.B. Kline 2016)</w:t>
      </w:r>
      <w:r w:rsidRPr="00677610">
        <w:rPr>
          <w:rFonts w:ascii="Arial" w:hAnsi="Arial" w:cs="Arial"/>
          <w:sz w:val="20"/>
          <w:szCs w:val="20"/>
        </w:rPr>
        <w:fldChar w:fldCharType="end"/>
      </w:r>
      <w:r w:rsidRPr="00677610">
        <w:rPr>
          <w:rFonts w:ascii="Arial" w:hAnsi="Arial" w:cs="Arial"/>
          <w:sz w:val="20"/>
          <w:szCs w:val="20"/>
        </w:rPr>
        <w:t>.</w:t>
      </w:r>
    </w:p>
    <w:p w14:paraId="3D3D3887" w14:textId="77777777" w:rsidR="0013238B" w:rsidRPr="00677610" w:rsidRDefault="0013238B" w:rsidP="0013238B">
      <w:pPr>
        <w:spacing w:after="0" w:line="240" w:lineRule="auto"/>
        <w:ind w:firstLine="720"/>
        <w:contextualSpacing/>
        <w:jc w:val="both"/>
        <w:rPr>
          <w:rFonts w:ascii="Arial" w:hAnsi="Arial" w:cs="Arial"/>
          <w:sz w:val="20"/>
          <w:szCs w:val="20"/>
        </w:rPr>
      </w:pPr>
    </w:p>
    <w:p w14:paraId="5791F031" w14:textId="77777777" w:rsidR="0013238B" w:rsidRPr="00677610" w:rsidRDefault="0013238B" w:rsidP="0013238B">
      <w:pPr>
        <w:pStyle w:val="ListParagraph"/>
        <w:numPr>
          <w:ilvl w:val="0"/>
          <w:numId w:val="18"/>
        </w:numPr>
        <w:spacing w:before="120" w:after="120" w:line="240" w:lineRule="auto"/>
        <w:ind w:left="493" w:hanging="493"/>
        <w:contextualSpacing w:val="0"/>
        <w:jc w:val="both"/>
        <w:rPr>
          <w:rFonts w:ascii="Arial" w:hAnsi="Arial" w:cs="Arial"/>
          <w:b/>
          <w:bCs/>
          <w:sz w:val="20"/>
          <w:szCs w:val="20"/>
        </w:rPr>
      </w:pPr>
      <w:r w:rsidRPr="00677610">
        <w:rPr>
          <w:rFonts w:ascii="Arial" w:hAnsi="Arial" w:cs="Arial"/>
          <w:b/>
          <w:bCs/>
          <w:sz w:val="20"/>
          <w:szCs w:val="20"/>
        </w:rPr>
        <w:t>Structural Relationships and Hypothesis Testing</w:t>
      </w:r>
    </w:p>
    <w:p w14:paraId="441CEAD3" w14:textId="5DF4A10A" w:rsidR="00A30A8B" w:rsidRPr="00677610" w:rsidRDefault="00A30A8B" w:rsidP="0013238B">
      <w:pPr>
        <w:spacing w:after="0" w:line="240" w:lineRule="auto"/>
        <w:ind w:firstLine="720"/>
        <w:contextualSpacing/>
        <w:jc w:val="both"/>
        <w:rPr>
          <w:rFonts w:ascii="Arial" w:hAnsi="Arial" w:cs="Arial"/>
          <w:sz w:val="20"/>
          <w:szCs w:val="20"/>
          <w:highlight w:val="yellow"/>
        </w:rPr>
      </w:pPr>
      <w:r w:rsidRPr="00677610">
        <w:rPr>
          <w:rFonts w:ascii="Arial" w:hAnsi="Arial" w:cs="Arial"/>
          <w:sz w:val="20"/>
          <w:szCs w:val="20"/>
          <w:highlight w:val="yellow"/>
        </w:rPr>
        <w:t>Table 7 presents the direct effects of Community Motivation, Community Skills, and Community Education on Community Readiness. In CB-SEM, hypothesis testing is evaluated using the unstandardized estimate (B), standard error (S.E.), critical ratio (C.R.), and associated probability value (p). The critical ratio is obtained by dividing the unstandardized estimate by its standard error and serves as the main test statistic for parameter significance. As a general rule, a C.R. value greater than 1.96 indicates statistical significance at the 5% level. Therefore, the interpretation of the structural paths in this study is based on the verified AMOS regression-weight output to ensure consistency among the unstandardized estimate, standard error, C.R., and p-value.</w:t>
      </w:r>
    </w:p>
    <w:p w14:paraId="02B4492A" w14:textId="77777777" w:rsidR="0013238B" w:rsidRPr="00677610" w:rsidRDefault="0013238B" w:rsidP="0013238B">
      <w:pPr>
        <w:spacing w:after="0" w:line="240" w:lineRule="auto"/>
        <w:contextualSpacing/>
        <w:jc w:val="both"/>
        <w:rPr>
          <w:rFonts w:ascii="Arial" w:hAnsi="Arial" w:cs="Arial"/>
          <w:sz w:val="20"/>
          <w:szCs w:val="20"/>
        </w:rPr>
      </w:pPr>
      <w:r w:rsidRPr="00677610">
        <w:rPr>
          <w:rFonts w:ascii="Arial" w:hAnsi="Arial" w:cs="Arial"/>
          <w:sz w:val="20"/>
          <w:szCs w:val="20"/>
        </w:rPr>
        <w:t>Table 7 presents the direct impacts of the three antecedent constructs on Community Readiness.</w:t>
      </w:r>
    </w:p>
    <w:tbl>
      <w:tblPr>
        <w:tblStyle w:val="TableGrid"/>
        <w:tblW w:w="903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202"/>
        <w:gridCol w:w="898"/>
        <w:gridCol w:w="767"/>
        <w:gridCol w:w="844"/>
        <w:gridCol w:w="974"/>
        <w:gridCol w:w="1234"/>
      </w:tblGrid>
      <w:tr w:rsidR="0013238B" w:rsidRPr="00677610" w14:paraId="36617222" w14:textId="77777777" w:rsidTr="00600EB5">
        <w:tc>
          <w:tcPr>
            <w:tcW w:w="3114" w:type="dxa"/>
            <w:tcBorders>
              <w:top w:val="single" w:sz="4" w:space="0" w:color="auto"/>
              <w:bottom w:val="single" w:sz="4" w:space="0" w:color="auto"/>
            </w:tcBorders>
          </w:tcPr>
          <w:p w14:paraId="5967896D" w14:textId="77777777" w:rsidR="0013238B" w:rsidRPr="00677610" w:rsidRDefault="0013238B" w:rsidP="00600EB5">
            <w:pPr>
              <w:spacing w:line="240" w:lineRule="auto"/>
              <w:contextualSpacing/>
              <w:jc w:val="center"/>
              <w:rPr>
                <w:rFonts w:ascii="Arial" w:hAnsi="Arial" w:cs="Arial"/>
                <w:bCs/>
                <w:sz w:val="20"/>
                <w:szCs w:val="20"/>
              </w:rPr>
            </w:pPr>
            <w:r w:rsidRPr="00677610">
              <w:rPr>
                <w:rFonts w:ascii="Arial" w:hAnsi="Arial" w:cs="Arial"/>
                <w:bCs/>
                <w:sz w:val="20"/>
                <w:szCs w:val="20"/>
              </w:rPr>
              <w:t>Hypothesis / Path</w:t>
            </w:r>
          </w:p>
        </w:tc>
        <w:tc>
          <w:tcPr>
            <w:tcW w:w="1202" w:type="dxa"/>
            <w:tcBorders>
              <w:top w:val="single" w:sz="4" w:space="0" w:color="auto"/>
              <w:bottom w:val="single" w:sz="4" w:space="0" w:color="auto"/>
            </w:tcBorders>
          </w:tcPr>
          <w:p w14:paraId="74100B24" w14:textId="77777777" w:rsidR="0013238B" w:rsidRPr="00677610" w:rsidRDefault="0013238B" w:rsidP="00600EB5">
            <w:pPr>
              <w:spacing w:line="240" w:lineRule="auto"/>
              <w:contextualSpacing/>
              <w:jc w:val="center"/>
              <w:rPr>
                <w:rFonts w:ascii="Arial" w:hAnsi="Arial" w:cs="Arial"/>
                <w:bCs/>
                <w:sz w:val="20"/>
                <w:szCs w:val="20"/>
              </w:rPr>
            </w:pPr>
            <w:r w:rsidRPr="00677610">
              <w:rPr>
                <w:rFonts w:ascii="Arial" w:hAnsi="Arial" w:cs="Arial"/>
                <w:bCs/>
                <w:sz w:val="20"/>
                <w:szCs w:val="20"/>
              </w:rPr>
              <w:t>B (</w:t>
            </w:r>
            <w:proofErr w:type="spellStart"/>
            <w:r w:rsidRPr="00677610">
              <w:rPr>
                <w:rFonts w:ascii="Arial" w:hAnsi="Arial" w:cs="Arial"/>
                <w:bCs/>
                <w:sz w:val="20"/>
                <w:szCs w:val="20"/>
              </w:rPr>
              <w:t>Unstd</w:t>
            </w:r>
            <w:proofErr w:type="spellEnd"/>
            <w:r w:rsidRPr="00677610">
              <w:rPr>
                <w:rFonts w:ascii="Arial" w:hAnsi="Arial" w:cs="Arial"/>
                <w:bCs/>
                <w:sz w:val="20"/>
                <w:szCs w:val="20"/>
              </w:rPr>
              <w:t>.)</w:t>
            </w:r>
          </w:p>
        </w:tc>
        <w:tc>
          <w:tcPr>
            <w:tcW w:w="898" w:type="dxa"/>
            <w:tcBorders>
              <w:top w:val="single" w:sz="4" w:space="0" w:color="auto"/>
              <w:bottom w:val="single" w:sz="4" w:space="0" w:color="auto"/>
            </w:tcBorders>
          </w:tcPr>
          <w:p w14:paraId="26884E2E" w14:textId="77777777" w:rsidR="0013238B" w:rsidRPr="00677610" w:rsidRDefault="0013238B" w:rsidP="00600EB5">
            <w:pPr>
              <w:spacing w:line="240" w:lineRule="auto"/>
              <w:contextualSpacing/>
              <w:jc w:val="center"/>
              <w:rPr>
                <w:rFonts w:ascii="Arial" w:hAnsi="Arial" w:cs="Arial"/>
                <w:bCs/>
                <w:sz w:val="20"/>
                <w:szCs w:val="20"/>
              </w:rPr>
            </w:pPr>
            <w:r w:rsidRPr="00677610">
              <w:rPr>
                <w:rFonts w:ascii="Arial" w:hAnsi="Arial" w:cs="Arial"/>
                <w:bCs/>
                <w:sz w:val="20"/>
                <w:szCs w:val="20"/>
              </w:rPr>
              <w:t>β (Std.)</w:t>
            </w:r>
          </w:p>
        </w:tc>
        <w:tc>
          <w:tcPr>
            <w:tcW w:w="767" w:type="dxa"/>
            <w:tcBorders>
              <w:top w:val="single" w:sz="4" w:space="0" w:color="auto"/>
              <w:bottom w:val="single" w:sz="4" w:space="0" w:color="auto"/>
            </w:tcBorders>
          </w:tcPr>
          <w:p w14:paraId="562BF5FA" w14:textId="77777777" w:rsidR="0013238B" w:rsidRPr="00677610" w:rsidRDefault="0013238B" w:rsidP="00600EB5">
            <w:pPr>
              <w:spacing w:line="240" w:lineRule="auto"/>
              <w:contextualSpacing/>
              <w:jc w:val="center"/>
              <w:rPr>
                <w:rFonts w:ascii="Arial" w:hAnsi="Arial" w:cs="Arial"/>
                <w:bCs/>
                <w:sz w:val="20"/>
                <w:szCs w:val="20"/>
              </w:rPr>
            </w:pPr>
            <w:r w:rsidRPr="00677610">
              <w:rPr>
                <w:rFonts w:ascii="Arial" w:hAnsi="Arial" w:cs="Arial"/>
                <w:bCs/>
                <w:sz w:val="20"/>
                <w:szCs w:val="20"/>
              </w:rPr>
              <w:t>S.E.</w:t>
            </w:r>
          </w:p>
        </w:tc>
        <w:tc>
          <w:tcPr>
            <w:tcW w:w="844" w:type="dxa"/>
            <w:tcBorders>
              <w:top w:val="single" w:sz="4" w:space="0" w:color="auto"/>
              <w:bottom w:val="single" w:sz="4" w:space="0" w:color="auto"/>
            </w:tcBorders>
          </w:tcPr>
          <w:p w14:paraId="6F886BA8" w14:textId="77777777" w:rsidR="0013238B" w:rsidRPr="00677610" w:rsidRDefault="0013238B" w:rsidP="00600EB5">
            <w:pPr>
              <w:spacing w:line="240" w:lineRule="auto"/>
              <w:contextualSpacing/>
              <w:jc w:val="center"/>
              <w:rPr>
                <w:rFonts w:ascii="Arial" w:hAnsi="Arial" w:cs="Arial"/>
                <w:bCs/>
                <w:sz w:val="20"/>
                <w:szCs w:val="20"/>
              </w:rPr>
            </w:pPr>
            <w:r w:rsidRPr="00677610">
              <w:rPr>
                <w:rFonts w:ascii="Arial" w:hAnsi="Arial" w:cs="Arial"/>
                <w:bCs/>
                <w:sz w:val="20"/>
                <w:szCs w:val="20"/>
              </w:rPr>
              <w:t>C.R.</w:t>
            </w:r>
          </w:p>
        </w:tc>
        <w:tc>
          <w:tcPr>
            <w:tcW w:w="974" w:type="dxa"/>
            <w:tcBorders>
              <w:top w:val="single" w:sz="4" w:space="0" w:color="auto"/>
              <w:bottom w:val="single" w:sz="4" w:space="0" w:color="auto"/>
            </w:tcBorders>
          </w:tcPr>
          <w:p w14:paraId="5F970530" w14:textId="77777777" w:rsidR="0013238B" w:rsidRPr="00677610" w:rsidRDefault="0013238B" w:rsidP="00600EB5">
            <w:pPr>
              <w:spacing w:line="240" w:lineRule="auto"/>
              <w:contextualSpacing/>
              <w:jc w:val="center"/>
              <w:rPr>
                <w:rFonts w:ascii="Arial" w:hAnsi="Arial" w:cs="Arial"/>
                <w:bCs/>
                <w:sz w:val="20"/>
                <w:szCs w:val="20"/>
              </w:rPr>
            </w:pPr>
            <w:r w:rsidRPr="00677610">
              <w:rPr>
                <w:rFonts w:ascii="Arial" w:hAnsi="Arial" w:cs="Arial"/>
                <w:bCs/>
                <w:sz w:val="20"/>
                <w:szCs w:val="20"/>
              </w:rPr>
              <w:t>p-value</w:t>
            </w:r>
          </w:p>
        </w:tc>
        <w:tc>
          <w:tcPr>
            <w:tcW w:w="1234" w:type="dxa"/>
            <w:tcBorders>
              <w:top w:val="single" w:sz="4" w:space="0" w:color="auto"/>
              <w:bottom w:val="single" w:sz="4" w:space="0" w:color="auto"/>
            </w:tcBorders>
          </w:tcPr>
          <w:p w14:paraId="3FAEF7B3" w14:textId="77777777" w:rsidR="0013238B" w:rsidRPr="00677610" w:rsidRDefault="0013238B" w:rsidP="00600EB5">
            <w:pPr>
              <w:spacing w:line="240" w:lineRule="auto"/>
              <w:contextualSpacing/>
              <w:jc w:val="center"/>
              <w:rPr>
                <w:rFonts w:ascii="Arial" w:hAnsi="Arial" w:cs="Arial"/>
                <w:bCs/>
                <w:sz w:val="20"/>
                <w:szCs w:val="20"/>
              </w:rPr>
            </w:pPr>
            <w:r w:rsidRPr="00677610">
              <w:rPr>
                <w:rFonts w:ascii="Arial" w:hAnsi="Arial" w:cs="Arial"/>
                <w:bCs/>
                <w:sz w:val="20"/>
                <w:szCs w:val="20"/>
              </w:rPr>
              <w:t>Decision</w:t>
            </w:r>
          </w:p>
        </w:tc>
      </w:tr>
      <w:tr w:rsidR="0013238B" w:rsidRPr="00677610" w14:paraId="471EAB1B" w14:textId="77777777" w:rsidTr="00600EB5">
        <w:tc>
          <w:tcPr>
            <w:tcW w:w="3114" w:type="dxa"/>
            <w:tcBorders>
              <w:top w:val="single" w:sz="4" w:space="0" w:color="auto"/>
            </w:tcBorders>
          </w:tcPr>
          <w:p w14:paraId="53644F9A" w14:textId="77777777" w:rsidR="0013238B" w:rsidRPr="00677610" w:rsidRDefault="0013238B" w:rsidP="00600EB5">
            <w:pPr>
              <w:spacing w:line="240" w:lineRule="auto"/>
              <w:contextualSpacing/>
              <w:rPr>
                <w:rFonts w:ascii="Arial" w:hAnsi="Arial" w:cs="Arial"/>
                <w:sz w:val="20"/>
                <w:szCs w:val="20"/>
              </w:rPr>
            </w:pPr>
            <w:r w:rsidRPr="00677610">
              <w:rPr>
                <w:rFonts w:ascii="Arial" w:hAnsi="Arial" w:cs="Arial"/>
                <w:sz w:val="20"/>
                <w:szCs w:val="20"/>
              </w:rPr>
              <w:t>H1: Community Motivation → Community Readiness</w:t>
            </w:r>
          </w:p>
        </w:tc>
        <w:tc>
          <w:tcPr>
            <w:tcW w:w="1202" w:type="dxa"/>
            <w:tcBorders>
              <w:top w:val="single" w:sz="4" w:space="0" w:color="auto"/>
            </w:tcBorders>
          </w:tcPr>
          <w:p w14:paraId="4A4EAB33" w14:textId="4B63DB60" w:rsidR="0013238B" w:rsidRPr="00677610" w:rsidRDefault="00FD7A05" w:rsidP="00600EB5">
            <w:pPr>
              <w:spacing w:line="240" w:lineRule="auto"/>
              <w:contextualSpacing/>
              <w:rPr>
                <w:rFonts w:ascii="Arial" w:hAnsi="Arial" w:cs="Arial"/>
                <w:sz w:val="20"/>
                <w:szCs w:val="20"/>
              </w:rPr>
            </w:pPr>
            <w:r>
              <w:rPr>
                <w:rFonts w:ascii="Arial" w:hAnsi="Arial" w:cs="Arial"/>
                <w:sz w:val="20"/>
                <w:szCs w:val="20"/>
              </w:rPr>
              <w:t>1</w:t>
            </w:r>
            <w:r w:rsidR="0013238B" w:rsidRPr="00677610">
              <w:rPr>
                <w:rFonts w:ascii="Arial" w:hAnsi="Arial" w:cs="Arial"/>
                <w:sz w:val="20"/>
                <w:szCs w:val="20"/>
              </w:rPr>
              <w:t>.671</w:t>
            </w:r>
          </w:p>
        </w:tc>
        <w:tc>
          <w:tcPr>
            <w:tcW w:w="898" w:type="dxa"/>
            <w:tcBorders>
              <w:top w:val="single" w:sz="4" w:space="0" w:color="auto"/>
            </w:tcBorders>
          </w:tcPr>
          <w:p w14:paraId="470A9EB7" w14:textId="448E411C" w:rsidR="0013238B" w:rsidRPr="00677610" w:rsidRDefault="0013238B" w:rsidP="00600EB5">
            <w:pPr>
              <w:spacing w:line="240" w:lineRule="auto"/>
              <w:contextualSpacing/>
              <w:rPr>
                <w:rFonts w:ascii="Arial" w:hAnsi="Arial" w:cs="Arial"/>
                <w:sz w:val="20"/>
                <w:szCs w:val="20"/>
              </w:rPr>
            </w:pPr>
            <w:r w:rsidRPr="00677610">
              <w:rPr>
                <w:rFonts w:ascii="Arial" w:hAnsi="Arial" w:cs="Arial"/>
                <w:sz w:val="20"/>
                <w:szCs w:val="20"/>
              </w:rPr>
              <w:t>0.</w:t>
            </w:r>
            <w:r w:rsidR="00FD7A05">
              <w:rPr>
                <w:rFonts w:ascii="Arial" w:hAnsi="Arial" w:cs="Arial"/>
                <w:sz w:val="20"/>
                <w:szCs w:val="20"/>
              </w:rPr>
              <w:t>2</w:t>
            </w:r>
            <w:r w:rsidRPr="00677610">
              <w:rPr>
                <w:rFonts w:ascii="Arial" w:hAnsi="Arial" w:cs="Arial"/>
                <w:sz w:val="20"/>
                <w:szCs w:val="20"/>
              </w:rPr>
              <w:t>37</w:t>
            </w:r>
          </w:p>
        </w:tc>
        <w:tc>
          <w:tcPr>
            <w:tcW w:w="767" w:type="dxa"/>
            <w:tcBorders>
              <w:top w:val="single" w:sz="4" w:space="0" w:color="auto"/>
            </w:tcBorders>
          </w:tcPr>
          <w:p w14:paraId="7D77AE7D" w14:textId="0BE313DB" w:rsidR="0013238B" w:rsidRPr="00677610" w:rsidRDefault="0013238B" w:rsidP="00600EB5">
            <w:pPr>
              <w:spacing w:line="240" w:lineRule="auto"/>
              <w:contextualSpacing/>
              <w:rPr>
                <w:rFonts w:ascii="Arial" w:hAnsi="Arial" w:cs="Arial"/>
                <w:sz w:val="20"/>
                <w:szCs w:val="20"/>
              </w:rPr>
            </w:pPr>
            <w:r w:rsidRPr="00677610">
              <w:rPr>
                <w:rFonts w:ascii="Arial" w:hAnsi="Arial" w:cs="Arial"/>
                <w:sz w:val="20"/>
                <w:szCs w:val="20"/>
              </w:rPr>
              <w:t>0.</w:t>
            </w:r>
            <w:r w:rsidR="00FD7A05">
              <w:rPr>
                <w:rFonts w:ascii="Arial" w:hAnsi="Arial" w:cs="Arial"/>
                <w:sz w:val="20"/>
                <w:szCs w:val="20"/>
              </w:rPr>
              <w:t>244</w:t>
            </w:r>
          </w:p>
        </w:tc>
        <w:tc>
          <w:tcPr>
            <w:tcW w:w="844" w:type="dxa"/>
            <w:tcBorders>
              <w:top w:val="single" w:sz="4" w:space="0" w:color="auto"/>
            </w:tcBorders>
          </w:tcPr>
          <w:p w14:paraId="736DF3B5" w14:textId="2B83CCB9" w:rsidR="0013238B" w:rsidRPr="00677610" w:rsidRDefault="00082D11" w:rsidP="00600EB5">
            <w:pPr>
              <w:spacing w:line="240" w:lineRule="auto"/>
              <w:contextualSpacing/>
              <w:rPr>
                <w:rFonts w:ascii="Arial" w:hAnsi="Arial" w:cs="Arial"/>
                <w:sz w:val="20"/>
                <w:szCs w:val="20"/>
              </w:rPr>
            </w:pPr>
            <w:r>
              <w:rPr>
                <w:rFonts w:ascii="Arial" w:hAnsi="Arial" w:cs="Arial"/>
                <w:sz w:val="20"/>
                <w:szCs w:val="20"/>
              </w:rPr>
              <w:t>6.848</w:t>
            </w:r>
          </w:p>
        </w:tc>
        <w:tc>
          <w:tcPr>
            <w:tcW w:w="974" w:type="dxa"/>
            <w:tcBorders>
              <w:top w:val="single" w:sz="4" w:space="0" w:color="auto"/>
            </w:tcBorders>
          </w:tcPr>
          <w:p w14:paraId="5C2B6229" w14:textId="0D19AF46" w:rsidR="0013238B" w:rsidRPr="00677610" w:rsidRDefault="00771578" w:rsidP="00600EB5">
            <w:pPr>
              <w:spacing w:line="240" w:lineRule="auto"/>
              <w:contextualSpacing/>
              <w:rPr>
                <w:rFonts w:ascii="Arial" w:hAnsi="Arial" w:cs="Arial"/>
                <w:sz w:val="20"/>
                <w:szCs w:val="20"/>
              </w:rPr>
            </w:pPr>
            <w:r>
              <w:rPr>
                <w:rFonts w:ascii="Arial" w:hAnsi="Arial" w:cs="Arial"/>
                <w:sz w:val="20"/>
                <w:szCs w:val="20"/>
              </w:rPr>
              <w:t xml:space="preserve">&lt; </w:t>
            </w:r>
            <w:r w:rsidR="0013238B" w:rsidRPr="00677610">
              <w:rPr>
                <w:rFonts w:ascii="Arial" w:hAnsi="Arial" w:cs="Arial"/>
                <w:sz w:val="20"/>
                <w:szCs w:val="20"/>
              </w:rPr>
              <w:t>0.0</w:t>
            </w:r>
            <w:r w:rsidR="00082D11">
              <w:rPr>
                <w:rFonts w:ascii="Arial" w:hAnsi="Arial" w:cs="Arial"/>
                <w:sz w:val="20"/>
                <w:szCs w:val="20"/>
              </w:rPr>
              <w:t>01</w:t>
            </w:r>
          </w:p>
        </w:tc>
        <w:tc>
          <w:tcPr>
            <w:tcW w:w="1234" w:type="dxa"/>
            <w:tcBorders>
              <w:top w:val="single" w:sz="4" w:space="0" w:color="auto"/>
            </w:tcBorders>
          </w:tcPr>
          <w:p w14:paraId="07619F08" w14:textId="77777777" w:rsidR="0013238B" w:rsidRPr="00677610" w:rsidRDefault="0013238B" w:rsidP="00600EB5">
            <w:pPr>
              <w:spacing w:line="240" w:lineRule="auto"/>
              <w:contextualSpacing/>
              <w:rPr>
                <w:rFonts w:ascii="Arial" w:hAnsi="Arial" w:cs="Arial"/>
                <w:sz w:val="20"/>
                <w:szCs w:val="20"/>
              </w:rPr>
            </w:pPr>
            <w:r w:rsidRPr="00677610">
              <w:rPr>
                <w:rFonts w:ascii="Arial" w:hAnsi="Arial" w:cs="Arial"/>
                <w:sz w:val="20"/>
                <w:szCs w:val="20"/>
              </w:rPr>
              <w:t>Supported</w:t>
            </w:r>
          </w:p>
        </w:tc>
      </w:tr>
      <w:tr w:rsidR="0013238B" w:rsidRPr="00677610" w14:paraId="6D2CCEA7" w14:textId="77777777" w:rsidTr="00600EB5">
        <w:tc>
          <w:tcPr>
            <w:tcW w:w="3114" w:type="dxa"/>
          </w:tcPr>
          <w:p w14:paraId="7E97034C" w14:textId="77777777" w:rsidR="0013238B" w:rsidRPr="00677610" w:rsidRDefault="0013238B" w:rsidP="00600EB5">
            <w:pPr>
              <w:spacing w:line="240" w:lineRule="auto"/>
              <w:contextualSpacing/>
              <w:rPr>
                <w:rFonts w:ascii="Arial" w:hAnsi="Arial" w:cs="Arial"/>
                <w:sz w:val="20"/>
                <w:szCs w:val="20"/>
              </w:rPr>
            </w:pPr>
            <w:r w:rsidRPr="00677610">
              <w:rPr>
                <w:rFonts w:ascii="Arial" w:hAnsi="Arial" w:cs="Arial"/>
                <w:sz w:val="20"/>
                <w:szCs w:val="20"/>
              </w:rPr>
              <w:t>H2: Community Skills → Community Readiness</w:t>
            </w:r>
          </w:p>
        </w:tc>
        <w:tc>
          <w:tcPr>
            <w:tcW w:w="1202" w:type="dxa"/>
          </w:tcPr>
          <w:p w14:paraId="0266684F" w14:textId="51525763" w:rsidR="0013238B" w:rsidRPr="00677610" w:rsidRDefault="00FD7A05" w:rsidP="00600EB5">
            <w:pPr>
              <w:spacing w:line="240" w:lineRule="auto"/>
              <w:contextualSpacing/>
              <w:rPr>
                <w:rFonts w:ascii="Arial" w:hAnsi="Arial" w:cs="Arial"/>
                <w:sz w:val="20"/>
                <w:szCs w:val="20"/>
              </w:rPr>
            </w:pPr>
            <w:r>
              <w:rPr>
                <w:rFonts w:ascii="Arial" w:hAnsi="Arial" w:cs="Arial"/>
                <w:sz w:val="20"/>
                <w:szCs w:val="20"/>
              </w:rPr>
              <w:t>1</w:t>
            </w:r>
            <w:r w:rsidR="0013238B" w:rsidRPr="00677610">
              <w:rPr>
                <w:rFonts w:ascii="Arial" w:hAnsi="Arial" w:cs="Arial"/>
                <w:sz w:val="20"/>
                <w:szCs w:val="20"/>
              </w:rPr>
              <w:t>.</w:t>
            </w:r>
            <w:r>
              <w:rPr>
                <w:rFonts w:ascii="Arial" w:hAnsi="Arial" w:cs="Arial"/>
                <w:sz w:val="20"/>
                <w:szCs w:val="20"/>
              </w:rPr>
              <w:t>7</w:t>
            </w:r>
            <w:r w:rsidR="0013238B" w:rsidRPr="00677610">
              <w:rPr>
                <w:rFonts w:ascii="Arial" w:hAnsi="Arial" w:cs="Arial"/>
                <w:sz w:val="20"/>
                <w:szCs w:val="20"/>
              </w:rPr>
              <w:t>43</w:t>
            </w:r>
          </w:p>
        </w:tc>
        <w:tc>
          <w:tcPr>
            <w:tcW w:w="898" w:type="dxa"/>
          </w:tcPr>
          <w:p w14:paraId="2DBC4F2E" w14:textId="77777777" w:rsidR="0013238B" w:rsidRPr="00677610" w:rsidRDefault="0013238B" w:rsidP="00600EB5">
            <w:pPr>
              <w:spacing w:line="240" w:lineRule="auto"/>
              <w:contextualSpacing/>
              <w:rPr>
                <w:rFonts w:ascii="Arial" w:hAnsi="Arial" w:cs="Arial"/>
                <w:sz w:val="20"/>
                <w:szCs w:val="20"/>
              </w:rPr>
            </w:pPr>
            <w:r w:rsidRPr="00677610">
              <w:rPr>
                <w:rFonts w:ascii="Arial" w:hAnsi="Arial" w:cs="Arial"/>
                <w:sz w:val="20"/>
                <w:szCs w:val="20"/>
              </w:rPr>
              <w:t>0.310</w:t>
            </w:r>
          </w:p>
        </w:tc>
        <w:tc>
          <w:tcPr>
            <w:tcW w:w="767" w:type="dxa"/>
          </w:tcPr>
          <w:p w14:paraId="2C365F32" w14:textId="6313CD89" w:rsidR="0013238B" w:rsidRPr="00677610" w:rsidRDefault="0013238B" w:rsidP="00600EB5">
            <w:pPr>
              <w:spacing w:line="240" w:lineRule="auto"/>
              <w:contextualSpacing/>
              <w:rPr>
                <w:rFonts w:ascii="Arial" w:hAnsi="Arial" w:cs="Arial"/>
                <w:sz w:val="20"/>
                <w:szCs w:val="20"/>
              </w:rPr>
            </w:pPr>
            <w:r w:rsidRPr="00677610">
              <w:rPr>
                <w:rFonts w:ascii="Arial" w:hAnsi="Arial" w:cs="Arial"/>
                <w:sz w:val="20"/>
                <w:szCs w:val="20"/>
              </w:rPr>
              <w:t>0.</w:t>
            </w:r>
            <w:r w:rsidR="00FD7A05">
              <w:rPr>
                <w:rFonts w:ascii="Arial" w:hAnsi="Arial" w:cs="Arial"/>
                <w:sz w:val="20"/>
                <w:szCs w:val="20"/>
              </w:rPr>
              <w:t>2</w:t>
            </w:r>
            <w:r w:rsidRPr="00677610">
              <w:rPr>
                <w:rFonts w:ascii="Arial" w:hAnsi="Arial" w:cs="Arial"/>
                <w:sz w:val="20"/>
                <w:szCs w:val="20"/>
              </w:rPr>
              <w:t>64</w:t>
            </w:r>
          </w:p>
        </w:tc>
        <w:tc>
          <w:tcPr>
            <w:tcW w:w="844" w:type="dxa"/>
          </w:tcPr>
          <w:p w14:paraId="3CEED695" w14:textId="52E7325F" w:rsidR="0013238B" w:rsidRPr="00677610" w:rsidRDefault="00082D11" w:rsidP="00600EB5">
            <w:pPr>
              <w:spacing w:line="240" w:lineRule="auto"/>
              <w:contextualSpacing/>
              <w:rPr>
                <w:rFonts w:ascii="Arial" w:hAnsi="Arial" w:cs="Arial"/>
                <w:sz w:val="20"/>
                <w:szCs w:val="20"/>
              </w:rPr>
            </w:pPr>
            <w:r>
              <w:rPr>
                <w:rFonts w:ascii="Arial" w:hAnsi="Arial" w:cs="Arial"/>
                <w:sz w:val="20"/>
                <w:szCs w:val="20"/>
              </w:rPr>
              <w:t>6</w:t>
            </w:r>
            <w:r w:rsidR="0013238B" w:rsidRPr="00677610">
              <w:rPr>
                <w:rFonts w:ascii="Arial" w:hAnsi="Arial" w:cs="Arial"/>
                <w:sz w:val="20"/>
                <w:szCs w:val="20"/>
              </w:rPr>
              <w:t>.</w:t>
            </w:r>
            <w:r>
              <w:rPr>
                <w:rFonts w:ascii="Arial" w:hAnsi="Arial" w:cs="Arial"/>
                <w:sz w:val="20"/>
                <w:szCs w:val="20"/>
              </w:rPr>
              <w:t>602</w:t>
            </w:r>
          </w:p>
        </w:tc>
        <w:tc>
          <w:tcPr>
            <w:tcW w:w="974" w:type="dxa"/>
          </w:tcPr>
          <w:p w14:paraId="31AAEEAB" w14:textId="3527A0CC" w:rsidR="0013238B" w:rsidRPr="00677610" w:rsidRDefault="00771578" w:rsidP="00600EB5">
            <w:pPr>
              <w:spacing w:line="240" w:lineRule="auto"/>
              <w:contextualSpacing/>
              <w:rPr>
                <w:rFonts w:ascii="Arial" w:hAnsi="Arial" w:cs="Arial"/>
                <w:sz w:val="20"/>
                <w:szCs w:val="20"/>
              </w:rPr>
            </w:pPr>
            <w:r>
              <w:rPr>
                <w:rFonts w:ascii="Arial" w:hAnsi="Arial" w:cs="Arial"/>
                <w:sz w:val="20"/>
                <w:szCs w:val="20"/>
              </w:rPr>
              <w:t xml:space="preserve">&lt; </w:t>
            </w:r>
            <w:r w:rsidR="0013238B" w:rsidRPr="00677610">
              <w:rPr>
                <w:rFonts w:ascii="Arial" w:hAnsi="Arial" w:cs="Arial"/>
                <w:sz w:val="20"/>
                <w:szCs w:val="20"/>
              </w:rPr>
              <w:t>0.00</w:t>
            </w:r>
            <w:r w:rsidR="00082D11">
              <w:rPr>
                <w:rFonts w:ascii="Arial" w:hAnsi="Arial" w:cs="Arial"/>
                <w:sz w:val="20"/>
                <w:szCs w:val="20"/>
              </w:rPr>
              <w:t>1</w:t>
            </w:r>
          </w:p>
        </w:tc>
        <w:tc>
          <w:tcPr>
            <w:tcW w:w="1234" w:type="dxa"/>
          </w:tcPr>
          <w:p w14:paraId="0592D61D" w14:textId="77777777" w:rsidR="0013238B" w:rsidRPr="00677610" w:rsidRDefault="0013238B" w:rsidP="00600EB5">
            <w:pPr>
              <w:spacing w:line="240" w:lineRule="auto"/>
              <w:contextualSpacing/>
              <w:rPr>
                <w:rFonts w:ascii="Arial" w:hAnsi="Arial" w:cs="Arial"/>
                <w:sz w:val="20"/>
                <w:szCs w:val="20"/>
              </w:rPr>
            </w:pPr>
            <w:r w:rsidRPr="00677610">
              <w:rPr>
                <w:rFonts w:ascii="Arial" w:hAnsi="Arial" w:cs="Arial"/>
                <w:sz w:val="20"/>
                <w:szCs w:val="20"/>
              </w:rPr>
              <w:t>Supported</w:t>
            </w:r>
          </w:p>
        </w:tc>
      </w:tr>
      <w:tr w:rsidR="0013238B" w:rsidRPr="00677610" w14:paraId="16DFAC94" w14:textId="77777777" w:rsidTr="00600EB5">
        <w:tc>
          <w:tcPr>
            <w:tcW w:w="3114" w:type="dxa"/>
          </w:tcPr>
          <w:p w14:paraId="6B00DEBE" w14:textId="77777777" w:rsidR="0013238B" w:rsidRPr="00677610" w:rsidRDefault="0013238B" w:rsidP="00600EB5">
            <w:pPr>
              <w:spacing w:line="240" w:lineRule="auto"/>
              <w:contextualSpacing/>
              <w:rPr>
                <w:rFonts w:ascii="Arial" w:hAnsi="Arial" w:cs="Arial"/>
                <w:sz w:val="20"/>
                <w:szCs w:val="20"/>
              </w:rPr>
            </w:pPr>
            <w:r w:rsidRPr="00677610">
              <w:rPr>
                <w:rFonts w:ascii="Arial" w:hAnsi="Arial" w:cs="Arial"/>
                <w:sz w:val="20"/>
                <w:szCs w:val="20"/>
              </w:rPr>
              <w:t>H3: Community Education → Community Readiness</w:t>
            </w:r>
          </w:p>
        </w:tc>
        <w:tc>
          <w:tcPr>
            <w:tcW w:w="1202" w:type="dxa"/>
          </w:tcPr>
          <w:p w14:paraId="1B6E0574" w14:textId="20A7A962" w:rsidR="0013238B" w:rsidRPr="00677610" w:rsidRDefault="0013238B" w:rsidP="00600EB5">
            <w:pPr>
              <w:spacing w:line="240" w:lineRule="auto"/>
              <w:contextualSpacing/>
              <w:rPr>
                <w:rFonts w:ascii="Arial" w:hAnsi="Arial" w:cs="Arial"/>
                <w:sz w:val="20"/>
                <w:szCs w:val="20"/>
              </w:rPr>
            </w:pPr>
            <w:r w:rsidRPr="00677610">
              <w:rPr>
                <w:rFonts w:ascii="Arial" w:hAnsi="Arial" w:cs="Arial"/>
                <w:sz w:val="20"/>
                <w:szCs w:val="20"/>
              </w:rPr>
              <w:t>0.</w:t>
            </w:r>
            <w:r w:rsidR="00FD7A05">
              <w:rPr>
                <w:rFonts w:ascii="Arial" w:hAnsi="Arial" w:cs="Arial"/>
                <w:sz w:val="20"/>
                <w:szCs w:val="20"/>
              </w:rPr>
              <w:t>8</w:t>
            </w:r>
            <w:r w:rsidRPr="00677610">
              <w:rPr>
                <w:rFonts w:ascii="Arial" w:hAnsi="Arial" w:cs="Arial"/>
                <w:sz w:val="20"/>
                <w:szCs w:val="20"/>
              </w:rPr>
              <w:t>74</w:t>
            </w:r>
          </w:p>
        </w:tc>
        <w:tc>
          <w:tcPr>
            <w:tcW w:w="898" w:type="dxa"/>
          </w:tcPr>
          <w:p w14:paraId="66D3F24E" w14:textId="4EF43DF0" w:rsidR="0013238B" w:rsidRPr="00677610" w:rsidRDefault="0013238B" w:rsidP="00600EB5">
            <w:pPr>
              <w:spacing w:line="240" w:lineRule="auto"/>
              <w:contextualSpacing/>
              <w:rPr>
                <w:rFonts w:ascii="Arial" w:hAnsi="Arial" w:cs="Arial"/>
                <w:sz w:val="20"/>
                <w:szCs w:val="20"/>
              </w:rPr>
            </w:pPr>
            <w:r w:rsidRPr="00677610">
              <w:rPr>
                <w:rFonts w:ascii="Arial" w:hAnsi="Arial" w:cs="Arial"/>
                <w:sz w:val="20"/>
                <w:szCs w:val="20"/>
              </w:rPr>
              <w:t>0.</w:t>
            </w:r>
            <w:r w:rsidR="00FD7A05">
              <w:rPr>
                <w:rFonts w:ascii="Arial" w:hAnsi="Arial" w:cs="Arial"/>
                <w:sz w:val="20"/>
                <w:szCs w:val="20"/>
              </w:rPr>
              <w:t>2</w:t>
            </w:r>
            <w:r w:rsidRPr="00677610">
              <w:rPr>
                <w:rFonts w:ascii="Arial" w:hAnsi="Arial" w:cs="Arial"/>
                <w:sz w:val="20"/>
                <w:szCs w:val="20"/>
              </w:rPr>
              <w:t>25</w:t>
            </w:r>
          </w:p>
        </w:tc>
        <w:tc>
          <w:tcPr>
            <w:tcW w:w="767" w:type="dxa"/>
          </w:tcPr>
          <w:p w14:paraId="6C0378E5" w14:textId="493E656F" w:rsidR="0013238B" w:rsidRPr="00677610" w:rsidRDefault="0013238B" w:rsidP="00600EB5">
            <w:pPr>
              <w:spacing w:line="240" w:lineRule="auto"/>
              <w:contextualSpacing/>
              <w:rPr>
                <w:rFonts w:ascii="Arial" w:hAnsi="Arial" w:cs="Arial"/>
                <w:sz w:val="20"/>
                <w:szCs w:val="20"/>
              </w:rPr>
            </w:pPr>
            <w:r w:rsidRPr="00677610">
              <w:rPr>
                <w:rFonts w:ascii="Arial" w:hAnsi="Arial" w:cs="Arial"/>
                <w:sz w:val="20"/>
                <w:szCs w:val="20"/>
              </w:rPr>
              <w:t>0.</w:t>
            </w:r>
            <w:r w:rsidR="00FD7A05">
              <w:rPr>
                <w:rFonts w:ascii="Arial" w:hAnsi="Arial" w:cs="Arial"/>
                <w:sz w:val="20"/>
                <w:szCs w:val="20"/>
              </w:rPr>
              <w:t>1</w:t>
            </w:r>
            <w:r w:rsidRPr="00677610">
              <w:rPr>
                <w:rFonts w:ascii="Arial" w:hAnsi="Arial" w:cs="Arial"/>
                <w:sz w:val="20"/>
                <w:szCs w:val="20"/>
              </w:rPr>
              <w:t>78</w:t>
            </w:r>
          </w:p>
        </w:tc>
        <w:tc>
          <w:tcPr>
            <w:tcW w:w="844" w:type="dxa"/>
          </w:tcPr>
          <w:p w14:paraId="5C41CBDF" w14:textId="3590650B" w:rsidR="0013238B" w:rsidRPr="00677610" w:rsidRDefault="00082D11" w:rsidP="00600EB5">
            <w:pPr>
              <w:spacing w:line="240" w:lineRule="auto"/>
              <w:contextualSpacing/>
              <w:rPr>
                <w:rFonts w:ascii="Arial" w:hAnsi="Arial" w:cs="Arial"/>
                <w:sz w:val="20"/>
                <w:szCs w:val="20"/>
              </w:rPr>
            </w:pPr>
            <w:r>
              <w:rPr>
                <w:rFonts w:ascii="Arial" w:hAnsi="Arial" w:cs="Arial"/>
                <w:sz w:val="20"/>
                <w:szCs w:val="20"/>
              </w:rPr>
              <w:t>4</w:t>
            </w:r>
            <w:r w:rsidR="0013238B" w:rsidRPr="00677610">
              <w:rPr>
                <w:rFonts w:ascii="Arial" w:hAnsi="Arial" w:cs="Arial"/>
                <w:sz w:val="20"/>
                <w:szCs w:val="20"/>
              </w:rPr>
              <w:t>.</w:t>
            </w:r>
            <w:r>
              <w:rPr>
                <w:rFonts w:ascii="Arial" w:hAnsi="Arial" w:cs="Arial"/>
                <w:sz w:val="20"/>
                <w:szCs w:val="20"/>
              </w:rPr>
              <w:t>910</w:t>
            </w:r>
          </w:p>
        </w:tc>
        <w:tc>
          <w:tcPr>
            <w:tcW w:w="974" w:type="dxa"/>
          </w:tcPr>
          <w:p w14:paraId="63370C64" w14:textId="4874C231" w:rsidR="0013238B" w:rsidRPr="00677610" w:rsidRDefault="00771578" w:rsidP="00600EB5">
            <w:pPr>
              <w:spacing w:line="240" w:lineRule="auto"/>
              <w:contextualSpacing/>
              <w:rPr>
                <w:rFonts w:ascii="Arial" w:hAnsi="Arial" w:cs="Arial"/>
                <w:sz w:val="20"/>
                <w:szCs w:val="20"/>
              </w:rPr>
            </w:pPr>
            <w:r>
              <w:rPr>
                <w:rFonts w:ascii="Arial" w:hAnsi="Arial" w:cs="Arial"/>
                <w:sz w:val="20"/>
                <w:szCs w:val="20"/>
              </w:rPr>
              <w:t xml:space="preserve">&lt; </w:t>
            </w:r>
            <w:r w:rsidR="0013238B" w:rsidRPr="00677610">
              <w:rPr>
                <w:rFonts w:ascii="Arial" w:hAnsi="Arial" w:cs="Arial"/>
                <w:sz w:val="20"/>
                <w:szCs w:val="20"/>
              </w:rPr>
              <w:t>0.0</w:t>
            </w:r>
            <w:r w:rsidR="00082D11">
              <w:rPr>
                <w:rFonts w:ascii="Arial" w:hAnsi="Arial" w:cs="Arial"/>
                <w:sz w:val="20"/>
                <w:szCs w:val="20"/>
              </w:rPr>
              <w:t>01</w:t>
            </w:r>
          </w:p>
        </w:tc>
        <w:tc>
          <w:tcPr>
            <w:tcW w:w="1234" w:type="dxa"/>
          </w:tcPr>
          <w:p w14:paraId="51E34520" w14:textId="77777777" w:rsidR="0013238B" w:rsidRPr="00677610" w:rsidRDefault="0013238B" w:rsidP="00600EB5">
            <w:pPr>
              <w:spacing w:line="240" w:lineRule="auto"/>
              <w:contextualSpacing/>
              <w:rPr>
                <w:rFonts w:ascii="Arial" w:hAnsi="Arial" w:cs="Arial"/>
                <w:sz w:val="20"/>
                <w:szCs w:val="20"/>
              </w:rPr>
            </w:pPr>
            <w:r w:rsidRPr="00677610">
              <w:rPr>
                <w:rFonts w:ascii="Arial" w:hAnsi="Arial" w:cs="Arial"/>
                <w:sz w:val="20"/>
                <w:szCs w:val="20"/>
              </w:rPr>
              <w:t>Supported</w:t>
            </w:r>
          </w:p>
        </w:tc>
      </w:tr>
    </w:tbl>
    <w:p w14:paraId="1DEC55FA" w14:textId="77777777" w:rsidR="0013238B" w:rsidRPr="00677610" w:rsidRDefault="0013238B" w:rsidP="0013238B">
      <w:pPr>
        <w:spacing w:after="0" w:line="240" w:lineRule="auto"/>
        <w:contextualSpacing/>
        <w:rPr>
          <w:rFonts w:ascii="Arial" w:hAnsi="Arial" w:cs="Arial"/>
          <w:sz w:val="20"/>
          <w:szCs w:val="20"/>
        </w:rPr>
      </w:pPr>
      <w:r w:rsidRPr="00677610">
        <w:rPr>
          <w:rFonts w:ascii="Arial" w:hAnsi="Arial" w:cs="Arial"/>
          <w:sz w:val="20"/>
          <w:szCs w:val="20"/>
        </w:rPr>
        <w:t>Note: B = unstandardized coefficient; β = standardized coefficient; S.E. = standard error; C.R. = critical ratio; significance at α = 0.05.</w:t>
      </w:r>
    </w:p>
    <w:p w14:paraId="0EAB11BE" w14:textId="77777777" w:rsidR="0013238B" w:rsidRPr="00677610" w:rsidRDefault="0013238B" w:rsidP="0013238B">
      <w:pPr>
        <w:spacing w:after="0" w:line="240" w:lineRule="auto"/>
        <w:ind w:firstLine="720"/>
        <w:contextualSpacing/>
        <w:jc w:val="both"/>
        <w:rPr>
          <w:rFonts w:ascii="Arial" w:hAnsi="Arial" w:cs="Arial"/>
          <w:sz w:val="20"/>
          <w:szCs w:val="20"/>
        </w:rPr>
      </w:pPr>
    </w:p>
    <w:p w14:paraId="32EC36F2" w14:textId="77777777" w:rsidR="008C5A57" w:rsidRPr="008C5A57" w:rsidRDefault="008C5A57" w:rsidP="008C5A57">
      <w:pPr>
        <w:spacing w:after="0" w:line="240" w:lineRule="auto"/>
        <w:ind w:firstLine="720"/>
        <w:contextualSpacing/>
        <w:jc w:val="both"/>
        <w:rPr>
          <w:rFonts w:ascii="Arial" w:hAnsi="Arial" w:cs="Arial"/>
          <w:sz w:val="20"/>
          <w:szCs w:val="20"/>
          <w:highlight w:val="yellow"/>
        </w:rPr>
      </w:pPr>
      <w:r w:rsidRPr="008C5A57">
        <w:rPr>
          <w:rFonts w:ascii="Arial" w:hAnsi="Arial" w:cs="Arial"/>
          <w:sz w:val="20"/>
          <w:szCs w:val="20"/>
          <w:highlight w:val="yellow"/>
        </w:rPr>
        <w:t xml:space="preserve">After verification of the AMOS regression-weight output, all three structural paths were found to be positive and statistically significant. Community Skills demonstrated the strongest standardized association with Community Readiness (β = 0.310), followed by Community Motivation (β = 0.237) and Community Education (β = 0.225). These findings indicate that practical community capabilities constitute the strongest predictor of readiness in the IKN host area, while motivation and education also make meaningful </w:t>
      </w:r>
      <w:r w:rsidRPr="008C5A57">
        <w:rPr>
          <w:rFonts w:ascii="Arial" w:hAnsi="Arial" w:cs="Arial"/>
          <w:sz w:val="20"/>
          <w:szCs w:val="20"/>
          <w:highlight w:val="yellow"/>
        </w:rPr>
        <w:lastRenderedPageBreak/>
        <w:t>contributions to residents’ capacity to engage with IKN-related infrastructure and institutional transformation.</w:t>
      </w:r>
    </w:p>
    <w:p w14:paraId="701517E0" w14:textId="3985C4E7" w:rsidR="00091B11" w:rsidRPr="008C5A57" w:rsidRDefault="008C5A57" w:rsidP="008C5A57">
      <w:pPr>
        <w:spacing w:after="0" w:line="240" w:lineRule="auto"/>
        <w:ind w:firstLine="720"/>
        <w:contextualSpacing/>
        <w:jc w:val="both"/>
        <w:rPr>
          <w:rFonts w:ascii="Arial" w:hAnsi="Arial" w:cs="Arial"/>
          <w:sz w:val="20"/>
          <w:szCs w:val="20"/>
          <w:highlight w:val="yellow"/>
        </w:rPr>
      </w:pPr>
      <w:r w:rsidRPr="008C5A57">
        <w:rPr>
          <w:rFonts w:ascii="Arial" w:hAnsi="Arial" w:cs="Arial"/>
          <w:sz w:val="20"/>
          <w:szCs w:val="20"/>
          <w:highlight w:val="yellow"/>
        </w:rPr>
        <w:t xml:space="preserve">The structural model explained 37.0% of the variance in Community Readiness (R² = 0.370), indicating a moderate level of explanatory power within the context of social-behavioral SEM. In addition, the correlations among the exogenous constructs were moderate to strong (Motivation–Education r = 0.711; Motivation–Skills r = 0.586; Skills–Education r = 0.503), suggesting that these predictors are theoretically related while remaining empirically distinguishable. </w:t>
      </w:r>
      <w:r w:rsidR="00091B11" w:rsidRPr="00091B11">
        <w:rPr>
          <w:rFonts w:ascii="Arial" w:hAnsi="Arial" w:cs="Arial"/>
          <w:sz w:val="20"/>
          <w:szCs w:val="20"/>
          <w:highlight w:val="yellow"/>
        </w:rPr>
        <w:t>This pattern supports the proposed motivation–capability framework, in which motivation can be interpreted as contributing to the willingness to engage, whereas education and skills can be interpreted as contributing interpretive and operational resources for translating infrastructure availability into actual community readiness.</w:t>
      </w:r>
    </w:p>
    <w:p w14:paraId="6EDA75D6" w14:textId="77777777" w:rsidR="008C5A57" w:rsidRPr="008C5A57" w:rsidRDefault="008C5A57" w:rsidP="008C5A57">
      <w:pPr>
        <w:spacing w:after="0" w:line="240" w:lineRule="auto"/>
        <w:ind w:firstLine="720"/>
        <w:contextualSpacing/>
        <w:jc w:val="both"/>
        <w:rPr>
          <w:rFonts w:ascii="Arial" w:hAnsi="Arial" w:cs="Arial"/>
          <w:sz w:val="20"/>
          <w:szCs w:val="20"/>
          <w:highlight w:val="yellow"/>
        </w:rPr>
      </w:pPr>
      <w:r w:rsidRPr="008C5A57">
        <w:rPr>
          <w:rFonts w:ascii="Arial" w:hAnsi="Arial" w:cs="Arial"/>
          <w:sz w:val="20"/>
          <w:szCs w:val="20"/>
          <w:highlight w:val="yellow"/>
        </w:rPr>
        <w:t>From a methodological standpoint, the structural results should be interpreted by distinguishing effect magnitude from statistical precision. The standardized coefficient (β) represents the relative strength of the relationship between latent constructs, whereas the critical ratio (C.R.) reflects the precision of the unstandardized estimate relative to its sampling error. Accordingly, the interpretation of the structural model considers B, S.E., C.R., p-value, and β together, so that substantive conclusions are supported by statistically coherent SEM evidence.</w:t>
      </w:r>
    </w:p>
    <w:p w14:paraId="0FDE2B38" w14:textId="77777777" w:rsidR="008C5A57" w:rsidRPr="00677610" w:rsidRDefault="008C5A57" w:rsidP="0013238B">
      <w:pPr>
        <w:spacing w:after="0" w:line="240" w:lineRule="auto"/>
        <w:ind w:firstLine="720"/>
        <w:contextualSpacing/>
        <w:jc w:val="both"/>
        <w:rPr>
          <w:rFonts w:ascii="Arial" w:hAnsi="Arial" w:cs="Arial"/>
          <w:sz w:val="20"/>
          <w:szCs w:val="20"/>
        </w:rPr>
      </w:pPr>
    </w:p>
    <w:p w14:paraId="16D31A25" w14:textId="77777777" w:rsidR="0013238B" w:rsidRPr="00677610" w:rsidRDefault="0013238B" w:rsidP="0013238B">
      <w:pPr>
        <w:spacing w:after="0" w:line="240" w:lineRule="auto"/>
        <w:ind w:firstLine="720"/>
        <w:contextualSpacing/>
        <w:jc w:val="both"/>
        <w:rPr>
          <w:rFonts w:ascii="Arial" w:hAnsi="Arial" w:cs="Arial"/>
          <w:sz w:val="20"/>
          <w:szCs w:val="20"/>
        </w:rPr>
      </w:pPr>
    </w:p>
    <w:p w14:paraId="3B9EC586" w14:textId="13E1442D" w:rsidR="0013238B" w:rsidRPr="00677610" w:rsidRDefault="006E45C4" w:rsidP="0013238B">
      <w:pPr>
        <w:pStyle w:val="AbstHead"/>
        <w:numPr>
          <w:ilvl w:val="0"/>
          <w:numId w:val="6"/>
        </w:numPr>
        <w:spacing w:before="120" w:after="120"/>
        <w:ind w:left="284" w:hanging="284"/>
        <w:jc w:val="both"/>
        <w:rPr>
          <w:rFonts w:ascii="Arial" w:hAnsi="Arial" w:cs="Arial"/>
          <w:sz w:val="20"/>
        </w:rPr>
      </w:pPr>
      <w:r w:rsidRPr="00677610">
        <w:rPr>
          <w:rFonts w:ascii="Arial" w:hAnsi="Arial" w:cs="Arial"/>
          <w:caps w:val="0"/>
        </w:rPr>
        <w:t>Discussion</w:t>
      </w:r>
    </w:p>
    <w:p w14:paraId="550C757A" w14:textId="77777777" w:rsidR="0013238B" w:rsidRPr="00677610" w:rsidRDefault="0013238B" w:rsidP="0013238B">
      <w:pPr>
        <w:pStyle w:val="Heading3"/>
        <w:numPr>
          <w:ilvl w:val="0"/>
          <w:numId w:val="19"/>
        </w:numPr>
        <w:tabs>
          <w:tab w:val="num" w:pos="360"/>
        </w:tabs>
        <w:spacing w:after="120" w:line="240" w:lineRule="auto"/>
        <w:ind w:left="493" w:hanging="493"/>
        <w:jc w:val="both"/>
        <w:rPr>
          <w:rFonts w:ascii="Arial" w:hAnsi="Arial" w:cs="Arial"/>
          <w:color w:val="auto"/>
          <w:sz w:val="20"/>
          <w:szCs w:val="20"/>
        </w:rPr>
      </w:pPr>
      <w:r w:rsidRPr="00677610">
        <w:rPr>
          <w:rFonts w:ascii="Arial" w:hAnsi="Arial" w:cs="Arial"/>
          <w:color w:val="auto"/>
          <w:sz w:val="20"/>
          <w:szCs w:val="20"/>
        </w:rPr>
        <w:t>Hypothesis 1 (H1: Community Motivation → Community Readiness)</w:t>
      </w:r>
    </w:p>
    <w:p w14:paraId="5A03B451" w14:textId="6B945325" w:rsidR="0013238B" w:rsidRPr="00677610" w:rsidRDefault="00045EC9" w:rsidP="00045EC9">
      <w:pPr>
        <w:spacing w:after="0" w:line="240" w:lineRule="auto"/>
        <w:ind w:firstLine="720"/>
        <w:contextualSpacing/>
        <w:jc w:val="both"/>
        <w:rPr>
          <w:rFonts w:ascii="Arial" w:hAnsi="Arial" w:cs="Arial"/>
          <w:sz w:val="20"/>
          <w:szCs w:val="20"/>
        </w:rPr>
      </w:pPr>
      <w:r w:rsidRPr="00045EC9">
        <w:rPr>
          <w:rFonts w:ascii="Arial" w:hAnsi="Arial" w:cs="Arial"/>
          <w:sz w:val="20"/>
          <w:szCs w:val="20"/>
        </w:rPr>
        <w:t>The structural model supports H1, indicating that community motivation is positively associated with community readiness (β = 0.237).</w:t>
      </w:r>
      <w:r>
        <w:rPr>
          <w:rFonts w:ascii="Arial" w:hAnsi="Arial" w:cs="Arial"/>
          <w:sz w:val="20"/>
          <w:szCs w:val="20"/>
        </w:rPr>
        <w:t xml:space="preserve"> </w:t>
      </w:r>
      <w:r w:rsidR="0013238B" w:rsidRPr="00677610">
        <w:rPr>
          <w:rFonts w:ascii="Arial" w:hAnsi="Arial" w:cs="Arial"/>
          <w:sz w:val="20"/>
          <w:szCs w:val="20"/>
        </w:rPr>
        <w:t>This indicates that when residents' motivation—reflected in existence, relatedness, and growth orientations—is elevated, the community is more inclined to mobilize collective efforts, embrace program information, and coordinate leadership and resources to leverage IKN-related infrastructure. This aligns with recent evidence in smart-city governance</w:t>
      </w:r>
      <w:r w:rsidR="00F25C56" w:rsidRPr="00677610">
        <w:rPr>
          <w:rFonts w:ascii="Arial" w:hAnsi="Arial" w:cs="Arial"/>
          <w:sz w:val="20"/>
          <w:szCs w:val="20"/>
        </w:rPr>
        <w:t>,</w:t>
      </w:r>
      <w:r w:rsidR="0013238B" w:rsidRPr="00677610">
        <w:rPr>
          <w:rFonts w:ascii="Arial" w:hAnsi="Arial" w:cs="Arial"/>
          <w:sz w:val="20"/>
          <w:szCs w:val="20"/>
        </w:rPr>
        <w:t xml:space="preserve"> indicating that program efficacy relies not solely on technology implementation but also on citizens' attitudes, perceived risks, and conditions for participation, with governance quality and inclusivity influencing the translation of initiatives into genuine engagement </w:t>
      </w:r>
      <w:r w:rsidR="0013238B" w:rsidRPr="00677610">
        <w:rPr>
          <w:rFonts w:ascii="Arial" w:hAnsi="Arial" w:cs="Arial"/>
          <w:sz w:val="20"/>
          <w:szCs w:val="20"/>
        </w:rPr>
        <w:fldChar w:fldCharType="begin" w:fldLock="1"/>
      </w:r>
      <w:r w:rsidR="00A72F9C" w:rsidRPr="00677610">
        <w:rPr>
          <w:rFonts w:ascii="Arial" w:hAnsi="Arial" w:cs="Arial"/>
          <w:sz w:val="20"/>
          <w:szCs w:val="20"/>
        </w:rPr>
        <w:instrText>ADDIN CSL_CITATION {"citationItems":[{"id":"ITEM-1","itemData":{"DOI":"10.1016/j.techsoc.2025.103130","ISSN":"0160791X","abstract":"The growing role of advanced technologies in urban life, often in the context of policy initiatives like ‘smart cities,’ is leading to social change that calls for policy attention and scholarly analysis. The academic literature has made progress incorporating social dimensions into the analysis of smart cities, but a more robust understanding is needed about social challenges specifically – including patterns of exclusion, inequality, and marginalization. This study presents the results of a scoping review and thematic analysis of academic literature that codes and categorizes accounts of social challenges related to the proliferation of smart city technologies. The cross-disciplinary sample draws on studies published since 2000, including works that provide theoretical and social context and those that capture emerging socio-political and technological trends. Results reveal a variety of social challenges associated with age, gender, race, income, citizenship status, and other personal characteristics. Results also reveal patterns in how personal attitudes, concerns about privacy, and technology skill impact the effectiveness of smart city programs. At a higher level, governance quality and power dynamics are increasingly recognized by the literature as mediators of smart cities effectiveness, encompassing issues like stakeholder collaboration, policymaking processes, and data ownership and control. This article summarizes these points in a novel framework applicable to future research, and provides practical recommendations to address social challenges in smart cities, including distributional fairness, public participation, and enhanced user capacity.","author":[{"dropping-particle":"","family":"Ghasemzadeh","given":"Behnam","non-dropping-particle":"","parse-names":false,"suffix":""},{"dropping-particle":"","family":"Rasoulzadeh Aghdam","given":"Samad","non-dropping-particle":"","parse-names":false,"suffix":""},{"dropping-particle":"","family":"Hartley","given":"Kris","non-dropping-particle":"","parse-names":false,"suffix":""},{"dropping-particle":"","family":"Bababeimorad","given":"Behnaz","non-dropping-particle":"","parse-names":false,"suffix":""},{"dropping-particle":"","family":"Rahnamayiezekavat","given":"Payam","non-dropping-particle":"","parse-names":false,"suffix":""}],"container-title":"Technology in Society","id":"ITEM-1","issue":"February 2025","issued":{"date-parts":[["2026","3"]]},"page":"103130","publisher":"Elsevier Ltd","title":"Social challenges in smart cities: a scoping review and framework for policy action","type":"article-journal","volume":"84"},"uris":["http://www.mendeley.com/documents/?uuid=cbe6aafa-db0e-4931-8669-fb520eb64bc4"]}],"mendeley":{"formattedCitation":"(Ghasemzadeh et al. 2026)","plainTextFormattedCitation":"(Ghasemzadeh et al. 2026)","previouslyFormattedCitation":"(Ghasemzadeh et al. 2026)"},"properties":{"noteIndex":0},"schema":"https://github.com/citation-style-language/schema/raw/master/csl-citation.json"}</w:instrText>
      </w:r>
      <w:r w:rsidR="0013238B" w:rsidRPr="00677610">
        <w:rPr>
          <w:rFonts w:ascii="Arial" w:hAnsi="Arial" w:cs="Arial"/>
          <w:sz w:val="20"/>
          <w:szCs w:val="20"/>
        </w:rPr>
        <w:fldChar w:fldCharType="separate"/>
      </w:r>
      <w:r w:rsidR="00A72F9C" w:rsidRPr="00677610">
        <w:rPr>
          <w:rFonts w:ascii="Arial" w:hAnsi="Arial" w:cs="Arial"/>
          <w:noProof/>
          <w:sz w:val="20"/>
          <w:szCs w:val="20"/>
        </w:rPr>
        <w:t>(Ghasemzadeh et al. 2026)</w:t>
      </w:r>
      <w:r w:rsidR="0013238B" w:rsidRPr="00677610">
        <w:rPr>
          <w:rFonts w:ascii="Arial" w:hAnsi="Arial" w:cs="Arial"/>
          <w:sz w:val="20"/>
          <w:szCs w:val="20"/>
        </w:rPr>
        <w:fldChar w:fldCharType="end"/>
      </w:r>
      <w:r w:rsidR="0013238B" w:rsidRPr="00677610">
        <w:rPr>
          <w:rFonts w:ascii="Arial" w:hAnsi="Arial" w:cs="Arial"/>
          <w:sz w:val="20"/>
          <w:szCs w:val="20"/>
        </w:rPr>
        <w:t xml:space="preserve">. </w:t>
      </w:r>
    </w:p>
    <w:p w14:paraId="5B296FF3" w14:textId="07CAD0B1" w:rsidR="0013238B" w:rsidRPr="00677610" w:rsidRDefault="0013238B" w:rsidP="0013238B">
      <w:pPr>
        <w:spacing w:after="0" w:line="240" w:lineRule="auto"/>
        <w:ind w:firstLine="720"/>
        <w:contextualSpacing/>
        <w:jc w:val="both"/>
        <w:rPr>
          <w:rFonts w:ascii="Arial" w:hAnsi="Arial" w:cs="Arial"/>
          <w:sz w:val="20"/>
          <w:szCs w:val="20"/>
        </w:rPr>
      </w:pPr>
      <w:r w:rsidRPr="00677610">
        <w:rPr>
          <w:rFonts w:ascii="Arial" w:hAnsi="Arial" w:cs="Arial"/>
          <w:sz w:val="20"/>
          <w:szCs w:val="20"/>
        </w:rPr>
        <w:t>Recent empirical research highlights a "smart governance paradox</w:t>
      </w:r>
      <w:r w:rsidR="00F25C56" w:rsidRPr="00677610">
        <w:rPr>
          <w:rFonts w:ascii="Arial" w:hAnsi="Arial" w:cs="Arial"/>
          <w:sz w:val="20"/>
          <w:szCs w:val="20"/>
        </w:rPr>
        <w:t>":</w:t>
      </w:r>
      <w:r w:rsidRPr="00677610">
        <w:rPr>
          <w:rFonts w:ascii="Arial" w:hAnsi="Arial" w:cs="Arial"/>
          <w:sz w:val="20"/>
          <w:szCs w:val="20"/>
        </w:rPr>
        <w:t xml:space="preserve"> technological progress may lead to diminished civic engagement. This underscores the necessity of aligning motivations and designing meaningful engagement to avert passive or tokenistic participation in extensive urban transformations </w:t>
      </w:r>
      <w:r w:rsidRPr="00677610">
        <w:rPr>
          <w:rFonts w:ascii="Arial" w:hAnsi="Arial" w:cs="Arial"/>
          <w:sz w:val="20"/>
          <w:szCs w:val="20"/>
        </w:rPr>
        <w:fldChar w:fldCharType="begin" w:fldLock="1"/>
      </w:r>
      <w:r w:rsidR="00A72F9C" w:rsidRPr="00677610">
        <w:rPr>
          <w:rFonts w:ascii="Arial" w:hAnsi="Arial" w:cs="Arial"/>
          <w:sz w:val="20"/>
          <w:szCs w:val="20"/>
        </w:rPr>
        <w:instrText>ADDIN CSL_CITATION {"citationItems":[{"id":"ITEM-1","itemData":{"DOI":"10.1016/j.tele.2026.102376","ISSN":"07365853","abstract":"As smart city initiatives proliferate globally, whether they genuinely foster inclusive and participatory governance remains unclear. This study examines the “smart governance paradox” by integrating macro-level evaluations of urban smartness with micro-level analyses of citizen perceptions across six large Chinese cities. At the macro level, we construct a Smart City Development Index using factor analysis and a neural network optimized by genetic algorithms. Results reveal significant regional disparities: some cities (Beijing and Shanghai) lead in smart economy, infrastructure, and innovation, while others lag in mobility and connectivity, highlighting uneven implementation capacities. At the micro level, we analyze 2021 Chinese Social Survey data using ordered logit models to examine associations between smart city development and public perceptions. Smart city development is positively associated with perceived trust, fairness, and protection, but negatively associated with civic participation—especially among younger demographics. This disconnect suggests that technological development may accompany favorable service-related perceptions while correlating with lower community engagement, potentially reflecting digital substitution and governance centralization. We propose reframing “smartness” as a socio-political construct emphasizing inclusion, responsiveness, and equity, and offer policy recommendations bridging digital efficiency with democratic engagement.","author":[{"dropping-particle":"","family":"Tang","given":"Beizhen","non-dropping-particle":"","parse-names":false,"suffix":""},{"dropping-particle":"","family":"Aldrich","given":"Daniel P.","non-dropping-particle":"","parse-names":false,"suffix":""}],"container-title":"Telematics and Informatics","id":"ITEM-1","issued":{"date-parts":[["2026","2"]]},"page":"102376","title":"The paradox of smart cities: technological advancements and the disconnection from social participation","type":"article-journal","volume":"105"},"uris":["http://www.mendeley.com/documents/?uuid=653101c2-7ea7-42f6-9bd8-5d758b988289"]}],"mendeley":{"formattedCitation":"(Tang and Aldrich 2026)","plainTextFormattedCitation":"(Tang and Aldrich 2026)","previouslyFormattedCitation":"(Tang and Aldrich 2026)"},"properties":{"noteIndex":0},"schema":"https://github.com/citation-style-language/schema/raw/master/csl-citation.json"}</w:instrText>
      </w:r>
      <w:r w:rsidRPr="00677610">
        <w:rPr>
          <w:rFonts w:ascii="Arial" w:hAnsi="Arial" w:cs="Arial"/>
          <w:sz w:val="20"/>
          <w:szCs w:val="20"/>
        </w:rPr>
        <w:fldChar w:fldCharType="separate"/>
      </w:r>
      <w:r w:rsidR="00A72F9C" w:rsidRPr="00677610">
        <w:rPr>
          <w:rFonts w:ascii="Arial" w:hAnsi="Arial" w:cs="Arial"/>
          <w:noProof/>
          <w:sz w:val="20"/>
          <w:szCs w:val="20"/>
        </w:rPr>
        <w:t>(Tang and Aldrich 2026)</w:t>
      </w:r>
      <w:r w:rsidRPr="00677610">
        <w:rPr>
          <w:rFonts w:ascii="Arial" w:hAnsi="Arial" w:cs="Arial"/>
          <w:sz w:val="20"/>
          <w:szCs w:val="20"/>
        </w:rPr>
        <w:fldChar w:fldCharType="end"/>
      </w:r>
      <w:r w:rsidRPr="00677610">
        <w:rPr>
          <w:rFonts w:ascii="Arial" w:hAnsi="Arial" w:cs="Arial"/>
          <w:sz w:val="20"/>
          <w:szCs w:val="20"/>
        </w:rPr>
        <w:t>.</w:t>
      </w:r>
    </w:p>
    <w:p w14:paraId="5FB8A607" w14:textId="77777777" w:rsidR="0013238B" w:rsidRPr="00677610" w:rsidRDefault="0013238B" w:rsidP="0013238B">
      <w:pPr>
        <w:pStyle w:val="Heading3"/>
        <w:numPr>
          <w:ilvl w:val="0"/>
          <w:numId w:val="19"/>
        </w:numPr>
        <w:tabs>
          <w:tab w:val="num" w:pos="360"/>
        </w:tabs>
        <w:spacing w:after="120" w:line="240" w:lineRule="auto"/>
        <w:ind w:left="493" w:hanging="493"/>
        <w:jc w:val="both"/>
        <w:rPr>
          <w:rFonts w:ascii="Arial" w:hAnsi="Arial" w:cs="Arial"/>
          <w:color w:val="auto"/>
          <w:sz w:val="20"/>
          <w:szCs w:val="20"/>
        </w:rPr>
      </w:pPr>
      <w:r w:rsidRPr="00677610">
        <w:rPr>
          <w:rFonts w:ascii="Arial" w:hAnsi="Arial" w:cs="Arial"/>
          <w:color w:val="auto"/>
          <w:sz w:val="20"/>
          <w:szCs w:val="20"/>
        </w:rPr>
        <w:t>Hypothesis 2 (H2: Community Education → Community Readiness)</w:t>
      </w:r>
    </w:p>
    <w:p w14:paraId="49C631D6" w14:textId="6B770F55" w:rsidR="0013238B" w:rsidRPr="00677610" w:rsidRDefault="009A10E3" w:rsidP="0013238B">
      <w:pPr>
        <w:spacing w:after="0" w:line="240" w:lineRule="auto"/>
        <w:ind w:firstLine="720"/>
        <w:contextualSpacing/>
        <w:jc w:val="both"/>
        <w:rPr>
          <w:rFonts w:ascii="Arial" w:hAnsi="Arial" w:cs="Arial"/>
          <w:sz w:val="20"/>
          <w:szCs w:val="20"/>
        </w:rPr>
      </w:pPr>
      <w:r w:rsidRPr="00F5781C">
        <w:rPr>
          <w:rFonts w:ascii="Arial" w:hAnsi="Arial" w:cs="Arial"/>
          <w:sz w:val="20"/>
          <w:szCs w:val="20"/>
          <w:highlight w:val="cyan"/>
        </w:rPr>
        <w:t xml:space="preserve">The results support H2, indicating that community education is positively associated with community readiness (β = 0.225). </w:t>
      </w:r>
      <w:r w:rsidR="000E51D1" w:rsidRPr="00F5781C">
        <w:rPr>
          <w:rFonts w:ascii="Arial" w:hAnsi="Arial" w:cs="Arial"/>
          <w:sz w:val="20"/>
          <w:szCs w:val="20"/>
          <w:highlight w:val="cyan"/>
        </w:rPr>
        <w:t xml:space="preserve">This suggests that formal and non-formal education is linked to stronger capacity among residents to comprehend policy signals, navigate public-service processes, and interpret infrastructure availability as practical opportunities. </w:t>
      </w:r>
      <w:r w:rsidR="0013238B" w:rsidRPr="00F5781C">
        <w:rPr>
          <w:rFonts w:ascii="Arial" w:hAnsi="Arial" w:cs="Arial"/>
          <w:sz w:val="20"/>
          <w:szCs w:val="20"/>
          <w:highlight w:val="cyan"/>
        </w:rPr>
        <w:t xml:space="preserve">This corresponds with contemporary work on digital governance, highlighting that exclusion may arise throughout the policy process, especially when automation and digital services impose participation barriers, necessitating intentional inclusion initiatives and capability-support systems </w:t>
      </w:r>
      <w:r w:rsidR="0013238B" w:rsidRPr="00F5781C">
        <w:rPr>
          <w:rFonts w:ascii="Arial" w:hAnsi="Arial" w:cs="Arial"/>
          <w:sz w:val="20"/>
          <w:szCs w:val="20"/>
          <w:highlight w:val="cyan"/>
        </w:rPr>
        <w:fldChar w:fldCharType="begin" w:fldLock="1"/>
      </w:r>
      <w:r w:rsidR="00A72F9C" w:rsidRPr="00F5781C">
        <w:rPr>
          <w:rFonts w:ascii="Arial" w:hAnsi="Arial" w:cs="Arial"/>
          <w:sz w:val="20"/>
          <w:szCs w:val="20"/>
          <w:highlight w:val="cyan"/>
        </w:rPr>
        <w:instrText>ADDIN CSL_CITATION {"citationItems":[{"id":"ITEM-1","itemData":{"DOI":"10.1016/j.techsoc.2025.103130","ISSN":"0160791X","abstract":"The growing role of advanced technologies in urban life, often in the context of policy initiatives like ‘smart cities,’ is leading to social change that calls for policy attention and scholarly analysis. The academic literature has made progress incorporating social dimensions into the analysis of smart cities, but a more robust understanding is needed about social challenges specifically – including patterns of exclusion, inequality, and marginalization. This study presents the results of a scoping review and thematic analysis of academic literature that codes and categorizes accounts of social challenges related to the proliferation of smart city technologies. The cross-disciplinary sample draws on studies published since 2000, including works that provide theoretical and social context and those that capture emerging socio-political and technological trends. Results reveal a variety of social challenges associated with age, gender, race, income, citizenship status, and other personal characteristics. Results also reveal patterns in how personal attitudes, concerns about privacy, and technology skill impact the effectiveness of smart city programs. At a higher level, governance quality and power dynamics are increasingly recognized by the literature as mediators of smart cities effectiveness, encompassing issues like stakeholder collaboration, policymaking processes, and data ownership and control. This article summarizes these points in a novel framework applicable to future research, and provides practical recommendations to address social challenges in smart cities, including distributional fairness, public participation, and enhanced user capacity.","author":[{"dropping-particle":"","family":"Ghasemzadeh","given":"Behnam","non-dropping-particle":"","parse-names":false,"suffix":""},{"dropping-particle":"","family":"Rasoulzadeh Aghdam","given":"Samad","non-dropping-particle":"","parse-names":false,"suffix":""},{"dropping-particle":"","family":"Hartley","given":"Kris","non-dropping-particle":"","parse-names":false,"suffix":""},{"dropping-particle":"","family":"Bababeimorad","given":"Behnaz","non-dropping-particle":"","parse-names":false,"suffix":""},{"dropping-particle":"","family":"Rahnamayiezekavat","given":"Payam","non-dropping-particle":"","parse-names":false,"suffix":""}],"container-title":"Technology in Society","id":"ITEM-1","issue":"February 2025","issued":{"date-parts":[["2026","3"]]},"page":"103130","publisher":"Elsevier Ltd","title":"Social challenges in smart cities: a scoping review and framework for policy action","type":"article-journal","volume":"84"},"uris":["http://www.mendeley.com/documents/?uuid=cbe6aafa-db0e-4931-8669-fb520eb64bc4"]}],"mendeley":{"formattedCitation":"(Ghasemzadeh et al. 2026)","plainTextFormattedCitation":"(Ghasemzadeh et al. 2026)","previouslyFormattedCitation":"(Ghasemzadeh et al. 2026)"},"properties":{"noteIndex":0},"schema":"https://github.com/citation-style-language/schema/raw/master/csl-citation.json"}</w:instrText>
      </w:r>
      <w:r w:rsidR="0013238B" w:rsidRPr="00F5781C">
        <w:rPr>
          <w:rFonts w:ascii="Arial" w:hAnsi="Arial" w:cs="Arial"/>
          <w:sz w:val="20"/>
          <w:szCs w:val="20"/>
          <w:highlight w:val="cyan"/>
        </w:rPr>
        <w:fldChar w:fldCharType="separate"/>
      </w:r>
      <w:r w:rsidR="00A72F9C" w:rsidRPr="00F5781C">
        <w:rPr>
          <w:rFonts w:ascii="Arial" w:hAnsi="Arial" w:cs="Arial"/>
          <w:noProof/>
          <w:sz w:val="20"/>
          <w:szCs w:val="20"/>
          <w:highlight w:val="cyan"/>
        </w:rPr>
        <w:t>(Ghasemzadeh et al. 2026)</w:t>
      </w:r>
      <w:r w:rsidR="0013238B" w:rsidRPr="00F5781C">
        <w:rPr>
          <w:rFonts w:ascii="Arial" w:hAnsi="Arial" w:cs="Arial"/>
          <w:sz w:val="20"/>
          <w:szCs w:val="20"/>
          <w:highlight w:val="cyan"/>
        </w:rPr>
        <w:fldChar w:fldCharType="end"/>
      </w:r>
      <w:r w:rsidR="0013238B" w:rsidRPr="00F5781C">
        <w:rPr>
          <w:rFonts w:ascii="Arial" w:hAnsi="Arial" w:cs="Arial"/>
          <w:sz w:val="20"/>
          <w:szCs w:val="20"/>
          <w:highlight w:val="cyan"/>
        </w:rPr>
        <w:t>.</w:t>
      </w:r>
      <w:r w:rsidR="0013238B" w:rsidRPr="00677610">
        <w:rPr>
          <w:rFonts w:ascii="Arial" w:hAnsi="Arial" w:cs="Arial"/>
          <w:sz w:val="20"/>
          <w:szCs w:val="20"/>
        </w:rPr>
        <w:t xml:space="preserve"> </w:t>
      </w:r>
    </w:p>
    <w:p w14:paraId="5372A9AB" w14:textId="7E801A04" w:rsidR="0013238B" w:rsidRPr="00677610" w:rsidRDefault="0013238B" w:rsidP="0013238B">
      <w:pPr>
        <w:spacing w:after="0" w:line="240" w:lineRule="auto"/>
        <w:ind w:firstLine="720"/>
        <w:contextualSpacing/>
        <w:jc w:val="both"/>
        <w:rPr>
          <w:rFonts w:ascii="Arial" w:hAnsi="Arial" w:cs="Arial"/>
          <w:sz w:val="20"/>
          <w:szCs w:val="20"/>
        </w:rPr>
      </w:pPr>
      <w:r w:rsidRPr="00677610">
        <w:rPr>
          <w:rFonts w:ascii="Arial" w:hAnsi="Arial" w:cs="Arial"/>
          <w:sz w:val="20"/>
          <w:szCs w:val="20"/>
        </w:rPr>
        <w:t xml:space="preserve">Simultaneously, research on smart-city inclusion posits that addressing the digital divide necessitates a multifaceted approach: enhancement of infrastructure, educational and skill development initiatives, and governance methods that are inclusive and adapted to local socioeconomic contexts </w:t>
      </w:r>
      <w:r w:rsidRPr="00677610">
        <w:rPr>
          <w:rFonts w:ascii="Arial" w:hAnsi="Arial" w:cs="Arial"/>
          <w:sz w:val="20"/>
          <w:szCs w:val="20"/>
        </w:rPr>
        <w:fldChar w:fldCharType="begin" w:fldLock="1"/>
      </w:r>
      <w:r w:rsidR="00A72F9C" w:rsidRPr="00677610">
        <w:rPr>
          <w:rFonts w:ascii="Arial" w:hAnsi="Arial" w:cs="Arial"/>
          <w:sz w:val="20"/>
          <w:szCs w:val="20"/>
        </w:rPr>
        <w:instrText>ADDIN CSL_CITATION {"citationItems":[{"id":"ITEM-1","itemData":{"DOI":"10.3390/su17135735","ISSN":"2071-1050","abstract":"The current research examines the issue of social inclusivity in the context of digitalization of smart city governance and explores ways to overcome the digital divide, which impedes equal access to online services for vulnerable population groups (elderly people, people with disabilities, low-income individuals, and residents of remote areas). Based on a literature review, the study outlines three generations of the digital divide: access, digital skills, and the ability to derive socio-economic benefits. A methodology is proposed that combines cluster analysis of 27 European cities using 11 integrated indicators, aimed at identifying typical development profiles while accounting for infrastructure, air quality, and levels of digital literacy. The results revealed four clusters: “Digital Leaders with Environmental Awareness”, “Mid-Level Cities with Development Potential”, “Opportunities with Environmental Challenges”, and “Advanced Digital Hubs with High Quality of Life”. The study confirms the hypothesis regarding the effectiveness of a comprehensive approach that integrates infrastructure investment, educational programs, and inclusive planning. The article’s conclusions emphasize the need to apply universal design principles, subsidize internet access, and regularly monitor digital inclusion indices to achieve SDGs 11 and 16.","author":[{"dropping-particle":"","family":"Kruhlov","given":"Vitalii","non-dropping-particle":"","parse-names":false,"suffix":""},{"dropping-particle":"","family":"Dvorak","given":"Jaroslav","non-dropping-particle":"","parse-names":false,"suffix":""}],"container-title":"Sustainability","id":"ITEM-1","issue":"13","issued":{"date-parts":[["2025","6","22"]]},"page":"5735","title":"Social Inclusivity in the Smart City Governance: Overcoming the Digital Divide","type":"article-journal","volume":"17"},"uris":["http://www.mendeley.com/documents/?uuid=a351fd90-fb26-4c00-be09-52a8d4b9b9d8"]}],"mendeley":{"formattedCitation":"(Kruhlov and Dvorak 2025)","plainTextFormattedCitation":"(Kruhlov and Dvorak 2025)","previouslyFormattedCitation":"(Kruhlov and Dvorak 2025)"},"properties":{"noteIndex":0},"schema":"https://github.com/citation-style-language/schema/raw/master/csl-citation.json"}</w:instrText>
      </w:r>
      <w:r w:rsidRPr="00677610">
        <w:rPr>
          <w:rFonts w:ascii="Arial" w:hAnsi="Arial" w:cs="Arial"/>
          <w:sz w:val="20"/>
          <w:szCs w:val="20"/>
        </w:rPr>
        <w:fldChar w:fldCharType="separate"/>
      </w:r>
      <w:r w:rsidR="00A72F9C" w:rsidRPr="00677610">
        <w:rPr>
          <w:rFonts w:ascii="Arial" w:hAnsi="Arial" w:cs="Arial"/>
          <w:noProof/>
          <w:sz w:val="20"/>
          <w:szCs w:val="20"/>
        </w:rPr>
        <w:t>(Kruhlov and Dvorak 2025)</w:t>
      </w:r>
      <w:r w:rsidRPr="00677610">
        <w:rPr>
          <w:rFonts w:ascii="Arial" w:hAnsi="Arial" w:cs="Arial"/>
          <w:sz w:val="20"/>
          <w:szCs w:val="20"/>
        </w:rPr>
        <w:fldChar w:fldCharType="end"/>
      </w:r>
      <w:r w:rsidRPr="00677610">
        <w:rPr>
          <w:rFonts w:ascii="Arial" w:hAnsi="Arial" w:cs="Arial"/>
          <w:sz w:val="20"/>
          <w:szCs w:val="20"/>
        </w:rPr>
        <w:t>.</w:t>
      </w:r>
    </w:p>
    <w:p w14:paraId="70E3F789" w14:textId="77777777" w:rsidR="0013238B" w:rsidRPr="00677610" w:rsidRDefault="0013238B" w:rsidP="0013238B">
      <w:pPr>
        <w:pStyle w:val="Heading3"/>
        <w:numPr>
          <w:ilvl w:val="0"/>
          <w:numId w:val="19"/>
        </w:numPr>
        <w:tabs>
          <w:tab w:val="num" w:pos="360"/>
        </w:tabs>
        <w:spacing w:after="120" w:line="240" w:lineRule="auto"/>
        <w:ind w:left="493" w:hanging="493"/>
        <w:jc w:val="both"/>
        <w:rPr>
          <w:rFonts w:ascii="Arial" w:hAnsi="Arial" w:cs="Arial"/>
          <w:color w:val="auto"/>
          <w:sz w:val="20"/>
          <w:szCs w:val="20"/>
        </w:rPr>
      </w:pPr>
      <w:r w:rsidRPr="00677610">
        <w:rPr>
          <w:rFonts w:ascii="Arial" w:hAnsi="Arial" w:cs="Arial"/>
          <w:color w:val="auto"/>
          <w:sz w:val="20"/>
          <w:szCs w:val="20"/>
        </w:rPr>
        <w:t>Hypothesis 3 (H3: Community Skills → Community Readiness)</w:t>
      </w:r>
    </w:p>
    <w:p w14:paraId="749C2A9E" w14:textId="55183E69" w:rsidR="0013238B" w:rsidRPr="00677610" w:rsidRDefault="00C56410" w:rsidP="0013238B">
      <w:pPr>
        <w:spacing w:after="0" w:line="240" w:lineRule="auto"/>
        <w:ind w:firstLine="720"/>
        <w:contextualSpacing/>
        <w:jc w:val="both"/>
        <w:rPr>
          <w:rStyle w:val="Strong"/>
          <w:rFonts w:ascii="Arial" w:hAnsi="Arial" w:cs="Arial"/>
          <w:b w:val="0"/>
          <w:bCs w:val="0"/>
          <w:sz w:val="20"/>
          <w:szCs w:val="20"/>
        </w:rPr>
      </w:pPr>
      <w:r w:rsidRPr="00C56410">
        <w:rPr>
          <w:rStyle w:val="Strong"/>
          <w:rFonts w:ascii="Arial" w:hAnsi="Arial" w:cs="Arial"/>
          <w:b w:val="0"/>
          <w:bCs w:val="0"/>
          <w:sz w:val="20"/>
          <w:szCs w:val="20"/>
        </w:rPr>
        <w:t>The findings support H3, showing that community skills are positively associated with community readiness for utilizing IKN-related infrastructure (β = 0.310).</w:t>
      </w:r>
      <w:r>
        <w:rPr>
          <w:rStyle w:val="Strong"/>
          <w:rFonts w:ascii="Arial" w:hAnsi="Arial" w:cs="Arial"/>
          <w:b w:val="0"/>
          <w:bCs w:val="0"/>
          <w:sz w:val="20"/>
          <w:szCs w:val="20"/>
        </w:rPr>
        <w:t xml:space="preserve"> </w:t>
      </w:r>
      <w:r w:rsidR="00F5781C" w:rsidRPr="00B52549">
        <w:rPr>
          <w:rStyle w:val="Strong"/>
          <w:rFonts w:ascii="Arial" w:hAnsi="Arial" w:cs="Arial"/>
          <w:b w:val="0"/>
          <w:bCs w:val="0"/>
          <w:sz w:val="20"/>
          <w:szCs w:val="20"/>
          <w:highlight w:val="cyan"/>
        </w:rPr>
        <w:t>This indicates that fundamental literacy, technical proficiency, and problem-solving skills appear to function as facilitators that may reduce operational obstacles when citizens seek information, understand procedures, and use technology-mediated services.</w:t>
      </w:r>
      <w:r w:rsidR="00F5781C">
        <w:rPr>
          <w:rStyle w:val="Strong"/>
          <w:rFonts w:ascii="Arial" w:hAnsi="Arial" w:cs="Arial"/>
          <w:b w:val="0"/>
          <w:bCs w:val="0"/>
          <w:sz w:val="20"/>
          <w:szCs w:val="20"/>
        </w:rPr>
        <w:t xml:space="preserve"> </w:t>
      </w:r>
      <w:r w:rsidR="0013238B" w:rsidRPr="00677610">
        <w:rPr>
          <w:rStyle w:val="Strong"/>
          <w:rFonts w:ascii="Arial" w:hAnsi="Arial" w:cs="Arial"/>
          <w:b w:val="0"/>
          <w:bCs w:val="0"/>
          <w:sz w:val="20"/>
          <w:szCs w:val="20"/>
        </w:rPr>
        <w:t xml:space="preserve">Recent findings from e-government research indicate that ICT/e-skills are a crucial factor in the effective usage of e-government and are essential to current theories of the "digital divide," </w:t>
      </w:r>
      <w:r w:rsidR="0013238B" w:rsidRPr="00677610">
        <w:rPr>
          <w:rStyle w:val="Strong"/>
          <w:rFonts w:ascii="Arial" w:hAnsi="Arial" w:cs="Arial"/>
          <w:b w:val="0"/>
          <w:bCs w:val="0"/>
          <w:sz w:val="20"/>
          <w:szCs w:val="20"/>
        </w:rPr>
        <w:lastRenderedPageBreak/>
        <w:t xml:space="preserve">suggesting that disparities in abilities might lead to unequal participation and utilization outcomes </w:t>
      </w:r>
      <w:r w:rsidR="0013238B" w:rsidRPr="00677610">
        <w:rPr>
          <w:rStyle w:val="Strong"/>
          <w:rFonts w:ascii="Arial" w:hAnsi="Arial" w:cs="Arial"/>
          <w:b w:val="0"/>
          <w:bCs w:val="0"/>
          <w:sz w:val="20"/>
          <w:szCs w:val="20"/>
        </w:rPr>
        <w:fldChar w:fldCharType="begin" w:fldLock="1"/>
      </w:r>
      <w:r w:rsidR="00A72F9C" w:rsidRPr="00677610">
        <w:rPr>
          <w:rStyle w:val="Strong"/>
          <w:rFonts w:ascii="Arial" w:hAnsi="Arial" w:cs="Arial"/>
          <w:b w:val="0"/>
          <w:bCs w:val="0"/>
          <w:sz w:val="20"/>
          <w:szCs w:val="20"/>
        </w:rPr>
        <w:instrText>ADDIN CSL_CITATION {"citationItems":[{"id":"ITEM-1","itemData":{"DOI":"10.1016/j.telpol.2025.102918","ISSN":"03085961","abstract":"This paper examines the factors that determine the use of e-government services in Spain. It identifies key determinants, including e-services usage synergies, e-trust, e-skills and socio-demographic determinants of e-government use as an outcome of a logit model with national data from 2023. The main results highlight the key role of ICT skills, confidence in technology and the quality of Internet connectivity, revealing significant disparities between socio-economic groups. Meanwhile, it explores the second and third levels of the digital divide, with a special focus on the information and ICT domain and its effective application, analysing the penetration and main uses of e-government in Spain. Policy recommendations call for the enhancement of digital literacy, the fostering of trust in e-government and the improvement of Internet access for vulnerable populations to promote inclusive digital governance.","author":[{"dropping-particle":"","family":"Gijón","given":"Covadonga","non-dropping-particle":"","parse-names":false,"suffix":""},{"dropping-particle":"","family":"Fernández-Bonilla","given":"Fernando","non-dropping-particle":"","parse-names":false,"suffix":""},{"dropping-particle":"","family":"Ruíz-Rúa","given":"Aurora","non-dropping-particle":"","parse-names":false,"suffix":""}],"container-title":"Telecommunications Policy","id":"ITEM-1","issue":"3","issued":{"date-parts":[["2025","4"]]},"page":"102918","title":"Different approaches to Spanish e-government: From use to impact","type":"article-journal","volume":"49"},"uris":["http://www.mendeley.com/documents/?uuid=144ddf2a-0af4-492d-bd61-4f74ed1b9f30"]}],"mendeley":{"formattedCitation":"(Gijón, Fernández-Bonilla, and Ruíz-Rúa 2025)","plainTextFormattedCitation":"(Gijón, Fernández-Bonilla, and Ruíz-Rúa 2025)","previouslyFormattedCitation":"(Gijón, Fernández-Bonilla, and Ruíz-Rúa 2025)"},"properties":{"noteIndex":0},"schema":"https://github.com/citation-style-language/schema/raw/master/csl-citation.json"}</w:instrText>
      </w:r>
      <w:r w:rsidR="0013238B" w:rsidRPr="00677610">
        <w:rPr>
          <w:rStyle w:val="Strong"/>
          <w:rFonts w:ascii="Arial" w:hAnsi="Arial" w:cs="Arial"/>
          <w:b w:val="0"/>
          <w:bCs w:val="0"/>
          <w:sz w:val="20"/>
          <w:szCs w:val="20"/>
        </w:rPr>
        <w:fldChar w:fldCharType="separate"/>
      </w:r>
      <w:r w:rsidR="00A72F9C" w:rsidRPr="00677610">
        <w:rPr>
          <w:rStyle w:val="Strong"/>
          <w:rFonts w:ascii="Arial" w:hAnsi="Arial" w:cs="Arial"/>
          <w:b w:val="0"/>
          <w:bCs w:val="0"/>
          <w:noProof/>
          <w:sz w:val="20"/>
          <w:szCs w:val="20"/>
        </w:rPr>
        <w:t>(Gijón, Fernández-Bonilla, and Ruíz-Rúa 2025)</w:t>
      </w:r>
      <w:r w:rsidR="0013238B" w:rsidRPr="00677610">
        <w:rPr>
          <w:rStyle w:val="Strong"/>
          <w:rFonts w:ascii="Arial" w:hAnsi="Arial" w:cs="Arial"/>
          <w:b w:val="0"/>
          <w:bCs w:val="0"/>
          <w:sz w:val="20"/>
          <w:szCs w:val="20"/>
        </w:rPr>
        <w:fldChar w:fldCharType="end"/>
      </w:r>
      <w:r w:rsidR="0013238B" w:rsidRPr="00677610">
        <w:rPr>
          <w:rStyle w:val="Strong"/>
          <w:rFonts w:ascii="Arial" w:hAnsi="Arial" w:cs="Arial"/>
          <w:b w:val="0"/>
          <w:bCs w:val="0"/>
          <w:sz w:val="20"/>
          <w:szCs w:val="20"/>
        </w:rPr>
        <w:t xml:space="preserve">. Furthermore, the digital government study underscores that automation may lead to exclusion throughout policy phases unless inclusion mechanisms specifically tackle citizens' capability limitations, hence highlighting the importance of skills as a fundamental readiness element </w:t>
      </w:r>
      <w:r w:rsidR="0013238B" w:rsidRPr="00677610">
        <w:rPr>
          <w:rStyle w:val="Strong"/>
          <w:rFonts w:ascii="Arial" w:hAnsi="Arial" w:cs="Arial"/>
          <w:b w:val="0"/>
          <w:bCs w:val="0"/>
          <w:sz w:val="20"/>
          <w:szCs w:val="20"/>
        </w:rPr>
        <w:fldChar w:fldCharType="begin" w:fldLock="1"/>
      </w:r>
      <w:r w:rsidR="00D547F6" w:rsidRPr="00677610">
        <w:rPr>
          <w:rStyle w:val="Strong"/>
          <w:rFonts w:ascii="Arial" w:hAnsi="Arial" w:cs="Arial"/>
          <w:b w:val="0"/>
          <w:bCs w:val="0"/>
          <w:sz w:val="20"/>
          <w:szCs w:val="20"/>
        </w:rPr>
        <w:instrText>ADDIN CSL_CITATION {"citationItems":[{"id":"ITEM-1","itemData":{"DOI":"10.1016/j.giq.2025.102028","ISSN":"0740624X","abstract":"The idea of ‘digital government inclusion’ – which builds upon notions of digital and social equity – implies that every person is equally able to participate in and benefit from digital government applications and procedures. In this article, through a policy stages lens, we explore aspects of government automation that complicate various dimensions of equity and inclusion as well as propose mitigating mechanisms that can improve digital government equity and inclusion. For a broader understanding of digital government inclusion, we start with a historical exploration of how data collection and digital government are inherently intertwined with notions of (statistical) normality. We then identify key findings from the broader literature and the articles included in GIQ's special issue on digital government inclusion that point to challenges as well as some potential tools to confront these issues.","author":[{"dropping-particle":"","family":"Peeters","given":"Rik","non-dropping-particle":"","parse-names":false,"suffix":""},{"dropping-particle":"","family":"Miller","given":"Susan M.","non-dropping-particle":"","parse-names":false,"suffix":""},{"dropping-particle":"","family":"Schuilenburg","given":"Marc","non-dropping-particle":"","parse-names":false,"suffix":""}],"container-title":"Government Information Quarterly","id":"ITEM-1","issue":"2","issued":{"date-parts":[["2025"]]},"page":"102028","publisher":"Elsevier Inc.","title":"Digital government inclusion: Exploring strategies for inclusive government automation","type":"article-journal","volume":"42"},"uris":["http://www.mendeley.com/documents/?uuid=f7db0975-5f19-4799-a7aa-0c5a1f9c1f5c"]}],"mendeley":{"formattedCitation":"(Peeters, Miller, and Schuilenburg 2025)","plainTextFormattedCitation":"(Peeters, Miller, and Schuilenburg 2025)","previouslyFormattedCitation":"(Peeters, Miller, and Schuilenburg 2025)"},"properties":{"noteIndex":0},"schema":"https://github.com/citation-style-language/schema/raw/master/csl-citation.json"}</w:instrText>
      </w:r>
      <w:r w:rsidR="0013238B" w:rsidRPr="00677610">
        <w:rPr>
          <w:rStyle w:val="Strong"/>
          <w:rFonts w:ascii="Arial" w:hAnsi="Arial" w:cs="Arial"/>
          <w:b w:val="0"/>
          <w:bCs w:val="0"/>
          <w:sz w:val="20"/>
          <w:szCs w:val="20"/>
        </w:rPr>
        <w:fldChar w:fldCharType="separate"/>
      </w:r>
      <w:r w:rsidR="00D547F6" w:rsidRPr="00677610">
        <w:rPr>
          <w:rStyle w:val="Strong"/>
          <w:rFonts w:ascii="Arial" w:hAnsi="Arial" w:cs="Arial"/>
          <w:b w:val="0"/>
          <w:bCs w:val="0"/>
          <w:noProof/>
          <w:sz w:val="20"/>
          <w:szCs w:val="20"/>
        </w:rPr>
        <w:t>(Peeters, Miller, and Schuilenburg 2025)</w:t>
      </w:r>
      <w:r w:rsidR="0013238B" w:rsidRPr="00677610">
        <w:rPr>
          <w:rStyle w:val="Strong"/>
          <w:rFonts w:ascii="Arial" w:hAnsi="Arial" w:cs="Arial"/>
          <w:b w:val="0"/>
          <w:bCs w:val="0"/>
          <w:sz w:val="20"/>
          <w:szCs w:val="20"/>
        </w:rPr>
        <w:fldChar w:fldCharType="end"/>
      </w:r>
      <w:r w:rsidR="0013238B" w:rsidRPr="00677610">
        <w:rPr>
          <w:rStyle w:val="Strong"/>
          <w:rFonts w:ascii="Arial" w:hAnsi="Arial" w:cs="Arial"/>
          <w:b w:val="0"/>
          <w:bCs w:val="0"/>
          <w:sz w:val="20"/>
          <w:szCs w:val="20"/>
        </w:rPr>
        <w:t xml:space="preserve">. Smart-city literature emphasizes user capacity as a fundamental social obstacle influencing participation and fairness, asserting that urban digital participation necessitates not only platforms but also residents' proficiency in engaging with data-driven practices and post-participation procedures </w:t>
      </w:r>
      <w:r w:rsidR="0013238B" w:rsidRPr="00677610">
        <w:rPr>
          <w:rStyle w:val="Strong"/>
          <w:rFonts w:ascii="Arial" w:hAnsi="Arial" w:cs="Arial"/>
          <w:b w:val="0"/>
          <w:bCs w:val="0"/>
          <w:sz w:val="20"/>
          <w:szCs w:val="20"/>
        </w:rPr>
        <w:fldChar w:fldCharType="begin" w:fldLock="1"/>
      </w:r>
      <w:r w:rsidR="00A72F9C" w:rsidRPr="00677610">
        <w:rPr>
          <w:rStyle w:val="Strong"/>
          <w:rFonts w:ascii="Arial" w:hAnsi="Arial" w:cs="Arial"/>
          <w:b w:val="0"/>
          <w:bCs w:val="0"/>
          <w:sz w:val="20"/>
          <w:szCs w:val="20"/>
        </w:rPr>
        <w:instrText>ADDIN CSL_CITATION {"citationItems":[{"id":"ITEM-1","itemData":{"DOI":"10.1016/j.techsoc.2025.103130","ISSN":"0160791X","abstract":"The growing role of advanced technologies in urban life, often in the context of policy initiatives like ‘smart cities,’ is leading to social change that calls for policy attention and scholarly analysis. The academic literature has made progress incorporating social dimensions into the analysis of smart cities, but a more robust understanding is needed about social challenges specifically – including patterns of exclusion, inequality, and marginalization. This study presents the results of a scoping review and thematic analysis of academic literature that codes and categorizes accounts of social challenges related to the proliferation of smart city technologies. The cross-disciplinary sample draws on studies published since 2000, including works that provide theoretical and social context and those that capture emerging socio-political and technological trends. Results reveal a variety of social challenges associated with age, gender, race, income, citizenship status, and other personal characteristics. Results also reveal patterns in how personal attitudes, concerns about privacy, and technology skill impact the effectiveness of smart city programs. At a higher level, governance quality and power dynamics are increasingly recognized by the literature as mediators of smart cities effectiveness, encompassing issues like stakeholder collaboration, policymaking processes, and data ownership and control. This article summarizes these points in a novel framework applicable to future research, and provides practical recommendations to address social challenges in smart cities, including distributional fairness, public participation, and enhanced user capacity.","author":[{"dropping-particle":"","family":"Ghasemzadeh","given":"Behnam","non-dropping-particle":"","parse-names":false,"suffix":""},{"dropping-particle":"","family":"Rasoulzadeh Aghdam","given":"Samad","non-dropping-particle":"","parse-names":false,"suffix":""},{"dropping-particle":"","family":"Hartley","given":"Kris","non-dropping-particle":"","parse-names":false,"suffix":""},{"dropping-particle":"","family":"Bababeimorad","given":"Behnaz","non-dropping-particle":"","parse-names":false,"suffix":""},{"dropping-particle":"","family":"Rahnamayiezekavat","given":"Payam","non-dropping-particle":"","parse-names":false,"suffix":""}],"container-title":"Technology in Society","id":"ITEM-1","issue":"February 2025","issued":{"date-parts":[["2026","3"]]},"page":"103130","publisher":"Elsevier Ltd","title":"Social challenges in smart cities: a scoping review and framework for policy action","type":"article-journal","volume":"84"},"uris":["http://www.mendeley.com/documents/?uuid=cbe6aafa-db0e-4931-8669-fb520eb64bc4"]}],"mendeley":{"formattedCitation":"(Ghasemzadeh et al. 2026)","plainTextFormattedCitation":"(Ghasemzadeh et al. 2026)","previouslyFormattedCitation":"(Ghasemzadeh et al. 2026)"},"properties":{"noteIndex":0},"schema":"https://github.com/citation-style-language/schema/raw/master/csl-citation.json"}</w:instrText>
      </w:r>
      <w:r w:rsidR="0013238B" w:rsidRPr="00677610">
        <w:rPr>
          <w:rStyle w:val="Strong"/>
          <w:rFonts w:ascii="Arial" w:hAnsi="Arial" w:cs="Arial"/>
          <w:b w:val="0"/>
          <w:bCs w:val="0"/>
          <w:sz w:val="20"/>
          <w:szCs w:val="20"/>
        </w:rPr>
        <w:fldChar w:fldCharType="separate"/>
      </w:r>
      <w:r w:rsidR="00A72F9C" w:rsidRPr="00677610">
        <w:rPr>
          <w:rStyle w:val="Strong"/>
          <w:rFonts w:ascii="Arial" w:hAnsi="Arial" w:cs="Arial"/>
          <w:b w:val="0"/>
          <w:bCs w:val="0"/>
          <w:noProof/>
          <w:sz w:val="20"/>
          <w:szCs w:val="20"/>
        </w:rPr>
        <w:t>(Ghasemzadeh et al. 2026)</w:t>
      </w:r>
      <w:r w:rsidR="0013238B" w:rsidRPr="00677610">
        <w:rPr>
          <w:rStyle w:val="Strong"/>
          <w:rFonts w:ascii="Arial" w:hAnsi="Arial" w:cs="Arial"/>
          <w:b w:val="0"/>
          <w:bCs w:val="0"/>
          <w:sz w:val="20"/>
          <w:szCs w:val="20"/>
        </w:rPr>
        <w:fldChar w:fldCharType="end"/>
      </w:r>
      <w:r w:rsidR="0013238B" w:rsidRPr="00677610">
        <w:rPr>
          <w:rStyle w:val="Strong"/>
          <w:rFonts w:ascii="Arial" w:hAnsi="Arial" w:cs="Arial"/>
          <w:b w:val="0"/>
          <w:bCs w:val="0"/>
          <w:sz w:val="20"/>
          <w:szCs w:val="20"/>
        </w:rPr>
        <w:t xml:space="preserve">. Consequently, within the IKN framework, skill-building initiatives </w:t>
      </w:r>
      <w:r w:rsidR="00F25C56" w:rsidRPr="00677610">
        <w:rPr>
          <w:rStyle w:val="Strong"/>
          <w:rFonts w:ascii="Arial" w:hAnsi="Arial" w:cs="Arial"/>
          <w:b w:val="0"/>
          <w:bCs w:val="0"/>
          <w:sz w:val="20"/>
          <w:szCs w:val="20"/>
        </w:rPr>
        <w:t>should be formulated as practical, use-case-focused programs (e.g., service navigation, digital transaction procedures, and problem-solving exercises) to ensure</w:t>
      </w:r>
      <w:r w:rsidR="0013238B" w:rsidRPr="00677610">
        <w:rPr>
          <w:rStyle w:val="Strong"/>
          <w:rFonts w:ascii="Arial" w:hAnsi="Arial" w:cs="Arial"/>
          <w:b w:val="0"/>
          <w:bCs w:val="0"/>
          <w:sz w:val="20"/>
          <w:szCs w:val="20"/>
        </w:rPr>
        <w:t xml:space="preserve"> that infrastructure accessibility translates into inclusive and enduring community engagement. </w:t>
      </w:r>
    </w:p>
    <w:p w14:paraId="7A0DF2C5" w14:textId="77777777" w:rsidR="00BC1643" w:rsidRPr="00677610" w:rsidRDefault="00BC1643" w:rsidP="0013238B">
      <w:pPr>
        <w:spacing w:after="0" w:line="240" w:lineRule="auto"/>
        <w:ind w:firstLine="720"/>
        <w:contextualSpacing/>
        <w:jc w:val="both"/>
        <w:rPr>
          <w:rStyle w:val="Strong"/>
          <w:rFonts w:ascii="Arial" w:hAnsi="Arial" w:cs="Arial"/>
          <w:b w:val="0"/>
          <w:bCs w:val="0"/>
          <w:sz w:val="20"/>
          <w:szCs w:val="20"/>
        </w:rPr>
      </w:pPr>
    </w:p>
    <w:p w14:paraId="261BE650" w14:textId="77777777" w:rsidR="0013238B" w:rsidRPr="00677610" w:rsidRDefault="0013238B" w:rsidP="0013238B">
      <w:pPr>
        <w:pStyle w:val="Heading3"/>
        <w:numPr>
          <w:ilvl w:val="0"/>
          <w:numId w:val="19"/>
        </w:numPr>
        <w:tabs>
          <w:tab w:val="num" w:pos="360"/>
        </w:tabs>
        <w:spacing w:after="120" w:line="240" w:lineRule="auto"/>
        <w:ind w:left="493" w:hanging="493"/>
        <w:jc w:val="both"/>
        <w:rPr>
          <w:rFonts w:ascii="Arial" w:hAnsi="Arial" w:cs="Arial"/>
          <w:b w:val="0"/>
          <w:bCs/>
          <w:color w:val="auto"/>
          <w:sz w:val="20"/>
          <w:szCs w:val="20"/>
        </w:rPr>
      </w:pPr>
      <w:r w:rsidRPr="00677610">
        <w:rPr>
          <w:rFonts w:ascii="Arial" w:hAnsi="Arial" w:cs="Arial"/>
          <w:color w:val="auto"/>
          <w:sz w:val="20"/>
          <w:szCs w:val="20"/>
        </w:rPr>
        <w:t>Integrated Interpretation and Theoretical Contribution</w:t>
      </w:r>
    </w:p>
    <w:p w14:paraId="54C34A8F" w14:textId="23DC24FB" w:rsidR="007533C6" w:rsidRPr="007533C6" w:rsidRDefault="007533C6" w:rsidP="00BC1643">
      <w:pPr>
        <w:spacing w:after="0" w:line="240" w:lineRule="auto"/>
        <w:ind w:firstLine="720"/>
        <w:contextualSpacing/>
        <w:jc w:val="both"/>
        <w:rPr>
          <w:rFonts w:ascii="Arial" w:hAnsi="Arial" w:cs="Arial"/>
          <w:sz w:val="20"/>
          <w:szCs w:val="20"/>
          <w:highlight w:val="yellow"/>
        </w:rPr>
      </w:pPr>
      <w:r w:rsidRPr="007533C6">
        <w:rPr>
          <w:rFonts w:ascii="Arial" w:hAnsi="Arial" w:cs="Arial"/>
          <w:sz w:val="20"/>
          <w:szCs w:val="20"/>
          <w:highlight w:val="yellow"/>
        </w:rPr>
        <w:t xml:space="preserve">From a methodological perspective, the structural findings should be interpreted by distinguishing measurement adequacy from structural effect magnitude. The construct reliability results indicate acceptable internal consistency rather than exceptionally high redundancy among indicators, which is appropriate for preserving the conceptual breadth of multidimensional social constructs. At the same time, the standardized path coefficients indicate that the latent constructs remain substantively related to community readiness. Thus, the measurement model provides sufficient reliability for inference, while the structural model captures the relative strength of the theoretical relationships among the constructs </w:t>
      </w:r>
      <w:r w:rsidRPr="00677610">
        <w:rPr>
          <w:rFonts w:ascii="Arial" w:hAnsi="Arial" w:cs="Arial"/>
          <w:sz w:val="20"/>
          <w:szCs w:val="20"/>
          <w:highlight w:val="yellow"/>
        </w:rPr>
        <w:fldChar w:fldCharType="begin" w:fldLock="1"/>
      </w:r>
      <w:r w:rsidRPr="00677610">
        <w:rPr>
          <w:rFonts w:ascii="Arial" w:hAnsi="Arial" w:cs="Arial"/>
          <w:sz w:val="20"/>
          <w:szCs w:val="20"/>
          <w:highlight w:val="yellow"/>
        </w:rPr>
        <w:instrText>ADDIN CSL_CITATION {"citationItems":[{"id":"ITEM-1","itemData":{"ISBN":"978-1-4737-5654-0","ISSN":"0921-5077","abstract":"Meer dan 25 jaar geleden verscheen de eerste editie van dit toegepaste handboek over multivariate data-analyse. Deze zesde editie is dan ook een update van zijn voorgangers, maar kent een aantal opmerkelijke verbeteringen, zoals een nieuwe database om allerlei technieken te oefenen, handige gebruiksregels voor de toepassing en interpretatie van technieken, en als klap op de vuurpijl maar liefst drie nieuwe hoofdstukken over covariantie-structuuranalyse.","author":[{"dropping-particle":"","family":"Hair at al.","given":"","non-dropping-particle":"","parse-names":false,"suffix":""}],"container-title":"Annabel Ainscow","id":"ITEM-1","issue":"3","issued":{"date-parts":[["2019","9","1"]]},"title":"Multivariate Data Analysis (Sixth Edition)","type":"book","volume":"19"},"uris":["http://www.mendeley.com/documents/?uuid=50c8c6c4-a217-475e-9b5e-858c5a1888b2"]},{"id":"ITEM-2","itemData":{"ISBN":"9781462523344","ISSN":"1927-9825","abstract":"This bestselling text provides a balance between the technical and practical aspects of structural equation modeling (SEM). Using clear and accessible language, Rex B. Kline covers core techniques, potential pitfalls, and applications across the behavioral and social sciences. Some more advanced topics are also covered, including estimation of interactive effects of latent variables and multilevel SEM. The companion Web page offers downloadable syntax, data, and output files for each detailed example for EQS, LISREL, and Mplus, allowing readers to view the results of the same analysis generated by three different computer tools. New to This Edition Thoroughly revised and restructured to follow the phases of most SEM analyses. Syntax, data, and output files for all detailed research examples are now provided online. Exercises with answers, which support self-study. Topic boxes on specialized issues, such as dealing with problems in the analysis; the assessment of construct measurement reliability; and more. Updated coverage of a more rigorous approach to hypothesis and model testing; the evaluation of measurement invariance; and more.","author":[{"dropping-particle":"","family":"R.B. Kline","given":"","non-dropping-particle":"","parse-names":false,"suffix":""}],"container-title":"thE GuiLFord PrESS new York London","id":"ITEM-2","issue":"1","issued":{"date-parts":[["2016","7","12"]]},"number-of-pages":"59","title":"Principles and Practice of Structural Equation Modeling","type":"book","volume":"1"},"uris":["http://www.mendeley.com/documents/?uuid=2d907137-4a37-4fca-8200-b5a7eb63a4e3"]}],"mendeley":{"formattedCitation":"(Hair at al. 2019; R.B. Kline 2016)","plainTextFormattedCitation":"(Hair at al. 2019; R.B. Kline 2016)","previouslyFormattedCitation":"(Hair at al. 2019; R.B. Kline 2016)"},"properties":{"noteIndex":0},"schema":"https://github.com/citation-style-language/schema/raw/master/csl-citation.json"}</w:instrText>
      </w:r>
      <w:r w:rsidRPr="00677610">
        <w:rPr>
          <w:rFonts w:ascii="Arial" w:hAnsi="Arial" w:cs="Arial"/>
          <w:sz w:val="20"/>
          <w:szCs w:val="20"/>
          <w:highlight w:val="yellow"/>
        </w:rPr>
        <w:fldChar w:fldCharType="separate"/>
      </w:r>
      <w:r w:rsidRPr="00677610">
        <w:rPr>
          <w:rFonts w:ascii="Arial" w:hAnsi="Arial" w:cs="Arial"/>
          <w:sz w:val="20"/>
          <w:szCs w:val="20"/>
          <w:highlight w:val="yellow"/>
        </w:rPr>
        <w:t>(Hair at al. 2019; R.B. Kline 2016)</w:t>
      </w:r>
      <w:r w:rsidRPr="00677610">
        <w:rPr>
          <w:rFonts w:ascii="Arial" w:hAnsi="Arial" w:cs="Arial"/>
          <w:sz w:val="20"/>
          <w:szCs w:val="20"/>
          <w:highlight w:val="yellow"/>
        </w:rPr>
        <w:fldChar w:fldCharType="end"/>
      </w:r>
      <w:r w:rsidRPr="00677610">
        <w:rPr>
          <w:rFonts w:ascii="Arial" w:hAnsi="Arial" w:cs="Arial"/>
          <w:sz w:val="20"/>
          <w:szCs w:val="20"/>
          <w:highlight w:val="yellow"/>
        </w:rPr>
        <w:t>.</w:t>
      </w:r>
    </w:p>
    <w:p w14:paraId="631024B1" w14:textId="42FEA204" w:rsidR="007533C6" w:rsidRPr="007533C6" w:rsidRDefault="007533C6" w:rsidP="00BC1643">
      <w:pPr>
        <w:spacing w:after="0" w:line="240" w:lineRule="auto"/>
        <w:ind w:firstLine="720"/>
        <w:contextualSpacing/>
        <w:jc w:val="both"/>
        <w:rPr>
          <w:rFonts w:ascii="Arial" w:hAnsi="Arial" w:cs="Arial"/>
          <w:sz w:val="20"/>
          <w:szCs w:val="20"/>
          <w:highlight w:val="yellow"/>
        </w:rPr>
      </w:pPr>
      <w:r w:rsidRPr="007533C6">
        <w:rPr>
          <w:rFonts w:ascii="Arial" w:hAnsi="Arial" w:cs="Arial"/>
          <w:sz w:val="20"/>
          <w:szCs w:val="20"/>
          <w:highlight w:val="yellow"/>
        </w:rPr>
        <w:t>The results support a motivation–capability framework of community readiness.</w:t>
      </w:r>
      <w:r w:rsidR="00C03ACB">
        <w:rPr>
          <w:rFonts w:ascii="Arial" w:hAnsi="Arial" w:cs="Arial"/>
          <w:sz w:val="20"/>
          <w:szCs w:val="20"/>
          <w:highlight w:val="yellow"/>
        </w:rPr>
        <w:t xml:space="preserve"> </w:t>
      </w:r>
      <w:r w:rsidR="00C03ACB" w:rsidRPr="00C03ACB">
        <w:rPr>
          <w:rFonts w:ascii="Arial" w:hAnsi="Arial" w:cs="Arial"/>
          <w:sz w:val="20"/>
          <w:szCs w:val="20"/>
          <w:highlight w:val="yellow"/>
        </w:rPr>
        <w:t>In this framework, motivation, represented through ERG-oriented needs, is interpreted as an important impetus for participation, whereas education and skills are interpreted as supplying the interpretive and operational resources necessary for effective action.</w:t>
      </w:r>
      <w:r w:rsidR="00C03ACB">
        <w:rPr>
          <w:rFonts w:ascii="Arial" w:hAnsi="Arial" w:cs="Arial"/>
          <w:sz w:val="20"/>
          <w:szCs w:val="20"/>
          <w:highlight w:val="yellow"/>
        </w:rPr>
        <w:t xml:space="preserve"> </w:t>
      </w:r>
      <w:r w:rsidRPr="007533C6">
        <w:rPr>
          <w:rFonts w:ascii="Arial" w:hAnsi="Arial" w:cs="Arial"/>
          <w:sz w:val="20"/>
          <w:szCs w:val="20"/>
          <w:highlight w:val="yellow"/>
        </w:rPr>
        <w:t xml:space="preserve">This pattern suggests that readiness in the IKN host area is shaped not only by infrastructure provision, but also by the extent to which residents are able to participate in, understand, and benefit from institutional and digitally mediated forms of governance. This interpretation is consistent with recent studies emphasizing user capacity, public participation, equity, and digital inclusion as central conditions for effective smart-city and digital-government implementation </w:t>
      </w:r>
      <w:r w:rsidRPr="00677610">
        <w:rPr>
          <w:rFonts w:ascii="Arial" w:hAnsi="Arial" w:cs="Arial"/>
          <w:sz w:val="20"/>
          <w:szCs w:val="20"/>
          <w:highlight w:val="yellow"/>
        </w:rPr>
        <w:fldChar w:fldCharType="begin" w:fldLock="1"/>
      </w:r>
      <w:r w:rsidR="00D547F6" w:rsidRPr="00677610">
        <w:rPr>
          <w:rFonts w:ascii="Arial" w:hAnsi="Arial" w:cs="Arial"/>
          <w:sz w:val="20"/>
          <w:szCs w:val="20"/>
          <w:highlight w:val="yellow"/>
        </w:rPr>
        <w:instrText>ADDIN CSL_CITATION {"citationItems":[{"id":"ITEM-1","itemData":{"DOI":"10.1016/j.techsoc.2025.103130","ISSN":"0160791X","abstract":"The growing role of advanced technologies in urban life, often in the context of policy initiatives like ‘smart cities,’ is leading to social change that calls for policy attention and scholarly analysis. The academic literature has made progress incorporating social dimensions into the analysis of smart cities, but a more robust understanding is needed about social challenges specifically – including patterns of exclusion, inequality, and marginalization. This study presents the results of a scoping review and thematic analysis of academic literature that codes and categorizes accounts of social challenges related to the proliferation of smart city technologies. The cross-disciplinary sample draws on studies published since 2000, including works that provide theoretical and social context and those that capture emerging socio-political and technological trends. Results reveal a variety of social challenges associated with age, gender, race, income, citizenship status, and other personal characteristics. Results also reveal patterns in how personal attitudes, concerns about privacy, and technology skill impact the effectiveness of smart city programs. At a higher level, governance quality and power dynamics are increasingly recognized by the literature as mediators of smart cities effectiveness, encompassing issues like stakeholder collaboration, policymaking processes, and data ownership and control. This article summarizes these points in a novel framework applicable to future research, and provides practical recommendations to address social challenges in smart cities, including distributional fairness, public participation, and enhanced user capacity.","author":[{"dropping-particle":"","family":"Ghasemzadeh","given":"Behnam","non-dropping-particle":"","parse-names":false,"suffix":""},{"dropping-particle":"","family":"Rasoulzadeh Aghdam","given":"Samad","non-dropping-particle":"","parse-names":false,"suffix":""},{"dropping-particle":"","family":"Hartley","given":"Kris","non-dropping-particle":"","parse-names":false,"suffix":""},{"dropping-particle":"","family":"Bababeimorad","given":"Behnaz","non-dropping-particle":"","parse-names":false,"suffix":""},{"dropping-particle":"","family":"Rahnamayiezekavat","given":"Payam","non-dropping-particle":"","parse-names":false,"suffix":""}],"container-title":"Technology in Society","id":"ITEM-1","issue":"February 2025","issued":{"date-parts":[["2026","3"]]},"page":"103130","publisher":"Elsevier Ltd","title":"Social challenges in smart cities: a scoping review and framework for policy action","type":"article-journal","volume":"84"},"uris":["http://www.mendeley.com/documents/?uuid=cbe6aafa-db0e-4931-8669-fb520eb64bc4"]},{"id":"ITEM-2","itemData":{"DOI":"10.1016/j.giq.2025.102028","ISSN":"0740624X","abstract":"The idea of ‘digital government inclusion’ – which builds upon notions of digital and social equity – implies that every person is equally able to participate in and benefit from digital government applications and procedures. In this article, through a policy stages lens, we explore aspects of government automation that complicate various dimensions of equity and inclusion as well as propose mitigating mechanisms that can improve digital government equity and inclusion. For a broader understanding of digital government inclusion, we start with a historical exploration of how data collection and digital government are inherently intertwined with notions of (statistical) normality. We then identify key findings from the broader literature and the articles included in GIQ's special issue on digital government inclusion that point to challenges as well as some potential tools to confront these issues.","author":[{"dropping-particle":"","family":"Peeters","given":"Rik","non-dropping-particle":"","parse-names":false,"suffix":""},{"dropping-particle":"","family":"Miller","given":"Susan M.","non-dropping-particle":"","parse-names":false,"suffix":""},{"dropping-particle":"","family":"Schuilenburg","given":"Marc","non-dropping-particle":"","parse-names":false,"suffix":""}],"container-title":"Government Information Quarterly","id":"ITEM-2","issue":"2","issued":{"date-parts":[["2025"]]},"page":"102028","publisher":"Elsevier Inc.","title":"Digital government inclusion: Exploring strategies for inclusive government automation","type":"article-journal","volume":"42"},"uris":["http://www.mendeley.com/documents/?uuid=f7db0975-5f19-4799-a7aa-0c5a1f9c1f5c"]},{"id":"ITEM-3","itemData":{"DOI":"10.3390/su17135735","ISSN":"2071-1050","abstract":"The current research examines the issue of social inclusivity in the context of digitalization of smart city governance and explores ways to overcome the digital divide, which impedes equal access to online services for vulnerable population groups (elderly people, people with disabilities, low-income individuals, and residents of remote areas). Based on a literature review, the study outlines three generations of the digital divide: access, digital skills, and the ability to derive socio-economic benefits. A methodology is proposed that combines cluster analysis of 27 European cities using 11 integrated indicators, aimed at identifying typical development profiles while accounting for infrastructure, air quality, and levels of digital literacy. The results revealed four clusters: “Digital Leaders with Environmental Awareness”, “Mid-Level Cities with Development Potential”, “Opportunities with Environmental Challenges”, and “Advanced Digital Hubs with High Quality of Life”. The study confirms the hypothesis regarding the effectiveness of a comprehensive approach that integrates infrastructure investment, educational programs, and inclusive planning. The article’s conclusions emphasize the need to apply universal design principles, subsidize internet access, and regularly monitor digital inclusion indices to achieve SDGs 11 and 16.","author":[{"dropping-particle":"","family":"Kruhlov","given":"Vitalii","non-dropping-particle":"","parse-names":false,"suffix":""},{"dropping-particle":"","family":"Dvorak","given":"Jaroslav","non-dropping-particle":"","parse-names":false,"suffix":""}],"container-title":"Sustainability","id":"ITEM-3","issue":"13","issued":{"date-parts":[["2025","6","22"]]},"page":"5735","title":"Social Inclusivity in the Smart City Governance: Overcoming the Digital Divide","type":"article-journal","volume":"17"},"uris":["http://www.mendeley.com/documents/?uuid=a351fd90-fb26-4c00-be09-52a8d4b9b9d8"]}],"mendeley":{"formattedCitation":"(Ghasemzadeh et al. 2026; Kruhlov and Dvorak 2025; Peeters, Miller, and Schuilenburg 2025)","plainTextFormattedCitation":"(Ghasemzadeh et al. 2026; Kruhlov and Dvorak 2025; Peeters, Miller, and Schuilenburg 2025)","previouslyFormattedCitation":"(Ghasemzadeh et al. 2026; Kruhlov and Dvorak 2025; Peeters, Miller, and Schuilenburg 2025)"},"properties":{"noteIndex":0},"schema":"https://github.com/citation-style-language/schema/raw/master/csl-citation.json"}</w:instrText>
      </w:r>
      <w:r w:rsidRPr="00677610">
        <w:rPr>
          <w:rFonts w:ascii="Arial" w:hAnsi="Arial" w:cs="Arial"/>
          <w:sz w:val="20"/>
          <w:szCs w:val="20"/>
          <w:highlight w:val="yellow"/>
        </w:rPr>
        <w:fldChar w:fldCharType="separate"/>
      </w:r>
      <w:r w:rsidR="00D547F6" w:rsidRPr="00677610">
        <w:rPr>
          <w:rFonts w:ascii="Arial" w:hAnsi="Arial" w:cs="Arial"/>
          <w:sz w:val="20"/>
          <w:szCs w:val="20"/>
          <w:highlight w:val="yellow"/>
        </w:rPr>
        <w:t>(Ghasemzadeh et al. 2026; Kruhlov and Dvorak 2025; Peeters, Miller, and Schuilenburg 2025)</w:t>
      </w:r>
      <w:r w:rsidRPr="00677610">
        <w:rPr>
          <w:rFonts w:ascii="Arial" w:hAnsi="Arial" w:cs="Arial"/>
          <w:sz w:val="20"/>
          <w:szCs w:val="20"/>
          <w:highlight w:val="yellow"/>
        </w:rPr>
        <w:fldChar w:fldCharType="end"/>
      </w:r>
      <w:r w:rsidRPr="00677610">
        <w:rPr>
          <w:rFonts w:ascii="Arial" w:hAnsi="Arial" w:cs="Arial"/>
          <w:sz w:val="20"/>
          <w:szCs w:val="20"/>
          <w:highlight w:val="yellow"/>
        </w:rPr>
        <w:t>.</w:t>
      </w:r>
    </w:p>
    <w:p w14:paraId="7D5C84D8" w14:textId="4AB283AD" w:rsidR="007533C6" w:rsidRPr="007533C6" w:rsidRDefault="007533C6" w:rsidP="00BC1643">
      <w:pPr>
        <w:spacing w:after="0" w:line="240" w:lineRule="auto"/>
        <w:ind w:firstLine="720"/>
        <w:contextualSpacing/>
        <w:jc w:val="both"/>
        <w:rPr>
          <w:rFonts w:ascii="Arial" w:hAnsi="Arial" w:cs="Arial"/>
          <w:sz w:val="20"/>
          <w:szCs w:val="20"/>
          <w:highlight w:val="yellow"/>
        </w:rPr>
      </w:pPr>
      <w:r w:rsidRPr="007533C6">
        <w:rPr>
          <w:rFonts w:ascii="Arial" w:hAnsi="Arial" w:cs="Arial"/>
          <w:sz w:val="20"/>
          <w:szCs w:val="20"/>
          <w:highlight w:val="yellow"/>
        </w:rPr>
        <w:t xml:space="preserve">This study’s theoretical contribution lies in the empirical integration of an ERG-based motivational framework (existence, relatedness, and growth) with a multidimensional community readiness model consisting of community efforts, program knowledge, leadership, community climate, problem understanding, and resources. By linking these perspectives within a single structural model, the study extends the readiness literature beyond descriptive assessment and shows how human-capital factors can be examined as antecedents of readiness in a large-scale capital-relocation context. This contribution is especially relevant because recent readiness research continues to conceptualize community readiness as a construct intended to assess a community’s capacity to address systemic issues and to inform collective action through rigorous measurement and validation procedures </w:t>
      </w:r>
      <w:r w:rsidR="00D547F6" w:rsidRPr="00677610">
        <w:rPr>
          <w:rFonts w:ascii="Arial" w:hAnsi="Arial" w:cs="Arial"/>
          <w:sz w:val="20"/>
          <w:szCs w:val="20"/>
          <w:highlight w:val="yellow"/>
        </w:rPr>
        <w:fldChar w:fldCharType="begin" w:fldLock="1"/>
      </w:r>
      <w:r w:rsidR="00D547F6" w:rsidRPr="00677610">
        <w:rPr>
          <w:rFonts w:ascii="Arial" w:hAnsi="Arial" w:cs="Arial"/>
          <w:sz w:val="20"/>
          <w:szCs w:val="20"/>
          <w:highlight w:val="yellow"/>
        </w:rPr>
        <w:instrText>ADDIN CSL_CITATION {"citationItems":[{"id":"ITEM-1","itemData":{"DOI":"10.3390/bs16010153","ISSN":"2076-328X","abstract":"Background: Community readiness assessment is used to gauge a community’s ability to address systemic issues and inform action. The Community Readiness Instrument (CRI) is the only published tool to have undergone rigorous development and testing. The purpose of this study is to further refine the CRI and establish its score reliability and validity evidence so that healthcare professionals, community advocates, and researchers have a strong assessment of community readiness. Methods: The present study details continued assessment of the CRI through full-scale testing. We conducted a second-order confirmatory factor analysis to analyze the CRI’s six-factor structure. We also conducted Rasch analyses to determine the item-level fit statistics for each subscale. Results: Our results suggest that the CRI is a well-structured quantitative tool with items demonstrating sufficient fit under each first-order latent factor. The items each fell into one-factor solutions, and the six subscales collectively formed a higher-order construct of Community Readiness. The CRI continues to demonstrate strong psychometric properties, score reliability, and validity evidence. Conclusions: Mental health and addiction professionals can use the CRI to explore change readiness toward a specific issue in their communities. Implications for practitioners, community advocates, and future researchers are provided.","author":[{"dropping-particle":"","family":"Ricciutti","given":"Natalie M.","non-dropping-particle":"","parse-names":false,"suffix":""},{"dropping-particle":"","family":"Cureton","given":"Jenny L.","non-dropping-particle":"","parse-names":false,"suffix":""},{"dropping-particle":"","family":"Zhang","given":"Sijia","non-dropping-particle":"","parse-names":false,"suffix":""}],"container-title":"Behavioral Sciences","id":"ITEM-1","issue":"1","issued":{"date-parts":[["2026","1","22"]]},"page":"153","title":"The Community Readiness Instrument: A Quantitative Measurement Using Statistical Best Practices to Assess Systemic Change Readiness","type":"article-journal","volume":"16"},"uris":["http://www.mendeley.com/documents/?uuid=e9323dd0-1237-4999-a0b4-7be9ef7b8c94"]}],"mendeley":{"formattedCitation":"(Ricciutti, Cureton, and Zhang 2026)","plainTextFormattedCitation":"(Ricciutti, Cureton, and Zhang 2026)","previouslyFormattedCitation":"(Ricciutti, N, Cureton, and Zhang 2026)"},"properties":{"noteIndex":0},"schema":"https://github.com/citation-style-language/schema/raw/master/csl-citation.json"}</w:instrText>
      </w:r>
      <w:r w:rsidR="00D547F6" w:rsidRPr="00677610">
        <w:rPr>
          <w:rFonts w:ascii="Arial" w:hAnsi="Arial" w:cs="Arial"/>
          <w:sz w:val="20"/>
          <w:szCs w:val="20"/>
          <w:highlight w:val="yellow"/>
        </w:rPr>
        <w:fldChar w:fldCharType="separate"/>
      </w:r>
      <w:r w:rsidR="00D547F6" w:rsidRPr="00677610">
        <w:rPr>
          <w:rFonts w:ascii="Arial" w:hAnsi="Arial" w:cs="Arial"/>
          <w:sz w:val="20"/>
          <w:szCs w:val="20"/>
          <w:highlight w:val="yellow"/>
        </w:rPr>
        <w:t>(Ricciutti, Cureton, and Zhang 2026)</w:t>
      </w:r>
      <w:r w:rsidR="00D547F6" w:rsidRPr="00677610">
        <w:rPr>
          <w:rFonts w:ascii="Arial" w:hAnsi="Arial" w:cs="Arial"/>
          <w:sz w:val="20"/>
          <w:szCs w:val="20"/>
          <w:highlight w:val="yellow"/>
        </w:rPr>
        <w:fldChar w:fldCharType="end"/>
      </w:r>
      <w:r w:rsidR="00D547F6" w:rsidRPr="00677610">
        <w:rPr>
          <w:rFonts w:ascii="Arial" w:hAnsi="Arial" w:cs="Arial"/>
          <w:sz w:val="20"/>
          <w:szCs w:val="20"/>
          <w:highlight w:val="yellow"/>
        </w:rPr>
        <w:t>.</w:t>
      </w:r>
    </w:p>
    <w:p w14:paraId="61615DE9" w14:textId="50F31804" w:rsidR="007533C6" w:rsidRPr="007533C6" w:rsidRDefault="007533C6" w:rsidP="00BC1643">
      <w:pPr>
        <w:spacing w:after="0" w:line="240" w:lineRule="auto"/>
        <w:ind w:firstLine="720"/>
        <w:contextualSpacing/>
        <w:jc w:val="both"/>
        <w:rPr>
          <w:rFonts w:ascii="Arial" w:hAnsi="Arial" w:cs="Arial"/>
          <w:sz w:val="20"/>
          <w:szCs w:val="20"/>
        </w:rPr>
      </w:pPr>
      <w:r w:rsidRPr="007533C6">
        <w:rPr>
          <w:rFonts w:ascii="Arial" w:hAnsi="Arial" w:cs="Arial"/>
          <w:sz w:val="20"/>
          <w:szCs w:val="20"/>
          <w:highlight w:val="yellow"/>
        </w:rPr>
        <w:t xml:space="preserve">In the context of the IKN megaproject, these findings imply that interventions focused solely on technical training may be insufficient unless they are accompanied by efforts to strengthen motivational alignment, expand residents’ capacity to engage with change, and improve equitable access to information and digital services. Accordingly, inclusive readiness-building should combine motivational reinforcement, educational support, and practical skill development through sustained community engagement. This implication is derived from the present findings in light of the broader literature on the social challenges of smart governance and digital inclusion </w:t>
      </w:r>
      <w:r w:rsidR="00D547F6" w:rsidRPr="00677610">
        <w:rPr>
          <w:rFonts w:ascii="Arial" w:hAnsi="Arial" w:cs="Arial"/>
          <w:sz w:val="20"/>
          <w:szCs w:val="20"/>
          <w:highlight w:val="yellow"/>
        </w:rPr>
        <w:fldChar w:fldCharType="begin" w:fldLock="1"/>
      </w:r>
      <w:r w:rsidR="00D547F6" w:rsidRPr="00677610">
        <w:rPr>
          <w:rFonts w:ascii="Arial" w:hAnsi="Arial" w:cs="Arial"/>
          <w:sz w:val="20"/>
          <w:szCs w:val="20"/>
          <w:highlight w:val="yellow"/>
        </w:rPr>
        <w:instrText>ADDIN CSL_CITATION {"citationItems":[{"id":"ITEM-1","itemData":{"DOI":"10.1016/j.techsoc.2025.103130","ISSN":"0160791X","abstract":"The growing role of advanced technologies in urban life, often in the context of policy initiatives like ‘smart cities,’ is leading to social change that calls for policy attention and scholarly analysis. The academic literature has made progress incorporating social dimensions into the analysis of smart cities, but a more robust understanding is needed about social challenges specifically – including patterns of exclusion, inequality, and marginalization. This study presents the results of a scoping review and thematic analysis of academic literature that codes and categorizes accounts of social challenges related to the proliferation of smart city technologies. The cross-disciplinary sample draws on studies published since 2000, including works that provide theoretical and social context and those that capture emerging socio-political and technological trends. Results reveal a variety of social challenges associated with age, gender, race, income, citizenship status, and other personal characteristics. Results also reveal patterns in how personal attitudes, concerns about privacy, and technology skill impact the effectiveness of smart city programs. At a higher level, governance quality and power dynamics are increasingly recognized by the literature as mediators of smart cities effectiveness, encompassing issues like stakeholder collaboration, policymaking processes, and data ownership and control. This article summarizes these points in a novel framework applicable to future research, and provides practical recommendations to address social challenges in smart cities, including distributional fairness, public participation, and enhanced user capacity.","author":[{"dropping-particle":"","family":"Ghasemzadeh","given":"Behnam","non-dropping-particle":"","parse-names":false,"suffix":""},{"dropping-particle":"","family":"Rasoulzadeh Aghdam","given":"Samad","non-dropping-particle":"","parse-names":false,"suffix":""},{"dropping-particle":"","family":"Hartley","given":"Kris","non-dropping-particle":"","parse-names":false,"suffix":""},{"dropping-particle":"","family":"Bababeimorad","given":"Behnaz","non-dropping-particle":"","parse-names":false,"suffix":""},{"dropping-particle":"","family":"Rahnamayiezekavat","given":"Payam","non-dropping-particle":"","parse-names":false,"suffix":""}],"container-title":"Technology in Society","id":"ITEM-1","issue":"February 2025","issued":{"date-parts":[["2026","3"]]},"page":"103130","publisher":"Elsevier Ltd","title":"Social challenges in smart cities: a scoping review and framework for policy action","type":"article-journal","volume":"84"},"uris":["http://www.mendeley.com/documents/?uuid=cbe6aafa-db0e-4931-8669-fb520eb64bc4"]},{"id":"ITEM-2","itemData":{"DOI":"10.1016/j.giq.2025.102028","ISSN":"0740624X","abstract":"The idea of ‘digital government inclusion’ – which builds upon notions of digital and social equity – implies that every person is equally able to participate in and benefit from digital government applications and procedures. In this article, through a policy stages lens, we explore aspects of government automation that complicate various dimensions of equity and inclusion as well as propose mitigating mechanisms that can improve digital government equity and inclusion. For a broader understanding of digital government inclusion, we start with a historical exploration of how data collection and digital government are inherently intertwined with notions of (statistical) normality. We then identify key findings from the broader literature and the articles included in GIQ's special issue on digital government inclusion that point to challenges as well as some potential tools to confront these issues.","author":[{"dropping-particle":"","family":"Peeters","given":"Rik","non-dropping-particle":"","parse-names":false,"suffix":""},{"dropping-particle":"","family":"Miller","given":"Susan M.","non-dropping-particle":"","parse-names":false,"suffix":""},{"dropping-particle":"","family":"Schuilenburg","given":"Marc","non-dropping-particle":"","parse-names":false,"suffix":""}],"container-title":"Government Information Quarterly","id":"ITEM-2","issue":"2","issued":{"date-parts":[["2025"]]},"page":"102028","publisher":"Elsevier Inc.","title":"Digital government inclusion: Exploring strategies for inclusive government automation","type":"article-journal","volume":"42"},"uris":["http://www.mendeley.com/documents/?uuid=f7db0975-5f19-4799-a7aa-0c5a1f9c1f5c"]},{"id":"ITEM-3","itemData":{"DOI":"10.3390/su17135735","ISSN":"2071-1050","abstract":"The current research examines the issue of social inclusivity in the context of digitalization of smart city governance and explores ways to overcome the digital divide, which impedes equal access to online services for vulnerable population groups (elderly people, people with disabilities, low-income individuals, and residents of remote areas). Based on a literature review, the study outlines three generations of the digital divide: access, digital skills, and the ability to derive socio-economic benefits. A methodology is proposed that combines cluster analysis of 27 European cities using 11 integrated indicators, aimed at identifying typical development profiles while accounting for infrastructure, air quality, and levels of digital literacy. The results revealed four clusters: “Digital Leaders with Environmental Awareness”, “Mid-Level Cities with Development Potential”, “Opportunities with Environmental Challenges”, and “Advanced Digital Hubs with High Quality of Life”. The study confirms the hypothesis regarding the effectiveness of a comprehensive approach that integrates infrastructure investment, educational programs, and inclusive planning. The article’s conclusions emphasize the need to apply universal design principles, subsidize internet access, and regularly monitor digital inclusion indices to achieve SDGs 11 and 16.","author":[{"dropping-particle":"","family":"Kruhlov","given":"Vitalii","non-dropping-particle":"","parse-names":false,"suffix":""},{"dropping-particle":"","family":"Dvorak","given":"Jaroslav","non-dropping-particle":"","parse-names":false,"suffix":""}],"container-title":"Sustainability","id":"ITEM-3","issue":"13","issued":{"date-parts":[["2025","6","22"]]},"page":"5735","title":"Social Inclusivity in the Smart City Governance: Overcoming the Digital Divide","type":"article-journal","volume":"17"},"uris":["http://www.mendeley.com/documents/?uuid=a351fd90-fb26-4c00-be09-52a8d4b9b9d8"]}],"mendeley":{"formattedCitation":"(Ghasemzadeh et al. 2026; Kruhlov and Dvorak 2025; Peeters, Miller, and Schuilenburg 2025)","plainTextFormattedCitation":"(Ghasemzadeh et al. 2026; Kruhlov and Dvorak 2025; Peeters, Miller, and Schuilenburg 2025)","previouslyFormattedCitation":"(Ghasemzadeh et al. 2026; Kruhlov and Dvorak 2025; Peeters, Miller, and Schuilenburg 2025)"},"properties":{"noteIndex":0},"schema":"https://github.com/citation-style-language/schema/raw/master/csl-citation.json"}</w:instrText>
      </w:r>
      <w:r w:rsidR="00D547F6" w:rsidRPr="00677610">
        <w:rPr>
          <w:rFonts w:ascii="Arial" w:hAnsi="Arial" w:cs="Arial"/>
          <w:sz w:val="20"/>
          <w:szCs w:val="20"/>
          <w:highlight w:val="yellow"/>
        </w:rPr>
        <w:fldChar w:fldCharType="separate"/>
      </w:r>
      <w:r w:rsidR="00D547F6" w:rsidRPr="00677610">
        <w:rPr>
          <w:rFonts w:ascii="Arial" w:hAnsi="Arial" w:cs="Arial"/>
          <w:sz w:val="20"/>
          <w:szCs w:val="20"/>
          <w:highlight w:val="yellow"/>
        </w:rPr>
        <w:t>(Ghasemzadeh et al. 2026; Kruhlov and Dvorak 2025; Peeters, Miller, and Schuilenburg 2025)</w:t>
      </w:r>
      <w:r w:rsidR="00D547F6" w:rsidRPr="00677610">
        <w:rPr>
          <w:rFonts w:ascii="Arial" w:hAnsi="Arial" w:cs="Arial"/>
          <w:sz w:val="20"/>
          <w:szCs w:val="20"/>
          <w:highlight w:val="yellow"/>
        </w:rPr>
        <w:fldChar w:fldCharType="end"/>
      </w:r>
      <w:r w:rsidR="00D547F6" w:rsidRPr="00677610">
        <w:rPr>
          <w:rFonts w:ascii="Arial" w:hAnsi="Arial" w:cs="Arial"/>
          <w:sz w:val="20"/>
          <w:szCs w:val="20"/>
          <w:highlight w:val="yellow"/>
        </w:rPr>
        <w:t>.</w:t>
      </w:r>
    </w:p>
    <w:p w14:paraId="33741994" w14:textId="77777777" w:rsidR="007533C6" w:rsidRPr="00677610" w:rsidRDefault="007533C6" w:rsidP="0013238B">
      <w:pPr>
        <w:spacing w:after="0" w:line="240" w:lineRule="auto"/>
        <w:ind w:firstLine="720"/>
        <w:contextualSpacing/>
        <w:jc w:val="both"/>
        <w:rPr>
          <w:rFonts w:ascii="Arial" w:hAnsi="Arial" w:cs="Arial"/>
          <w:sz w:val="20"/>
          <w:szCs w:val="20"/>
        </w:rPr>
      </w:pPr>
    </w:p>
    <w:p w14:paraId="782DDFDE" w14:textId="77777777" w:rsidR="0013238B" w:rsidRPr="00677610" w:rsidRDefault="0013238B" w:rsidP="0013238B">
      <w:pPr>
        <w:pStyle w:val="NormalWeb"/>
        <w:spacing w:before="120" w:beforeAutospacing="0" w:after="120" w:afterAutospacing="0"/>
        <w:jc w:val="both"/>
        <w:rPr>
          <w:rFonts w:ascii="Arial" w:hAnsi="Arial" w:cs="Arial"/>
          <w:b/>
          <w:bCs/>
          <w:sz w:val="20"/>
          <w:szCs w:val="20"/>
        </w:rPr>
      </w:pPr>
      <w:r w:rsidRPr="00677610">
        <w:rPr>
          <w:rFonts w:ascii="Arial" w:hAnsi="Arial" w:cs="Arial"/>
          <w:b/>
          <w:bCs/>
          <w:sz w:val="20"/>
          <w:szCs w:val="20"/>
        </w:rPr>
        <w:t>Implications</w:t>
      </w:r>
    </w:p>
    <w:p w14:paraId="0769E5CE" w14:textId="2124C581" w:rsidR="00F25C56" w:rsidRPr="00677610" w:rsidRDefault="00F20C47" w:rsidP="00F20C47">
      <w:pPr>
        <w:pStyle w:val="NormalWeb"/>
        <w:spacing w:before="0" w:beforeAutospacing="0" w:after="0" w:afterAutospacing="0"/>
        <w:ind w:firstLine="720"/>
        <w:jc w:val="both"/>
        <w:rPr>
          <w:rFonts w:ascii="Arial" w:hAnsi="Arial" w:cs="Arial"/>
          <w:sz w:val="20"/>
          <w:szCs w:val="20"/>
          <w:lang w:val="en-US" w:eastAsia="en-US"/>
        </w:rPr>
      </w:pPr>
      <w:r w:rsidRPr="00677610">
        <w:rPr>
          <w:rFonts w:ascii="Arial" w:hAnsi="Arial" w:cs="Arial"/>
          <w:sz w:val="20"/>
          <w:szCs w:val="20"/>
          <w:highlight w:val="cyan"/>
          <w:lang w:val="en-US" w:eastAsia="en-US"/>
        </w:rPr>
        <w:t xml:space="preserve">From a smart governance perspective, the findings imply that inclusive infrastructure provision should be accompanied by readiness-building strategies targeted at the host community. First, governance actors should strengthen motivational alignment by linking IKN-related programs to residents’ perceived welfare, security, belonging, and future opportunities. Second, non-formal educational interventions should </w:t>
      </w:r>
      <w:r w:rsidRPr="00677610">
        <w:rPr>
          <w:rFonts w:ascii="Arial" w:hAnsi="Arial" w:cs="Arial"/>
          <w:sz w:val="20"/>
          <w:szCs w:val="20"/>
          <w:highlight w:val="cyan"/>
          <w:lang w:val="en-US" w:eastAsia="en-US"/>
        </w:rPr>
        <w:lastRenderedPageBreak/>
        <w:t>be expanded to improve residents’ understanding of program procedures, institutional changes, and available channels for participation. Third, practical skill-building initiatives should focus on digital navigation, service access, procedural literacy, and problem-solving in real use contexts. In this way, smart governance can function not merely as a technological system, but as an inclusive governance process that enables citizens to understand, access, and benefit from public infrastructure and digital services.</w:t>
      </w:r>
    </w:p>
    <w:p w14:paraId="7E1D0FEE" w14:textId="77777777" w:rsidR="00BC1586" w:rsidRPr="00677610" w:rsidRDefault="00BC1586" w:rsidP="0013238B">
      <w:pPr>
        <w:pStyle w:val="NormalWeb"/>
        <w:spacing w:before="0" w:beforeAutospacing="0" w:after="0" w:afterAutospacing="0"/>
        <w:jc w:val="both"/>
        <w:rPr>
          <w:rFonts w:ascii="Arial" w:hAnsi="Arial" w:cs="Arial"/>
          <w:sz w:val="20"/>
          <w:szCs w:val="20"/>
          <w:lang w:val="en-US" w:eastAsia="en-US"/>
        </w:rPr>
      </w:pPr>
    </w:p>
    <w:p w14:paraId="665BADA9" w14:textId="77777777" w:rsidR="0013238B" w:rsidRPr="00677610" w:rsidRDefault="0013238B" w:rsidP="0013238B">
      <w:pPr>
        <w:spacing w:after="0" w:line="240" w:lineRule="auto"/>
        <w:ind w:firstLine="720"/>
        <w:contextualSpacing/>
        <w:jc w:val="both"/>
        <w:rPr>
          <w:rFonts w:ascii="Arial" w:hAnsi="Arial" w:cs="Arial"/>
          <w:sz w:val="20"/>
          <w:szCs w:val="20"/>
        </w:rPr>
      </w:pPr>
    </w:p>
    <w:p w14:paraId="53FA1D56" w14:textId="77777777" w:rsidR="0013238B" w:rsidRPr="00677610" w:rsidRDefault="0013238B" w:rsidP="0013238B">
      <w:pPr>
        <w:pStyle w:val="NormalWeb"/>
        <w:spacing w:before="120" w:beforeAutospacing="0" w:after="120" w:afterAutospacing="0"/>
        <w:jc w:val="both"/>
        <w:rPr>
          <w:rFonts w:ascii="Arial" w:hAnsi="Arial" w:cs="Arial"/>
          <w:b/>
          <w:bCs/>
          <w:sz w:val="20"/>
          <w:szCs w:val="20"/>
        </w:rPr>
      </w:pPr>
      <w:r w:rsidRPr="00677610">
        <w:rPr>
          <w:rFonts w:ascii="Arial" w:hAnsi="Arial" w:cs="Arial"/>
          <w:b/>
          <w:bCs/>
          <w:sz w:val="20"/>
          <w:szCs w:val="20"/>
        </w:rPr>
        <w:t>Conclusion</w:t>
      </w:r>
    </w:p>
    <w:p w14:paraId="39272FDE" w14:textId="77777777" w:rsidR="008B26DB" w:rsidRPr="008B26DB" w:rsidRDefault="008B26DB" w:rsidP="008B26DB">
      <w:pPr>
        <w:spacing w:after="0" w:line="240" w:lineRule="auto"/>
        <w:ind w:firstLine="720"/>
        <w:contextualSpacing/>
        <w:jc w:val="both"/>
        <w:rPr>
          <w:rFonts w:ascii="Arial" w:hAnsi="Arial" w:cs="Arial"/>
          <w:sz w:val="20"/>
          <w:szCs w:val="20"/>
          <w:highlight w:val="cyan"/>
        </w:rPr>
      </w:pPr>
      <w:r w:rsidRPr="008B26DB">
        <w:rPr>
          <w:rFonts w:ascii="Arial" w:hAnsi="Arial" w:cs="Arial"/>
          <w:sz w:val="20"/>
          <w:szCs w:val="20"/>
          <w:highlight w:val="cyan"/>
        </w:rPr>
        <w:t>This study shows that community readiness in the IKN host region is associated with a motivation–capability process. All proposed structural paths were positive and statistically significant. Community Skills showed the strongest standardized association with Community Readiness (β = 0.310), followed by Community Motivation (β = 0.237) and Community Education (β = 0.225), together explaining 37.0% of the variance in readiness (R² = 0.370). These findings suggest that communities are better positioned to engage in IKN-related transformation when residents possess practical operational capabilities, maintain sufficient motivational orientation, and have adequate educational resources to interpret and respond to institutional and infrastructural change.</w:t>
      </w:r>
    </w:p>
    <w:p w14:paraId="2F6438C2" w14:textId="77777777" w:rsidR="008B26DB" w:rsidRPr="008B26DB" w:rsidRDefault="008B26DB" w:rsidP="008B26DB">
      <w:pPr>
        <w:spacing w:after="0" w:line="240" w:lineRule="auto"/>
        <w:ind w:firstLine="720"/>
        <w:contextualSpacing/>
        <w:jc w:val="both"/>
        <w:rPr>
          <w:rFonts w:ascii="Arial" w:hAnsi="Arial" w:cs="Arial"/>
          <w:sz w:val="20"/>
          <w:szCs w:val="20"/>
        </w:rPr>
      </w:pPr>
      <w:r w:rsidRPr="008B26DB">
        <w:rPr>
          <w:rFonts w:ascii="Arial" w:hAnsi="Arial" w:cs="Arial"/>
          <w:sz w:val="20"/>
          <w:szCs w:val="20"/>
          <w:highlight w:val="cyan"/>
        </w:rPr>
        <w:t>However, readiness was not evenly distributed across its dimensions. The descriptive results indicate that Problem Understanding was the weakest component of readiness (Mean = 2.46; 49.26%), suggesting that limited understanding of the ongoing changes, their implications for livelihoods, and the available pathways for accessing benefits may constrain the conversion of human capital into effective infrastructure utilization. Therefore, the inclusive implementation of IKN should prioritize continuous communication, participatory outreach, and experiential learning in order to strengthen community understanding and support more sustained and equitable engagement with IKN-related infrastructure and governance transformation.</w:t>
      </w:r>
    </w:p>
    <w:p w14:paraId="2A17A7D4" w14:textId="77777777" w:rsidR="008B26DB" w:rsidRPr="00677610" w:rsidRDefault="008B26DB" w:rsidP="0013238B">
      <w:pPr>
        <w:spacing w:after="0" w:line="240" w:lineRule="auto"/>
        <w:ind w:firstLine="720"/>
        <w:contextualSpacing/>
        <w:jc w:val="both"/>
        <w:rPr>
          <w:rFonts w:ascii="Arial" w:hAnsi="Arial" w:cs="Arial"/>
          <w:sz w:val="20"/>
          <w:szCs w:val="20"/>
        </w:rPr>
      </w:pPr>
    </w:p>
    <w:p w14:paraId="3786155A" w14:textId="77777777" w:rsidR="007C45BE" w:rsidRPr="00677610" w:rsidRDefault="007C45BE" w:rsidP="007C45BE">
      <w:pPr>
        <w:pStyle w:val="NormalWeb"/>
        <w:spacing w:before="120" w:beforeAutospacing="0" w:after="120" w:afterAutospacing="0"/>
        <w:jc w:val="both"/>
        <w:rPr>
          <w:rFonts w:ascii="Arial" w:hAnsi="Arial" w:cs="Arial"/>
          <w:b/>
          <w:bCs/>
          <w:sz w:val="20"/>
          <w:szCs w:val="20"/>
        </w:rPr>
      </w:pPr>
      <w:r w:rsidRPr="00677610">
        <w:rPr>
          <w:rFonts w:ascii="Arial" w:hAnsi="Arial" w:cs="Arial"/>
          <w:b/>
          <w:bCs/>
          <w:sz w:val="20"/>
          <w:szCs w:val="20"/>
        </w:rPr>
        <w:t>Limitations and Future Research</w:t>
      </w:r>
    </w:p>
    <w:p w14:paraId="7BA48DC2" w14:textId="6E16403D" w:rsidR="00AA2192" w:rsidRPr="00677610" w:rsidRDefault="00AA2192" w:rsidP="007C45BE">
      <w:pPr>
        <w:spacing w:after="0" w:line="240" w:lineRule="auto"/>
        <w:ind w:firstLine="720"/>
        <w:contextualSpacing/>
        <w:jc w:val="both"/>
        <w:rPr>
          <w:rFonts w:ascii="Arial" w:hAnsi="Arial" w:cs="Arial"/>
          <w:sz w:val="20"/>
          <w:szCs w:val="20"/>
        </w:rPr>
      </w:pPr>
      <w:r w:rsidRPr="00677610">
        <w:rPr>
          <w:rFonts w:ascii="Arial" w:hAnsi="Arial" w:cs="Arial"/>
          <w:sz w:val="20"/>
          <w:szCs w:val="20"/>
        </w:rPr>
        <w:t xml:space="preserve"> </w:t>
      </w:r>
      <w:r w:rsidRPr="00677610">
        <w:rPr>
          <w:rFonts w:ascii="Arial" w:hAnsi="Arial" w:cs="Arial"/>
          <w:sz w:val="20"/>
          <w:szCs w:val="20"/>
          <w:highlight w:val="cyan"/>
        </w:rPr>
        <w:t>This study should also be interpreted in light of limitations associated with its cross-sectional design. Although the proposed structural model is theoretically grounded, the data were collected at a single point in time and therefore do not permit definitive temporal or causal inference. As a result, the observed relationships may still be affected by endogeneity concerns, including omitted variables, reciprocal influences, or unobserved contextual factors that were not directly modeled in the analysis. Future research would benefit from longitudinal, panel, or quasi-experimental designs, as well as the inclusion of objective indicators of service use and program participation, in order to strengthen causal interpretation and assess how readiness translates into observable behavioral outcomes over time.</w:t>
      </w:r>
    </w:p>
    <w:p w14:paraId="5B3F08DC" w14:textId="77777777" w:rsidR="007C45BE" w:rsidRPr="00677610" w:rsidRDefault="007C45BE" w:rsidP="0013238B">
      <w:pPr>
        <w:spacing w:after="0" w:line="240" w:lineRule="auto"/>
        <w:ind w:firstLine="720"/>
        <w:contextualSpacing/>
        <w:jc w:val="both"/>
        <w:rPr>
          <w:rFonts w:ascii="Arial" w:hAnsi="Arial" w:cs="Arial"/>
          <w:sz w:val="20"/>
          <w:szCs w:val="20"/>
        </w:rPr>
      </w:pPr>
    </w:p>
    <w:p w14:paraId="5C948BA9" w14:textId="77777777" w:rsidR="00D02E24" w:rsidRPr="00D02E24" w:rsidRDefault="00D02E24" w:rsidP="00D02E24">
      <w:pPr>
        <w:spacing w:after="0" w:line="240" w:lineRule="auto"/>
        <w:ind w:firstLine="720"/>
        <w:contextualSpacing/>
        <w:jc w:val="both"/>
        <w:rPr>
          <w:rFonts w:ascii="Arial" w:hAnsi="Arial" w:cs="Arial"/>
          <w:b/>
          <w:bCs/>
          <w:sz w:val="20"/>
          <w:szCs w:val="20"/>
          <w:lang w:val="id-ID" w:eastAsia="id-ID"/>
        </w:rPr>
      </w:pPr>
      <w:r w:rsidRPr="00D02E24">
        <w:rPr>
          <w:rFonts w:ascii="Arial" w:hAnsi="Arial" w:cs="Arial"/>
          <w:b/>
          <w:bCs/>
          <w:sz w:val="20"/>
          <w:szCs w:val="20"/>
          <w:lang w:val="id-ID" w:eastAsia="id-ID"/>
        </w:rPr>
        <w:t xml:space="preserve">Consent </w:t>
      </w:r>
    </w:p>
    <w:p w14:paraId="4E9F0C93" w14:textId="34637A24" w:rsidR="0013238B" w:rsidRDefault="00D02E24" w:rsidP="00D02E24">
      <w:pPr>
        <w:spacing w:after="0" w:line="240" w:lineRule="auto"/>
        <w:ind w:firstLine="720"/>
        <w:contextualSpacing/>
        <w:jc w:val="both"/>
        <w:rPr>
          <w:rFonts w:ascii="Arial" w:hAnsi="Arial" w:cs="Arial"/>
          <w:b/>
          <w:bCs/>
          <w:sz w:val="20"/>
          <w:szCs w:val="20"/>
          <w:lang w:val="id-ID" w:eastAsia="id-ID"/>
        </w:rPr>
      </w:pPr>
      <w:r w:rsidRPr="00D02E24">
        <w:rPr>
          <w:rFonts w:ascii="Arial" w:hAnsi="Arial" w:cs="Arial"/>
          <w:b/>
          <w:bCs/>
          <w:sz w:val="20"/>
          <w:szCs w:val="20"/>
          <w:lang w:val="id-ID" w:eastAsia="id-ID"/>
        </w:rPr>
        <w:t>As per international standards or university standards, Participants’ written consent has been collected and preserved by the author(s).</w:t>
      </w:r>
    </w:p>
    <w:p w14:paraId="67518154" w14:textId="3CDB73F1" w:rsidR="00D02E24" w:rsidRDefault="00D02E24" w:rsidP="00D02E24">
      <w:pPr>
        <w:spacing w:after="0" w:line="240" w:lineRule="auto"/>
        <w:ind w:firstLine="720"/>
        <w:contextualSpacing/>
        <w:jc w:val="both"/>
        <w:rPr>
          <w:rFonts w:ascii="Arial" w:hAnsi="Arial" w:cs="Arial"/>
          <w:sz w:val="20"/>
          <w:szCs w:val="20"/>
        </w:rPr>
      </w:pPr>
    </w:p>
    <w:p w14:paraId="49FBCB21" w14:textId="77777777" w:rsidR="00D02E24" w:rsidRPr="00677610" w:rsidRDefault="00D02E24" w:rsidP="00D02E24">
      <w:pPr>
        <w:spacing w:after="0" w:line="240" w:lineRule="auto"/>
        <w:ind w:firstLine="720"/>
        <w:contextualSpacing/>
        <w:jc w:val="both"/>
        <w:rPr>
          <w:rFonts w:ascii="Arial" w:hAnsi="Arial" w:cs="Arial"/>
          <w:sz w:val="20"/>
          <w:szCs w:val="20"/>
        </w:rPr>
      </w:pPr>
    </w:p>
    <w:p w14:paraId="0FA2B1D7" w14:textId="77777777" w:rsidR="007C45BE" w:rsidRPr="00677610" w:rsidRDefault="007C45BE" w:rsidP="0013238B">
      <w:pPr>
        <w:pStyle w:val="NormalWeb"/>
        <w:spacing w:before="0" w:beforeAutospacing="0" w:after="0" w:afterAutospacing="0"/>
        <w:jc w:val="both"/>
        <w:rPr>
          <w:rFonts w:ascii="Arial" w:hAnsi="Arial" w:cs="Arial"/>
          <w:sz w:val="20"/>
          <w:szCs w:val="20"/>
        </w:rPr>
      </w:pPr>
      <w:bookmarkStart w:id="0" w:name="_GoBack"/>
      <w:bookmarkEnd w:id="0"/>
    </w:p>
    <w:p w14:paraId="53DE2185" w14:textId="77777777" w:rsidR="00B07640" w:rsidRDefault="00B07640" w:rsidP="007C45BE">
      <w:pPr>
        <w:pStyle w:val="NormalWeb"/>
        <w:spacing w:after="0"/>
        <w:jc w:val="both"/>
        <w:rPr>
          <w:rFonts w:ascii="Arial" w:hAnsi="Arial" w:cs="Arial"/>
          <w:sz w:val="20"/>
          <w:szCs w:val="20"/>
        </w:rPr>
      </w:pPr>
    </w:p>
    <w:p w14:paraId="3682A944" w14:textId="3B0F4530" w:rsidR="007C45BE" w:rsidRPr="00677610" w:rsidRDefault="00BC1586" w:rsidP="007C45BE">
      <w:pPr>
        <w:pStyle w:val="NormalWeb"/>
        <w:spacing w:after="0"/>
        <w:jc w:val="both"/>
        <w:rPr>
          <w:rFonts w:ascii="Arial" w:hAnsi="Arial" w:cs="Arial"/>
          <w:sz w:val="20"/>
          <w:szCs w:val="20"/>
        </w:rPr>
      </w:pPr>
      <w:r w:rsidRPr="00677610">
        <w:rPr>
          <w:rFonts w:ascii="Arial" w:hAnsi="Arial" w:cs="Arial"/>
          <w:sz w:val="20"/>
          <w:szCs w:val="20"/>
        </w:rPr>
        <w:t>Competing interests disclaimer:</w:t>
      </w:r>
    </w:p>
    <w:p w14:paraId="73C8ED8A" w14:textId="4DA46294" w:rsidR="007C45BE" w:rsidRPr="00677610" w:rsidRDefault="007C45BE" w:rsidP="007C45BE">
      <w:pPr>
        <w:pStyle w:val="NormalWeb"/>
        <w:spacing w:before="0" w:beforeAutospacing="0" w:after="0" w:afterAutospacing="0"/>
        <w:jc w:val="both"/>
        <w:rPr>
          <w:rFonts w:ascii="Arial" w:hAnsi="Arial" w:cs="Arial"/>
          <w:sz w:val="20"/>
          <w:szCs w:val="20"/>
        </w:rPr>
      </w:pPr>
      <w:r w:rsidRPr="00677610">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5A9B4CC0" w14:textId="77777777" w:rsidR="007C45BE" w:rsidRPr="00677610" w:rsidRDefault="007C45BE" w:rsidP="0013238B">
      <w:pPr>
        <w:pStyle w:val="NormalWeb"/>
        <w:spacing w:before="0" w:beforeAutospacing="0" w:after="0" w:afterAutospacing="0"/>
        <w:jc w:val="both"/>
        <w:rPr>
          <w:rFonts w:ascii="Arial" w:hAnsi="Arial" w:cs="Arial"/>
          <w:sz w:val="20"/>
          <w:szCs w:val="20"/>
        </w:rPr>
      </w:pPr>
    </w:p>
    <w:p w14:paraId="2E7835FC" w14:textId="77777777" w:rsidR="007D23F9" w:rsidRPr="00B07640" w:rsidRDefault="007D23F9" w:rsidP="007D23F9">
      <w:pPr>
        <w:spacing w:after="0" w:line="240" w:lineRule="auto"/>
        <w:rPr>
          <w:rFonts w:ascii="Arial" w:eastAsia="Calibri" w:hAnsi="Arial" w:cs="Arial"/>
          <w:kern w:val="2"/>
          <w:sz w:val="22"/>
          <w:highlight w:val="cyan"/>
        </w:rPr>
      </w:pPr>
      <w:bookmarkStart w:id="1" w:name="_Hlk198031404"/>
      <w:bookmarkStart w:id="2" w:name="_Hlk219125673"/>
      <w:r w:rsidRPr="00B07640">
        <w:rPr>
          <w:rFonts w:ascii="Arial" w:eastAsia="Calibri" w:hAnsi="Arial" w:cs="Arial"/>
          <w:kern w:val="2"/>
          <w:sz w:val="22"/>
          <w:highlight w:val="cyan"/>
        </w:rPr>
        <w:t>Disclaimer (Artificial intelligence)</w:t>
      </w:r>
    </w:p>
    <w:p w14:paraId="54BBE19B" w14:textId="77777777" w:rsidR="007D23F9" w:rsidRPr="00B07640" w:rsidRDefault="007D23F9" w:rsidP="007D23F9">
      <w:pPr>
        <w:spacing w:after="0" w:line="240" w:lineRule="auto"/>
        <w:rPr>
          <w:rFonts w:ascii="Arial" w:eastAsia="Calibri" w:hAnsi="Arial" w:cs="Arial"/>
          <w:kern w:val="2"/>
          <w:sz w:val="22"/>
          <w:highlight w:val="cyan"/>
        </w:rPr>
      </w:pPr>
    </w:p>
    <w:bookmarkEnd w:id="1"/>
    <w:p w14:paraId="713608E6" w14:textId="7B8A28DF" w:rsidR="007D23F9" w:rsidRPr="00677610" w:rsidRDefault="000315F5" w:rsidP="007D23F9">
      <w:pPr>
        <w:rPr>
          <w:rFonts w:ascii="Arial" w:eastAsia="Calibri" w:hAnsi="Arial" w:cs="Arial"/>
          <w:sz w:val="28"/>
        </w:rPr>
      </w:pPr>
      <w:r w:rsidRPr="00B07640">
        <w:rPr>
          <w:rFonts w:ascii="Arial" w:hAnsi="Arial" w:cs="Arial"/>
          <w:highlight w:val="cyan"/>
        </w:rPr>
        <w:lastRenderedPageBreak/>
        <w:t>The author(s) declare that no generative AI tools were used in the writing, editing, or preparation of this manuscript.</w:t>
      </w:r>
    </w:p>
    <w:bookmarkEnd w:id="2"/>
    <w:p w14:paraId="0CEDE695" w14:textId="77777777" w:rsidR="007C45BE" w:rsidRPr="00677610" w:rsidRDefault="007C45BE" w:rsidP="0013238B">
      <w:pPr>
        <w:pStyle w:val="NormalWeb"/>
        <w:spacing w:before="0" w:beforeAutospacing="0" w:after="0" w:afterAutospacing="0"/>
        <w:jc w:val="both"/>
        <w:rPr>
          <w:rFonts w:ascii="Arial" w:hAnsi="Arial" w:cs="Arial"/>
          <w:sz w:val="20"/>
          <w:szCs w:val="20"/>
          <w:lang w:val="en-US"/>
        </w:rPr>
      </w:pPr>
    </w:p>
    <w:p w14:paraId="312E1133" w14:textId="22064B5B" w:rsidR="0013238B" w:rsidRPr="00677610" w:rsidRDefault="00094ECF" w:rsidP="0013238B">
      <w:pPr>
        <w:pStyle w:val="NormalWeb"/>
        <w:spacing w:before="120" w:beforeAutospacing="0" w:after="120" w:afterAutospacing="0"/>
        <w:jc w:val="both"/>
        <w:rPr>
          <w:rFonts w:ascii="Arial" w:hAnsi="Arial" w:cs="Arial"/>
          <w:b/>
          <w:bCs/>
          <w:sz w:val="20"/>
          <w:szCs w:val="20"/>
        </w:rPr>
      </w:pPr>
      <w:r w:rsidRPr="00677610">
        <w:rPr>
          <w:rFonts w:ascii="Arial" w:hAnsi="Arial" w:cs="Arial"/>
          <w:b/>
          <w:bCs/>
          <w:sz w:val="20"/>
          <w:szCs w:val="20"/>
        </w:rPr>
        <w:t>References</w:t>
      </w:r>
    </w:p>
    <w:p w14:paraId="4AB60E5D" w14:textId="13AB27D7" w:rsidR="00D547F6" w:rsidRPr="00FF2810" w:rsidRDefault="0013238B" w:rsidP="00FF2810">
      <w:pPr>
        <w:pStyle w:val="ListParagraph"/>
        <w:widowControl w:val="0"/>
        <w:numPr>
          <w:ilvl w:val="0"/>
          <w:numId w:val="21"/>
        </w:numPr>
        <w:autoSpaceDE w:val="0"/>
        <w:autoSpaceDN w:val="0"/>
        <w:adjustRightInd w:val="0"/>
        <w:spacing w:after="0" w:line="240" w:lineRule="auto"/>
        <w:rPr>
          <w:rFonts w:ascii="Arial" w:hAnsi="Arial" w:cs="Arial"/>
          <w:noProof/>
          <w:sz w:val="20"/>
          <w:szCs w:val="24"/>
        </w:rPr>
      </w:pPr>
      <w:r w:rsidRPr="00677610">
        <w:rPr>
          <w:rStyle w:val="Strong"/>
          <w:rFonts w:ascii="Arial" w:hAnsi="Arial" w:cs="Arial"/>
          <w:b w:val="0"/>
          <w:bCs w:val="0"/>
          <w:sz w:val="20"/>
          <w:szCs w:val="20"/>
        </w:rPr>
        <w:fldChar w:fldCharType="begin" w:fldLock="1"/>
      </w:r>
      <w:r w:rsidRPr="00FF2810">
        <w:rPr>
          <w:rStyle w:val="Strong"/>
          <w:rFonts w:ascii="Arial" w:hAnsi="Arial" w:cs="Arial"/>
          <w:sz w:val="20"/>
          <w:szCs w:val="20"/>
        </w:rPr>
        <w:instrText xml:space="preserve">ADDIN Mendeley Bibliography CSL_BIBLIOGRAPHY </w:instrText>
      </w:r>
      <w:r w:rsidRPr="00677610">
        <w:rPr>
          <w:rStyle w:val="Strong"/>
          <w:rFonts w:ascii="Arial" w:hAnsi="Arial" w:cs="Arial"/>
          <w:b w:val="0"/>
          <w:bCs w:val="0"/>
          <w:sz w:val="20"/>
          <w:szCs w:val="20"/>
        </w:rPr>
        <w:fldChar w:fldCharType="separate"/>
      </w:r>
      <w:r w:rsidR="00D547F6" w:rsidRPr="00FF2810">
        <w:rPr>
          <w:rFonts w:ascii="Arial" w:hAnsi="Arial" w:cs="Arial"/>
          <w:noProof/>
          <w:sz w:val="20"/>
          <w:szCs w:val="24"/>
        </w:rPr>
        <w:t xml:space="preserve">AbdulKareem, Abdulrazaq Kayode, and Kazeem Adebayo Oladimeji. 2024. “Cultivating the Digital Citizen: Trust, Digital Literacy and e-Government Adoption.” </w:t>
      </w:r>
      <w:r w:rsidR="00D547F6" w:rsidRPr="00FF2810">
        <w:rPr>
          <w:rFonts w:ascii="Arial" w:hAnsi="Arial" w:cs="Arial"/>
          <w:i/>
          <w:iCs/>
          <w:noProof/>
          <w:sz w:val="20"/>
          <w:szCs w:val="24"/>
        </w:rPr>
        <w:t>Transforming Government: People, Process and Policy</w:t>
      </w:r>
      <w:r w:rsidR="00D547F6" w:rsidRPr="00FF2810">
        <w:rPr>
          <w:rFonts w:ascii="Arial" w:hAnsi="Arial" w:cs="Arial"/>
          <w:noProof/>
          <w:sz w:val="20"/>
          <w:szCs w:val="24"/>
        </w:rPr>
        <w:t xml:space="preserve"> 18(2): 270–86. http://www.emerald.com/tg/article/18/2/270-286/1233783.</w:t>
      </w:r>
    </w:p>
    <w:p w14:paraId="4551D2F6" w14:textId="77777777" w:rsidR="00D547F6" w:rsidRPr="00FF2810" w:rsidRDefault="00D547F6" w:rsidP="00FF2810">
      <w:pPr>
        <w:pStyle w:val="ListParagraph"/>
        <w:widowControl w:val="0"/>
        <w:numPr>
          <w:ilvl w:val="0"/>
          <w:numId w:val="21"/>
        </w:numPr>
        <w:autoSpaceDE w:val="0"/>
        <w:autoSpaceDN w:val="0"/>
        <w:adjustRightInd w:val="0"/>
        <w:spacing w:after="0" w:line="240" w:lineRule="auto"/>
        <w:rPr>
          <w:rFonts w:ascii="Arial" w:hAnsi="Arial" w:cs="Arial"/>
          <w:noProof/>
          <w:sz w:val="20"/>
          <w:szCs w:val="24"/>
        </w:rPr>
      </w:pPr>
      <w:r w:rsidRPr="00FF2810">
        <w:rPr>
          <w:rFonts w:ascii="Arial" w:hAnsi="Arial" w:cs="Arial"/>
          <w:noProof/>
          <w:sz w:val="20"/>
          <w:szCs w:val="24"/>
        </w:rPr>
        <w:t xml:space="preserve">Alan Bryman. 2016. “Social Research Methodology.” </w:t>
      </w:r>
      <w:r w:rsidRPr="00FF2810">
        <w:rPr>
          <w:rFonts w:ascii="Arial" w:hAnsi="Arial" w:cs="Arial"/>
          <w:i/>
          <w:iCs/>
          <w:noProof/>
          <w:sz w:val="20"/>
          <w:szCs w:val="24"/>
        </w:rPr>
        <w:t>Social Research Methodology</w:t>
      </w:r>
      <w:r w:rsidRPr="00FF2810">
        <w:rPr>
          <w:rFonts w:ascii="Arial" w:hAnsi="Arial" w:cs="Arial"/>
          <w:noProof/>
          <w:sz w:val="20"/>
          <w:szCs w:val="24"/>
        </w:rPr>
        <w:t>.</w:t>
      </w:r>
    </w:p>
    <w:p w14:paraId="6F1704A6" w14:textId="77777777" w:rsidR="00D547F6" w:rsidRPr="00FF2810" w:rsidRDefault="00D547F6" w:rsidP="00FF2810">
      <w:pPr>
        <w:pStyle w:val="ListParagraph"/>
        <w:widowControl w:val="0"/>
        <w:numPr>
          <w:ilvl w:val="0"/>
          <w:numId w:val="21"/>
        </w:numPr>
        <w:autoSpaceDE w:val="0"/>
        <w:autoSpaceDN w:val="0"/>
        <w:adjustRightInd w:val="0"/>
        <w:spacing w:after="0" w:line="240" w:lineRule="auto"/>
        <w:rPr>
          <w:rFonts w:ascii="Arial" w:hAnsi="Arial" w:cs="Arial"/>
          <w:noProof/>
          <w:sz w:val="20"/>
          <w:szCs w:val="24"/>
        </w:rPr>
      </w:pPr>
      <w:r w:rsidRPr="00FF2810">
        <w:rPr>
          <w:rFonts w:ascii="Arial" w:hAnsi="Arial" w:cs="Arial"/>
          <w:noProof/>
          <w:sz w:val="20"/>
          <w:szCs w:val="24"/>
        </w:rPr>
        <w:t xml:space="preserve">Cheung, Gordon W., Helena D. Cooper-Thomas, Rebecca S. Lau, and Linda C. Wang. 2024. 41 Asia Pacific Journal of Management </w:t>
      </w:r>
      <w:r w:rsidRPr="00FF2810">
        <w:rPr>
          <w:rFonts w:ascii="Arial" w:hAnsi="Arial" w:cs="Arial"/>
          <w:i/>
          <w:iCs/>
          <w:noProof/>
          <w:sz w:val="20"/>
          <w:szCs w:val="24"/>
        </w:rPr>
        <w:t>Reporting Reliability, Convergent and Discriminant Validity with Structural Equation Modeling: A Review and Best-Practice Recommendations</w:t>
      </w:r>
      <w:r w:rsidRPr="00FF2810">
        <w:rPr>
          <w:rFonts w:ascii="Arial" w:hAnsi="Arial" w:cs="Arial"/>
          <w:noProof/>
          <w:sz w:val="20"/>
          <w:szCs w:val="24"/>
        </w:rPr>
        <w:t>. Springer US. https://doi.org/10.1007/s10490-023-09871-y.</w:t>
      </w:r>
    </w:p>
    <w:p w14:paraId="611A59FA" w14:textId="77777777" w:rsidR="00D547F6" w:rsidRPr="00FF2810" w:rsidRDefault="00D547F6" w:rsidP="00FF2810">
      <w:pPr>
        <w:pStyle w:val="ListParagraph"/>
        <w:widowControl w:val="0"/>
        <w:numPr>
          <w:ilvl w:val="0"/>
          <w:numId w:val="21"/>
        </w:numPr>
        <w:autoSpaceDE w:val="0"/>
        <w:autoSpaceDN w:val="0"/>
        <w:adjustRightInd w:val="0"/>
        <w:spacing w:after="0" w:line="240" w:lineRule="auto"/>
        <w:rPr>
          <w:rFonts w:ascii="Arial" w:hAnsi="Arial" w:cs="Arial"/>
          <w:noProof/>
          <w:sz w:val="20"/>
          <w:szCs w:val="24"/>
        </w:rPr>
      </w:pPr>
      <w:r w:rsidRPr="00FF2810">
        <w:rPr>
          <w:rFonts w:ascii="Arial" w:hAnsi="Arial" w:cs="Arial"/>
          <w:noProof/>
          <w:sz w:val="20"/>
          <w:szCs w:val="24"/>
        </w:rPr>
        <w:t xml:space="preserve">Cohen, Sheldon. 2004. “Social Relationships and Health.” </w:t>
      </w:r>
      <w:r w:rsidRPr="00FF2810">
        <w:rPr>
          <w:rFonts w:ascii="Arial" w:hAnsi="Arial" w:cs="Arial"/>
          <w:i/>
          <w:iCs/>
          <w:noProof/>
          <w:sz w:val="20"/>
          <w:szCs w:val="24"/>
        </w:rPr>
        <w:t>American Psychologist</w:t>
      </w:r>
      <w:r w:rsidRPr="00FF2810">
        <w:rPr>
          <w:rFonts w:ascii="Arial" w:hAnsi="Arial" w:cs="Arial"/>
          <w:noProof/>
          <w:sz w:val="20"/>
          <w:szCs w:val="24"/>
        </w:rPr>
        <w:t xml:space="preserve"> 59(8): 676–84.</w:t>
      </w:r>
    </w:p>
    <w:p w14:paraId="4AFAA775" w14:textId="77777777" w:rsidR="00D547F6" w:rsidRPr="00FF2810" w:rsidRDefault="00D547F6" w:rsidP="00FF2810">
      <w:pPr>
        <w:pStyle w:val="ListParagraph"/>
        <w:widowControl w:val="0"/>
        <w:numPr>
          <w:ilvl w:val="0"/>
          <w:numId w:val="21"/>
        </w:numPr>
        <w:autoSpaceDE w:val="0"/>
        <w:autoSpaceDN w:val="0"/>
        <w:adjustRightInd w:val="0"/>
        <w:spacing w:after="0" w:line="240" w:lineRule="auto"/>
        <w:rPr>
          <w:rFonts w:ascii="Arial" w:hAnsi="Arial" w:cs="Arial"/>
          <w:noProof/>
          <w:sz w:val="20"/>
          <w:szCs w:val="24"/>
        </w:rPr>
      </w:pPr>
      <w:r w:rsidRPr="00FF2810">
        <w:rPr>
          <w:rFonts w:ascii="Arial" w:hAnsi="Arial" w:cs="Arial"/>
          <w:noProof/>
          <w:sz w:val="20"/>
          <w:szCs w:val="24"/>
        </w:rPr>
        <w:t xml:space="preserve">Fornell, Claes, and David F. Larcker. 1981. “Structural Equation Models with Unobservable Variables and Measurement Error: Algebra and Statistics.” </w:t>
      </w:r>
      <w:r w:rsidRPr="00FF2810">
        <w:rPr>
          <w:rFonts w:ascii="Arial" w:hAnsi="Arial" w:cs="Arial"/>
          <w:i/>
          <w:iCs/>
          <w:noProof/>
          <w:sz w:val="20"/>
          <w:szCs w:val="24"/>
        </w:rPr>
        <w:t>Journal of Marketing Research</w:t>
      </w:r>
      <w:r w:rsidRPr="00FF2810">
        <w:rPr>
          <w:rFonts w:ascii="Arial" w:hAnsi="Arial" w:cs="Arial"/>
          <w:noProof/>
          <w:sz w:val="20"/>
          <w:szCs w:val="24"/>
        </w:rPr>
        <w:t xml:space="preserve"> 18(3): 382–88. https://journals.sagepub.com/doi/10.1177/002224378101800313.</w:t>
      </w:r>
    </w:p>
    <w:p w14:paraId="0CF712F7" w14:textId="77777777" w:rsidR="00D547F6" w:rsidRPr="00FF2810" w:rsidRDefault="00D547F6" w:rsidP="00FF2810">
      <w:pPr>
        <w:pStyle w:val="ListParagraph"/>
        <w:widowControl w:val="0"/>
        <w:numPr>
          <w:ilvl w:val="0"/>
          <w:numId w:val="21"/>
        </w:numPr>
        <w:autoSpaceDE w:val="0"/>
        <w:autoSpaceDN w:val="0"/>
        <w:adjustRightInd w:val="0"/>
        <w:spacing w:after="0" w:line="240" w:lineRule="auto"/>
        <w:rPr>
          <w:rFonts w:ascii="Arial" w:hAnsi="Arial" w:cs="Arial"/>
          <w:noProof/>
          <w:sz w:val="20"/>
          <w:szCs w:val="24"/>
        </w:rPr>
      </w:pPr>
      <w:r w:rsidRPr="00FF2810">
        <w:rPr>
          <w:rFonts w:ascii="Arial" w:hAnsi="Arial" w:cs="Arial"/>
          <w:noProof/>
          <w:sz w:val="20"/>
          <w:szCs w:val="24"/>
        </w:rPr>
        <w:t xml:space="preserve">Ghasemzadeh, Behnam et al. 2026. “Social Challenges in Smart Cities: A Scoping Review and Framework for Policy Action.” </w:t>
      </w:r>
      <w:r w:rsidRPr="00FF2810">
        <w:rPr>
          <w:rFonts w:ascii="Arial" w:hAnsi="Arial" w:cs="Arial"/>
          <w:i/>
          <w:iCs/>
          <w:noProof/>
          <w:sz w:val="20"/>
          <w:szCs w:val="24"/>
        </w:rPr>
        <w:t>Technology in Society</w:t>
      </w:r>
      <w:r w:rsidRPr="00FF2810">
        <w:rPr>
          <w:rFonts w:ascii="Arial" w:hAnsi="Arial" w:cs="Arial"/>
          <w:noProof/>
          <w:sz w:val="20"/>
          <w:szCs w:val="24"/>
        </w:rPr>
        <w:t xml:space="preserve"> 84(February 2025): 103130. https://doi.org/10.1016/j.techsoc.2025.103130.</w:t>
      </w:r>
    </w:p>
    <w:p w14:paraId="7D9F50F0" w14:textId="77777777" w:rsidR="00D547F6" w:rsidRPr="00FF2810" w:rsidRDefault="00D547F6" w:rsidP="00FF2810">
      <w:pPr>
        <w:pStyle w:val="ListParagraph"/>
        <w:widowControl w:val="0"/>
        <w:numPr>
          <w:ilvl w:val="0"/>
          <w:numId w:val="21"/>
        </w:numPr>
        <w:autoSpaceDE w:val="0"/>
        <w:autoSpaceDN w:val="0"/>
        <w:adjustRightInd w:val="0"/>
        <w:spacing w:after="0" w:line="240" w:lineRule="auto"/>
        <w:rPr>
          <w:rFonts w:ascii="Arial" w:hAnsi="Arial" w:cs="Arial"/>
          <w:noProof/>
          <w:sz w:val="20"/>
          <w:szCs w:val="24"/>
        </w:rPr>
      </w:pPr>
      <w:r w:rsidRPr="00FF2810">
        <w:rPr>
          <w:rFonts w:ascii="Arial" w:hAnsi="Arial" w:cs="Arial"/>
          <w:noProof/>
          <w:sz w:val="20"/>
          <w:szCs w:val="24"/>
        </w:rPr>
        <w:t xml:space="preserve">Gibson, J L, J M Ivancevich, J H Donnelly, and R Konopaske. 2012. </w:t>
      </w:r>
      <w:r w:rsidRPr="00FF2810">
        <w:rPr>
          <w:rFonts w:ascii="Arial" w:hAnsi="Arial" w:cs="Arial"/>
          <w:i/>
          <w:iCs/>
          <w:noProof/>
          <w:sz w:val="20"/>
          <w:szCs w:val="24"/>
        </w:rPr>
        <w:t>Organization: Behavior, Structure, Processes</w:t>
      </w:r>
      <w:r w:rsidRPr="00FF2810">
        <w:rPr>
          <w:rFonts w:ascii="Arial" w:hAnsi="Arial" w:cs="Arial"/>
          <w:noProof/>
          <w:sz w:val="20"/>
          <w:szCs w:val="24"/>
        </w:rPr>
        <w:t>. Paul Ducha. ed. Paul Ducham. McGraw-Hill Companies. https://books.google.co.id/books?id=JsAKaAEACAAJ.</w:t>
      </w:r>
    </w:p>
    <w:p w14:paraId="63F104C4" w14:textId="77777777" w:rsidR="00D547F6" w:rsidRPr="00FF2810" w:rsidRDefault="00D547F6" w:rsidP="00FF2810">
      <w:pPr>
        <w:pStyle w:val="ListParagraph"/>
        <w:widowControl w:val="0"/>
        <w:numPr>
          <w:ilvl w:val="0"/>
          <w:numId w:val="21"/>
        </w:numPr>
        <w:autoSpaceDE w:val="0"/>
        <w:autoSpaceDN w:val="0"/>
        <w:adjustRightInd w:val="0"/>
        <w:spacing w:after="0" w:line="240" w:lineRule="auto"/>
        <w:rPr>
          <w:rFonts w:ascii="Arial" w:hAnsi="Arial" w:cs="Arial"/>
          <w:noProof/>
          <w:sz w:val="20"/>
          <w:szCs w:val="24"/>
        </w:rPr>
      </w:pPr>
      <w:r w:rsidRPr="00FF2810">
        <w:rPr>
          <w:rFonts w:ascii="Arial" w:hAnsi="Arial" w:cs="Arial"/>
          <w:noProof/>
          <w:sz w:val="20"/>
          <w:szCs w:val="24"/>
        </w:rPr>
        <w:t xml:space="preserve">Gijón, Covadonga, Fernando Fernández-Bonilla, and Aurora Ruíz-Rúa. 2025. “Different Approaches to Spanish E-Government: From Use to Impact.” </w:t>
      </w:r>
      <w:r w:rsidRPr="00FF2810">
        <w:rPr>
          <w:rFonts w:ascii="Arial" w:hAnsi="Arial" w:cs="Arial"/>
          <w:i/>
          <w:iCs/>
          <w:noProof/>
          <w:sz w:val="20"/>
          <w:szCs w:val="24"/>
        </w:rPr>
        <w:t>Telecommunications Policy</w:t>
      </w:r>
      <w:r w:rsidRPr="00FF2810">
        <w:rPr>
          <w:rFonts w:ascii="Arial" w:hAnsi="Arial" w:cs="Arial"/>
          <w:noProof/>
          <w:sz w:val="20"/>
          <w:szCs w:val="24"/>
        </w:rPr>
        <w:t xml:space="preserve"> 49(3): 102918. https://linkinghub.elsevier.com/retrieve/pii/S0308596125000151.</w:t>
      </w:r>
    </w:p>
    <w:p w14:paraId="3050BD87" w14:textId="77777777" w:rsidR="00D547F6" w:rsidRPr="00FF2810" w:rsidRDefault="00D547F6" w:rsidP="00FF2810">
      <w:pPr>
        <w:pStyle w:val="ListParagraph"/>
        <w:widowControl w:val="0"/>
        <w:numPr>
          <w:ilvl w:val="0"/>
          <w:numId w:val="21"/>
        </w:numPr>
        <w:autoSpaceDE w:val="0"/>
        <w:autoSpaceDN w:val="0"/>
        <w:adjustRightInd w:val="0"/>
        <w:spacing w:after="0" w:line="240" w:lineRule="auto"/>
        <w:rPr>
          <w:rFonts w:ascii="Arial" w:hAnsi="Arial" w:cs="Arial"/>
          <w:noProof/>
          <w:sz w:val="20"/>
          <w:szCs w:val="24"/>
        </w:rPr>
      </w:pPr>
      <w:r w:rsidRPr="00FF2810">
        <w:rPr>
          <w:rFonts w:ascii="Arial" w:hAnsi="Arial" w:cs="Arial"/>
          <w:noProof/>
          <w:sz w:val="20"/>
          <w:szCs w:val="24"/>
        </w:rPr>
        <w:t xml:space="preserve">Hair., J, F. et al. 2022. “Partial Least Squares Structural Equation Modeling.” In </w:t>
      </w:r>
      <w:r w:rsidRPr="00FF2810">
        <w:rPr>
          <w:rFonts w:ascii="Arial" w:hAnsi="Arial" w:cs="Arial"/>
          <w:i/>
          <w:iCs/>
          <w:noProof/>
          <w:sz w:val="20"/>
          <w:szCs w:val="24"/>
        </w:rPr>
        <w:t>Handbook of Market Research</w:t>
      </w:r>
      <w:r w:rsidRPr="00FF2810">
        <w:rPr>
          <w:rFonts w:ascii="Arial" w:hAnsi="Arial" w:cs="Arial"/>
          <w:noProof/>
          <w:sz w:val="20"/>
          <w:szCs w:val="24"/>
        </w:rPr>
        <w:t>, Cham: Springer International Publishing, 587–632. https://link.springer.com/10.1007/978-3-319-57413-4_15.</w:t>
      </w:r>
    </w:p>
    <w:p w14:paraId="2483B438" w14:textId="77777777" w:rsidR="00D547F6" w:rsidRPr="00FF2810" w:rsidRDefault="00D547F6" w:rsidP="00FF2810">
      <w:pPr>
        <w:pStyle w:val="ListParagraph"/>
        <w:widowControl w:val="0"/>
        <w:numPr>
          <w:ilvl w:val="0"/>
          <w:numId w:val="21"/>
        </w:numPr>
        <w:autoSpaceDE w:val="0"/>
        <w:autoSpaceDN w:val="0"/>
        <w:adjustRightInd w:val="0"/>
        <w:spacing w:after="0" w:line="240" w:lineRule="auto"/>
        <w:rPr>
          <w:rFonts w:ascii="Arial" w:hAnsi="Arial" w:cs="Arial"/>
          <w:noProof/>
          <w:sz w:val="20"/>
          <w:szCs w:val="24"/>
        </w:rPr>
      </w:pPr>
      <w:r w:rsidRPr="00FF2810">
        <w:rPr>
          <w:rFonts w:ascii="Arial" w:hAnsi="Arial" w:cs="Arial"/>
          <w:noProof/>
          <w:sz w:val="20"/>
          <w:szCs w:val="24"/>
        </w:rPr>
        <w:t xml:space="preserve">Hair at al. 2019. 19 Annabel Ainscow </w:t>
      </w:r>
      <w:r w:rsidRPr="00FF2810">
        <w:rPr>
          <w:rFonts w:ascii="Arial" w:hAnsi="Arial" w:cs="Arial"/>
          <w:i/>
          <w:iCs/>
          <w:noProof/>
          <w:sz w:val="20"/>
          <w:szCs w:val="24"/>
        </w:rPr>
        <w:t>Multivariate Data Analysis (Sixth Edition)</w:t>
      </w:r>
      <w:r w:rsidRPr="00FF2810">
        <w:rPr>
          <w:rFonts w:ascii="Arial" w:hAnsi="Arial" w:cs="Arial"/>
          <w:noProof/>
          <w:sz w:val="20"/>
          <w:szCs w:val="24"/>
        </w:rPr>
        <w:t>. https://eli.johogo.com/Class/CCU/SEM/_Multivariate Data Analysis_Hair.pdf.</w:t>
      </w:r>
    </w:p>
    <w:p w14:paraId="6BA58974" w14:textId="77777777" w:rsidR="00D547F6" w:rsidRPr="00FF2810" w:rsidRDefault="00D547F6" w:rsidP="00FF2810">
      <w:pPr>
        <w:pStyle w:val="ListParagraph"/>
        <w:widowControl w:val="0"/>
        <w:numPr>
          <w:ilvl w:val="0"/>
          <w:numId w:val="21"/>
        </w:numPr>
        <w:autoSpaceDE w:val="0"/>
        <w:autoSpaceDN w:val="0"/>
        <w:adjustRightInd w:val="0"/>
        <w:spacing w:after="0" w:line="240" w:lineRule="auto"/>
        <w:rPr>
          <w:rFonts w:ascii="Arial" w:hAnsi="Arial" w:cs="Arial"/>
          <w:noProof/>
          <w:sz w:val="20"/>
          <w:szCs w:val="24"/>
        </w:rPr>
      </w:pPr>
      <w:r w:rsidRPr="00FF2810">
        <w:rPr>
          <w:rFonts w:ascii="Arial" w:hAnsi="Arial" w:cs="Arial"/>
          <w:noProof/>
          <w:sz w:val="20"/>
          <w:szCs w:val="24"/>
        </w:rPr>
        <w:t xml:space="preserve">Hair, Joe F., Matthew C. Howard, and Christian Nitzl. 2020. “Assessing Measurement Model Quality in PLS-SEM Using Confirmatory Composite Analysis.” </w:t>
      </w:r>
      <w:r w:rsidRPr="00FF2810">
        <w:rPr>
          <w:rFonts w:ascii="Arial" w:hAnsi="Arial" w:cs="Arial"/>
          <w:i/>
          <w:iCs/>
          <w:noProof/>
          <w:sz w:val="20"/>
          <w:szCs w:val="24"/>
        </w:rPr>
        <w:t>Journal of Business Research</w:t>
      </w:r>
      <w:r w:rsidRPr="00FF2810">
        <w:rPr>
          <w:rFonts w:ascii="Arial" w:hAnsi="Arial" w:cs="Arial"/>
          <w:noProof/>
          <w:sz w:val="20"/>
          <w:szCs w:val="24"/>
        </w:rPr>
        <w:t xml:space="preserve"> 109(November 2019): 101–10. https://doi.org/10.1016/j.jbusres.2019.11.069.</w:t>
      </w:r>
    </w:p>
    <w:p w14:paraId="4897216C" w14:textId="77777777" w:rsidR="00D547F6" w:rsidRPr="00FF2810" w:rsidRDefault="00D547F6" w:rsidP="00FF2810">
      <w:pPr>
        <w:pStyle w:val="ListParagraph"/>
        <w:widowControl w:val="0"/>
        <w:numPr>
          <w:ilvl w:val="0"/>
          <w:numId w:val="21"/>
        </w:numPr>
        <w:autoSpaceDE w:val="0"/>
        <w:autoSpaceDN w:val="0"/>
        <w:adjustRightInd w:val="0"/>
        <w:spacing w:after="0" w:line="240" w:lineRule="auto"/>
        <w:rPr>
          <w:rFonts w:ascii="Arial" w:hAnsi="Arial" w:cs="Arial"/>
          <w:noProof/>
          <w:sz w:val="20"/>
          <w:szCs w:val="24"/>
        </w:rPr>
      </w:pPr>
      <w:r w:rsidRPr="00FF2810">
        <w:rPr>
          <w:rFonts w:ascii="Arial" w:hAnsi="Arial" w:cs="Arial"/>
          <w:noProof/>
          <w:sz w:val="20"/>
          <w:szCs w:val="24"/>
        </w:rPr>
        <w:t xml:space="preserve">Henseler, Jörg, Christian M. Ringle, and Marko Sarstedt. 2015. “A New Criterion for Assessing Discriminant Validity in Variance-Based Structural Equation Modeling.” </w:t>
      </w:r>
      <w:r w:rsidRPr="00FF2810">
        <w:rPr>
          <w:rFonts w:ascii="Arial" w:hAnsi="Arial" w:cs="Arial"/>
          <w:i/>
          <w:iCs/>
          <w:noProof/>
          <w:sz w:val="20"/>
          <w:szCs w:val="24"/>
        </w:rPr>
        <w:t>Journal of the Academy of Marketing Science</w:t>
      </w:r>
      <w:r w:rsidRPr="00FF2810">
        <w:rPr>
          <w:rFonts w:ascii="Arial" w:hAnsi="Arial" w:cs="Arial"/>
          <w:noProof/>
          <w:sz w:val="20"/>
          <w:szCs w:val="24"/>
        </w:rPr>
        <w:t xml:space="preserve"> 43(1): 115–35.</w:t>
      </w:r>
    </w:p>
    <w:p w14:paraId="68EA16DB" w14:textId="77777777" w:rsidR="00D547F6" w:rsidRPr="00FF2810" w:rsidRDefault="00D547F6" w:rsidP="00FF2810">
      <w:pPr>
        <w:pStyle w:val="ListParagraph"/>
        <w:widowControl w:val="0"/>
        <w:numPr>
          <w:ilvl w:val="0"/>
          <w:numId w:val="21"/>
        </w:numPr>
        <w:autoSpaceDE w:val="0"/>
        <w:autoSpaceDN w:val="0"/>
        <w:adjustRightInd w:val="0"/>
        <w:spacing w:after="0" w:line="240" w:lineRule="auto"/>
        <w:rPr>
          <w:rFonts w:ascii="Arial" w:hAnsi="Arial" w:cs="Arial"/>
          <w:noProof/>
          <w:sz w:val="20"/>
          <w:szCs w:val="24"/>
        </w:rPr>
      </w:pPr>
      <w:r w:rsidRPr="00FF2810">
        <w:rPr>
          <w:rFonts w:ascii="Arial" w:hAnsi="Arial" w:cs="Arial"/>
          <w:noProof/>
          <w:sz w:val="20"/>
          <w:szCs w:val="24"/>
        </w:rPr>
        <w:t xml:space="preserve">Hudalah, Delik. 2023. “Building a Capital City, Carving out a Megaproject Legacy?” </w:t>
      </w:r>
      <w:r w:rsidRPr="00FF2810">
        <w:rPr>
          <w:rFonts w:ascii="Arial" w:hAnsi="Arial" w:cs="Arial"/>
          <w:i/>
          <w:iCs/>
          <w:noProof/>
          <w:sz w:val="20"/>
          <w:szCs w:val="24"/>
        </w:rPr>
        <w:t>Habitat International</w:t>
      </w:r>
      <w:r w:rsidRPr="00FF2810">
        <w:rPr>
          <w:rFonts w:ascii="Arial" w:hAnsi="Arial" w:cs="Arial"/>
          <w:noProof/>
          <w:sz w:val="20"/>
          <w:szCs w:val="24"/>
        </w:rPr>
        <w:t xml:space="preserve"> 141: 102933. https://linkinghub.elsevier.com/retrieve/pii/S0197397523001935.</w:t>
      </w:r>
    </w:p>
    <w:p w14:paraId="777BBB9A" w14:textId="77777777" w:rsidR="00D547F6" w:rsidRPr="00FF2810" w:rsidRDefault="00D547F6" w:rsidP="00FF2810">
      <w:pPr>
        <w:pStyle w:val="ListParagraph"/>
        <w:widowControl w:val="0"/>
        <w:numPr>
          <w:ilvl w:val="0"/>
          <w:numId w:val="21"/>
        </w:numPr>
        <w:autoSpaceDE w:val="0"/>
        <w:autoSpaceDN w:val="0"/>
        <w:adjustRightInd w:val="0"/>
        <w:spacing w:after="0" w:line="240" w:lineRule="auto"/>
        <w:rPr>
          <w:rFonts w:ascii="Arial" w:hAnsi="Arial" w:cs="Arial"/>
          <w:noProof/>
          <w:sz w:val="20"/>
          <w:szCs w:val="24"/>
        </w:rPr>
      </w:pPr>
      <w:r w:rsidRPr="00FF2810">
        <w:rPr>
          <w:rFonts w:ascii="Arial" w:hAnsi="Arial" w:cs="Arial"/>
          <w:noProof/>
          <w:sz w:val="20"/>
          <w:szCs w:val="24"/>
        </w:rPr>
        <w:t xml:space="preserve">Keefe, Elyse M. et al. 2024. “Using an Adapted Community Readiness Assessment to Inform Vision Zero and Safe Systems Action.” </w:t>
      </w:r>
      <w:r w:rsidRPr="00FF2810">
        <w:rPr>
          <w:rFonts w:ascii="Arial" w:hAnsi="Arial" w:cs="Arial"/>
          <w:i/>
          <w:iCs/>
          <w:noProof/>
          <w:sz w:val="20"/>
          <w:szCs w:val="24"/>
        </w:rPr>
        <w:t>Transportation Research Interdisciplinary Perspectives</w:t>
      </w:r>
      <w:r w:rsidRPr="00FF2810">
        <w:rPr>
          <w:rFonts w:ascii="Arial" w:hAnsi="Arial" w:cs="Arial"/>
          <w:noProof/>
          <w:sz w:val="20"/>
          <w:szCs w:val="24"/>
        </w:rPr>
        <w:t xml:space="preserve"> 23(September 2023): 100992. https://doi.org/10.1016/j.trip.2023.100992.</w:t>
      </w:r>
    </w:p>
    <w:p w14:paraId="60D9004C" w14:textId="77777777" w:rsidR="00D547F6" w:rsidRPr="00FF2810" w:rsidRDefault="00D547F6" w:rsidP="00FF2810">
      <w:pPr>
        <w:pStyle w:val="ListParagraph"/>
        <w:widowControl w:val="0"/>
        <w:numPr>
          <w:ilvl w:val="0"/>
          <w:numId w:val="21"/>
        </w:numPr>
        <w:autoSpaceDE w:val="0"/>
        <w:autoSpaceDN w:val="0"/>
        <w:adjustRightInd w:val="0"/>
        <w:spacing w:after="0" w:line="240" w:lineRule="auto"/>
        <w:rPr>
          <w:rFonts w:ascii="Arial" w:hAnsi="Arial" w:cs="Arial"/>
          <w:noProof/>
          <w:sz w:val="20"/>
          <w:szCs w:val="24"/>
        </w:rPr>
      </w:pPr>
      <w:r w:rsidRPr="00FF2810">
        <w:rPr>
          <w:rFonts w:ascii="Arial" w:hAnsi="Arial" w:cs="Arial"/>
          <w:noProof/>
          <w:sz w:val="20"/>
          <w:szCs w:val="24"/>
        </w:rPr>
        <w:t xml:space="preserve">Kruhlov, Vitalii, and Jaroslav Dvorak. 2025. “Social Inclusivity in the Smart City Governance: Overcoming the Digital Divide.” </w:t>
      </w:r>
      <w:r w:rsidRPr="00FF2810">
        <w:rPr>
          <w:rFonts w:ascii="Arial" w:hAnsi="Arial" w:cs="Arial"/>
          <w:i/>
          <w:iCs/>
          <w:noProof/>
          <w:sz w:val="20"/>
          <w:szCs w:val="24"/>
        </w:rPr>
        <w:t>Sustainability</w:t>
      </w:r>
      <w:r w:rsidRPr="00FF2810">
        <w:rPr>
          <w:rFonts w:ascii="Arial" w:hAnsi="Arial" w:cs="Arial"/>
          <w:noProof/>
          <w:sz w:val="20"/>
          <w:szCs w:val="24"/>
        </w:rPr>
        <w:t xml:space="preserve"> 17(13): 5735. https://www.mdpi.com/2071-1050/17/13/5735.</w:t>
      </w:r>
    </w:p>
    <w:p w14:paraId="7FED5F76" w14:textId="77777777" w:rsidR="00D547F6" w:rsidRPr="00FF2810" w:rsidRDefault="00D547F6" w:rsidP="00FF2810">
      <w:pPr>
        <w:pStyle w:val="ListParagraph"/>
        <w:widowControl w:val="0"/>
        <w:numPr>
          <w:ilvl w:val="0"/>
          <w:numId w:val="21"/>
        </w:numPr>
        <w:autoSpaceDE w:val="0"/>
        <w:autoSpaceDN w:val="0"/>
        <w:adjustRightInd w:val="0"/>
        <w:spacing w:after="0" w:line="240" w:lineRule="auto"/>
        <w:rPr>
          <w:rFonts w:ascii="Arial" w:hAnsi="Arial" w:cs="Arial"/>
          <w:noProof/>
          <w:sz w:val="20"/>
          <w:szCs w:val="24"/>
        </w:rPr>
      </w:pPr>
      <w:r w:rsidRPr="00FF2810">
        <w:rPr>
          <w:rFonts w:ascii="Arial" w:hAnsi="Arial" w:cs="Arial"/>
          <w:noProof/>
          <w:sz w:val="20"/>
          <w:szCs w:val="24"/>
        </w:rPr>
        <w:t xml:space="preserve">Niknam, Mahdieh et al. 2023. “Adapting the Community Readiness Model and Validating a Community Readiness Tool for Childhood Obesity Prevention Programs in Iran.” </w:t>
      </w:r>
      <w:r w:rsidRPr="00FF2810">
        <w:rPr>
          <w:rFonts w:ascii="Arial" w:hAnsi="Arial" w:cs="Arial"/>
          <w:i/>
          <w:iCs/>
          <w:noProof/>
          <w:sz w:val="20"/>
          <w:szCs w:val="24"/>
        </w:rPr>
        <w:t>Journal of Preventive Medicine and Public Health</w:t>
      </w:r>
      <w:r w:rsidRPr="00FF2810">
        <w:rPr>
          <w:rFonts w:ascii="Arial" w:hAnsi="Arial" w:cs="Arial"/>
          <w:noProof/>
          <w:sz w:val="20"/>
          <w:szCs w:val="24"/>
        </w:rPr>
        <w:t xml:space="preserve"> 56(1): 77–87.</w:t>
      </w:r>
    </w:p>
    <w:p w14:paraId="50743BBC" w14:textId="77777777" w:rsidR="00D547F6" w:rsidRPr="00FF2810" w:rsidRDefault="00D547F6" w:rsidP="00FF2810">
      <w:pPr>
        <w:pStyle w:val="ListParagraph"/>
        <w:widowControl w:val="0"/>
        <w:numPr>
          <w:ilvl w:val="0"/>
          <w:numId w:val="21"/>
        </w:numPr>
        <w:autoSpaceDE w:val="0"/>
        <w:autoSpaceDN w:val="0"/>
        <w:adjustRightInd w:val="0"/>
        <w:spacing w:after="0" w:line="240" w:lineRule="auto"/>
        <w:rPr>
          <w:rFonts w:ascii="Arial" w:hAnsi="Arial" w:cs="Arial"/>
          <w:noProof/>
          <w:sz w:val="20"/>
          <w:szCs w:val="24"/>
        </w:rPr>
      </w:pPr>
      <w:r w:rsidRPr="00FF2810">
        <w:rPr>
          <w:rFonts w:ascii="Arial" w:hAnsi="Arial" w:cs="Arial"/>
          <w:noProof/>
          <w:sz w:val="20"/>
          <w:szCs w:val="24"/>
        </w:rPr>
        <w:t xml:space="preserve">Pasamai, Syamsuddin, and Salle Salle. 2024. “The Role of The National Land Agency (BPN) In Resolving Land Disputes In Indonesia.” </w:t>
      </w:r>
      <w:r w:rsidRPr="00FF2810">
        <w:rPr>
          <w:rFonts w:ascii="Arial" w:hAnsi="Arial" w:cs="Arial"/>
          <w:i/>
          <w:iCs/>
          <w:noProof/>
          <w:sz w:val="20"/>
          <w:szCs w:val="24"/>
        </w:rPr>
        <w:t>Asian Journal of Social and Humanities</w:t>
      </w:r>
      <w:r w:rsidRPr="00FF2810">
        <w:rPr>
          <w:rFonts w:ascii="Arial" w:hAnsi="Arial" w:cs="Arial"/>
          <w:noProof/>
          <w:sz w:val="20"/>
          <w:szCs w:val="24"/>
        </w:rPr>
        <w:t xml:space="preserve"> 2(10): 2195–2202. https://ajosh.org/index.php/jsh/article/view/352.</w:t>
      </w:r>
    </w:p>
    <w:p w14:paraId="16247D88" w14:textId="77777777" w:rsidR="00D547F6" w:rsidRPr="00FF2810" w:rsidRDefault="00D547F6" w:rsidP="00FF2810">
      <w:pPr>
        <w:pStyle w:val="ListParagraph"/>
        <w:widowControl w:val="0"/>
        <w:numPr>
          <w:ilvl w:val="0"/>
          <w:numId w:val="21"/>
        </w:numPr>
        <w:autoSpaceDE w:val="0"/>
        <w:autoSpaceDN w:val="0"/>
        <w:adjustRightInd w:val="0"/>
        <w:spacing w:after="0" w:line="240" w:lineRule="auto"/>
        <w:rPr>
          <w:rFonts w:ascii="Arial" w:hAnsi="Arial" w:cs="Arial"/>
          <w:noProof/>
          <w:sz w:val="20"/>
          <w:szCs w:val="24"/>
        </w:rPr>
      </w:pPr>
      <w:r w:rsidRPr="00FF2810">
        <w:rPr>
          <w:rFonts w:ascii="Arial" w:hAnsi="Arial" w:cs="Arial"/>
          <w:noProof/>
          <w:sz w:val="20"/>
          <w:szCs w:val="24"/>
        </w:rPr>
        <w:t xml:space="preserve">Peeters, Rik, Susan M. Miller, and Marc Schuilenburg. 2025. “Digital Government Inclusion: Exploring Strategies for Inclusive Government Automation.” </w:t>
      </w:r>
      <w:r w:rsidRPr="00FF2810">
        <w:rPr>
          <w:rFonts w:ascii="Arial" w:hAnsi="Arial" w:cs="Arial"/>
          <w:i/>
          <w:iCs/>
          <w:noProof/>
          <w:sz w:val="20"/>
          <w:szCs w:val="24"/>
        </w:rPr>
        <w:t>Government Information Quarterly</w:t>
      </w:r>
      <w:r w:rsidRPr="00FF2810">
        <w:rPr>
          <w:rFonts w:ascii="Arial" w:hAnsi="Arial" w:cs="Arial"/>
          <w:noProof/>
          <w:sz w:val="20"/>
          <w:szCs w:val="24"/>
        </w:rPr>
        <w:t xml:space="preserve"> </w:t>
      </w:r>
      <w:r w:rsidRPr="00FF2810">
        <w:rPr>
          <w:rFonts w:ascii="Arial" w:hAnsi="Arial" w:cs="Arial"/>
          <w:noProof/>
          <w:sz w:val="20"/>
          <w:szCs w:val="24"/>
        </w:rPr>
        <w:lastRenderedPageBreak/>
        <w:t>42(2): 102028. https://doi.org/10.1016/j.giq.2025.102028.</w:t>
      </w:r>
    </w:p>
    <w:p w14:paraId="10F082E8" w14:textId="77777777" w:rsidR="00D547F6" w:rsidRPr="00FF2810" w:rsidRDefault="00D547F6" w:rsidP="00FF2810">
      <w:pPr>
        <w:pStyle w:val="ListParagraph"/>
        <w:widowControl w:val="0"/>
        <w:numPr>
          <w:ilvl w:val="0"/>
          <w:numId w:val="21"/>
        </w:numPr>
        <w:autoSpaceDE w:val="0"/>
        <w:autoSpaceDN w:val="0"/>
        <w:adjustRightInd w:val="0"/>
        <w:spacing w:after="0" w:line="240" w:lineRule="auto"/>
        <w:rPr>
          <w:rFonts w:ascii="Arial" w:hAnsi="Arial" w:cs="Arial"/>
          <w:noProof/>
          <w:sz w:val="20"/>
          <w:szCs w:val="24"/>
        </w:rPr>
      </w:pPr>
      <w:r w:rsidRPr="00FF2810">
        <w:rPr>
          <w:rFonts w:ascii="Arial" w:hAnsi="Arial" w:cs="Arial"/>
          <w:noProof/>
          <w:sz w:val="20"/>
          <w:szCs w:val="24"/>
        </w:rPr>
        <w:t xml:space="preserve">Podsakoff, Philip M., Scott B. MacKenzie, and Nathan P. Podsakoff. 2012. “Sources of Method Bias in Social Science Research and Recommendations on How to Control It.” </w:t>
      </w:r>
      <w:r w:rsidRPr="00FF2810">
        <w:rPr>
          <w:rFonts w:ascii="Arial" w:hAnsi="Arial" w:cs="Arial"/>
          <w:i/>
          <w:iCs/>
          <w:noProof/>
          <w:sz w:val="20"/>
          <w:szCs w:val="24"/>
        </w:rPr>
        <w:t>Annual Review of Psychology</w:t>
      </w:r>
      <w:r w:rsidRPr="00FF2810">
        <w:rPr>
          <w:rFonts w:ascii="Arial" w:hAnsi="Arial" w:cs="Arial"/>
          <w:noProof/>
          <w:sz w:val="20"/>
          <w:szCs w:val="24"/>
        </w:rPr>
        <w:t xml:space="preserve"> 63: 539–69.</w:t>
      </w:r>
    </w:p>
    <w:p w14:paraId="75DAB01B" w14:textId="77777777" w:rsidR="00D547F6" w:rsidRPr="00FF2810" w:rsidRDefault="00D547F6" w:rsidP="00FF2810">
      <w:pPr>
        <w:pStyle w:val="ListParagraph"/>
        <w:widowControl w:val="0"/>
        <w:numPr>
          <w:ilvl w:val="0"/>
          <w:numId w:val="21"/>
        </w:numPr>
        <w:autoSpaceDE w:val="0"/>
        <w:autoSpaceDN w:val="0"/>
        <w:adjustRightInd w:val="0"/>
        <w:spacing w:after="0" w:line="240" w:lineRule="auto"/>
        <w:rPr>
          <w:rFonts w:ascii="Arial" w:hAnsi="Arial" w:cs="Arial"/>
          <w:noProof/>
          <w:sz w:val="20"/>
          <w:szCs w:val="24"/>
        </w:rPr>
      </w:pPr>
      <w:r w:rsidRPr="00FF2810">
        <w:rPr>
          <w:rFonts w:ascii="Arial" w:hAnsi="Arial" w:cs="Arial"/>
          <w:noProof/>
          <w:sz w:val="20"/>
          <w:szCs w:val="24"/>
        </w:rPr>
        <w:t xml:space="preserve">R.B. Kline. 2016. 1 thE GuiLFord PrESS new York London </w:t>
      </w:r>
      <w:r w:rsidRPr="00FF2810">
        <w:rPr>
          <w:rFonts w:ascii="Arial" w:hAnsi="Arial" w:cs="Arial"/>
          <w:i/>
          <w:iCs/>
          <w:noProof/>
          <w:sz w:val="20"/>
          <w:szCs w:val="24"/>
        </w:rPr>
        <w:t>Principles and Practice of Structural Equation Modeling</w:t>
      </w:r>
      <w:r w:rsidRPr="00FF2810">
        <w:rPr>
          <w:rFonts w:ascii="Arial" w:hAnsi="Arial" w:cs="Arial"/>
          <w:noProof/>
          <w:sz w:val="20"/>
          <w:szCs w:val="24"/>
        </w:rPr>
        <w:t>. https://dl.icdst.org/pdfs/files4/befc0f8521c770249dd18726a917cf90.pdf.</w:t>
      </w:r>
    </w:p>
    <w:p w14:paraId="61A2F3FE" w14:textId="77777777" w:rsidR="00D547F6" w:rsidRPr="00FF2810" w:rsidRDefault="00D547F6" w:rsidP="00FF2810">
      <w:pPr>
        <w:pStyle w:val="ListParagraph"/>
        <w:widowControl w:val="0"/>
        <w:numPr>
          <w:ilvl w:val="0"/>
          <w:numId w:val="21"/>
        </w:numPr>
        <w:autoSpaceDE w:val="0"/>
        <w:autoSpaceDN w:val="0"/>
        <w:adjustRightInd w:val="0"/>
        <w:spacing w:after="0" w:line="240" w:lineRule="auto"/>
        <w:rPr>
          <w:rFonts w:ascii="Arial" w:hAnsi="Arial" w:cs="Arial"/>
          <w:noProof/>
          <w:sz w:val="20"/>
          <w:szCs w:val="24"/>
        </w:rPr>
      </w:pPr>
      <w:r w:rsidRPr="00FF2810">
        <w:rPr>
          <w:rFonts w:ascii="Arial" w:hAnsi="Arial" w:cs="Arial"/>
          <w:noProof/>
          <w:sz w:val="20"/>
          <w:szCs w:val="24"/>
        </w:rPr>
        <w:t xml:space="preserve">Rasdi, Nurul Nadiah, Ahmad Najmie Rusli, Nurrul Amilin Zainal Abidin, and Nur Aini Sabrin Manssor. 2024. “Motivation to Study from Home: Balancing Alderfer’s Theory.” </w:t>
      </w:r>
      <w:r w:rsidRPr="00FF2810">
        <w:rPr>
          <w:rFonts w:ascii="Arial" w:hAnsi="Arial" w:cs="Arial"/>
          <w:i/>
          <w:iCs/>
          <w:noProof/>
          <w:sz w:val="20"/>
          <w:szCs w:val="24"/>
        </w:rPr>
        <w:t>International Journal of Academic Research in Business and Social Sciences</w:t>
      </w:r>
      <w:r w:rsidRPr="00FF2810">
        <w:rPr>
          <w:rFonts w:ascii="Arial" w:hAnsi="Arial" w:cs="Arial"/>
          <w:noProof/>
          <w:sz w:val="20"/>
          <w:szCs w:val="24"/>
        </w:rPr>
        <w:t xml:space="preserve"> 14(6): 300–312. https://hrmars.com/journals/papers/IJARBSS/v14-i6/21447.</w:t>
      </w:r>
    </w:p>
    <w:p w14:paraId="43773E9A" w14:textId="77777777" w:rsidR="00D547F6" w:rsidRPr="00FF2810" w:rsidRDefault="00D547F6" w:rsidP="00FF2810">
      <w:pPr>
        <w:pStyle w:val="ListParagraph"/>
        <w:widowControl w:val="0"/>
        <w:numPr>
          <w:ilvl w:val="0"/>
          <w:numId w:val="21"/>
        </w:numPr>
        <w:autoSpaceDE w:val="0"/>
        <w:autoSpaceDN w:val="0"/>
        <w:adjustRightInd w:val="0"/>
        <w:spacing w:after="0" w:line="240" w:lineRule="auto"/>
        <w:rPr>
          <w:rFonts w:ascii="Arial" w:hAnsi="Arial" w:cs="Arial"/>
          <w:noProof/>
          <w:sz w:val="20"/>
          <w:szCs w:val="24"/>
        </w:rPr>
      </w:pPr>
      <w:r w:rsidRPr="00FF2810">
        <w:rPr>
          <w:rFonts w:ascii="Arial" w:hAnsi="Arial" w:cs="Arial"/>
          <w:noProof/>
          <w:sz w:val="20"/>
          <w:szCs w:val="24"/>
        </w:rPr>
        <w:t xml:space="preserve">Ricciutti, Natalie M., Jenny L. Cureton, and Sijia Zhang. 2026. “The Community Readiness Instrument: A Quantitative Measurement Using Statistical Best Practices to Assess Systemic Change Readiness.” </w:t>
      </w:r>
      <w:r w:rsidRPr="00FF2810">
        <w:rPr>
          <w:rFonts w:ascii="Arial" w:hAnsi="Arial" w:cs="Arial"/>
          <w:i/>
          <w:iCs/>
          <w:noProof/>
          <w:sz w:val="20"/>
          <w:szCs w:val="24"/>
        </w:rPr>
        <w:t>Behavioral Sciences</w:t>
      </w:r>
      <w:r w:rsidRPr="00FF2810">
        <w:rPr>
          <w:rFonts w:ascii="Arial" w:hAnsi="Arial" w:cs="Arial"/>
          <w:noProof/>
          <w:sz w:val="20"/>
          <w:szCs w:val="24"/>
        </w:rPr>
        <w:t xml:space="preserve"> 16(1): 153. https://www.mdpi.com/2076-328X/16/1/153.</w:t>
      </w:r>
    </w:p>
    <w:p w14:paraId="50A95FED" w14:textId="77777777" w:rsidR="00D547F6" w:rsidRPr="00FF2810" w:rsidRDefault="00D547F6" w:rsidP="00FF2810">
      <w:pPr>
        <w:pStyle w:val="ListParagraph"/>
        <w:widowControl w:val="0"/>
        <w:numPr>
          <w:ilvl w:val="0"/>
          <w:numId w:val="21"/>
        </w:numPr>
        <w:autoSpaceDE w:val="0"/>
        <w:autoSpaceDN w:val="0"/>
        <w:adjustRightInd w:val="0"/>
        <w:spacing w:after="0" w:line="240" w:lineRule="auto"/>
        <w:rPr>
          <w:rFonts w:ascii="Arial" w:hAnsi="Arial" w:cs="Arial"/>
          <w:noProof/>
          <w:sz w:val="20"/>
          <w:szCs w:val="24"/>
        </w:rPr>
      </w:pPr>
      <w:r w:rsidRPr="00FF2810">
        <w:rPr>
          <w:rFonts w:ascii="Arial" w:hAnsi="Arial" w:cs="Arial"/>
          <w:noProof/>
          <w:sz w:val="20"/>
          <w:szCs w:val="24"/>
        </w:rPr>
        <w:t xml:space="preserve">Sharifi, Ayyoob, Zaheer Allam, Simon Elias Bibri, and Amir Reza Khavarian-Garmsir. 2024. “Smart Cities and Sustainable Development Goals (SDGs): A Systematic Literature Review of Co-Benefits and Trade-Offs.” </w:t>
      </w:r>
      <w:r w:rsidRPr="00FF2810">
        <w:rPr>
          <w:rFonts w:ascii="Arial" w:hAnsi="Arial" w:cs="Arial"/>
          <w:i/>
          <w:iCs/>
          <w:noProof/>
          <w:sz w:val="20"/>
          <w:szCs w:val="24"/>
        </w:rPr>
        <w:t>Cities</w:t>
      </w:r>
      <w:r w:rsidRPr="00FF2810">
        <w:rPr>
          <w:rFonts w:ascii="Arial" w:hAnsi="Arial" w:cs="Arial"/>
          <w:noProof/>
          <w:sz w:val="20"/>
          <w:szCs w:val="24"/>
        </w:rPr>
        <w:t xml:space="preserve"> 146(March 2023): 104659. https://doi.org/10.1016/j.cities.2023.104659.</w:t>
      </w:r>
    </w:p>
    <w:p w14:paraId="0CD1F9F7" w14:textId="77777777" w:rsidR="00D547F6" w:rsidRPr="00FF2810" w:rsidRDefault="00D547F6" w:rsidP="00FF2810">
      <w:pPr>
        <w:pStyle w:val="ListParagraph"/>
        <w:widowControl w:val="0"/>
        <w:numPr>
          <w:ilvl w:val="0"/>
          <w:numId w:val="21"/>
        </w:numPr>
        <w:autoSpaceDE w:val="0"/>
        <w:autoSpaceDN w:val="0"/>
        <w:adjustRightInd w:val="0"/>
        <w:spacing w:after="0" w:line="240" w:lineRule="auto"/>
        <w:rPr>
          <w:rFonts w:ascii="Arial" w:hAnsi="Arial" w:cs="Arial"/>
          <w:noProof/>
          <w:sz w:val="20"/>
          <w:szCs w:val="24"/>
        </w:rPr>
      </w:pPr>
      <w:r w:rsidRPr="00FF2810">
        <w:rPr>
          <w:rFonts w:ascii="Arial" w:hAnsi="Arial" w:cs="Arial"/>
          <w:noProof/>
          <w:sz w:val="20"/>
          <w:szCs w:val="24"/>
        </w:rPr>
        <w:t xml:space="preserve">Syaban, Alfath Satria Negara, and Seth Appiah-Opoku. 2024. “Unveiling the Complexities of Land Use Transition in Indonesia’s New Capital City IKN Nusantara: A Multidimensional Conflict Analysis.” </w:t>
      </w:r>
      <w:r w:rsidRPr="00FF2810">
        <w:rPr>
          <w:rFonts w:ascii="Arial" w:hAnsi="Arial" w:cs="Arial"/>
          <w:i/>
          <w:iCs/>
          <w:noProof/>
          <w:sz w:val="20"/>
          <w:szCs w:val="24"/>
        </w:rPr>
        <w:t>Land</w:t>
      </w:r>
      <w:r w:rsidRPr="00FF2810">
        <w:rPr>
          <w:rFonts w:ascii="Arial" w:hAnsi="Arial" w:cs="Arial"/>
          <w:noProof/>
          <w:sz w:val="20"/>
          <w:szCs w:val="24"/>
        </w:rPr>
        <w:t xml:space="preserve"> 13(5): 606. https://www.mdpi.com/2073-445X/13/5/606.</w:t>
      </w:r>
    </w:p>
    <w:p w14:paraId="6E6F3DA9" w14:textId="77777777" w:rsidR="00D547F6" w:rsidRPr="00FF2810" w:rsidRDefault="00D547F6" w:rsidP="00FF2810">
      <w:pPr>
        <w:pStyle w:val="ListParagraph"/>
        <w:widowControl w:val="0"/>
        <w:numPr>
          <w:ilvl w:val="0"/>
          <w:numId w:val="21"/>
        </w:numPr>
        <w:autoSpaceDE w:val="0"/>
        <w:autoSpaceDN w:val="0"/>
        <w:adjustRightInd w:val="0"/>
        <w:spacing w:after="0" w:line="240" w:lineRule="auto"/>
        <w:rPr>
          <w:rFonts w:ascii="Arial" w:hAnsi="Arial" w:cs="Arial"/>
          <w:noProof/>
          <w:sz w:val="20"/>
          <w:szCs w:val="24"/>
        </w:rPr>
      </w:pPr>
      <w:r w:rsidRPr="00FF2810">
        <w:rPr>
          <w:rFonts w:ascii="Arial" w:hAnsi="Arial" w:cs="Arial"/>
          <w:noProof/>
          <w:sz w:val="20"/>
          <w:szCs w:val="24"/>
        </w:rPr>
        <w:t xml:space="preserve">Syafi’i, Imam et al. 2025. “Displaced by Progress: The New Capital Development and the Powers of Exclusion in Balikpapan Bay, Indonesia.” </w:t>
      </w:r>
      <w:r w:rsidRPr="00FF2810">
        <w:rPr>
          <w:rFonts w:ascii="Arial" w:hAnsi="Arial" w:cs="Arial"/>
          <w:i/>
          <w:iCs/>
          <w:noProof/>
          <w:sz w:val="20"/>
          <w:szCs w:val="24"/>
        </w:rPr>
        <w:t>Ocean &amp; Coastal Management</w:t>
      </w:r>
      <w:r w:rsidRPr="00FF2810">
        <w:rPr>
          <w:rFonts w:ascii="Arial" w:hAnsi="Arial" w:cs="Arial"/>
          <w:noProof/>
          <w:sz w:val="20"/>
          <w:szCs w:val="24"/>
        </w:rPr>
        <w:t xml:space="preserve"> 269: 107801. https://linkinghub.elsevier.com/retrieve/pii/S0964569125002637.</w:t>
      </w:r>
    </w:p>
    <w:p w14:paraId="3C9D80CB" w14:textId="77777777" w:rsidR="00D547F6" w:rsidRPr="00FF2810" w:rsidRDefault="00D547F6" w:rsidP="00FF2810">
      <w:pPr>
        <w:pStyle w:val="ListParagraph"/>
        <w:widowControl w:val="0"/>
        <w:numPr>
          <w:ilvl w:val="0"/>
          <w:numId w:val="21"/>
        </w:numPr>
        <w:autoSpaceDE w:val="0"/>
        <w:autoSpaceDN w:val="0"/>
        <w:adjustRightInd w:val="0"/>
        <w:spacing w:after="0" w:line="240" w:lineRule="auto"/>
        <w:rPr>
          <w:rFonts w:ascii="Arial" w:hAnsi="Arial" w:cs="Arial"/>
          <w:noProof/>
          <w:sz w:val="20"/>
          <w:szCs w:val="24"/>
        </w:rPr>
      </w:pPr>
      <w:r w:rsidRPr="00FF2810">
        <w:rPr>
          <w:rFonts w:ascii="Arial" w:hAnsi="Arial" w:cs="Arial"/>
          <w:noProof/>
          <w:sz w:val="20"/>
          <w:szCs w:val="24"/>
        </w:rPr>
        <w:t xml:space="preserve">Tang, Beizhen, and Daniel P. Aldrich. 2026. “The Paradox of Smart Cities: Technological Advancements and the Disconnection from Social Participation.” </w:t>
      </w:r>
      <w:r w:rsidRPr="00FF2810">
        <w:rPr>
          <w:rFonts w:ascii="Arial" w:hAnsi="Arial" w:cs="Arial"/>
          <w:i/>
          <w:iCs/>
          <w:noProof/>
          <w:sz w:val="20"/>
          <w:szCs w:val="24"/>
        </w:rPr>
        <w:t>Telematics and Informatics</w:t>
      </w:r>
      <w:r w:rsidRPr="00FF2810">
        <w:rPr>
          <w:rFonts w:ascii="Arial" w:hAnsi="Arial" w:cs="Arial"/>
          <w:noProof/>
          <w:sz w:val="20"/>
          <w:szCs w:val="24"/>
        </w:rPr>
        <w:t xml:space="preserve"> 105: 102376. https://linkinghub.elsevier.com/retrieve/pii/S0736585326000122.</w:t>
      </w:r>
    </w:p>
    <w:p w14:paraId="0162C417" w14:textId="77777777" w:rsidR="00D547F6" w:rsidRPr="00FF2810" w:rsidRDefault="00D547F6" w:rsidP="00FF2810">
      <w:pPr>
        <w:pStyle w:val="ListParagraph"/>
        <w:widowControl w:val="0"/>
        <w:numPr>
          <w:ilvl w:val="0"/>
          <w:numId w:val="21"/>
        </w:numPr>
        <w:autoSpaceDE w:val="0"/>
        <w:autoSpaceDN w:val="0"/>
        <w:adjustRightInd w:val="0"/>
        <w:spacing w:after="0" w:line="240" w:lineRule="auto"/>
        <w:rPr>
          <w:rFonts w:ascii="Arial" w:hAnsi="Arial" w:cs="Arial"/>
          <w:noProof/>
          <w:sz w:val="20"/>
        </w:rPr>
      </w:pPr>
      <w:r w:rsidRPr="00FF2810">
        <w:rPr>
          <w:rFonts w:ascii="Arial" w:hAnsi="Arial" w:cs="Arial"/>
          <w:noProof/>
          <w:sz w:val="20"/>
          <w:szCs w:val="24"/>
        </w:rPr>
        <w:t xml:space="preserve">Yang, Yang, and Que Ling. 2023. “The Influence of Existence–Relatedness–Growth Need Satisfaction and Job Burnout of Young University Teachers: The Mediating Role of Job Satisfaction.” </w:t>
      </w:r>
      <w:r w:rsidRPr="00FF2810">
        <w:rPr>
          <w:rFonts w:ascii="Arial" w:hAnsi="Arial" w:cs="Arial"/>
          <w:i/>
          <w:iCs/>
          <w:noProof/>
          <w:sz w:val="20"/>
          <w:szCs w:val="24"/>
        </w:rPr>
        <w:t>Frontiers in Psychology</w:t>
      </w:r>
      <w:r w:rsidRPr="00FF2810">
        <w:rPr>
          <w:rFonts w:ascii="Arial" w:hAnsi="Arial" w:cs="Arial"/>
          <w:noProof/>
          <w:sz w:val="20"/>
          <w:szCs w:val="24"/>
        </w:rPr>
        <w:t xml:space="preserve"> 14(August): 1–9.</w:t>
      </w:r>
    </w:p>
    <w:p w14:paraId="52C3CBF3" w14:textId="77777777" w:rsidR="0013238B" w:rsidRPr="00677610" w:rsidRDefault="0013238B" w:rsidP="0013238B">
      <w:pPr>
        <w:spacing w:after="0" w:line="240" w:lineRule="auto"/>
        <w:ind w:firstLine="720"/>
        <w:contextualSpacing/>
        <w:jc w:val="both"/>
        <w:rPr>
          <w:rStyle w:val="Strong"/>
          <w:rFonts w:ascii="Arial" w:hAnsi="Arial" w:cs="Arial"/>
          <w:b w:val="0"/>
          <w:bCs w:val="0"/>
          <w:sz w:val="20"/>
          <w:szCs w:val="20"/>
        </w:rPr>
      </w:pPr>
      <w:r w:rsidRPr="00677610">
        <w:rPr>
          <w:rStyle w:val="Strong"/>
          <w:rFonts w:ascii="Arial" w:hAnsi="Arial" w:cs="Arial"/>
          <w:b w:val="0"/>
          <w:bCs w:val="0"/>
          <w:sz w:val="20"/>
          <w:szCs w:val="20"/>
        </w:rPr>
        <w:fldChar w:fldCharType="end"/>
      </w:r>
    </w:p>
    <w:p w14:paraId="06952F00" w14:textId="31ED979D" w:rsidR="006B1660" w:rsidRPr="00677610" w:rsidRDefault="006B1660" w:rsidP="00175425">
      <w:pPr>
        <w:widowControl w:val="0"/>
        <w:autoSpaceDE w:val="0"/>
        <w:autoSpaceDN w:val="0"/>
        <w:adjustRightInd w:val="0"/>
        <w:spacing w:line="240" w:lineRule="auto"/>
        <w:ind w:left="480" w:hanging="480"/>
        <w:jc w:val="both"/>
        <w:rPr>
          <w:rFonts w:ascii="Arial" w:hAnsi="Arial" w:cs="Arial"/>
          <w:sz w:val="20"/>
          <w:szCs w:val="20"/>
        </w:rPr>
      </w:pPr>
    </w:p>
    <w:sectPr w:rsidR="006B1660" w:rsidRPr="00677610" w:rsidSect="002E31C9">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FB8E6" w14:textId="77777777" w:rsidR="0016336F" w:rsidRDefault="0016336F" w:rsidP="002E31C9">
      <w:pPr>
        <w:spacing w:after="0" w:line="240" w:lineRule="auto"/>
      </w:pPr>
      <w:r>
        <w:separator/>
      </w:r>
    </w:p>
  </w:endnote>
  <w:endnote w:type="continuationSeparator" w:id="0">
    <w:p w14:paraId="1400C9E7" w14:textId="77777777" w:rsidR="0016336F" w:rsidRDefault="0016336F" w:rsidP="002E3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AFFA6" w14:textId="77777777" w:rsidR="0016336F" w:rsidRDefault="0016336F" w:rsidP="002E31C9">
      <w:pPr>
        <w:spacing w:after="0" w:line="240" w:lineRule="auto"/>
      </w:pPr>
      <w:r>
        <w:separator/>
      </w:r>
    </w:p>
  </w:footnote>
  <w:footnote w:type="continuationSeparator" w:id="0">
    <w:p w14:paraId="02252524" w14:textId="77777777" w:rsidR="0016336F" w:rsidRDefault="0016336F" w:rsidP="002E3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9921E" w14:textId="12991356" w:rsidR="002E31C9" w:rsidRDefault="0016336F">
    <w:pPr>
      <w:pStyle w:val="Header"/>
    </w:pPr>
    <w:r>
      <w:rPr>
        <w:noProof/>
      </w:rPr>
      <w:pict w14:anchorId="14DD8D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01575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60D04" w14:textId="53774999" w:rsidR="002E31C9" w:rsidRDefault="0016336F">
    <w:pPr>
      <w:pStyle w:val="Header"/>
    </w:pPr>
    <w:r>
      <w:rPr>
        <w:noProof/>
      </w:rPr>
      <w:pict w14:anchorId="15FE2F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01575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B8926" w14:textId="5244D48F" w:rsidR="002E31C9" w:rsidRDefault="0016336F">
    <w:pPr>
      <w:pStyle w:val="Header"/>
    </w:pPr>
    <w:r>
      <w:rPr>
        <w:noProof/>
      </w:rPr>
      <w:pict w14:anchorId="0F47D8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01575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0DA8E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1D3C"/>
    <w:multiLevelType w:val="hybridMultilevel"/>
    <w:tmpl w:val="F4C824AE"/>
    <w:lvl w:ilvl="0" w:tplc="9E3C02AC">
      <w:start w:val="1"/>
      <w:numFmt w:val="decimal"/>
      <w:lvlText w:val="2.%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5F82BFF"/>
    <w:multiLevelType w:val="hybridMultilevel"/>
    <w:tmpl w:val="220ECAF0"/>
    <w:lvl w:ilvl="0" w:tplc="1C402638">
      <w:start w:val="1"/>
      <w:numFmt w:val="decimal"/>
      <w:lvlText w:val="3.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8AD7FE7"/>
    <w:multiLevelType w:val="hybridMultilevel"/>
    <w:tmpl w:val="2C9E292A"/>
    <w:lvl w:ilvl="0" w:tplc="63505180">
      <w:start w:val="1"/>
      <w:numFmt w:val="decimal"/>
      <w:lvlText w:val="3.%1."/>
      <w:lvlJc w:val="right"/>
      <w:pPr>
        <w:ind w:left="720" w:hanging="18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9E25861"/>
    <w:multiLevelType w:val="multilevel"/>
    <w:tmpl w:val="7B74A628"/>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030A6A"/>
    <w:multiLevelType w:val="hybridMultilevel"/>
    <w:tmpl w:val="10AE5FAA"/>
    <w:lvl w:ilvl="0" w:tplc="9072C8C0">
      <w:start w:val="1"/>
      <w:numFmt w:val="decimal"/>
      <w:lvlText w:val="5.%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4035FB5"/>
    <w:multiLevelType w:val="multilevel"/>
    <w:tmpl w:val="F566D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643420"/>
    <w:multiLevelType w:val="hybridMultilevel"/>
    <w:tmpl w:val="C7C437F0"/>
    <w:lvl w:ilvl="0" w:tplc="573AE73C">
      <w:start w:val="1"/>
      <w:numFmt w:val="decimal"/>
      <w:lvlText w:val="2.4.%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B111C1F"/>
    <w:multiLevelType w:val="hybridMultilevel"/>
    <w:tmpl w:val="F7D2E862"/>
    <w:lvl w:ilvl="0" w:tplc="273445A4">
      <w:start w:val="1"/>
      <w:numFmt w:val="decimal"/>
      <w:lvlText w:val="2.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DBE4ACC"/>
    <w:multiLevelType w:val="multilevel"/>
    <w:tmpl w:val="4CAE2052"/>
    <w:lvl w:ilvl="0">
      <w:start w:val="1"/>
      <w:numFmt w:val="decimal"/>
      <w:lvlText w:val="%1."/>
      <w:lvlJc w:val="left"/>
      <w:pPr>
        <w:ind w:left="720" w:hanging="360"/>
      </w:pPr>
      <w:rPr>
        <w:sz w:val="20"/>
        <w:szCs w:val="20"/>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66526C6"/>
    <w:multiLevelType w:val="multilevel"/>
    <w:tmpl w:val="7B226C6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CC0A5E"/>
    <w:multiLevelType w:val="multilevel"/>
    <w:tmpl w:val="7B74A628"/>
    <w:styleLink w:val="CurrentList1"/>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8B6271"/>
    <w:multiLevelType w:val="hybridMultilevel"/>
    <w:tmpl w:val="9D1E3790"/>
    <w:lvl w:ilvl="0" w:tplc="814A9C7A">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0D57157"/>
    <w:multiLevelType w:val="multilevel"/>
    <w:tmpl w:val="EBCC8D1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C905F4"/>
    <w:multiLevelType w:val="hybridMultilevel"/>
    <w:tmpl w:val="19CE47E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52A2678A"/>
    <w:multiLevelType w:val="hybridMultilevel"/>
    <w:tmpl w:val="B0E01466"/>
    <w:lvl w:ilvl="0" w:tplc="1A1630DA">
      <w:start w:val="1"/>
      <w:numFmt w:val="decimal"/>
      <w:lvlText w:val="2.4.%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4882419"/>
    <w:multiLevelType w:val="hybridMultilevel"/>
    <w:tmpl w:val="33D27B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A720556"/>
    <w:multiLevelType w:val="multilevel"/>
    <w:tmpl w:val="CE9CCF5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47CFE"/>
    <w:multiLevelType w:val="hybridMultilevel"/>
    <w:tmpl w:val="C9BE380C"/>
    <w:lvl w:ilvl="0" w:tplc="A0B0FF9E">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AC30B59"/>
    <w:multiLevelType w:val="hybridMultilevel"/>
    <w:tmpl w:val="6B622E10"/>
    <w:lvl w:ilvl="0" w:tplc="0E46D59C">
      <w:start w:val="1"/>
      <w:numFmt w:val="decimal"/>
      <w:lvlText w:val="3.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B5420BF"/>
    <w:multiLevelType w:val="hybridMultilevel"/>
    <w:tmpl w:val="4EF2EC3A"/>
    <w:lvl w:ilvl="0" w:tplc="2D34A200">
      <w:start w:val="1"/>
      <w:numFmt w:val="decimal"/>
      <w:lvlText w:val="4.%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19"/>
  </w:num>
  <w:num w:numId="5">
    <w:abstractNumId w:val="2"/>
  </w:num>
  <w:num w:numId="6">
    <w:abstractNumId w:val="9"/>
  </w:num>
  <w:num w:numId="7">
    <w:abstractNumId w:val="15"/>
  </w:num>
  <w:num w:numId="8">
    <w:abstractNumId w:val="7"/>
  </w:num>
  <w:num w:numId="9">
    <w:abstractNumId w:val="17"/>
  </w:num>
  <w:num w:numId="10">
    <w:abstractNumId w:val="13"/>
  </w:num>
  <w:num w:numId="11">
    <w:abstractNumId w:val="6"/>
  </w:num>
  <w:num w:numId="12">
    <w:abstractNumId w:val="10"/>
  </w:num>
  <w:num w:numId="13">
    <w:abstractNumId w:val="4"/>
  </w:num>
  <w:num w:numId="14">
    <w:abstractNumId w:val="18"/>
  </w:num>
  <w:num w:numId="15">
    <w:abstractNumId w:val="0"/>
  </w:num>
  <w:num w:numId="16">
    <w:abstractNumId w:val="14"/>
  </w:num>
  <w:num w:numId="17">
    <w:abstractNumId w:val="12"/>
  </w:num>
  <w:num w:numId="18">
    <w:abstractNumId w:val="20"/>
  </w:num>
  <w:num w:numId="19">
    <w:abstractNumId w:val="5"/>
  </w:num>
  <w:num w:numId="20">
    <w:abstractNumId w:val="1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BE"/>
    <w:rsid w:val="00026A8C"/>
    <w:rsid w:val="000315F5"/>
    <w:rsid w:val="00034DB5"/>
    <w:rsid w:val="00041B1E"/>
    <w:rsid w:val="00045EC9"/>
    <w:rsid w:val="00082D11"/>
    <w:rsid w:val="00091B11"/>
    <w:rsid w:val="00094ECF"/>
    <w:rsid w:val="000A0D7B"/>
    <w:rsid w:val="000A325E"/>
    <w:rsid w:val="000B1137"/>
    <w:rsid w:val="000D7F1E"/>
    <w:rsid w:val="000E51D1"/>
    <w:rsid w:val="000F2216"/>
    <w:rsid w:val="000F7460"/>
    <w:rsid w:val="00100375"/>
    <w:rsid w:val="001047A2"/>
    <w:rsid w:val="00105755"/>
    <w:rsid w:val="00124732"/>
    <w:rsid w:val="0013238B"/>
    <w:rsid w:val="00141662"/>
    <w:rsid w:val="0016336F"/>
    <w:rsid w:val="001718C4"/>
    <w:rsid w:val="00175425"/>
    <w:rsid w:val="00183B01"/>
    <w:rsid w:val="001A1694"/>
    <w:rsid w:val="001A70CC"/>
    <w:rsid w:val="001D5D4D"/>
    <w:rsid w:val="001E5EBF"/>
    <w:rsid w:val="001E7010"/>
    <w:rsid w:val="002018ED"/>
    <w:rsid w:val="0022448C"/>
    <w:rsid w:val="00226EBA"/>
    <w:rsid w:val="002272EE"/>
    <w:rsid w:val="0027033E"/>
    <w:rsid w:val="00287716"/>
    <w:rsid w:val="002B717B"/>
    <w:rsid w:val="002D713F"/>
    <w:rsid w:val="002D77C3"/>
    <w:rsid w:val="002E31C9"/>
    <w:rsid w:val="002F418E"/>
    <w:rsid w:val="002F77ED"/>
    <w:rsid w:val="0031096E"/>
    <w:rsid w:val="00316E99"/>
    <w:rsid w:val="003265BE"/>
    <w:rsid w:val="00335C50"/>
    <w:rsid w:val="003518C6"/>
    <w:rsid w:val="00353A25"/>
    <w:rsid w:val="003B1C9E"/>
    <w:rsid w:val="003B44B4"/>
    <w:rsid w:val="003D792D"/>
    <w:rsid w:val="003E331D"/>
    <w:rsid w:val="003F60C7"/>
    <w:rsid w:val="004000C2"/>
    <w:rsid w:val="00407129"/>
    <w:rsid w:val="004165BA"/>
    <w:rsid w:val="0044216D"/>
    <w:rsid w:val="00476E1B"/>
    <w:rsid w:val="00481078"/>
    <w:rsid w:val="004966A5"/>
    <w:rsid w:val="004A4D59"/>
    <w:rsid w:val="004C436B"/>
    <w:rsid w:val="004C58A5"/>
    <w:rsid w:val="004D01B1"/>
    <w:rsid w:val="005147BD"/>
    <w:rsid w:val="00524464"/>
    <w:rsid w:val="00540CCE"/>
    <w:rsid w:val="00547387"/>
    <w:rsid w:val="005A0E49"/>
    <w:rsid w:val="005B287C"/>
    <w:rsid w:val="005B4FB8"/>
    <w:rsid w:val="005C1480"/>
    <w:rsid w:val="005C16D7"/>
    <w:rsid w:val="005C20B5"/>
    <w:rsid w:val="005C38BE"/>
    <w:rsid w:val="005E32B5"/>
    <w:rsid w:val="00615C90"/>
    <w:rsid w:val="0067277B"/>
    <w:rsid w:val="00677610"/>
    <w:rsid w:val="006B1660"/>
    <w:rsid w:val="006B30C2"/>
    <w:rsid w:val="006C17ED"/>
    <w:rsid w:val="006E45C4"/>
    <w:rsid w:val="00717798"/>
    <w:rsid w:val="00730724"/>
    <w:rsid w:val="00732B25"/>
    <w:rsid w:val="00741523"/>
    <w:rsid w:val="00747C63"/>
    <w:rsid w:val="007533C6"/>
    <w:rsid w:val="00764370"/>
    <w:rsid w:val="00766AD0"/>
    <w:rsid w:val="00771578"/>
    <w:rsid w:val="00772343"/>
    <w:rsid w:val="00780170"/>
    <w:rsid w:val="007B79C6"/>
    <w:rsid w:val="007C45BE"/>
    <w:rsid w:val="007D23F9"/>
    <w:rsid w:val="00803EB6"/>
    <w:rsid w:val="0083481B"/>
    <w:rsid w:val="00834DC9"/>
    <w:rsid w:val="008358AB"/>
    <w:rsid w:val="008358D7"/>
    <w:rsid w:val="008436E2"/>
    <w:rsid w:val="00880DAC"/>
    <w:rsid w:val="008B26DB"/>
    <w:rsid w:val="008B320C"/>
    <w:rsid w:val="008C5A57"/>
    <w:rsid w:val="008D122F"/>
    <w:rsid w:val="009050F7"/>
    <w:rsid w:val="00993856"/>
    <w:rsid w:val="009A10E3"/>
    <w:rsid w:val="009E2462"/>
    <w:rsid w:val="00A01222"/>
    <w:rsid w:val="00A1102D"/>
    <w:rsid w:val="00A30A8B"/>
    <w:rsid w:val="00A572C0"/>
    <w:rsid w:val="00A61E80"/>
    <w:rsid w:val="00A66E97"/>
    <w:rsid w:val="00A72F9C"/>
    <w:rsid w:val="00A80F34"/>
    <w:rsid w:val="00A97FA9"/>
    <w:rsid w:val="00AA2192"/>
    <w:rsid w:val="00AA3303"/>
    <w:rsid w:val="00AB4A59"/>
    <w:rsid w:val="00AB5872"/>
    <w:rsid w:val="00AD41AD"/>
    <w:rsid w:val="00AD5ECE"/>
    <w:rsid w:val="00AD6031"/>
    <w:rsid w:val="00B03532"/>
    <w:rsid w:val="00B07640"/>
    <w:rsid w:val="00B1457B"/>
    <w:rsid w:val="00B52549"/>
    <w:rsid w:val="00B5767E"/>
    <w:rsid w:val="00B57F77"/>
    <w:rsid w:val="00BA2FBE"/>
    <w:rsid w:val="00BB26E4"/>
    <w:rsid w:val="00BC1586"/>
    <w:rsid w:val="00BC1643"/>
    <w:rsid w:val="00BE22EA"/>
    <w:rsid w:val="00BE6C6A"/>
    <w:rsid w:val="00C03ACB"/>
    <w:rsid w:val="00C131C9"/>
    <w:rsid w:val="00C210F9"/>
    <w:rsid w:val="00C56410"/>
    <w:rsid w:val="00C71B5E"/>
    <w:rsid w:val="00C8248F"/>
    <w:rsid w:val="00C9192A"/>
    <w:rsid w:val="00CD2290"/>
    <w:rsid w:val="00CE2FB7"/>
    <w:rsid w:val="00D02E24"/>
    <w:rsid w:val="00D02EC2"/>
    <w:rsid w:val="00D10261"/>
    <w:rsid w:val="00D10E71"/>
    <w:rsid w:val="00D15965"/>
    <w:rsid w:val="00D1788A"/>
    <w:rsid w:val="00D26233"/>
    <w:rsid w:val="00D30161"/>
    <w:rsid w:val="00D35D03"/>
    <w:rsid w:val="00D429C0"/>
    <w:rsid w:val="00D46AAE"/>
    <w:rsid w:val="00D52106"/>
    <w:rsid w:val="00D547F6"/>
    <w:rsid w:val="00D642C9"/>
    <w:rsid w:val="00D76CF6"/>
    <w:rsid w:val="00DB7292"/>
    <w:rsid w:val="00DC781A"/>
    <w:rsid w:val="00DD38C9"/>
    <w:rsid w:val="00DF1767"/>
    <w:rsid w:val="00E05449"/>
    <w:rsid w:val="00E07951"/>
    <w:rsid w:val="00E16B78"/>
    <w:rsid w:val="00EA5CB1"/>
    <w:rsid w:val="00EB6BA0"/>
    <w:rsid w:val="00EC308D"/>
    <w:rsid w:val="00F11DEE"/>
    <w:rsid w:val="00F20C47"/>
    <w:rsid w:val="00F25C56"/>
    <w:rsid w:val="00F26B16"/>
    <w:rsid w:val="00F271B5"/>
    <w:rsid w:val="00F5781C"/>
    <w:rsid w:val="00F93570"/>
    <w:rsid w:val="00F97F1A"/>
    <w:rsid w:val="00FD7A05"/>
    <w:rsid w:val="00FE723C"/>
    <w:rsid w:val="00FF2810"/>
    <w:rsid w:val="00FF65C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48CEFA"/>
  <w15:chartTrackingRefBased/>
  <w15:docId w15:val="{C6F05CB0-7E52-446E-B64F-2BA485DC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kern w:val="2"/>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8BE"/>
    <w:pPr>
      <w:spacing w:after="200" w:line="276" w:lineRule="auto"/>
    </w:pPr>
    <w:rPr>
      <w:rFonts w:ascii="Times New Roman" w:eastAsia="Times New Roman" w:hAnsi="Times New Roman" w:cstheme="minorBidi"/>
      <w:kern w:val="0"/>
      <w:sz w:val="24"/>
      <w:szCs w:val="22"/>
      <w14:ligatures w14:val="none"/>
    </w:rPr>
  </w:style>
  <w:style w:type="paragraph" w:styleId="Heading1">
    <w:name w:val="heading 1"/>
    <w:basedOn w:val="Normal"/>
    <w:next w:val="Normal"/>
    <w:link w:val="Heading1Char"/>
    <w:uiPriority w:val="9"/>
    <w:qFormat/>
    <w:rsid w:val="00041B1E"/>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link w:val="Heading2Char"/>
    <w:unhideWhenUsed/>
    <w:qFormat/>
    <w:rsid w:val="00041B1E"/>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link w:val="Heading3Char"/>
    <w:semiHidden/>
    <w:unhideWhenUsed/>
    <w:qFormat/>
    <w:rsid w:val="00041B1E"/>
    <w:pPr>
      <w:keepNext/>
      <w:keepLines/>
      <w:spacing w:before="200" w:after="0"/>
      <w:outlineLvl w:val="2"/>
    </w:pPr>
    <w:rPr>
      <w:rFonts w:ascii="Cambria" w:eastAsia="Cambria" w:hAnsi="Cambria" w:cs="Cambria"/>
      <w:b/>
      <w:color w:val="4F81BD"/>
    </w:rPr>
  </w:style>
  <w:style w:type="paragraph" w:styleId="Heading4">
    <w:name w:val="heading 4"/>
    <w:basedOn w:val="Normal"/>
    <w:next w:val="Normal"/>
    <w:link w:val="Heading4Char"/>
    <w:semiHidden/>
    <w:unhideWhenUsed/>
    <w:qFormat/>
    <w:rsid w:val="00041B1E"/>
    <w:pPr>
      <w:keepNext/>
      <w:keepLines/>
      <w:spacing w:before="240" w:after="40"/>
      <w:outlineLvl w:val="3"/>
    </w:pPr>
    <w:rPr>
      <w:b/>
      <w:szCs w:val="24"/>
    </w:rPr>
  </w:style>
  <w:style w:type="paragraph" w:styleId="Heading5">
    <w:name w:val="heading 5"/>
    <w:basedOn w:val="Normal"/>
    <w:next w:val="Normal"/>
    <w:link w:val="Heading5Char"/>
    <w:uiPriority w:val="9"/>
    <w:semiHidden/>
    <w:unhideWhenUsed/>
    <w:qFormat/>
    <w:rsid w:val="00041B1E"/>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041B1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B1E"/>
    <w:rPr>
      <w:rFonts w:ascii="Cambria" w:eastAsia="Cambria" w:hAnsi="Cambria" w:cs="Cambria"/>
      <w:b/>
      <w:sz w:val="32"/>
      <w:szCs w:val="32"/>
      <w:lang w:eastAsia="en-ID"/>
    </w:rPr>
  </w:style>
  <w:style w:type="character" w:customStyle="1" w:styleId="Heading2Char">
    <w:name w:val="Heading 2 Char"/>
    <w:basedOn w:val="DefaultParagraphFont"/>
    <w:link w:val="Heading2"/>
    <w:rsid w:val="00041B1E"/>
    <w:rPr>
      <w:rFonts w:ascii="Cambria" w:eastAsia="Cambria" w:hAnsi="Cambria" w:cs="Cambria"/>
      <w:b/>
      <w:color w:val="4F81BD"/>
      <w:sz w:val="26"/>
      <w:szCs w:val="26"/>
      <w:lang w:eastAsia="en-ID"/>
    </w:rPr>
  </w:style>
  <w:style w:type="character" w:customStyle="1" w:styleId="Heading3Char">
    <w:name w:val="Heading 3 Char"/>
    <w:basedOn w:val="DefaultParagraphFont"/>
    <w:link w:val="Heading3"/>
    <w:semiHidden/>
    <w:rsid w:val="00041B1E"/>
    <w:rPr>
      <w:rFonts w:ascii="Cambria" w:eastAsia="Cambria" w:hAnsi="Cambria" w:cs="Cambria"/>
      <w:b/>
      <w:color w:val="4F81BD"/>
      <w:sz w:val="22"/>
      <w:szCs w:val="22"/>
      <w:lang w:eastAsia="en-ID"/>
    </w:rPr>
  </w:style>
  <w:style w:type="character" w:customStyle="1" w:styleId="Heading4Char">
    <w:name w:val="Heading 4 Char"/>
    <w:basedOn w:val="DefaultParagraphFont"/>
    <w:link w:val="Heading4"/>
    <w:semiHidden/>
    <w:rsid w:val="00041B1E"/>
    <w:rPr>
      <w:b/>
      <w:sz w:val="24"/>
      <w:szCs w:val="24"/>
      <w:lang w:eastAsia="en-ID"/>
    </w:rPr>
  </w:style>
  <w:style w:type="character" w:customStyle="1" w:styleId="Heading5Char">
    <w:name w:val="Heading 5 Char"/>
    <w:basedOn w:val="DefaultParagraphFont"/>
    <w:link w:val="Heading5"/>
    <w:uiPriority w:val="9"/>
    <w:semiHidden/>
    <w:rsid w:val="00041B1E"/>
    <w:rPr>
      <w:b/>
      <w:sz w:val="22"/>
      <w:szCs w:val="22"/>
      <w:lang w:eastAsia="en-ID"/>
    </w:rPr>
  </w:style>
  <w:style w:type="character" w:customStyle="1" w:styleId="Heading6Char">
    <w:name w:val="Heading 6 Char"/>
    <w:basedOn w:val="DefaultParagraphFont"/>
    <w:link w:val="Heading6"/>
    <w:uiPriority w:val="9"/>
    <w:semiHidden/>
    <w:rsid w:val="00041B1E"/>
    <w:rPr>
      <w:b/>
      <w:lang w:eastAsia="en-ID"/>
    </w:rPr>
  </w:style>
  <w:style w:type="paragraph" w:styleId="Title">
    <w:name w:val="Title"/>
    <w:basedOn w:val="Normal"/>
    <w:next w:val="Normal"/>
    <w:link w:val="TitleChar"/>
    <w:uiPriority w:val="10"/>
    <w:qFormat/>
    <w:rsid w:val="00041B1E"/>
    <w:pPr>
      <w:keepNext/>
      <w:keepLines/>
      <w:spacing w:before="480" w:after="120"/>
    </w:pPr>
    <w:rPr>
      <w:b/>
      <w:sz w:val="72"/>
      <w:szCs w:val="72"/>
    </w:rPr>
  </w:style>
  <w:style w:type="character" w:customStyle="1" w:styleId="TitleChar">
    <w:name w:val="Title Char"/>
    <w:basedOn w:val="DefaultParagraphFont"/>
    <w:link w:val="Title"/>
    <w:uiPriority w:val="10"/>
    <w:rsid w:val="00041B1E"/>
    <w:rPr>
      <w:b/>
      <w:sz w:val="72"/>
      <w:szCs w:val="72"/>
      <w:lang w:eastAsia="en-ID"/>
    </w:rPr>
  </w:style>
  <w:style w:type="paragraph" w:styleId="BodyText">
    <w:name w:val="Body Text"/>
    <w:basedOn w:val="Normal"/>
    <w:link w:val="BodyTextChar"/>
    <w:uiPriority w:val="1"/>
    <w:qFormat/>
    <w:rsid w:val="00041B1E"/>
    <w:pPr>
      <w:widowControl w:val="0"/>
      <w:autoSpaceDE w:val="0"/>
      <w:autoSpaceDN w:val="0"/>
      <w:spacing w:after="0" w:line="240" w:lineRule="auto"/>
    </w:pPr>
    <w:rPr>
      <w:rFonts w:cs="Times New Roman"/>
      <w:szCs w:val="24"/>
    </w:rPr>
  </w:style>
  <w:style w:type="character" w:customStyle="1" w:styleId="BodyTextChar">
    <w:name w:val="Body Text Char"/>
    <w:link w:val="BodyText"/>
    <w:uiPriority w:val="1"/>
    <w:rsid w:val="00041B1E"/>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041B1E"/>
    <w:pPr>
      <w:spacing w:after="60" w:line="240" w:lineRule="auto"/>
      <w:jc w:val="center"/>
    </w:pPr>
    <w:rPr>
      <w:rFonts w:ascii="Arial" w:eastAsia="Arial" w:hAnsi="Arial" w:cs="Arial"/>
      <w:szCs w:val="24"/>
    </w:rPr>
  </w:style>
  <w:style w:type="character" w:customStyle="1" w:styleId="SubtitleChar">
    <w:name w:val="Subtitle Char"/>
    <w:basedOn w:val="DefaultParagraphFont"/>
    <w:link w:val="Subtitle"/>
    <w:uiPriority w:val="11"/>
    <w:rsid w:val="00041B1E"/>
    <w:rPr>
      <w:rFonts w:ascii="Arial" w:eastAsia="Arial" w:hAnsi="Arial" w:cs="Arial"/>
      <w:sz w:val="24"/>
      <w:szCs w:val="24"/>
      <w:lang w:eastAsia="en-ID"/>
    </w:rPr>
  </w:style>
  <w:style w:type="paragraph" w:styleId="ListParagraph">
    <w:name w:val="List Paragraph"/>
    <w:basedOn w:val="Normal"/>
    <w:uiPriority w:val="34"/>
    <w:qFormat/>
    <w:rsid w:val="00041B1E"/>
    <w:pPr>
      <w:ind w:left="720"/>
      <w:contextualSpacing/>
    </w:pPr>
  </w:style>
  <w:style w:type="paragraph" w:styleId="NormalWeb">
    <w:name w:val="Normal (Web)"/>
    <w:basedOn w:val="Normal"/>
    <w:uiPriority w:val="99"/>
    <w:semiHidden/>
    <w:unhideWhenUsed/>
    <w:rsid w:val="005C38BE"/>
    <w:pPr>
      <w:spacing w:before="100" w:beforeAutospacing="1" w:after="100" w:afterAutospacing="1" w:line="240" w:lineRule="auto"/>
    </w:pPr>
    <w:rPr>
      <w:rFonts w:cs="Times New Roman"/>
      <w:szCs w:val="24"/>
      <w:lang w:val="id-ID" w:eastAsia="id-ID"/>
    </w:rPr>
  </w:style>
  <w:style w:type="paragraph" w:customStyle="1" w:styleId="Body">
    <w:name w:val="Body"/>
    <w:basedOn w:val="Normal"/>
    <w:rsid w:val="005C38BE"/>
    <w:pPr>
      <w:spacing w:after="240" w:line="240" w:lineRule="auto"/>
      <w:jc w:val="both"/>
    </w:pPr>
    <w:rPr>
      <w:rFonts w:ascii="Helvetica" w:hAnsi="Helvetica" w:cs="Times New Roman"/>
      <w:sz w:val="20"/>
      <w:szCs w:val="20"/>
    </w:rPr>
  </w:style>
  <w:style w:type="paragraph" w:customStyle="1" w:styleId="AbstHead">
    <w:name w:val="Abst Head"/>
    <w:basedOn w:val="Normal"/>
    <w:rsid w:val="005C38BE"/>
    <w:pPr>
      <w:keepNext/>
      <w:spacing w:after="240" w:line="240" w:lineRule="auto"/>
    </w:pPr>
    <w:rPr>
      <w:rFonts w:ascii="Helvetica" w:hAnsi="Helvetica" w:cs="Times New Roman"/>
      <w:b/>
      <w:caps/>
      <w:sz w:val="22"/>
      <w:szCs w:val="20"/>
    </w:rPr>
  </w:style>
  <w:style w:type="paragraph" w:customStyle="1" w:styleId="ConcHead">
    <w:name w:val="Conc Head"/>
    <w:basedOn w:val="Normal"/>
    <w:rsid w:val="00EB6BA0"/>
    <w:pPr>
      <w:keepNext/>
      <w:spacing w:after="240" w:line="240" w:lineRule="auto"/>
    </w:pPr>
    <w:rPr>
      <w:rFonts w:ascii="Helvetica" w:hAnsi="Helvetica" w:cs="Times New Roman"/>
      <w:b/>
      <w:caps/>
      <w:sz w:val="22"/>
      <w:szCs w:val="20"/>
    </w:rPr>
  </w:style>
  <w:style w:type="paragraph" w:customStyle="1" w:styleId="Head1">
    <w:name w:val="Head1"/>
    <w:basedOn w:val="Normal"/>
    <w:rsid w:val="00EB6BA0"/>
    <w:pPr>
      <w:keepNext/>
      <w:spacing w:after="240" w:line="240" w:lineRule="auto"/>
    </w:pPr>
    <w:rPr>
      <w:rFonts w:ascii="Helvetica" w:hAnsi="Helvetica" w:cs="Times New Roman"/>
      <w:b/>
      <w:caps/>
      <w:sz w:val="22"/>
      <w:szCs w:val="20"/>
    </w:rPr>
  </w:style>
  <w:style w:type="table" w:styleId="TableGrid">
    <w:name w:val="Table Grid"/>
    <w:basedOn w:val="TableNormal"/>
    <w:uiPriority w:val="59"/>
    <w:rsid w:val="00EB6BA0"/>
    <w:rPr>
      <w:rFonts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EB6BA0"/>
    <w:rPr>
      <w:i/>
      <w:iCs/>
    </w:rPr>
  </w:style>
  <w:style w:type="character" w:styleId="Strong">
    <w:name w:val="Strong"/>
    <w:basedOn w:val="DefaultParagraphFont"/>
    <w:uiPriority w:val="22"/>
    <w:qFormat/>
    <w:rsid w:val="00EB6BA0"/>
    <w:rPr>
      <w:b/>
      <w:bCs/>
    </w:rPr>
  </w:style>
  <w:style w:type="paragraph" w:customStyle="1" w:styleId="ReferHead">
    <w:name w:val="Refer Head"/>
    <w:basedOn w:val="Normal"/>
    <w:rsid w:val="001718C4"/>
    <w:pPr>
      <w:keepNext/>
      <w:spacing w:after="240" w:line="240" w:lineRule="auto"/>
    </w:pPr>
    <w:rPr>
      <w:rFonts w:ascii="Helvetica" w:hAnsi="Helvetica" w:cs="Times New Roman"/>
      <w:b/>
      <w:caps/>
      <w:sz w:val="22"/>
      <w:szCs w:val="20"/>
    </w:rPr>
  </w:style>
  <w:style w:type="character" w:styleId="Hyperlink">
    <w:name w:val="Hyperlink"/>
    <w:basedOn w:val="DefaultParagraphFont"/>
    <w:uiPriority w:val="99"/>
    <w:unhideWhenUsed/>
    <w:rsid w:val="00CD2290"/>
    <w:rPr>
      <w:color w:val="0000FF"/>
      <w:u w:val="single"/>
    </w:rPr>
  </w:style>
  <w:style w:type="paragraph" w:customStyle="1" w:styleId="Author">
    <w:name w:val="Author"/>
    <w:basedOn w:val="Normal"/>
    <w:rsid w:val="00CD2290"/>
    <w:pPr>
      <w:spacing w:after="0" w:line="280" w:lineRule="exact"/>
      <w:jc w:val="right"/>
    </w:pPr>
    <w:rPr>
      <w:rFonts w:ascii="Helvetica" w:hAnsi="Helvetica" w:cs="Times New Roman"/>
      <w:b/>
      <w:szCs w:val="20"/>
    </w:rPr>
  </w:style>
  <w:style w:type="character" w:styleId="LineNumber">
    <w:name w:val="line number"/>
    <w:basedOn w:val="DefaultParagraphFont"/>
    <w:uiPriority w:val="99"/>
    <w:semiHidden/>
    <w:unhideWhenUsed/>
    <w:rsid w:val="003518C6"/>
  </w:style>
  <w:style w:type="paragraph" w:styleId="ListBullet">
    <w:name w:val="List Bullet"/>
    <w:basedOn w:val="Normal"/>
    <w:uiPriority w:val="99"/>
    <w:unhideWhenUsed/>
    <w:rsid w:val="00287716"/>
    <w:pPr>
      <w:numPr>
        <w:numId w:val="15"/>
      </w:numPr>
      <w:contextualSpacing/>
    </w:pPr>
  </w:style>
  <w:style w:type="numbering" w:customStyle="1" w:styleId="CurrentList1">
    <w:name w:val="Current List1"/>
    <w:uiPriority w:val="99"/>
    <w:rsid w:val="0013238B"/>
    <w:pPr>
      <w:numPr>
        <w:numId w:val="20"/>
      </w:numPr>
    </w:pPr>
  </w:style>
  <w:style w:type="character" w:styleId="UnresolvedMention">
    <w:name w:val="Unresolved Mention"/>
    <w:basedOn w:val="DefaultParagraphFont"/>
    <w:uiPriority w:val="99"/>
    <w:semiHidden/>
    <w:unhideWhenUsed/>
    <w:rsid w:val="005A0E49"/>
    <w:rPr>
      <w:color w:val="605E5C"/>
      <w:shd w:val="clear" w:color="auto" w:fill="E1DFDD"/>
    </w:rPr>
  </w:style>
  <w:style w:type="paragraph" w:styleId="Header">
    <w:name w:val="header"/>
    <w:basedOn w:val="Normal"/>
    <w:link w:val="HeaderChar"/>
    <w:uiPriority w:val="99"/>
    <w:unhideWhenUsed/>
    <w:rsid w:val="002E3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1C9"/>
    <w:rPr>
      <w:rFonts w:ascii="Times New Roman" w:eastAsia="Times New Roman" w:hAnsi="Times New Roman" w:cstheme="minorBidi"/>
      <w:kern w:val="0"/>
      <w:sz w:val="24"/>
      <w:szCs w:val="22"/>
      <w14:ligatures w14:val="none"/>
    </w:rPr>
  </w:style>
  <w:style w:type="paragraph" w:styleId="Footer">
    <w:name w:val="footer"/>
    <w:basedOn w:val="Normal"/>
    <w:link w:val="FooterChar"/>
    <w:uiPriority w:val="99"/>
    <w:unhideWhenUsed/>
    <w:rsid w:val="002E3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1C9"/>
    <w:rPr>
      <w:rFonts w:ascii="Times New Roman" w:eastAsia="Times New Roman" w:hAnsi="Times New Roman" w:cstheme="minorBidi"/>
      <w:kern w:val="0"/>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30712">
      <w:bodyDiv w:val="1"/>
      <w:marLeft w:val="0"/>
      <w:marRight w:val="0"/>
      <w:marTop w:val="0"/>
      <w:marBottom w:val="0"/>
      <w:divBdr>
        <w:top w:val="none" w:sz="0" w:space="0" w:color="auto"/>
        <w:left w:val="none" w:sz="0" w:space="0" w:color="auto"/>
        <w:bottom w:val="none" w:sz="0" w:space="0" w:color="auto"/>
        <w:right w:val="none" w:sz="0" w:space="0" w:color="auto"/>
      </w:divBdr>
    </w:div>
    <w:div w:id="123736496">
      <w:bodyDiv w:val="1"/>
      <w:marLeft w:val="0"/>
      <w:marRight w:val="0"/>
      <w:marTop w:val="0"/>
      <w:marBottom w:val="0"/>
      <w:divBdr>
        <w:top w:val="none" w:sz="0" w:space="0" w:color="auto"/>
        <w:left w:val="none" w:sz="0" w:space="0" w:color="auto"/>
        <w:bottom w:val="none" w:sz="0" w:space="0" w:color="auto"/>
        <w:right w:val="none" w:sz="0" w:space="0" w:color="auto"/>
      </w:divBdr>
    </w:div>
    <w:div w:id="176968966">
      <w:bodyDiv w:val="1"/>
      <w:marLeft w:val="0"/>
      <w:marRight w:val="0"/>
      <w:marTop w:val="0"/>
      <w:marBottom w:val="0"/>
      <w:divBdr>
        <w:top w:val="none" w:sz="0" w:space="0" w:color="auto"/>
        <w:left w:val="none" w:sz="0" w:space="0" w:color="auto"/>
        <w:bottom w:val="none" w:sz="0" w:space="0" w:color="auto"/>
        <w:right w:val="none" w:sz="0" w:space="0" w:color="auto"/>
      </w:divBdr>
    </w:div>
    <w:div w:id="258756125">
      <w:bodyDiv w:val="1"/>
      <w:marLeft w:val="0"/>
      <w:marRight w:val="0"/>
      <w:marTop w:val="0"/>
      <w:marBottom w:val="0"/>
      <w:divBdr>
        <w:top w:val="none" w:sz="0" w:space="0" w:color="auto"/>
        <w:left w:val="none" w:sz="0" w:space="0" w:color="auto"/>
        <w:bottom w:val="none" w:sz="0" w:space="0" w:color="auto"/>
        <w:right w:val="none" w:sz="0" w:space="0" w:color="auto"/>
      </w:divBdr>
    </w:div>
    <w:div w:id="300699825">
      <w:bodyDiv w:val="1"/>
      <w:marLeft w:val="0"/>
      <w:marRight w:val="0"/>
      <w:marTop w:val="0"/>
      <w:marBottom w:val="0"/>
      <w:divBdr>
        <w:top w:val="none" w:sz="0" w:space="0" w:color="auto"/>
        <w:left w:val="none" w:sz="0" w:space="0" w:color="auto"/>
        <w:bottom w:val="none" w:sz="0" w:space="0" w:color="auto"/>
        <w:right w:val="none" w:sz="0" w:space="0" w:color="auto"/>
      </w:divBdr>
    </w:div>
    <w:div w:id="386300630">
      <w:bodyDiv w:val="1"/>
      <w:marLeft w:val="0"/>
      <w:marRight w:val="0"/>
      <w:marTop w:val="0"/>
      <w:marBottom w:val="0"/>
      <w:divBdr>
        <w:top w:val="none" w:sz="0" w:space="0" w:color="auto"/>
        <w:left w:val="none" w:sz="0" w:space="0" w:color="auto"/>
        <w:bottom w:val="none" w:sz="0" w:space="0" w:color="auto"/>
        <w:right w:val="none" w:sz="0" w:space="0" w:color="auto"/>
      </w:divBdr>
    </w:div>
    <w:div w:id="432435689">
      <w:bodyDiv w:val="1"/>
      <w:marLeft w:val="0"/>
      <w:marRight w:val="0"/>
      <w:marTop w:val="0"/>
      <w:marBottom w:val="0"/>
      <w:divBdr>
        <w:top w:val="none" w:sz="0" w:space="0" w:color="auto"/>
        <w:left w:val="none" w:sz="0" w:space="0" w:color="auto"/>
        <w:bottom w:val="none" w:sz="0" w:space="0" w:color="auto"/>
        <w:right w:val="none" w:sz="0" w:space="0" w:color="auto"/>
      </w:divBdr>
    </w:div>
    <w:div w:id="599142537">
      <w:bodyDiv w:val="1"/>
      <w:marLeft w:val="0"/>
      <w:marRight w:val="0"/>
      <w:marTop w:val="0"/>
      <w:marBottom w:val="0"/>
      <w:divBdr>
        <w:top w:val="none" w:sz="0" w:space="0" w:color="auto"/>
        <w:left w:val="none" w:sz="0" w:space="0" w:color="auto"/>
        <w:bottom w:val="none" w:sz="0" w:space="0" w:color="auto"/>
        <w:right w:val="none" w:sz="0" w:space="0" w:color="auto"/>
      </w:divBdr>
    </w:div>
    <w:div w:id="685596972">
      <w:bodyDiv w:val="1"/>
      <w:marLeft w:val="0"/>
      <w:marRight w:val="0"/>
      <w:marTop w:val="0"/>
      <w:marBottom w:val="0"/>
      <w:divBdr>
        <w:top w:val="none" w:sz="0" w:space="0" w:color="auto"/>
        <w:left w:val="none" w:sz="0" w:space="0" w:color="auto"/>
        <w:bottom w:val="none" w:sz="0" w:space="0" w:color="auto"/>
        <w:right w:val="none" w:sz="0" w:space="0" w:color="auto"/>
      </w:divBdr>
    </w:div>
    <w:div w:id="768887929">
      <w:bodyDiv w:val="1"/>
      <w:marLeft w:val="0"/>
      <w:marRight w:val="0"/>
      <w:marTop w:val="0"/>
      <w:marBottom w:val="0"/>
      <w:divBdr>
        <w:top w:val="none" w:sz="0" w:space="0" w:color="auto"/>
        <w:left w:val="none" w:sz="0" w:space="0" w:color="auto"/>
        <w:bottom w:val="none" w:sz="0" w:space="0" w:color="auto"/>
        <w:right w:val="none" w:sz="0" w:space="0" w:color="auto"/>
      </w:divBdr>
    </w:div>
    <w:div w:id="804198201">
      <w:bodyDiv w:val="1"/>
      <w:marLeft w:val="0"/>
      <w:marRight w:val="0"/>
      <w:marTop w:val="0"/>
      <w:marBottom w:val="0"/>
      <w:divBdr>
        <w:top w:val="none" w:sz="0" w:space="0" w:color="auto"/>
        <w:left w:val="none" w:sz="0" w:space="0" w:color="auto"/>
        <w:bottom w:val="none" w:sz="0" w:space="0" w:color="auto"/>
        <w:right w:val="none" w:sz="0" w:space="0" w:color="auto"/>
      </w:divBdr>
    </w:div>
    <w:div w:id="825777586">
      <w:bodyDiv w:val="1"/>
      <w:marLeft w:val="0"/>
      <w:marRight w:val="0"/>
      <w:marTop w:val="0"/>
      <w:marBottom w:val="0"/>
      <w:divBdr>
        <w:top w:val="none" w:sz="0" w:space="0" w:color="auto"/>
        <w:left w:val="none" w:sz="0" w:space="0" w:color="auto"/>
        <w:bottom w:val="none" w:sz="0" w:space="0" w:color="auto"/>
        <w:right w:val="none" w:sz="0" w:space="0" w:color="auto"/>
      </w:divBdr>
    </w:div>
    <w:div w:id="905531612">
      <w:bodyDiv w:val="1"/>
      <w:marLeft w:val="0"/>
      <w:marRight w:val="0"/>
      <w:marTop w:val="0"/>
      <w:marBottom w:val="0"/>
      <w:divBdr>
        <w:top w:val="none" w:sz="0" w:space="0" w:color="auto"/>
        <w:left w:val="none" w:sz="0" w:space="0" w:color="auto"/>
        <w:bottom w:val="none" w:sz="0" w:space="0" w:color="auto"/>
        <w:right w:val="none" w:sz="0" w:space="0" w:color="auto"/>
      </w:divBdr>
      <w:divsChild>
        <w:div w:id="175835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251434">
      <w:bodyDiv w:val="1"/>
      <w:marLeft w:val="0"/>
      <w:marRight w:val="0"/>
      <w:marTop w:val="0"/>
      <w:marBottom w:val="0"/>
      <w:divBdr>
        <w:top w:val="none" w:sz="0" w:space="0" w:color="auto"/>
        <w:left w:val="none" w:sz="0" w:space="0" w:color="auto"/>
        <w:bottom w:val="none" w:sz="0" w:space="0" w:color="auto"/>
        <w:right w:val="none" w:sz="0" w:space="0" w:color="auto"/>
      </w:divBdr>
    </w:div>
    <w:div w:id="1097747773">
      <w:bodyDiv w:val="1"/>
      <w:marLeft w:val="0"/>
      <w:marRight w:val="0"/>
      <w:marTop w:val="0"/>
      <w:marBottom w:val="0"/>
      <w:divBdr>
        <w:top w:val="none" w:sz="0" w:space="0" w:color="auto"/>
        <w:left w:val="none" w:sz="0" w:space="0" w:color="auto"/>
        <w:bottom w:val="none" w:sz="0" w:space="0" w:color="auto"/>
        <w:right w:val="none" w:sz="0" w:space="0" w:color="auto"/>
      </w:divBdr>
    </w:div>
    <w:div w:id="1303005323">
      <w:bodyDiv w:val="1"/>
      <w:marLeft w:val="0"/>
      <w:marRight w:val="0"/>
      <w:marTop w:val="0"/>
      <w:marBottom w:val="0"/>
      <w:divBdr>
        <w:top w:val="none" w:sz="0" w:space="0" w:color="auto"/>
        <w:left w:val="none" w:sz="0" w:space="0" w:color="auto"/>
        <w:bottom w:val="none" w:sz="0" w:space="0" w:color="auto"/>
        <w:right w:val="none" w:sz="0" w:space="0" w:color="auto"/>
      </w:divBdr>
    </w:div>
    <w:div w:id="1560242606">
      <w:bodyDiv w:val="1"/>
      <w:marLeft w:val="0"/>
      <w:marRight w:val="0"/>
      <w:marTop w:val="0"/>
      <w:marBottom w:val="0"/>
      <w:divBdr>
        <w:top w:val="none" w:sz="0" w:space="0" w:color="auto"/>
        <w:left w:val="none" w:sz="0" w:space="0" w:color="auto"/>
        <w:bottom w:val="none" w:sz="0" w:space="0" w:color="auto"/>
        <w:right w:val="none" w:sz="0" w:space="0" w:color="auto"/>
      </w:divBdr>
    </w:div>
    <w:div w:id="1611085633">
      <w:bodyDiv w:val="1"/>
      <w:marLeft w:val="0"/>
      <w:marRight w:val="0"/>
      <w:marTop w:val="0"/>
      <w:marBottom w:val="0"/>
      <w:divBdr>
        <w:top w:val="none" w:sz="0" w:space="0" w:color="auto"/>
        <w:left w:val="none" w:sz="0" w:space="0" w:color="auto"/>
        <w:bottom w:val="none" w:sz="0" w:space="0" w:color="auto"/>
        <w:right w:val="none" w:sz="0" w:space="0" w:color="auto"/>
      </w:divBdr>
    </w:div>
    <w:div w:id="1694502097">
      <w:bodyDiv w:val="1"/>
      <w:marLeft w:val="0"/>
      <w:marRight w:val="0"/>
      <w:marTop w:val="0"/>
      <w:marBottom w:val="0"/>
      <w:divBdr>
        <w:top w:val="none" w:sz="0" w:space="0" w:color="auto"/>
        <w:left w:val="none" w:sz="0" w:space="0" w:color="auto"/>
        <w:bottom w:val="none" w:sz="0" w:space="0" w:color="auto"/>
        <w:right w:val="none" w:sz="0" w:space="0" w:color="auto"/>
      </w:divBdr>
    </w:div>
    <w:div w:id="1694647813">
      <w:bodyDiv w:val="1"/>
      <w:marLeft w:val="0"/>
      <w:marRight w:val="0"/>
      <w:marTop w:val="0"/>
      <w:marBottom w:val="0"/>
      <w:divBdr>
        <w:top w:val="none" w:sz="0" w:space="0" w:color="auto"/>
        <w:left w:val="none" w:sz="0" w:space="0" w:color="auto"/>
        <w:bottom w:val="none" w:sz="0" w:space="0" w:color="auto"/>
        <w:right w:val="none" w:sz="0" w:space="0" w:color="auto"/>
      </w:divBdr>
      <w:divsChild>
        <w:div w:id="2144275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2122442">
      <w:bodyDiv w:val="1"/>
      <w:marLeft w:val="0"/>
      <w:marRight w:val="0"/>
      <w:marTop w:val="0"/>
      <w:marBottom w:val="0"/>
      <w:divBdr>
        <w:top w:val="none" w:sz="0" w:space="0" w:color="auto"/>
        <w:left w:val="none" w:sz="0" w:space="0" w:color="auto"/>
        <w:bottom w:val="none" w:sz="0" w:space="0" w:color="auto"/>
        <w:right w:val="none" w:sz="0" w:space="0" w:color="auto"/>
      </w:divBdr>
    </w:div>
    <w:div w:id="1905293119">
      <w:bodyDiv w:val="1"/>
      <w:marLeft w:val="0"/>
      <w:marRight w:val="0"/>
      <w:marTop w:val="0"/>
      <w:marBottom w:val="0"/>
      <w:divBdr>
        <w:top w:val="none" w:sz="0" w:space="0" w:color="auto"/>
        <w:left w:val="none" w:sz="0" w:space="0" w:color="auto"/>
        <w:bottom w:val="none" w:sz="0" w:space="0" w:color="auto"/>
        <w:right w:val="none" w:sz="0" w:space="0" w:color="auto"/>
      </w:divBdr>
    </w:div>
    <w:div w:id="1966932836">
      <w:bodyDiv w:val="1"/>
      <w:marLeft w:val="0"/>
      <w:marRight w:val="0"/>
      <w:marTop w:val="0"/>
      <w:marBottom w:val="0"/>
      <w:divBdr>
        <w:top w:val="none" w:sz="0" w:space="0" w:color="auto"/>
        <w:left w:val="none" w:sz="0" w:space="0" w:color="auto"/>
        <w:bottom w:val="none" w:sz="0" w:space="0" w:color="auto"/>
        <w:right w:val="none" w:sz="0" w:space="0" w:color="auto"/>
      </w:divBdr>
      <w:divsChild>
        <w:div w:id="1907374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114C8F-E041-42E5-99EF-37294D8C1417}">
  <we:reference id="wa200000368" version="1.0.0.0" store="en-US" storeType="OMEX"/>
  <we:alternateReferences>
    <we:reference id="WA200000368" version="1.0.0.0" store="" storeType="OMEX"/>
  </we:alternateReferences>
  <we:properties>
    <we:property name="documentId" value="&quot;4f2f674a773bdeff&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398CF-51EB-41CE-A3A8-971FEC0E3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17</Pages>
  <Words>30187</Words>
  <Characters>172067</Characters>
  <Application>Microsoft Office Word</Application>
  <DocSecurity>0</DocSecurity>
  <Lines>1433</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Risky</dc:creator>
  <cp:keywords/>
  <dc:description/>
  <cp:lastModifiedBy>SDI 1089</cp:lastModifiedBy>
  <cp:revision>87</cp:revision>
  <cp:lastPrinted>2026-03-02T09:11:00Z</cp:lastPrinted>
  <dcterms:created xsi:type="dcterms:W3CDTF">2026-03-16T01:47:00Z</dcterms:created>
  <dcterms:modified xsi:type="dcterms:W3CDTF">2026-04-03T12:15:00Z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11th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https://csl.mendeley.com/styles/21371271/Jurnal-Agrikultura</vt:lpwstr>
  </property>
  <property fmtid="{D5CDD505-2E9C-101B-9397-08002B2CF9AE}" pid="17" name="Mendeley Recent Style Name 7_1">
    <vt:lpwstr>Jurnal Agrikultura</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http://csl.mendeley.com/styles/754235221/vancouver</vt:lpwstr>
  </property>
  <property fmtid="{D5CDD505-2E9C-101B-9397-08002B2CF9AE}" pid="21" name="Mendeley Recent Style Name 9_1">
    <vt:lpwstr>Vancouver - Musa  Banunaek</vt:lpwstr>
  </property>
  <property fmtid="{D5CDD505-2E9C-101B-9397-08002B2CF9AE}" pid="22" name="Mendeley Document_1">
    <vt:lpwstr>True</vt:lpwstr>
  </property>
  <property fmtid="{D5CDD505-2E9C-101B-9397-08002B2CF9AE}" pid="23" name="Mendeley Unique User Id_1">
    <vt:lpwstr>c133c00e-4a55-3e52-afa7-f7dbcd81b28c</vt:lpwstr>
  </property>
  <property fmtid="{D5CDD505-2E9C-101B-9397-08002B2CF9AE}" pid="24" name="Mendeley Citation Style_1">
    <vt:lpwstr>http://www.zotero.org/styles/american-political-science-association</vt:lpwstr>
  </property>
  <property fmtid="{D5CDD505-2E9C-101B-9397-08002B2CF9AE}" pid="25" name="GrammarlyDocumentId">
    <vt:lpwstr>2c521d2a-464f-4ddb-8686-5b8859c20bdb</vt:lpwstr>
  </property>
</Properties>
</file>