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CCEC3" w14:textId="77777777" w:rsidR="00747876" w:rsidRDefault="00747876" w:rsidP="00BD744F">
      <w:pPr>
        <w:jc w:val="right"/>
        <w:rPr>
          <w:rFonts w:ascii="Arial" w:eastAsia="Calibri" w:hAnsi="Arial" w:cs="Arial"/>
          <w:b/>
          <w:bCs/>
          <w:sz w:val="36"/>
          <w:szCs w:val="36"/>
          <w:lang w:bidi="gu-IN"/>
        </w:rPr>
      </w:pPr>
      <w:bookmarkStart w:id="0" w:name="_GoBack"/>
      <w:bookmarkEnd w:id="0"/>
    </w:p>
    <w:p w14:paraId="25E072BE" w14:textId="427077B2" w:rsidR="004F784C" w:rsidRPr="00603DEF" w:rsidRDefault="004F784C" w:rsidP="00BD744F">
      <w:pPr>
        <w:jc w:val="right"/>
        <w:rPr>
          <w:rFonts w:ascii="Arial" w:eastAsia="Calibri" w:hAnsi="Arial" w:cs="Arial"/>
          <w:b/>
          <w:bCs/>
          <w:sz w:val="36"/>
          <w:szCs w:val="36"/>
          <w:lang w:bidi="gu-IN"/>
        </w:rPr>
      </w:pPr>
      <w:r w:rsidRPr="00603DEF">
        <w:rPr>
          <w:rFonts w:ascii="Arial" w:eastAsia="Calibri" w:hAnsi="Arial" w:cs="Arial"/>
          <w:b/>
          <w:bCs/>
          <w:sz w:val="36"/>
          <w:szCs w:val="36"/>
          <w:lang w:bidi="gu-IN"/>
        </w:rPr>
        <w:t>Revealed Comparative Advantage and Market Retention Analysis of India’s Marine Product Exports</w:t>
      </w:r>
    </w:p>
    <w:p w14:paraId="2E9E9D65" w14:textId="77777777" w:rsidR="0087554B" w:rsidRDefault="0087554B" w:rsidP="00BD744F">
      <w:pPr>
        <w:jc w:val="right"/>
        <w:rPr>
          <w:rFonts w:ascii="Arial" w:eastAsia="Calibri" w:hAnsi="Arial" w:cs="Arial"/>
          <w:b/>
          <w:bCs/>
          <w:sz w:val="24"/>
          <w:szCs w:val="24"/>
          <w:lang w:bidi="gu-IN"/>
        </w:rPr>
      </w:pPr>
    </w:p>
    <w:p w14:paraId="184E9B97" w14:textId="77777777" w:rsidR="00801655" w:rsidRPr="00603DEF" w:rsidRDefault="00801655" w:rsidP="00801655">
      <w:pPr>
        <w:jc w:val="right"/>
        <w:rPr>
          <w:rFonts w:ascii="Arial" w:eastAsia="Calibri" w:hAnsi="Arial" w:cs="Arial"/>
          <w:sz w:val="16"/>
          <w:szCs w:val="16"/>
          <w:lang w:bidi="gu-IN"/>
        </w:rPr>
      </w:pPr>
      <w:r w:rsidRPr="00603DEF">
        <w:rPr>
          <w:rFonts w:ascii="Arial" w:hAnsi="Arial" w:cs="Arial"/>
          <w:noProof/>
          <w:lang w:eastAsia="en-IN" w:bidi="gu-IN"/>
        </w:rPr>
        <mc:AlternateContent>
          <mc:Choice Requires="wps">
            <w:drawing>
              <wp:inline distT="0" distB="0" distL="0" distR="0" wp14:anchorId="1AB3AF19" wp14:editId="7A51113E">
                <wp:extent cx="4971784" cy="45719"/>
                <wp:effectExtent l="0" t="0" r="19685"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1784"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314F2B" id="_x0000_t32" coordsize="21600,21600" o:spt="32" o:oned="t" path="m,l21600,21600e" filled="f">
                <v:path arrowok="t" fillok="f" o:connecttype="none"/>
                <o:lock v:ext="edit" shapetype="t"/>
              </v:shapetype>
              <v:shape id="Straight Arrow Connector 1" o:spid="_x0000_s1026" type="#_x0000_t32" style="width:391.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" strokeweight="1.5pt">
                <w10:anchorlock/>
              </v:shape>
            </w:pict>
          </mc:Fallback>
        </mc:AlternateContent>
      </w:r>
    </w:p>
    <w:p w14:paraId="60CD0492" w14:textId="77777777" w:rsidR="004F784C" w:rsidRPr="00603DEF" w:rsidRDefault="004F784C" w:rsidP="003110DB">
      <w:pPr>
        <w:spacing w:after="120"/>
        <w:jc w:val="both"/>
        <w:rPr>
          <w:rFonts w:ascii="Arial" w:eastAsia="Calibri" w:hAnsi="Arial" w:cs="Arial"/>
          <w:b/>
          <w:bCs/>
          <w:lang w:bidi="gu-IN"/>
        </w:rPr>
      </w:pPr>
      <w:r w:rsidRPr="00603DEF">
        <w:rPr>
          <w:rFonts w:ascii="Arial" w:eastAsia="Calibri" w:hAnsi="Arial" w:cs="Arial"/>
          <w:b/>
          <w:bCs/>
          <w:lang w:bidi="gu-IN"/>
        </w:rPr>
        <w:t>ABSTRACT</w:t>
      </w:r>
    </w:p>
    <w:tbl>
      <w:tblPr>
        <w:tblStyle w:val="TableGrid"/>
        <w:tblW w:w="5000" w:type="pct"/>
        <w:tblLook w:val="04A0" w:firstRow="1" w:lastRow="0" w:firstColumn="1" w:lastColumn="0" w:noHBand="0" w:noVBand="1"/>
      </w:tblPr>
      <w:tblGrid>
        <w:gridCol w:w="7864"/>
      </w:tblGrid>
      <w:tr w:rsidR="00603DEF" w:rsidRPr="00603DEF" w14:paraId="1375B4CB" w14:textId="77777777" w:rsidTr="006757FA">
        <w:tc>
          <w:tcPr>
            <w:tcW w:w="5000" w:type="pct"/>
          </w:tcPr>
          <w:p w14:paraId="34353300" w14:textId="7F18E9C8" w:rsidR="00603DEF" w:rsidRPr="00603DEF" w:rsidRDefault="00603DEF" w:rsidP="003110DB">
            <w:pPr>
              <w:spacing w:after="120"/>
              <w:jc w:val="both"/>
              <w:rPr>
                <w:rFonts w:ascii="Arial" w:eastAsia="Calibri" w:hAnsi="Arial" w:cs="Arial"/>
                <w:sz w:val="20"/>
                <w:szCs w:val="20"/>
                <w:lang w:bidi="gu-IN"/>
              </w:rPr>
            </w:pPr>
            <w:r w:rsidRPr="00603DEF">
              <w:rPr>
                <w:rFonts w:ascii="Arial" w:eastAsia="Calibri" w:hAnsi="Arial" w:cs="Arial"/>
                <w:b/>
                <w:bCs/>
                <w:sz w:val="20"/>
                <w:szCs w:val="20"/>
                <w:lang w:bidi="gu-IN"/>
              </w:rPr>
              <w:t xml:space="preserve">Aims: </w:t>
            </w:r>
            <w:r w:rsidR="00E819ED" w:rsidRPr="00E819ED">
              <w:rPr>
                <w:rFonts w:ascii="Arial" w:eastAsia="Calibri" w:hAnsi="Arial" w:cs="Arial"/>
                <w:sz w:val="20"/>
                <w:szCs w:val="20"/>
                <w:lang w:bidi="gu-IN"/>
              </w:rPr>
              <w:t>To analyse the competitiveness and structural shifts in India's marine product exports over 2004</w:t>
            </w:r>
            <w:r w:rsidR="00DC0AB0">
              <w:rPr>
                <w:rFonts w:ascii="Arial" w:eastAsia="Calibri" w:hAnsi="Arial" w:cs="Arial"/>
                <w:sz w:val="20"/>
                <w:szCs w:val="20"/>
                <w:lang w:bidi="gu-IN"/>
              </w:rPr>
              <w:t>-</w:t>
            </w:r>
            <w:r w:rsidR="00E819ED" w:rsidRPr="00E819ED">
              <w:rPr>
                <w:rFonts w:ascii="Arial" w:eastAsia="Calibri" w:hAnsi="Arial" w:cs="Arial"/>
                <w:sz w:val="20"/>
                <w:szCs w:val="20"/>
                <w:lang w:bidi="gu-IN"/>
              </w:rPr>
              <w:t>05 to 2023</w:t>
            </w:r>
            <w:r w:rsidR="00DC0AB0">
              <w:rPr>
                <w:rFonts w:ascii="Arial" w:eastAsia="Calibri" w:hAnsi="Arial" w:cs="Arial"/>
                <w:sz w:val="20"/>
                <w:szCs w:val="20"/>
                <w:lang w:bidi="gu-IN"/>
              </w:rPr>
              <w:t>-</w:t>
            </w:r>
            <w:r w:rsidR="00E819ED" w:rsidRPr="00E819ED">
              <w:rPr>
                <w:rFonts w:ascii="Arial" w:eastAsia="Calibri" w:hAnsi="Arial" w:cs="Arial"/>
                <w:sz w:val="20"/>
                <w:szCs w:val="20"/>
                <w:lang w:bidi="gu-IN"/>
              </w:rPr>
              <w:t>24, addressing the gap in understanding long-run market transition patterns using RCA and Markov Chain techniques.</w:t>
            </w:r>
          </w:p>
          <w:p w14:paraId="77F2584B" w14:textId="77777777" w:rsidR="00603DEF" w:rsidRPr="00603DEF" w:rsidRDefault="00603DEF" w:rsidP="003110DB">
            <w:pPr>
              <w:spacing w:after="120"/>
              <w:jc w:val="both"/>
              <w:rPr>
                <w:rFonts w:ascii="Arial" w:eastAsia="Calibri" w:hAnsi="Arial" w:cs="Arial"/>
                <w:sz w:val="20"/>
                <w:szCs w:val="20"/>
                <w:lang w:bidi="gu-IN"/>
              </w:rPr>
            </w:pPr>
            <w:r w:rsidRPr="00603DEF">
              <w:rPr>
                <w:rFonts w:ascii="Arial" w:eastAsia="Calibri" w:hAnsi="Arial" w:cs="Arial"/>
                <w:b/>
                <w:bCs/>
                <w:sz w:val="20"/>
                <w:szCs w:val="20"/>
                <w:lang w:bidi="gu-IN"/>
              </w:rPr>
              <w:t xml:space="preserve">Study Design: </w:t>
            </w:r>
            <w:r w:rsidRPr="00603DEF">
              <w:rPr>
                <w:rFonts w:ascii="Arial" w:eastAsia="Calibri" w:hAnsi="Arial" w:cs="Arial"/>
                <w:sz w:val="20"/>
                <w:szCs w:val="20"/>
                <w:lang w:bidi="gu-IN"/>
              </w:rPr>
              <w:t>Quantitative analytical study based on secondary time-series data, employing RCA and Markov Chain models to assess export competitiveness and market transitions.</w:t>
            </w:r>
          </w:p>
          <w:p w14:paraId="27323886" w14:textId="77777777" w:rsidR="00603DEF" w:rsidRPr="00603DEF" w:rsidRDefault="00603DEF" w:rsidP="003110DB">
            <w:pPr>
              <w:spacing w:after="120"/>
              <w:jc w:val="both"/>
              <w:rPr>
                <w:rFonts w:ascii="Arial" w:eastAsia="Calibri" w:hAnsi="Arial" w:cs="Arial"/>
                <w:sz w:val="20"/>
                <w:szCs w:val="20"/>
                <w:lang w:bidi="gu-IN"/>
              </w:rPr>
            </w:pPr>
            <w:r w:rsidRPr="00603DEF">
              <w:rPr>
                <w:rFonts w:ascii="Arial" w:eastAsia="Calibri" w:hAnsi="Arial" w:cs="Arial"/>
                <w:b/>
                <w:bCs/>
                <w:sz w:val="20"/>
                <w:szCs w:val="20"/>
                <w:lang w:bidi="gu-IN"/>
              </w:rPr>
              <w:t xml:space="preserve">Place and Duration of Study: </w:t>
            </w:r>
            <w:r w:rsidRPr="00603DEF">
              <w:rPr>
                <w:rFonts w:ascii="Arial" w:eastAsia="Calibri" w:hAnsi="Arial" w:cs="Arial"/>
                <w:sz w:val="20"/>
                <w:szCs w:val="20"/>
                <w:lang w:bidi="gu-IN"/>
              </w:rPr>
              <w:t>India; covering a p</w:t>
            </w:r>
            <w:r>
              <w:rPr>
                <w:rFonts w:ascii="Arial" w:eastAsia="Calibri" w:hAnsi="Arial" w:cs="Arial"/>
                <w:sz w:val="20"/>
                <w:szCs w:val="20"/>
                <w:lang w:bidi="gu-IN"/>
              </w:rPr>
              <w:t>eriod of twenty years from 2004-05 to 2023-</w:t>
            </w:r>
            <w:r w:rsidRPr="00603DEF">
              <w:rPr>
                <w:rFonts w:ascii="Arial" w:eastAsia="Calibri" w:hAnsi="Arial" w:cs="Arial"/>
                <w:sz w:val="20"/>
                <w:szCs w:val="20"/>
                <w:lang w:bidi="gu-IN"/>
              </w:rPr>
              <w:t>24.</w:t>
            </w:r>
          </w:p>
          <w:p w14:paraId="4CAF2925" w14:textId="77777777" w:rsidR="00603DEF" w:rsidRPr="00603DEF" w:rsidRDefault="00603DEF" w:rsidP="003110DB">
            <w:pPr>
              <w:spacing w:after="120"/>
              <w:jc w:val="both"/>
              <w:rPr>
                <w:rFonts w:ascii="Arial" w:eastAsia="Calibri" w:hAnsi="Arial" w:cs="Arial"/>
                <w:sz w:val="20"/>
                <w:szCs w:val="20"/>
                <w:lang w:bidi="gu-IN"/>
              </w:rPr>
            </w:pPr>
            <w:r w:rsidRPr="00603DEF">
              <w:rPr>
                <w:rFonts w:ascii="Arial" w:eastAsia="Calibri" w:hAnsi="Arial" w:cs="Arial"/>
                <w:b/>
                <w:bCs/>
                <w:sz w:val="20"/>
                <w:szCs w:val="20"/>
                <w:lang w:bidi="gu-IN"/>
              </w:rPr>
              <w:t xml:space="preserve">Methodology: </w:t>
            </w:r>
            <w:r w:rsidRPr="00603DEF">
              <w:rPr>
                <w:rFonts w:ascii="Arial" w:eastAsia="Calibri" w:hAnsi="Arial" w:cs="Arial"/>
                <w:sz w:val="20"/>
                <w:szCs w:val="20"/>
                <w:lang w:bidi="gu-IN"/>
              </w:rPr>
              <w:t>The study uses RCA to evaluate comparative advantage across major marine product categories such as frozen shrimp, frozen fish, cuttle</w:t>
            </w:r>
            <w:r>
              <w:rPr>
                <w:rFonts w:ascii="Arial" w:eastAsia="Calibri" w:hAnsi="Arial" w:cs="Arial"/>
                <w:sz w:val="20"/>
                <w:szCs w:val="20"/>
                <w:lang w:bidi="gu-IN"/>
              </w:rPr>
              <w:t xml:space="preserve"> </w:t>
            </w:r>
            <w:r w:rsidRPr="00603DEF">
              <w:rPr>
                <w:rFonts w:ascii="Arial" w:eastAsia="Calibri" w:hAnsi="Arial" w:cs="Arial"/>
                <w:sz w:val="20"/>
                <w:szCs w:val="20"/>
                <w:lang w:bidi="gu-IN"/>
              </w:rPr>
              <w:t>fish, squid, and other products. Markov Chain analysis is applied to examine the direction and stability of export markets, focusing on transition probabilities among major importing regions.</w:t>
            </w:r>
          </w:p>
          <w:p w14:paraId="76CA60AE" w14:textId="4428DCA0" w:rsidR="00603DEF" w:rsidRPr="00603DEF" w:rsidRDefault="00603DEF" w:rsidP="003110DB">
            <w:pPr>
              <w:spacing w:after="120"/>
              <w:jc w:val="both"/>
              <w:rPr>
                <w:rFonts w:ascii="Arial" w:eastAsia="Calibri" w:hAnsi="Arial" w:cs="Arial"/>
                <w:sz w:val="20"/>
                <w:szCs w:val="20"/>
                <w:lang w:bidi="gu-IN"/>
              </w:rPr>
            </w:pPr>
            <w:r w:rsidRPr="00603DEF">
              <w:rPr>
                <w:rFonts w:ascii="Arial" w:eastAsia="Calibri" w:hAnsi="Arial" w:cs="Arial"/>
                <w:b/>
                <w:bCs/>
                <w:sz w:val="20"/>
                <w:szCs w:val="20"/>
                <w:lang w:bidi="gu-IN"/>
              </w:rPr>
              <w:t xml:space="preserve">Results: </w:t>
            </w:r>
            <w:r w:rsidRPr="00603DEF">
              <w:rPr>
                <w:rFonts w:ascii="Arial" w:eastAsia="Calibri" w:hAnsi="Arial" w:cs="Arial"/>
                <w:sz w:val="20"/>
                <w:szCs w:val="20"/>
                <w:lang w:bidi="gu-IN"/>
              </w:rPr>
              <w:t>The RCA analysis indicates a strong and consistent comparative advantage in frozen shrimp exports throughout the study period</w:t>
            </w:r>
            <w:r w:rsidR="003003BD">
              <w:rPr>
                <w:rFonts w:ascii="Arial" w:eastAsia="Calibri" w:hAnsi="Arial" w:cs="Arial"/>
                <w:sz w:val="20"/>
                <w:szCs w:val="20"/>
                <w:lang w:bidi="gu-IN"/>
              </w:rPr>
              <w:t xml:space="preserve"> </w:t>
            </w:r>
            <w:r w:rsidR="003003BD" w:rsidRPr="00DC0AB0">
              <w:rPr>
                <w:rFonts w:ascii="Arial" w:eastAsia="Calibri" w:hAnsi="Arial" w:cs="Arial"/>
                <w:sz w:val="20"/>
                <w:szCs w:val="20"/>
                <w:lang w:bidi="gu-IN"/>
              </w:rPr>
              <w:t>(RCA ranging from 3.08 to 5.27)</w:t>
            </w:r>
            <w:r w:rsidRPr="00DC0AB0">
              <w:rPr>
                <w:rFonts w:ascii="Arial" w:eastAsia="Calibri" w:hAnsi="Arial" w:cs="Arial"/>
                <w:sz w:val="20"/>
                <w:szCs w:val="20"/>
                <w:lang w:bidi="gu-IN"/>
              </w:rPr>
              <w:t>, while other product categories show either temporary or persistent comparative disadvantage</w:t>
            </w:r>
            <w:r w:rsidR="003003BD" w:rsidRPr="00DC0AB0">
              <w:rPr>
                <w:rFonts w:ascii="Arial" w:eastAsia="Calibri" w:hAnsi="Arial" w:cs="Arial"/>
                <w:sz w:val="20"/>
                <w:szCs w:val="20"/>
                <w:lang w:bidi="gu-IN"/>
              </w:rPr>
              <w:t xml:space="preserve"> (RCA &lt; 1)</w:t>
            </w:r>
            <w:r w:rsidRPr="00DC0AB0">
              <w:rPr>
                <w:rFonts w:ascii="Arial" w:eastAsia="Calibri" w:hAnsi="Arial" w:cs="Arial"/>
                <w:sz w:val="20"/>
                <w:szCs w:val="20"/>
                <w:lang w:bidi="gu-IN"/>
              </w:rPr>
              <w:t xml:space="preserve">. This reflects a structural dependence on shrimp in India’s marine export basket. </w:t>
            </w:r>
            <w:r w:rsidR="003003BD" w:rsidRPr="00DC0AB0">
              <w:rPr>
                <w:rFonts w:ascii="Arial" w:eastAsia="Calibri" w:hAnsi="Arial" w:cs="Arial"/>
                <w:sz w:val="20"/>
                <w:szCs w:val="20"/>
                <w:lang w:bidi="gu-IN"/>
              </w:rPr>
              <w:t>Markov Chain results reveal varying degrees of market retention, with South East Asia (0.3306) and China (0.1221)</w:t>
            </w:r>
            <w:r w:rsidR="003003BD" w:rsidRPr="003003BD">
              <w:rPr>
                <w:rFonts w:ascii="Arial" w:eastAsia="Calibri" w:hAnsi="Arial" w:cs="Arial"/>
                <w:sz w:val="20"/>
                <w:szCs w:val="20"/>
                <w:lang w:bidi="gu-IN"/>
              </w:rPr>
              <w:t xml:space="preserve"> </w:t>
            </w:r>
            <w:r w:rsidRPr="00603DEF">
              <w:rPr>
                <w:rFonts w:ascii="Arial" w:eastAsia="Calibri" w:hAnsi="Arial" w:cs="Arial"/>
                <w:sz w:val="20"/>
                <w:szCs w:val="20"/>
                <w:lang w:bidi="gu-IN"/>
              </w:rPr>
              <w:t xml:space="preserve">emerging as </w:t>
            </w:r>
            <w:r w:rsidR="003003BD">
              <w:rPr>
                <w:rFonts w:ascii="Arial" w:eastAsia="Calibri" w:hAnsi="Arial" w:cs="Arial"/>
                <w:sz w:val="20"/>
                <w:szCs w:val="20"/>
                <w:lang w:bidi="gu-IN"/>
              </w:rPr>
              <w:t xml:space="preserve">relatively </w:t>
            </w:r>
            <w:r w:rsidRPr="00603DEF">
              <w:rPr>
                <w:rFonts w:ascii="Arial" w:eastAsia="Calibri" w:hAnsi="Arial" w:cs="Arial"/>
                <w:sz w:val="20"/>
                <w:szCs w:val="20"/>
                <w:lang w:bidi="gu-IN"/>
              </w:rPr>
              <w:t>stable and increasingly significant markets. In contrast, traditional destinations such as the United States and the European Union exhibit more dynamic and shifting patterns. The long-term trends suggest gradual diversification of export destinations and stronger regional integration within Asian markets.</w:t>
            </w:r>
          </w:p>
          <w:p w14:paraId="4CEBF729" w14:textId="37B2C157" w:rsidR="00603DEF" w:rsidRPr="00603DEF" w:rsidRDefault="00603DEF" w:rsidP="003110DB">
            <w:pPr>
              <w:spacing w:after="120"/>
              <w:jc w:val="both"/>
              <w:rPr>
                <w:rFonts w:ascii="Arial" w:eastAsia="Calibri" w:hAnsi="Arial" w:cs="Arial"/>
                <w:sz w:val="20"/>
                <w:szCs w:val="20"/>
                <w:lang w:bidi="gu-IN"/>
              </w:rPr>
            </w:pPr>
            <w:r w:rsidRPr="00603DEF">
              <w:rPr>
                <w:rFonts w:ascii="Arial" w:eastAsia="Calibri" w:hAnsi="Arial" w:cs="Arial"/>
                <w:b/>
                <w:bCs/>
                <w:sz w:val="20"/>
                <w:szCs w:val="20"/>
                <w:lang w:bidi="gu-IN"/>
              </w:rPr>
              <w:t xml:space="preserve">Conclusion: </w:t>
            </w:r>
            <w:r w:rsidRPr="00603DEF">
              <w:rPr>
                <w:rFonts w:ascii="Arial" w:eastAsia="Calibri" w:hAnsi="Arial" w:cs="Arial"/>
                <w:sz w:val="20"/>
                <w:szCs w:val="20"/>
                <w:lang w:bidi="gu-IN"/>
              </w:rPr>
              <w:t xml:space="preserve">The study highlights the need for diversification, value addition, infrastructure development, and targeted market strategies to sustain export competitiveness and reduce risks associated with product and market concentration. </w:t>
            </w:r>
            <w:r w:rsidR="003003BD" w:rsidRPr="00DC0AB0">
              <w:rPr>
                <w:rFonts w:ascii="Arial" w:eastAsia="Calibri" w:hAnsi="Arial" w:cs="Arial"/>
                <w:sz w:val="20"/>
                <w:szCs w:val="20"/>
                <w:lang w:bidi="gu-IN"/>
              </w:rPr>
              <w:t>These findings suggest the need for diversification beyond shrimp, strengthening value addition in underperforming segments, and consolidating trade relations with emerging Asian markets.</w:t>
            </w:r>
          </w:p>
        </w:tc>
      </w:tr>
    </w:tbl>
    <w:p w14:paraId="25A57B82" w14:textId="77777777" w:rsidR="004F784C" w:rsidRPr="00603DEF" w:rsidRDefault="004F784C" w:rsidP="004F784C">
      <w:pPr>
        <w:jc w:val="both"/>
        <w:rPr>
          <w:rFonts w:ascii="Arial" w:eastAsia="Calibri" w:hAnsi="Arial" w:cs="Arial"/>
          <w:sz w:val="24"/>
          <w:szCs w:val="24"/>
          <w:lang w:bidi="gu-IN"/>
        </w:rPr>
      </w:pPr>
    </w:p>
    <w:p w14:paraId="587FE0B3" w14:textId="07644994" w:rsidR="004F784C" w:rsidRPr="00603DEF" w:rsidRDefault="004F784C" w:rsidP="004F784C">
      <w:pPr>
        <w:jc w:val="both"/>
        <w:rPr>
          <w:rFonts w:ascii="Arial" w:eastAsia="Calibri" w:hAnsi="Arial" w:cs="Arial"/>
          <w:i/>
          <w:iCs/>
          <w:sz w:val="20"/>
          <w:szCs w:val="20"/>
          <w:lang w:bidi="gu-IN"/>
        </w:rPr>
      </w:pPr>
      <w:r w:rsidRPr="00603DEF">
        <w:rPr>
          <w:rFonts w:ascii="Arial" w:eastAsia="Calibri" w:hAnsi="Arial" w:cs="Arial"/>
          <w:i/>
          <w:iCs/>
          <w:sz w:val="20"/>
          <w:szCs w:val="20"/>
          <w:lang w:bidi="gu-IN"/>
        </w:rPr>
        <w:t xml:space="preserve">Keywords: </w:t>
      </w:r>
      <w:r w:rsidR="003003BD" w:rsidRPr="003003BD">
        <w:rPr>
          <w:rFonts w:ascii="Arial" w:eastAsia="Calibri" w:hAnsi="Arial" w:cs="Arial"/>
          <w:i/>
          <w:iCs/>
          <w:sz w:val="20"/>
          <w:szCs w:val="20"/>
          <w:lang w:bidi="gu-IN"/>
        </w:rPr>
        <w:t>Frozen shrimp; Revealed Comparative Advantage; Markov Chain; Export diversification; Market transition</w:t>
      </w:r>
    </w:p>
    <w:p w14:paraId="3CDC0EE4" w14:textId="77777777" w:rsidR="004F784C" w:rsidRPr="00603DEF" w:rsidRDefault="004F784C" w:rsidP="004F784C">
      <w:pPr>
        <w:jc w:val="both"/>
        <w:rPr>
          <w:rFonts w:ascii="Arial" w:eastAsia="Calibri" w:hAnsi="Arial" w:cs="Arial"/>
          <w:b/>
          <w:bCs/>
          <w:sz w:val="24"/>
          <w:szCs w:val="24"/>
          <w:lang w:bidi="gu-IN"/>
        </w:rPr>
      </w:pPr>
    </w:p>
    <w:p w14:paraId="61340ED4" w14:textId="77777777" w:rsidR="004F784C" w:rsidRPr="0087554B" w:rsidRDefault="0087554B" w:rsidP="003110DB">
      <w:pPr>
        <w:spacing w:after="120"/>
        <w:jc w:val="both"/>
        <w:rPr>
          <w:rFonts w:ascii="Arial" w:eastAsia="Calibri" w:hAnsi="Arial" w:cs="Arial"/>
          <w:b/>
          <w:bCs/>
          <w:lang w:bidi="gu-IN"/>
        </w:rPr>
      </w:pPr>
      <w:r w:rsidRPr="0087554B">
        <w:rPr>
          <w:rFonts w:ascii="Arial" w:eastAsia="Calibri" w:hAnsi="Arial" w:cs="Arial"/>
          <w:b/>
          <w:bCs/>
          <w:lang w:bidi="gu-IN"/>
        </w:rPr>
        <w:t xml:space="preserve">1. </w:t>
      </w:r>
      <w:r w:rsidR="004F784C" w:rsidRPr="0087554B">
        <w:rPr>
          <w:rFonts w:ascii="Arial" w:eastAsia="Calibri" w:hAnsi="Arial" w:cs="Arial"/>
          <w:b/>
          <w:bCs/>
          <w:lang w:bidi="gu-IN"/>
        </w:rPr>
        <w:t>INTRODUCTION</w:t>
      </w:r>
    </w:p>
    <w:p w14:paraId="5B9556B6" w14:textId="77777777" w:rsidR="00CA69E0" w:rsidRPr="00CA69E0" w:rsidRDefault="00CA69E0" w:rsidP="00CA69E0">
      <w:pPr>
        <w:spacing w:after="120"/>
        <w:jc w:val="both"/>
        <w:rPr>
          <w:rFonts w:ascii="Arial" w:eastAsia="Calibri" w:hAnsi="Arial" w:cs="Arial"/>
          <w:sz w:val="20"/>
          <w:szCs w:val="20"/>
          <w:lang w:bidi="gu-IN"/>
        </w:rPr>
      </w:pPr>
      <w:r w:rsidRPr="00CA69E0">
        <w:rPr>
          <w:rFonts w:ascii="Arial" w:eastAsia="Calibri" w:hAnsi="Arial" w:cs="Arial"/>
          <w:sz w:val="20"/>
          <w:szCs w:val="20"/>
          <w:lang w:bidi="gu-IN"/>
        </w:rPr>
        <w:t xml:space="preserve">The marine export sector is vital to the Indian economy. It contributes substantially to foreign exchange earnings, supports employment in rural and coastal regions, and strengthens the performance of agricultural and allied exports. Key production and processing hubs such as Andhra Pradesh, Tamil Nadu, Kerala, Gujarat, and West Bengal benefit from India’s long coastline, rich marine resources, and expanding processing infrastructure (Chandrasekar </w:t>
      </w:r>
      <w:r w:rsidRPr="00CA69E0">
        <w:rPr>
          <w:rFonts w:ascii="Arial" w:eastAsia="Calibri" w:hAnsi="Arial" w:cs="Arial"/>
          <w:i/>
          <w:iCs/>
          <w:sz w:val="20"/>
          <w:szCs w:val="20"/>
          <w:lang w:bidi="gu-IN"/>
        </w:rPr>
        <w:t>et al</w:t>
      </w:r>
      <w:r w:rsidRPr="00CA69E0">
        <w:rPr>
          <w:rFonts w:ascii="Arial" w:eastAsia="Calibri" w:hAnsi="Arial" w:cs="Arial"/>
          <w:sz w:val="20"/>
          <w:szCs w:val="20"/>
          <w:lang w:bidi="gu-IN"/>
        </w:rPr>
        <w:t xml:space="preserve">., 2020; IBEF, 2025). The rapid expansion of shrimp aquaculture, particularly </w:t>
      </w:r>
      <w:proofErr w:type="spellStart"/>
      <w:r w:rsidRPr="00CA69E0">
        <w:rPr>
          <w:rFonts w:ascii="Arial" w:eastAsia="Calibri" w:hAnsi="Arial" w:cs="Arial"/>
          <w:i/>
          <w:iCs/>
          <w:sz w:val="20"/>
          <w:szCs w:val="20"/>
          <w:lang w:bidi="gu-IN"/>
        </w:rPr>
        <w:t>Litopenaeus</w:t>
      </w:r>
      <w:proofErr w:type="spellEnd"/>
      <w:r w:rsidRPr="00CA69E0">
        <w:rPr>
          <w:rFonts w:ascii="Arial" w:eastAsia="Calibri" w:hAnsi="Arial" w:cs="Arial"/>
          <w:i/>
          <w:iCs/>
          <w:sz w:val="20"/>
          <w:szCs w:val="20"/>
          <w:lang w:bidi="gu-IN"/>
        </w:rPr>
        <w:t xml:space="preserve"> </w:t>
      </w:r>
      <w:proofErr w:type="spellStart"/>
      <w:r w:rsidRPr="00CA69E0">
        <w:rPr>
          <w:rFonts w:ascii="Arial" w:eastAsia="Calibri" w:hAnsi="Arial" w:cs="Arial"/>
          <w:i/>
          <w:iCs/>
          <w:sz w:val="20"/>
          <w:szCs w:val="20"/>
          <w:lang w:bidi="gu-IN"/>
        </w:rPr>
        <w:t>vannamei</w:t>
      </w:r>
      <w:proofErr w:type="spellEnd"/>
      <w:r w:rsidRPr="00CA69E0">
        <w:rPr>
          <w:rFonts w:ascii="Arial" w:eastAsia="Calibri" w:hAnsi="Arial" w:cs="Arial"/>
          <w:sz w:val="20"/>
          <w:szCs w:val="20"/>
          <w:lang w:bidi="gu-IN"/>
        </w:rPr>
        <w:t>, has further enhanced export capacity and global competitiveness.</w:t>
      </w:r>
    </w:p>
    <w:p w14:paraId="2529B83A" w14:textId="77777777" w:rsidR="004F784C" w:rsidRPr="0087554B"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lastRenderedPageBreak/>
        <w:t xml:space="preserve">Over the years, India has become an important player in the global marine products trade, exporting seafood to more than 130 countries across Asia, Europe, the Americas, the Middle East, and Africa (MPEDA, 2025). The sector has experienced steady growth in both export volumes and earnings, supported by improvements in aquaculture practices, better adherence to international quality standards, and deeper integration into global value chains (Chandrasekar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xml:space="preserve">., 2020; Jeevitha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2023). Institutional backing from the Marine Products Export Development Authority has significantly strengthened export promotion, quality assurance, and market diversification efforts.</w:t>
      </w:r>
    </w:p>
    <w:p w14:paraId="4C8D6169" w14:textId="0DC936C4" w:rsidR="004F784C" w:rsidRPr="0087554B"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Recent data illustrate the scale of this growth. </w:t>
      </w:r>
      <w:r w:rsidR="003003BD" w:rsidRPr="00CA69E0">
        <w:rPr>
          <w:rFonts w:ascii="Arial" w:eastAsia="Calibri" w:hAnsi="Arial" w:cs="Arial"/>
          <w:sz w:val="20"/>
          <w:szCs w:val="20"/>
          <w:lang w:bidi="gu-IN"/>
        </w:rPr>
        <w:t>According to MPEDA (2025), India exported 15,83,000 metric tonnes of seafood during 2023-24</w:t>
      </w:r>
      <w:r w:rsidRPr="00CA69E0">
        <w:rPr>
          <w:rFonts w:ascii="Arial" w:eastAsia="Calibri" w:hAnsi="Arial" w:cs="Arial"/>
          <w:sz w:val="20"/>
          <w:szCs w:val="20"/>
          <w:lang w:bidi="gu-IN"/>
        </w:rPr>
        <w:t>,</w:t>
      </w:r>
      <w:r w:rsidRPr="0087554B">
        <w:rPr>
          <w:rFonts w:ascii="Arial" w:eastAsia="Calibri" w:hAnsi="Arial" w:cs="Arial"/>
          <w:sz w:val="20"/>
          <w:szCs w:val="20"/>
          <w:lang w:bidi="gu-IN"/>
        </w:rPr>
        <w:t xml:space="preserve"> earning ₹62,408.45 crore (US$ 7.45 billion). Frozen shrimp continues to dominate the export basket, accounting for nearly 44% of both quantity and value. Other important items include frozen fish, squid, cuttlefish, and chilled or live products. The United States, China, and the European Union remain the principal export destinations, with the European Union contributing more than 15% of total exports (FAO, 2023; MPEDA, 2025). The concentration of exports in these high-demand markets reflects India’s strong position in selected marine commodities.</w:t>
      </w:r>
    </w:p>
    <w:p w14:paraId="3E86B9F3" w14:textId="4B03DA8B" w:rsidR="00E819ED" w:rsidRPr="0087554B"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Over the past two decades, both the composition and direction of marine exports have evolved. Export value has often grown faster than quantity, suggesting better price realization and a gradual shift toward higher-value and value-added products (Chandrasekar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xml:space="preserve">., 2024; Kumari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2025). While frozen shrimp remains the backbone of export earnings (IBEF, 2025; MPEDA, 2025), changing consumer preferences, stricter sanitary and phytosanitary standards, and evolving import regulations in developed economies have reshaped trade patterns (Henson and Jaffee, 2008; FAO, 2022).</w:t>
      </w:r>
      <w:r w:rsidR="00E60B75">
        <w:rPr>
          <w:rFonts w:ascii="Arial" w:eastAsia="Calibri" w:hAnsi="Arial" w:cs="Arial"/>
          <w:sz w:val="20"/>
          <w:szCs w:val="20"/>
          <w:lang w:bidi="gu-IN"/>
        </w:rPr>
        <w:t xml:space="preserve"> </w:t>
      </w:r>
      <w:r w:rsidR="00E60B75" w:rsidRPr="00E60B75">
        <w:rPr>
          <w:rFonts w:ascii="Arial" w:eastAsia="Calibri" w:hAnsi="Arial" w:cs="Arial"/>
          <w:sz w:val="20"/>
          <w:szCs w:val="20"/>
          <w:lang w:bidi="gu-IN"/>
        </w:rPr>
        <w:t>However, these studies primarily describe export growth patterns and do not explicitly examine the linkage between product-level competitiveness and long-term market transition dynamics.</w:t>
      </w:r>
      <w:r w:rsidR="00E819ED">
        <w:rPr>
          <w:rFonts w:ascii="Arial" w:eastAsia="Calibri" w:hAnsi="Arial" w:cs="Arial"/>
          <w:sz w:val="20"/>
          <w:szCs w:val="20"/>
          <w:lang w:bidi="gu-IN"/>
        </w:rPr>
        <w:t xml:space="preserve"> </w:t>
      </w:r>
      <w:r w:rsidR="00E819ED" w:rsidRPr="00E819ED">
        <w:rPr>
          <w:rFonts w:ascii="Arial" w:eastAsia="Calibri" w:hAnsi="Arial" w:cs="Arial"/>
          <w:sz w:val="20"/>
          <w:szCs w:val="20"/>
          <w:lang w:bidi="gu-IN"/>
        </w:rPr>
        <w:t xml:space="preserve">Recent studies (Chandrasekar </w:t>
      </w:r>
      <w:r w:rsidR="00E819ED" w:rsidRPr="00E819ED">
        <w:rPr>
          <w:rFonts w:ascii="Arial" w:eastAsia="Calibri" w:hAnsi="Arial" w:cs="Arial"/>
          <w:i/>
          <w:iCs/>
          <w:sz w:val="20"/>
          <w:szCs w:val="20"/>
          <w:lang w:bidi="gu-IN"/>
        </w:rPr>
        <w:t>et al.</w:t>
      </w:r>
      <w:r w:rsidR="00E819ED" w:rsidRPr="00E819ED">
        <w:rPr>
          <w:rFonts w:ascii="Arial" w:eastAsia="Calibri" w:hAnsi="Arial" w:cs="Arial"/>
          <w:sz w:val="20"/>
          <w:szCs w:val="20"/>
          <w:lang w:bidi="gu-IN"/>
        </w:rPr>
        <w:t xml:space="preserve">, 2024; </w:t>
      </w:r>
      <w:proofErr w:type="spellStart"/>
      <w:r w:rsidR="00E819ED" w:rsidRPr="00E819ED">
        <w:rPr>
          <w:rFonts w:ascii="Arial" w:eastAsia="Calibri" w:hAnsi="Arial" w:cs="Arial"/>
          <w:sz w:val="20"/>
          <w:szCs w:val="20"/>
          <w:lang w:bidi="gu-IN"/>
        </w:rPr>
        <w:t>Kalaiarasi</w:t>
      </w:r>
      <w:proofErr w:type="spellEnd"/>
      <w:r w:rsidR="00E819ED" w:rsidRPr="00E819ED">
        <w:rPr>
          <w:rFonts w:ascii="Arial" w:eastAsia="Calibri" w:hAnsi="Arial" w:cs="Arial"/>
          <w:sz w:val="20"/>
          <w:szCs w:val="20"/>
          <w:lang w:bidi="gu-IN"/>
        </w:rPr>
        <w:t xml:space="preserve"> and </w:t>
      </w:r>
      <w:proofErr w:type="spellStart"/>
      <w:r w:rsidR="00E819ED" w:rsidRPr="00E819ED">
        <w:rPr>
          <w:rFonts w:ascii="Arial" w:eastAsia="Calibri" w:hAnsi="Arial" w:cs="Arial"/>
          <w:sz w:val="20"/>
          <w:szCs w:val="20"/>
          <w:lang w:bidi="gu-IN"/>
        </w:rPr>
        <w:t>Kavithambika</w:t>
      </w:r>
      <w:proofErr w:type="spellEnd"/>
      <w:r w:rsidR="00E819ED" w:rsidRPr="00E819ED">
        <w:rPr>
          <w:rFonts w:ascii="Arial" w:eastAsia="Calibri" w:hAnsi="Arial" w:cs="Arial"/>
          <w:sz w:val="20"/>
          <w:szCs w:val="20"/>
          <w:lang w:bidi="gu-IN"/>
        </w:rPr>
        <w:t>, 2024) have highlighted the growing importance of analysing both competitiveness and trade direction in marine exports.</w:t>
      </w:r>
    </w:p>
    <w:p w14:paraId="7A4AEE18" w14:textId="77777777" w:rsidR="004F784C"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Despite steady progress, export performance has shown periodic volatility due to global economic slowdowns, exchange rate fluctuations, tariff changes, and supply chain disruptions (UNCTAD, 2023; Chandrasekar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2020). These developments underscore the need to examine not only export growth but also the underlying competitiveness and stability of India’s marine trade.</w:t>
      </w:r>
    </w:p>
    <w:p w14:paraId="6B1F4146" w14:textId="25B90C13" w:rsidR="00E60B75" w:rsidRPr="0087554B" w:rsidRDefault="00E819ED" w:rsidP="003110DB">
      <w:pPr>
        <w:spacing w:after="120"/>
        <w:jc w:val="both"/>
        <w:rPr>
          <w:rFonts w:ascii="Arial" w:eastAsia="Calibri" w:hAnsi="Arial" w:cs="Arial"/>
          <w:sz w:val="20"/>
          <w:szCs w:val="20"/>
          <w:lang w:bidi="gu-IN"/>
        </w:rPr>
      </w:pPr>
      <w:r w:rsidRPr="00E819ED">
        <w:rPr>
          <w:rFonts w:ascii="Arial" w:eastAsia="Calibri" w:hAnsi="Arial" w:cs="Arial"/>
          <w:sz w:val="20"/>
          <w:szCs w:val="20"/>
          <w:lang w:bidi="gu-IN"/>
        </w:rPr>
        <w:t>Although several studies have examined growth, instability, and direction of trade in India’s marine exports, limited attention has been given to integrating product-level competitiveness with long-term market transition dynamics. In particular, the absence of steady-state analysis in previous Markov Chain applications restricts understanding of long-run equilibrium distribution of export markets. Therefore, the present study attempts to bridge this gap by combining RCA and Markov Chain approaches to provide a more comprehensive assessment of export structure and dynamics.</w:t>
      </w:r>
    </w:p>
    <w:p w14:paraId="279CFA8B" w14:textId="77777777" w:rsidR="004F784C" w:rsidRPr="0087554B"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In this context, assessing Revealed Comparative Advantage (RCA) is essential to determine whether India’s marine products maintain a sustained competitive edge in global markets. The RCA framework, introduced by Balassa (1965), measures export specialization relative to the world average. However, competitiveness alone does not ensure long-term success. The stability of export markets and the ability to retain destination shares are equally important. Market retention analysis using a Markov chain approach (Anderson and Goodman, 1957) helps examine shifts in trade direction and the probability of sustaining export shares across major importing countries.</w:t>
      </w:r>
    </w:p>
    <w:p w14:paraId="4C4468A8" w14:textId="77777777" w:rsidR="004F784C" w:rsidRPr="0087554B"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Against this backdrop, a combined analysis of comparative advantage and market retention provides deeper insight into the structural dynamics of India’s marine exports. Such an approach enables assessment of whether competitiveness is strengthening or weakening over time and whether key export markets remain stable or vulnerable. The findings can inform policies aimed at diversification, value addition, risk management, and strategic trade engagement, thereby reinforcing India’s long-term position in global seafood trade.</w:t>
      </w:r>
    </w:p>
    <w:p w14:paraId="776FDDC7" w14:textId="77777777" w:rsidR="004F784C" w:rsidRPr="0087554B" w:rsidRDefault="004F784C" w:rsidP="0087554B">
      <w:pPr>
        <w:jc w:val="both"/>
        <w:rPr>
          <w:rFonts w:ascii="Arial" w:eastAsia="Calibri" w:hAnsi="Arial" w:cs="Arial"/>
          <w:sz w:val="20"/>
          <w:szCs w:val="20"/>
          <w:lang w:bidi="gu-IN"/>
        </w:rPr>
      </w:pPr>
      <w:r w:rsidRPr="0087554B">
        <w:rPr>
          <w:rFonts w:ascii="Arial" w:eastAsia="Calibri" w:hAnsi="Arial" w:cs="Arial"/>
          <w:sz w:val="20"/>
          <w:szCs w:val="20"/>
          <w:lang w:bidi="gu-IN"/>
        </w:rPr>
        <w:lastRenderedPageBreak/>
        <w:t>The study is guided by the following objectives:</w:t>
      </w:r>
    </w:p>
    <w:p w14:paraId="199C18F3" w14:textId="77777777" w:rsidR="004F784C" w:rsidRPr="0087554B" w:rsidRDefault="004F784C" w:rsidP="004F784C">
      <w:pPr>
        <w:numPr>
          <w:ilvl w:val="0"/>
          <w:numId w:val="1"/>
        </w:numPr>
        <w:jc w:val="both"/>
        <w:rPr>
          <w:rFonts w:ascii="Arial" w:eastAsia="Calibri" w:hAnsi="Arial" w:cs="Arial"/>
          <w:sz w:val="20"/>
          <w:szCs w:val="20"/>
          <w:lang w:bidi="gu-IN"/>
        </w:rPr>
      </w:pPr>
      <w:r w:rsidRPr="0087554B">
        <w:rPr>
          <w:rFonts w:ascii="Arial" w:eastAsia="Calibri" w:hAnsi="Arial" w:cs="Arial"/>
          <w:sz w:val="20"/>
          <w:szCs w:val="20"/>
          <w:lang w:bidi="gu-IN"/>
        </w:rPr>
        <w:t>To estimate the revealed comparative advantage of India’s marine product exports over time.</w:t>
      </w:r>
    </w:p>
    <w:p w14:paraId="1475ED49" w14:textId="77777777" w:rsidR="004F784C" w:rsidRPr="0087554B" w:rsidRDefault="004F784C" w:rsidP="004F784C">
      <w:pPr>
        <w:numPr>
          <w:ilvl w:val="0"/>
          <w:numId w:val="1"/>
        </w:numPr>
        <w:jc w:val="both"/>
        <w:rPr>
          <w:rFonts w:ascii="Arial" w:eastAsia="Calibri" w:hAnsi="Arial" w:cs="Arial"/>
          <w:sz w:val="20"/>
          <w:szCs w:val="20"/>
          <w:lang w:bidi="gu-IN"/>
        </w:rPr>
      </w:pPr>
      <w:r w:rsidRPr="0087554B">
        <w:rPr>
          <w:rFonts w:ascii="Arial" w:eastAsia="Calibri" w:hAnsi="Arial" w:cs="Arial"/>
          <w:sz w:val="20"/>
          <w:szCs w:val="20"/>
          <w:lang w:bidi="gu-IN"/>
        </w:rPr>
        <w:t>To examine the stability and retention of major export markets using a Markov chain framework.</w:t>
      </w:r>
    </w:p>
    <w:p w14:paraId="0B1CB62E" w14:textId="77777777" w:rsidR="004F784C" w:rsidRPr="0087554B" w:rsidRDefault="004F784C" w:rsidP="004F784C">
      <w:pPr>
        <w:numPr>
          <w:ilvl w:val="0"/>
          <w:numId w:val="1"/>
        </w:numPr>
        <w:jc w:val="both"/>
        <w:rPr>
          <w:rFonts w:ascii="Arial" w:eastAsia="Calibri" w:hAnsi="Arial" w:cs="Arial"/>
          <w:sz w:val="20"/>
          <w:szCs w:val="20"/>
          <w:lang w:bidi="gu-IN"/>
        </w:rPr>
      </w:pPr>
      <w:r w:rsidRPr="0087554B">
        <w:rPr>
          <w:rFonts w:ascii="Arial" w:eastAsia="Calibri" w:hAnsi="Arial" w:cs="Arial"/>
          <w:sz w:val="20"/>
          <w:szCs w:val="20"/>
          <w:lang w:bidi="gu-IN"/>
        </w:rPr>
        <w:t>To analyse structural shifts in the direction of trade across key importing countries.</w:t>
      </w:r>
    </w:p>
    <w:p w14:paraId="6785C013" w14:textId="2C0177F6" w:rsidR="004F784C" w:rsidRPr="0087554B" w:rsidRDefault="00E60B75" w:rsidP="00CA69E0">
      <w:pPr>
        <w:numPr>
          <w:ilvl w:val="0"/>
          <w:numId w:val="1"/>
        </w:numPr>
        <w:spacing w:after="120"/>
        <w:jc w:val="both"/>
        <w:rPr>
          <w:rFonts w:ascii="Arial" w:eastAsia="Calibri" w:hAnsi="Arial" w:cs="Arial"/>
          <w:sz w:val="20"/>
          <w:szCs w:val="20"/>
          <w:lang w:bidi="gu-IN"/>
        </w:rPr>
      </w:pPr>
      <w:r w:rsidRPr="00E60B75">
        <w:rPr>
          <w:rFonts w:ascii="Arial" w:eastAsia="Calibri" w:hAnsi="Arial" w:cs="Arial"/>
          <w:sz w:val="20"/>
          <w:szCs w:val="20"/>
          <w:lang w:bidi="gu-IN"/>
        </w:rPr>
        <w:t>To interpret the implications of the findings for export competitiveness and market stability</w:t>
      </w:r>
      <w:r w:rsidR="004F784C" w:rsidRPr="0087554B">
        <w:rPr>
          <w:rFonts w:ascii="Arial" w:eastAsia="Calibri" w:hAnsi="Arial" w:cs="Arial"/>
          <w:sz w:val="20"/>
          <w:szCs w:val="20"/>
          <w:lang w:bidi="gu-IN"/>
        </w:rPr>
        <w:t>.</w:t>
      </w:r>
    </w:p>
    <w:p w14:paraId="1126900B" w14:textId="163B9BB8" w:rsidR="004F784C" w:rsidRDefault="00E819ED" w:rsidP="004F784C">
      <w:pPr>
        <w:jc w:val="both"/>
        <w:rPr>
          <w:rFonts w:ascii="Arial" w:eastAsia="Calibri" w:hAnsi="Arial" w:cs="Arial"/>
          <w:sz w:val="20"/>
          <w:szCs w:val="20"/>
          <w:lang w:bidi="gu-IN"/>
        </w:rPr>
      </w:pPr>
      <w:r w:rsidRPr="00E819ED">
        <w:rPr>
          <w:rFonts w:ascii="Arial" w:eastAsia="Calibri" w:hAnsi="Arial" w:cs="Arial"/>
          <w:sz w:val="20"/>
          <w:szCs w:val="20"/>
          <w:lang w:bidi="gu-IN"/>
        </w:rPr>
        <w:t>This study is important for the scientific community as it provides an integrated framework combining Revealed Comparative Advantage and Markov Chain analysis to jointly assess export competitiveness and market dynamics. Unlike conventional studies that focus only on growth or instability, the present analysis captures long-run structural shifts and market retention behaviour in marine exports. The findings contribute to a better understanding of trade concentration, emerging market patterns, and sectoral vulnerabilities. Such insights are useful for researchers working on international trade, agricultural economics, and export policy analysis.</w:t>
      </w:r>
    </w:p>
    <w:p w14:paraId="5F93A751" w14:textId="77777777" w:rsidR="00E819ED" w:rsidRPr="00E819ED" w:rsidRDefault="00E819ED" w:rsidP="004F784C">
      <w:pPr>
        <w:jc w:val="both"/>
        <w:rPr>
          <w:rFonts w:ascii="Arial" w:eastAsia="Calibri" w:hAnsi="Arial" w:cs="Arial"/>
          <w:sz w:val="20"/>
          <w:szCs w:val="20"/>
          <w:lang w:bidi="gu-IN"/>
        </w:rPr>
      </w:pPr>
    </w:p>
    <w:p w14:paraId="0F70A222" w14:textId="77777777" w:rsidR="004F784C" w:rsidRPr="0087554B" w:rsidRDefault="0087554B" w:rsidP="003110DB">
      <w:pPr>
        <w:spacing w:after="120"/>
        <w:jc w:val="both"/>
        <w:rPr>
          <w:rFonts w:ascii="Arial" w:eastAsia="Calibri" w:hAnsi="Arial" w:cs="Arial"/>
          <w:b/>
          <w:bCs/>
          <w:lang w:bidi="gu-IN"/>
        </w:rPr>
      </w:pPr>
      <w:r w:rsidRPr="0087554B">
        <w:rPr>
          <w:rFonts w:ascii="Arial" w:eastAsia="Calibri" w:hAnsi="Arial" w:cs="Arial"/>
          <w:b/>
          <w:bCs/>
          <w:lang w:bidi="gu-IN"/>
        </w:rPr>
        <w:t xml:space="preserve">2. </w:t>
      </w:r>
      <w:r w:rsidR="004F784C" w:rsidRPr="0087554B">
        <w:rPr>
          <w:rFonts w:ascii="Arial" w:eastAsia="Calibri" w:hAnsi="Arial" w:cs="Arial"/>
          <w:b/>
          <w:bCs/>
          <w:lang w:bidi="gu-IN"/>
        </w:rPr>
        <w:t>MATERIALS AND METHODS</w:t>
      </w:r>
    </w:p>
    <w:p w14:paraId="6F08A54D" w14:textId="2734E31F" w:rsidR="004F784C" w:rsidRPr="0087554B"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The study is based entirely on secondary data covering the period 2004-05 to 2023-24. Data on export quantity and value of marine products were collected from official publications and statistical databases of the Marine Products Export Development Authority (MPEDA), Ministry of Commerce and Industry, Government of India. Data on world exports and total merchandise trade, required for estimating comparative advantage indices, were obtained from international databases and reports published by the Food and Agriculture Organization (FAO) and the World Trade Organization (WTO).</w:t>
      </w:r>
      <w:r w:rsidR="00E60B75">
        <w:rPr>
          <w:rFonts w:ascii="Arial" w:eastAsia="Calibri" w:hAnsi="Arial" w:cs="Arial"/>
          <w:sz w:val="20"/>
          <w:szCs w:val="20"/>
          <w:lang w:bidi="gu-IN"/>
        </w:rPr>
        <w:t xml:space="preserve"> </w:t>
      </w:r>
      <w:r w:rsidR="00E60B75" w:rsidRPr="00E60B75">
        <w:rPr>
          <w:rFonts w:ascii="Arial" w:eastAsia="Calibri" w:hAnsi="Arial" w:cs="Arial"/>
          <w:sz w:val="20"/>
          <w:szCs w:val="20"/>
          <w:lang w:bidi="gu-IN"/>
        </w:rPr>
        <w:t>All computations were carried out using MS Excel.</w:t>
      </w:r>
    </w:p>
    <w:p w14:paraId="39BA6898" w14:textId="05CF3B32" w:rsidR="004F784C" w:rsidRPr="0087554B" w:rsidRDefault="004F784C" w:rsidP="0087554B">
      <w:pPr>
        <w:jc w:val="both"/>
        <w:rPr>
          <w:rFonts w:ascii="Arial" w:eastAsia="Calibri" w:hAnsi="Arial" w:cs="Arial"/>
          <w:sz w:val="20"/>
          <w:szCs w:val="20"/>
          <w:lang w:bidi="gu-IN"/>
        </w:rPr>
      </w:pPr>
      <w:r w:rsidRPr="0087554B">
        <w:rPr>
          <w:rFonts w:ascii="Arial" w:eastAsia="Calibri" w:hAnsi="Arial" w:cs="Arial"/>
          <w:sz w:val="20"/>
          <w:szCs w:val="20"/>
          <w:lang w:bidi="gu-IN"/>
        </w:rPr>
        <w:t>The analysis focuses on total marine product exports from India, with particular emphasis on major destination markets such as the United States, China, the European Union, Japan, and other emerging markets. These destinations account for a substantial share of India’s marine export earnings and provide a relevant basis for assessing competitiveness and market retention patterns</w:t>
      </w:r>
      <w:r w:rsidR="00E60B75">
        <w:rPr>
          <w:rFonts w:ascii="Arial" w:eastAsia="Calibri" w:hAnsi="Arial" w:cs="Arial"/>
          <w:sz w:val="20"/>
          <w:szCs w:val="20"/>
          <w:lang w:bidi="gu-IN"/>
        </w:rPr>
        <w:t xml:space="preserve"> </w:t>
      </w:r>
      <w:r w:rsidR="00E60B75" w:rsidRPr="00E60B75">
        <w:rPr>
          <w:rFonts w:ascii="Arial" w:eastAsia="Calibri" w:hAnsi="Arial" w:cs="Arial"/>
          <w:sz w:val="20"/>
          <w:szCs w:val="20"/>
          <w:lang w:bidi="gu-IN"/>
        </w:rPr>
        <w:t>and were selected based on their consistent contribution to India’s marine export</w:t>
      </w:r>
      <w:r w:rsidR="00E60B75">
        <w:rPr>
          <w:rFonts w:ascii="Arial" w:eastAsia="Calibri" w:hAnsi="Arial" w:cs="Arial"/>
          <w:sz w:val="20"/>
          <w:szCs w:val="20"/>
          <w:lang w:bidi="gu-IN"/>
        </w:rPr>
        <w:t xml:space="preserve"> earnings over the study period</w:t>
      </w:r>
      <w:r w:rsidRPr="0087554B">
        <w:rPr>
          <w:rFonts w:ascii="Arial" w:eastAsia="Calibri" w:hAnsi="Arial" w:cs="Arial"/>
          <w:sz w:val="20"/>
          <w:szCs w:val="20"/>
          <w:lang w:bidi="gu-IN"/>
        </w:rPr>
        <w:t>.</w:t>
      </w:r>
    </w:p>
    <w:p w14:paraId="3F4B5F2B" w14:textId="77777777" w:rsidR="0087554B" w:rsidRDefault="0087554B" w:rsidP="0087554B">
      <w:pPr>
        <w:pStyle w:val="Heading2"/>
        <w:rPr>
          <w:rFonts w:ascii="Arial" w:eastAsia="Calibri" w:hAnsi="Arial" w:cs="Arial"/>
          <w:b/>
          <w:bCs/>
          <w:color w:val="auto"/>
          <w:sz w:val="22"/>
          <w:szCs w:val="22"/>
          <w:lang w:bidi="gu-IN"/>
        </w:rPr>
      </w:pPr>
    </w:p>
    <w:p w14:paraId="498EC731" w14:textId="77777777" w:rsidR="004F784C" w:rsidRPr="0087554B" w:rsidRDefault="0087554B" w:rsidP="0087554B">
      <w:pPr>
        <w:pStyle w:val="Heading2"/>
        <w:rPr>
          <w:rFonts w:ascii="Arial" w:eastAsia="Calibri" w:hAnsi="Arial" w:cs="Arial"/>
          <w:b/>
          <w:bCs/>
          <w:color w:val="auto"/>
          <w:sz w:val="22"/>
          <w:szCs w:val="22"/>
          <w:lang w:bidi="gu-IN"/>
        </w:rPr>
      </w:pPr>
      <w:r w:rsidRPr="0087554B">
        <w:rPr>
          <w:rFonts w:ascii="Arial" w:eastAsia="Calibri" w:hAnsi="Arial" w:cs="Arial"/>
          <w:b/>
          <w:bCs/>
          <w:color w:val="auto"/>
          <w:sz w:val="22"/>
          <w:szCs w:val="22"/>
          <w:lang w:bidi="gu-IN"/>
        </w:rPr>
        <w:t xml:space="preserve">2.1 </w:t>
      </w:r>
      <w:r w:rsidR="004F784C" w:rsidRPr="0087554B">
        <w:rPr>
          <w:rFonts w:ascii="Arial" w:eastAsia="Calibri" w:hAnsi="Arial" w:cs="Arial"/>
          <w:b/>
          <w:bCs/>
          <w:color w:val="auto"/>
          <w:sz w:val="22"/>
          <w:szCs w:val="22"/>
          <w:lang w:bidi="gu-IN"/>
        </w:rPr>
        <w:t>Revealed Comparative Advantage (RCA)</w:t>
      </w:r>
    </w:p>
    <w:p w14:paraId="057C8316"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To evaluate India’s export competitiveness in marine products, Balassa’s (1965) Revealed Comparative Advantage (RCA) index was employed. The RCA index measures a country’s export specialization in a specific commodity relative to the world average and is expressed as:</w:t>
      </w:r>
    </w:p>
    <w:p w14:paraId="14BDA622" w14:textId="77777777" w:rsidR="004F784C" w:rsidRPr="0087554B" w:rsidRDefault="00EC62E2" w:rsidP="00D412B7">
      <w:pPr>
        <w:spacing w:after="120"/>
        <w:jc w:val="both"/>
        <w:rPr>
          <w:rFonts w:ascii="Arial" w:eastAsia="Calibri" w:hAnsi="Arial" w:cs="Arial"/>
          <w:sz w:val="20"/>
          <w:szCs w:val="20"/>
          <w:lang w:bidi="gu-IN"/>
        </w:rPr>
      </w:pPr>
      <m:oMathPara>
        <m:oMathParaPr>
          <m:jc m:val="left"/>
        </m:oMathParaPr>
        <m:oMath>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RCA</m:t>
              </m:r>
            </m:e>
            <m:sub>
              <m:r>
                <m:rPr>
                  <m:nor/>
                </m:rPr>
                <w:rPr>
                  <w:rFonts w:ascii="Arial" w:eastAsia="Calibri" w:hAnsi="Arial" w:cs="Arial"/>
                  <w:i/>
                  <w:sz w:val="20"/>
                  <w:szCs w:val="20"/>
                  <w:lang w:bidi="gu-IN"/>
                </w:rPr>
                <m:t>ij</m:t>
              </m:r>
            </m:sub>
          </m:sSub>
          <m:r>
            <m:rPr>
              <m:nor/>
            </m:rPr>
            <w:rPr>
              <w:rFonts w:ascii="Arial" w:eastAsia="Calibri" w:hAnsi="Arial" w:cs="Arial"/>
              <w:sz w:val="20"/>
              <w:szCs w:val="20"/>
              <w:lang w:bidi="gu-IN"/>
            </w:rPr>
            <m:t xml:space="preserve"> = </m:t>
          </m:r>
          <m:f>
            <m:fPr>
              <m:ctrlPr>
                <w:rPr>
                  <w:rFonts w:ascii="Cambria Math" w:eastAsia="Calibri" w:hAnsi="Cambria Math" w:cs="Arial"/>
                  <w:i/>
                  <w:sz w:val="20"/>
                  <w:szCs w:val="20"/>
                  <w:lang w:bidi="gu-IN"/>
                </w:rPr>
              </m:ctrlPr>
            </m:fPr>
            <m:num>
              <m:r>
                <m:rPr>
                  <m:nor/>
                </m:rPr>
                <w:rPr>
                  <w:rFonts w:ascii="Arial" w:eastAsia="Calibri" w:hAnsi="Arial" w:cs="Arial"/>
                  <w:sz w:val="20"/>
                  <w:szCs w:val="20"/>
                  <w:lang w:bidi="gu-IN"/>
                </w:rPr>
                <m:t>(</m:t>
              </m:r>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X</m:t>
                  </m:r>
                </m:e>
                <m:sub>
                  <m:r>
                    <m:rPr>
                      <m:nor/>
                    </m:rPr>
                    <w:rPr>
                      <w:rFonts w:ascii="Arial" w:eastAsia="Calibri" w:hAnsi="Arial" w:cs="Arial"/>
                      <w:i/>
                      <w:sz w:val="20"/>
                      <w:szCs w:val="20"/>
                      <w:lang w:bidi="gu-IN"/>
                    </w:rPr>
                    <m:t>ij</m:t>
                  </m:r>
                </m:sub>
              </m:sSub>
              <m:r>
                <m:rPr>
                  <m:nor/>
                </m:rPr>
                <w:rPr>
                  <w:rFonts w:ascii="Arial" w:eastAsia="Calibri" w:hAnsi="Arial" w:cs="Arial"/>
                  <w:sz w:val="20"/>
                  <w:szCs w:val="20"/>
                  <w:lang w:bidi="gu-IN"/>
                </w:rPr>
                <m:t xml:space="preserve"> / </m:t>
              </m:r>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X</m:t>
                  </m:r>
                </m:e>
                <m:sub>
                  <m:r>
                    <m:rPr>
                      <m:nor/>
                    </m:rPr>
                    <w:rPr>
                      <w:rFonts w:ascii="Arial" w:eastAsia="Calibri" w:hAnsi="Arial" w:cs="Arial"/>
                      <w:i/>
                      <w:sz w:val="20"/>
                      <w:szCs w:val="20"/>
                      <w:lang w:bidi="gu-IN"/>
                    </w:rPr>
                    <m:t>it</m:t>
                  </m:r>
                </m:sub>
              </m:sSub>
              <m:r>
                <m:rPr>
                  <m:nor/>
                </m:rPr>
                <w:rPr>
                  <w:rFonts w:ascii="Arial" w:eastAsia="Calibri" w:hAnsi="Arial" w:cs="Arial"/>
                  <w:sz w:val="20"/>
                  <w:szCs w:val="20"/>
                  <w:lang w:bidi="gu-IN"/>
                </w:rPr>
                <m:t>)</m:t>
              </m:r>
            </m:num>
            <m:den>
              <m:r>
                <m:rPr>
                  <m:nor/>
                </m:rPr>
                <w:rPr>
                  <w:rFonts w:ascii="Arial" w:eastAsia="Calibri" w:hAnsi="Arial" w:cs="Arial"/>
                  <w:sz w:val="20"/>
                  <w:szCs w:val="20"/>
                  <w:lang w:bidi="gu-IN"/>
                </w:rPr>
                <m:t>(</m:t>
              </m:r>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X</m:t>
                  </m:r>
                </m:e>
                <m:sub>
                  <m:r>
                    <m:rPr>
                      <m:nor/>
                    </m:rPr>
                    <w:rPr>
                      <w:rFonts w:ascii="Arial" w:eastAsia="Calibri" w:hAnsi="Arial" w:cs="Arial"/>
                      <w:i/>
                      <w:sz w:val="20"/>
                      <w:szCs w:val="20"/>
                      <w:lang w:bidi="gu-IN"/>
                    </w:rPr>
                    <m:t>wj</m:t>
                  </m:r>
                </m:sub>
              </m:sSub>
              <m:r>
                <m:rPr>
                  <m:nor/>
                </m:rPr>
                <w:rPr>
                  <w:rFonts w:ascii="Arial" w:eastAsia="Calibri" w:hAnsi="Arial" w:cs="Arial"/>
                  <w:sz w:val="20"/>
                  <w:szCs w:val="20"/>
                  <w:lang w:bidi="gu-IN"/>
                </w:rPr>
                <m:t xml:space="preserve"> / </m:t>
              </m:r>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X</m:t>
                  </m:r>
                </m:e>
                <m:sub>
                  <m:r>
                    <m:rPr>
                      <m:nor/>
                    </m:rPr>
                    <w:rPr>
                      <w:rFonts w:ascii="Arial" w:eastAsia="Calibri" w:hAnsi="Arial" w:cs="Arial"/>
                      <w:i/>
                      <w:sz w:val="20"/>
                      <w:szCs w:val="20"/>
                      <w:lang w:bidi="gu-IN"/>
                    </w:rPr>
                    <m:t>wt</m:t>
                  </m:r>
                </m:sub>
              </m:sSub>
              <m:r>
                <m:rPr>
                  <m:nor/>
                </m:rPr>
                <w:rPr>
                  <w:rFonts w:ascii="Arial" w:eastAsia="Calibri" w:hAnsi="Arial" w:cs="Arial"/>
                  <w:sz w:val="20"/>
                  <w:szCs w:val="20"/>
                  <w:lang w:bidi="gu-IN"/>
                </w:rPr>
                <m:t>)</m:t>
              </m:r>
            </m:den>
          </m:f>
        </m:oMath>
      </m:oMathPara>
    </w:p>
    <w:p w14:paraId="4A9B103C"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Where; </w:t>
      </w:r>
      <w:r w:rsidRPr="0087554B">
        <w:rPr>
          <w:rFonts w:ascii="Arial" w:eastAsia="Calibri" w:hAnsi="Arial" w:cs="Arial"/>
          <w:i/>
          <w:iCs/>
          <w:sz w:val="20"/>
          <w:szCs w:val="20"/>
          <w:lang w:bidi="gu-IN"/>
        </w:rPr>
        <w:t>X</w:t>
      </w:r>
      <w:r w:rsidRPr="0087554B">
        <w:rPr>
          <w:rFonts w:ascii="Arial" w:eastAsia="Calibri" w:hAnsi="Arial" w:cs="Arial"/>
          <w:i/>
          <w:iCs/>
          <w:sz w:val="20"/>
          <w:szCs w:val="20"/>
          <w:vertAlign w:val="subscript"/>
          <w:lang w:bidi="gu-IN"/>
        </w:rPr>
        <w:t>ij</w:t>
      </w:r>
      <w:r w:rsidRPr="0087554B">
        <w:rPr>
          <w:rFonts w:ascii="Arial" w:eastAsia="Calibri" w:hAnsi="Arial" w:cs="Arial"/>
          <w:sz w:val="20"/>
          <w:szCs w:val="20"/>
          <w:lang w:bidi="gu-IN"/>
        </w:rPr>
        <w:t xml:space="preserve">​ = India’s exports of marine products, </w:t>
      </w:r>
      <w:r w:rsidRPr="0087554B">
        <w:rPr>
          <w:rFonts w:ascii="Arial" w:eastAsia="Calibri" w:hAnsi="Arial" w:cs="Arial"/>
          <w:i/>
          <w:iCs/>
          <w:sz w:val="20"/>
          <w:szCs w:val="20"/>
          <w:lang w:bidi="gu-IN"/>
        </w:rPr>
        <w:t>X</w:t>
      </w:r>
      <w:r w:rsidRPr="0087554B">
        <w:rPr>
          <w:rFonts w:ascii="Arial" w:eastAsia="Calibri" w:hAnsi="Arial" w:cs="Arial"/>
          <w:i/>
          <w:iCs/>
          <w:sz w:val="20"/>
          <w:szCs w:val="20"/>
          <w:vertAlign w:val="subscript"/>
          <w:lang w:bidi="gu-IN"/>
        </w:rPr>
        <w:t>it</w:t>
      </w:r>
      <w:r w:rsidRPr="0087554B">
        <w:rPr>
          <w:rFonts w:ascii="Arial" w:eastAsia="Calibri" w:hAnsi="Arial" w:cs="Arial"/>
          <w:sz w:val="20"/>
          <w:szCs w:val="20"/>
          <w:lang w:bidi="gu-IN"/>
        </w:rPr>
        <w:t xml:space="preserve">​ = India’s total merchandise exports, </w:t>
      </w:r>
      <w:r w:rsidRPr="0087554B">
        <w:rPr>
          <w:rFonts w:ascii="Arial" w:eastAsia="Calibri" w:hAnsi="Arial" w:cs="Arial"/>
          <w:i/>
          <w:iCs/>
          <w:sz w:val="20"/>
          <w:szCs w:val="20"/>
          <w:lang w:bidi="gu-IN"/>
        </w:rPr>
        <w:t>X</w:t>
      </w:r>
      <w:r w:rsidRPr="0087554B">
        <w:rPr>
          <w:rFonts w:ascii="Arial" w:eastAsia="Calibri" w:hAnsi="Arial" w:cs="Arial"/>
          <w:i/>
          <w:iCs/>
          <w:sz w:val="20"/>
          <w:szCs w:val="20"/>
          <w:vertAlign w:val="subscript"/>
          <w:lang w:bidi="gu-IN"/>
        </w:rPr>
        <w:t>wj</w:t>
      </w:r>
      <w:r w:rsidRPr="0087554B">
        <w:rPr>
          <w:rFonts w:ascii="Arial" w:eastAsia="Calibri" w:hAnsi="Arial" w:cs="Arial"/>
          <w:sz w:val="20"/>
          <w:szCs w:val="20"/>
          <w:lang w:bidi="gu-IN"/>
        </w:rPr>
        <w:t xml:space="preserve">​ = World exports of marine products, </w:t>
      </w:r>
      <w:r w:rsidRPr="0087554B">
        <w:rPr>
          <w:rFonts w:ascii="Arial" w:eastAsia="Calibri" w:hAnsi="Arial" w:cs="Arial"/>
          <w:i/>
          <w:iCs/>
          <w:sz w:val="20"/>
          <w:szCs w:val="20"/>
          <w:lang w:bidi="gu-IN"/>
        </w:rPr>
        <w:t>X</w:t>
      </w:r>
      <w:r w:rsidRPr="0087554B">
        <w:rPr>
          <w:rFonts w:ascii="Arial" w:eastAsia="Calibri" w:hAnsi="Arial" w:cs="Arial"/>
          <w:i/>
          <w:iCs/>
          <w:sz w:val="20"/>
          <w:szCs w:val="20"/>
          <w:vertAlign w:val="subscript"/>
          <w:lang w:bidi="gu-IN"/>
        </w:rPr>
        <w:t>wt</w:t>
      </w:r>
      <w:r w:rsidRPr="0087554B">
        <w:rPr>
          <w:rFonts w:ascii="Arial" w:eastAsia="Calibri" w:hAnsi="Arial" w:cs="Arial"/>
          <w:sz w:val="20"/>
          <w:szCs w:val="20"/>
          <w:lang w:bidi="gu-IN"/>
        </w:rPr>
        <w:t>​ = Total world merchandise exports</w:t>
      </w:r>
    </w:p>
    <w:p w14:paraId="39CABC3E" w14:textId="77777777" w:rsidR="004F784C" w:rsidRPr="0087554B" w:rsidRDefault="004F784C" w:rsidP="00D412B7">
      <w:pPr>
        <w:jc w:val="both"/>
        <w:rPr>
          <w:rFonts w:ascii="Arial" w:eastAsia="Calibri" w:hAnsi="Arial" w:cs="Arial"/>
          <w:sz w:val="20"/>
          <w:szCs w:val="20"/>
          <w:lang w:bidi="gu-IN"/>
        </w:rPr>
      </w:pPr>
      <w:r w:rsidRPr="0087554B">
        <w:rPr>
          <w:rFonts w:ascii="Arial" w:eastAsia="Calibri" w:hAnsi="Arial" w:cs="Arial"/>
          <w:sz w:val="20"/>
          <w:szCs w:val="20"/>
          <w:lang w:bidi="gu-IN"/>
        </w:rPr>
        <w:t xml:space="preserve">An </w:t>
      </w:r>
      <w:r w:rsidRPr="0087554B">
        <w:rPr>
          <w:rFonts w:ascii="Arial" w:eastAsia="Calibri" w:hAnsi="Arial" w:cs="Arial"/>
          <w:i/>
          <w:iCs/>
          <w:sz w:val="20"/>
          <w:szCs w:val="20"/>
          <w:lang w:bidi="gu-IN"/>
        </w:rPr>
        <w:t>RCA</w:t>
      </w:r>
      <w:r w:rsidRPr="0087554B">
        <w:rPr>
          <w:rFonts w:ascii="Arial" w:eastAsia="Calibri" w:hAnsi="Arial" w:cs="Arial"/>
          <w:sz w:val="20"/>
          <w:szCs w:val="20"/>
          <w:lang w:bidi="gu-IN"/>
        </w:rPr>
        <w:t xml:space="preserve"> value greater than unity (</w:t>
      </w:r>
      <w:r w:rsidRPr="0087554B">
        <w:rPr>
          <w:rFonts w:ascii="Arial" w:eastAsia="Calibri" w:hAnsi="Arial" w:cs="Arial"/>
          <w:i/>
          <w:iCs/>
          <w:sz w:val="20"/>
          <w:szCs w:val="20"/>
          <w:lang w:bidi="gu-IN"/>
        </w:rPr>
        <w:t>RCA</w:t>
      </w:r>
      <w:r w:rsidRPr="0087554B">
        <w:rPr>
          <w:rFonts w:ascii="Arial" w:eastAsia="Calibri" w:hAnsi="Arial" w:cs="Arial"/>
          <w:sz w:val="20"/>
          <w:szCs w:val="20"/>
          <w:lang w:bidi="gu-IN"/>
        </w:rPr>
        <w:t xml:space="preserve"> &gt; 1) indicates revealed comparative advantage, while a value less than unity (</w:t>
      </w:r>
      <w:r w:rsidRPr="0087554B">
        <w:rPr>
          <w:rFonts w:ascii="Arial" w:eastAsia="Calibri" w:hAnsi="Arial" w:cs="Arial"/>
          <w:i/>
          <w:iCs/>
          <w:sz w:val="20"/>
          <w:szCs w:val="20"/>
          <w:lang w:bidi="gu-IN"/>
        </w:rPr>
        <w:t>RCA</w:t>
      </w:r>
      <w:r w:rsidRPr="0087554B">
        <w:rPr>
          <w:rFonts w:ascii="Arial" w:eastAsia="Calibri" w:hAnsi="Arial" w:cs="Arial"/>
          <w:sz w:val="20"/>
          <w:szCs w:val="20"/>
          <w:lang w:bidi="gu-IN"/>
        </w:rPr>
        <w:t xml:space="preserve"> &lt; 1) denotes comparative disadvantage.</w:t>
      </w:r>
    </w:p>
    <w:p w14:paraId="31A46653" w14:textId="77777777" w:rsidR="0087554B" w:rsidRDefault="0087554B" w:rsidP="004F784C">
      <w:pPr>
        <w:jc w:val="both"/>
        <w:rPr>
          <w:rFonts w:ascii="Arial" w:eastAsia="Calibri" w:hAnsi="Arial" w:cs="Arial"/>
          <w:b/>
          <w:bCs/>
          <w:lang w:bidi="gu-IN"/>
        </w:rPr>
      </w:pPr>
    </w:p>
    <w:p w14:paraId="0AF642CA" w14:textId="77777777" w:rsidR="004F784C" w:rsidRPr="0087554B" w:rsidRDefault="0087554B" w:rsidP="00D412B7">
      <w:pPr>
        <w:spacing w:after="120"/>
        <w:jc w:val="both"/>
        <w:rPr>
          <w:rFonts w:ascii="Arial" w:eastAsia="Calibri" w:hAnsi="Arial" w:cs="Arial"/>
          <w:b/>
          <w:bCs/>
          <w:lang w:bidi="gu-IN"/>
        </w:rPr>
      </w:pPr>
      <w:r>
        <w:rPr>
          <w:rFonts w:ascii="Arial" w:eastAsia="Calibri" w:hAnsi="Arial" w:cs="Arial"/>
          <w:b/>
          <w:bCs/>
          <w:lang w:bidi="gu-IN"/>
        </w:rPr>
        <w:t xml:space="preserve">2.2 </w:t>
      </w:r>
      <w:r w:rsidR="004F784C" w:rsidRPr="0087554B">
        <w:rPr>
          <w:rFonts w:ascii="Arial" w:eastAsia="Calibri" w:hAnsi="Arial" w:cs="Arial"/>
          <w:b/>
          <w:bCs/>
          <w:lang w:bidi="gu-IN"/>
        </w:rPr>
        <w:t>Market Retention and Direction of Trade: Markov Chain Analysis</w:t>
      </w:r>
    </w:p>
    <w:p w14:paraId="246D018C"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To examine the stability and direction of India’s marine exports across major importing countries, a first-order Markov Chain model was applied. The Markov framework assumes that the current distribution of export shares depends only on the distribution in the preceding period (Anderson and Goodman, 1957).</w:t>
      </w:r>
    </w:p>
    <w:p w14:paraId="04E11A40" w14:textId="495F4439"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Let </w:t>
      </w:r>
      <w:proofErr w:type="spellStart"/>
      <w:r w:rsidRPr="0087554B">
        <w:rPr>
          <w:rFonts w:ascii="Arial" w:eastAsia="Calibri" w:hAnsi="Arial" w:cs="Arial"/>
          <w:i/>
          <w:iCs/>
          <w:sz w:val="20"/>
          <w:szCs w:val="20"/>
          <w:lang w:bidi="gu-IN"/>
        </w:rPr>
        <w:t>E</w:t>
      </w:r>
      <w:r w:rsidRPr="0087554B">
        <w:rPr>
          <w:rFonts w:ascii="Arial" w:eastAsia="Calibri" w:hAnsi="Arial" w:cs="Arial"/>
          <w:i/>
          <w:iCs/>
          <w:sz w:val="20"/>
          <w:szCs w:val="20"/>
          <w:vertAlign w:val="subscript"/>
          <w:lang w:bidi="gu-IN"/>
        </w:rPr>
        <w:t>jt</w:t>
      </w:r>
      <w:proofErr w:type="spellEnd"/>
      <w:r w:rsidR="00CA69E0">
        <w:rPr>
          <w:rFonts w:ascii="Arial" w:eastAsia="Calibri" w:hAnsi="Arial" w:cs="Arial"/>
          <w:sz w:val="20"/>
          <w:szCs w:val="20"/>
          <w:lang w:bidi="gu-IN"/>
        </w:rPr>
        <w:t xml:space="preserve"> </w:t>
      </w:r>
      <w:r w:rsidR="00CA69E0" w:rsidRPr="0087554B">
        <w:rPr>
          <w:rFonts w:ascii="Arial" w:eastAsia="Calibri" w:hAnsi="Arial" w:cs="Arial"/>
          <w:sz w:val="20"/>
          <w:szCs w:val="20"/>
          <w:lang w:bidi="gu-IN"/>
        </w:rPr>
        <w:t>​</w:t>
      </w:r>
      <w:r w:rsidR="00CA69E0">
        <w:rPr>
          <w:rFonts w:ascii="Arial" w:eastAsia="Calibri" w:hAnsi="Arial" w:cs="Arial"/>
          <w:sz w:val="20"/>
          <w:szCs w:val="20"/>
          <w:lang w:bidi="gu-IN"/>
        </w:rPr>
        <w:t>represent</w:t>
      </w:r>
      <w:r w:rsidRPr="0087554B">
        <w:rPr>
          <w:rFonts w:ascii="Arial" w:eastAsia="Calibri" w:hAnsi="Arial" w:cs="Arial"/>
          <w:sz w:val="20"/>
          <w:szCs w:val="20"/>
          <w:lang w:bidi="gu-IN"/>
        </w:rPr>
        <w:t xml:space="preserve"> </w:t>
      </w:r>
      <w:r w:rsidR="00E60B75" w:rsidRPr="00E60B75">
        <w:rPr>
          <w:rFonts w:ascii="Arial" w:eastAsia="Calibri" w:hAnsi="Arial" w:cs="Arial"/>
          <w:sz w:val="20"/>
          <w:szCs w:val="20"/>
          <w:lang w:bidi="gu-IN"/>
        </w:rPr>
        <w:t xml:space="preserve">the </w:t>
      </w:r>
      <w:r w:rsidR="00E60B75" w:rsidRPr="00CA69E0">
        <w:rPr>
          <w:rFonts w:ascii="Arial" w:eastAsia="Calibri" w:hAnsi="Arial" w:cs="Arial"/>
          <w:sz w:val="20"/>
          <w:szCs w:val="20"/>
          <w:lang w:bidi="gu-IN"/>
        </w:rPr>
        <w:t>proportion of exports</w:t>
      </w:r>
      <w:r w:rsidR="00E60B75">
        <w:rPr>
          <w:rFonts w:ascii="Arial" w:eastAsia="Calibri" w:hAnsi="Arial" w:cs="Arial"/>
          <w:sz w:val="20"/>
          <w:szCs w:val="20"/>
          <w:lang w:bidi="gu-IN"/>
        </w:rPr>
        <w:t xml:space="preserve"> to country </w:t>
      </w:r>
      <w:r w:rsidR="00E60B75" w:rsidRPr="00E60B75">
        <w:rPr>
          <w:rFonts w:ascii="Arial" w:eastAsia="Calibri" w:hAnsi="Arial" w:cs="Arial"/>
          <w:i/>
          <w:iCs/>
          <w:sz w:val="20"/>
          <w:szCs w:val="20"/>
          <w:lang w:bidi="gu-IN"/>
        </w:rPr>
        <w:t>j</w:t>
      </w:r>
      <w:r w:rsidR="00E60B75">
        <w:rPr>
          <w:rFonts w:ascii="Arial" w:eastAsia="Calibri" w:hAnsi="Arial" w:cs="Arial"/>
          <w:sz w:val="20"/>
          <w:szCs w:val="20"/>
          <w:lang w:bidi="gu-IN"/>
        </w:rPr>
        <w:t xml:space="preserve"> in year </w:t>
      </w:r>
      <w:r w:rsidR="00E60B75" w:rsidRPr="00E60B75">
        <w:rPr>
          <w:rFonts w:ascii="Arial" w:eastAsia="Calibri" w:hAnsi="Arial" w:cs="Arial"/>
          <w:i/>
          <w:iCs/>
          <w:sz w:val="20"/>
          <w:szCs w:val="20"/>
          <w:lang w:bidi="gu-IN"/>
        </w:rPr>
        <w:t>t</w:t>
      </w:r>
      <w:r w:rsidRPr="0087554B">
        <w:rPr>
          <w:rFonts w:ascii="Arial" w:eastAsia="Calibri" w:hAnsi="Arial" w:cs="Arial"/>
          <w:sz w:val="20"/>
          <w:szCs w:val="20"/>
          <w:lang w:bidi="gu-IN"/>
        </w:rPr>
        <w:t xml:space="preserve">. The transitional probability matrix </w:t>
      </w:r>
      <w:r w:rsidRPr="0087554B">
        <w:rPr>
          <w:rFonts w:ascii="Arial" w:eastAsia="Calibri" w:hAnsi="Arial" w:cs="Arial"/>
          <w:i/>
          <w:iCs/>
          <w:sz w:val="20"/>
          <w:szCs w:val="20"/>
          <w:lang w:bidi="gu-IN"/>
        </w:rPr>
        <w:t>P</w:t>
      </w:r>
      <w:r w:rsidRPr="0087554B">
        <w:rPr>
          <w:rFonts w:ascii="Arial" w:eastAsia="Calibri" w:hAnsi="Arial" w:cs="Arial"/>
          <w:i/>
          <w:iCs/>
          <w:sz w:val="20"/>
          <w:szCs w:val="20"/>
          <w:vertAlign w:val="subscript"/>
          <w:lang w:bidi="gu-IN"/>
        </w:rPr>
        <w:t>ij</w:t>
      </w:r>
      <w:r w:rsidRPr="0087554B">
        <w:rPr>
          <w:rFonts w:ascii="Arial" w:eastAsia="Calibri" w:hAnsi="Arial" w:cs="Arial"/>
          <w:sz w:val="20"/>
          <w:szCs w:val="20"/>
          <w:lang w:bidi="gu-IN"/>
        </w:rPr>
        <w:t>​ is estimated as:</w:t>
      </w:r>
    </w:p>
    <w:p w14:paraId="4AB8BA2E" w14:textId="77777777" w:rsidR="004F784C" w:rsidRPr="0087554B" w:rsidRDefault="00EC62E2" w:rsidP="00D412B7">
      <w:pPr>
        <w:spacing w:after="120"/>
        <w:jc w:val="both"/>
        <w:rPr>
          <w:rFonts w:ascii="Arial" w:eastAsia="Calibri" w:hAnsi="Arial" w:cs="Arial"/>
          <w:iCs/>
          <w:sz w:val="20"/>
          <w:szCs w:val="20"/>
          <w:lang w:bidi="gu-IN"/>
        </w:rPr>
      </w:pPr>
      <m:oMathPara>
        <m:oMathParaPr>
          <m:jc m:val="left"/>
        </m:oMathParaPr>
        <m:oMath>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E</m:t>
              </m:r>
            </m:e>
            <m:sub>
              <m:r>
                <m:rPr>
                  <m:nor/>
                </m:rPr>
                <w:rPr>
                  <w:rFonts w:ascii="Arial" w:eastAsia="Calibri" w:hAnsi="Arial" w:cs="Arial"/>
                  <w:i/>
                  <w:sz w:val="20"/>
                  <w:szCs w:val="20"/>
                  <w:lang w:bidi="gu-IN"/>
                </w:rPr>
                <m:t>jt</m:t>
              </m:r>
            </m:sub>
          </m:sSub>
          <m:r>
            <m:rPr>
              <m:nor/>
            </m:rPr>
            <w:rPr>
              <w:rFonts w:ascii="Arial" w:eastAsia="Calibri" w:hAnsi="Arial" w:cs="Arial"/>
              <w:iCs/>
              <w:sz w:val="20"/>
              <w:szCs w:val="20"/>
              <w:lang w:bidi="gu-IN"/>
            </w:rPr>
            <m:t xml:space="preserve"> = </m:t>
          </m:r>
          <m:nary>
            <m:naryPr>
              <m:chr m:val="∑"/>
              <m:limLoc m:val="undOvr"/>
              <m:ctrlPr>
                <w:rPr>
                  <w:rFonts w:ascii="Cambria Math" w:eastAsia="Calibri" w:hAnsi="Cambria Math" w:cs="Arial"/>
                  <w:iCs/>
                  <w:sz w:val="20"/>
                  <w:szCs w:val="20"/>
                  <w:lang w:bidi="gu-IN"/>
                </w:rPr>
              </m:ctrlPr>
            </m:naryPr>
            <m:sub>
              <m:r>
                <m:rPr>
                  <m:nor/>
                </m:rPr>
                <w:rPr>
                  <w:rFonts w:ascii="Arial" w:eastAsia="Calibri" w:hAnsi="Arial" w:cs="Arial"/>
                  <w:i/>
                  <w:sz w:val="20"/>
                  <w:szCs w:val="20"/>
                  <w:lang w:bidi="gu-IN"/>
                </w:rPr>
                <m:t xml:space="preserve">i </m:t>
              </m:r>
              <m:r>
                <m:rPr>
                  <m:nor/>
                </m:rPr>
                <w:rPr>
                  <w:rFonts w:ascii="Arial" w:eastAsia="Calibri" w:hAnsi="Arial" w:cs="Arial"/>
                  <w:iCs/>
                  <w:sz w:val="20"/>
                  <w:szCs w:val="20"/>
                  <w:lang w:bidi="gu-IN"/>
                </w:rPr>
                <m:t>= 1</m:t>
              </m:r>
            </m:sub>
            <m:sup>
              <m:r>
                <m:rPr>
                  <m:nor/>
                </m:rPr>
                <w:rPr>
                  <w:rFonts w:ascii="Arial" w:eastAsia="Calibri" w:hAnsi="Arial" w:cs="Arial"/>
                  <w:i/>
                  <w:sz w:val="20"/>
                  <w:szCs w:val="20"/>
                  <w:lang w:bidi="gu-IN"/>
                </w:rPr>
                <m:t>n</m:t>
              </m:r>
            </m:sup>
            <m:e>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E</m:t>
                  </m:r>
                </m:e>
                <m:sub>
                  <m:r>
                    <m:rPr>
                      <m:nor/>
                    </m:rPr>
                    <w:rPr>
                      <w:rFonts w:ascii="Arial" w:eastAsia="Calibri" w:hAnsi="Arial" w:cs="Arial"/>
                      <w:i/>
                      <w:sz w:val="20"/>
                      <w:szCs w:val="20"/>
                      <w:lang w:bidi="gu-IN"/>
                    </w:rPr>
                    <m:t xml:space="preserve">it - </m:t>
                  </m:r>
                  <m:r>
                    <m:rPr>
                      <m:nor/>
                    </m:rPr>
                    <w:rPr>
                      <w:rFonts w:ascii="Arial" w:eastAsia="Calibri" w:hAnsi="Arial" w:cs="Arial"/>
                      <w:iCs/>
                      <w:sz w:val="20"/>
                      <w:szCs w:val="20"/>
                      <w:lang w:bidi="gu-IN"/>
                    </w:rPr>
                    <m:t>1</m:t>
                  </m:r>
                  <m:r>
                    <m:rPr>
                      <m:nor/>
                    </m:rPr>
                    <w:rPr>
                      <w:rFonts w:ascii="Arial" w:eastAsia="Calibri" w:hAnsi="Arial" w:cs="Arial"/>
                      <w:i/>
                      <w:sz w:val="20"/>
                      <w:szCs w:val="20"/>
                      <w:lang w:bidi="gu-IN"/>
                    </w:rPr>
                    <m:t xml:space="preserve"> </m:t>
                  </m:r>
                </m:sub>
              </m:sSub>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P</m:t>
                  </m:r>
                </m:e>
                <m:sub>
                  <m:r>
                    <m:rPr>
                      <m:nor/>
                    </m:rPr>
                    <w:rPr>
                      <w:rFonts w:ascii="Arial" w:eastAsia="Calibri" w:hAnsi="Arial" w:cs="Arial"/>
                      <w:i/>
                      <w:sz w:val="20"/>
                      <w:szCs w:val="20"/>
                      <w:lang w:bidi="gu-IN"/>
                    </w:rPr>
                    <m:t>ij</m:t>
                  </m:r>
                </m:sub>
              </m:sSub>
            </m:e>
          </m:nary>
        </m:oMath>
      </m:oMathPara>
    </w:p>
    <w:p w14:paraId="2BCB41A4"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Where; </w:t>
      </w:r>
      <w:r w:rsidRPr="0087554B">
        <w:rPr>
          <w:rFonts w:ascii="Arial" w:eastAsia="Calibri" w:hAnsi="Arial" w:cs="Arial"/>
          <w:i/>
          <w:iCs/>
          <w:sz w:val="20"/>
          <w:szCs w:val="20"/>
          <w:lang w:bidi="gu-IN"/>
        </w:rPr>
        <w:t>P</w:t>
      </w:r>
      <w:r w:rsidRPr="0087554B">
        <w:rPr>
          <w:rFonts w:ascii="Arial" w:eastAsia="Calibri" w:hAnsi="Arial" w:cs="Arial"/>
          <w:i/>
          <w:iCs/>
          <w:sz w:val="20"/>
          <w:szCs w:val="20"/>
          <w:vertAlign w:val="subscript"/>
          <w:lang w:bidi="gu-IN"/>
        </w:rPr>
        <w:t>ij</w:t>
      </w:r>
      <w:r w:rsidRPr="0087554B">
        <w:rPr>
          <w:rFonts w:ascii="Arial" w:eastAsia="Calibri" w:hAnsi="Arial" w:cs="Arial"/>
          <w:sz w:val="20"/>
          <w:szCs w:val="20"/>
          <w:lang w:bidi="gu-IN"/>
        </w:rPr>
        <w:t xml:space="preserve">​ = Probability that exports shift from country </w:t>
      </w:r>
      <w:r w:rsidRPr="0087554B">
        <w:rPr>
          <w:rFonts w:ascii="Arial" w:eastAsia="Calibri" w:hAnsi="Arial" w:cs="Arial"/>
          <w:i/>
          <w:iCs/>
          <w:sz w:val="20"/>
          <w:szCs w:val="20"/>
          <w:lang w:bidi="gu-IN"/>
        </w:rPr>
        <w:t>i</w:t>
      </w:r>
      <w:r w:rsidRPr="0087554B">
        <w:rPr>
          <w:rFonts w:ascii="Arial" w:eastAsia="Calibri" w:hAnsi="Arial" w:cs="Arial"/>
          <w:sz w:val="20"/>
          <w:szCs w:val="20"/>
          <w:lang w:bidi="gu-IN"/>
        </w:rPr>
        <w:t xml:space="preserve"> to country </w:t>
      </w:r>
      <w:r w:rsidRPr="0087554B">
        <w:rPr>
          <w:rFonts w:ascii="Arial" w:eastAsia="Calibri" w:hAnsi="Arial" w:cs="Arial"/>
          <w:i/>
          <w:iCs/>
          <w:sz w:val="20"/>
          <w:szCs w:val="20"/>
          <w:lang w:bidi="gu-IN"/>
        </w:rPr>
        <w:t>j, n</w:t>
      </w:r>
      <w:r w:rsidRPr="0087554B">
        <w:rPr>
          <w:rFonts w:ascii="Arial" w:eastAsia="Calibri" w:hAnsi="Arial" w:cs="Arial"/>
          <w:sz w:val="20"/>
          <w:szCs w:val="20"/>
          <w:lang w:bidi="gu-IN"/>
        </w:rPr>
        <w:t xml:space="preserve"> = Number of importing countries</w:t>
      </w:r>
    </w:p>
    <w:p w14:paraId="2FA1FCA2"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The elements of the transition probability matrix satisfy the conditions:</w:t>
      </w:r>
    </w:p>
    <w:p w14:paraId="74659456" w14:textId="77777777" w:rsidR="004F784C" w:rsidRPr="0087554B" w:rsidRDefault="004F784C" w:rsidP="00D412B7">
      <w:pPr>
        <w:spacing w:after="120"/>
        <w:jc w:val="both"/>
        <w:rPr>
          <w:rFonts w:ascii="Arial" w:eastAsia="Calibri" w:hAnsi="Arial" w:cs="Arial"/>
          <w:sz w:val="20"/>
          <w:szCs w:val="20"/>
          <w:lang w:bidi="gu-IN"/>
        </w:rPr>
      </w:pPr>
      <m:oMathPara>
        <m:oMathParaPr>
          <m:jc m:val="left"/>
        </m:oMathParaPr>
        <m:oMath>
          <m:r>
            <m:rPr>
              <m:nor/>
            </m:rPr>
            <w:rPr>
              <w:rFonts w:ascii="Arial" w:eastAsia="Calibri" w:hAnsi="Arial" w:cs="Arial"/>
              <w:sz w:val="20"/>
              <w:szCs w:val="20"/>
              <w:lang w:bidi="gu-IN"/>
            </w:rPr>
            <m:t xml:space="preserve">0 ≤ </m:t>
          </m:r>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P</m:t>
              </m:r>
            </m:e>
            <m:sub>
              <m:r>
                <m:rPr>
                  <m:nor/>
                </m:rPr>
                <w:rPr>
                  <w:rFonts w:ascii="Arial" w:eastAsia="Calibri" w:hAnsi="Arial" w:cs="Arial"/>
                  <w:i/>
                  <w:sz w:val="20"/>
                  <w:szCs w:val="20"/>
                  <w:lang w:bidi="gu-IN"/>
                </w:rPr>
                <m:t xml:space="preserve">ij </m:t>
              </m:r>
            </m:sub>
          </m:sSub>
          <m:r>
            <m:rPr>
              <m:nor/>
            </m:rPr>
            <w:rPr>
              <w:rFonts w:ascii="Arial" w:eastAsia="Calibri" w:hAnsi="Arial" w:cs="Arial"/>
              <w:sz w:val="20"/>
              <w:szCs w:val="20"/>
              <w:lang w:bidi="gu-IN"/>
            </w:rPr>
            <m:t xml:space="preserve">≤ 1 and </m:t>
          </m:r>
          <m:nary>
            <m:naryPr>
              <m:chr m:val="∑"/>
              <m:limLoc m:val="undOvr"/>
              <m:ctrlPr>
                <w:rPr>
                  <w:rFonts w:ascii="Cambria Math" w:eastAsia="Calibri" w:hAnsi="Cambria Math" w:cs="Arial"/>
                  <w:i/>
                  <w:sz w:val="20"/>
                  <w:szCs w:val="20"/>
                  <w:lang w:bidi="gu-IN"/>
                </w:rPr>
              </m:ctrlPr>
            </m:naryPr>
            <m:sub>
              <m:r>
                <m:rPr>
                  <m:nor/>
                </m:rPr>
                <w:rPr>
                  <w:rFonts w:ascii="Arial" w:eastAsia="Calibri" w:hAnsi="Arial" w:cs="Arial"/>
                  <w:i/>
                  <w:iCs/>
                  <w:sz w:val="20"/>
                  <w:szCs w:val="20"/>
                  <w:lang w:bidi="gu-IN"/>
                </w:rPr>
                <m:t xml:space="preserve">j </m:t>
              </m:r>
              <m:r>
                <m:rPr>
                  <m:nor/>
                </m:rPr>
                <w:rPr>
                  <w:rFonts w:ascii="Arial" w:eastAsia="Calibri" w:hAnsi="Arial" w:cs="Arial"/>
                  <w:sz w:val="20"/>
                  <w:szCs w:val="20"/>
                  <w:lang w:bidi="gu-IN"/>
                </w:rPr>
                <m:t>= 1</m:t>
              </m:r>
            </m:sub>
            <m:sup>
              <m:r>
                <m:rPr>
                  <m:nor/>
                </m:rPr>
                <w:rPr>
                  <w:rFonts w:ascii="Arial" w:eastAsia="Calibri" w:hAnsi="Arial" w:cs="Arial"/>
                  <w:i/>
                  <w:iCs/>
                  <w:sz w:val="20"/>
                  <w:szCs w:val="20"/>
                  <w:lang w:bidi="gu-IN"/>
                </w:rPr>
                <m:t>n</m:t>
              </m:r>
            </m:sup>
            <m:e>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P</m:t>
                  </m:r>
                </m:e>
                <m:sub>
                  <m:r>
                    <m:rPr>
                      <m:nor/>
                    </m:rPr>
                    <w:rPr>
                      <w:rFonts w:ascii="Arial" w:eastAsia="Calibri" w:hAnsi="Arial" w:cs="Arial"/>
                      <w:i/>
                      <w:sz w:val="20"/>
                      <w:szCs w:val="20"/>
                      <w:lang w:bidi="gu-IN"/>
                    </w:rPr>
                    <m:t>ij</m:t>
                  </m:r>
                </m:sub>
              </m:sSub>
            </m:e>
          </m:nary>
          <m:r>
            <m:rPr>
              <m:nor/>
            </m:rPr>
            <w:rPr>
              <w:rFonts w:ascii="Arial" w:eastAsia="Calibri" w:hAnsi="Arial" w:cs="Arial"/>
              <w:sz w:val="20"/>
              <w:szCs w:val="20"/>
              <w:lang w:bidi="gu-IN"/>
            </w:rPr>
            <m:t>= 1</m:t>
          </m:r>
        </m:oMath>
      </m:oMathPara>
    </w:p>
    <w:p w14:paraId="77F89E00"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The diagonal elements (</w:t>
      </w:r>
      <w:r w:rsidRPr="0087554B">
        <w:rPr>
          <w:rFonts w:ascii="Arial" w:eastAsia="Calibri" w:hAnsi="Arial" w:cs="Arial"/>
          <w:i/>
          <w:iCs/>
          <w:sz w:val="20"/>
          <w:szCs w:val="20"/>
          <w:lang w:bidi="gu-IN"/>
        </w:rPr>
        <w:t>P</w:t>
      </w:r>
      <w:r w:rsidRPr="0087554B">
        <w:rPr>
          <w:rFonts w:ascii="Arial" w:eastAsia="Calibri" w:hAnsi="Arial" w:cs="Arial"/>
          <w:i/>
          <w:iCs/>
          <w:sz w:val="20"/>
          <w:szCs w:val="20"/>
          <w:vertAlign w:val="subscript"/>
          <w:lang w:bidi="gu-IN"/>
        </w:rPr>
        <w:t>ii</w:t>
      </w:r>
      <w:r w:rsidRPr="0087554B">
        <w:rPr>
          <w:rFonts w:ascii="Arial" w:eastAsia="Calibri" w:hAnsi="Arial" w:cs="Arial"/>
          <w:sz w:val="20"/>
          <w:szCs w:val="20"/>
          <w:lang w:bidi="gu-IN"/>
        </w:rPr>
        <w:t>​) represent retention probabilities, indicating the likelihood that a country retains its export share from one period to the next. Higher diagonal values imply greater market stability, while larger off-diagonal elements reflect shifts in export shares among competing markets.</w:t>
      </w:r>
    </w:p>
    <w:p w14:paraId="17D26275" w14:textId="50FBBF03" w:rsidR="004F784C" w:rsidRPr="0087554B" w:rsidRDefault="00E819ED" w:rsidP="00D412B7">
      <w:pPr>
        <w:jc w:val="both"/>
        <w:rPr>
          <w:rFonts w:ascii="Arial" w:eastAsia="Calibri" w:hAnsi="Arial" w:cs="Arial"/>
          <w:sz w:val="20"/>
          <w:szCs w:val="20"/>
          <w:lang w:bidi="gu-IN"/>
        </w:rPr>
      </w:pPr>
      <w:r w:rsidRPr="00E819ED">
        <w:rPr>
          <w:rFonts w:ascii="Arial" w:eastAsia="Calibri" w:hAnsi="Arial" w:cs="Arial"/>
          <w:sz w:val="20"/>
          <w:szCs w:val="20"/>
          <w:lang w:bidi="gu-IN"/>
        </w:rPr>
        <w:t xml:space="preserve">The transition probability matrix was estimated using export share proportions rather than absolute values to ensure comparability across time. The matrix was derived using linear programming techniques subject to probability constraints, and steady-state probabilities were computed to analyse long-run market distribution. All computations </w:t>
      </w:r>
      <w:r>
        <w:rPr>
          <w:rFonts w:ascii="Arial" w:eastAsia="Calibri" w:hAnsi="Arial" w:cs="Arial"/>
          <w:sz w:val="20"/>
          <w:szCs w:val="20"/>
          <w:lang w:bidi="gu-IN"/>
        </w:rPr>
        <w:t>were carried out using MS Excel</w:t>
      </w:r>
      <w:r w:rsidR="004F784C" w:rsidRPr="0087554B">
        <w:rPr>
          <w:rFonts w:ascii="Arial" w:eastAsia="Calibri" w:hAnsi="Arial" w:cs="Arial"/>
          <w:sz w:val="20"/>
          <w:szCs w:val="20"/>
          <w:lang w:bidi="gu-IN"/>
        </w:rPr>
        <w:t>.</w:t>
      </w:r>
    </w:p>
    <w:p w14:paraId="7D17F11A" w14:textId="77777777" w:rsidR="004F784C" w:rsidRPr="00603DEF" w:rsidRDefault="004F784C" w:rsidP="004F784C">
      <w:pPr>
        <w:jc w:val="both"/>
        <w:rPr>
          <w:rFonts w:ascii="Arial" w:eastAsia="Calibri" w:hAnsi="Arial" w:cs="Arial"/>
          <w:sz w:val="24"/>
          <w:szCs w:val="24"/>
          <w:lang w:bidi="gu-IN"/>
        </w:rPr>
      </w:pPr>
    </w:p>
    <w:p w14:paraId="1A89610B" w14:textId="77777777" w:rsidR="004F784C" w:rsidRPr="0087554B" w:rsidRDefault="0087554B" w:rsidP="004F784C">
      <w:pPr>
        <w:jc w:val="both"/>
        <w:rPr>
          <w:rFonts w:ascii="Arial" w:eastAsia="Calibri" w:hAnsi="Arial" w:cs="Arial"/>
          <w:b/>
          <w:bCs/>
          <w:lang w:bidi="gu-IN"/>
        </w:rPr>
      </w:pPr>
      <w:r w:rsidRPr="0087554B">
        <w:rPr>
          <w:rFonts w:ascii="Arial" w:eastAsia="Calibri" w:hAnsi="Arial" w:cs="Arial"/>
          <w:b/>
          <w:bCs/>
          <w:lang w:bidi="gu-IN"/>
        </w:rPr>
        <w:t xml:space="preserve">3. </w:t>
      </w:r>
      <w:r w:rsidR="004F784C" w:rsidRPr="0087554B">
        <w:rPr>
          <w:rFonts w:ascii="Arial" w:eastAsia="Calibri" w:hAnsi="Arial" w:cs="Arial"/>
          <w:b/>
          <w:bCs/>
          <w:lang w:bidi="gu-IN"/>
        </w:rPr>
        <w:t>RESULTS AND DISCUSSION</w:t>
      </w:r>
    </w:p>
    <w:p w14:paraId="235C9A5F" w14:textId="77777777" w:rsidR="0087554B" w:rsidRDefault="0087554B" w:rsidP="004F784C">
      <w:pPr>
        <w:jc w:val="both"/>
        <w:rPr>
          <w:rFonts w:ascii="Arial" w:eastAsia="Calibri" w:hAnsi="Arial" w:cs="Arial"/>
          <w:b/>
          <w:bCs/>
          <w:lang w:bidi="gu-IN"/>
        </w:rPr>
      </w:pPr>
    </w:p>
    <w:p w14:paraId="329AEAE8" w14:textId="77777777" w:rsidR="004F784C" w:rsidRPr="0087554B" w:rsidRDefault="0087554B" w:rsidP="00D412B7">
      <w:pPr>
        <w:spacing w:after="120"/>
        <w:jc w:val="both"/>
        <w:rPr>
          <w:rFonts w:ascii="Arial" w:eastAsia="Calibri" w:hAnsi="Arial" w:cs="Arial"/>
          <w:b/>
          <w:bCs/>
          <w:lang w:bidi="gu-IN"/>
        </w:rPr>
      </w:pPr>
      <w:r>
        <w:rPr>
          <w:rFonts w:ascii="Arial" w:eastAsia="Calibri" w:hAnsi="Arial" w:cs="Arial"/>
          <w:b/>
          <w:bCs/>
          <w:lang w:bidi="gu-IN"/>
        </w:rPr>
        <w:t xml:space="preserve">3.1 </w:t>
      </w:r>
      <w:r w:rsidR="004F784C" w:rsidRPr="0087554B">
        <w:rPr>
          <w:rFonts w:ascii="Arial" w:eastAsia="Calibri" w:hAnsi="Arial" w:cs="Arial"/>
          <w:b/>
          <w:bCs/>
          <w:lang w:bidi="gu-IN"/>
        </w:rPr>
        <w:t>Revealed Comparative Advantage</w:t>
      </w:r>
    </w:p>
    <w:p w14:paraId="7C328930" w14:textId="787148DF"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The results (Table 1) indicate marked differences in export competitiveness across marine product categories. Frozen shrimp consistently exhibited a strong and sustained comparative advantage throughout the study period. The RCA increased from 4.46 in 2004-05 to 4.64 in 2023-24, reaching a peak of 5.27 in 2021-22. All values remained well above unity, confirming a high degree of export specialization. The strengthening of RCA during 2017-18 to 2021-22 coincided with rapid aquaculture expansion, improved disease management, and stronger access to high-value markets such as the United States, China, and the European Union (FAO, 2025; MPEDA, 2025). These findings reaffirm frozen shrimp as the core driver of India’s marine export competitiveness.</w:t>
      </w:r>
      <w:r w:rsidR="00E60B75">
        <w:rPr>
          <w:rFonts w:ascii="Arial" w:eastAsia="Calibri" w:hAnsi="Arial" w:cs="Arial"/>
          <w:sz w:val="20"/>
          <w:szCs w:val="20"/>
          <w:lang w:bidi="gu-IN"/>
        </w:rPr>
        <w:t xml:space="preserve"> </w:t>
      </w:r>
      <w:r w:rsidR="00E60B75" w:rsidRPr="00E60B75">
        <w:rPr>
          <w:rFonts w:ascii="Arial" w:eastAsia="Calibri" w:hAnsi="Arial" w:cs="Arial"/>
          <w:sz w:val="20"/>
          <w:szCs w:val="20"/>
          <w:lang w:bidi="gu-IN"/>
        </w:rPr>
        <w:t xml:space="preserve">These findings are consistent with Chandrasekar </w:t>
      </w:r>
      <w:r w:rsidR="00E60B75" w:rsidRPr="00E60B75">
        <w:rPr>
          <w:rFonts w:ascii="Arial" w:eastAsia="Calibri" w:hAnsi="Arial" w:cs="Arial"/>
          <w:i/>
          <w:iCs/>
          <w:sz w:val="20"/>
          <w:szCs w:val="20"/>
          <w:lang w:bidi="gu-IN"/>
        </w:rPr>
        <w:t>et al</w:t>
      </w:r>
      <w:r w:rsidR="00E60B75" w:rsidRPr="00E60B75">
        <w:rPr>
          <w:rFonts w:ascii="Arial" w:eastAsia="Calibri" w:hAnsi="Arial" w:cs="Arial"/>
          <w:sz w:val="20"/>
          <w:szCs w:val="20"/>
          <w:lang w:bidi="gu-IN"/>
        </w:rPr>
        <w:t>. (2024), who also reported shrimp as the dominant contributor to India’s marine export competitiveness.</w:t>
      </w:r>
    </w:p>
    <w:p w14:paraId="39C5FE82" w14:textId="7017485B"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In contrast, frozen fish showed a declining pattern of specialization. Although the RCA exceeded unity during the mid-2000s, peaking at 1.55 in 2009-10, it fell below one after 2012-13 and declined further to 0.66 in 2023-24. This shift reflects a loss of comparative advantage, possibly due to intensified global competition, variability in marine catches, and growing domestic consumption (Das and Ghosh, 2021; FAO, 2023).</w:t>
      </w:r>
      <w:r w:rsidR="00E60B75">
        <w:rPr>
          <w:rFonts w:ascii="Arial" w:eastAsia="Calibri" w:hAnsi="Arial" w:cs="Arial"/>
          <w:sz w:val="20"/>
          <w:szCs w:val="20"/>
          <w:lang w:bidi="gu-IN"/>
        </w:rPr>
        <w:t xml:space="preserve"> </w:t>
      </w:r>
      <w:r w:rsidR="00E60B75" w:rsidRPr="00E60B75">
        <w:rPr>
          <w:rFonts w:ascii="Arial" w:eastAsia="Calibri" w:hAnsi="Arial" w:cs="Arial"/>
          <w:sz w:val="20"/>
          <w:szCs w:val="20"/>
          <w:lang w:bidi="gu-IN"/>
        </w:rPr>
        <w:t>A similar declining trend in fish exports has been observed by Das and Ghosh (2021).</w:t>
      </w:r>
    </w:p>
    <w:p w14:paraId="7BC195AB"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The frozen cuttle fish, frozen squid, dried items, live items, and chilled items consistently recorded RCA values below unity. Cuttle fish declined from 0.49 to 0.38 over the study period, while squid ranged between 0.45 and 0.74, showing modest improvement in recent years but not achieving comparative advantage. Dried (0.13-0.31), live (0.03-0.14), and chilled products (0.18-0.54) remained persistently below one, indicating structural disadvantage. These trends may be linked to limited technological modernization, logistical bottlenecks, stringent sanitary and phytosanitary standards, and strong competition from established exporters (FAO, 2023; MPEDA, 2023).</w:t>
      </w:r>
    </w:p>
    <w:p w14:paraId="4C97B629" w14:textId="77777777" w:rsidR="004F784C" w:rsidRPr="0087554B" w:rsidRDefault="004F784C" w:rsidP="0087554B">
      <w:pPr>
        <w:jc w:val="both"/>
        <w:rPr>
          <w:rFonts w:ascii="Arial" w:eastAsia="Calibri" w:hAnsi="Arial" w:cs="Arial"/>
          <w:sz w:val="20"/>
          <w:szCs w:val="20"/>
          <w:lang w:bidi="gu-IN"/>
        </w:rPr>
      </w:pPr>
      <w:r w:rsidRPr="0087554B">
        <w:rPr>
          <w:rFonts w:ascii="Arial" w:eastAsia="Calibri" w:hAnsi="Arial" w:cs="Arial"/>
          <w:sz w:val="20"/>
          <w:szCs w:val="20"/>
          <w:lang w:bidi="gu-IN"/>
        </w:rPr>
        <w:t xml:space="preserve">Overall, the RCA analysis highlights a high concentration of export competitiveness in frozen shrimp, with limited diversification across other segments. While shrimp exports demonstrate robust and sustained specialization, the weak performance of other products signals structural dependence on a single dominant commodity. Enhancing long-term sustainability will require diversification of the export basket, technological upgrading, greater value addition, and strengthened post-harvest and cold-chain infrastructure to </w:t>
      </w:r>
      <w:r w:rsidRPr="0087554B">
        <w:rPr>
          <w:rFonts w:ascii="Arial" w:eastAsia="Calibri" w:hAnsi="Arial" w:cs="Arial"/>
          <w:sz w:val="20"/>
          <w:szCs w:val="20"/>
          <w:lang w:bidi="gu-IN"/>
        </w:rPr>
        <w:lastRenderedPageBreak/>
        <w:t>broaden India’s comparative advantage in global seafood trade (Shinoj and Mathur, 2008; Das and Ghosh, 2021; FAO, 2024).</w:t>
      </w:r>
    </w:p>
    <w:p w14:paraId="7334123E" w14:textId="77777777" w:rsidR="004F784C" w:rsidRPr="0087554B" w:rsidRDefault="004F784C" w:rsidP="004F784C">
      <w:pPr>
        <w:ind w:left="900" w:hanging="900"/>
        <w:jc w:val="both"/>
        <w:rPr>
          <w:rFonts w:ascii="Arial" w:eastAsia="Calibri" w:hAnsi="Arial" w:cs="Arial"/>
          <w:b/>
          <w:bCs/>
          <w:sz w:val="20"/>
          <w:szCs w:val="20"/>
        </w:rPr>
      </w:pPr>
    </w:p>
    <w:p w14:paraId="2FACBC13" w14:textId="77777777" w:rsidR="004F784C" w:rsidRPr="0087554B" w:rsidRDefault="0087554B" w:rsidP="00D412B7">
      <w:pPr>
        <w:spacing w:after="120"/>
        <w:ind w:left="907" w:hanging="907"/>
        <w:jc w:val="both"/>
        <w:rPr>
          <w:rFonts w:ascii="Arial" w:eastAsia="Calibri" w:hAnsi="Arial" w:cs="Arial"/>
          <w:b/>
          <w:bCs/>
          <w:sz w:val="20"/>
          <w:szCs w:val="20"/>
        </w:rPr>
      </w:pPr>
      <w:r>
        <w:rPr>
          <w:rFonts w:ascii="Arial" w:eastAsia="Calibri" w:hAnsi="Arial" w:cs="Arial"/>
          <w:b/>
          <w:bCs/>
          <w:sz w:val="20"/>
          <w:szCs w:val="20"/>
        </w:rPr>
        <w:t>Table 1.</w:t>
      </w:r>
      <w:r>
        <w:rPr>
          <w:rFonts w:ascii="Arial" w:eastAsia="Calibri" w:hAnsi="Arial" w:cs="Arial"/>
          <w:b/>
          <w:bCs/>
          <w:sz w:val="20"/>
          <w:szCs w:val="20"/>
        </w:rPr>
        <w:tab/>
      </w:r>
      <w:r w:rsidR="004F784C" w:rsidRPr="0087554B">
        <w:rPr>
          <w:rFonts w:ascii="Arial" w:eastAsia="Calibri" w:hAnsi="Arial" w:cs="Arial"/>
          <w:b/>
          <w:bCs/>
          <w:sz w:val="20"/>
          <w:szCs w:val="20"/>
        </w:rPr>
        <w:t>Revealed Comparative Advantage (RCA) of marine products exported from India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86"/>
        <w:gridCol w:w="1079"/>
        <w:gridCol w:w="1080"/>
        <w:gridCol w:w="1335"/>
        <w:gridCol w:w="924"/>
        <w:gridCol w:w="780"/>
        <w:gridCol w:w="753"/>
        <w:gridCol w:w="927"/>
      </w:tblGrid>
      <w:tr w:rsidR="004F784C" w:rsidRPr="0087554B" w14:paraId="6DB929A2" w14:textId="77777777" w:rsidTr="00603DEF">
        <w:trPr>
          <w:cantSplit/>
        </w:trPr>
        <w:tc>
          <w:tcPr>
            <w:tcW w:w="986" w:type="dxa"/>
            <w:hideMark/>
          </w:tcPr>
          <w:p w14:paraId="10B7FFF2"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Year</w:t>
            </w:r>
          </w:p>
        </w:tc>
        <w:tc>
          <w:tcPr>
            <w:tcW w:w="1079" w:type="dxa"/>
            <w:hideMark/>
          </w:tcPr>
          <w:p w14:paraId="7DE28E9F"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Frozen Shrimp</w:t>
            </w:r>
          </w:p>
        </w:tc>
        <w:tc>
          <w:tcPr>
            <w:tcW w:w="1080" w:type="dxa"/>
            <w:hideMark/>
          </w:tcPr>
          <w:p w14:paraId="7786744D"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Frozen Fish</w:t>
            </w:r>
          </w:p>
        </w:tc>
        <w:tc>
          <w:tcPr>
            <w:tcW w:w="1335" w:type="dxa"/>
            <w:hideMark/>
          </w:tcPr>
          <w:p w14:paraId="7C28A8A0"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 xml:space="preserve">Frozen </w:t>
            </w:r>
          </w:p>
          <w:p w14:paraId="3EDA0FAA"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Cuttle Fish</w:t>
            </w:r>
          </w:p>
        </w:tc>
        <w:tc>
          <w:tcPr>
            <w:tcW w:w="0" w:type="auto"/>
            <w:hideMark/>
          </w:tcPr>
          <w:p w14:paraId="4E97CB3E"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Frozen Squid</w:t>
            </w:r>
          </w:p>
        </w:tc>
        <w:tc>
          <w:tcPr>
            <w:tcW w:w="0" w:type="auto"/>
            <w:hideMark/>
          </w:tcPr>
          <w:p w14:paraId="305CE53D"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Dried Items</w:t>
            </w:r>
          </w:p>
        </w:tc>
        <w:tc>
          <w:tcPr>
            <w:tcW w:w="0" w:type="auto"/>
            <w:hideMark/>
          </w:tcPr>
          <w:p w14:paraId="76D31539"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Live Items</w:t>
            </w:r>
          </w:p>
        </w:tc>
        <w:tc>
          <w:tcPr>
            <w:tcW w:w="0" w:type="auto"/>
            <w:hideMark/>
          </w:tcPr>
          <w:p w14:paraId="1AE2112A"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Chilled Items</w:t>
            </w:r>
          </w:p>
        </w:tc>
      </w:tr>
      <w:tr w:rsidR="004F784C" w:rsidRPr="0087554B" w14:paraId="196AB8F6" w14:textId="77777777" w:rsidTr="00603DEF">
        <w:trPr>
          <w:cantSplit/>
        </w:trPr>
        <w:tc>
          <w:tcPr>
            <w:tcW w:w="986" w:type="dxa"/>
            <w:hideMark/>
          </w:tcPr>
          <w:p w14:paraId="737F2096"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2004-05</w:t>
            </w:r>
          </w:p>
        </w:tc>
        <w:tc>
          <w:tcPr>
            <w:tcW w:w="1079" w:type="dxa"/>
            <w:hideMark/>
          </w:tcPr>
          <w:p w14:paraId="6F121AB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4.46</w:t>
            </w:r>
          </w:p>
        </w:tc>
        <w:tc>
          <w:tcPr>
            <w:tcW w:w="1080" w:type="dxa"/>
            <w:hideMark/>
          </w:tcPr>
          <w:p w14:paraId="2496F06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0.81</w:t>
            </w:r>
          </w:p>
        </w:tc>
        <w:tc>
          <w:tcPr>
            <w:tcW w:w="1335" w:type="dxa"/>
            <w:hideMark/>
          </w:tcPr>
          <w:p w14:paraId="4D91CC9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0.49</w:t>
            </w:r>
          </w:p>
        </w:tc>
        <w:tc>
          <w:tcPr>
            <w:tcW w:w="0" w:type="auto"/>
            <w:hideMark/>
          </w:tcPr>
          <w:p w14:paraId="6D621AD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0.45</w:t>
            </w:r>
          </w:p>
        </w:tc>
        <w:tc>
          <w:tcPr>
            <w:tcW w:w="0" w:type="auto"/>
            <w:hideMark/>
          </w:tcPr>
          <w:p w14:paraId="67AC721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0.16</w:t>
            </w:r>
          </w:p>
        </w:tc>
        <w:tc>
          <w:tcPr>
            <w:tcW w:w="0" w:type="auto"/>
            <w:hideMark/>
          </w:tcPr>
          <w:p w14:paraId="5DA28B7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0.09</w:t>
            </w:r>
          </w:p>
        </w:tc>
        <w:tc>
          <w:tcPr>
            <w:tcW w:w="0" w:type="auto"/>
            <w:hideMark/>
          </w:tcPr>
          <w:p w14:paraId="3FCC3DC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0.54</w:t>
            </w:r>
          </w:p>
        </w:tc>
      </w:tr>
      <w:tr w:rsidR="004F784C" w:rsidRPr="0087554B" w14:paraId="7268824F" w14:textId="77777777" w:rsidTr="00603DEF">
        <w:trPr>
          <w:cantSplit/>
        </w:trPr>
        <w:tc>
          <w:tcPr>
            <w:tcW w:w="986" w:type="dxa"/>
            <w:hideMark/>
          </w:tcPr>
          <w:p w14:paraId="2E467BA7"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2005-06</w:t>
            </w:r>
          </w:p>
        </w:tc>
        <w:tc>
          <w:tcPr>
            <w:tcW w:w="1079" w:type="dxa"/>
            <w:hideMark/>
          </w:tcPr>
          <w:p w14:paraId="610277A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4.13</w:t>
            </w:r>
          </w:p>
        </w:tc>
        <w:tc>
          <w:tcPr>
            <w:tcW w:w="1080" w:type="dxa"/>
            <w:hideMark/>
          </w:tcPr>
          <w:p w14:paraId="36B6290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1.11</w:t>
            </w:r>
          </w:p>
        </w:tc>
        <w:tc>
          <w:tcPr>
            <w:tcW w:w="1335" w:type="dxa"/>
            <w:hideMark/>
          </w:tcPr>
          <w:p w14:paraId="0550AAB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0.50</w:t>
            </w:r>
          </w:p>
        </w:tc>
        <w:tc>
          <w:tcPr>
            <w:tcW w:w="0" w:type="auto"/>
            <w:hideMark/>
          </w:tcPr>
          <w:p w14:paraId="02B1F8A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0.53</w:t>
            </w:r>
          </w:p>
        </w:tc>
        <w:tc>
          <w:tcPr>
            <w:tcW w:w="0" w:type="auto"/>
            <w:hideMark/>
          </w:tcPr>
          <w:p w14:paraId="009D3E7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0.14</w:t>
            </w:r>
          </w:p>
        </w:tc>
        <w:tc>
          <w:tcPr>
            <w:tcW w:w="0" w:type="auto"/>
            <w:hideMark/>
          </w:tcPr>
          <w:p w14:paraId="2B732C1D"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0.08</w:t>
            </w:r>
          </w:p>
        </w:tc>
        <w:tc>
          <w:tcPr>
            <w:tcW w:w="0" w:type="auto"/>
            <w:hideMark/>
          </w:tcPr>
          <w:p w14:paraId="7C7011D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0.51</w:t>
            </w:r>
          </w:p>
        </w:tc>
      </w:tr>
      <w:tr w:rsidR="004F784C" w:rsidRPr="0087554B" w14:paraId="4A0691D1" w14:textId="77777777" w:rsidTr="00603DEF">
        <w:trPr>
          <w:cantSplit/>
        </w:trPr>
        <w:tc>
          <w:tcPr>
            <w:tcW w:w="986" w:type="dxa"/>
            <w:hideMark/>
          </w:tcPr>
          <w:p w14:paraId="2E5C1134"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2006-07</w:t>
            </w:r>
          </w:p>
        </w:tc>
        <w:tc>
          <w:tcPr>
            <w:tcW w:w="1079" w:type="dxa"/>
            <w:hideMark/>
          </w:tcPr>
          <w:p w14:paraId="1D0CBF2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3.75</w:t>
            </w:r>
          </w:p>
        </w:tc>
        <w:tc>
          <w:tcPr>
            <w:tcW w:w="1080" w:type="dxa"/>
            <w:hideMark/>
          </w:tcPr>
          <w:p w14:paraId="0D0DE4A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1.34</w:t>
            </w:r>
          </w:p>
        </w:tc>
        <w:tc>
          <w:tcPr>
            <w:tcW w:w="1335" w:type="dxa"/>
            <w:hideMark/>
          </w:tcPr>
          <w:p w14:paraId="690AB2D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0.55</w:t>
            </w:r>
          </w:p>
        </w:tc>
        <w:tc>
          <w:tcPr>
            <w:tcW w:w="0" w:type="auto"/>
            <w:hideMark/>
          </w:tcPr>
          <w:p w14:paraId="5A7AB9F7"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0.65</w:t>
            </w:r>
          </w:p>
        </w:tc>
        <w:tc>
          <w:tcPr>
            <w:tcW w:w="0" w:type="auto"/>
            <w:hideMark/>
          </w:tcPr>
          <w:p w14:paraId="313D21DB"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0.13</w:t>
            </w:r>
          </w:p>
        </w:tc>
        <w:tc>
          <w:tcPr>
            <w:tcW w:w="0" w:type="auto"/>
            <w:hideMark/>
          </w:tcPr>
          <w:p w14:paraId="1148A25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0.07</w:t>
            </w:r>
          </w:p>
        </w:tc>
        <w:tc>
          <w:tcPr>
            <w:tcW w:w="0" w:type="auto"/>
            <w:hideMark/>
          </w:tcPr>
          <w:p w14:paraId="2A884D3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0.50</w:t>
            </w:r>
          </w:p>
        </w:tc>
      </w:tr>
      <w:tr w:rsidR="004F784C" w:rsidRPr="0087554B" w14:paraId="27EEE1B4" w14:textId="77777777" w:rsidTr="00603DEF">
        <w:trPr>
          <w:cantSplit/>
        </w:trPr>
        <w:tc>
          <w:tcPr>
            <w:tcW w:w="986" w:type="dxa"/>
            <w:hideMark/>
          </w:tcPr>
          <w:p w14:paraId="7914D52A"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2007-08</w:t>
            </w:r>
          </w:p>
        </w:tc>
        <w:tc>
          <w:tcPr>
            <w:tcW w:w="1079" w:type="dxa"/>
            <w:hideMark/>
          </w:tcPr>
          <w:p w14:paraId="2F42AF1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3.64</w:t>
            </w:r>
          </w:p>
        </w:tc>
        <w:tc>
          <w:tcPr>
            <w:tcW w:w="1080" w:type="dxa"/>
            <w:hideMark/>
          </w:tcPr>
          <w:p w14:paraId="2C43982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1.31</w:t>
            </w:r>
          </w:p>
        </w:tc>
        <w:tc>
          <w:tcPr>
            <w:tcW w:w="1335" w:type="dxa"/>
            <w:hideMark/>
          </w:tcPr>
          <w:p w14:paraId="38314D7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0.61</w:t>
            </w:r>
          </w:p>
        </w:tc>
        <w:tc>
          <w:tcPr>
            <w:tcW w:w="0" w:type="auto"/>
            <w:hideMark/>
          </w:tcPr>
          <w:p w14:paraId="567494C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0.77</w:t>
            </w:r>
          </w:p>
        </w:tc>
        <w:tc>
          <w:tcPr>
            <w:tcW w:w="0" w:type="auto"/>
            <w:hideMark/>
          </w:tcPr>
          <w:p w14:paraId="517CA75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0.15</w:t>
            </w:r>
          </w:p>
        </w:tc>
        <w:tc>
          <w:tcPr>
            <w:tcW w:w="0" w:type="auto"/>
            <w:hideMark/>
          </w:tcPr>
          <w:p w14:paraId="362D1AB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0.11</w:t>
            </w:r>
          </w:p>
        </w:tc>
        <w:tc>
          <w:tcPr>
            <w:tcW w:w="0" w:type="auto"/>
            <w:hideMark/>
          </w:tcPr>
          <w:p w14:paraId="7B668AF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0.42</w:t>
            </w:r>
          </w:p>
        </w:tc>
      </w:tr>
      <w:tr w:rsidR="004F784C" w:rsidRPr="0087554B" w14:paraId="341AF45A" w14:textId="77777777" w:rsidTr="00603DEF">
        <w:trPr>
          <w:cantSplit/>
        </w:trPr>
        <w:tc>
          <w:tcPr>
            <w:tcW w:w="986" w:type="dxa"/>
            <w:hideMark/>
          </w:tcPr>
          <w:p w14:paraId="12558F7C"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2008-09</w:t>
            </w:r>
          </w:p>
        </w:tc>
        <w:tc>
          <w:tcPr>
            <w:tcW w:w="1079" w:type="dxa"/>
            <w:hideMark/>
          </w:tcPr>
          <w:p w14:paraId="776E3A6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3.08</w:t>
            </w:r>
          </w:p>
        </w:tc>
        <w:tc>
          <w:tcPr>
            <w:tcW w:w="1080" w:type="dxa"/>
            <w:hideMark/>
          </w:tcPr>
          <w:p w14:paraId="5AC3374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1.54</w:t>
            </w:r>
          </w:p>
        </w:tc>
        <w:tc>
          <w:tcPr>
            <w:tcW w:w="1335" w:type="dxa"/>
            <w:hideMark/>
          </w:tcPr>
          <w:p w14:paraId="0E2D02C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0.78</w:t>
            </w:r>
          </w:p>
        </w:tc>
        <w:tc>
          <w:tcPr>
            <w:tcW w:w="0" w:type="auto"/>
            <w:hideMark/>
          </w:tcPr>
          <w:p w14:paraId="6FD1420B"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0.82</w:t>
            </w:r>
          </w:p>
        </w:tc>
        <w:tc>
          <w:tcPr>
            <w:tcW w:w="0" w:type="auto"/>
            <w:hideMark/>
          </w:tcPr>
          <w:p w14:paraId="49DF9C7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0.16</w:t>
            </w:r>
          </w:p>
        </w:tc>
        <w:tc>
          <w:tcPr>
            <w:tcW w:w="0" w:type="auto"/>
            <w:hideMark/>
          </w:tcPr>
          <w:p w14:paraId="2281DCB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0.14</w:t>
            </w:r>
          </w:p>
        </w:tc>
        <w:tc>
          <w:tcPr>
            <w:tcW w:w="0" w:type="auto"/>
            <w:hideMark/>
          </w:tcPr>
          <w:p w14:paraId="6AFE2D4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0.47</w:t>
            </w:r>
          </w:p>
        </w:tc>
      </w:tr>
      <w:tr w:rsidR="004F784C" w:rsidRPr="0087554B" w14:paraId="00C0D821" w14:textId="77777777" w:rsidTr="00603DEF">
        <w:trPr>
          <w:cantSplit/>
        </w:trPr>
        <w:tc>
          <w:tcPr>
            <w:tcW w:w="986" w:type="dxa"/>
            <w:hideMark/>
          </w:tcPr>
          <w:p w14:paraId="091CDD2B"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2009-10</w:t>
            </w:r>
          </w:p>
        </w:tc>
        <w:tc>
          <w:tcPr>
            <w:tcW w:w="1079" w:type="dxa"/>
            <w:hideMark/>
          </w:tcPr>
          <w:p w14:paraId="335D5E2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3.07</w:t>
            </w:r>
          </w:p>
        </w:tc>
        <w:tc>
          <w:tcPr>
            <w:tcW w:w="1080" w:type="dxa"/>
            <w:hideMark/>
          </w:tcPr>
          <w:p w14:paraId="1FF1424D"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1.55</w:t>
            </w:r>
          </w:p>
        </w:tc>
        <w:tc>
          <w:tcPr>
            <w:tcW w:w="1335" w:type="dxa"/>
            <w:hideMark/>
          </w:tcPr>
          <w:p w14:paraId="058958C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0.80</w:t>
            </w:r>
          </w:p>
        </w:tc>
        <w:tc>
          <w:tcPr>
            <w:tcW w:w="0" w:type="auto"/>
            <w:hideMark/>
          </w:tcPr>
          <w:p w14:paraId="01202EE7"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0.82</w:t>
            </w:r>
          </w:p>
        </w:tc>
        <w:tc>
          <w:tcPr>
            <w:tcW w:w="0" w:type="auto"/>
            <w:hideMark/>
          </w:tcPr>
          <w:p w14:paraId="4AB40E8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0.20</w:t>
            </w:r>
          </w:p>
        </w:tc>
        <w:tc>
          <w:tcPr>
            <w:tcW w:w="0" w:type="auto"/>
            <w:hideMark/>
          </w:tcPr>
          <w:p w14:paraId="789D931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0.13</w:t>
            </w:r>
          </w:p>
        </w:tc>
        <w:tc>
          <w:tcPr>
            <w:tcW w:w="0" w:type="auto"/>
            <w:hideMark/>
          </w:tcPr>
          <w:p w14:paraId="5020434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0.43</w:t>
            </w:r>
          </w:p>
        </w:tc>
      </w:tr>
      <w:tr w:rsidR="004F784C" w:rsidRPr="0087554B" w14:paraId="3D062D64" w14:textId="77777777" w:rsidTr="00603DEF">
        <w:trPr>
          <w:cantSplit/>
        </w:trPr>
        <w:tc>
          <w:tcPr>
            <w:tcW w:w="986" w:type="dxa"/>
            <w:hideMark/>
          </w:tcPr>
          <w:p w14:paraId="0130105B"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2010-11</w:t>
            </w:r>
          </w:p>
        </w:tc>
        <w:tc>
          <w:tcPr>
            <w:tcW w:w="1079" w:type="dxa"/>
            <w:hideMark/>
          </w:tcPr>
          <w:p w14:paraId="2BF02689"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3.09</w:t>
            </w:r>
          </w:p>
        </w:tc>
        <w:tc>
          <w:tcPr>
            <w:tcW w:w="1080" w:type="dxa"/>
            <w:hideMark/>
          </w:tcPr>
          <w:p w14:paraId="370332F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1.41</w:t>
            </w:r>
          </w:p>
        </w:tc>
        <w:tc>
          <w:tcPr>
            <w:tcW w:w="1335" w:type="dxa"/>
            <w:hideMark/>
          </w:tcPr>
          <w:p w14:paraId="10C61897"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0.87</w:t>
            </w:r>
          </w:p>
        </w:tc>
        <w:tc>
          <w:tcPr>
            <w:tcW w:w="0" w:type="auto"/>
            <w:hideMark/>
          </w:tcPr>
          <w:p w14:paraId="1AAA0A29"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0.90</w:t>
            </w:r>
          </w:p>
        </w:tc>
        <w:tc>
          <w:tcPr>
            <w:tcW w:w="0" w:type="auto"/>
            <w:hideMark/>
          </w:tcPr>
          <w:p w14:paraId="08548E4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0.21</w:t>
            </w:r>
          </w:p>
        </w:tc>
        <w:tc>
          <w:tcPr>
            <w:tcW w:w="0" w:type="auto"/>
            <w:hideMark/>
          </w:tcPr>
          <w:p w14:paraId="2EE3FDC9"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0.12</w:t>
            </w:r>
          </w:p>
        </w:tc>
        <w:tc>
          <w:tcPr>
            <w:tcW w:w="0" w:type="auto"/>
            <w:hideMark/>
          </w:tcPr>
          <w:p w14:paraId="7B8BCB6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0.40</w:t>
            </w:r>
          </w:p>
        </w:tc>
      </w:tr>
      <w:tr w:rsidR="004F784C" w:rsidRPr="0087554B" w14:paraId="6F971FB1" w14:textId="77777777" w:rsidTr="00603DEF">
        <w:trPr>
          <w:cantSplit/>
        </w:trPr>
        <w:tc>
          <w:tcPr>
            <w:tcW w:w="986" w:type="dxa"/>
            <w:hideMark/>
          </w:tcPr>
          <w:p w14:paraId="3108378F"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2011-12</w:t>
            </w:r>
          </w:p>
        </w:tc>
        <w:tc>
          <w:tcPr>
            <w:tcW w:w="1079" w:type="dxa"/>
            <w:hideMark/>
          </w:tcPr>
          <w:p w14:paraId="234847C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3.48</w:t>
            </w:r>
          </w:p>
        </w:tc>
        <w:tc>
          <w:tcPr>
            <w:tcW w:w="1080" w:type="dxa"/>
            <w:hideMark/>
          </w:tcPr>
          <w:p w14:paraId="26F7A86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1.15</w:t>
            </w:r>
          </w:p>
        </w:tc>
        <w:tc>
          <w:tcPr>
            <w:tcW w:w="1335" w:type="dxa"/>
            <w:hideMark/>
          </w:tcPr>
          <w:p w14:paraId="0603D627"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0.78</w:t>
            </w:r>
          </w:p>
        </w:tc>
        <w:tc>
          <w:tcPr>
            <w:tcW w:w="0" w:type="auto"/>
            <w:hideMark/>
          </w:tcPr>
          <w:p w14:paraId="5C3B572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0.88</w:t>
            </w:r>
          </w:p>
        </w:tc>
        <w:tc>
          <w:tcPr>
            <w:tcW w:w="0" w:type="auto"/>
            <w:hideMark/>
          </w:tcPr>
          <w:p w14:paraId="6B8A795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0.26</w:t>
            </w:r>
          </w:p>
        </w:tc>
        <w:tc>
          <w:tcPr>
            <w:tcW w:w="0" w:type="auto"/>
            <w:hideMark/>
          </w:tcPr>
          <w:p w14:paraId="3A5DA4B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0.09</w:t>
            </w:r>
          </w:p>
        </w:tc>
        <w:tc>
          <w:tcPr>
            <w:tcW w:w="0" w:type="auto"/>
            <w:hideMark/>
          </w:tcPr>
          <w:p w14:paraId="3585F86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0.36</w:t>
            </w:r>
          </w:p>
        </w:tc>
      </w:tr>
      <w:tr w:rsidR="004F784C" w:rsidRPr="0087554B" w14:paraId="18E9CAD8" w14:textId="77777777" w:rsidTr="00603DEF">
        <w:trPr>
          <w:cantSplit/>
        </w:trPr>
        <w:tc>
          <w:tcPr>
            <w:tcW w:w="986" w:type="dxa"/>
            <w:hideMark/>
          </w:tcPr>
          <w:p w14:paraId="13A7C3D0"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2012-13</w:t>
            </w:r>
          </w:p>
        </w:tc>
        <w:tc>
          <w:tcPr>
            <w:tcW w:w="1079" w:type="dxa"/>
            <w:hideMark/>
          </w:tcPr>
          <w:p w14:paraId="260FB57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3.58</w:t>
            </w:r>
          </w:p>
        </w:tc>
        <w:tc>
          <w:tcPr>
            <w:tcW w:w="1080" w:type="dxa"/>
            <w:hideMark/>
          </w:tcPr>
          <w:p w14:paraId="43B07057"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1.09</w:t>
            </w:r>
          </w:p>
        </w:tc>
        <w:tc>
          <w:tcPr>
            <w:tcW w:w="1335" w:type="dxa"/>
            <w:hideMark/>
          </w:tcPr>
          <w:p w14:paraId="62D28D99"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0.73</w:t>
            </w:r>
          </w:p>
        </w:tc>
        <w:tc>
          <w:tcPr>
            <w:tcW w:w="0" w:type="auto"/>
            <w:hideMark/>
          </w:tcPr>
          <w:p w14:paraId="428F182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0.88</w:t>
            </w:r>
          </w:p>
        </w:tc>
        <w:tc>
          <w:tcPr>
            <w:tcW w:w="0" w:type="auto"/>
            <w:hideMark/>
          </w:tcPr>
          <w:p w14:paraId="069F37E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0.30</w:t>
            </w:r>
          </w:p>
        </w:tc>
        <w:tc>
          <w:tcPr>
            <w:tcW w:w="0" w:type="auto"/>
            <w:hideMark/>
          </w:tcPr>
          <w:p w14:paraId="2530BD0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0.09</w:t>
            </w:r>
          </w:p>
        </w:tc>
        <w:tc>
          <w:tcPr>
            <w:tcW w:w="0" w:type="auto"/>
            <w:hideMark/>
          </w:tcPr>
          <w:p w14:paraId="59CFEDF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0.34</w:t>
            </w:r>
          </w:p>
        </w:tc>
      </w:tr>
      <w:tr w:rsidR="004F784C" w:rsidRPr="0087554B" w14:paraId="056D38CE" w14:textId="77777777" w:rsidTr="00603DEF">
        <w:trPr>
          <w:cantSplit/>
        </w:trPr>
        <w:tc>
          <w:tcPr>
            <w:tcW w:w="986" w:type="dxa"/>
            <w:hideMark/>
          </w:tcPr>
          <w:p w14:paraId="5C178254"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2013-14</w:t>
            </w:r>
          </w:p>
        </w:tc>
        <w:tc>
          <w:tcPr>
            <w:tcW w:w="1079" w:type="dxa"/>
            <w:hideMark/>
          </w:tcPr>
          <w:p w14:paraId="0CEFC3C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4.49</w:t>
            </w:r>
          </w:p>
        </w:tc>
        <w:tc>
          <w:tcPr>
            <w:tcW w:w="1080" w:type="dxa"/>
            <w:hideMark/>
          </w:tcPr>
          <w:p w14:paraId="6535AAE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0.69</w:t>
            </w:r>
          </w:p>
        </w:tc>
        <w:tc>
          <w:tcPr>
            <w:tcW w:w="1335" w:type="dxa"/>
            <w:hideMark/>
          </w:tcPr>
          <w:p w14:paraId="56E9B64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0.50</w:t>
            </w:r>
          </w:p>
        </w:tc>
        <w:tc>
          <w:tcPr>
            <w:tcW w:w="0" w:type="auto"/>
            <w:hideMark/>
          </w:tcPr>
          <w:p w14:paraId="5F01DC1D"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0.67</w:t>
            </w:r>
          </w:p>
        </w:tc>
        <w:tc>
          <w:tcPr>
            <w:tcW w:w="0" w:type="auto"/>
            <w:hideMark/>
          </w:tcPr>
          <w:p w14:paraId="6566321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0.27</w:t>
            </w:r>
          </w:p>
        </w:tc>
        <w:tc>
          <w:tcPr>
            <w:tcW w:w="0" w:type="auto"/>
            <w:hideMark/>
          </w:tcPr>
          <w:p w14:paraId="1C9C1889"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0.06</w:t>
            </w:r>
          </w:p>
        </w:tc>
        <w:tc>
          <w:tcPr>
            <w:tcW w:w="0" w:type="auto"/>
            <w:hideMark/>
          </w:tcPr>
          <w:p w14:paraId="2B660F7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0.31</w:t>
            </w:r>
          </w:p>
        </w:tc>
      </w:tr>
      <w:tr w:rsidR="004F784C" w:rsidRPr="0087554B" w14:paraId="205EEFFE" w14:textId="77777777" w:rsidTr="00603DEF">
        <w:trPr>
          <w:cantSplit/>
        </w:trPr>
        <w:tc>
          <w:tcPr>
            <w:tcW w:w="986" w:type="dxa"/>
            <w:hideMark/>
          </w:tcPr>
          <w:p w14:paraId="4A28FD1E"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2014-15</w:t>
            </w:r>
          </w:p>
        </w:tc>
        <w:tc>
          <w:tcPr>
            <w:tcW w:w="1079" w:type="dxa"/>
            <w:hideMark/>
          </w:tcPr>
          <w:p w14:paraId="21835047"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4.70</w:t>
            </w:r>
          </w:p>
        </w:tc>
        <w:tc>
          <w:tcPr>
            <w:tcW w:w="1080" w:type="dxa"/>
            <w:hideMark/>
          </w:tcPr>
          <w:p w14:paraId="45AB683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0.63</w:t>
            </w:r>
          </w:p>
        </w:tc>
        <w:tc>
          <w:tcPr>
            <w:tcW w:w="1335" w:type="dxa"/>
            <w:hideMark/>
          </w:tcPr>
          <w:p w14:paraId="5BCAF20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0.47</w:t>
            </w:r>
          </w:p>
        </w:tc>
        <w:tc>
          <w:tcPr>
            <w:tcW w:w="0" w:type="auto"/>
            <w:hideMark/>
          </w:tcPr>
          <w:p w14:paraId="13B4F3A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0.60</w:t>
            </w:r>
          </w:p>
        </w:tc>
        <w:tc>
          <w:tcPr>
            <w:tcW w:w="0" w:type="auto"/>
            <w:hideMark/>
          </w:tcPr>
          <w:p w14:paraId="1FF33A9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0.26</w:t>
            </w:r>
          </w:p>
        </w:tc>
        <w:tc>
          <w:tcPr>
            <w:tcW w:w="0" w:type="auto"/>
            <w:hideMark/>
          </w:tcPr>
          <w:p w14:paraId="511B50D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0.06</w:t>
            </w:r>
          </w:p>
        </w:tc>
        <w:tc>
          <w:tcPr>
            <w:tcW w:w="0" w:type="auto"/>
            <w:hideMark/>
          </w:tcPr>
          <w:p w14:paraId="1FF8A1AB"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0.28</w:t>
            </w:r>
          </w:p>
        </w:tc>
      </w:tr>
      <w:tr w:rsidR="004F784C" w:rsidRPr="0087554B" w14:paraId="7357B2BA" w14:textId="77777777" w:rsidTr="00603DEF">
        <w:trPr>
          <w:cantSplit/>
        </w:trPr>
        <w:tc>
          <w:tcPr>
            <w:tcW w:w="986" w:type="dxa"/>
            <w:hideMark/>
          </w:tcPr>
          <w:p w14:paraId="7529B910"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2015-16</w:t>
            </w:r>
          </w:p>
        </w:tc>
        <w:tc>
          <w:tcPr>
            <w:tcW w:w="1079" w:type="dxa"/>
            <w:hideMark/>
          </w:tcPr>
          <w:p w14:paraId="5CAD9A3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4.67</w:t>
            </w:r>
          </w:p>
        </w:tc>
        <w:tc>
          <w:tcPr>
            <w:tcW w:w="1080" w:type="dxa"/>
            <w:hideMark/>
          </w:tcPr>
          <w:p w14:paraId="0B011B8D"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0.65</w:t>
            </w:r>
          </w:p>
        </w:tc>
        <w:tc>
          <w:tcPr>
            <w:tcW w:w="1335" w:type="dxa"/>
            <w:hideMark/>
          </w:tcPr>
          <w:p w14:paraId="448AAA3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0.51</w:t>
            </w:r>
          </w:p>
        </w:tc>
        <w:tc>
          <w:tcPr>
            <w:tcW w:w="0" w:type="auto"/>
            <w:hideMark/>
          </w:tcPr>
          <w:p w14:paraId="16B0F07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0.59</w:t>
            </w:r>
          </w:p>
        </w:tc>
        <w:tc>
          <w:tcPr>
            <w:tcW w:w="0" w:type="auto"/>
            <w:hideMark/>
          </w:tcPr>
          <w:p w14:paraId="1D0537E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0.25</w:t>
            </w:r>
          </w:p>
        </w:tc>
        <w:tc>
          <w:tcPr>
            <w:tcW w:w="0" w:type="auto"/>
            <w:hideMark/>
          </w:tcPr>
          <w:p w14:paraId="6C3E87B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0.07</w:t>
            </w:r>
          </w:p>
        </w:tc>
        <w:tc>
          <w:tcPr>
            <w:tcW w:w="0" w:type="auto"/>
            <w:hideMark/>
          </w:tcPr>
          <w:p w14:paraId="35EA29F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0.27</w:t>
            </w:r>
          </w:p>
        </w:tc>
      </w:tr>
      <w:tr w:rsidR="004F784C" w:rsidRPr="0087554B" w14:paraId="66EB9305" w14:textId="77777777" w:rsidTr="00603DEF">
        <w:trPr>
          <w:cantSplit/>
        </w:trPr>
        <w:tc>
          <w:tcPr>
            <w:tcW w:w="986" w:type="dxa"/>
            <w:hideMark/>
          </w:tcPr>
          <w:p w14:paraId="067081E9"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2016-17</w:t>
            </w:r>
          </w:p>
        </w:tc>
        <w:tc>
          <w:tcPr>
            <w:tcW w:w="1079" w:type="dxa"/>
            <w:hideMark/>
          </w:tcPr>
          <w:p w14:paraId="2534705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4.45</w:t>
            </w:r>
          </w:p>
        </w:tc>
        <w:tc>
          <w:tcPr>
            <w:tcW w:w="1080" w:type="dxa"/>
            <w:hideMark/>
          </w:tcPr>
          <w:p w14:paraId="67C6388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0.81</w:t>
            </w:r>
          </w:p>
        </w:tc>
        <w:tc>
          <w:tcPr>
            <w:tcW w:w="1335" w:type="dxa"/>
            <w:hideMark/>
          </w:tcPr>
          <w:p w14:paraId="3A748AF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0.48</w:t>
            </w:r>
          </w:p>
        </w:tc>
        <w:tc>
          <w:tcPr>
            <w:tcW w:w="0" w:type="auto"/>
            <w:hideMark/>
          </w:tcPr>
          <w:p w14:paraId="2403BE0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0.66</w:t>
            </w:r>
          </w:p>
        </w:tc>
        <w:tc>
          <w:tcPr>
            <w:tcW w:w="0" w:type="auto"/>
            <w:hideMark/>
          </w:tcPr>
          <w:p w14:paraId="3E9D26D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0.28</w:t>
            </w:r>
          </w:p>
        </w:tc>
        <w:tc>
          <w:tcPr>
            <w:tcW w:w="0" w:type="auto"/>
            <w:hideMark/>
          </w:tcPr>
          <w:p w14:paraId="2DE9122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0.06</w:t>
            </w:r>
          </w:p>
        </w:tc>
        <w:tc>
          <w:tcPr>
            <w:tcW w:w="0" w:type="auto"/>
            <w:hideMark/>
          </w:tcPr>
          <w:p w14:paraId="616B280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0.27</w:t>
            </w:r>
          </w:p>
        </w:tc>
      </w:tr>
      <w:tr w:rsidR="004F784C" w:rsidRPr="0087554B" w14:paraId="07567F51" w14:textId="77777777" w:rsidTr="00603DEF">
        <w:trPr>
          <w:cantSplit/>
        </w:trPr>
        <w:tc>
          <w:tcPr>
            <w:tcW w:w="986" w:type="dxa"/>
            <w:hideMark/>
          </w:tcPr>
          <w:p w14:paraId="76741808"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2017-18</w:t>
            </w:r>
          </w:p>
        </w:tc>
        <w:tc>
          <w:tcPr>
            <w:tcW w:w="1079" w:type="dxa"/>
            <w:hideMark/>
          </w:tcPr>
          <w:p w14:paraId="5ECAD65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4.77</w:t>
            </w:r>
          </w:p>
        </w:tc>
        <w:tc>
          <w:tcPr>
            <w:tcW w:w="1080" w:type="dxa"/>
            <w:hideMark/>
          </w:tcPr>
          <w:p w14:paraId="268E26D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0.66</w:t>
            </w:r>
          </w:p>
        </w:tc>
        <w:tc>
          <w:tcPr>
            <w:tcW w:w="1335" w:type="dxa"/>
            <w:hideMark/>
          </w:tcPr>
          <w:p w14:paraId="3673FDE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0.41</w:t>
            </w:r>
          </w:p>
        </w:tc>
        <w:tc>
          <w:tcPr>
            <w:tcW w:w="0" w:type="auto"/>
            <w:hideMark/>
          </w:tcPr>
          <w:p w14:paraId="1ADFBEC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0.60</w:t>
            </w:r>
          </w:p>
        </w:tc>
        <w:tc>
          <w:tcPr>
            <w:tcW w:w="0" w:type="auto"/>
            <w:hideMark/>
          </w:tcPr>
          <w:p w14:paraId="14A61BC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0.26</w:t>
            </w:r>
          </w:p>
        </w:tc>
        <w:tc>
          <w:tcPr>
            <w:tcW w:w="0" w:type="auto"/>
            <w:hideMark/>
          </w:tcPr>
          <w:p w14:paraId="4383779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0.06</w:t>
            </w:r>
          </w:p>
        </w:tc>
        <w:tc>
          <w:tcPr>
            <w:tcW w:w="0" w:type="auto"/>
            <w:hideMark/>
          </w:tcPr>
          <w:p w14:paraId="258F590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0.24</w:t>
            </w:r>
          </w:p>
        </w:tc>
      </w:tr>
      <w:tr w:rsidR="004F784C" w:rsidRPr="0087554B" w14:paraId="5584D866" w14:textId="77777777" w:rsidTr="00603DEF">
        <w:trPr>
          <w:cantSplit/>
        </w:trPr>
        <w:tc>
          <w:tcPr>
            <w:tcW w:w="986" w:type="dxa"/>
            <w:hideMark/>
          </w:tcPr>
          <w:p w14:paraId="1C5EF4E2"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2018-19</w:t>
            </w:r>
          </w:p>
        </w:tc>
        <w:tc>
          <w:tcPr>
            <w:tcW w:w="1079" w:type="dxa"/>
            <w:hideMark/>
          </w:tcPr>
          <w:p w14:paraId="01E54D4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4.81</w:t>
            </w:r>
          </w:p>
        </w:tc>
        <w:tc>
          <w:tcPr>
            <w:tcW w:w="1080" w:type="dxa"/>
            <w:hideMark/>
          </w:tcPr>
          <w:p w14:paraId="54D1979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0.65</w:t>
            </w:r>
          </w:p>
        </w:tc>
        <w:tc>
          <w:tcPr>
            <w:tcW w:w="1335" w:type="dxa"/>
            <w:hideMark/>
          </w:tcPr>
          <w:p w14:paraId="07B0978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0.41</w:t>
            </w:r>
          </w:p>
        </w:tc>
        <w:tc>
          <w:tcPr>
            <w:tcW w:w="0" w:type="auto"/>
            <w:hideMark/>
          </w:tcPr>
          <w:p w14:paraId="1CB1FE9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0.58</w:t>
            </w:r>
          </w:p>
        </w:tc>
        <w:tc>
          <w:tcPr>
            <w:tcW w:w="0" w:type="auto"/>
            <w:hideMark/>
          </w:tcPr>
          <w:p w14:paraId="737FE96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0.26</w:t>
            </w:r>
          </w:p>
        </w:tc>
        <w:tc>
          <w:tcPr>
            <w:tcW w:w="0" w:type="auto"/>
            <w:hideMark/>
          </w:tcPr>
          <w:p w14:paraId="0D2AD1E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0.05</w:t>
            </w:r>
          </w:p>
        </w:tc>
        <w:tc>
          <w:tcPr>
            <w:tcW w:w="0" w:type="auto"/>
            <w:hideMark/>
          </w:tcPr>
          <w:p w14:paraId="3EC2E2D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0.24</w:t>
            </w:r>
          </w:p>
        </w:tc>
      </w:tr>
      <w:tr w:rsidR="004F784C" w:rsidRPr="0087554B" w14:paraId="0ECEE3C3" w14:textId="77777777" w:rsidTr="00603DEF">
        <w:trPr>
          <w:cantSplit/>
        </w:trPr>
        <w:tc>
          <w:tcPr>
            <w:tcW w:w="986" w:type="dxa"/>
            <w:hideMark/>
          </w:tcPr>
          <w:p w14:paraId="646EA4C8"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2019-20</w:t>
            </w:r>
          </w:p>
        </w:tc>
        <w:tc>
          <w:tcPr>
            <w:tcW w:w="1079" w:type="dxa"/>
            <w:hideMark/>
          </w:tcPr>
          <w:p w14:paraId="03B483C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5.12</w:t>
            </w:r>
          </w:p>
        </w:tc>
        <w:tc>
          <w:tcPr>
            <w:tcW w:w="1080" w:type="dxa"/>
            <w:hideMark/>
          </w:tcPr>
          <w:p w14:paraId="3F30D53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0.53</w:t>
            </w:r>
          </w:p>
        </w:tc>
        <w:tc>
          <w:tcPr>
            <w:tcW w:w="1335" w:type="dxa"/>
            <w:hideMark/>
          </w:tcPr>
          <w:p w14:paraId="4F7184D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0.33</w:t>
            </w:r>
          </w:p>
        </w:tc>
        <w:tc>
          <w:tcPr>
            <w:tcW w:w="0" w:type="auto"/>
            <w:hideMark/>
          </w:tcPr>
          <w:p w14:paraId="5101F35D"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0.50</w:t>
            </w:r>
          </w:p>
        </w:tc>
        <w:tc>
          <w:tcPr>
            <w:tcW w:w="0" w:type="auto"/>
            <w:hideMark/>
          </w:tcPr>
          <w:p w14:paraId="52E206A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0.26</w:t>
            </w:r>
          </w:p>
        </w:tc>
        <w:tc>
          <w:tcPr>
            <w:tcW w:w="0" w:type="auto"/>
            <w:hideMark/>
          </w:tcPr>
          <w:p w14:paraId="44264CF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0.04</w:t>
            </w:r>
          </w:p>
        </w:tc>
        <w:tc>
          <w:tcPr>
            <w:tcW w:w="0" w:type="auto"/>
            <w:hideMark/>
          </w:tcPr>
          <w:p w14:paraId="0C64B70B"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0.23</w:t>
            </w:r>
          </w:p>
        </w:tc>
      </w:tr>
      <w:tr w:rsidR="004F784C" w:rsidRPr="0087554B" w14:paraId="375DDCBE" w14:textId="77777777" w:rsidTr="00603DEF">
        <w:trPr>
          <w:cantSplit/>
        </w:trPr>
        <w:tc>
          <w:tcPr>
            <w:tcW w:w="986" w:type="dxa"/>
            <w:hideMark/>
          </w:tcPr>
          <w:p w14:paraId="32045D3F"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2020-21</w:t>
            </w:r>
          </w:p>
        </w:tc>
        <w:tc>
          <w:tcPr>
            <w:tcW w:w="1079" w:type="dxa"/>
            <w:hideMark/>
          </w:tcPr>
          <w:p w14:paraId="6C7A169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5.20</w:t>
            </w:r>
          </w:p>
        </w:tc>
        <w:tc>
          <w:tcPr>
            <w:tcW w:w="1080" w:type="dxa"/>
            <w:hideMark/>
          </w:tcPr>
          <w:p w14:paraId="22C0D35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0.46</w:t>
            </w:r>
          </w:p>
        </w:tc>
        <w:tc>
          <w:tcPr>
            <w:tcW w:w="1335" w:type="dxa"/>
            <w:hideMark/>
          </w:tcPr>
          <w:p w14:paraId="5A7813C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0.35</w:t>
            </w:r>
          </w:p>
        </w:tc>
        <w:tc>
          <w:tcPr>
            <w:tcW w:w="0" w:type="auto"/>
            <w:hideMark/>
          </w:tcPr>
          <w:p w14:paraId="4B9AD5F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0.49</w:t>
            </w:r>
          </w:p>
        </w:tc>
        <w:tc>
          <w:tcPr>
            <w:tcW w:w="0" w:type="auto"/>
            <w:hideMark/>
          </w:tcPr>
          <w:p w14:paraId="0E0E379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0.28</w:t>
            </w:r>
          </w:p>
        </w:tc>
        <w:tc>
          <w:tcPr>
            <w:tcW w:w="0" w:type="auto"/>
            <w:hideMark/>
          </w:tcPr>
          <w:p w14:paraId="5276BEA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0.03</w:t>
            </w:r>
          </w:p>
        </w:tc>
        <w:tc>
          <w:tcPr>
            <w:tcW w:w="0" w:type="auto"/>
            <w:hideMark/>
          </w:tcPr>
          <w:p w14:paraId="307C9B4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0.18</w:t>
            </w:r>
          </w:p>
        </w:tc>
      </w:tr>
      <w:tr w:rsidR="004F784C" w:rsidRPr="0087554B" w14:paraId="4F5C7046" w14:textId="77777777" w:rsidTr="00603DEF">
        <w:trPr>
          <w:cantSplit/>
        </w:trPr>
        <w:tc>
          <w:tcPr>
            <w:tcW w:w="986" w:type="dxa"/>
            <w:hideMark/>
          </w:tcPr>
          <w:p w14:paraId="26EA38B8"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2021-22</w:t>
            </w:r>
          </w:p>
        </w:tc>
        <w:tc>
          <w:tcPr>
            <w:tcW w:w="1079" w:type="dxa"/>
            <w:hideMark/>
          </w:tcPr>
          <w:p w14:paraId="028EC09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5.27</w:t>
            </w:r>
          </w:p>
        </w:tc>
        <w:tc>
          <w:tcPr>
            <w:tcW w:w="1080" w:type="dxa"/>
            <w:hideMark/>
          </w:tcPr>
          <w:p w14:paraId="397E265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0.42</w:t>
            </w:r>
          </w:p>
        </w:tc>
        <w:tc>
          <w:tcPr>
            <w:tcW w:w="1335" w:type="dxa"/>
            <w:hideMark/>
          </w:tcPr>
          <w:p w14:paraId="37926D4B"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0.30</w:t>
            </w:r>
          </w:p>
        </w:tc>
        <w:tc>
          <w:tcPr>
            <w:tcW w:w="0" w:type="auto"/>
            <w:hideMark/>
          </w:tcPr>
          <w:p w14:paraId="0777A6D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0.56</w:t>
            </w:r>
          </w:p>
        </w:tc>
        <w:tc>
          <w:tcPr>
            <w:tcW w:w="0" w:type="auto"/>
            <w:hideMark/>
          </w:tcPr>
          <w:p w14:paraId="14497D9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0.23</w:t>
            </w:r>
          </w:p>
        </w:tc>
        <w:tc>
          <w:tcPr>
            <w:tcW w:w="0" w:type="auto"/>
            <w:hideMark/>
          </w:tcPr>
          <w:p w14:paraId="62632B9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0.04</w:t>
            </w:r>
          </w:p>
        </w:tc>
        <w:tc>
          <w:tcPr>
            <w:tcW w:w="0" w:type="auto"/>
            <w:hideMark/>
          </w:tcPr>
          <w:p w14:paraId="118C531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0.18</w:t>
            </w:r>
          </w:p>
        </w:tc>
      </w:tr>
      <w:tr w:rsidR="004F784C" w:rsidRPr="0087554B" w14:paraId="56D4FD6B" w14:textId="77777777" w:rsidTr="00603DEF">
        <w:trPr>
          <w:cantSplit/>
        </w:trPr>
        <w:tc>
          <w:tcPr>
            <w:tcW w:w="986" w:type="dxa"/>
            <w:hideMark/>
          </w:tcPr>
          <w:p w14:paraId="284BFBE2"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2022-23</w:t>
            </w:r>
          </w:p>
        </w:tc>
        <w:tc>
          <w:tcPr>
            <w:tcW w:w="1079" w:type="dxa"/>
            <w:hideMark/>
          </w:tcPr>
          <w:p w14:paraId="060AC76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4.71</w:t>
            </w:r>
          </w:p>
        </w:tc>
        <w:tc>
          <w:tcPr>
            <w:tcW w:w="1080" w:type="dxa"/>
            <w:hideMark/>
          </w:tcPr>
          <w:p w14:paraId="669053AB"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0.62</w:t>
            </w:r>
          </w:p>
        </w:tc>
        <w:tc>
          <w:tcPr>
            <w:tcW w:w="1335" w:type="dxa"/>
            <w:hideMark/>
          </w:tcPr>
          <w:p w14:paraId="49E6A92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0.35</w:t>
            </w:r>
          </w:p>
        </w:tc>
        <w:tc>
          <w:tcPr>
            <w:tcW w:w="0" w:type="auto"/>
            <w:hideMark/>
          </w:tcPr>
          <w:p w14:paraId="30F320F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0.73</w:t>
            </w:r>
          </w:p>
        </w:tc>
        <w:tc>
          <w:tcPr>
            <w:tcW w:w="0" w:type="auto"/>
            <w:hideMark/>
          </w:tcPr>
          <w:p w14:paraId="7A43A21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0.31</w:t>
            </w:r>
          </w:p>
        </w:tc>
        <w:tc>
          <w:tcPr>
            <w:tcW w:w="0" w:type="auto"/>
            <w:hideMark/>
          </w:tcPr>
          <w:p w14:paraId="0FAEB68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0.06</w:t>
            </w:r>
          </w:p>
        </w:tc>
        <w:tc>
          <w:tcPr>
            <w:tcW w:w="0" w:type="auto"/>
            <w:hideMark/>
          </w:tcPr>
          <w:p w14:paraId="3C9C64D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0.22</w:t>
            </w:r>
          </w:p>
        </w:tc>
      </w:tr>
      <w:tr w:rsidR="004F784C" w:rsidRPr="0087554B" w14:paraId="6369D38C" w14:textId="77777777" w:rsidTr="00603DEF">
        <w:trPr>
          <w:cantSplit/>
        </w:trPr>
        <w:tc>
          <w:tcPr>
            <w:tcW w:w="986" w:type="dxa"/>
            <w:hideMark/>
          </w:tcPr>
          <w:p w14:paraId="440ADAFF"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2023-24</w:t>
            </w:r>
          </w:p>
        </w:tc>
        <w:tc>
          <w:tcPr>
            <w:tcW w:w="1079" w:type="dxa"/>
            <w:hideMark/>
          </w:tcPr>
          <w:p w14:paraId="6F803C67"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4.64</w:t>
            </w:r>
          </w:p>
        </w:tc>
        <w:tc>
          <w:tcPr>
            <w:tcW w:w="1080" w:type="dxa"/>
            <w:hideMark/>
          </w:tcPr>
          <w:p w14:paraId="259A3E7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0.66</w:t>
            </w:r>
          </w:p>
        </w:tc>
        <w:tc>
          <w:tcPr>
            <w:tcW w:w="1335" w:type="dxa"/>
            <w:hideMark/>
          </w:tcPr>
          <w:p w14:paraId="295B4F99"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0.38</w:t>
            </w:r>
          </w:p>
        </w:tc>
        <w:tc>
          <w:tcPr>
            <w:tcW w:w="0" w:type="auto"/>
            <w:hideMark/>
          </w:tcPr>
          <w:p w14:paraId="2F09576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0.74</w:t>
            </w:r>
          </w:p>
        </w:tc>
        <w:tc>
          <w:tcPr>
            <w:tcW w:w="0" w:type="auto"/>
            <w:hideMark/>
          </w:tcPr>
          <w:p w14:paraId="146BEF4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0.31</w:t>
            </w:r>
          </w:p>
        </w:tc>
        <w:tc>
          <w:tcPr>
            <w:tcW w:w="0" w:type="auto"/>
            <w:hideMark/>
          </w:tcPr>
          <w:p w14:paraId="0BC83CB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0.06</w:t>
            </w:r>
          </w:p>
        </w:tc>
        <w:tc>
          <w:tcPr>
            <w:tcW w:w="0" w:type="auto"/>
            <w:hideMark/>
          </w:tcPr>
          <w:p w14:paraId="1BCEB10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0.21</w:t>
            </w:r>
          </w:p>
        </w:tc>
      </w:tr>
    </w:tbl>
    <w:p w14:paraId="6DE58DAE" w14:textId="77777777" w:rsidR="004F784C" w:rsidRPr="00603DEF" w:rsidRDefault="004F784C" w:rsidP="004F784C">
      <w:pPr>
        <w:jc w:val="both"/>
        <w:rPr>
          <w:rFonts w:ascii="Arial" w:eastAsia="Calibri" w:hAnsi="Arial" w:cs="Arial"/>
          <w:sz w:val="24"/>
          <w:szCs w:val="24"/>
          <w:lang w:bidi="gu-IN"/>
        </w:rPr>
      </w:pPr>
    </w:p>
    <w:p w14:paraId="1A7934AA" w14:textId="77777777" w:rsidR="004F784C" w:rsidRPr="0087554B" w:rsidRDefault="0087554B" w:rsidP="00D412B7">
      <w:pPr>
        <w:spacing w:after="120"/>
        <w:jc w:val="both"/>
        <w:rPr>
          <w:rFonts w:ascii="Arial" w:eastAsia="Calibri" w:hAnsi="Arial" w:cs="Arial"/>
          <w:b/>
          <w:bCs/>
          <w:lang w:bidi="gu-IN"/>
        </w:rPr>
      </w:pPr>
      <w:r>
        <w:rPr>
          <w:rFonts w:ascii="Arial" w:eastAsia="Calibri" w:hAnsi="Arial" w:cs="Arial"/>
          <w:b/>
          <w:bCs/>
          <w:lang w:bidi="gu-IN"/>
        </w:rPr>
        <w:t xml:space="preserve">3.2 </w:t>
      </w:r>
      <w:r w:rsidR="004F784C" w:rsidRPr="0087554B">
        <w:rPr>
          <w:rFonts w:ascii="Arial" w:eastAsia="Calibri" w:hAnsi="Arial" w:cs="Arial"/>
          <w:b/>
          <w:bCs/>
          <w:lang w:bidi="gu-IN"/>
        </w:rPr>
        <w:t>Market Retention and Direction of Trade</w:t>
      </w:r>
    </w:p>
    <w:p w14:paraId="36E61954" w14:textId="1B679E65" w:rsidR="004F784C" w:rsidRPr="0087554B" w:rsidRDefault="004F784C" w:rsidP="0087554B">
      <w:pPr>
        <w:jc w:val="both"/>
        <w:rPr>
          <w:rFonts w:ascii="Arial" w:eastAsia="Calibri" w:hAnsi="Arial" w:cs="Arial"/>
          <w:sz w:val="20"/>
          <w:szCs w:val="20"/>
          <w:lang w:bidi="gu-IN"/>
        </w:rPr>
      </w:pPr>
      <w:r w:rsidRPr="0087554B">
        <w:rPr>
          <w:rFonts w:ascii="Arial" w:eastAsia="Calibri" w:hAnsi="Arial" w:cs="Arial"/>
          <w:sz w:val="20"/>
          <w:szCs w:val="20"/>
          <w:lang w:bidi="gu-IN"/>
        </w:rPr>
        <w:t>The first-order Markov Chain analysis provides insights into the stability and directional shifts of India’s marine product exports across major destination markets. The transition probability matrix captures market loyalty through diagonal elements (retention probabilities) and inter-market shifts through off-diagonal elements (Kalaiarasi and Kavithambika, 2024). Results are discussed for two sub-periods (2004-05 to 2013-14 and 2014-15 to 2023-24) and for the overall period.</w:t>
      </w:r>
      <w:r w:rsidR="00E60B75">
        <w:rPr>
          <w:rFonts w:ascii="Arial" w:eastAsia="Calibri" w:hAnsi="Arial" w:cs="Arial"/>
          <w:sz w:val="20"/>
          <w:szCs w:val="20"/>
          <w:lang w:bidi="gu-IN"/>
        </w:rPr>
        <w:t xml:space="preserve"> </w:t>
      </w:r>
      <w:r w:rsidR="00E60B75" w:rsidRPr="00E60B75">
        <w:rPr>
          <w:rFonts w:ascii="Arial" w:eastAsia="Calibri" w:hAnsi="Arial" w:cs="Arial"/>
          <w:sz w:val="20"/>
          <w:szCs w:val="20"/>
          <w:lang w:bidi="gu-IN"/>
        </w:rPr>
        <w:t>The steady-state distribution derived from the transition matrix indicates that South East Asia is likely to remain the dominant long-run market, followed by China, while the relative importance of traditional markets such as the European Union and Japan is expected to decline.</w:t>
      </w:r>
      <w:r w:rsidR="00DF584F">
        <w:rPr>
          <w:rFonts w:ascii="Arial" w:eastAsia="Calibri" w:hAnsi="Arial" w:cs="Arial"/>
          <w:sz w:val="20"/>
          <w:szCs w:val="20"/>
          <w:lang w:bidi="gu-IN"/>
        </w:rPr>
        <w:t xml:space="preserve"> </w:t>
      </w:r>
      <w:r w:rsidR="00DF584F" w:rsidRPr="00DF584F">
        <w:rPr>
          <w:rFonts w:ascii="Arial" w:eastAsia="Calibri" w:hAnsi="Arial" w:cs="Arial"/>
          <w:sz w:val="20"/>
          <w:szCs w:val="20"/>
          <w:lang w:bidi="gu-IN"/>
        </w:rPr>
        <w:t>The occurrence of extreme transition probabilities (values close to 0 or 1) indicates strong structural shifts or complete market reallocation during specific periods, reflecting changing trade preferences and market conditions.</w:t>
      </w:r>
    </w:p>
    <w:p w14:paraId="34666E81" w14:textId="77777777" w:rsidR="00D412B7" w:rsidRDefault="00D412B7" w:rsidP="004F784C">
      <w:pPr>
        <w:jc w:val="both"/>
        <w:rPr>
          <w:rFonts w:ascii="Arial" w:eastAsia="Calibri" w:hAnsi="Arial" w:cs="Arial"/>
          <w:b/>
          <w:bCs/>
          <w:sz w:val="20"/>
          <w:szCs w:val="20"/>
          <w:lang w:bidi="gu-IN"/>
        </w:rPr>
      </w:pPr>
    </w:p>
    <w:p w14:paraId="58AA0D2C" w14:textId="77777777" w:rsidR="004F784C" w:rsidRPr="00DD1686" w:rsidRDefault="00DD1686" w:rsidP="00D412B7">
      <w:pPr>
        <w:spacing w:after="120"/>
        <w:jc w:val="both"/>
        <w:rPr>
          <w:rFonts w:ascii="Arial" w:eastAsia="Calibri" w:hAnsi="Arial" w:cs="Arial"/>
          <w:b/>
          <w:bCs/>
          <w:sz w:val="20"/>
          <w:szCs w:val="20"/>
          <w:lang w:bidi="gu-IN"/>
        </w:rPr>
      </w:pPr>
      <w:r>
        <w:rPr>
          <w:rFonts w:ascii="Arial" w:eastAsia="Calibri" w:hAnsi="Arial" w:cs="Arial"/>
          <w:b/>
          <w:bCs/>
          <w:sz w:val="20"/>
          <w:szCs w:val="20"/>
          <w:lang w:bidi="gu-IN"/>
        </w:rPr>
        <w:t xml:space="preserve">3.2.1 </w:t>
      </w:r>
      <w:r w:rsidRPr="00DD1686">
        <w:rPr>
          <w:rFonts w:ascii="Arial" w:eastAsia="Calibri" w:hAnsi="Arial" w:cs="Arial"/>
          <w:b/>
          <w:bCs/>
          <w:sz w:val="20"/>
          <w:szCs w:val="20"/>
          <w:lang w:bidi="gu-IN"/>
        </w:rPr>
        <w:t>Market s</w:t>
      </w:r>
      <w:r w:rsidR="004F784C" w:rsidRPr="00DD1686">
        <w:rPr>
          <w:rFonts w:ascii="Arial" w:eastAsia="Calibri" w:hAnsi="Arial" w:cs="Arial"/>
          <w:b/>
          <w:bCs/>
          <w:sz w:val="20"/>
          <w:szCs w:val="20"/>
          <w:lang w:bidi="gu-IN"/>
        </w:rPr>
        <w:t>tability</w:t>
      </w:r>
    </w:p>
    <w:p w14:paraId="0EC847AD"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During the first period (2004-05 to 2013-14), market stability was relatively strong. South East Asia (SEA) recorded the highest retention probability (0.8389), indicating a highly dependable market. China (0.6099), the Middle East (0.6172), the European Union (0.5538), Japan (0.5351), and the United States (0.5210) also showed moderate stability. Although no market achieved complete retention, the relatively high diagonal values suggest sustained trade relationships and steady demand conditions (Das and Ghosh, 2021; Ramadhan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2024).</w:t>
      </w:r>
    </w:p>
    <w:p w14:paraId="34726089"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In the second period (2014-15 to 2023-24), stability patterns changed. Japan recorded zero retention, with its export share shifting entirely to the European Union (1.0000), indicating structural realignment. The USA (0.5864) and China (0.5413) maintained moderate retention, while SEA recorded 0.4872. In contrast, the EU’s retention probability </w:t>
      </w:r>
      <w:r w:rsidRPr="0087554B">
        <w:rPr>
          <w:rFonts w:ascii="Arial" w:eastAsia="Calibri" w:hAnsi="Arial" w:cs="Arial"/>
          <w:sz w:val="20"/>
          <w:szCs w:val="20"/>
          <w:lang w:bidi="gu-IN"/>
        </w:rPr>
        <w:lastRenderedPageBreak/>
        <w:t>declined sharply to 0.0823, with a dominant shift toward SEA (0.8817). These results reflect a gradual reorientation of India’s marine exports toward Asian markets amid evolving global demand patterns.</w:t>
      </w:r>
    </w:p>
    <w:p w14:paraId="22EE3373" w14:textId="77777777" w:rsidR="004F784C" w:rsidRPr="0087554B" w:rsidRDefault="004F784C" w:rsidP="00DD1686">
      <w:pPr>
        <w:jc w:val="both"/>
        <w:rPr>
          <w:rFonts w:ascii="Arial" w:eastAsia="Calibri" w:hAnsi="Arial" w:cs="Arial"/>
          <w:sz w:val="20"/>
          <w:szCs w:val="20"/>
          <w:lang w:bidi="gu-IN"/>
        </w:rPr>
      </w:pPr>
      <w:r w:rsidRPr="0087554B">
        <w:rPr>
          <w:rFonts w:ascii="Arial" w:eastAsia="Calibri" w:hAnsi="Arial" w:cs="Arial"/>
          <w:sz w:val="20"/>
          <w:szCs w:val="20"/>
          <w:lang w:bidi="gu-IN"/>
        </w:rPr>
        <w:t xml:space="preserve">Over the entire study period, retention probabilities were more evenly distributed (0.0466-0.3306). SEA recorded the highest long-run retention (0.3306), followed by China (0.1221), while other markets showed relatively lower and similar values. This suggests reduced long-term dependence on any single destination and increasing diversification of export markets (Thorat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2020; Kalaiarasi and Kavithambika, 2024).</w:t>
      </w:r>
    </w:p>
    <w:p w14:paraId="273887CA" w14:textId="77777777" w:rsidR="00DD1686" w:rsidRDefault="00DD1686" w:rsidP="004F784C">
      <w:pPr>
        <w:jc w:val="both"/>
        <w:rPr>
          <w:rFonts w:ascii="Arial" w:eastAsia="Calibri" w:hAnsi="Arial" w:cs="Arial"/>
          <w:b/>
          <w:bCs/>
          <w:sz w:val="20"/>
          <w:szCs w:val="20"/>
          <w:lang w:bidi="gu-IN"/>
        </w:rPr>
      </w:pPr>
    </w:p>
    <w:p w14:paraId="3EBE0F06" w14:textId="77777777" w:rsidR="004F784C" w:rsidRPr="00DD1686" w:rsidRDefault="00DD1686" w:rsidP="00D412B7">
      <w:pPr>
        <w:spacing w:after="120"/>
        <w:jc w:val="both"/>
        <w:rPr>
          <w:rFonts w:ascii="Arial" w:eastAsia="Calibri" w:hAnsi="Arial" w:cs="Arial"/>
          <w:b/>
          <w:bCs/>
          <w:sz w:val="20"/>
          <w:szCs w:val="20"/>
          <w:lang w:bidi="gu-IN"/>
        </w:rPr>
      </w:pPr>
      <w:r>
        <w:rPr>
          <w:rFonts w:ascii="Arial" w:eastAsia="Calibri" w:hAnsi="Arial" w:cs="Arial"/>
          <w:b/>
          <w:bCs/>
          <w:sz w:val="20"/>
          <w:szCs w:val="20"/>
          <w:lang w:bidi="gu-IN"/>
        </w:rPr>
        <w:t xml:space="preserve">3.2.2 </w:t>
      </w:r>
      <w:r w:rsidR="004F784C" w:rsidRPr="00DD1686">
        <w:rPr>
          <w:rFonts w:ascii="Arial" w:eastAsia="Calibri" w:hAnsi="Arial" w:cs="Arial"/>
          <w:b/>
          <w:bCs/>
          <w:sz w:val="20"/>
          <w:szCs w:val="20"/>
          <w:lang w:bidi="gu-IN"/>
        </w:rPr>
        <w:t>Market Transition Dynamics</w:t>
      </w:r>
    </w:p>
    <w:p w14:paraId="1C532D54" w14:textId="77777777" w:rsidR="004F784C" w:rsidRPr="00DD1686" w:rsidRDefault="004F784C" w:rsidP="00D412B7">
      <w:pPr>
        <w:spacing w:after="120"/>
        <w:jc w:val="both"/>
        <w:rPr>
          <w:rFonts w:ascii="Arial" w:eastAsia="Calibri" w:hAnsi="Arial" w:cs="Arial"/>
          <w:sz w:val="20"/>
          <w:szCs w:val="20"/>
          <w:lang w:bidi="gu-IN"/>
        </w:rPr>
      </w:pPr>
      <w:r w:rsidRPr="00DD1686">
        <w:rPr>
          <w:rFonts w:ascii="Arial" w:eastAsia="Calibri" w:hAnsi="Arial" w:cs="Arial"/>
          <w:sz w:val="20"/>
          <w:szCs w:val="20"/>
          <w:lang w:bidi="gu-IN"/>
        </w:rPr>
        <w:t xml:space="preserve">The off-diagonal elements reveal significant inter-market movements. In the first period, exports from the USA showed a high probability of shifting to the EU (0.4487), indicating substitutability between these developed markets. The EU redirected notable shares toward China (0.2716) and the Middle East (0.0750), while China exhibited outward transitions to Japan (0.1525) and the EU (0.2168). The other markets category shifted substantially toward SEA (0.5499), reflecting consolidation in stable regional markets (Thorat </w:t>
      </w:r>
      <w:r w:rsidRPr="00DD1686">
        <w:rPr>
          <w:rFonts w:ascii="Arial" w:eastAsia="Calibri" w:hAnsi="Arial" w:cs="Arial"/>
          <w:i/>
          <w:iCs/>
          <w:sz w:val="20"/>
          <w:szCs w:val="20"/>
          <w:lang w:bidi="gu-IN"/>
        </w:rPr>
        <w:t>et al</w:t>
      </w:r>
      <w:r w:rsidRPr="00DD1686">
        <w:rPr>
          <w:rFonts w:ascii="Arial" w:eastAsia="Calibri" w:hAnsi="Arial" w:cs="Arial"/>
          <w:sz w:val="20"/>
          <w:szCs w:val="20"/>
          <w:lang w:bidi="gu-IN"/>
        </w:rPr>
        <w:t>., 2020; FAO, 2025).</w:t>
      </w:r>
    </w:p>
    <w:p w14:paraId="3DFEA251" w14:textId="77777777" w:rsidR="004F784C" w:rsidRPr="00DD1686" w:rsidRDefault="004F784C" w:rsidP="00D412B7">
      <w:pPr>
        <w:spacing w:after="120"/>
        <w:jc w:val="both"/>
        <w:rPr>
          <w:rFonts w:ascii="Arial" w:eastAsia="Calibri" w:hAnsi="Arial" w:cs="Arial"/>
          <w:sz w:val="20"/>
          <w:szCs w:val="20"/>
          <w:lang w:bidi="gu-IN"/>
        </w:rPr>
      </w:pPr>
      <w:r w:rsidRPr="00DD1686">
        <w:rPr>
          <w:rFonts w:ascii="Arial" w:eastAsia="Calibri" w:hAnsi="Arial" w:cs="Arial"/>
          <w:sz w:val="20"/>
          <w:szCs w:val="20"/>
          <w:lang w:bidi="gu-IN"/>
        </w:rPr>
        <w:t>In the second period, transitions intensified. The USA diversified toward China (0.2793) and Japan (0.0884), while China redistributed exports toward the USA (0.2313) and other markets (0.2028). SEA displayed multidirectional linkages, particularly with the USA (0.1978) and China (0.1123), underscoring its growing integration in global seafood trade. The EU’s dominant transition toward SEA (0.8817) further emphasized Asia’s rising importance.</w:t>
      </w:r>
    </w:p>
    <w:p w14:paraId="6CA5DD1B" w14:textId="77777777" w:rsidR="004F784C" w:rsidRDefault="004F784C" w:rsidP="00DD1686">
      <w:pPr>
        <w:jc w:val="both"/>
        <w:rPr>
          <w:rFonts w:ascii="Arial" w:eastAsia="Calibri" w:hAnsi="Arial" w:cs="Arial"/>
          <w:sz w:val="20"/>
          <w:szCs w:val="20"/>
          <w:lang w:bidi="gu-IN"/>
        </w:rPr>
      </w:pPr>
      <w:r w:rsidRPr="00DD1686">
        <w:rPr>
          <w:rFonts w:ascii="Arial" w:eastAsia="Calibri" w:hAnsi="Arial" w:cs="Arial"/>
          <w:sz w:val="20"/>
          <w:szCs w:val="20"/>
          <w:lang w:bidi="gu-IN"/>
        </w:rPr>
        <w:t>Across the full period, movements became more balanced, with consistent reallocations toward SEA (0.2227-0.3306 across rows). This pattern indicates a diversified export structure where trade flows are continuously adjusted rather than concentrated in a single dominant market.</w:t>
      </w:r>
    </w:p>
    <w:p w14:paraId="0005A07B" w14:textId="6258A1FA" w:rsidR="00DF584F" w:rsidRPr="00DD1686" w:rsidRDefault="00DF584F" w:rsidP="00DD1686">
      <w:pPr>
        <w:jc w:val="both"/>
        <w:rPr>
          <w:rFonts w:ascii="Arial" w:eastAsia="Calibri" w:hAnsi="Arial" w:cs="Arial"/>
          <w:sz w:val="20"/>
          <w:szCs w:val="20"/>
          <w:lang w:bidi="gu-IN"/>
        </w:rPr>
      </w:pPr>
      <w:r w:rsidRPr="00DF584F">
        <w:rPr>
          <w:rFonts w:ascii="Arial" w:eastAsia="Calibri" w:hAnsi="Arial" w:cs="Arial"/>
          <w:sz w:val="20"/>
          <w:szCs w:val="20"/>
          <w:lang w:bidi="gu-IN"/>
        </w:rPr>
        <w:t>The steady-state distribution indicates that South East Asia is likely to remain the dominant long-run destination, followed by China, while the relative importance of traditional markets such as the European Union and Japan is expected to decline.</w:t>
      </w:r>
    </w:p>
    <w:p w14:paraId="3220534A" w14:textId="77777777" w:rsidR="00DD1686" w:rsidRDefault="00DD1686" w:rsidP="004F784C">
      <w:pPr>
        <w:jc w:val="both"/>
        <w:rPr>
          <w:rFonts w:ascii="Arial" w:eastAsia="Calibri" w:hAnsi="Arial" w:cs="Arial"/>
          <w:b/>
          <w:bCs/>
          <w:sz w:val="20"/>
          <w:szCs w:val="20"/>
          <w:lang w:bidi="gu-IN"/>
        </w:rPr>
      </w:pPr>
    </w:p>
    <w:p w14:paraId="1D2808BD" w14:textId="77777777" w:rsidR="004F784C" w:rsidRPr="00C376DE" w:rsidRDefault="00DD1686" w:rsidP="00D412B7">
      <w:pPr>
        <w:spacing w:after="120"/>
        <w:jc w:val="both"/>
        <w:rPr>
          <w:rFonts w:ascii="Arial" w:eastAsia="Calibri" w:hAnsi="Arial" w:cs="Arial"/>
          <w:b/>
          <w:bCs/>
          <w:lang w:bidi="gu-IN"/>
        </w:rPr>
      </w:pPr>
      <w:r w:rsidRPr="00C376DE">
        <w:rPr>
          <w:rFonts w:ascii="Arial" w:eastAsia="Calibri" w:hAnsi="Arial" w:cs="Arial"/>
          <w:b/>
          <w:bCs/>
          <w:lang w:bidi="gu-IN"/>
        </w:rPr>
        <w:t xml:space="preserve">3.3 </w:t>
      </w:r>
      <w:r w:rsidR="004F784C" w:rsidRPr="00C376DE">
        <w:rPr>
          <w:rFonts w:ascii="Arial" w:eastAsia="Calibri" w:hAnsi="Arial" w:cs="Arial"/>
          <w:b/>
          <w:bCs/>
          <w:lang w:bidi="gu-IN"/>
        </w:rPr>
        <w:t>Strategic Implications</w:t>
      </w:r>
    </w:p>
    <w:p w14:paraId="23E3FFBF" w14:textId="77777777" w:rsidR="004F784C" w:rsidRPr="00DD1686" w:rsidRDefault="004F784C" w:rsidP="00D412B7">
      <w:pPr>
        <w:spacing w:after="120"/>
        <w:jc w:val="both"/>
        <w:rPr>
          <w:rFonts w:ascii="Arial" w:eastAsia="Calibri" w:hAnsi="Arial" w:cs="Arial"/>
          <w:sz w:val="20"/>
          <w:szCs w:val="20"/>
          <w:lang w:bidi="gu-IN"/>
        </w:rPr>
      </w:pPr>
      <w:r w:rsidRPr="00DD1686">
        <w:rPr>
          <w:rFonts w:ascii="Arial" w:eastAsia="Calibri" w:hAnsi="Arial" w:cs="Arial"/>
          <w:sz w:val="20"/>
          <w:szCs w:val="20"/>
          <w:lang w:bidi="gu-IN"/>
        </w:rPr>
        <w:t>The Markov results highlight increasing regional integration, particularly within Asia. SEA emerged as a central and relatively stable hub, while China demonstrated strong linkages with both Asian and developed markets. The redirection of exports from the EU and other markets toward SEA underscores the growing prominence of Asian destinations in global marine trade (Rao and Menon, 2021).</w:t>
      </w:r>
    </w:p>
    <w:p w14:paraId="7CD707FE" w14:textId="77777777" w:rsidR="004F784C" w:rsidRPr="00DD1686" w:rsidRDefault="004F784C" w:rsidP="00DD1686">
      <w:pPr>
        <w:jc w:val="both"/>
        <w:rPr>
          <w:rFonts w:ascii="Arial" w:eastAsia="Calibri" w:hAnsi="Arial" w:cs="Arial"/>
          <w:sz w:val="20"/>
          <w:szCs w:val="20"/>
          <w:lang w:bidi="gu-IN"/>
        </w:rPr>
      </w:pPr>
      <w:r w:rsidRPr="00DD1686">
        <w:rPr>
          <w:rFonts w:ascii="Arial" w:eastAsia="Calibri" w:hAnsi="Arial" w:cs="Arial"/>
          <w:sz w:val="20"/>
          <w:szCs w:val="20"/>
          <w:lang w:bidi="gu-IN"/>
        </w:rPr>
        <w:t xml:space="preserve">Overall, the findings suggest that India’s marine exports are characterized by both stable anchor markets and dynamic reallocation across destinations. While continuous market adjustments reduce vulnerability to demand shocks and policy disruptions, sustaining competitiveness will require focused market development, improved quality compliance, stronger logistics, and proactive trade engagement. Long-term resilience will depend on maintaining stable relationships while strategically managing transitions in an evolving global trade environment (Thorat </w:t>
      </w:r>
      <w:r w:rsidRPr="00DD1686">
        <w:rPr>
          <w:rFonts w:ascii="Arial" w:eastAsia="Calibri" w:hAnsi="Arial" w:cs="Arial"/>
          <w:i/>
          <w:iCs/>
          <w:sz w:val="20"/>
          <w:szCs w:val="20"/>
          <w:lang w:bidi="gu-IN"/>
        </w:rPr>
        <w:t>et al</w:t>
      </w:r>
      <w:r w:rsidRPr="00DD1686">
        <w:rPr>
          <w:rFonts w:ascii="Arial" w:eastAsia="Calibri" w:hAnsi="Arial" w:cs="Arial"/>
          <w:sz w:val="20"/>
          <w:szCs w:val="20"/>
          <w:lang w:bidi="gu-IN"/>
        </w:rPr>
        <w:t>., 2020; FAO, 2025).</w:t>
      </w:r>
    </w:p>
    <w:p w14:paraId="605A91A9" w14:textId="77777777" w:rsidR="004F784C" w:rsidRPr="00DD1686" w:rsidRDefault="004F784C" w:rsidP="004F784C">
      <w:pPr>
        <w:ind w:left="1080" w:hanging="1080"/>
        <w:jc w:val="both"/>
        <w:rPr>
          <w:rFonts w:ascii="Arial" w:eastAsia="Calibri" w:hAnsi="Arial" w:cs="Arial"/>
          <w:b/>
          <w:bCs/>
          <w:sz w:val="20"/>
          <w:szCs w:val="20"/>
        </w:rPr>
      </w:pPr>
    </w:p>
    <w:p w14:paraId="0D92D9F0" w14:textId="77777777" w:rsidR="004F784C" w:rsidRPr="00DD1686" w:rsidRDefault="00DD1686" w:rsidP="00D412B7">
      <w:pPr>
        <w:spacing w:after="120"/>
        <w:ind w:left="907" w:hanging="907"/>
        <w:jc w:val="both"/>
        <w:rPr>
          <w:rFonts w:ascii="Arial" w:eastAsia="Calibri" w:hAnsi="Arial" w:cs="Arial"/>
          <w:b/>
          <w:bCs/>
          <w:sz w:val="20"/>
          <w:szCs w:val="20"/>
        </w:rPr>
      </w:pPr>
      <w:r>
        <w:rPr>
          <w:rFonts w:ascii="Arial" w:eastAsia="Calibri" w:hAnsi="Arial" w:cs="Arial"/>
          <w:b/>
          <w:bCs/>
          <w:sz w:val="20"/>
          <w:szCs w:val="20"/>
        </w:rPr>
        <w:t>Table 2.</w:t>
      </w:r>
      <w:r w:rsidR="004F784C" w:rsidRPr="00DD1686">
        <w:rPr>
          <w:rFonts w:ascii="Arial" w:eastAsia="Calibri" w:hAnsi="Arial" w:cs="Arial"/>
          <w:b/>
          <w:bCs/>
          <w:sz w:val="20"/>
          <w:szCs w:val="20"/>
        </w:rPr>
        <w:t xml:space="preserve"> </w:t>
      </w:r>
      <w:r>
        <w:rPr>
          <w:rFonts w:ascii="Arial" w:eastAsia="Calibri" w:hAnsi="Arial" w:cs="Arial"/>
          <w:b/>
          <w:bCs/>
          <w:sz w:val="20"/>
          <w:szCs w:val="20"/>
        </w:rPr>
        <w:tab/>
      </w:r>
      <w:r w:rsidR="004F784C" w:rsidRPr="00DD1686">
        <w:rPr>
          <w:rFonts w:ascii="Arial" w:eastAsia="Calibri" w:hAnsi="Arial" w:cs="Arial"/>
          <w:b/>
          <w:bCs/>
          <w:sz w:val="20"/>
          <w:szCs w:val="20"/>
        </w:rPr>
        <w:t>Transition probability matrices for selected export markets (2004-05 to 2023-24)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17"/>
        <w:gridCol w:w="892"/>
        <w:gridCol w:w="892"/>
        <w:gridCol w:w="893"/>
        <w:gridCol w:w="892"/>
        <w:gridCol w:w="893"/>
        <w:gridCol w:w="892"/>
        <w:gridCol w:w="893"/>
      </w:tblGrid>
      <w:tr w:rsidR="004F784C" w:rsidRPr="00DD1686" w14:paraId="2EEA8A6C" w14:textId="77777777" w:rsidTr="00603DEF">
        <w:tc>
          <w:tcPr>
            <w:tcW w:w="5000" w:type="pct"/>
            <w:gridSpan w:val="8"/>
          </w:tcPr>
          <w:p w14:paraId="55BF81FC"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Quantity (2004-05 to 2013-14)</w:t>
            </w:r>
          </w:p>
        </w:tc>
      </w:tr>
      <w:tr w:rsidR="004F784C" w:rsidRPr="00DD1686" w14:paraId="5B998CE8" w14:textId="77777777" w:rsidTr="00603DEF">
        <w:tc>
          <w:tcPr>
            <w:tcW w:w="1028" w:type="pct"/>
            <w:hideMark/>
          </w:tcPr>
          <w:p w14:paraId="76CD1DF5"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From \ To</w:t>
            </w:r>
          </w:p>
        </w:tc>
        <w:tc>
          <w:tcPr>
            <w:tcW w:w="567" w:type="pct"/>
            <w:hideMark/>
          </w:tcPr>
          <w:p w14:paraId="36034035"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Japan</w:t>
            </w:r>
          </w:p>
        </w:tc>
        <w:tc>
          <w:tcPr>
            <w:tcW w:w="567" w:type="pct"/>
            <w:hideMark/>
          </w:tcPr>
          <w:p w14:paraId="35C30300"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USA</w:t>
            </w:r>
          </w:p>
        </w:tc>
        <w:tc>
          <w:tcPr>
            <w:tcW w:w="568" w:type="pct"/>
            <w:hideMark/>
          </w:tcPr>
          <w:p w14:paraId="1556F75C"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EU</w:t>
            </w:r>
          </w:p>
        </w:tc>
        <w:tc>
          <w:tcPr>
            <w:tcW w:w="567" w:type="pct"/>
            <w:hideMark/>
          </w:tcPr>
          <w:p w14:paraId="445C4E87"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China</w:t>
            </w:r>
          </w:p>
        </w:tc>
        <w:tc>
          <w:tcPr>
            <w:tcW w:w="568" w:type="pct"/>
            <w:hideMark/>
          </w:tcPr>
          <w:p w14:paraId="243D5D2C"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SEA</w:t>
            </w:r>
          </w:p>
        </w:tc>
        <w:tc>
          <w:tcPr>
            <w:tcW w:w="567" w:type="pct"/>
            <w:hideMark/>
          </w:tcPr>
          <w:p w14:paraId="612C2970"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ME</w:t>
            </w:r>
          </w:p>
        </w:tc>
        <w:tc>
          <w:tcPr>
            <w:tcW w:w="568" w:type="pct"/>
            <w:hideMark/>
          </w:tcPr>
          <w:p w14:paraId="763EA053"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Others</w:t>
            </w:r>
          </w:p>
        </w:tc>
      </w:tr>
      <w:tr w:rsidR="004F784C" w:rsidRPr="00DD1686" w14:paraId="77D7012F" w14:textId="77777777" w:rsidTr="00603DEF">
        <w:tc>
          <w:tcPr>
            <w:tcW w:w="1028" w:type="pct"/>
            <w:hideMark/>
          </w:tcPr>
          <w:p w14:paraId="2CBF8AC1"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Japan</w:t>
            </w:r>
          </w:p>
        </w:tc>
        <w:tc>
          <w:tcPr>
            <w:tcW w:w="567" w:type="pct"/>
            <w:vAlign w:val="center"/>
            <w:hideMark/>
          </w:tcPr>
          <w:p w14:paraId="4B3AEC39"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0.5351</w:t>
            </w:r>
          </w:p>
        </w:tc>
        <w:tc>
          <w:tcPr>
            <w:tcW w:w="567" w:type="pct"/>
            <w:vAlign w:val="center"/>
            <w:hideMark/>
          </w:tcPr>
          <w:p w14:paraId="2E8525F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450D6338"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0.1477</w:t>
            </w:r>
          </w:p>
        </w:tc>
        <w:tc>
          <w:tcPr>
            <w:tcW w:w="567" w:type="pct"/>
            <w:vAlign w:val="center"/>
            <w:hideMark/>
          </w:tcPr>
          <w:p w14:paraId="2DA43EED"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110ECCF0"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7FD8C78F"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3A6CB7E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0.3172</w:t>
            </w:r>
          </w:p>
        </w:tc>
      </w:tr>
      <w:tr w:rsidR="004F784C" w:rsidRPr="00DD1686" w14:paraId="2B5DD057" w14:textId="77777777" w:rsidTr="00603DEF">
        <w:tc>
          <w:tcPr>
            <w:tcW w:w="1028" w:type="pct"/>
            <w:hideMark/>
          </w:tcPr>
          <w:p w14:paraId="0E556F19"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USA</w:t>
            </w:r>
          </w:p>
        </w:tc>
        <w:tc>
          <w:tcPr>
            <w:tcW w:w="567" w:type="pct"/>
            <w:vAlign w:val="center"/>
            <w:hideMark/>
          </w:tcPr>
          <w:p w14:paraId="7E93D1D8"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0.0303</w:t>
            </w:r>
          </w:p>
        </w:tc>
        <w:tc>
          <w:tcPr>
            <w:tcW w:w="567" w:type="pct"/>
            <w:vAlign w:val="center"/>
            <w:hideMark/>
          </w:tcPr>
          <w:p w14:paraId="07E63B6A"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0.5210</w:t>
            </w:r>
          </w:p>
        </w:tc>
        <w:tc>
          <w:tcPr>
            <w:tcW w:w="568" w:type="pct"/>
            <w:vAlign w:val="center"/>
            <w:hideMark/>
          </w:tcPr>
          <w:p w14:paraId="2682135F"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0.4487</w:t>
            </w:r>
          </w:p>
        </w:tc>
        <w:tc>
          <w:tcPr>
            <w:tcW w:w="567" w:type="pct"/>
            <w:vAlign w:val="center"/>
            <w:hideMark/>
          </w:tcPr>
          <w:p w14:paraId="672DF063"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686BEDBD"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0F8C5B75"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169D4B48"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r>
      <w:tr w:rsidR="004F784C" w:rsidRPr="00DD1686" w14:paraId="0028B0D1" w14:textId="77777777" w:rsidTr="00603DEF">
        <w:tc>
          <w:tcPr>
            <w:tcW w:w="1028" w:type="pct"/>
            <w:hideMark/>
          </w:tcPr>
          <w:p w14:paraId="490E6283"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EU</w:t>
            </w:r>
          </w:p>
        </w:tc>
        <w:tc>
          <w:tcPr>
            <w:tcW w:w="567" w:type="pct"/>
            <w:vAlign w:val="center"/>
            <w:hideMark/>
          </w:tcPr>
          <w:p w14:paraId="47E60B50"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5F4CE017"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233DBF01"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0.5538</w:t>
            </w:r>
          </w:p>
        </w:tc>
        <w:tc>
          <w:tcPr>
            <w:tcW w:w="567" w:type="pct"/>
            <w:vAlign w:val="center"/>
            <w:hideMark/>
          </w:tcPr>
          <w:p w14:paraId="12D54B6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0.2716</w:t>
            </w:r>
          </w:p>
        </w:tc>
        <w:tc>
          <w:tcPr>
            <w:tcW w:w="568" w:type="pct"/>
            <w:vAlign w:val="center"/>
            <w:hideMark/>
          </w:tcPr>
          <w:p w14:paraId="1BB97CB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35F14B79"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0.0750</w:t>
            </w:r>
          </w:p>
        </w:tc>
        <w:tc>
          <w:tcPr>
            <w:tcW w:w="568" w:type="pct"/>
            <w:vAlign w:val="center"/>
            <w:hideMark/>
          </w:tcPr>
          <w:p w14:paraId="04E92B2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0.0996</w:t>
            </w:r>
          </w:p>
        </w:tc>
      </w:tr>
      <w:tr w:rsidR="004F784C" w:rsidRPr="00DD1686" w14:paraId="42DAB0FE" w14:textId="77777777" w:rsidTr="00603DEF">
        <w:tc>
          <w:tcPr>
            <w:tcW w:w="1028" w:type="pct"/>
            <w:hideMark/>
          </w:tcPr>
          <w:p w14:paraId="3413DFE6"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China</w:t>
            </w:r>
          </w:p>
        </w:tc>
        <w:tc>
          <w:tcPr>
            <w:tcW w:w="567" w:type="pct"/>
            <w:vAlign w:val="center"/>
            <w:hideMark/>
          </w:tcPr>
          <w:p w14:paraId="7981473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0.1525</w:t>
            </w:r>
          </w:p>
        </w:tc>
        <w:tc>
          <w:tcPr>
            <w:tcW w:w="567" w:type="pct"/>
            <w:vAlign w:val="center"/>
            <w:hideMark/>
          </w:tcPr>
          <w:p w14:paraId="6F959D82"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0.0208</w:t>
            </w:r>
          </w:p>
        </w:tc>
        <w:tc>
          <w:tcPr>
            <w:tcW w:w="568" w:type="pct"/>
            <w:vAlign w:val="center"/>
            <w:hideMark/>
          </w:tcPr>
          <w:p w14:paraId="59C87BBC"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0.2168</w:t>
            </w:r>
          </w:p>
        </w:tc>
        <w:tc>
          <w:tcPr>
            <w:tcW w:w="567" w:type="pct"/>
            <w:vAlign w:val="center"/>
            <w:hideMark/>
          </w:tcPr>
          <w:p w14:paraId="7B3FD0B5"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0.6099</w:t>
            </w:r>
          </w:p>
        </w:tc>
        <w:tc>
          <w:tcPr>
            <w:tcW w:w="568" w:type="pct"/>
            <w:vAlign w:val="center"/>
            <w:hideMark/>
          </w:tcPr>
          <w:p w14:paraId="5A36A1CB"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7CE9D44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318127A5"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r>
      <w:tr w:rsidR="004F784C" w:rsidRPr="00DD1686" w14:paraId="456FA501" w14:textId="77777777" w:rsidTr="00603DEF">
        <w:tc>
          <w:tcPr>
            <w:tcW w:w="1028" w:type="pct"/>
            <w:hideMark/>
          </w:tcPr>
          <w:p w14:paraId="5AC4E81F"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SEA</w:t>
            </w:r>
          </w:p>
        </w:tc>
        <w:tc>
          <w:tcPr>
            <w:tcW w:w="567" w:type="pct"/>
            <w:vAlign w:val="center"/>
            <w:hideMark/>
          </w:tcPr>
          <w:p w14:paraId="4F09E406"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0.0301</w:t>
            </w:r>
          </w:p>
        </w:tc>
        <w:tc>
          <w:tcPr>
            <w:tcW w:w="567" w:type="pct"/>
            <w:vAlign w:val="center"/>
            <w:hideMark/>
          </w:tcPr>
          <w:p w14:paraId="497D9032"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0.1280</w:t>
            </w:r>
          </w:p>
        </w:tc>
        <w:tc>
          <w:tcPr>
            <w:tcW w:w="568" w:type="pct"/>
            <w:vAlign w:val="center"/>
            <w:hideMark/>
          </w:tcPr>
          <w:p w14:paraId="7111BC15"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50695D60"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75300D81"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0.8389</w:t>
            </w:r>
          </w:p>
        </w:tc>
        <w:tc>
          <w:tcPr>
            <w:tcW w:w="567" w:type="pct"/>
            <w:vAlign w:val="center"/>
            <w:hideMark/>
          </w:tcPr>
          <w:p w14:paraId="4F8301B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0.0030</w:t>
            </w:r>
          </w:p>
        </w:tc>
        <w:tc>
          <w:tcPr>
            <w:tcW w:w="568" w:type="pct"/>
            <w:vAlign w:val="center"/>
            <w:hideMark/>
          </w:tcPr>
          <w:p w14:paraId="6FE52955"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r>
      <w:tr w:rsidR="004F784C" w:rsidRPr="00DD1686" w14:paraId="38B9E311" w14:textId="77777777" w:rsidTr="00603DEF">
        <w:tc>
          <w:tcPr>
            <w:tcW w:w="1028" w:type="pct"/>
            <w:hideMark/>
          </w:tcPr>
          <w:p w14:paraId="6719EC68"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lastRenderedPageBreak/>
              <w:t>ME</w:t>
            </w:r>
          </w:p>
        </w:tc>
        <w:tc>
          <w:tcPr>
            <w:tcW w:w="567" w:type="pct"/>
            <w:vAlign w:val="center"/>
            <w:hideMark/>
          </w:tcPr>
          <w:p w14:paraId="688F31D6"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5877D9B3"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0.1166</w:t>
            </w:r>
          </w:p>
        </w:tc>
        <w:tc>
          <w:tcPr>
            <w:tcW w:w="568" w:type="pct"/>
            <w:vAlign w:val="center"/>
            <w:hideMark/>
          </w:tcPr>
          <w:p w14:paraId="08E784A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34D84E89"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6949B82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4C29CC70"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0.6172</w:t>
            </w:r>
          </w:p>
        </w:tc>
        <w:tc>
          <w:tcPr>
            <w:tcW w:w="568" w:type="pct"/>
            <w:vAlign w:val="center"/>
            <w:hideMark/>
          </w:tcPr>
          <w:p w14:paraId="7A94C797"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0.2662</w:t>
            </w:r>
          </w:p>
        </w:tc>
      </w:tr>
      <w:tr w:rsidR="004F784C" w:rsidRPr="00DD1686" w14:paraId="154C6C9F" w14:textId="77777777" w:rsidTr="00603DEF">
        <w:tc>
          <w:tcPr>
            <w:tcW w:w="1028" w:type="pct"/>
            <w:hideMark/>
          </w:tcPr>
          <w:p w14:paraId="4E48DCB7"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Others</w:t>
            </w:r>
          </w:p>
        </w:tc>
        <w:tc>
          <w:tcPr>
            <w:tcW w:w="567" w:type="pct"/>
            <w:vAlign w:val="center"/>
            <w:hideMark/>
          </w:tcPr>
          <w:p w14:paraId="5C4834A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59186173"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175F6BDF"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42B9FD7D"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743E761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0.5499</w:t>
            </w:r>
          </w:p>
        </w:tc>
        <w:tc>
          <w:tcPr>
            <w:tcW w:w="567" w:type="pct"/>
            <w:vAlign w:val="center"/>
            <w:hideMark/>
          </w:tcPr>
          <w:p w14:paraId="1B44DD05"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0.0262</w:t>
            </w:r>
          </w:p>
        </w:tc>
        <w:tc>
          <w:tcPr>
            <w:tcW w:w="568" w:type="pct"/>
            <w:vAlign w:val="center"/>
            <w:hideMark/>
          </w:tcPr>
          <w:p w14:paraId="3BDFD71E"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0.4239</w:t>
            </w:r>
          </w:p>
        </w:tc>
      </w:tr>
      <w:tr w:rsidR="004F784C" w:rsidRPr="00DD1686" w14:paraId="1F2FA9A8" w14:textId="77777777" w:rsidTr="00603DEF">
        <w:tc>
          <w:tcPr>
            <w:tcW w:w="5000" w:type="pct"/>
            <w:gridSpan w:val="8"/>
          </w:tcPr>
          <w:p w14:paraId="2FEFD79F"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Quantity (2014-15 to 2023-24)</w:t>
            </w:r>
          </w:p>
        </w:tc>
      </w:tr>
      <w:tr w:rsidR="004F784C" w:rsidRPr="00DD1686" w14:paraId="0AFC7DD9" w14:textId="77777777" w:rsidTr="00603DEF">
        <w:tc>
          <w:tcPr>
            <w:tcW w:w="1028" w:type="pct"/>
            <w:hideMark/>
          </w:tcPr>
          <w:p w14:paraId="028C6308"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From \ To</w:t>
            </w:r>
          </w:p>
        </w:tc>
        <w:tc>
          <w:tcPr>
            <w:tcW w:w="567" w:type="pct"/>
            <w:hideMark/>
          </w:tcPr>
          <w:p w14:paraId="5EBFEAF1"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Japan</w:t>
            </w:r>
          </w:p>
        </w:tc>
        <w:tc>
          <w:tcPr>
            <w:tcW w:w="567" w:type="pct"/>
            <w:hideMark/>
          </w:tcPr>
          <w:p w14:paraId="03A512DF"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USA</w:t>
            </w:r>
          </w:p>
        </w:tc>
        <w:tc>
          <w:tcPr>
            <w:tcW w:w="568" w:type="pct"/>
            <w:hideMark/>
          </w:tcPr>
          <w:p w14:paraId="6ED1AE08"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EU</w:t>
            </w:r>
          </w:p>
        </w:tc>
        <w:tc>
          <w:tcPr>
            <w:tcW w:w="567" w:type="pct"/>
            <w:hideMark/>
          </w:tcPr>
          <w:p w14:paraId="7D0E4B82"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China</w:t>
            </w:r>
          </w:p>
        </w:tc>
        <w:tc>
          <w:tcPr>
            <w:tcW w:w="568" w:type="pct"/>
            <w:hideMark/>
          </w:tcPr>
          <w:p w14:paraId="2873BBEE"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SEA</w:t>
            </w:r>
          </w:p>
        </w:tc>
        <w:tc>
          <w:tcPr>
            <w:tcW w:w="567" w:type="pct"/>
            <w:hideMark/>
          </w:tcPr>
          <w:p w14:paraId="7AFD5D1E"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ME</w:t>
            </w:r>
          </w:p>
        </w:tc>
        <w:tc>
          <w:tcPr>
            <w:tcW w:w="568" w:type="pct"/>
            <w:hideMark/>
          </w:tcPr>
          <w:p w14:paraId="64EA48EC"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Others</w:t>
            </w:r>
          </w:p>
        </w:tc>
      </w:tr>
      <w:tr w:rsidR="004F784C" w:rsidRPr="00DD1686" w14:paraId="7F87F797" w14:textId="77777777" w:rsidTr="00603DEF">
        <w:tc>
          <w:tcPr>
            <w:tcW w:w="1028" w:type="pct"/>
            <w:hideMark/>
          </w:tcPr>
          <w:p w14:paraId="1374A7D4"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Japan</w:t>
            </w:r>
          </w:p>
        </w:tc>
        <w:tc>
          <w:tcPr>
            <w:tcW w:w="567" w:type="pct"/>
            <w:tcBorders>
              <w:top w:val="single" w:sz="4" w:space="0" w:color="auto"/>
              <w:left w:val="single" w:sz="4" w:space="0" w:color="auto"/>
              <w:bottom w:val="single" w:sz="4" w:space="0" w:color="auto"/>
              <w:right w:val="single" w:sz="4" w:space="0" w:color="auto"/>
            </w:tcBorders>
            <w:vAlign w:val="center"/>
            <w:hideMark/>
          </w:tcPr>
          <w:p w14:paraId="7D573A1E"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0.0000</w:t>
            </w:r>
          </w:p>
        </w:tc>
        <w:tc>
          <w:tcPr>
            <w:tcW w:w="567" w:type="pct"/>
            <w:tcBorders>
              <w:top w:val="single" w:sz="4" w:space="0" w:color="auto"/>
              <w:left w:val="nil"/>
              <w:bottom w:val="single" w:sz="4" w:space="0" w:color="auto"/>
              <w:right w:val="single" w:sz="4" w:space="0" w:color="auto"/>
            </w:tcBorders>
            <w:vAlign w:val="center"/>
            <w:hideMark/>
          </w:tcPr>
          <w:p w14:paraId="165D836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single" w:sz="4" w:space="0" w:color="auto"/>
              <w:left w:val="nil"/>
              <w:bottom w:val="single" w:sz="4" w:space="0" w:color="auto"/>
              <w:right w:val="single" w:sz="4" w:space="0" w:color="auto"/>
            </w:tcBorders>
            <w:vAlign w:val="center"/>
            <w:hideMark/>
          </w:tcPr>
          <w:p w14:paraId="1C865BC9"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1.0000</w:t>
            </w:r>
          </w:p>
        </w:tc>
        <w:tc>
          <w:tcPr>
            <w:tcW w:w="567" w:type="pct"/>
            <w:tcBorders>
              <w:top w:val="single" w:sz="4" w:space="0" w:color="auto"/>
              <w:left w:val="nil"/>
              <w:bottom w:val="single" w:sz="4" w:space="0" w:color="auto"/>
              <w:right w:val="single" w:sz="4" w:space="0" w:color="auto"/>
            </w:tcBorders>
            <w:vAlign w:val="center"/>
            <w:hideMark/>
          </w:tcPr>
          <w:p w14:paraId="697BFA4B"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single" w:sz="4" w:space="0" w:color="auto"/>
              <w:left w:val="nil"/>
              <w:bottom w:val="single" w:sz="4" w:space="0" w:color="auto"/>
              <w:right w:val="single" w:sz="4" w:space="0" w:color="auto"/>
            </w:tcBorders>
            <w:vAlign w:val="center"/>
            <w:hideMark/>
          </w:tcPr>
          <w:p w14:paraId="543E0C00"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single" w:sz="4" w:space="0" w:color="auto"/>
              <w:left w:val="nil"/>
              <w:bottom w:val="single" w:sz="4" w:space="0" w:color="auto"/>
              <w:right w:val="single" w:sz="4" w:space="0" w:color="auto"/>
            </w:tcBorders>
            <w:vAlign w:val="center"/>
            <w:hideMark/>
          </w:tcPr>
          <w:p w14:paraId="6B5F4665"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single" w:sz="4" w:space="0" w:color="auto"/>
              <w:left w:val="nil"/>
              <w:bottom w:val="single" w:sz="4" w:space="0" w:color="auto"/>
              <w:right w:val="single" w:sz="4" w:space="0" w:color="auto"/>
            </w:tcBorders>
            <w:vAlign w:val="center"/>
            <w:hideMark/>
          </w:tcPr>
          <w:p w14:paraId="411C8E32"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r>
      <w:tr w:rsidR="004F784C" w:rsidRPr="00DD1686" w14:paraId="22C6A109" w14:textId="77777777" w:rsidTr="00603DEF">
        <w:tc>
          <w:tcPr>
            <w:tcW w:w="1028" w:type="pct"/>
            <w:hideMark/>
          </w:tcPr>
          <w:p w14:paraId="1E325D7C"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USA</w:t>
            </w:r>
          </w:p>
        </w:tc>
        <w:tc>
          <w:tcPr>
            <w:tcW w:w="567" w:type="pct"/>
            <w:tcBorders>
              <w:top w:val="nil"/>
              <w:left w:val="single" w:sz="4" w:space="0" w:color="auto"/>
              <w:bottom w:val="single" w:sz="4" w:space="0" w:color="auto"/>
              <w:right w:val="single" w:sz="4" w:space="0" w:color="auto"/>
            </w:tcBorders>
            <w:vAlign w:val="center"/>
            <w:hideMark/>
          </w:tcPr>
          <w:p w14:paraId="0D391AD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0.0884</w:t>
            </w:r>
          </w:p>
        </w:tc>
        <w:tc>
          <w:tcPr>
            <w:tcW w:w="567" w:type="pct"/>
            <w:tcBorders>
              <w:top w:val="nil"/>
              <w:left w:val="nil"/>
              <w:bottom w:val="single" w:sz="4" w:space="0" w:color="auto"/>
              <w:right w:val="single" w:sz="4" w:space="0" w:color="auto"/>
            </w:tcBorders>
            <w:vAlign w:val="center"/>
            <w:hideMark/>
          </w:tcPr>
          <w:p w14:paraId="62C68350"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0.5864</w:t>
            </w:r>
          </w:p>
        </w:tc>
        <w:tc>
          <w:tcPr>
            <w:tcW w:w="568" w:type="pct"/>
            <w:tcBorders>
              <w:top w:val="nil"/>
              <w:left w:val="nil"/>
              <w:bottom w:val="single" w:sz="4" w:space="0" w:color="auto"/>
              <w:right w:val="single" w:sz="4" w:space="0" w:color="auto"/>
            </w:tcBorders>
            <w:vAlign w:val="center"/>
            <w:hideMark/>
          </w:tcPr>
          <w:p w14:paraId="74A88786"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00641C5D"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0.2793</w:t>
            </w:r>
          </w:p>
        </w:tc>
        <w:tc>
          <w:tcPr>
            <w:tcW w:w="568" w:type="pct"/>
            <w:tcBorders>
              <w:top w:val="nil"/>
              <w:left w:val="nil"/>
              <w:bottom w:val="single" w:sz="4" w:space="0" w:color="auto"/>
              <w:right w:val="single" w:sz="4" w:space="0" w:color="auto"/>
            </w:tcBorders>
            <w:vAlign w:val="center"/>
            <w:hideMark/>
          </w:tcPr>
          <w:p w14:paraId="1BA0D8DB"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04ABFE77"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0.0459</w:t>
            </w:r>
          </w:p>
        </w:tc>
        <w:tc>
          <w:tcPr>
            <w:tcW w:w="568" w:type="pct"/>
            <w:tcBorders>
              <w:top w:val="nil"/>
              <w:left w:val="nil"/>
              <w:bottom w:val="single" w:sz="4" w:space="0" w:color="auto"/>
              <w:right w:val="single" w:sz="4" w:space="0" w:color="auto"/>
            </w:tcBorders>
            <w:vAlign w:val="center"/>
            <w:hideMark/>
          </w:tcPr>
          <w:p w14:paraId="554DBFDF"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r>
      <w:tr w:rsidR="004F784C" w:rsidRPr="00DD1686" w14:paraId="04D05B11" w14:textId="77777777" w:rsidTr="00603DEF">
        <w:tc>
          <w:tcPr>
            <w:tcW w:w="1028" w:type="pct"/>
            <w:hideMark/>
          </w:tcPr>
          <w:p w14:paraId="391C93A3"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EU</w:t>
            </w:r>
          </w:p>
        </w:tc>
        <w:tc>
          <w:tcPr>
            <w:tcW w:w="567" w:type="pct"/>
            <w:tcBorders>
              <w:top w:val="nil"/>
              <w:left w:val="single" w:sz="4" w:space="0" w:color="auto"/>
              <w:bottom w:val="single" w:sz="4" w:space="0" w:color="auto"/>
              <w:right w:val="single" w:sz="4" w:space="0" w:color="auto"/>
            </w:tcBorders>
            <w:vAlign w:val="center"/>
            <w:hideMark/>
          </w:tcPr>
          <w:p w14:paraId="1858A4FE"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1BBE5069"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nil"/>
              <w:left w:val="nil"/>
              <w:bottom w:val="single" w:sz="4" w:space="0" w:color="auto"/>
              <w:right w:val="single" w:sz="4" w:space="0" w:color="auto"/>
            </w:tcBorders>
            <w:vAlign w:val="center"/>
            <w:hideMark/>
          </w:tcPr>
          <w:p w14:paraId="6F1F7F18"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0.0823</w:t>
            </w:r>
          </w:p>
        </w:tc>
        <w:tc>
          <w:tcPr>
            <w:tcW w:w="567" w:type="pct"/>
            <w:tcBorders>
              <w:top w:val="nil"/>
              <w:left w:val="nil"/>
              <w:bottom w:val="single" w:sz="4" w:space="0" w:color="auto"/>
              <w:right w:val="single" w:sz="4" w:space="0" w:color="auto"/>
            </w:tcBorders>
            <w:vAlign w:val="center"/>
            <w:hideMark/>
          </w:tcPr>
          <w:p w14:paraId="265BA957"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nil"/>
              <w:left w:val="nil"/>
              <w:bottom w:val="single" w:sz="4" w:space="0" w:color="auto"/>
              <w:right w:val="single" w:sz="4" w:space="0" w:color="auto"/>
            </w:tcBorders>
            <w:vAlign w:val="center"/>
            <w:hideMark/>
          </w:tcPr>
          <w:p w14:paraId="257C3E8E"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0.8817</w:t>
            </w:r>
          </w:p>
        </w:tc>
        <w:tc>
          <w:tcPr>
            <w:tcW w:w="567" w:type="pct"/>
            <w:tcBorders>
              <w:top w:val="nil"/>
              <w:left w:val="nil"/>
              <w:bottom w:val="single" w:sz="4" w:space="0" w:color="auto"/>
              <w:right w:val="single" w:sz="4" w:space="0" w:color="auto"/>
            </w:tcBorders>
            <w:vAlign w:val="center"/>
            <w:hideMark/>
          </w:tcPr>
          <w:p w14:paraId="2A78A029"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0.0359</w:t>
            </w:r>
          </w:p>
        </w:tc>
        <w:tc>
          <w:tcPr>
            <w:tcW w:w="568" w:type="pct"/>
            <w:tcBorders>
              <w:top w:val="nil"/>
              <w:left w:val="nil"/>
              <w:bottom w:val="single" w:sz="4" w:space="0" w:color="auto"/>
              <w:right w:val="single" w:sz="4" w:space="0" w:color="auto"/>
            </w:tcBorders>
            <w:vAlign w:val="center"/>
            <w:hideMark/>
          </w:tcPr>
          <w:p w14:paraId="70A4FED0"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r>
      <w:tr w:rsidR="004F784C" w:rsidRPr="00DD1686" w14:paraId="34B73D55" w14:textId="77777777" w:rsidTr="00603DEF">
        <w:tc>
          <w:tcPr>
            <w:tcW w:w="1028" w:type="pct"/>
            <w:hideMark/>
          </w:tcPr>
          <w:p w14:paraId="4842450F"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China</w:t>
            </w:r>
          </w:p>
        </w:tc>
        <w:tc>
          <w:tcPr>
            <w:tcW w:w="567" w:type="pct"/>
            <w:tcBorders>
              <w:top w:val="nil"/>
              <w:left w:val="single" w:sz="4" w:space="0" w:color="auto"/>
              <w:bottom w:val="single" w:sz="4" w:space="0" w:color="auto"/>
              <w:right w:val="single" w:sz="4" w:space="0" w:color="auto"/>
            </w:tcBorders>
            <w:vAlign w:val="center"/>
            <w:hideMark/>
          </w:tcPr>
          <w:p w14:paraId="31603EE5"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0.0051</w:t>
            </w:r>
          </w:p>
        </w:tc>
        <w:tc>
          <w:tcPr>
            <w:tcW w:w="567" w:type="pct"/>
            <w:tcBorders>
              <w:top w:val="nil"/>
              <w:left w:val="nil"/>
              <w:bottom w:val="single" w:sz="4" w:space="0" w:color="auto"/>
              <w:right w:val="single" w:sz="4" w:space="0" w:color="auto"/>
            </w:tcBorders>
            <w:vAlign w:val="center"/>
            <w:hideMark/>
          </w:tcPr>
          <w:p w14:paraId="5459A6FD"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0.2313</w:t>
            </w:r>
          </w:p>
        </w:tc>
        <w:tc>
          <w:tcPr>
            <w:tcW w:w="568" w:type="pct"/>
            <w:tcBorders>
              <w:top w:val="nil"/>
              <w:left w:val="nil"/>
              <w:bottom w:val="single" w:sz="4" w:space="0" w:color="auto"/>
              <w:right w:val="single" w:sz="4" w:space="0" w:color="auto"/>
            </w:tcBorders>
            <w:vAlign w:val="center"/>
            <w:hideMark/>
          </w:tcPr>
          <w:p w14:paraId="0E6822E9"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4C1006CE"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0.5413</w:t>
            </w:r>
          </w:p>
        </w:tc>
        <w:tc>
          <w:tcPr>
            <w:tcW w:w="568" w:type="pct"/>
            <w:tcBorders>
              <w:top w:val="nil"/>
              <w:left w:val="nil"/>
              <w:bottom w:val="single" w:sz="4" w:space="0" w:color="auto"/>
              <w:right w:val="single" w:sz="4" w:space="0" w:color="auto"/>
            </w:tcBorders>
            <w:vAlign w:val="center"/>
            <w:hideMark/>
          </w:tcPr>
          <w:p w14:paraId="1DE1F597"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009752CA"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0.0195</w:t>
            </w:r>
          </w:p>
        </w:tc>
        <w:tc>
          <w:tcPr>
            <w:tcW w:w="568" w:type="pct"/>
            <w:tcBorders>
              <w:top w:val="nil"/>
              <w:left w:val="nil"/>
              <w:bottom w:val="single" w:sz="4" w:space="0" w:color="auto"/>
              <w:right w:val="single" w:sz="4" w:space="0" w:color="auto"/>
            </w:tcBorders>
            <w:vAlign w:val="center"/>
            <w:hideMark/>
          </w:tcPr>
          <w:p w14:paraId="484FB3F3"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0.2028</w:t>
            </w:r>
          </w:p>
        </w:tc>
      </w:tr>
      <w:tr w:rsidR="004F784C" w:rsidRPr="00DD1686" w14:paraId="0DBFAC60" w14:textId="77777777" w:rsidTr="00603DEF">
        <w:tc>
          <w:tcPr>
            <w:tcW w:w="1028" w:type="pct"/>
            <w:hideMark/>
          </w:tcPr>
          <w:p w14:paraId="74B8B2D4"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SEA</w:t>
            </w:r>
          </w:p>
        </w:tc>
        <w:tc>
          <w:tcPr>
            <w:tcW w:w="567" w:type="pct"/>
            <w:tcBorders>
              <w:top w:val="nil"/>
              <w:left w:val="single" w:sz="4" w:space="0" w:color="auto"/>
              <w:bottom w:val="single" w:sz="4" w:space="0" w:color="auto"/>
              <w:right w:val="single" w:sz="4" w:space="0" w:color="auto"/>
            </w:tcBorders>
            <w:vAlign w:val="center"/>
            <w:hideMark/>
          </w:tcPr>
          <w:p w14:paraId="6CB15DC2"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0.0491</w:t>
            </w:r>
          </w:p>
        </w:tc>
        <w:tc>
          <w:tcPr>
            <w:tcW w:w="567" w:type="pct"/>
            <w:tcBorders>
              <w:top w:val="nil"/>
              <w:left w:val="nil"/>
              <w:bottom w:val="single" w:sz="4" w:space="0" w:color="auto"/>
              <w:right w:val="single" w:sz="4" w:space="0" w:color="auto"/>
            </w:tcBorders>
            <w:vAlign w:val="center"/>
            <w:hideMark/>
          </w:tcPr>
          <w:p w14:paraId="6B66C74C"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0.1978</w:t>
            </w:r>
          </w:p>
        </w:tc>
        <w:tc>
          <w:tcPr>
            <w:tcW w:w="568" w:type="pct"/>
            <w:tcBorders>
              <w:top w:val="nil"/>
              <w:left w:val="nil"/>
              <w:bottom w:val="single" w:sz="4" w:space="0" w:color="auto"/>
              <w:right w:val="single" w:sz="4" w:space="0" w:color="auto"/>
            </w:tcBorders>
            <w:vAlign w:val="center"/>
            <w:hideMark/>
          </w:tcPr>
          <w:p w14:paraId="60F89722"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0.0266</w:t>
            </w:r>
          </w:p>
        </w:tc>
        <w:tc>
          <w:tcPr>
            <w:tcW w:w="567" w:type="pct"/>
            <w:tcBorders>
              <w:top w:val="nil"/>
              <w:left w:val="nil"/>
              <w:bottom w:val="single" w:sz="4" w:space="0" w:color="auto"/>
              <w:right w:val="single" w:sz="4" w:space="0" w:color="auto"/>
            </w:tcBorders>
            <w:vAlign w:val="center"/>
            <w:hideMark/>
          </w:tcPr>
          <w:p w14:paraId="3BCADC2D"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0.1123</w:t>
            </w:r>
          </w:p>
        </w:tc>
        <w:tc>
          <w:tcPr>
            <w:tcW w:w="568" w:type="pct"/>
            <w:tcBorders>
              <w:top w:val="nil"/>
              <w:left w:val="nil"/>
              <w:bottom w:val="single" w:sz="4" w:space="0" w:color="auto"/>
              <w:right w:val="single" w:sz="4" w:space="0" w:color="auto"/>
            </w:tcBorders>
            <w:vAlign w:val="center"/>
            <w:hideMark/>
          </w:tcPr>
          <w:p w14:paraId="706D889B"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0.4872</w:t>
            </w:r>
          </w:p>
        </w:tc>
        <w:tc>
          <w:tcPr>
            <w:tcW w:w="567" w:type="pct"/>
            <w:tcBorders>
              <w:top w:val="nil"/>
              <w:left w:val="nil"/>
              <w:bottom w:val="single" w:sz="4" w:space="0" w:color="auto"/>
              <w:right w:val="single" w:sz="4" w:space="0" w:color="auto"/>
            </w:tcBorders>
            <w:vAlign w:val="center"/>
            <w:hideMark/>
          </w:tcPr>
          <w:p w14:paraId="351E8F7B"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0.0347</w:t>
            </w:r>
          </w:p>
        </w:tc>
        <w:tc>
          <w:tcPr>
            <w:tcW w:w="568" w:type="pct"/>
            <w:tcBorders>
              <w:top w:val="nil"/>
              <w:left w:val="nil"/>
              <w:bottom w:val="single" w:sz="4" w:space="0" w:color="auto"/>
              <w:right w:val="single" w:sz="4" w:space="0" w:color="auto"/>
            </w:tcBorders>
            <w:vAlign w:val="center"/>
            <w:hideMark/>
          </w:tcPr>
          <w:p w14:paraId="70732E2F"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0.0924</w:t>
            </w:r>
          </w:p>
        </w:tc>
      </w:tr>
      <w:tr w:rsidR="004F784C" w:rsidRPr="00DD1686" w14:paraId="3D4303B4" w14:textId="77777777" w:rsidTr="00603DEF">
        <w:tc>
          <w:tcPr>
            <w:tcW w:w="1028" w:type="pct"/>
            <w:hideMark/>
          </w:tcPr>
          <w:p w14:paraId="0D44968D"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ME</w:t>
            </w:r>
          </w:p>
        </w:tc>
        <w:tc>
          <w:tcPr>
            <w:tcW w:w="567" w:type="pct"/>
            <w:tcBorders>
              <w:top w:val="nil"/>
              <w:left w:val="single" w:sz="4" w:space="0" w:color="auto"/>
              <w:bottom w:val="single" w:sz="4" w:space="0" w:color="auto"/>
              <w:right w:val="single" w:sz="4" w:space="0" w:color="auto"/>
            </w:tcBorders>
            <w:vAlign w:val="center"/>
            <w:hideMark/>
          </w:tcPr>
          <w:p w14:paraId="1B50512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7345116A"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nil"/>
              <w:left w:val="nil"/>
              <w:bottom w:val="single" w:sz="4" w:space="0" w:color="auto"/>
              <w:right w:val="single" w:sz="4" w:space="0" w:color="auto"/>
            </w:tcBorders>
            <w:vAlign w:val="center"/>
            <w:hideMark/>
          </w:tcPr>
          <w:p w14:paraId="3BB9F2B7"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0.7498</w:t>
            </w:r>
          </w:p>
        </w:tc>
        <w:tc>
          <w:tcPr>
            <w:tcW w:w="567" w:type="pct"/>
            <w:tcBorders>
              <w:top w:val="nil"/>
              <w:left w:val="nil"/>
              <w:bottom w:val="single" w:sz="4" w:space="0" w:color="auto"/>
              <w:right w:val="single" w:sz="4" w:space="0" w:color="auto"/>
            </w:tcBorders>
            <w:vAlign w:val="center"/>
            <w:hideMark/>
          </w:tcPr>
          <w:p w14:paraId="67A11CD6"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nil"/>
              <w:left w:val="nil"/>
              <w:bottom w:val="single" w:sz="4" w:space="0" w:color="auto"/>
              <w:right w:val="single" w:sz="4" w:space="0" w:color="auto"/>
            </w:tcBorders>
            <w:vAlign w:val="center"/>
            <w:hideMark/>
          </w:tcPr>
          <w:p w14:paraId="2ADC2D16"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5BBA7BAF"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0.2502</w:t>
            </w:r>
          </w:p>
        </w:tc>
        <w:tc>
          <w:tcPr>
            <w:tcW w:w="568" w:type="pct"/>
            <w:tcBorders>
              <w:top w:val="nil"/>
              <w:left w:val="nil"/>
              <w:bottom w:val="single" w:sz="4" w:space="0" w:color="auto"/>
              <w:right w:val="single" w:sz="4" w:space="0" w:color="auto"/>
            </w:tcBorders>
            <w:vAlign w:val="center"/>
            <w:hideMark/>
          </w:tcPr>
          <w:p w14:paraId="1C27C87C"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r>
      <w:tr w:rsidR="004F784C" w:rsidRPr="00DD1686" w14:paraId="42ABCFD0" w14:textId="77777777" w:rsidTr="00603DEF">
        <w:tc>
          <w:tcPr>
            <w:tcW w:w="1028" w:type="pct"/>
            <w:hideMark/>
          </w:tcPr>
          <w:p w14:paraId="4EF1F53E"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Others</w:t>
            </w:r>
          </w:p>
        </w:tc>
        <w:tc>
          <w:tcPr>
            <w:tcW w:w="567" w:type="pct"/>
            <w:tcBorders>
              <w:top w:val="nil"/>
              <w:left w:val="single" w:sz="4" w:space="0" w:color="auto"/>
              <w:bottom w:val="single" w:sz="4" w:space="0" w:color="auto"/>
              <w:right w:val="single" w:sz="4" w:space="0" w:color="auto"/>
            </w:tcBorders>
            <w:vAlign w:val="center"/>
            <w:hideMark/>
          </w:tcPr>
          <w:p w14:paraId="335A3818"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0.2867</w:t>
            </w:r>
          </w:p>
        </w:tc>
        <w:tc>
          <w:tcPr>
            <w:tcW w:w="567" w:type="pct"/>
            <w:tcBorders>
              <w:top w:val="nil"/>
              <w:left w:val="nil"/>
              <w:bottom w:val="single" w:sz="4" w:space="0" w:color="auto"/>
              <w:right w:val="single" w:sz="4" w:space="0" w:color="auto"/>
            </w:tcBorders>
            <w:vAlign w:val="center"/>
            <w:hideMark/>
          </w:tcPr>
          <w:p w14:paraId="2726D22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nil"/>
              <w:left w:val="nil"/>
              <w:bottom w:val="single" w:sz="4" w:space="0" w:color="auto"/>
              <w:right w:val="single" w:sz="4" w:space="0" w:color="auto"/>
            </w:tcBorders>
            <w:vAlign w:val="center"/>
            <w:hideMark/>
          </w:tcPr>
          <w:p w14:paraId="1757F490"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0.1880</w:t>
            </w:r>
          </w:p>
        </w:tc>
        <w:tc>
          <w:tcPr>
            <w:tcW w:w="567" w:type="pct"/>
            <w:tcBorders>
              <w:top w:val="nil"/>
              <w:left w:val="nil"/>
              <w:bottom w:val="single" w:sz="4" w:space="0" w:color="auto"/>
              <w:right w:val="single" w:sz="4" w:space="0" w:color="auto"/>
            </w:tcBorders>
            <w:vAlign w:val="center"/>
            <w:hideMark/>
          </w:tcPr>
          <w:p w14:paraId="244DF11C"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nil"/>
              <w:left w:val="nil"/>
              <w:bottom w:val="single" w:sz="4" w:space="0" w:color="auto"/>
              <w:right w:val="single" w:sz="4" w:space="0" w:color="auto"/>
            </w:tcBorders>
            <w:vAlign w:val="center"/>
            <w:hideMark/>
          </w:tcPr>
          <w:p w14:paraId="5D278CDF"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51542EB6"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0.0467</w:t>
            </w:r>
          </w:p>
        </w:tc>
        <w:tc>
          <w:tcPr>
            <w:tcW w:w="568" w:type="pct"/>
            <w:tcBorders>
              <w:top w:val="nil"/>
              <w:left w:val="nil"/>
              <w:bottom w:val="single" w:sz="4" w:space="0" w:color="auto"/>
              <w:right w:val="single" w:sz="4" w:space="0" w:color="auto"/>
            </w:tcBorders>
            <w:vAlign w:val="center"/>
            <w:hideMark/>
          </w:tcPr>
          <w:p w14:paraId="2590E4F2"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0.4786</w:t>
            </w:r>
          </w:p>
        </w:tc>
      </w:tr>
      <w:tr w:rsidR="004F784C" w:rsidRPr="00DD1686" w14:paraId="21B679F1" w14:textId="77777777" w:rsidTr="00603DEF">
        <w:tc>
          <w:tcPr>
            <w:tcW w:w="5000" w:type="pct"/>
            <w:gridSpan w:val="8"/>
          </w:tcPr>
          <w:p w14:paraId="5450255E"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Quantity (2004-05 to 2023-24)</w:t>
            </w:r>
          </w:p>
        </w:tc>
      </w:tr>
      <w:tr w:rsidR="004F784C" w:rsidRPr="00DD1686" w14:paraId="49BFB309" w14:textId="77777777" w:rsidTr="00603DEF">
        <w:tc>
          <w:tcPr>
            <w:tcW w:w="1028" w:type="pct"/>
            <w:hideMark/>
          </w:tcPr>
          <w:p w14:paraId="7070D084"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From \ To</w:t>
            </w:r>
          </w:p>
        </w:tc>
        <w:tc>
          <w:tcPr>
            <w:tcW w:w="567" w:type="pct"/>
            <w:hideMark/>
          </w:tcPr>
          <w:p w14:paraId="32FC3A1C"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Japan</w:t>
            </w:r>
          </w:p>
        </w:tc>
        <w:tc>
          <w:tcPr>
            <w:tcW w:w="567" w:type="pct"/>
            <w:hideMark/>
          </w:tcPr>
          <w:p w14:paraId="114E1C37"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USA</w:t>
            </w:r>
          </w:p>
        </w:tc>
        <w:tc>
          <w:tcPr>
            <w:tcW w:w="568" w:type="pct"/>
            <w:hideMark/>
          </w:tcPr>
          <w:p w14:paraId="7C9D2DDD"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EU</w:t>
            </w:r>
          </w:p>
        </w:tc>
        <w:tc>
          <w:tcPr>
            <w:tcW w:w="567" w:type="pct"/>
            <w:hideMark/>
          </w:tcPr>
          <w:p w14:paraId="34F566DB"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China</w:t>
            </w:r>
          </w:p>
        </w:tc>
        <w:tc>
          <w:tcPr>
            <w:tcW w:w="568" w:type="pct"/>
            <w:hideMark/>
          </w:tcPr>
          <w:p w14:paraId="4577A4DE"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SEA</w:t>
            </w:r>
          </w:p>
        </w:tc>
        <w:tc>
          <w:tcPr>
            <w:tcW w:w="567" w:type="pct"/>
            <w:hideMark/>
          </w:tcPr>
          <w:p w14:paraId="19FCB32A"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ME</w:t>
            </w:r>
          </w:p>
        </w:tc>
        <w:tc>
          <w:tcPr>
            <w:tcW w:w="568" w:type="pct"/>
            <w:hideMark/>
          </w:tcPr>
          <w:p w14:paraId="0E7215EC"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Others</w:t>
            </w:r>
          </w:p>
        </w:tc>
      </w:tr>
      <w:tr w:rsidR="004F784C" w:rsidRPr="00DD1686" w14:paraId="63CC3245" w14:textId="77777777" w:rsidTr="00603DEF">
        <w:tc>
          <w:tcPr>
            <w:tcW w:w="1028" w:type="pct"/>
            <w:hideMark/>
          </w:tcPr>
          <w:p w14:paraId="5A4431DD"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Japan</w:t>
            </w:r>
          </w:p>
        </w:tc>
        <w:tc>
          <w:tcPr>
            <w:tcW w:w="567" w:type="pct"/>
            <w:tcBorders>
              <w:top w:val="single" w:sz="4" w:space="0" w:color="auto"/>
              <w:left w:val="single" w:sz="4" w:space="0" w:color="auto"/>
              <w:bottom w:val="single" w:sz="4" w:space="0" w:color="auto"/>
              <w:right w:val="single" w:sz="4" w:space="0" w:color="auto"/>
            </w:tcBorders>
            <w:vAlign w:val="center"/>
          </w:tcPr>
          <w:p w14:paraId="0539E413"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0.0774</w:t>
            </w:r>
          </w:p>
        </w:tc>
        <w:tc>
          <w:tcPr>
            <w:tcW w:w="567" w:type="pct"/>
            <w:tcBorders>
              <w:top w:val="single" w:sz="4" w:space="0" w:color="auto"/>
              <w:left w:val="nil"/>
              <w:bottom w:val="single" w:sz="4" w:space="0" w:color="auto"/>
              <w:right w:val="single" w:sz="4" w:space="0" w:color="auto"/>
            </w:tcBorders>
            <w:vAlign w:val="center"/>
          </w:tcPr>
          <w:p w14:paraId="18EF58E3"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0.1534</w:t>
            </w:r>
          </w:p>
        </w:tc>
        <w:tc>
          <w:tcPr>
            <w:tcW w:w="568" w:type="pct"/>
            <w:tcBorders>
              <w:top w:val="single" w:sz="4" w:space="0" w:color="auto"/>
              <w:left w:val="nil"/>
              <w:bottom w:val="single" w:sz="4" w:space="0" w:color="auto"/>
              <w:right w:val="single" w:sz="4" w:space="0" w:color="auto"/>
            </w:tcBorders>
            <w:vAlign w:val="center"/>
          </w:tcPr>
          <w:p w14:paraId="3131C7D8"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0.1709</w:t>
            </w:r>
          </w:p>
        </w:tc>
        <w:tc>
          <w:tcPr>
            <w:tcW w:w="567" w:type="pct"/>
            <w:tcBorders>
              <w:top w:val="single" w:sz="4" w:space="0" w:color="auto"/>
              <w:left w:val="nil"/>
              <w:bottom w:val="single" w:sz="4" w:space="0" w:color="auto"/>
              <w:right w:val="single" w:sz="4" w:space="0" w:color="auto"/>
            </w:tcBorders>
            <w:vAlign w:val="center"/>
          </w:tcPr>
          <w:p w14:paraId="5DCC78F7"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0.1654</w:t>
            </w:r>
          </w:p>
        </w:tc>
        <w:tc>
          <w:tcPr>
            <w:tcW w:w="568" w:type="pct"/>
            <w:tcBorders>
              <w:top w:val="single" w:sz="4" w:space="0" w:color="auto"/>
              <w:left w:val="nil"/>
              <w:bottom w:val="single" w:sz="4" w:space="0" w:color="auto"/>
              <w:right w:val="single" w:sz="4" w:space="0" w:color="auto"/>
            </w:tcBorders>
            <w:vAlign w:val="center"/>
          </w:tcPr>
          <w:p w14:paraId="08499139"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0.2767</w:t>
            </w:r>
          </w:p>
        </w:tc>
        <w:tc>
          <w:tcPr>
            <w:tcW w:w="567" w:type="pct"/>
            <w:tcBorders>
              <w:top w:val="single" w:sz="4" w:space="0" w:color="auto"/>
              <w:left w:val="nil"/>
              <w:bottom w:val="single" w:sz="4" w:space="0" w:color="auto"/>
              <w:right w:val="single" w:sz="4" w:space="0" w:color="auto"/>
            </w:tcBorders>
            <w:vAlign w:val="center"/>
          </w:tcPr>
          <w:p w14:paraId="0954E3FE"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0.0472</w:t>
            </w:r>
          </w:p>
        </w:tc>
        <w:tc>
          <w:tcPr>
            <w:tcW w:w="568" w:type="pct"/>
            <w:tcBorders>
              <w:top w:val="single" w:sz="4" w:space="0" w:color="auto"/>
              <w:left w:val="nil"/>
              <w:bottom w:val="single" w:sz="4" w:space="0" w:color="auto"/>
              <w:right w:val="single" w:sz="4" w:space="0" w:color="auto"/>
            </w:tcBorders>
            <w:vAlign w:val="center"/>
          </w:tcPr>
          <w:p w14:paraId="18BB482A"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0.1090</w:t>
            </w:r>
          </w:p>
        </w:tc>
      </w:tr>
      <w:tr w:rsidR="004F784C" w:rsidRPr="00DD1686" w14:paraId="39148D0A" w14:textId="77777777" w:rsidTr="00603DEF">
        <w:tc>
          <w:tcPr>
            <w:tcW w:w="1028" w:type="pct"/>
            <w:hideMark/>
          </w:tcPr>
          <w:p w14:paraId="2BB1780E"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USA</w:t>
            </w:r>
          </w:p>
        </w:tc>
        <w:tc>
          <w:tcPr>
            <w:tcW w:w="567" w:type="pct"/>
            <w:tcBorders>
              <w:top w:val="nil"/>
              <w:left w:val="single" w:sz="4" w:space="0" w:color="auto"/>
              <w:bottom w:val="single" w:sz="4" w:space="0" w:color="auto"/>
              <w:right w:val="single" w:sz="4" w:space="0" w:color="auto"/>
            </w:tcBorders>
            <w:vAlign w:val="center"/>
          </w:tcPr>
          <w:p w14:paraId="525775A5"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0.0875</w:t>
            </w:r>
          </w:p>
        </w:tc>
        <w:tc>
          <w:tcPr>
            <w:tcW w:w="567" w:type="pct"/>
            <w:tcBorders>
              <w:top w:val="nil"/>
              <w:left w:val="nil"/>
              <w:bottom w:val="single" w:sz="4" w:space="0" w:color="auto"/>
              <w:right w:val="single" w:sz="4" w:space="0" w:color="auto"/>
            </w:tcBorders>
            <w:vAlign w:val="center"/>
          </w:tcPr>
          <w:p w14:paraId="00491C81"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0.1106</w:t>
            </w:r>
          </w:p>
        </w:tc>
        <w:tc>
          <w:tcPr>
            <w:tcW w:w="568" w:type="pct"/>
            <w:tcBorders>
              <w:top w:val="nil"/>
              <w:left w:val="nil"/>
              <w:bottom w:val="single" w:sz="4" w:space="0" w:color="auto"/>
              <w:right w:val="single" w:sz="4" w:space="0" w:color="auto"/>
            </w:tcBorders>
            <w:vAlign w:val="center"/>
          </w:tcPr>
          <w:p w14:paraId="0FD72103"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0.2000</w:t>
            </w:r>
          </w:p>
        </w:tc>
        <w:tc>
          <w:tcPr>
            <w:tcW w:w="567" w:type="pct"/>
            <w:tcBorders>
              <w:top w:val="nil"/>
              <w:left w:val="nil"/>
              <w:bottom w:val="single" w:sz="4" w:space="0" w:color="auto"/>
              <w:right w:val="single" w:sz="4" w:space="0" w:color="auto"/>
            </w:tcBorders>
            <w:vAlign w:val="center"/>
          </w:tcPr>
          <w:p w14:paraId="4B1A20A5"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0.1734</w:t>
            </w:r>
          </w:p>
        </w:tc>
        <w:tc>
          <w:tcPr>
            <w:tcW w:w="568" w:type="pct"/>
            <w:tcBorders>
              <w:top w:val="nil"/>
              <w:left w:val="nil"/>
              <w:bottom w:val="single" w:sz="4" w:space="0" w:color="auto"/>
              <w:right w:val="single" w:sz="4" w:space="0" w:color="auto"/>
            </w:tcBorders>
            <w:vAlign w:val="center"/>
          </w:tcPr>
          <w:p w14:paraId="446336C2"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0.2681</w:t>
            </w:r>
          </w:p>
        </w:tc>
        <w:tc>
          <w:tcPr>
            <w:tcW w:w="567" w:type="pct"/>
            <w:tcBorders>
              <w:top w:val="nil"/>
              <w:left w:val="nil"/>
              <w:bottom w:val="single" w:sz="4" w:space="0" w:color="auto"/>
              <w:right w:val="single" w:sz="4" w:space="0" w:color="auto"/>
            </w:tcBorders>
            <w:vAlign w:val="center"/>
          </w:tcPr>
          <w:p w14:paraId="2D389435"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0.0482</w:t>
            </w:r>
          </w:p>
        </w:tc>
        <w:tc>
          <w:tcPr>
            <w:tcW w:w="568" w:type="pct"/>
            <w:tcBorders>
              <w:top w:val="nil"/>
              <w:left w:val="nil"/>
              <w:bottom w:val="single" w:sz="4" w:space="0" w:color="auto"/>
              <w:right w:val="single" w:sz="4" w:space="0" w:color="auto"/>
            </w:tcBorders>
            <w:vAlign w:val="center"/>
          </w:tcPr>
          <w:p w14:paraId="6E9A8606"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0.1121</w:t>
            </w:r>
          </w:p>
        </w:tc>
      </w:tr>
      <w:tr w:rsidR="004F784C" w:rsidRPr="00DD1686" w14:paraId="1F3397BD" w14:textId="77777777" w:rsidTr="00603DEF">
        <w:tc>
          <w:tcPr>
            <w:tcW w:w="1028" w:type="pct"/>
            <w:hideMark/>
          </w:tcPr>
          <w:p w14:paraId="64739205"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EU</w:t>
            </w:r>
          </w:p>
        </w:tc>
        <w:tc>
          <w:tcPr>
            <w:tcW w:w="567" w:type="pct"/>
            <w:tcBorders>
              <w:top w:val="nil"/>
              <w:left w:val="single" w:sz="4" w:space="0" w:color="auto"/>
              <w:bottom w:val="single" w:sz="4" w:space="0" w:color="auto"/>
              <w:right w:val="single" w:sz="4" w:space="0" w:color="auto"/>
            </w:tcBorders>
            <w:vAlign w:val="center"/>
          </w:tcPr>
          <w:p w14:paraId="40B5BE68"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0.0770</w:t>
            </w:r>
          </w:p>
        </w:tc>
        <w:tc>
          <w:tcPr>
            <w:tcW w:w="567" w:type="pct"/>
            <w:tcBorders>
              <w:top w:val="nil"/>
              <w:left w:val="nil"/>
              <w:bottom w:val="single" w:sz="4" w:space="0" w:color="auto"/>
              <w:right w:val="single" w:sz="4" w:space="0" w:color="auto"/>
            </w:tcBorders>
            <w:vAlign w:val="center"/>
          </w:tcPr>
          <w:p w14:paraId="17566789"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0.1573</w:t>
            </w:r>
          </w:p>
        </w:tc>
        <w:tc>
          <w:tcPr>
            <w:tcW w:w="568" w:type="pct"/>
            <w:tcBorders>
              <w:top w:val="nil"/>
              <w:left w:val="nil"/>
              <w:bottom w:val="single" w:sz="4" w:space="0" w:color="auto"/>
              <w:right w:val="single" w:sz="4" w:space="0" w:color="auto"/>
            </w:tcBorders>
            <w:vAlign w:val="center"/>
          </w:tcPr>
          <w:p w14:paraId="68CEBEBF"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0.1690</w:t>
            </w:r>
          </w:p>
        </w:tc>
        <w:tc>
          <w:tcPr>
            <w:tcW w:w="567" w:type="pct"/>
            <w:tcBorders>
              <w:top w:val="nil"/>
              <w:left w:val="nil"/>
              <w:bottom w:val="single" w:sz="4" w:space="0" w:color="auto"/>
              <w:right w:val="single" w:sz="4" w:space="0" w:color="auto"/>
            </w:tcBorders>
            <w:vAlign w:val="center"/>
          </w:tcPr>
          <w:p w14:paraId="5E788644"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0.1700</w:t>
            </w:r>
          </w:p>
        </w:tc>
        <w:tc>
          <w:tcPr>
            <w:tcW w:w="568" w:type="pct"/>
            <w:tcBorders>
              <w:top w:val="nil"/>
              <w:left w:val="nil"/>
              <w:bottom w:val="single" w:sz="4" w:space="0" w:color="auto"/>
              <w:right w:val="single" w:sz="4" w:space="0" w:color="auto"/>
            </w:tcBorders>
            <w:vAlign w:val="center"/>
          </w:tcPr>
          <w:p w14:paraId="50C3D996"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0.2703</w:t>
            </w:r>
          </w:p>
        </w:tc>
        <w:tc>
          <w:tcPr>
            <w:tcW w:w="567" w:type="pct"/>
            <w:tcBorders>
              <w:top w:val="nil"/>
              <w:left w:val="nil"/>
              <w:bottom w:val="single" w:sz="4" w:space="0" w:color="auto"/>
              <w:right w:val="single" w:sz="4" w:space="0" w:color="auto"/>
            </w:tcBorders>
            <w:vAlign w:val="center"/>
          </w:tcPr>
          <w:p w14:paraId="047F2524"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0.0469</w:t>
            </w:r>
          </w:p>
        </w:tc>
        <w:tc>
          <w:tcPr>
            <w:tcW w:w="568" w:type="pct"/>
            <w:tcBorders>
              <w:top w:val="nil"/>
              <w:left w:val="nil"/>
              <w:bottom w:val="single" w:sz="4" w:space="0" w:color="auto"/>
              <w:right w:val="single" w:sz="4" w:space="0" w:color="auto"/>
            </w:tcBorders>
            <w:vAlign w:val="center"/>
          </w:tcPr>
          <w:p w14:paraId="1CC07ACC"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0.1096</w:t>
            </w:r>
          </w:p>
        </w:tc>
      </w:tr>
      <w:tr w:rsidR="004F784C" w:rsidRPr="00DD1686" w14:paraId="6DFA01DE" w14:textId="77777777" w:rsidTr="00603DEF">
        <w:tc>
          <w:tcPr>
            <w:tcW w:w="1028" w:type="pct"/>
            <w:hideMark/>
          </w:tcPr>
          <w:p w14:paraId="1950E6E8"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China</w:t>
            </w:r>
          </w:p>
        </w:tc>
        <w:tc>
          <w:tcPr>
            <w:tcW w:w="567" w:type="pct"/>
            <w:tcBorders>
              <w:top w:val="nil"/>
              <w:left w:val="single" w:sz="4" w:space="0" w:color="auto"/>
              <w:bottom w:val="single" w:sz="4" w:space="0" w:color="auto"/>
              <w:right w:val="single" w:sz="4" w:space="0" w:color="auto"/>
            </w:tcBorders>
            <w:vAlign w:val="center"/>
          </w:tcPr>
          <w:p w14:paraId="4FB7236E"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0.0730</w:t>
            </w:r>
          </w:p>
        </w:tc>
        <w:tc>
          <w:tcPr>
            <w:tcW w:w="567" w:type="pct"/>
            <w:tcBorders>
              <w:top w:val="nil"/>
              <w:left w:val="nil"/>
              <w:bottom w:val="single" w:sz="4" w:space="0" w:color="auto"/>
              <w:right w:val="single" w:sz="4" w:space="0" w:color="auto"/>
            </w:tcBorders>
            <w:vAlign w:val="center"/>
          </w:tcPr>
          <w:p w14:paraId="3FD701F0"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0.1563</w:t>
            </w:r>
          </w:p>
        </w:tc>
        <w:tc>
          <w:tcPr>
            <w:tcW w:w="568" w:type="pct"/>
            <w:tcBorders>
              <w:top w:val="nil"/>
              <w:left w:val="nil"/>
              <w:bottom w:val="single" w:sz="4" w:space="0" w:color="auto"/>
              <w:right w:val="single" w:sz="4" w:space="0" w:color="auto"/>
            </w:tcBorders>
            <w:vAlign w:val="center"/>
          </w:tcPr>
          <w:p w14:paraId="367218E6"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0.1654</w:t>
            </w:r>
          </w:p>
        </w:tc>
        <w:tc>
          <w:tcPr>
            <w:tcW w:w="567" w:type="pct"/>
            <w:tcBorders>
              <w:top w:val="nil"/>
              <w:left w:val="nil"/>
              <w:bottom w:val="single" w:sz="4" w:space="0" w:color="auto"/>
              <w:right w:val="single" w:sz="4" w:space="0" w:color="auto"/>
            </w:tcBorders>
            <w:vAlign w:val="center"/>
          </w:tcPr>
          <w:p w14:paraId="5231F8AF"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0.1221</w:t>
            </w:r>
          </w:p>
        </w:tc>
        <w:tc>
          <w:tcPr>
            <w:tcW w:w="568" w:type="pct"/>
            <w:tcBorders>
              <w:top w:val="nil"/>
              <w:left w:val="nil"/>
              <w:bottom w:val="single" w:sz="4" w:space="0" w:color="auto"/>
              <w:right w:val="single" w:sz="4" w:space="0" w:color="auto"/>
            </w:tcBorders>
            <w:vAlign w:val="center"/>
          </w:tcPr>
          <w:p w14:paraId="621E3633"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0.3306</w:t>
            </w:r>
          </w:p>
        </w:tc>
        <w:tc>
          <w:tcPr>
            <w:tcW w:w="567" w:type="pct"/>
            <w:tcBorders>
              <w:top w:val="nil"/>
              <w:left w:val="nil"/>
              <w:bottom w:val="single" w:sz="4" w:space="0" w:color="auto"/>
              <w:right w:val="single" w:sz="4" w:space="0" w:color="auto"/>
            </w:tcBorders>
            <w:vAlign w:val="center"/>
          </w:tcPr>
          <w:p w14:paraId="3C12408F"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0.0482</w:t>
            </w:r>
          </w:p>
        </w:tc>
        <w:tc>
          <w:tcPr>
            <w:tcW w:w="568" w:type="pct"/>
            <w:tcBorders>
              <w:top w:val="nil"/>
              <w:left w:val="nil"/>
              <w:bottom w:val="single" w:sz="4" w:space="0" w:color="auto"/>
              <w:right w:val="single" w:sz="4" w:space="0" w:color="auto"/>
            </w:tcBorders>
            <w:vAlign w:val="center"/>
          </w:tcPr>
          <w:p w14:paraId="2343755C"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0.1044</w:t>
            </w:r>
          </w:p>
        </w:tc>
      </w:tr>
      <w:tr w:rsidR="004F784C" w:rsidRPr="00DD1686" w14:paraId="5FB05544" w14:textId="77777777" w:rsidTr="00603DEF">
        <w:tc>
          <w:tcPr>
            <w:tcW w:w="1028" w:type="pct"/>
            <w:hideMark/>
          </w:tcPr>
          <w:p w14:paraId="2B268B60"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SEA</w:t>
            </w:r>
          </w:p>
        </w:tc>
        <w:tc>
          <w:tcPr>
            <w:tcW w:w="567" w:type="pct"/>
            <w:tcBorders>
              <w:top w:val="nil"/>
              <w:left w:val="single" w:sz="4" w:space="0" w:color="auto"/>
              <w:bottom w:val="single" w:sz="4" w:space="0" w:color="auto"/>
              <w:right w:val="single" w:sz="4" w:space="0" w:color="auto"/>
            </w:tcBorders>
            <w:vAlign w:val="center"/>
          </w:tcPr>
          <w:p w14:paraId="00BDA0BE"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0.0882</w:t>
            </w:r>
          </w:p>
        </w:tc>
        <w:tc>
          <w:tcPr>
            <w:tcW w:w="567" w:type="pct"/>
            <w:tcBorders>
              <w:top w:val="nil"/>
              <w:left w:val="nil"/>
              <w:bottom w:val="single" w:sz="4" w:space="0" w:color="auto"/>
              <w:right w:val="single" w:sz="4" w:space="0" w:color="auto"/>
            </w:tcBorders>
            <w:vAlign w:val="center"/>
          </w:tcPr>
          <w:p w14:paraId="05CC5BB7"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0.1275</w:t>
            </w:r>
          </w:p>
        </w:tc>
        <w:tc>
          <w:tcPr>
            <w:tcW w:w="568" w:type="pct"/>
            <w:tcBorders>
              <w:top w:val="nil"/>
              <w:left w:val="nil"/>
              <w:bottom w:val="single" w:sz="4" w:space="0" w:color="auto"/>
              <w:right w:val="single" w:sz="4" w:space="0" w:color="auto"/>
            </w:tcBorders>
            <w:vAlign w:val="center"/>
          </w:tcPr>
          <w:p w14:paraId="0BE721EC"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0.1996</w:t>
            </w:r>
          </w:p>
        </w:tc>
        <w:tc>
          <w:tcPr>
            <w:tcW w:w="567" w:type="pct"/>
            <w:tcBorders>
              <w:top w:val="nil"/>
              <w:left w:val="nil"/>
              <w:bottom w:val="single" w:sz="4" w:space="0" w:color="auto"/>
              <w:right w:val="single" w:sz="4" w:space="0" w:color="auto"/>
            </w:tcBorders>
            <w:vAlign w:val="center"/>
          </w:tcPr>
          <w:p w14:paraId="3D0D20AD"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0.2051</w:t>
            </w:r>
          </w:p>
        </w:tc>
        <w:tc>
          <w:tcPr>
            <w:tcW w:w="568" w:type="pct"/>
            <w:tcBorders>
              <w:top w:val="nil"/>
              <w:left w:val="nil"/>
              <w:bottom w:val="single" w:sz="4" w:space="0" w:color="auto"/>
              <w:right w:val="single" w:sz="4" w:space="0" w:color="auto"/>
            </w:tcBorders>
            <w:vAlign w:val="center"/>
          </w:tcPr>
          <w:p w14:paraId="3BAB616C"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0.2227</w:t>
            </w:r>
          </w:p>
        </w:tc>
        <w:tc>
          <w:tcPr>
            <w:tcW w:w="567" w:type="pct"/>
            <w:tcBorders>
              <w:top w:val="nil"/>
              <w:left w:val="nil"/>
              <w:bottom w:val="single" w:sz="4" w:space="0" w:color="auto"/>
              <w:right w:val="single" w:sz="4" w:space="0" w:color="auto"/>
            </w:tcBorders>
            <w:vAlign w:val="center"/>
          </w:tcPr>
          <w:p w14:paraId="38C550B7"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0.0462</w:t>
            </w:r>
          </w:p>
        </w:tc>
        <w:tc>
          <w:tcPr>
            <w:tcW w:w="568" w:type="pct"/>
            <w:tcBorders>
              <w:top w:val="nil"/>
              <w:left w:val="nil"/>
              <w:bottom w:val="single" w:sz="4" w:space="0" w:color="auto"/>
              <w:right w:val="single" w:sz="4" w:space="0" w:color="auto"/>
            </w:tcBorders>
            <w:vAlign w:val="center"/>
          </w:tcPr>
          <w:p w14:paraId="04B64637"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0.1107</w:t>
            </w:r>
          </w:p>
        </w:tc>
      </w:tr>
      <w:tr w:rsidR="004F784C" w:rsidRPr="00DD1686" w14:paraId="51ECC826" w14:textId="77777777" w:rsidTr="00603DEF">
        <w:tc>
          <w:tcPr>
            <w:tcW w:w="1028" w:type="pct"/>
            <w:hideMark/>
          </w:tcPr>
          <w:p w14:paraId="0AC3EEC5"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ME</w:t>
            </w:r>
          </w:p>
        </w:tc>
        <w:tc>
          <w:tcPr>
            <w:tcW w:w="567" w:type="pct"/>
            <w:tcBorders>
              <w:top w:val="nil"/>
              <w:left w:val="single" w:sz="4" w:space="0" w:color="auto"/>
              <w:bottom w:val="single" w:sz="4" w:space="0" w:color="auto"/>
              <w:right w:val="single" w:sz="4" w:space="0" w:color="auto"/>
            </w:tcBorders>
            <w:vAlign w:val="center"/>
          </w:tcPr>
          <w:p w14:paraId="19AB9F9C"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0.0822</w:t>
            </w:r>
          </w:p>
        </w:tc>
        <w:tc>
          <w:tcPr>
            <w:tcW w:w="567" w:type="pct"/>
            <w:tcBorders>
              <w:top w:val="nil"/>
              <w:left w:val="nil"/>
              <w:bottom w:val="single" w:sz="4" w:space="0" w:color="auto"/>
              <w:right w:val="single" w:sz="4" w:space="0" w:color="auto"/>
            </w:tcBorders>
            <w:vAlign w:val="center"/>
          </w:tcPr>
          <w:p w14:paraId="6816E54F"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0.1410</w:t>
            </w:r>
          </w:p>
        </w:tc>
        <w:tc>
          <w:tcPr>
            <w:tcW w:w="568" w:type="pct"/>
            <w:tcBorders>
              <w:top w:val="nil"/>
              <w:left w:val="nil"/>
              <w:bottom w:val="single" w:sz="4" w:space="0" w:color="auto"/>
              <w:right w:val="single" w:sz="4" w:space="0" w:color="auto"/>
            </w:tcBorders>
            <w:vAlign w:val="center"/>
          </w:tcPr>
          <w:p w14:paraId="5167E608"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0.1834</w:t>
            </w:r>
          </w:p>
        </w:tc>
        <w:tc>
          <w:tcPr>
            <w:tcW w:w="567" w:type="pct"/>
            <w:tcBorders>
              <w:top w:val="nil"/>
              <w:left w:val="nil"/>
              <w:bottom w:val="single" w:sz="4" w:space="0" w:color="auto"/>
              <w:right w:val="single" w:sz="4" w:space="0" w:color="auto"/>
            </w:tcBorders>
            <w:vAlign w:val="center"/>
          </w:tcPr>
          <w:p w14:paraId="19F0B50C"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0.1795</w:t>
            </w:r>
          </w:p>
        </w:tc>
        <w:tc>
          <w:tcPr>
            <w:tcW w:w="568" w:type="pct"/>
            <w:tcBorders>
              <w:top w:val="nil"/>
              <w:left w:val="nil"/>
              <w:bottom w:val="single" w:sz="4" w:space="0" w:color="auto"/>
              <w:right w:val="single" w:sz="4" w:space="0" w:color="auto"/>
            </w:tcBorders>
            <w:vAlign w:val="center"/>
          </w:tcPr>
          <w:p w14:paraId="425E55AA"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0.2578</w:t>
            </w:r>
          </w:p>
        </w:tc>
        <w:tc>
          <w:tcPr>
            <w:tcW w:w="567" w:type="pct"/>
            <w:tcBorders>
              <w:top w:val="nil"/>
              <w:left w:val="nil"/>
              <w:bottom w:val="single" w:sz="4" w:space="0" w:color="auto"/>
              <w:right w:val="single" w:sz="4" w:space="0" w:color="auto"/>
            </w:tcBorders>
            <w:vAlign w:val="center"/>
          </w:tcPr>
          <w:p w14:paraId="38093F76"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0.0468</w:t>
            </w:r>
          </w:p>
        </w:tc>
        <w:tc>
          <w:tcPr>
            <w:tcW w:w="568" w:type="pct"/>
            <w:tcBorders>
              <w:top w:val="nil"/>
              <w:left w:val="nil"/>
              <w:bottom w:val="single" w:sz="4" w:space="0" w:color="auto"/>
              <w:right w:val="single" w:sz="4" w:space="0" w:color="auto"/>
            </w:tcBorders>
            <w:vAlign w:val="center"/>
          </w:tcPr>
          <w:p w14:paraId="55D47080"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0.1093</w:t>
            </w:r>
          </w:p>
        </w:tc>
      </w:tr>
      <w:tr w:rsidR="004F784C" w:rsidRPr="00DD1686" w14:paraId="564E8778" w14:textId="77777777" w:rsidTr="00603DEF">
        <w:tc>
          <w:tcPr>
            <w:tcW w:w="1028" w:type="pct"/>
            <w:hideMark/>
          </w:tcPr>
          <w:p w14:paraId="03C737FE"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Others</w:t>
            </w:r>
          </w:p>
        </w:tc>
        <w:tc>
          <w:tcPr>
            <w:tcW w:w="567" w:type="pct"/>
            <w:tcBorders>
              <w:top w:val="nil"/>
              <w:left w:val="single" w:sz="4" w:space="0" w:color="auto"/>
              <w:bottom w:val="single" w:sz="4" w:space="0" w:color="auto"/>
              <w:right w:val="single" w:sz="4" w:space="0" w:color="auto"/>
            </w:tcBorders>
            <w:vAlign w:val="center"/>
          </w:tcPr>
          <w:p w14:paraId="0CBBCB1E"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0.0827</w:t>
            </w:r>
          </w:p>
        </w:tc>
        <w:tc>
          <w:tcPr>
            <w:tcW w:w="567" w:type="pct"/>
            <w:tcBorders>
              <w:top w:val="nil"/>
              <w:left w:val="nil"/>
              <w:bottom w:val="single" w:sz="4" w:space="0" w:color="auto"/>
              <w:right w:val="single" w:sz="4" w:space="0" w:color="auto"/>
            </w:tcBorders>
            <w:vAlign w:val="center"/>
          </w:tcPr>
          <w:p w14:paraId="1B6BE816"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0.1415</w:t>
            </w:r>
          </w:p>
        </w:tc>
        <w:tc>
          <w:tcPr>
            <w:tcW w:w="568" w:type="pct"/>
            <w:tcBorders>
              <w:top w:val="nil"/>
              <w:left w:val="nil"/>
              <w:bottom w:val="single" w:sz="4" w:space="0" w:color="auto"/>
              <w:right w:val="single" w:sz="4" w:space="0" w:color="auto"/>
            </w:tcBorders>
            <w:vAlign w:val="center"/>
          </w:tcPr>
          <w:p w14:paraId="15B35196"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0.1840</w:t>
            </w:r>
          </w:p>
        </w:tc>
        <w:tc>
          <w:tcPr>
            <w:tcW w:w="567" w:type="pct"/>
            <w:tcBorders>
              <w:top w:val="nil"/>
              <w:left w:val="nil"/>
              <w:bottom w:val="single" w:sz="4" w:space="0" w:color="auto"/>
              <w:right w:val="single" w:sz="4" w:space="0" w:color="auto"/>
            </w:tcBorders>
            <w:vAlign w:val="center"/>
          </w:tcPr>
          <w:p w14:paraId="1B4DA6CF"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0.1779</w:t>
            </w:r>
          </w:p>
        </w:tc>
        <w:tc>
          <w:tcPr>
            <w:tcW w:w="568" w:type="pct"/>
            <w:tcBorders>
              <w:top w:val="nil"/>
              <w:left w:val="nil"/>
              <w:bottom w:val="single" w:sz="4" w:space="0" w:color="auto"/>
              <w:right w:val="single" w:sz="4" w:space="0" w:color="auto"/>
            </w:tcBorders>
            <w:vAlign w:val="center"/>
          </w:tcPr>
          <w:p w14:paraId="0D051956"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0.2598</w:t>
            </w:r>
          </w:p>
        </w:tc>
        <w:tc>
          <w:tcPr>
            <w:tcW w:w="567" w:type="pct"/>
            <w:tcBorders>
              <w:top w:val="nil"/>
              <w:left w:val="nil"/>
              <w:bottom w:val="single" w:sz="4" w:space="0" w:color="auto"/>
              <w:right w:val="single" w:sz="4" w:space="0" w:color="auto"/>
            </w:tcBorders>
            <w:vAlign w:val="center"/>
          </w:tcPr>
          <w:p w14:paraId="17A9AC52"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0.0466</w:t>
            </w:r>
          </w:p>
        </w:tc>
        <w:tc>
          <w:tcPr>
            <w:tcW w:w="568" w:type="pct"/>
            <w:tcBorders>
              <w:top w:val="nil"/>
              <w:left w:val="nil"/>
              <w:bottom w:val="single" w:sz="4" w:space="0" w:color="auto"/>
              <w:right w:val="single" w:sz="4" w:space="0" w:color="auto"/>
            </w:tcBorders>
            <w:vAlign w:val="center"/>
          </w:tcPr>
          <w:p w14:paraId="6344827B"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0.1075</w:t>
            </w:r>
          </w:p>
        </w:tc>
      </w:tr>
    </w:tbl>
    <w:p w14:paraId="1DAFD7D2" w14:textId="77777777" w:rsidR="004F784C" w:rsidRPr="00DD1686" w:rsidRDefault="004F784C" w:rsidP="004F784C">
      <w:pPr>
        <w:jc w:val="both"/>
        <w:rPr>
          <w:rFonts w:ascii="Arial" w:eastAsia="Calibri" w:hAnsi="Arial" w:cs="Arial"/>
          <w:sz w:val="20"/>
          <w:szCs w:val="20"/>
          <w:lang w:bidi="gu-IN"/>
        </w:rPr>
      </w:pPr>
    </w:p>
    <w:p w14:paraId="7DF742DD" w14:textId="77777777" w:rsidR="004F784C" w:rsidRPr="00DD1686" w:rsidRDefault="00C376DE" w:rsidP="00D412B7">
      <w:pPr>
        <w:spacing w:after="120"/>
        <w:jc w:val="both"/>
        <w:rPr>
          <w:rFonts w:ascii="Arial" w:eastAsia="Calibri" w:hAnsi="Arial" w:cs="Arial"/>
          <w:b/>
          <w:bCs/>
          <w:lang w:bidi="gu-IN"/>
        </w:rPr>
      </w:pPr>
      <w:r>
        <w:rPr>
          <w:rFonts w:ascii="Arial" w:eastAsia="Calibri" w:hAnsi="Arial" w:cs="Arial"/>
          <w:b/>
          <w:bCs/>
          <w:lang w:bidi="gu-IN"/>
        </w:rPr>
        <w:t xml:space="preserve">3.4 </w:t>
      </w:r>
      <w:r w:rsidR="004F784C" w:rsidRPr="00DD1686">
        <w:rPr>
          <w:rFonts w:ascii="Arial" w:eastAsia="Calibri" w:hAnsi="Arial" w:cs="Arial"/>
          <w:b/>
          <w:bCs/>
          <w:lang w:bidi="gu-IN"/>
        </w:rPr>
        <w:t>Policy Implications</w:t>
      </w:r>
    </w:p>
    <w:p w14:paraId="11CD259A" w14:textId="77777777" w:rsidR="004F784C" w:rsidRPr="00C376DE" w:rsidRDefault="004F784C" w:rsidP="00D412B7">
      <w:pPr>
        <w:spacing w:after="120"/>
        <w:jc w:val="both"/>
        <w:rPr>
          <w:rFonts w:ascii="Arial" w:eastAsia="Calibri" w:hAnsi="Arial" w:cs="Arial"/>
          <w:sz w:val="20"/>
          <w:szCs w:val="20"/>
          <w:lang w:bidi="gu-IN"/>
        </w:rPr>
      </w:pPr>
      <w:r w:rsidRPr="00C376DE">
        <w:rPr>
          <w:rFonts w:ascii="Arial" w:eastAsia="Calibri" w:hAnsi="Arial" w:cs="Arial"/>
          <w:sz w:val="20"/>
          <w:szCs w:val="20"/>
          <w:lang w:bidi="gu-IN"/>
        </w:rPr>
        <w:t>The findings from the RCA and Markov Chain analyses point to several policy priorities for strengthening India’s marine product exports.</w:t>
      </w:r>
    </w:p>
    <w:p w14:paraId="06284E9B" w14:textId="77777777" w:rsidR="004F784C" w:rsidRPr="00C376DE" w:rsidRDefault="004F784C" w:rsidP="00D412B7">
      <w:pPr>
        <w:numPr>
          <w:ilvl w:val="0"/>
          <w:numId w:val="2"/>
        </w:numPr>
        <w:spacing w:after="120"/>
        <w:jc w:val="both"/>
        <w:rPr>
          <w:rFonts w:ascii="Arial" w:eastAsia="Calibri" w:hAnsi="Arial" w:cs="Arial"/>
          <w:sz w:val="20"/>
          <w:szCs w:val="20"/>
          <w:lang w:bidi="gu-IN"/>
        </w:rPr>
      </w:pPr>
      <w:r w:rsidRPr="00C376DE">
        <w:rPr>
          <w:rFonts w:ascii="Arial" w:eastAsia="Calibri" w:hAnsi="Arial" w:cs="Arial"/>
          <w:sz w:val="20"/>
          <w:szCs w:val="20"/>
          <w:lang w:bidi="gu-IN"/>
        </w:rPr>
        <w:t>The sustained comparative advantage in frozen shrimp calls for continued support to aquaculture modernization, disease surveillance, sustainability certification, and strict compliance with sanitary and phytosanitary standards to maintain competitiveness in key markets such as the United States, China, and the European Union.</w:t>
      </w:r>
    </w:p>
    <w:p w14:paraId="535C32A0" w14:textId="77777777" w:rsidR="004F784C" w:rsidRPr="00C376DE" w:rsidRDefault="004F784C" w:rsidP="00D412B7">
      <w:pPr>
        <w:numPr>
          <w:ilvl w:val="0"/>
          <w:numId w:val="2"/>
        </w:numPr>
        <w:spacing w:after="120"/>
        <w:jc w:val="both"/>
        <w:rPr>
          <w:rFonts w:ascii="Arial" w:eastAsia="Calibri" w:hAnsi="Arial" w:cs="Arial"/>
          <w:sz w:val="20"/>
          <w:szCs w:val="20"/>
          <w:lang w:bidi="gu-IN"/>
        </w:rPr>
      </w:pPr>
      <w:r w:rsidRPr="00C376DE">
        <w:rPr>
          <w:rFonts w:ascii="Arial" w:eastAsia="Calibri" w:hAnsi="Arial" w:cs="Arial"/>
          <w:sz w:val="20"/>
          <w:szCs w:val="20"/>
          <w:lang w:bidi="gu-IN"/>
        </w:rPr>
        <w:t>The absence of comparative advantage in other product segments highlights the need for diversification through greater value addition, processing modernization, improved cold-chain logistics, and quality upgrading, and thereby reducing overdependence on shrimp exports.</w:t>
      </w:r>
    </w:p>
    <w:p w14:paraId="130F054F" w14:textId="77777777" w:rsidR="004F784C" w:rsidRPr="00C376DE" w:rsidRDefault="004F784C" w:rsidP="00D412B7">
      <w:pPr>
        <w:numPr>
          <w:ilvl w:val="0"/>
          <w:numId w:val="2"/>
        </w:numPr>
        <w:spacing w:after="120"/>
        <w:jc w:val="both"/>
        <w:rPr>
          <w:rFonts w:ascii="Arial" w:eastAsia="Calibri" w:hAnsi="Arial" w:cs="Arial"/>
          <w:sz w:val="20"/>
          <w:szCs w:val="20"/>
          <w:lang w:bidi="gu-IN"/>
        </w:rPr>
      </w:pPr>
      <w:r w:rsidRPr="00C376DE">
        <w:rPr>
          <w:rFonts w:ascii="Arial" w:eastAsia="Calibri" w:hAnsi="Arial" w:cs="Arial"/>
          <w:sz w:val="20"/>
          <w:szCs w:val="20"/>
          <w:lang w:bidi="gu-IN"/>
        </w:rPr>
        <w:t>The increasing orientation toward Asian markets, particularly South East Asia and China, suggests consolidating gains in these relatively stable destinations while revitalizing exports to declining markets such as Japan through branding, product differentiation, and targeted market promotion.</w:t>
      </w:r>
    </w:p>
    <w:p w14:paraId="424B71BB" w14:textId="77777777" w:rsidR="004F784C" w:rsidRPr="00C376DE" w:rsidRDefault="004F784C" w:rsidP="004F784C">
      <w:pPr>
        <w:numPr>
          <w:ilvl w:val="0"/>
          <w:numId w:val="2"/>
        </w:numPr>
        <w:jc w:val="both"/>
        <w:rPr>
          <w:rFonts w:ascii="Arial" w:eastAsia="Calibri" w:hAnsi="Arial" w:cs="Arial"/>
          <w:sz w:val="20"/>
          <w:szCs w:val="20"/>
          <w:lang w:bidi="gu-IN"/>
        </w:rPr>
      </w:pPr>
      <w:r w:rsidRPr="00C376DE">
        <w:rPr>
          <w:rFonts w:ascii="Arial" w:eastAsia="Calibri" w:hAnsi="Arial" w:cs="Arial"/>
          <w:sz w:val="20"/>
          <w:szCs w:val="20"/>
          <w:lang w:bidi="gu-IN"/>
        </w:rPr>
        <w:t>Strengthening institutional support through the Marine Products Export Development Authority, improving market intelligence systems, and investing in sustainable resource management and export infrastructure will be essential to ensure long-term competitiveness and export stability.</w:t>
      </w:r>
    </w:p>
    <w:p w14:paraId="6356D817" w14:textId="77777777" w:rsidR="004F784C" w:rsidRPr="00603DEF" w:rsidRDefault="004F784C" w:rsidP="004F784C">
      <w:pPr>
        <w:jc w:val="both"/>
        <w:rPr>
          <w:rFonts w:ascii="Arial" w:eastAsia="Calibri" w:hAnsi="Arial" w:cs="Arial"/>
          <w:sz w:val="24"/>
          <w:szCs w:val="24"/>
          <w:lang w:bidi="gu-IN"/>
        </w:rPr>
      </w:pPr>
    </w:p>
    <w:p w14:paraId="15ACDD4C" w14:textId="77777777" w:rsidR="004F784C" w:rsidRPr="00DD1686" w:rsidRDefault="00DD1686" w:rsidP="00D412B7">
      <w:pPr>
        <w:spacing w:after="120"/>
        <w:jc w:val="both"/>
        <w:rPr>
          <w:rFonts w:ascii="Arial" w:eastAsia="Calibri" w:hAnsi="Arial" w:cs="Arial"/>
          <w:b/>
          <w:bCs/>
          <w:lang w:bidi="gu-IN"/>
        </w:rPr>
      </w:pPr>
      <w:r w:rsidRPr="00DD1686">
        <w:rPr>
          <w:rFonts w:ascii="Arial" w:eastAsia="Calibri" w:hAnsi="Arial" w:cs="Arial"/>
          <w:b/>
          <w:bCs/>
          <w:lang w:bidi="gu-IN"/>
        </w:rPr>
        <w:t xml:space="preserve">4. </w:t>
      </w:r>
      <w:r w:rsidR="004F784C" w:rsidRPr="00DD1686">
        <w:rPr>
          <w:rFonts w:ascii="Arial" w:eastAsia="Calibri" w:hAnsi="Arial" w:cs="Arial"/>
          <w:b/>
          <w:bCs/>
          <w:lang w:bidi="gu-IN"/>
        </w:rPr>
        <w:t>CONCLUSION</w:t>
      </w:r>
    </w:p>
    <w:p w14:paraId="23B27884" w14:textId="70A08B30" w:rsidR="004F784C" w:rsidRPr="00DD1686" w:rsidRDefault="00DF584F" w:rsidP="00D412B7">
      <w:pPr>
        <w:spacing w:after="120"/>
        <w:jc w:val="both"/>
        <w:rPr>
          <w:rFonts w:ascii="Arial" w:eastAsia="Calibri" w:hAnsi="Arial" w:cs="Arial"/>
          <w:sz w:val="20"/>
          <w:szCs w:val="20"/>
          <w:lang w:bidi="gu-IN"/>
        </w:rPr>
      </w:pPr>
      <w:r w:rsidRPr="00DF584F">
        <w:rPr>
          <w:rFonts w:ascii="Arial" w:eastAsia="Calibri" w:hAnsi="Arial" w:cs="Arial"/>
          <w:sz w:val="20"/>
          <w:szCs w:val="20"/>
          <w:lang w:bidi="gu-IN"/>
        </w:rPr>
        <w:t>The study addressed its objectives by analysing export competitiveness using RCA and examining market retention and transition patterns through Markov Chain analysis.</w:t>
      </w:r>
      <w:r>
        <w:rPr>
          <w:rFonts w:ascii="Arial" w:eastAsia="Calibri" w:hAnsi="Arial" w:cs="Arial"/>
          <w:sz w:val="20"/>
          <w:szCs w:val="20"/>
          <w:lang w:bidi="gu-IN"/>
        </w:rPr>
        <w:t xml:space="preserve"> </w:t>
      </w:r>
      <w:r w:rsidRPr="00DF584F">
        <w:rPr>
          <w:rFonts w:ascii="Arial" w:eastAsia="Calibri" w:hAnsi="Arial" w:cs="Arial"/>
          <w:sz w:val="20"/>
          <w:szCs w:val="20"/>
          <w:lang w:bidi="gu-IN"/>
        </w:rPr>
        <w:t>The results confirm a strong comparative advantage in frozen shrimp</w:t>
      </w:r>
      <w:r w:rsidR="00E60B75">
        <w:rPr>
          <w:rFonts w:ascii="Arial" w:eastAsia="Calibri" w:hAnsi="Arial" w:cs="Arial"/>
          <w:sz w:val="20"/>
          <w:szCs w:val="20"/>
          <w:lang w:bidi="gu-IN"/>
        </w:rPr>
        <w:t xml:space="preserve"> </w:t>
      </w:r>
      <w:r w:rsidR="00E60B75" w:rsidRPr="00E60B75">
        <w:rPr>
          <w:rFonts w:ascii="Arial" w:eastAsia="Calibri" w:hAnsi="Arial" w:cs="Arial"/>
          <w:sz w:val="20"/>
          <w:szCs w:val="20"/>
          <w:lang w:bidi="gu-IN"/>
        </w:rPr>
        <w:t xml:space="preserve">(RCA ranging from 3.08 to 5.27), </w:t>
      </w:r>
      <w:r w:rsidRPr="00DF584F">
        <w:rPr>
          <w:rFonts w:ascii="Arial" w:eastAsia="Calibri" w:hAnsi="Arial" w:cs="Arial"/>
          <w:sz w:val="20"/>
          <w:szCs w:val="20"/>
          <w:lang w:bidi="gu-IN"/>
        </w:rPr>
        <w:t>while other product categories remain less competitive</w:t>
      </w:r>
      <w:r>
        <w:rPr>
          <w:rFonts w:ascii="Arial" w:eastAsia="Calibri" w:hAnsi="Arial" w:cs="Arial"/>
          <w:sz w:val="20"/>
          <w:szCs w:val="20"/>
          <w:lang w:bidi="gu-IN"/>
        </w:rPr>
        <w:t>,</w:t>
      </w:r>
      <w:r w:rsidR="00E60B75" w:rsidRPr="00E60B75">
        <w:rPr>
          <w:rFonts w:ascii="Arial" w:eastAsia="Calibri" w:hAnsi="Arial" w:cs="Arial"/>
          <w:sz w:val="20"/>
          <w:szCs w:val="20"/>
          <w:lang w:bidi="gu-IN"/>
        </w:rPr>
        <w:t xml:space="preserve"> recorded RCA values below unity</w:t>
      </w:r>
      <w:r w:rsidR="004F784C" w:rsidRPr="00DD1686">
        <w:rPr>
          <w:rFonts w:ascii="Arial" w:eastAsia="Calibri" w:hAnsi="Arial" w:cs="Arial"/>
          <w:sz w:val="20"/>
          <w:szCs w:val="20"/>
          <w:lang w:bidi="gu-IN"/>
        </w:rPr>
        <w:t>. This indicates a high degree of structural concentration in India’s export basket.</w:t>
      </w:r>
    </w:p>
    <w:p w14:paraId="5A089F41" w14:textId="30837B64" w:rsidR="00DF584F" w:rsidRPr="00DD1686" w:rsidRDefault="00DF584F" w:rsidP="00D412B7">
      <w:pPr>
        <w:spacing w:after="120"/>
        <w:jc w:val="both"/>
        <w:rPr>
          <w:rFonts w:ascii="Arial" w:eastAsia="Calibri" w:hAnsi="Arial" w:cs="Arial"/>
          <w:sz w:val="20"/>
          <w:szCs w:val="20"/>
          <w:lang w:bidi="gu-IN"/>
        </w:rPr>
      </w:pPr>
      <w:r w:rsidRPr="00DF584F">
        <w:rPr>
          <w:rFonts w:ascii="Arial" w:eastAsia="Calibri" w:hAnsi="Arial" w:cs="Arial"/>
          <w:sz w:val="20"/>
          <w:szCs w:val="20"/>
          <w:lang w:bidi="gu-IN"/>
        </w:rPr>
        <w:t>The Markov analysis reveals increasing orientation toward Asian markets, particularly South East Asia and China, along with declining retention in traditional markets such as the European Union and Japan.</w:t>
      </w:r>
      <w:r w:rsidRPr="00DF584F">
        <w:t xml:space="preserve"> </w:t>
      </w:r>
      <w:r w:rsidRPr="00DF584F">
        <w:rPr>
          <w:rFonts w:ascii="Arial" w:eastAsia="Calibri" w:hAnsi="Arial" w:cs="Arial"/>
          <w:sz w:val="20"/>
          <w:szCs w:val="20"/>
          <w:lang w:bidi="gu-IN"/>
        </w:rPr>
        <w:t>These findings highlight structural shifts in both product composition and market distribution of India’s marine exports.</w:t>
      </w:r>
    </w:p>
    <w:p w14:paraId="19E71482" w14:textId="107AF946" w:rsidR="004F784C" w:rsidRDefault="004F784C" w:rsidP="00DD1686">
      <w:pPr>
        <w:jc w:val="both"/>
        <w:rPr>
          <w:rFonts w:ascii="Arial" w:eastAsia="Calibri" w:hAnsi="Arial" w:cs="Arial"/>
          <w:sz w:val="20"/>
          <w:szCs w:val="20"/>
          <w:lang w:bidi="gu-IN"/>
        </w:rPr>
      </w:pPr>
      <w:r w:rsidRPr="00DD1686">
        <w:rPr>
          <w:rFonts w:ascii="Arial" w:eastAsia="Calibri" w:hAnsi="Arial" w:cs="Arial"/>
          <w:sz w:val="20"/>
          <w:szCs w:val="20"/>
          <w:lang w:bidi="gu-IN"/>
        </w:rPr>
        <w:lastRenderedPageBreak/>
        <w:t>In summary, while India’s marine export sector demonstrates strong competitiveness in shrimp, broader product diversification remains limited. Ensuring long-term sustainability will require expanding the export base, promoting value addition, strengthening infrastructure, and maintaining high standards of quality compliance. A balanced approach that combines competitiveness enhancement with strategic market diversification will be critical for sustaining India’s position in global marine trade.</w:t>
      </w:r>
    </w:p>
    <w:p w14:paraId="7D5A5449" w14:textId="3FD38183" w:rsidR="00FE00E8" w:rsidRDefault="00FE00E8" w:rsidP="00DD1686">
      <w:pPr>
        <w:jc w:val="both"/>
        <w:rPr>
          <w:rFonts w:ascii="Arial" w:eastAsia="Calibri" w:hAnsi="Arial" w:cs="Arial"/>
          <w:sz w:val="20"/>
          <w:szCs w:val="20"/>
          <w:lang w:bidi="gu-IN"/>
        </w:rPr>
      </w:pPr>
      <w:r w:rsidRPr="00FE00E8">
        <w:rPr>
          <w:rFonts w:ascii="Arial" w:eastAsia="Calibri" w:hAnsi="Arial" w:cs="Arial"/>
          <w:sz w:val="20"/>
          <w:szCs w:val="20"/>
          <w:lang w:bidi="gu-IN"/>
        </w:rPr>
        <w:t>The study contributes to the literature by integrating RCA and Markov Chain approaches to jointly analyse export competitiveness and long-term market transition patterns.</w:t>
      </w:r>
    </w:p>
    <w:p w14:paraId="035D9EB9" w14:textId="77777777" w:rsidR="00344B58" w:rsidRDefault="00344B58" w:rsidP="00344B58">
      <w:pPr>
        <w:tabs>
          <w:tab w:val="left" w:pos="2696"/>
        </w:tabs>
        <w:rPr>
          <w:rFonts w:ascii="Arial" w:hAnsi="Arial" w:cs="Arial"/>
          <w:sz w:val="20"/>
          <w:szCs w:val="20"/>
        </w:rPr>
      </w:pPr>
      <w:bookmarkStart w:id="1" w:name="_Hlk183685723"/>
    </w:p>
    <w:p w14:paraId="0E11A000" w14:textId="77777777" w:rsidR="00A47590" w:rsidRPr="00A47590" w:rsidRDefault="00A47590" w:rsidP="00A47590">
      <w:pPr>
        <w:tabs>
          <w:tab w:val="left" w:pos="2696"/>
        </w:tabs>
        <w:spacing w:after="120"/>
        <w:rPr>
          <w:rFonts w:ascii="Arial" w:hAnsi="Arial" w:cs="Arial"/>
          <w:b/>
          <w:bCs/>
        </w:rPr>
      </w:pPr>
      <w:r w:rsidRPr="00A47590">
        <w:rPr>
          <w:rFonts w:ascii="Arial" w:hAnsi="Arial" w:cs="Arial"/>
          <w:b/>
          <w:bCs/>
        </w:rPr>
        <w:t>Limitations of the Study</w:t>
      </w:r>
    </w:p>
    <w:p w14:paraId="5533D845" w14:textId="77777777" w:rsidR="00A47590" w:rsidRPr="00A47590" w:rsidRDefault="00A47590" w:rsidP="00A47590">
      <w:pPr>
        <w:tabs>
          <w:tab w:val="left" w:pos="2696"/>
        </w:tabs>
        <w:spacing w:after="120"/>
        <w:jc w:val="both"/>
        <w:rPr>
          <w:rFonts w:ascii="Arial" w:hAnsi="Arial" w:cs="Arial"/>
          <w:sz w:val="20"/>
          <w:szCs w:val="20"/>
        </w:rPr>
      </w:pPr>
      <w:r w:rsidRPr="00A47590">
        <w:rPr>
          <w:rFonts w:ascii="Arial" w:hAnsi="Arial" w:cs="Arial"/>
          <w:sz w:val="20"/>
          <w:szCs w:val="20"/>
        </w:rPr>
        <w:t>While the study provides useful insights into the competitiveness and market dynamics of India’s marine product exports, certain limitations need to be acknowledged.</w:t>
      </w:r>
    </w:p>
    <w:p w14:paraId="40FCB8B7" w14:textId="77777777" w:rsidR="00A47590" w:rsidRPr="00A47590" w:rsidRDefault="00A47590" w:rsidP="00A47590">
      <w:pPr>
        <w:tabs>
          <w:tab w:val="left" w:pos="2696"/>
        </w:tabs>
        <w:spacing w:after="120"/>
        <w:jc w:val="both"/>
        <w:rPr>
          <w:rFonts w:ascii="Arial" w:hAnsi="Arial" w:cs="Arial"/>
          <w:sz w:val="20"/>
          <w:szCs w:val="20"/>
        </w:rPr>
      </w:pPr>
      <w:r w:rsidRPr="00A47590">
        <w:rPr>
          <w:rFonts w:ascii="Arial" w:hAnsi="Arial" w:cs="Arial"/>
          <w:sz w:val="20"/>
          <w:szCs w:val="20"/>
        </w:rPr>
        <w:t>First, the analysis is based entirely on secondary data, which may be subject to reporting inconsistencies and revisions across different sources. The aggregation of export categories into broad groups (such as frozen shrimp, frozen fish, and others) may also mask product-level variations and niche market dynamics.</w:t>
      </w:r>
    </w:p>
    <w:p w14:paraId="3A4722AA" w14:textId="77777777" w:rsidR="00A47590" w:rsidRPr="00A47590" w:rsidRDefault="00A47590" w:rsidP="00A47590">
      <w:pPr>
        <w:tabs>
          <w:tab w:val="left" w:pos="2696"/>
        </w:tabs>
        <w:spacing w:after="120"/>
        <w:jc w:val="both"/>
        <w:rPr>
          <w:rFonts w:ascii="Arial" w:hAnsi="Arial" w:cs="Arial"/>
          <w:sz w:val="20"/>
          <w:szCs w:val="20"/>
        </w:rPr>
      </w:pPr>
      <w:r w:rsidRPr="00A47590">
        <w:rPr>
          <w:rFonts w:ascii="Arial" w:hAnsi="Arial" w:cs="Arial"/>
          <w:sz w:val="20"/>
          <w:szCs w:val="20"/>
        </w:rPr>
        <w:t>Second, the Revealed Comparative Advantage (RCA) index, although widely used, is based on observed trade patterns and does not account for underlying factors such as domestic policies, production costs, technological differences, or quality variations that may influence competitiveness.</w:t>
      </w:r>
    </w:p>
    <w:p w14:paraId="5609B9F5" w14:textId="77777777" w:rsidR="00A47590" w:rsidRPr="00A47590" w:rsidRDefault="00A47590" w:rsidP="00A47590">
      <w:pPr>
        <w:tabs>
          <w:tab w:val="left" w:pos="2696"/>
        </w:tabs>
        <w:spacing w:after="120"/>
        <w:jc w:val="both"/>
        <w:rPr>
          <w:rFonts w:ascii="Arial" w:hAnsi="Arial" w:cs="Arial"/>
          <w:sz w:val="20"/>
          <w:szCs w:val="20"/>
        </w:rPr>
      </w:pPr>
      <w:r w:rsidRPr="00A47590">
        <w:rPr>
          <w:rFonts w:ascii="Arial" w:hAnsi="Arial" w:cs="Arial"/>
          <w:sz w:val="20"/>
          <w:szCs w:val="20"/>
        </w:rPr>
        <w:t>Third, the Markov Chain model assumes that future market shares depend only on the current state and that transition probabilities remain constant over time. This assumption may not fully capture structural breaks, policy changes, or sudden external shocks such as trade restrictions, pandemics, or geopolitical disruptions.</w:t>
      </w:r>
    </w:p>
    <w:p w14:paraId="4E2FE2EA" w14:textId="77777777" w:rsidR="00A47590" w:rsidRPr="00A47590" w:rsidRDefault="00A47590" w:rsidP="00A47590">
      <w:pPr>
        <w:tabs>
          <w:tab w:val="left" w:pos="2696"/>
        </w:tabs>
        <w:spacing w:after="120"/>
        <w:jc w:val="both"/>
        <w:rPr>
          <w:rFonts w:ascii="Arial" w:hAnsi="Arial" w:cs="Arial"/>
          <w:sz w:val="20"/>
          <w:szCs w:val="20"/>
        </w:rPr>
      </w:pPr>
      <w:r w:rsidRPr="00A47590">
        <w:rPr>
          <w:rFonts w:ascii="Arial" w:hAnsi="Arial" w:cs="Arial"/>
          <w:sz w:val="20"/>
          <w:szCs w:val="20"/>
        </w:rPr>
        <w:t>Fourth, the study focuses on major importing regions, which together account for a large share of exports; however, smaller and emerging markets are grouped under “Others,” limiting detailed analysis of their individual contribution and growth potential.</w:t>
      </w:r>
    </w:p>
    <w:p w14:paraId="1E210EF7" w14:textId="77777777" w:rsidR="00A47590" w:rsidRPr="00A47590" w:rsidRDefault="00A47590" w:rsidP="00A47590">
      <w:pPr>
        <w:tabs>
          <w:tab w:val="left" w:pos="2696"/>
        </w:tabs>
        <w:spacing w:after="120"/>
        <w:jc w:val="both"/>
        <w:rPr>
          <w:rFonts w:ascii="Arial" w:hAnsi="Arial" w:cs="Arial"/>
          <w:sz w:val="20"/>
          <w:szCs w:val="20"/>
        </w:rPr>
      </w:pPr>
      <w:r w:rsidRPr="00A47590">
        <w:rPr>
          <w:rFonts w:ascii="Arial" w:hAnsi="Arial" w:cs="Arial"/>
          <w:sz w:val="20"/>
          <w:szCs w:val="20"/>
        </w:rPr>
        <w:t>Finally, the steady-state analysis provides long-run equilibrium insights based on historical transition patterns, but actual future market distributions may differ due to evolving global demand, technological advancements, and changing trade policies.</w:t>
      </w:r>
    </w:p>
    <w:p w14:paraId="7547D90B" w14:textId="77777777" w:rsidR="00A47590" w:rsidRPr="00A47590" w:rsidRDefault="00A47590" w:rsidP="00A47590">
      <w:pPr>
        <w:tabs>
          <w:tab w:val="left" w:pos="2696"/>
        </w:tabs>
        <w:spacing w:after="120"/>
        <w:jc w:val="both"/>
        <w:rPr>
          <w:rFonts w:ascii="Arial" w:hAnsi="Arial" w:cs="Arial"/>
          <w:sz w:val="20"/>
          <w:szCs w:val="20"/>
        </w:rPr>
      </w:pPr>
      <w:r w:rsidRPr="00A47590">
        <w:rPr>
          <w:rFonts w:ascii="Arial" w:hAnsi="Arial" w:cs="Arial"/>
          <w:sz w:val="20"/>
          <w:szCs w:val="20"/>
        </w:rPr>
        <w:t>Despite these limitations, the study offers a robust framework for analysing export competitiveness and market transition dynamics, and the findings remain relevant for policy formulation and future research.</w:t>
      </w:r>
    </w:p>
    <w:p w14:paraId="10699E29" w14:textId="77777777" w:rsidR="00A47590" w:rsidRDefault="00A47590" w:rsidP="00344B58">
      <w:pPr>
        <w:tabs>
          <w:tab w:val="left" w:pos="2696"/>
        </w:tabs>
        <w:rPr>
          <w:rFonts w:ascii="Arial" w:hAnsi="Arial" w:cs="Arial"/>
          <w:sz w:val="20"/>
          <w:szCs w:val="20"/>
        </w:rPr>
      </w:pPr>
    </w:p>
    <w:p w14:paraId="399EC74B" w14:textId="77777777" w:rsidR="00344B58" w:rsidRPr="00DC0AB0" w:rsidRDefault="00344B58" w:rsidP="00DC0AB0">
      <w:pPr>
        <w:keepNext/>
        <w:keepLines/>
        <w:spacing w:after="120"/>
        <w:jc w:val="both"/>
        <w:outlineLvl w:val="1"/>
        <w:rPr>
          <w:rFonts w:ascii="Arial" w:eastAsia="Times New Roman" w:hAnsi="Arial" w:cs="Arial"/>
          <w:b/>
          <w:lang w:eastAsia="en-IN"/>
        </w:rPr>
      </w:pPr>
      <w:bookmarkStart w:id="2" w:name="_Hlk218867759"/>
      <w:bookmarkEnd w:id="1"/>
      <w:r w:rsidRPr="00DC0AB0">
        <w:rPr>
          <w:rFonts w:ascii="Arial" w:eastAsia="Times New Roman" w:hAnsi="Arial" w:cs="Arial"/>
          <w:b/>
          <w:lang w:eastAsia="en-IN"/>
        </w:rPr>
        <w:t>Disclaimer (Artificial intelligence)</w:t>
      </w:r>
    </w:p>
    <w:p w14:paraId="1B5068E8" w14:textId="77777777" w:rsidR="00344B58" w:rsidRPr="00DC0AB0" w:rsidRDefault="00344B58" w:rsidP="00DC0AB0">
      <w:pPr>
        <w:keepNext/>
        <w:keepLines/>
        <w:spacing w:after="120"/>
        <w:jc w:val="both"/>
        <w:outlineLvl w:val="1"/>
        <w:rPr>
          <w:rFonts w:ascii="Arial" w:eastAsia="Times New Roman" w:hAnsi="Arial" w:cs="Arial"/>
          <w:bCs/>
          <w:sz w:val="20"/>
          <w:szCs w:val="20"/>
          <w:lang w:eastAsia="en-IN"/>
        </w:rPr>
      </w:pPr>
      <w:r w:rsidRPr="00DC0AB0">
        <w:rPr>
          <w:rFonts w:ascii="Arial" w:eastAsia="Times New Roman" w:hAnsi="Arial" w:cs="Arial"/>
          <w:bCs/>
          <w:sz w:val="20"/>
          <w:szCs w:val="20"/>
          <w:lang w:eastAsia="en-IN"/>
        </w:rPr>
        <w:t>Author(s) hereby declare that NO generative AI technologies such as Large Language Models (</w:t>
      </w:r>
      <w:proofErr w:type="spellStart"/>
      <w:r w:rsidRPr="00DC0AB0">
        <w:rPr>
          <w:rFonts w:ascii="Arial" w:eastAsia="Times New Roman" w:hAnsi="Arial" w:cs="Arial"/>
          <w:bCs/>
          <w:sz w:val="20"/>
          <w:szCs w:val="20"/>
          <w:lang w:eastAsia="en-IN"/>
        </w:rPr>
        <w:t>ChatGPT</w:t>
      </w:r>
      <w:proofErr w:type="spellEnd"/>
      <w:r w:rsidRPr="00DC0AB0">
        <w:rPr>
          <w:rFonts w:ascii="Arial" w:eastAsia="Times New Roman" w:hAnsi="Arial" w:cs="Arial"/>
          <w:bCs/>
          <w:sz w:val="20"/>
          <w:szCs w:val="20"/>
          <w:lang w:eastAsia="en-IN"/>
        </w:rPr>
        <w:t xml:space="preserve">, COPILOT, etc.) and text-to-image generators have been used during the writing or editing of this manuscript. </w:t>
      </w:r>
    </w:p>
    <w:bookmarkEnd w:id="2"/>
    <w:p w14:paraId="58B99CB0" w14:textId="77777777" w:rsidR="00344B58" w:rsidRDefault="00344B58" w:rsidP="00DD1686">
      <w:pPr>
        <w:jc w:val="both"/>
        <w:rPr>
          <w:rFonts w:ascii="Arial" w:eastAsia="Calibri" w:hAnsi="Arial" w:cs="Arial"/>
          <w:sz w:val="20"/>
          <w:szCs w:val="20"/>
          <w:lang w:bidi="gu-IN"/>
        </w:rPr>
      </w:pPr>
    </w:p>
    <w:p w14:paraId="0013BC77" w14:textId="77777777" w:rsidR="004F784C" w:rsidRPr="00C376DE" w:rsidRDefault="004F784C" w:rsidP="00D412B7">
      <w:pPr>
        <w:spacing w:after="120"/>
        <w:jc w:val="both"/>
        <w:rPr>
          <w:rFonts w:ascii="Arial" w:eastAsia="Calibri" w:hAnsi="Arial" w:cs="Arial"/>
          <w:lang w:val="en-GB" w:bidi="gu-IN"/>
        </w:rPr>
      </w:pPr>
      <w:r w:rsidRPr="00C376DE">
        <w:rPr>
          <w:rFonts w:ascii="Arial" w:eastAsia="Calibri" w:hAnsi="Arial" w:cs="Arial"/>
          <w:b/>
          <w:bCs/>
          <w:lang w:val="en-GB" w:bidi="gu-IN"/>
        </w:rPr>
        <w:t>REFERENCES</w:t>
      </w:r>
    </w:p>
    <w:p w14:paraId="1031CCFE" w14:textId="77777777" w:rsidR="00C376DE" w:rsidRDefault="004F784C" w:rsidP="00D412B7">
      <w:pPr>
        <w:spacing w:after="120"/>
        <w:ind w:left="720" w:hanging="720"/>
        <w:jc w:val="both"/>
        <w:rPr>
          <w:rFonts w:ascii="Arial" w:eastAsia="Calibri" w:hAnsi="Arial" w:cs="Arial"/>
          <w:sz w:val="20"/>
          <w:szCs w:val="20"/>
        </w:rPr>
      </w:pPr>
      <w:r w:rsidRPr="00C376DE">
        <w:rPr>
          <w:rFonts w:ascii="Arial" w:eastAsia="Calibri" w:hAnsi="Arial" w:cs="Arial"/>
          <w:sz w:val="20"/>
          <w:szCs w:val="20"/>
        </w:rPr>
        <w:t>Anderson, T. W.</w:t>
      </w:r>
      <w:r w:rsidR="00C376DE">
        <w:rPr>
          <w:rFonts w:ascii="Arial" w:eastAsia="Calibri" w:hAnsi="Arial" w:cs="Arial"/>
          <w:sz w:val="20"/>
          <w:szCs w:val="20"/>
        </w:rPr>
        <w:t>, &amp;</w:t>
      </w:r>
      <w:r w:rsidRPr="00C376DE">
        <w:rPr>
          <w:rFonts w:ascii="Arial" w:eastAsia="Calibri" w:hAnsi="Arial" w:cs="Arial"/>
          <w:sz w:val="20"/>
          <w:szCs w:val="20"/>
        </w:rPr>
        <w:t xml:space="preserve"> Goodman, L. A. (1957). Statistical inference about Markov chains. The </w:t>
      </w:r>
      <w:r w:rsidRPr="00B77A66">
        <w:rPr>
          <w:rFonts w:ascii="Arial" w:eastAsia="Calibri" w:hAnsi="Arial" w:cs="Arial"/>
          <w:i/>
          <w:iCs/>
          <w:sz w:val="20"/>
          <w:szCs w:val="20"/>
        </w:rPr>
        <w:t>Annals of Mathematical Statistics</w:t>
      </w:r>
      <w:r w:rsidRPr="00C376DE">
        <w:rPr>
          <w:rFonts w:ascii="Arial" w:eastAsia="Calibri" w:hAnsi="Arial" w:cs="Arial"/>
          <w:sz w:val="20"/>
          <w:szCs w:val="20"/>
        </w:rPr>
        <w:t>,</w:t>
      </w:r>
      <w:r w:rsidRPr="00C376DE">
        <w:rPr>
          <w:rFonts w:ascii="Arial" w:eastAsia="Calibri" w:hAnsi="Arial" w:cs="Arial"/>
          <w:i/>
          <w:iCs/>
          <w:sz w:val="20"/>
          <w:szCs w:val="20"/>
        </w:rPr>
        <w:t xml:space="preserve"> </w:t>
      </w:r>
      <w:r w:rsidRPr="00C376DE">
        <w:rPr>
          <w:rFonts w:ascii="Arial" w:eastAsia="Calibri" w:hAnsi="Arial" w:cs="Arial"/>
          <w:sz w:val="20"/>
          <w:szCs w:val="20"/>
        </w:rPr>
        <w:t>28</w:t>
      </w:r>
      <w:r w:rsidR="00C376DE">
        <w:rPr>
          <w:rFonts w:ascii="Arial" w:eastAsia="Calibri" w:hAnsi="Arial" w:cs="Arial"/>
          <w:sz w:val="20"/>
          <w:szCs w:val="20"/>
        </w:rPr>
        <w:t>(1),</w:t>
      </w:r>
      <w:r w:rsidRPr="00C376DE">
        <w:rPr>
          <w:rFonts w:ascii="Arial" w:eastAsia="Calibri" w:hAnsi="Arial" w:cs="Arial"/>
          <w:sz w:val="20"/>
          <w:szCs w:val="20"/>
        </w:rPr>
        <w:t xml:space="preserve"> 89-110. </w:t>
      </w:r>
      <w:r w:rsidR="00661054" w:rsidRPr="00661054">
        <w:rPr>
          <w:rFonts w:ascii="Arial" w:eastAsia="Calibri" w:hAnsi="Arial" w:cs="Arial"/>
          <w:sz w:val="20"/>
          <w:szCs w:val="20"/>
        </w:rPr>
        <w:t>https://doi.org/10.1214/aoms/1177707039</w:t>
      </w:r>
    </w:p>
    <w:p w14:paraId="6191E2BF" w14:textId="77777777" w:rsidR="00C376DE" w:rsidRDefault="00C376DE" w:rsidP="00D412B7">
      <w:pPr>
        <w:spacing w:after="120"/>
        <w:ind w:left="720" w:hanging="720"/>
        <w:jc w:val="both"/>
        <w:rPr>
          <w:rFonts w:ascii="Arial" w:eastAsia="Calibri" w:hAnsi="Arial" w:cs="Arial"/>
          <w:sz w:val="20"/>
          <w:szCs w:val="20"/>
        </w:rPr>
      </w:pPr>
      <w:r w:rsidRPr="00C376DE">
        <w:rPr>
          <w:rFonts w:ascii="Arial" w:eastAsia="Calibri" w:hAnsi="Arial" w:cs="Arial"/>
          <w:sz w:val="20"/>
          <w:szCs w:val="20"/>
        </w:rPr>
        <w:t xml:space="preserve">Balassa, B. (1965). Trade liberalization and revealed comparative advantage. </w:t>
      </w:r>
      <w:r w:rsidRPr="00B77A66">
        <w:rPr>
          <w:rFonts w:ascii="Arial" w:eastAsia="Calibri" w:hAnsi="Arial" w:cs="Arial"/>
          <w:i/>
          <w:iCs/>
          <w:sz w:val="20"/>
          <w:szCs w:val="20"/>
        </w:rPr>
        <w:t>The Manchester School of Economic and Social Studies</w:t>
      </w:r>
      <w:r>
        <w:rPr>
          <w:rFonts w:ascii="Arial" w:eastAsia="Calibri" w:hAnsi="Arial" w:cs="Arial"/>
          <w:sz w:val="20"/>
          <w:szCs w:val="20"/>
        </w:rPr>
        <w:t>, 33(2),</w:t>
      </w:r>
      <w:r w:rsidRPr="00C376DE">
        <w:rPr>
          <w:rFonts w:ascii="Arial" w:eastAsia="Calibri" w:hAnsi="Arial" w:cs="Arial"/>
          <w:sz w:val="20"/>
          <w:szCs w:val="20"/>
        </w:rPr>
        <w:t xml:space="preserve"> 99-123. </w:t>
      </w:r>
      <w:r w:rsidR="00661054" w:rsidRPr="00661054">
        <w:rPr>
          <w:rFonts w:ascii="Arial" w:eastAsia="Calibri" w:hAnsi="Arial" w:cs="Arial"/>
          <w:sz w:val="20"/>
          <w:szCs w:val="20"/>
        </w:rPr>
        <w:t>https://doi.org/10.1111/j.1467-9957.1965.tb00050.x</w:t>
      </w:r>
    </w:p>
    <w:p w14:paraId="34B4A2E8" w14:textId="77777777" w:rsidR="004F784C" w:rsidRPr="00C376DE" w:rsidRDefault="004F784C" w:rsidP="00D412B7">
      <w:pPr>
        <w:spacing w:after="120"/>
        <w:ind w:left="720" w:hanging="720"/>
        <w:jc w:val="both"/>
        <w:rPr>
          <w:rFonts w:ascii="Arial" w:eastAsia="Calibri" w:hAnsi="Arial" w:cs="Arial"/>
          <w:sz w:val="20"/>
          <w:szCs w:val="20"/>
        </w:rPr>
      </w:pPr>
      <w:r w:rsidRPr="00C376DE">
        <w:rPr>
          <w:rFonts w:ascii="Arial" w:eastAsia="Calibri" w:hAnsi="Arial" w:cs="Arial"/>
          <w:sz w:val="20"/>
          <w:szCs w:val="20"/>
        </w:rPr>
        <w:t>Chandrasekar, V., Geethalakshmi, V., Suresh, A.</w:t>
      </w:r>
      <w:r w:rsidR="00C376DE">
        <w:rPr>
          <w:rFonts w:ascii="Arial" w:eastAsia="Calibri" w:hAnsi="Arial" w:cs="Arial"/>
          <w:sz w:val="20"/>
          <w:szCs w:val="20"/>
        </w:rPr>
        <w:t>, &amp;</w:t>
      </w:r>
      <w:r w:rsidRPr="00C376DE">
        <w:rPr>
          <w:rFonts w:ascii="Arial" w:eastAsia="Calibri" w:hAnsi="Arial" w:cs="Arial"/>
          <w:sz w:val="20"/>
          <w:szCs w:val="20"/>
        </w:rPr>
        <w:t xml:space="preserve"> Gopal, N. (2024). Indian marine products exports: Growth, instability and geographical diversification. </w:t>
      </w:r>
      <w:r w:rsidRPr="00B77A66">
        <w:rPr>
          <w:rFonts w:ascii="Arial" w:eastAsia="Calibri" w:hAnsi="Arial" w:cs="Arial"/>
          <w:i/>
          <w:iCs/>
          <w:sz w:val="20"/>
          <w:szCs w:val="20"/>
        </w:rPr>
        <w:t>Indian Journal of Fisheries</w:t>
      </w:r>
      <w:r w:rsidRPr="00C376DE">
        <w:rPr>
          <w:rFonts w:ascii="Arial" w:eastAsia="Calibri" w:hAnsi="Arial" w:cs="Arial"/>
          <w:sz w:val="20"/>
          <w:szCs w:val="20"/>
        </w:rPr>
        <w:t>,</w:t>
      </w:r>
      <w:r w:rsidRPr="00C376DE">
        <w:rPr>
          <w:rFonts w:ascii="Arial" w:eastAsia="Calibri" w:hAnsi="Arial" w:cs="Arial"/>
          <w:i/>
          <w:iCs/>
          <w:sz w:val="20"/>
          <w:szCs w:val="20"/>
        </w:rPr>
        <w:t xml:space="preserve"> </w:t>
      </w:r>
      <w:r w:rsidRPr="00C376DE">
        <w:rPr>
          <w:rFonts w:ascii="Arial" w:eastAsia="Calibri" w:hAnsi="Arial" w:cs="Arial"/>
          <w:sz w:val="20"/>
          <w:szCs w:val="20"/>
        </w:rPr>
        <w:t>71</w:t>
      </w:r>
      <w:r w:rsidR="00C376DE">
        <w:rPr>
          <w:rFonts w:ascii="Arial" w:eastAsia="Calibri" w:hAnsi="Arial" w:cs="Arial"/>
          <w:sz w:val="20"/>
          <w:szCs w:val="20"/>
        </w:rPr>
        <w:t>(3),</w:t>
      </w:r>
      <w:r w:rsidRPr="00C376DE">
        <w:rPr>
          <w:rFonts w:ascii="Arial" w:eastAsia="Calibri" w:hAnsi="Arial" w:cs="Arial"/>
          <w:sz w:val="20"/>
          <w:szCs w:val="20"/>
        </w:rPr>
        <w:t xml:space="preserve"> 149-156. </w:t>
      </w:r>
      <w:r w:rsidR="00661054" w:rsidRPr="00661054">
        <w:rPr>
          <w:rFonts w:ascii="Arial" w:eastAsia="Calibri" w:hAnsi="Arial" w:cs="Arial"/>
          <w:sz w:val="20"/>
          <w:szCs w:val="20"/>
        </w:rPr>
        <w:t>https://doi.org/10.21077/ijf.2024.71.3.135286-18</w:t>
      </w:r>
    </w:p>
    <w:p w14:paraId="10DA66AA" w14:textId="77777777" w:rsidR="004F784C" w:rsidRPr="00C376DE" w:rsidRDefault="004F784C" w:rsidP="00D412B7">
      <w:pPr>
        <w:spacing w:after="120"/>
        <w:ind w:left="720" w:hanging="720"/>
        <w:jc w:val="both"/>
        <w:rPr>
          <w:rFonts w:ascii="Arial" w:eastAsia="Calibri" w:hAnsi="Arial" w:cs="Arial"/>
          <w:sz w:val="20"/>
          <w:szCs w:val="20"/>
          <w:lang w:val="en-GB"/>
        </w:rPr>
      </w:pPr>
      <w:r w:rsidRPr="00C376DE">
        <w:rPr>
          <w:rFonts w:ascii="Arial" w:eastAsia="Calibri" w:hAnsi="Arial" w:cs="Arial"/>
          <w:sz w:val="20"/>
          <w:szCs w:val="20"/>
          <w:lang w:val="en-GB"/>
        </w:rPr>
        <w:lastRenderedPageBreak/>
        <w:t>Chandrasekar, V., Paramasivam, P., Jayanthi, C.</w:t>
      </w:r>
      <w:r w:rsidR="00C376DE">
        <w:rPr>
          <w:rFonts w:ascii="Arial" w:eastAsia="Calibri" w:hAnsi="Arial" w:cs="Arial"/>
          <w:sz w:val="20"/>
          <w:szCs w:val="20"/>
          <w:lang w:val="en-GB"/>
        </w:rPr>
        <w:t xml:space="preserve">, </w:t>
      </w:r>
      <w:r w:rsidRPr="00C376DE">
        <w:rPr>
          <w:rFonts w:ascii="Arial" w:eastAsia="Calibri" w:hAnsi="Arial" w:cs="Arial"/>
          <w:sz w:val="20"/>
          <w:szCs w:val="20"/>
          <w:lang w:val="en-GB"/>
        </w:rPr>
        <w:t>Sathy, R.</w:t>
      </w:r>
      <w:r w:rsidR="00661054">
        <w:rPr>
          <w:rFonts w:ascii="Arial" w:eastAsia="Calibri" w:hAnsi="Arial" w:cs="Arial"/>
          <w:sz w:val="20"/>
          <w:szCs w:val="20"/>
          <w:lang w:val="en-GB"/>
        </w:rPr>
        <w:t>, Nikita, G., &amp; Mani, K.</w:t>
      </w:r>
      <w:r w:rsidRPr="00C376DE">
        <w:rPr>
          <w:rFonts w:ascii="Arial" w:eastAsia="Calibri" w:hAnsi="Arial" w:cs="Arial"/>
          <w:sz w:val="20"/>
          <w:szCs w:val="20"/>
          <w:lang w:val="en-GB"/>
        </w:rPr>
        <w:t xml:space="preserve"> (2020). Analysis of marine products export from India using Markov-chain models. </w:t>
      </w:r>
      <w:r w:rsidRPr="00B77A66">
        <w:rPr>
          <w:rFonts w:ascii="Arial" w:eastAsia="Calibri" w:hAnsi="Arial" w:cs="Arial"/>
          <w:i/>
          <w:iCs/>
          <w:sz w:val="20"/>
          <w:szCs w:val="20"/>
          <w:lang w:val="en-GB"/>
        </w:rPr>
        <w:t>Fishery Technology</w:t>
      </w:r>
      <w:r w:rsidRPr="00C376DE">
        <w:rPr>
          <w:rFonts w:ascii="Arial" w:eastAsia="Calibri" w:hAnsi="Arial" w:cs="Arial"/>
          <w:sz w:val="20"/>
          <w:szCs w:val="20"/>
          <w:lang w:val="en-GB"/>
        </w:rPr>
        <w:t>,</w:t>
      </w:r>
      <w:r w:rsidRPr="00C376DE">
        <w:rPr>
          <w:rFonts w:ascii="Arial" w:eastAsia="Calibri" w:hAnsi="Arial" w:cs="Arial"/>
          <w:i/>
          <w:iCs/>
          <w:sz w:val="20"/>
          <w:szCs w:val="20"/>
          <w:lang w:val="en-GB"/>
        </w:rPr>
        <w:t xml:space="preserve"> </w:t>
      </w:r>
      <w:r w:rsidRPr="00C376DE">
        <w:rPr>
          <w:rFonts w:ascii="Arial" w:eastAsia="Calibri" w:hAnsi="Arial" w:cs="Arial"/>
          <w:sz w:val="20"/>
          <w:szCs w:val="20"/>
          <w:lang w:val="en-GB"/>
        </w:rPr>
        <w:t>57</w:t>
      </w:r>
      <w:r w:rsidR="00C376DE">
        <w:rPr>
          <w:rFonts w:ascii="Arial" w:eastAsia="Calibri" w:hAnsi="Arial" w:cs="Arial"/>
          <w:sz w:val="20"/>
          <w:szCs w:val="20"/>
          <w:lang w:val="en-GB"/>
        </w:rPr>
        <w:t>(1),</w:t>
      </w:r>
      <w:r w:rsidRPr="00C376DE">
        <w:rPr>
          <w:rFonts w:ascii="Arial" w:eastAsia="Calibri" w:hAnsi="Arial" w:cs="Arial"/>
          <w:sz w:val="20"/>
          <w:szCs w:val="20"/>
          <w:lang w:val="en-GB"/>
        </w:rPr>
        <w:t xml:space="preserve"> 59-68. </w:t>
      </w:r>
      <w:r w:rsidR="00661054" w:rsidRPr="00661054">
        <w:rPr>
          <w:rFonts w:ascii="Arial" w:eastAsia="Calibri" w:hAnsi="Arial" w:cs="Arial"/>
          <w:sz w:val="20"/>
          <w:szCs w:val="20"/>
          <w:lang w:val="en-GB"/>
        </w:rPr>
        <w:t>https://doi.org/10.56093/ft.v57i1.107822</w:t>
      </w:r>
    </w:p>
    <w:p w14:paraId="25A14D12" w14:textId="77777777" w:rsidR="004F784C" w:rsidRPr="00C376DE" w:rsidRDefault="00C376DE" w:rsidP="00D412B7">
      <w:pPr>
        <w:spacing w:after="120"/>
        <w:ind w:left="720" w:hanging="720"/>
        <w:jc w:val="both"/>
        <w:rPr>
          <w:rFonts w:ascii="Arial" w:eastAsia="Calibri" w:hAnsi="Arial" w:cs="Arial"/>
          <w:sz w:val="20"/>
          <w:szCs w:val="20"/>
          <w:lang w:val="en-GB"/>
        </w:rPr>
      </w:pPr>
      <w:r>
        <w:rPr>
          <w:rFonts w:ascii="Arial" w:eastAsia="Calibri" w:hAnsi="Arial" w:cs="Arial"/>
          <w:sz w:val="20"/>
          <w:szCs w:val="20"/>
          <w:lang w:val="en-GB"/>
        </w:rPr>
        <w:t xml:space="preserve">Das, S., &amp; </w:t>
      </w:r>
      <w:r w:rsidR="004F784C" w:rsidRPr="00C376DE">
        <w:rPr>
          <w:rFonts w:ascii="Arial" w:eastAsia="Calibri" w:hAnsi="Arial" w:cs="Arial"/>
          <w:sz w:val="20"/>
          <w:szCs w:val="20"/>
          <w:lang w:val="en-GB"/>
        </w:rPr>
        <w:t xml:space="preserve">Ghosh, A. (2021). Marine product exports from India: A structural break and volatility analysis. </w:t>
      </w:r>
      <w:r w:rsidR="004F784C" w:rsidRPr="00B77A66">
        <w:rPr>
          <w:rFonts w:ascii="Arial" w:eastAsia="Calibri" w:hAnsi="Arial" w:cs="Arial"/>
          <w:i/>
          <w:iCs/>
          <w:sz w:val="20"/>
          <w:szCs w:val="20"/>
          <w:lang w:val="en-GB"/>
        </w:rPr>
        <w:t>Indian Journal of Applied Economics</w:t>
      </w:r>
      <w:r w:rsidR="004F784C" w:rsidRPr="00C376DE">
        <w:rPr>
          <w:rFonts w:ascii="Arial" w:eastAsia="Calibri" w:hAnsi="Arial" w:cs="Arial"/>
          <w:sz w:val="20"/>
          <w:szCs w:val="20"/>
          <w:lang w:val="en-GB"/>
        </w:rPr>
        <w:t>, 28</w:t>
      </w:r>
      <w:r>
        <w:rPr>
          <w:rFonts w:ascii="Arial" w:eastAsia="Calibri" w:hAnsi="Arial" w:cs="Arial"/>
          <w:sz w:val="20"/>
          <w:szCs w:val="20"/>
          <w:lang w:val="en-GB"/>
        </w:rPr>
        <w:t>(3),</w:t>
      </w:r>
      <w:r w:rsidR="004F784C" w:rsidRPr="00C376DE">
        <w:rPr>
          <w:rFonts w:ascii="Arial" w:eastAsia="Calibri" w:hAnsi="Arial" w:cs="Arial"/>
          <w:sz w:val="20"/>
          <w:szCs w:val="20"/>
          <w:lang w:val="en-GB"/>
        </w:rPr>
        <w:t xml:space="preserve"> 134-142.</w:t>
      </w:r>
    </w:p>
    <w:p w14:paraId="38165FB1" w14:textId="77777777" w:rsidR="004F784C" w:rsidRPr="00C376DE" w:rsidRDefault="00B77A66" w:rsidP="00D412B7">
      <w:pPr>
        <w:spacing w:after="120"/>
        <w:ind w:left="720" w:hanging="720"/>
        <w:jc w:val="both"/>
        <w:rPr>
          <w:rFonts w:ascii="Arial" w:eastAsia="Calibri" w:hAnsi="Arial" w:cs="Arial"/>
          <w:sz w:val="20"/>
          <w:szCs w:val="20"/>
        </w:rPr>
      </w:pPr>
      <w:r w:rsidRPr="00B77A66">
        <w:rPr>
          <w:rFonts w:ascii="Arial" w:eastAsia="Calibri" w:hAnsi="Arial" w:cs="Arial"/>
          <w:sz w:val="20"/>
          <w:szCs w:val="20"/>
        </w:rPr>
        <w:t xml:space="preserve">Food and Agriculture Organization. (2022). </w:t>
      </w:r>
      <w:r w:rsidRPr="00B77A66">
        <w:rPr>
          <w:rFonts w:ascii="Arial" w:eastAsia="Calibri" w:hAnsi="Arial" w:cs="Arial"/>
          <w:i/>
          <w:iCs/>
          <w:sz w:val="20"/>
          <w:szCs w:val="20"/>
        </w:rPr>
        <w:t>The state of world fisheries and aquaculture 2022: Towards blue transformation</w:t>
      </w:r>
      <w:r w:rsidRPr="00B77A66">
        <w:rPr>
          <w:rFonts w:ascii="Arial" w:eastAsia="Calibri" w:hAnsi="Arial" w:cs="Arial"/>
          <w:sz w:val="20"/>
          <w:szCs w:val="20"/>
        </w:rPr>
        <w:t xml:space="preserve">. Food and Agriculture Organization. </w:t>
      </w:r>
      <w:r w:rsidR="00104299" w:rsidRPr="00104299">
        <w:rPr>
          <w:rFonts w:ascii="Arial" w:eastAsia="Calibri" w:hAnsi="Arial" w:cs="Arial"/>
          <w:sz w:val="20"/>
          <w:szCs w:val="20"/>
        </w:rPr>
        <w:t>https://doi.org/10.4060/cc0461en</w:t>
      </w:r>
    </w:p>
    <w:p w14:paraId="4D61CCF6" w14:textId="77777777" w:rsidR="004F784C" w:rsidRPr="00C376DE" w:rsidRDefault="00B77A66" w:rsidP="00D412B7">
      <w:pPr>
        <w:spacing w:after="120"/>
        <w:ind w:left="720" w:hanging="720"/>
        <w:jc w:val="both"/>
        <w:rPr>
          <w:rFonts w:ascii="Arial" w:eastAsia="Calibri" w:hAnsi="Arial" w:cs="Arial"/>
          <w:sz w:val="20"/>
          <w:szCs w:val="20"/>
        </w:rPr>
      </w:pPr>
      <w:r w:rsidRPr="00B77A66">
        <w:rPr>
          <w:rFonts w:ascii="Arial" w:eastAsia="Calibri" w:hAnsi="Arial" w:cs="Arial"/>
          <w:sz w:val="20"/>
          <w:szCs w:val="20"/>
        </w:rPr>
        <w:t xml:space="preserve">Food and Agriculture Organization. (2023). </w:t>
      </w:r>
      <w:r w:rsidRPr="00B77A66">
        <w:rPr>
          <w:rFonts w:ascii="Arial" w:eastAsia="Calibri" w:hAnsi="Arial" w:cs="Arial"/>
          <w:i/>
          <w:iCs/>
          <w:sz w:val="20"/>
          <w:szCs w:val="20"/>
        </w:rPr>
        <w:t>The state of world fisheries and aquaculture 2023</w:t>
      </w:r>
      <w:r w:rsidRPr="00B77A66">
        <w:rPr>
          <w:rFonts w:ascii="Arial" w:eastAsia="Calibri" w:hAnsi="Arial" w:cs="Arial"/>
          <w:sz w:val="20"/>
          <w:szCs w:val="20"/>
        </w:rPr>
        <w:t xml:space="preserve">. Food and Agriculture Organization. </w:t>
      </w:r>
      <w:r w:rsidR="00104299" w:rsidRPr="00104299">
        <w:rPr>
          <w:rFonts w:ascii="Arial" w:eastAsia="Calibri" w:hAnsi="Arial" w:cs="Arial"/>
          <w:sz w:val="20"/>
          <w:szCs w:val="20"/>
        </w:rPr>
        <w:t>https://doi.org/10.4060/cd0683en</w:t>
      </w:r>
    </w:p>
    <w:p w14:paraId="3C00D408" w14:textId="60D48B2B" w:rsidR="004F784C" w:rsidRPr="00C376DE" w:rsidRDefault="00B77A66" w:rsidP="00D412B7">
      <w:pPr>
        <w:spacing w:after="120"/>
        <w:ind w:left="720" w:hanging="720"/>
        <w:jc w:val="both"/>
        <w:rPr>
          <w:rFonts w:ascii="Arial" w:eastAsia="Calibri" w:hAnsi="Arial" w:cs="Arial"/>
          <w:sz w:val="20"/>
          <w:szCs w:val="20"/>
        </w:rPr>
      </w:pPr>
      <w:r w:rsidRPr="00B77A66">
        <w:rPr>
          <w:rFonts w:ascii="Arial" w:eastAsia="Calibri" w:hAnsi="Arial" w:cs="Arial"/>
          <w:sz w:val="20"/>
          <w:szCs w:val="20"/>
        </w:rPr>
        <w:t xml:space="preserve">Food and Agriculture Organization. (2024). </w:t>
      </w:r>
      <w:r w:rsidRPr="00B77A66">
        <w:rPr>
          <w:rFonts w:ascii="Arial" w:eastAsia="Calibri" w:hAnsi="Arial" w:cs="Arial"/>
          <w:i/>
          <w:iCs/>
          <w:sz w:val="20"/>
          <w:szCs w:val="20"/>
        </w:rPr>
        <w:t xml:space="preserve">World food and agriculture </w:t>
      </w:r>
      <w:r w:rsidR="00DC0AB0">
        <w:rPr>
          <w:rFonts w:ascii="Arial" w:eastAsia="Calibri" w:hAnsi="Arial" w:cs="Arial"/>
          <w:i/>
          <w:iCs/>
          <w:sz w:val="20"/>
          <w:szCs w:val="20"/>
        </w:rPr>
        <w:t>-</w:t>
      </w:r>
      <w:r w:rsidRPr="00B77A66">
        <w:rPr>
          <w:rFonts w:ascii="Arial" w:eastAsia="Calibri" w:hAnsi="Arial" w:cs="Arial"/>
          <w:i/>
          <w:iCs/>
          <w:sz w:val="20"/>
          <w:szCs w:val="20"/>
        </w:rPr>
        <w:t xml:space="preserve"> Statistical yearbook 2024</w:t>
      </w:r>
      <w:r w:rsidRPr="00B77A66">
        <w:rPr>
          <w:rFonts w:ascii="Arial" w:eastAsia="Calibri" w:hAnsi="Arial" w:cs="Arial"/>
          <w:sz w:val="20"/>
          <w:szCs w:val="20"/>
        </w:rPr>
        <w:t>. Food and Agriculture Organization. https://www.fao.org/3/cc9920en/cc9920en.pdf</w:t>
      </w:r>
    </w:p>
    <w:p w14:paraId="06D30882" w14:textId="77777777" w:rsidR="004F784C" w:rsidRPr="00C376DE" w:rsidRDefault="00B77A66" w:rsidP="00D412B7">
      <w:pPr>
        <w:spacing w:after="120"/>
        <w:ind w:left="720" w:hanging="720"/>
        <w:jc w:val="both"/>
        <w:rPr>
          <w:rFonts w:ascii="Arial" w:eastAsia="Calibri" w:hAnsi="Arial" w:cs="Arial"/>
          <w:sz w:val="20"/>
          <w:szCs w:val="20"/>
        </w:rPr>
      </w:pPr>
      <w:r w:rsidRPr="00B77A66">
        <w:rPr>
          <w:rFonts w:ascii="Arial" w:eastAsia="Calibri" w:hAnsi="Arial" w:cs="Arial"/>
          <w:sz w:val="20"/>
          <w:szCs w:val="20"/>
        </w:rPr>
        <w:t xml:space="preserve">Food and Agriculture Organization. (2025). </w:t>
      </w:r>
      <w:r w:rsidRPr="00B77A66">
        <w:rPr>
          <w:rFonts w:ascii="Arial" w:eastAsia="Calibri" w:hAnsi="Arial" w:cs="Arial"/>
          <w:i/>
          <w:iCs/>
          <w:sz w:val="20"/>
          <w:szCs w:val="20"/>
        </w:rPr>
        <w:t>The state of world fisheries and aquaculture 2024: Blue transformation in action</w:t>
      </w:r>
      <w:r w:rsidRPr="00B77A66">
        <w:rPr>
          <w:rFonts w:ascii="Arial" w:eastAsia="Calibri" w:hAnsi="Arial" w:cs="Arial"/>
          <w:sz w:val="20"/>
          <w:szCs w:val="20"/>
        </w:rPr>
        <w:t>. Food and Agriculture Organization. https://www.fao.org/3/cc9999en/cc9999en.pdf</w:t>
      </w:r>
    </w:p>
    <w:p w14:paraId="68FA0F48" w14:textId="77777777" w:rsidR="004F784C" w:rsidRPr="00C376DE" w:rsidRDefault="004F784C" w:rsidP="00D412B7">
      <w:pPr>
        <w:spacing w:after="120"/>
        <w:ind w:left="720" w:hanging="720"/>
        <w:jc w:val="both"/>
        <w:rPr>
          <w:rFonts w:ascii="Arial" w:eastAsia="Calibri" w:hAnsi="Arial" w:cs="Arial"/>
          <w:sz w:val="20"/>
          <w:szCs w:val="20"/>
        </w:rPr>
      </w:pPr>
      <w:r w:rsidRPr="00C376DE">
        <w:rPr>
          <w:rFonts w:ascii="Arial" w:eastAsia="Calibri" w:hAnsi="Arial" w:cs="Arial"/>
          <w:sz w:val="20"/>
          <w:szCs w:val="20"/>
        </w:rPr>
        <w:t>Henson, S.</w:t>
      </w:r>
      <w:r w:rsidR="00661054">
        <w:rPr>
          <w:rFonts w:ascii="Arial" w:eastAsia="Calibri" w:hAnsi="Arial" w:cs="Arial"/>
          <w:sz w:val="20"/>
          <w:szCs w:val="20"/>
        </w:rPr>
        <w:t>,</w:t>
      </w:r>
      <w:r w:rsidRPr="00C376DE">
        <w:rPr>
          <w:rFonts w:ascii="Arial" w:eastAsia="Calibri" w:hAnsi="Arial" w:cs="Arial"/>
          <w:sz w:val="20"/>
          <w:szCs w:val="20"/>
        </w:rPr>
        <w:t xml:space="preserve"> </w:t>
      </w:r>
      <w:r w:rsidR="00661054">
        <w:rPr>
          <w:rFonts w:ascii="Arial" w:eastAsia="Calibri" w:hAnsi="Arial" w:cs="Arial"/>
          <w:sz w:val="20"/>
          <w:szCs w:val="20"/>
        </w:rPr>
        <w:t xml:space="preserve">&amp; </w:t>
      </w:r>
      <w:r w:rsidRPr="00C376DE">
        <w:rPr>
          <w:rFonts w:ascii="Arial" w:eastAsia="Calibri" w:hAnsi="Arial" w:cs="Arial"/>
          <w:sz w:val="20"/>
          <w:szCs w:val="20"/>
        </w:rPr>
        <w:t xml:space="preserve">Jaffee, S. (2008). Understanding developing country strategic responses to the enhancement of food safety standards: Global trends and issues. </w:t>
      </w:r>
      <w:r w:rsidRPr="00B77A66">
        <w:rPr>
          <w:rFonts w:ascii="Arial" w:eastAsia="Calibri" w:hAnsi="Arial" w:cs="Arial"/>
          <w:i/>
          <w:iCs/>
          <w:sz w:val="20"/>
          <w:szCs w:val="20"/>
        </w:rPr>
        <w:t>The World Economy</w:t>
      </w:r>
      <w:r w:rsidRPr="00661054">
        <w:rPr>
          <w:rFonts w:ascii="Arial" w:eastAsia="Calibri" w:hAnsi="Arial" w:cs="Arial"/>
          <w:sz w:val="20"/>
          <w:szCs w:val="20"/>
        </w:rPr>
        <w:t>,</w:t>
      </w:r>
      <w:r w:rsidRPr="00C376DE">
        <w:rPr>
          <w:rFonts w:ascii="Arial" w:eastAsia="Calibri" w:hAnsi="Arial" w:cs="Arial"/>
          <w:sz w:val="20"/>
          <w:szCs w:val="20"/>
        </w:rPr>
        <w:t xml:space="preserve"> </w:t>
      </w:r>
      <w:r w:rsidRPr="00661054">
        <w:rPr>
          <w:rFonts w:ascii="Arial" w:eastAsia="Calibri" w:hAnsi="Arial" w:cs="Arial"/>
          <w:sz w:val="20"/>
          <w:szCs w:val="20"/>
        </w:rPr>
        <w:t>31</w:t>
      </w:r>
      <w:r w:rsidR="00661054">
        <w:rPr>
          <w:rFonts w:ascii="Arial" w:eastAsia="Calibri" w:hAnsi="Arial" w:cs="Arial"/>
          <w:sz w:val="20"/>
          <w:szCs w:val="20"/>
        </w:rPr>
        <w:t>(4),</w:t>
      </w:r>
      <w:r w:rsidRPr="00C376DE">
        <w:rPr>
          <w:rFonts w:ascii="Arial" w:eastAsia="Calibri" w:hAnsi="Arial" w:cs="Arial"/>
          <w:sz w:val="20"/>
          <w:szCs w:val="20"/>
        </w:rPr>
        <w:t xml:space="preserve"> 548-568. </w:t>
      </w:r>
      <w:r w:rsidR="00104299" w:rsidRPr="00104299">
        <w:rPr>
          <w:rFonts w:ascii="Arial" w:eastAsia="Calibri" w:hAnsi="Arial" w:cs="Arial"/>
          <w:sz w:val="20"/>
          <w:szCs w:val="20"/>
        </w:rPr>
        <w:t>DOI: 10.1111/j.1467-9701.2007.01034.x</w:t>
      </w:r>
    </w:p>
    <w:p w14:paraId="5C2935DD" w14:textId="77777777" w:rsidR="004F784C" w:rsidRPr="00C376DE" w:rsidRDefault="00661054" w:rsidP="00D412B7">
      <w:pPr>
        <w:spacing w:after="120"/>
        <w:ind w:left="720" w:hanging="720"/>
        <w:jc w:val="both"/>
        <w:rPr>
          <w:rFonts w:ascii="Arial" w:eastAsia="Calibri" w:hAnsi="Arial" w:cs="Arial"/>
          <w:sz w:val="20"/>
          <w:szCs w:val="20"/>
        </w:rPr>
      </w:pPr>
      <w:r w:rsidRPr="00661054">
        <w:rPr>
          <w:rFonts w:ascii="Arial" w:eastAsia="Calibri" w:hAnsi="Arial" w:cs="Arial"/>
          <w:sz w:val="20"/>
          <w:szCs w:val="20"/>
        </w:rPr>
        <w:t>India Brand Equity Foundation</w:t>
      </w:r>
      <w:r w:rsidR="004F784C" w:rsidRPr="00C376DE">
        <w:rPr>
          <w:rFonts w:ascii="Arial" w:eastAsia="Calibri" w:hAnsi="Arial" w:cs="Arial"/>
          <w:sz w:val="20"/>
          <w:szCs w:val="20"/>
        </w:rPr>
        <w:t>. (2025). Marine Products Export Data and Industry Profile.</w:t>
      </w:r>
      <w:r w:rsidR="00B77A66">
        <w:rPr>
          <w:rFonts w:ascii="Arial" w:eastAsia="Calibri" w:hAnsi="Arial" w:cs="Arial"/>
          <w:sz w:val="20"/>
          <w:szCs w:val="20"/>
        </w:rPr>
        <w:t xml:space="preserve"> </w:t>
      </w:r>
      <w:r w:rsidR="00B77A66" w:rsidRPr="00B77A66">
        <w:rPr>
          <w:rFonts w:ascii="Arial" w:eastAsia="Calibri" w:hAnsi="Arial" w:cs="Arial"/>
          <w:sz w:val="20"/>
          <w:szCs w:val="20"/>
        </w:rPr>
        <w:t>https://www.ibef.org/exports/marine-products-industry-india</w:t>
      </w:r>
      <w:r w:rsidR="004F784C" w:rsidRPr="00C376DE">
        <w:rPr>
          <w:rFonts w:ascii="Arial" w:eastAsia="Calibri" w:hAnsi="Arial" w:cs="Arial"/>
          <w:sz w:val="20"/>
          <w:szCs w:val="20"/>
        </w:rPr>
        <w:t xml:space="preserve"> </w:t>
      </w:r>
    </w:p>
    <w:p w14:paraId="34045107" w14:textId="77777777" w:rsidR="004F784C" w:rsidRPr="00C376DE" w:rsidRDefault="00661054" w:rsidP="00D412B7">
      <w:pPr>
        <w:spacing w:after="120"/>
        <w:ind w:left="720" w:hanging="720"/>
        <w:jc w:val="both"/>
        <w:rPr>
          <w:rFonts w:ascii="Arial" w:eastAsia="Calibri" w:hAnsi="Arial" w:cs="Arial"/>
          <w:sz w:val="20"/>
          <w:szCs w:val="20"/>
          <w:lang w:val="en-GB"/>
        </w:rPr>
      </w:pPr>
      <w:r>
        <w:rPr>
          <w:rFonts w:ascii="Arial" w:eastAsia="Calibri" w:hAnsi="Arial" w:cs="Arial"/>
          <w:sz w:val="20"/>
          <w:szCs w:val="20"/>
          <w:lang w:val="en-GB"/>
        </w:rPr>
        <w:t xml:space="preserve">Jeevitha, G. N., Singh, K. M., &amp; </w:t>
      </w:r>
      <w:r w:rsidR="004F784C" w:rsidRPr="00C376DE">
        <w:rPr>
          <w:rFonts w:ascii="Arial" w:eastAsia="Calibri" w:hAnsi="Arial" w:cs="Arial"/>
          <w:sz w:val="20"/>
          <w:szCs w:val="20"/>
          <w:lang w:val="en-GB"/>
        </w:rPr>
        <w:t xml:space="preserve">Ahmad, N. (2023). An analytical study of marine exports from India. </w:t>
      </w:r>
      <w:r w:rsidR="004F784C" w:rsidRPr="00B77A66">
        <w:rPr>
          <w:rFonts w:ascii="Arial" w:eastAsia="Calibri" w:hAnsi="Arial" w:cs="Arial"/>
          <w:i/>
          <w:iCs/>
          <w:sz w:val="20"/>
          <w:szCs w:val="20"/>
          <w:lang w:val="en-GB"/>
        </w:rPr>
        <w:t>Journal of AgriSearch</w:t>
      </w:r>
      <w:r w:rsidR="004F784C" w:rsidRPr="00661054">
        <w:rPr>
          <w:rFonts w:ascii="Arial" w:eastAsia="Calibri" w:hAnsi="Arial" w:cs="Arial"/>
          <w:sz w:val="20"/>
          <w:szCs w:val="20"/>
          <w:lang w:val="en-GB"/>
        </w:rPr>
        <w:t>,</w:t>
      </w:r>
      <w:r w:rsidR="004F784C" w:rsidRPr="00C376DE">
        <w:rPr>
          <w:rFonts w:ascii="Arial" w:eastAsia="Calibri" w:hAnsi="Arial" w:cs="Arial"/>
          <w:sz w:val="20"/>
          <w:szCs w:val="20"/>
          <w:lang w:val="en-GB"/>
        </w:rPr>
        <w:t xml:space="preserve"> </w:t>
      </w:r>
      <w:r w:rsidR="004F784C" w:rsidRPr="00661054">
        <w:rPr>
          <w:rFonts w:ascii="Arial" w:eastAsia="Calibri" w:hAnsi="Arial" w:cs="Arial"/>
          <w:sz w:val="20"/>
          <w:szCs w:val="20"/>
          <w:lang w:val="en-GB"/>
        </w:rPr>
        <w:t>10</w:t>
      </w:r>
      <w:r>
        <w:rPr>
          <w:rFonts w:ascii="Arial" w:eastAsia="Calibri" w:hAnsi="Arial" w:cs="Arial"/>
          <w:sz w:val="20"/>
          <w:szCs w:val="20"/>
          <w:lang w:val="en-GB"/>
        </w:rPr>
        <w:t>(2),</w:t>
      </w:r>
      <w:r w:rsidR="004F784C" w:rsidRPr="00C376DE">
        <w:rPr>
          <w:rFonts w:ascii="Arial" w:eastAsia="Calibri" w:hAnsi="Arial" w:cs="Arial"/>
          <w:sz w:val="20"/>
          <w:szCs w:val="20"/>
          <w:lang w:val="en-GB"/>
        </w:rPr>
        <w:t xml:space="preserve"> 145-150. </w:t>
      </w:r>
      <w:r w:rsidR="00D0665A" w:rsidRPr="00D0665A">
        <w:rPr>
          <w:rFonts w:ascii="Arial" w:eastAsia="Calibri" w:hAnsi="Arial" w:cs="Arial"/>
          <w:sz w:val="20"/>
          <w:szCs w:val="20"/>
          <w:lang w:val="en-GB"/>
        </w:rPr>
        <w:t>https://doi.org/10.21921/jas.v10i02.12732</w:t>
      </w:r>
    </w:p>
    <w:p w14:paraId="24A5490B" w14:textId="00765D3A" w:rsidR="004F784C" w:rsidRPr="00C376DE" w:rsidRDefault="004F784C" w:rsidP="00D412B7">
      <w:pPr>
        <w:spacing w:after="120"/>
        <w:ind w:left="720" w:hanging="720"/>
        <w:jc w:val="both"/>
        <w:rPr>
          <w:rFonts w:ascii="Arial" w:eastAsia="Calibri" w:hAnsi="Arial" w:cs="Arial"/>
          <w:sz w:val="20"/>
          <w:szCs w:val="20"/>
        </w:rPr>
      </w:pPr>
      <w:r w:rsidRPr="00C376DE">
        <w:rPr>
          <w:rFonts w:ascii="Arial" w:eastAsia="Calibri" w:hAnsi="Arial" w:cs="Arial"/>
          <w:sz w:val="20"/>
          <w:szCs w:val="20"/>
        </w:rPr>
        <w:t>Kalaiarasi, D.</w:t>
      </w:r>
      <w:r w:rsidR="00661054">
        <w:rPr>
          <w:rFonts w:ascii="Arial" w:eastAsia="Calibri" w:hAnsi="Arial" w:cs="Arial"/>
          <w:sz w:val="20"/>
          <w:szCs w:val="20"/>
        </w:rPr>
        <w:t>,</w:t>
      </w:r>
      <w:r w:rsidRPr="00C376DE">
        <w:rPr>
          <w:rFonts w:ascii="Arial" w:eastAsia="Calibri" w:hAnsi="Arial" w:cs="Arial"/>
          <w:sz w:val="20"/>
          <w:szCs w:val="20"/>
        </w:rPr>
        <w:t xml:space="preserve"> </w:t>
      </w:r>
      <w:r w:rsidR="00661054">
        <w:rPr>
          <w:rFonts w:ascii="Arial" w:eastAsia="Calibri" w:hAnsi="Arial" w:cs="Arial"/>
          <w:sz w:val="20"/>
          <w:szCs w:val="20"/>
        </w:rPr>
        <w:t xml:space="preserve">&amp; </w:t>
      </w:r>
      <w:r w:rsidRPr="00C376DE">
        <w:rPr>
          <w:rFonts w:ascii="Arial" w:eastAsia="Calibri" w:hAnsi="Arial" w:cs="Arial"/>
          <w:sz w:val="20"/>
          <w:szCs w:val="20"/>
        </w:rPr>
        <w:t xml:space="preserve">Kavithambika, S. (2024). Unlocking insights into marine product exports in India: Analysing trade patterns and export potential using Markov chain approach. </w:t>
      </w:r>
      <w:r w:rsidRPr="00B77A66">
        <w:rPr>
          <w:rFonts w:ascii="Arial" w:eastAsia="Calibri" w:hAnsi="Arial" w:cs="Arial"/>
          <w:i/>
          <w:iCs/>
          <w:sz w:val="20"/>
          <w:szCs w:val="20"/>
        </w:rPr>
        <w:t>International Journal of Agriculture Extension and Social Development</w:t>
      </w:r>
      <w:r w:rsidRPr="00661054">
        <w:rPr>
          <w:rFonts w:ascii="Arial" w:eastAsia="Calibri" w:hAnsi="Arial" w:cs="Arial"/>
          <w:sz w:val="20"/>
          <w:szCs w:val="20"/>
        </w:rPr>
        <w:t>,</w:t>
      </w:r>
      <w:r w:rsidRPr="00C376DE">
        <w:rPr>
          <w:rFonts w:ascii="Arial" w:eastAsia="Calibri" w:hAnsi="Arial" w:cs="Arial"/>
          <w:i/>
          <w:iCs/>
          <w:sz w:val="20"/>
          <w:szCs w:val="20"/>
        </w:rPr>
        <w:t xml:space="preserve"> </w:t>
      </w:r>
      <w:r w:rsidRPr="00661054">
        <w:rPr>
          <w:rFonts w:ascii="Arial" w:eastAsia="Calibri" w:hAnsi="Arial" w:cs="Arial"/>
          <w:sz w:val="20"/>
          <w:szCs w:val="20"/>
        </w:rPr>
        <w:t>7</w:t>
      </w:r>
      <w:r w:rsidR="00661054">
        <w:rPr>
          <w:rFonts w:ascii="Arial" w:eastAsia="Calibri" w:hAnsi="Arial" w:cs="Arial"/>
          <w:sz w:val="20"/>
          <w:szCs w:val="20"/>
        </w:rPr>
        <w:t>(4),</w:t>
      </w:r>
      <w:r w:rsidRPr="00C376DE">
        <w:rPr>
          <w:rFonts w:ascii="Arial" w:eastAsia="Calibri" w:hAnsi="Arial" w:cs="Arial"/>
          <w:sz w:val="20"/>
          <w:szCs w:val="20"/>
        </w:rPr>
        <w:t xml:space="preserve"> 604-608. </w:t>
      </w:r>
      <w:r w:rsidR="004E39EA" w:rsidRPr="004E39EA">
        <w:rPr>
          <w:rFonts w:ascii="Arial" w:eastAsia="Calibri" w:hAnsi="Arial" w:cs="Arial"/>
          <w:sz w:val="20"/>
          <w:szCs w:val="20"/>
        </w:rPr>
        <w:t>https://doi.org/10.33545/26180723.2024.v7.i4h.578</w:t>
      </w:r>
    </w:p>
    <w:p w14:paraId="73EFFA1E" w14:textId="3EE76199" w:rsidR="004F784C" w:rsidRPr="00C376DE" w:rsidRDefault="004F784C" w:rsidP="00D412B7">
      <w:pPr>
        <w:spacing w:after="120"/>
        <w:ind w:left="720" w:hanging="720"/>
        <w:jc w:val="both"/>
        <w:rPr>
          <w:rFonts w:ascii="Arial" w:eastAsia="Calibri" w:hAnsi="Arial" w:cs="Arial"/>
          <w:sz w:val="20"/>
          <w:szCs w:val="20"/>
          <w:lang w:val="en-GB"/>
        </w:rPr>
      </w:pPr>
      <w:r w:rsidRPr="00C376DE">
        <w:rPr>
          <w:rFonts w:ascii="Arial" w:eastAsia="Calibri" w:hAnsi="Arial" w:cs="Arial"/>
          <w:sz w:val="20"/>
          <w:szCs w:val="20"/>
          <w:lang w:val="en-GB"/>
        </w:rPr>
        <w:t>Kumari, R. Y, Rajeswari, S., Jyothi, H. S., Vani, N., Srikala, M.</w:t>
      </w:r>
      <w:r w:rsidR="00661054">
        <w:rPr>
          <w:rFonts w:ascii="Arial" w:eastAsia="Calibri" w:hAnsi="Arial" w:cs="Arial"/>
          <w:sz w:val="20"/>
          <w:szCs w:val="20"/>
          <w:lang w:val="en-GB"/>
        </w:rPr>
        <w:t>, &amp;</w:t>
      </w:r>
      <w:r w:rsidRPr="00C376DE">
        <w:rPr>
          <w:rFonts w:ascii="Arial" w:eastAsia="Calibri" w:hAnsi="Arial" w:cs="Arial"/>
          <w:sz w:val="20"/>
          <w:szCs w:val="20"/>
          <w:lang w:val="en-GB"/>
        </w:rPr>
        <w:t xml:space="preserve"> Srinivas, T. (2025). Growth, instability and direction of trade of Indian marine products. </w:t>
      </w:r>
      <w:r w:rsidRPr="00B77A66">
        <w:rPr>
          <w:rFonts w:ascii="Arial" w:eastAsia="Calibri" w:hAnsi="Arial" w:cs="Arial"/>
          <w:i/>
          <w:iCs/>
          <w:sz w:val="20"/>
          <w:szCs w:val="20"/>
          <w:lang w:val="en-GB"/>
        </w:rPr>
        <w:t>International Journal of Agriculture Extension and Social Development</w:t>
      </w:r>
      <w:r w:rsidRPr="00661054">
        <w:rPr>
          <w:rFonts w:ascii="Arial" w:eastAsia="Calibri" w:hAnsi="Arial" w:cs="Arial"/>
          <w:sz w:val="20"/>
          <w:szCs w:val="20"/>
          <w:lang w:val="en-GB"/>
        </w:rPr>
        <w:t>,</w:t>
      </w:r>
      <w:r w:rsidRPr="00C376DE">
        <w:rPr>
          <w:rFonts w:ascii="Arial" w:eastAsia="Calibri" w:hAnsi="Arial" w:cs="Arial"/>
          <w:i/>
          <w:iCs/>
          <w:sz w:val="20"/>
          <w:szCs w:val="20"/>
          <w:lang w:val="en-GB"/>
        </w:rPr>
        <w:t xml:space="preserve"> </w:t>
      </w:r>
      <w:r w:rsidRPr="00661054">
        <w:rPr>
          <w:rFonts w:ascii="Arial" w:eastAsia="Calibri" w:hAnsi="Arial" w:cs="Arial"/>
          <w:sz w:val="20"/>
          <w:szCs w:val="20"/>
          <w:lang w:val="en-GB"/>
        </w:rPr>
        <w:t>8</w:t>
      </w:r>
      <w:r w:rsidR="00661054">
        <w:rPr>
          <w:rFonts w:ascii="Arial" w:eastAsia="Calibri" w:hAnsi="Arial" w:cs="Arial"/>
          <w:sz w:val="20"/>
          <w:szCs w:val="20"/>
          <w:lang w:val="en-GB"/>
        </w:rPr>
        <w:t>(3),</w:t>
      </w:r>
      <w:r w:rsidRPr="00C376DE">
        <w:rPr>
          <w:rFonts w:ascii="Arial" w:eastAsia="Calibri" w:hAnsi="Arial" w:cs="Arial"/>
          <w:sz w:val="20"/>
          <w:szCs w:val="20"/>
          <w:lang w:val="en-GB"/>
        </w:rPr>
        <w:t xml:space="preserve"> 35-41. </w:t>
      </w:r>
      <w:r w:rsidR="00A549DD" w:rsidRPr="00A549DD">
        <w:rPr>
          <w:rFonts w:ascii="Arial" w:eastAsia="Calibri" w:hAnsi="Arial" w:cs="Arial"/>
          <w:sz w:val="20"/>
          <w:szCs w:val="20"/>
          <w:lang w:val="en-GB"/>
        </w:rPr>
        <w:t>https://doi.org/10.33545/26180723.2025.v8.i3a.1676</w:t>
      </w:r>
    </w:p>
    <w:p w14:paraId="585B49E8" w14:textId="77777777" w:rsidR="004F784C" w:rsidRPr="00C376DE" w:rsidRDefault="00661054" w:rsidP="00D412B7">
      <w:pPr>
        <w:spacing w:after="120"/>
        <w:ind w:left="720" w:hanging="720"/>
        <w:jc w:val="both"/>
        <w:rPr>
          <w:rFonts w:ascii="Arial" w:eastAsia="Calibri" w:hAnsi="Arial" w:cs="Arial"/>
          <w:sz w:val="20"/>
          <w:szCs w:val="20"/>
        </w:rPr>
      </w:pPr>
      <w:r w:rsidRPr="00661054">
        <w:rPr>
          <w:rFonts w:ascii="Arial" w:eastAsia="Calibri" w:hAnsi="Arial" w:cs="Arial"/>
          <w:sz w:val="20"/>
          <w:szCs w:val="20"/>
        </w:rPr>
        <w:t>Marine Products Export Development Authority</w:t>
      </w:r>
      <w:r w:rsidR="004F784C" w:rsidRPr="00C376DE">
        <w:rPr>
          <w:rFonts w:ascii="Arial" w:eastAsia="Calibri" w:hAnsi="Arial" w:cs="Arial"/>
          <w:sz w:val="20"/>
          <w:szCs w:val="20"/>
        </w:rPr>
        <w:t xml:space="preserve">. (2023). </w:t>
      </w:r>
      <w:r w:rsidR="00002CDA">
        <w:rPr>
          <w:rFonts w:ascii="Arial" w:eastAsia="Calibri" w:hAnsi="Arial" w:cs="Arial"/>
          <w:sz w:val="20"/>
          <w:szCs w:val="20"/>
        </w:rPr>
        <w:t>Handbook on Fisheries Statistics 2022</w:t>
      </w:r>
      <w:r w:rsidR="004F784C" w:rsidRPr="00C376DE">
        <w:rPr>
          <w:rFonts w:ascii="Arial" w:eastAsia="Calibri" w:hAnsi="Arial" w:cs="Arial"/>
          <w:sz w:val="20"/>
          <w:szCs w:val="20"/>
        </w:rPr>
        <w:t>. Government of India.</w:t>
      </w:r>
      <w:r w:rsidR="00002CDA">
        <w:rPr>
          <w:rFonts w:ascii="Arial" w:eastAsia="Calibri" w:hAnsi="Arial" w:cs="Arial"/>
          <w:sz w:val="20"/>
          <w:szCs w:val="20"/>
        </w:rPr>
        <w:t xml:space="preserve"> </w:t>
      </w:r>
      <w:r w:rsidR="00002CDA" w:rsidRPr="00002CDA">
        <w:rPr>
          <w:rFonts w:ascii="Arial" w:eastAsia="Calibri" w:hAnsi="Arial" w:cs="Arial"/>
          <w:sz w:val="20"/>
          <w:szCs w:val="20"/>
        </w:rPr>
        <w:t>https://mpeda.gov.in/wp-content/uploads/2023/03/Handbook%20Fisheries%20Statistics%2019012023.pdf</w:t>
      </w:r>
    </w:p>
    <w:p w14:paraId="412F309C" w14:textId="77777777" w:rsidR="004F784C" w:rsidRPr="00C376DE" w:rsidRDefault="00661054" w:rsidP="00D412B7">
      <w:pPr>
        <w:spacing w:after="120"/>
        <w:ind w:left="720" w:hanging="720"/>
        <w:jc w:val="both"/>
        <w:rPr>
          <w:rFonts w:ascii="Arial" w:eastAsia="Calibri" w:hAnsi="Arial" w:cs="Arial"/>
          <w:sz w:val="20"/>
          <w:szCs w:val="20"/>
        </w:rPr>
      </w:pPr>
      <w:r w:rsidRPr="00661054">
        <w:rPr>
          <w:rFonts w:ascii="Arial" w:eastAsia="Calibri" w:hAnsi="Arial" w:cs="Arial"/>
          <w:sz w:val="20"/>
          <w:szCs w:val="20"/>
        </w:rPr>
        <w:t>Marine Products Export Development Authority</w:t>
      </w:r>
      <w:r w:rsidR="004F784C" w:rsidRPr="00C376DE">
        <w:rPr>
          <w:rFonts w:ascii="Arial" w:eastAsia="Calibri" w:hAnsi="Arial" w:cs="Arial"/>
          <w:sz w:val="20"/>
          <w:szCs w:val="20"/>
        </w:rPr>
        <w:t>. (2025). Annual Report 2024-25. Government of India.</w:t>
      </w:r>
      <w:r w:rsidR="00002CDA">
        <w:rPr>
          <w:rFonts w:ascii="Arial" w:eastAsia="Calibri" w:hAnsi="Arial" w:cs="Arial"/>
          <w:sz w:val="20"/>
          <w:szCs w:val="20"/>
        </w:rPr>
        <w:t xml:space="preserve"> </w:t>
      </w:r>
      <w:r w:rsidR="00002CDA" w:rsidRPr="00002CDA">
        <w:rPr>
          <w:rFonts w:ascii="Arial" w:eastAsia="Calibri" w:hAnsi="Arial" w:cs="Arial"/>
          <w:sz w:val="20"/>
          <w:szCs w:val="20"/>
        </w:rPr>
        <w:t>https://mpeda.gov.in/wp-content/uploads/2020/12/MPEDA_Annual_Report_25-26.pdf</w:t>
      </w:r>
    </w:p>
    <w:p w14:paraId="4A6896A8" w14:textId="37C87704" w:rsidR="004F784C" w:rsidRPr="00C376DE" w:rsidRDefault="00801655" w:rsidP="00D412B7">
      <w:pPr>
        <w:spacing w:after="120"/>
        <w:ind w:left="720" w:hanging="720"/>
        <w:jc w:val="both"/>
        <w:rPr>
          <w:rFonts w:ascii="Arial" w:eastAsia="Calibri" w:hAnsi="Arial" w:cs="Arial"/>
          <w:sz w:val="20"/>
          <w:szCs w:val="20"/>
        </w:rPr>
      </w:pPr>
      <w:r w:rsidRPr="00801655">
        <w:rPr>
          <w:rFonts w:ascii="Arial" w:eastAsia="Calibri" w:hAnsi="Arial" w:cs="Arial"/>
          <w:sz w:val="20"/>
          <w:szCs w:val="20"/>
        </w:rPr>
        <w:t>Ramadhan, A. J., Bohra, D., Srivastava, A. B., Kumar, P., Gautam, S</w:t>
      </w:r>
      <w:r>
        <w:rPr>
          <w:rFonts w:ascii="Arial" w:eastAsia="Calibri" w:hAnsi="Arial" w:cs="Arial"/>
          <w:sz w:val="20"/>
          <w:szCs w:val="20"/>
        </w:rPr>
        <w:t xml:space="preserve">., Suman, Lal, P., </w:t>
      </w:r>
      <w:proofErr w:type="spellStart"/>
      <w:r>
        <w:rPr>
          <w:rFonts w:ascii="Arial" w:eastAsia="Calibri" w:hAnsi="Arial" w:cs="Arial"/>
          <w:sz w:val="20"/>
          <w:szCs w:val="20"/>
        </w:rPr>
        <w:t>Abotaleb</w:t>
      </w:r>
      <w:proofErr w:type="spellEnd"/>
      <w:r>
        <w:rPr>
          <w:rFonts w:ascii="Arial" w:eastAsia="Calibri" w:hAnsi="Arial" w:cs="Arial"/>
          <w:sz w:val="20"/>
          <w:szCs w:val="20"/>
        </w:rPr>
        <w:t xml:space="preserve">, M., &amp; </w:t>
      </w:r>
      <w:proofErr w:type="spellStart"/>
      <w:r w:rsidRPr="00801655">
        <w:rPr>
          <w:rFonts w:ascii="Arial" w:eastAsia="Calibri" w:hAnsi="Arial" w:cs="Arial"/>
          <w:sz w:val="20"/>
          <w:szCs w:val="20"/>
        </w:rPr>
        <w:t>Alkattan</w:t>
      </w:r>
      <w:proofErr w:type="spellEnd"/>
      <w:r w:rsidRPr="00801655">
        <w:rPr>
          <w:rFonts w:ascii="Arial" w:eastAsia="Calibri" w:hAnsi="Arial" w:cs="Arial"/>
          <w:sz w:val="20"/>
          <w:szCs w:val="20"/>
        </w:rPr>
        <w:t>, H.</w:t>
      </w:r>
      <w:r w:rsidR="004F784C" w:rsidRPr="00C376DE">
        <w:rPr>
          <w:rFonts w:ascii="Arial" w:eastAsia="Calibri" w:hAnsi="Arial" w:cs="Arial"/>
          <w:sz w:val="20"/>
          <w:szCs w:val="20"/>
        </w:rPr>
        <w:t xml:space="preserve"> (2024). Production, sustainability and fish trade prospect of India by using Markov chain analysis. </w:t>
      </w:r>
      <w:r w:rsidR="004F784C" w:rsidRPr="00B77A66">
        <w:rPr>
          <w:rFonts w:ascii="Arial" w:eastAsia="Calibri" w:hAnsi="Arial" w:cs="Arial"/>
          <w:i/>
          <w:iCs/>
          <w:sz w:val="20"/>
          <w:szCs w:val="20"/>
        </w:rPr>
        <w:t>BIO Web of Conferences</w:t>
      </w:r>
      <w:r w:rsidR="004F784C" w:rsidRPr="00661054">
        <w:rPr>
          <w:rFonts w:ascii="Arial" w:eastAsia="Calibri" w:hAnsi="Arial" w:cs="Arial"/>
          <w:sz w:val="20"/>
          <w:szCs w:val="20"/>
        </w:rPr>
        <w:t>,</w:t>
      </w:r>
      <w:r w:rsidR="004F784C" w:rsidRPr="00C376DE">
        <w:rPr>
          <w:rFonts w:ascii="Arial" w:eastAsia="Calibri" w:hAnsi="Arial" w:cs="Arial"/>
          <w:sz w:val="20"/>
          <w:szCs w:val="20"/>
        </w:rPr>
        <w:t xml:space="preserve"> </w:t>
      </w:r>
      <w:r w:rsidR="004F784C" w:rsidRPr="00661054">
        <w:rPr>
          <w:rFonts w:ascii="Arial" w:eastAsia="Calibri" w:hAnsi="Arial" w:cs="Arial"/>
          <w:sz w:val="20"/>
          <w:szCs w:val="20"/>
        </w:rPr>
        <w:t>97</w:t>
      </w:r>
      <w:r w:rsidR="00661054">
        <w:rPr>
          <w:rFonts w:ascii="Arial" w:eastAsia="Calibri" w:hAnsi="Arial" w:cs="Arial"/>
          <w:sz w:val="20"/>
          <w:szCs w:val="20"/>
        </w:rPr>
        <w:t>,</w:t>
      </w:r>
      <w:r w:rsidR="004F784C" w:rsidRPr="00C376DE">
        <w:rPr>
          <w:rFonts w:ascii="Arial" w:eastAsia="Calibri" w:hAnsi="Arial" w:cs="Arial"/>
          <w:sz w:val="20"/>
          <w:szCs w:val="20"/>
        </w:rPr>
        <w:t xml:space="preserve"> 00132. </w:t>
      </w:r>
      <w:r w:rsidR="005B4F20" w:rsidRPr="005B4F20">
        <w:rPr>
          <w:rFonts w:ascii="Arial" w:eastAsia="Calibri" w:hAnsi="Arial" w:cs="Arial"/>
          <w:sz w:val="20"/>
          <w:szCs w:val="20"/>
        </w:rPr>
        <w:t>https://doi.org/10.1051/bioconf/20249700132</w:t>
      </w:r>
    </w:p>
    <w:p w14:paraId="29687789" w14:textId="77777777" w:rsidR="004F784C" w:rsidRPr="00C376DE" w:rsidRDefault="004F784C" w:rsidP="00D412B7">
      <w:pPr>
        <w:spacing w:after="120"/>
        <w:ind w:left="720" w:hanging="720"/>
        <w:jc w:val="both"/>
        <w:rPr>
          <w:rFonts w:ascii="Arial" w:eastAsia="Calibri" w:hAnsi="Arial" w:cs="Arial"/>
          <w:sz w:val="20"/>
          <w:szCs w:val="20"/>
          <w:lang w:val="en-GB"/>
        </w:rPr>
      </w:pPr>
      <w:r w:rsidRPr="00C376DE">
        <w:rPr>
          <w:rFonts w:ascii="Arial" w:eastAsia="Calibri" w:hAnsi="Arial" w:cs="Arial"/>
          <w:sz w:val="20"/>
          <w:szCs w:val="20"/>
          <w:lang w:val="en-GB"/>
        </w:rPr>
        <w:t>Rao, K. V.</w:t>
      </w:r>
      <w:r w:rsidR="00661054">
        <w:rPr>
          <w:rFonts w:ascii="Arial" w:eastAsia="Calibri" w:hAnsi="Arial" w:cs="Arial"/>
          <w:sz w:val="20"/>
          <w:szCs w:val="20"/>
          <w:lang w:val="en-GB"/>
        </w:rPr>
        <w:t>,</w:t>
      </w:r>
      <w:r w:rsidRPr="00C376DE">
        <w:rPr>
          <w:rFonts w:ascii="Arial" w:eastAsia="Calibri" w:hAnsi="Arial" w:cs="Arial"/>
          <w:sz w:val="20"/>
          <w:szCs w:val="20"/>
          <w:lang w:val="en-GB"/>
        </w:rPr>
        <w:t xml:space="preserve"> </w:t>
      </w:r>
      <w:r w:rsidR="00661054">
        <w:rPr>
          <w:rFonts w:ascii="Arial" w:eastAsia="Calibri" w:hAnsi="Arial" w:cs="Arial"/>
          <w:sz w:val="20"/>
          <w:szCs w:val="20"/>
          <w:lang w:val="en-GB"/>
        </w:rPr>
        <w:t xml:space="preserve">&amp; </w:t>
      </w:r>
      <w:r w:rsidRPr="00C376DE">
        <w:rPr>
          <w:rFonts w:ascii="Arial" w:eastAsia="Calibri" w:hAnsi="Arial" w:cs="Arial"/>
          <w:sz w:val="20"/>
          <w:szCs w:val="20"/>
          <w:lang w:val="en-GB"/>
        </w:rPr>
        <w:t xml:space="preserve">Menon, R. (2021). Growth trends and volatility in India’s seafood exports: A time series analysis. </w:t>
      </w:r>
      <w:r w:rsidRPr="00B77A66">
        <w:rPr>
          <w:rFonts w:ascii="Arial" w:eastAsia="Calibri" w:hAnsi="Arial" w:cs="Arial"/>
          <w:i/>
          <w:iCs/>
          <w:sz w:val="20"/>
          <w:szCs w:val="20"/>
          <w:lang w:val="en-GB"/>
        </w:rPr>
        <w:t>South Asian Journal of Maritime Studies</w:t>
      </w:r>
      <w:r w:rsidRPr="00661054">
        <w:rPr>
          <w:rFonts w:ascii="Arial" w:eastAsia="Calibri" w:hAnsi="Arial" w:cs="Arial"/>
          <w:sz w:val="20"/>
          <w:szCs w:val="20"/>
          <w:lang w:val="en-GB"/>
        </w:rPr>
        <w:t>,</w:t>
      </w:r>
      <w:r w:rsidRPr="00C376DE">
        <w:rPr>
          <w:rFonts w:ascii="Arial" w:eastAsia="Calibri" w:hAnsi="Arial" w:cs="Arial"/>
          <w:sz w:val="20"/>
          <w:szCs w:val="20"/>
          <w:lang w:val="en-GB"/>
        </w:rPr>
        <w:t xml:space="preserve"> </w:t>
      </w:r>
      <w:r w:rsidRPr="00661054">
        <w:rPr>
          <w:rFonts w:ascii="Arial" w:eastAsia="Calibri" w:hAnsi="Arial" w:cs="Arial"/>
          <w:sz w:val="20"/>
          <w:szCs w:val="20"/>
          <w:lang w:val="en-GB"/>
        </w:rPr>
        <w:t>18</w:t>
      </w:r>
      <w:r w:rsidRPr="00C376DE">
        <w:rPr>
          <w:rFonts w:ascii="Arial" w:eastAsia="Calibri" w:hAnsi="Arial" w:cs="Arial"/>
          <w:sz w:val="20"/>
          <w:szCs w:val="20"/>
          <w:lang w:val="en-GB"/>
        </w:rPr>
        <w:t>(2)</w:t>
      </w:r>
      <w:r w:rsidR="00661054">
        <w:rPr>
          <w:rFonts w:ascii="Arial" w:eastAsia="Calibri" w:hAnsi="Arial" w:cs="Arial"/>
          <w:sz w:val="20"/>
          <w:szCs w:val="20"/>
          <w:lang w:val="en-GB"/>
        </w:rPr>
        <w:t>,</w:t>
      </w:r>
      <w:r w:rsidRPr="00C376DE">
        <w:rPr>
          <w:rFonts w:ascii="Arial" w:eastAsia="Calibri" w:hAnsi="Arial" w:cs="Arial"/>
          <w:sz w:val="20"/>
          <w:szCs w:val="20"/>
          <w:lang w:val="en-GB"/>
        </w:rPr>
        <w:t xml:space="preserve"> 89-97.</w:t>
      </w:r>
    </w:p>
    <w:p w14:paraId="27BE87B5" w14:textId="77777777" w:rsidR="004F784C" w:rsidRPr="00C376DE" w:rsidRDefault="00661054" w:rsidP="00D412B7">
      <w:pPr>
        <w:spacing w:after="120"/>
        <w:ind w:left="720" w:hanging="720"/>
        <w:jc w:val="both"/>
        <w:rPr>
          <w:rFonts w:ascii="Arial" w:eastAsia="Calibri" w:hAnsi="Arial" w:cs="Arial"/>
          <w:sz w:val="20"/>
          <w:szCs w:val="20"/>
        </w:rPr>
      </w:pPr>
      <w:r>
        <w:rPr>
          <w:rFonts w:ascii="Arial" w:eastAsia="Calibri" w:hAnsi="Arial" w:cs="Arial"/>
          <w:sz w:val="20"/>
          <w:szCs w:val="20"/>
        </w:rPr>
        <w:t xml:space="preserve">Shinoj, P., &amp; </w:t>
      </w:r>
      <w:r w:rsidR="004F784C" w:rsidRPr="00C376DE">
        <w:rPr>
          <w:rFonts w:ascii="Arial" w:eastAsia="Calibri" w:hAnsi="Arial" w:cs="Arial"/>
          <w:sz w:val="20"/>
          <w:szCs w:val="20"/>
        </w:rPr>
        <w:t xml:space="preserve">Mathur, V. C. (2008). Comparative advantage of India in agricultural exports </w:t>
      </w:r>
      <w:r w:rsidR="004F784C" w:rsidRPr="00C376DE">
        <w:rPr>
          <w:rFonts w:ascii="Arial" w:eastAsia="Calibri" w:hAnsi="Arial" w:cs="Arial"/>
          <w:i/>
          <w:iCs/>
          <w:sz w:val="20"/>
          <w:szCs w:val="20"/>
        </w:rPr>
        <w:t>vis-à-vis</w:t>
      </w:r>
      <w:r w:rsidR="004F784C" w:rsidRPr="00C376DE">
        <w:rPr>
          <w:rFonts w:ascii="Arial" w:eastAsia="Calibri" w:hAnsi="Arial" w:cs="Arial"/>
          <w:sz w:val="20"/>
          <w:szCs w:val="20"/>
        </w:rPr>
        <w:t xml:space="preserve"> Asia: A post-reforms analysis. </w:t>
      </w:r>
      <w:r w:rsidR="004F784C" w:rsidRPr="00B77A66">
        <w:rPr>
          <w:rFonts w:ascii="Arial" w:eastAsia="Calibri" w:hAnsi="Arial" w:cs="Arial"/>
          <w:i/>
          <w:iCs/>
          <w:sz w:val="20"/>
          <w:szCs w:val="20"/>
        </w:rPr>
        <w:t>Agricultural Economics Research Review</w:t>
      </w:r>
      <w:r w:rsidR="004F784C" w:rsidRPr="00661054">
        <w:rPr>
          <w:rFonts w:ascii="Arial" w:eastAsia="Calibri" w:hAnsi="Arial" w:cs="Arial"/>
          <w:sz w:val="20"/>
          <w:szCs w:val="20"/>
        </w:rPr>
        <w:t>,</w:t>
      </w:r>
      <w:r w:rsidR="004F784C" w:rsidRPr="00C376DE">
        <w:rPr>
          <w:rFonts w:ascii="Arial" w:eastAsia="Calibri" w:hAnsi="Arial" w:cs="Arial"/>
          <w:i/>
          <w:iCs/>
          <w:sz w:val="20"/>
          <w:szCs w:val="20"/>
        </w:rPr>
        <w:t xml:space="preserve"> </w:t>
      </w:r>
      <w:r w:rsidR="004F784C" w:rsidRPr="00661054">
        <w:rPr>
          <w:rFonts w:ascii="Arial" w:eastAsia="Calibri" w:hAnsi="Arial" w:cs="Arial"/>
          <w:sz w:val="20"/>
          <w:szCs w:val="20"/>
        </w:rPr>
        <w:t>21</w:t>
      </w:r>
      <w:r>
        <w:rPr>
          <w:rFonts w:ascii="Arial" w:eastAsia="Calibri" w:hAnsi="Arial" w:cs="Arial"/>
          <w:sz w:val="20"/>
          <w:szCs w:val="20"/>
        </w:rPr>
        <w:t>(1),</w:t>
      </w:r>
      <w:r w:rsidR="004F784C" w:rsidRPr="00C376DE">
        <w:rPr>
          <w:rFonts w:ascii="Arial" w:eastAsia="Calibri" w:hAnsi="Arial" w:cs="Arial"/>
          <w:sz w:val="20"/>
          <w:szCs w:val="20"/>
        </w:rPr>
        <w:t xml:space="preserve"> 61-74.</w:t>
      </w:r>
      <w:r w:rsidR="005B4F20">
        <w:rPr>
          <w:rFonts w:ascii="Arial" w:eastAsia="Calibri" w:hAnsi="Arial" w:cs="Arial"/>
          <w:sz w:val="20"/>
          <w:szCs w:val="20"/>
        </w:rPr>
        <w:t xml:space="preserve"> </w:t>
      </w:r>
      <w:r w:rsidR="005B4F20" w:rsidRPr="005B4F20">
        <w:rPr>
          <w:rFonts w:ascii="Arial" w:eastAsia="Calibri" w:hAnsi="Arial" w:cs="Arial"/>
          <w:sz w:val="20"/>
          <w:szCs w:val="20"/>
        </w:rPr>
        <w:t>DOI: 10.22004/ag.econ.47361</w:t>
      </w:r>
    </w:p>
    <w:p w14:paraId="5368E26D" w14:textId="77777777" w:rsidR="004F784C" w:rsidRPr="00C376DE" w:rsidRDefault="004F784C" w:rsidP="00D412B7">
      <w:pPr>
        <w:spacing w:after="120"/>
        <w:ind w:left="720" w:hanging="720"/>
        <w:jc w:val="both"/>
        <w:rPr>
          <w:rFonts w:ascii="Arial" w:eastAsia="Calibri" w:hAnsi="Arial" w:cs="Arial"/>
          <w:sz w:val="20"/>
          <w:szCs w:val="20"/>
        </w:rPr>
      </w:pPr>
      <w:r w:rsidRPr="00C376DE">
        <w:rPr>
          <w:rFonts w:ascii="Arial" w:eastAsia="Calibri" w:hAnsi="Arial" w:cs="Arial"/>
          <w:sz w:val="20"/>
          <w:szCs w:val="20"/>
        </w:rPr>
        <w:lastRenderedPageBreak/>
        <w:t>Thorat, V. A.</w:t>
      </w:r>
      <w:r w:rsidR="00661054">
        <w:rPr>
          <w:rFonts w:ascii="Arial" w:eastAsia="Calibri" w:hAnsi="Arial" w:cs="Arial"/>
          <w:sz w:val="20"/>
          <w:szCs w:val="20"/>
        </w:rPr>
        <w:t xml:space="preserve">, Talathi, J. M., Wagale, S. A., &amp; </w:t>
      </w:r>
      <w:r w:rsidRPr="00C376DE">
        <w:rPr>
          <w:rFonts w:ascii="Arial" w:eastAsia="Calibri" w:hAnsi="Arial" w:cs="Arial"/>
          <w:sz w:val="20"/>
          <w:szCs w:val="20"/>
        </w:rPr>
        <w:t xml:space="preserve">Waghmode, P. U. (2020). Trends and direction of marine fish export from India. </w:t>
      </w:r>
      <w:r w:rsidRPr="00B77A66">
        <w:rPr>
          <w:rFonts w:ascii="Arial" w:eastAsia="Calibri" w:hAnsi="Arial" w:cs="Arial"/>
          <w:i/>
          <w:iCs/>
          <w:sz w:val="20"/>
          <w:szCs w:val="20"/>
        </w:rPr>
        <w:t>Journal of Experimental Zoology, India</w:t>
      </w:r>
      <w:r w:rsidRPr="00661054">
        <w:rPr>
          <w:rFonts w:ascii="Arial" w:eastAsia="Calibri" w:hAnsi="Arial" w:cs="Arial"/>
          <w:sz w:val="20"/>
          <w:szCs w:val="20"/>
        </w:rPr>
        <w:t>,</w:t>
      </w:r>
      <w:r w:rsidRPr="00C376DE">
        <w:rPr>
          <w:rFonts w:ascii="Arial" w:eastAsia="Calibri" w:hAnsi="Arial" w:cs="Arial"/>
          <w:i/>
          <w:iCs/>
          <w:sz w:val="20"/>
          <w:szCs w:val="20"/>
        </w:rPr>
        <w:t xml:space="preserve"> </w:t>
      </w:r>
      <w:r w:rsidRPr="00661054">
        <w:rPr>
          <w:rFonts w:ascii="Arial" w:eastAsia="Calibri" w:hAnsi="Arial" w:cs="Arial"/>
          <w:sz w:val="20"/>
          <w:szCs w:val="20"/>
        </w:rPr>
        <w:t>23</w:t>
      </w:r>
      <w:r w:rsidR="00661054">
        <w:rPr>
          <w:rFonts w:ascii="Arial" w:eastAsia="Calibri" w:hAnsi="Arial" w:cs="Arial"/>
          <w:sz w:val="20"/>
          <w:szCs w:val="20"/>
        </w:rPr>
        <w:t>(1),</w:t>
      </w:r>
      <w:r w:rsidRPr="00C376DE">
        <w:rPr>
          <w:rFonts w:ascii="Arial" w:eastAsia="Calibri" w:hAnsi="Arial" w:cs="Arial"/>
          <w:sz w:val="20"/>
          <w:szCs w:val="20"/>
        </w:rPr>
        <w:t xml:space="preserve"> 873-877.</w:t>
      </w:r>
    </w:p>
    <w:p w14:paraId="79C347DC" w14:textId="77777777" w:rsidR="004F784C" w:rsidRPr="00C376DE" w:rsidRDefault="00661054" w:rsidP="00D412B7">
      <w:pPr>
        <w:spacing w:after="120"/>
        <w:ind w:left="720" w:hanging="720"/>
        <w:jc w:val="both"/>
        <w:rPr>
          <w:rFonts w:ascii="Arial" w:eastAsia="Calibri" w:hAnsi="Arial" w:cs="Arial"/>
          <w:sz w:val="20"/>
          <w:szCs w:val="20"/>
          <w:lang w:bidi="gu-IN"/>
        </w:rPr>
      </w:pPr>
      <w:r w:rsidRPr="00661054">
        <w:rPr>
          <w:rFonts w:ascii="Arial" w:eastAsia="Calibri" w:hAnsi="Arial" w:cs="Arial"/>
          <w:sz w:val="20"/>
          <w:szCs w:val="20"/>
          <w:lang w:bidi="gu-IN"/>
        </w:rPr>
        <w:t>United Nations Conference on Trade and Development</w:t>
      </w:r>
      <w:r w:rsidR="004F784C" w:rsidRPr="00C376DE">
        <w:rPr>
          <w:rFonts w:ascii="Arial" w:eastAsia="Calibri" w:hAnsi="Arial" w:cs="Arial"/>
          <w:sz w:val="20"/>
          <w:szCs w:val="20"/>
          <w:lang w:bidi="gu-IN"/>
        </w:rPr>
        <w:t xml:space="preserve">. (2023). Review of maritime transport 2023. </w:t>
      </w:r>
      <w:r w:rsidR="006C4049" w:rsidRPr="006C4049">
        <w:rPr>
          <w:rFonts w:ascii="Arial" w:eastAsia="Calibri" w:hAnsi="Arial" w:cs="Arial"/>
          <w:sz w:val="20"/>
          <w:szCs w:val="20"/>
          <w:lang w:bidi="gu-IN"/>
        </w:rPr>
        <w:t>https://unctad.org/system/files/official-document/rmt2023_en.pdf</w:t>
      </w:r>
    </w:p>
    <w:sectPr w:rsidR="004F784C" w:rsidRPr="00C376DE" w:rsidSect="00A72F41">
      <w:headerReference w:type="even" r:id="rId7"/>
      <w:headerReference w:type="default" r:id="rId8"/>
      <w:footerReference w:type="even" r:id="rId9"/>
      <w:footerReference w:type="default" r:id="rId10"/>
      <w:headerReference w:type="first" r:id="rId11"/>
      <w:footerReference w:type="first" r:id="rId12"/>
      <w:pgSz w:w="11906" w:h="16838"/>
      <w:pgMar w:top="1440" w:right="2016" w:bottom="2016"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7AA78" w14:textId="77777777" w:rsidR="00EC62E2" w:rsidRDefault="00EC62E2" w:rsidP="004F784C">
      <w:r>
        <w:separator/>
      </w:r>
    </w:p>
  </w:endnote>
  <w:endnote w:type="continuationSeparator" w:id="0">
    <w:p w14:paraId="74A393C3" w14:textId="77777777" w:rsidR="00EC62E2" w:rsidRDefault="00EC62E2" w:rsidP="004F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71A80" w14:textId="77777777" w:rsidR="00DC0AB0" w:rsidRDefault="00DC0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29576861"/>
      <w:docPartObj>
        <w:docPartGallery w:val="Page Numbers (Bottom of Page)"/>
        <w:docPartUnique/>
      </w:docPartObj>
    </w:sdtPr>
    <w:sdtEndPr>
      <w:rPr>
        <w:rFonts w:ascii="Arial" w:hAnsi="Arial" w:cs="Arial"/>
        <w:noProof/>
        <w:sz w:val="20"/>
        <w:szCs w:val="20"/>
      </w:rPr>
    </w:sdtEndPr>
    <w:sdtContent>
      <w:p w14:paraId="58E41072" w14:textId="77777777" w:rsidR="00DC0AB0" w:rsidRPr="00D412B7" w:rsidRDefault="00DC0AB0" w:rsidP="004F784C">
        <w:pPr>
          <w:pStyle w:val="Footer"/>
          <w:jc w:val="center"/>
          <w:rPr>
            <w:rFonts w:ascii="Arial" w:hAnsi="Arial" w:cs="Arial"/>
            <w:sz w:val="20"/>
            <w:szCs w:val="20"/>
          </w:rPr>
        </w:pPr>
        <w:r w:rsidRPr="00D412B7">
          <w:rPr>
            <w:rFonts w:ascii="Arial" w:hAnsi="Arial" w:cs="Arial"/>
            <w:sz w:val="20"/>
            <w:szCs w:val="20"/>
          </w:rPr>
          <w:fldChar w:fldCharType="begin"/>
        </w:r>
        <w:r w:rsidRPr="00D412B7">
          <w:rPr>
            <w:rFonts w:ascii="Arial" w:hAnsi="Arial" w:cs="Arial"/>
            <w:sz w:val="20"/>
            <w:szCs w:val="20"/>
          </w:rPr>
          <w:instrText xml:space="preserve"> PAGE   \* MERGEFORMAT </w:instrText>
        </w:r>
        <w:r w:rsidRPr="00D412B7">
          <w:rPr>
            <w:rFonts w:ascii="Arial" w:hAnsi="Arial" w:cs="Arial"/>
            <w:sz w:val="20"/>
            <w:szCs w:val="20"/>
          </w:rPr>
          <w:fldChar w:fldCharType="separate"/>
        </w:r>
        <w:r w:rsidR="00801655">
          <w:rPr>
            <w:rFonts w:ascii="Arial" w:hAnsi="Arial" w:cs="Arial"/>
            <w:noProof/>
            <w:sz w:val="20"/>
            <w:szCs w:val="20"/>
          </w:rPr>
          <w:t>1</w:t>
        </w:r>
        <w:r w:rsidRPr="00D412B7">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9F963" w14:textId="77777777" w:rsidR="00DC0AB0" w:rsidRDefault="00DC0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F9DBB" w14:textId="77777777" w:rsidR="00EC62E2" w:rsidRDefault="00EC62E2" w:rsidP="004F784C">
      <w:r>
        <w:separator/>
      </w:r>
    </w:p>
  </w:footnote>
  <w:footnote w:type="continuationSeparator" w:id="0">
    <w:p w14:paraId="483DB818" w14:textId="77777777" w:rsidR="00EC62E2" w:rsidRDefault="00EC62E2" w:rsidP="004F7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2DFB" w14:textId="6B71D6AF" w:rsidR="00DC0AB0" w:rsidRDefault="00EC62E2">
    <w:pPr>
      <w:pStyle w:val="Header"/>
    </w:pPr>
    <w:r>
      <w:rPr>
        <w:noProof/>
      </w:rPr>
      <w:pict w14:anchorId="634BB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4641" o:spid="_x0000_s2050" type="#_x0000_t136" style="position:absolute;margin-left:0;margin-top:0;width:466.9pt;height:88.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908A2" w14:textId="1D2AC6F5" w:rsidR="00DC0AB0" w:rsidRDefault="00EC62E2">
    <w:pPr>
      <w:pStyle w:val="Header"/>
    </w:pPr>
    <w:r>
      <w:rPr>
        <w:noProof/>
      </w:rPr>
      <w:pict w14:anchorId="45D87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4642" o:spid="_x0000_s2051" type="#_x0000_t136" style="position:absolute;margin-left:0;margin-top:0;width:466.9pt;height:88.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82D56" w14:textId="0CD0BC4B" w:rsidR="00DC0AB0" w:rsidRDefault="00EC62E2">
    <w:pPr>
      <w:pStyle w:val="Header"/>
    </w:pPr>
    <w:r>
      <w:rPr>
        <w:noProof/>
      </w:rPr>
      <w:pict w14:anchorId="74F8E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4640" o:spid="_x0000_s2049" type="#_x0000_t136" style="position:absolute;margin-left:0;margin-top:0;width:466.9pt;height:88.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43B76"/>
    <w:multiLevelType w:val="multilevel"/>
    <w:tmpl w:val="D8A23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4E7CB4"/>
    <w:multiLevelType w:val="multilevel"/>
    <w:tmpl w:val="9D36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84C"/>
    <w:rsid w:val="00002CDA"/>
    <w:rsid w:val="00052F5B"/>
    <w:rsid w:val="000A4164"/>
    <w:rsid w:val="00104299"/>
    <w:rsid w:val="001C54CA"/>
    <w:rsid w:val="001F2FC2"/>
    <w:rsid w:val="001F5272"/>
    <w:rsid w:val="002304E3"/>
    <w:rsid w:val="00285C41"/>
    <w:rsid w:val="002970BB"/>
    <w:rsid w:val="002D5ACE"/>
    <w:rsid w:val="003003BD"/>
    <w:rsid w:val="003110DB"/>
    <w:rsid w:val="00344B58"/>
    <w:rsid w:val="004162C9"/>
    <w:rsid w:val="004A1CB0"/>
    <w:rsid w:val="004B7F49"/>
    <w:rsid w:val="004E39EA"/>
    <w:rsid w:val="004F784C"/>
    <w:rsid w:val="00521673"/>
    <w:rsid w:val="00552AD7"/>
    <w:rsid w:val="005B4F20"/>
    <w:rsid w:val="005C18AB"/>
    <w:rsid w:val="00603DEF"/>
    <w:rsid w:val="00661054"/>
    <w:rsid w:val="006757FA"/>
    <w:rsid w:val="006C4049"/>
    <w:rsid w:val="00747876"/>
    <w:rsid w:val="00801655"/>
    <w:rsid w:val="0087554B"/>
    <w:rsid w:val="00A47590"/>
    <w:rsid w:val="00A549DD"/>
    <w:rsid w:val="00A72F41"/>
    <w:rsid w:val="00A93C9E"/>
    <w:rsid w:val="00B77A66"/>
    <w:rsid w:val="00BD744F"/>
    <w:rsid w:val="00BF6C54"/>
    <w:rsid w:val="00C376DE"/>
    <w:rsid w:val="00CA69E0"/>
    <w:rsid w:val="00D0665A"/>
    <w:rsid w:val="00D279FC"/>
    <w:rsid w:val="00D412B7"/>
    <w:rsid w:val="00DC0AB0"/>
    <w:rsid w:val="00DD1686"/>
    <w:rsid w:val="00DF4C0F"/>
    <w:rsid w:val="00DF4FF8"/>
    <w:rsid w:val="00DF584F"/>
    <w:rsid w:val="00E27353"/>
    <w:rsid w:val="00E60B75"/>
    <w:rsid w:val="00E624BF"/>
    <w:rsid w:val="00E819ED"/>
    <w:rsid w:val="00E93580"/>
    <w:rsid w:val="00EC62E2"/>
    <w:rsid w:val="00F372B4"/>
    <w:rsid w:val="00F43290"/>
    <w:rsid w:val="00FE00E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629F81"/>
  <w15:chartTrackingRefBased/>
  <w15:docId w15:val="{359DB9D8-7369-4101-9756-F89035D9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755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84C"/>
    <w:pPr>
      <w:tabs>
        <w:tab w:val="center" w:pos="4513"/>
        <w:tab w:val="right" w:pos="9026"/>
      </w:tabs>
    </w:pPr>
  </w:style>
  <w:style w:type="character" w:customStyle="1" w:styleId="HeaderChar">
    <w:name w:val="Header Char"/>
    <w:basedOn w:val="DefaultParagraphFont"/>
    <w:link w:val="Header"/>
    <w:uiPriority w:val="99"/>
    <w:rsid w:val="004F784C"/>
  </w:style>
  <w:style w:type="paragraph" w:styleId="Footer">
    <w:name w:val="footer"/>
    <w:basedOn w:val="Normal"/>
    <w:link w:val="FooterChar"/>
    <w:uiPriority w:val="99"/>
    <w:unhideWhenUsed/>
    <w:rsid w:val="004F784C"/>
    <w:pPr>
      <w:tabs>
        <w:tab w:val="center" w:pos="4513"/>
        <w:tab w:val="right" w:pos="9026"/>
      </w:tabs>
    </w:pPr>
  </w:style>
  <w:style w:type="character" w:customStyle="1" w:styleId="FooterChar">
    <w:name w:val="Footer Char"/>
    <w:basedOn w:val="DefaultParagraphFont"/>
    <w:link w:val="Footer"/>
    <w:uiPriority w:val="99"/>
    <w:rsid w:val="004F784C"/>
  </w:style>
  <w:style w:type="table" w:styleId="TableGrid">
    <w:name w:val="Table Grid"/>
    <w:basedOn w:val="TableNormal"/>
    <w:uiPriority w:val="39"/>
    <w:rsid w:val="00603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7554B"/>
    <w:rPr>
      <w:rFonts w:asciiTheme="majorHAnsi" w:eastAsiaTheme="majorEastAsia" w:hAnsiTheme="majorHAnsi" w:cstheme="majorBidi"/>
      <w:color w:val="2E74B5" w:themeColor="accent1" w:themeShade="BF"/>
      <w:sz w:val="26"/>
      <w:szCs w:val="26"/>
    </w:rPr>
  </w:style>
  <w:style w:type="character" w:styleId="LineNumber">
    <w:name w:val="line number"/>
    <w:basedOn w:val="DefaultParagraphFont"/>
    <w:uiPriority w:val="99"/>
    <w:semiHidden/>
    <w:unhideWhenUsed/>
    <w:rsid w:val="00D412B7"/>
  </w:style>
  <w:style w:type="character" w:styleId="Hyperlink">
    <w:name w:val="Hyperlink"/>
    <w:basedOn w:val="DefaultParagraphFont"/>
    <w:uiPriority w:val="99"/>
    <w:unhideWhenUsed/>
    <w:rsid w:val="00747876"/>
    <w:rPr>
      <w:color w:val="0563C1" w:themeColor="hyperlink"/>
      <w:u w:val="single"/>
    </w:rPr>
  </w:style>
  <w:style w:type="character" w:customStyle="1" w:styleId="UnresolvedMention1">
    <w:name w:val="Unresolved Mention1"/>
    <w:basedOn w:val="DefaultParagraphFont"/>
    <w:uiPriority w:val="99"/>
    <w:semiHidden/>
    <w:unhideWhenUsed/>
    <w:rsid w:val="00747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4889">
      <w:bodyDiv w:val="1"/>
      <w:marLeft w:val="0"/>
      <w:marRight w:val="0"/>
      <w:marTop w:val="0"/>
      <w:marBottom w:val="0"/>
      <w:divBdr>
        <w:top w:val="none" w:sz="0" w:space="0" w:color="auto"/>
        <w:left w:val="none" w:sz="0" w:space="0" w:color="auto"/>
        <w:bottom w:val="none" w:sz="0" w:space="0" w:color="auto"/>
        <w:right w:val="none" w:sz="0" w:space="0" w:color="auto"/>
      </w:divBdr>
    </w:div>
    <w:div w:id="218370833">
      <w:bodyDiv w:val="1"/>
      <w:marLeft w:val="0"/>
      <w:marRight w:val="0"/>
      <w:marTop w:val="0"/>
      <w:marBottom w:val="0"/>
      <w:divBdr>
        <w:top w:val="none" w:sz="0" w:space="0" w:color="auto"/>
        <w:left w:val="none" w:sz="0" w:space="0" w:color="auto"/>
        <w:bottom w:val="none" w:sz="0" w:space="0" w:color="auto"/>
        <w:right w:val="none" w:sz="0" w:space="0" w:color="auto"/>
      </w:divBdr>
    </w:div>
    <w:div w:id="262808122">
      <w:bodyDiv w:val="1"/>
      <w:marLeft w:val="0"/>
      <w:marRight w:val="0"/>
      <w:marTop w:val="0"/>
      <w:marBottom w:val="0"/>
      <w:divBdr>
        <w:top w:val="none" w:sz="0" w:space="0" w:color="auto"/>
        <w:left w:val="none" w:sz="0" w:space="0" w:color="auto"/>
        <w:bottom w:val="none" w:sz="0" w:space="0" w:color="auto"/>
        <w:right w:val="none" w:sz="0" w:space="0" w:color="auto"/>
      </w:divBdr>
    </w:div>
    <w:div w:id="294915895">
      <w:bodyDiv w:val="1"/>
      <w:marLeft w:val="0"/>
      <w:marRight w:val="0"/>
      <w:marTop w:val="0"/>
      <w:marBottom w:val="0"/>
      <w:divBdr>
        <w:top w:val="none" w:sz="0" w:space="0" w:color="auto"/>
        <w:left w:val="none" w:sz="0" w:space="0" w:color="auto"/>
        <w:bottom w:val="none" w:sz="0" w:space="0" w:color="auto"/>
        <w:right w:val="none" w:sz="0" w:space="0" w:color="auto"/>
      </w:divBdr>
    </w:div>
    <w:div w:id="1122841620">
      <w:bodyDiv w:val="1"/>
      <w:marLeft w:val="0"/>
      <w:marRight w:val="0"/>
      <w:marTop w:val="0"/>
      <w:marBottom w:val="0"/>
      <w:divBdr>
        <w:top w:val="none" w:sz="0" w:space="0" w:color="auto"/>
        <w:left w:val="none" w:sz="0" w:space="0" w:color="auto"/>
        <w:bottom w:val="none" w:sz="0" w:space="0" w:color="auto"/>
        <w:right w:val="none" w:sz="0" w:space="0" w:color="auto"/>
      </w:divBdr>
    </w:div>
    <w:div w:id="1223326890">
      <w:bodyDiv w:val="1"/>
      <w:marLeft w:val="0"/>
      <w:marRight w:val="0"/>
      <w:marTop w:val="0"/>
      <w:marBottom w:val="0"/>
      <w:divBdr>
        <w:top w:val="none" w:sz="0" w:space="0" w:color="auto"/>
        <w:left w:val="none" w:sz="0" w:space="0" w:color="auto"/>
        <w:bottom w:val="none" w:sz="0" w:space="0" w:color="auto"/>
        <w:right w:val="none" w:sz="0" w:space="0" w:color="auto"/>
      </w:divBdr>
    </w:div>
    <w:div w:id="1778791510">
      <w:bodyDiv w:val="1"/>
      <w:marLeft w:val="0"/>
      <w:marRight w:val="0"/>
      <w:marTop w:val="0"/>
      <w:marBottom w:val="0"/>
      <w:divBdr>
        <w:top w:val="none" w:sz="0" w:space="0" w:color="auto"/>
        <w:left w:val="none" w:sz="0" w:space="0" w:color="auto"/>
        <w:bottom w:val="none" w:sz="0" w:space="0" w:color="auto"/>
        <w:right w:val="none" w:sz="0" w:space="0" w:color="auto"/>
      </w:divBdr>
    </w:div>
    <w:div w:id="19192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4694</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dc:description/>
  <cp:lastModifiedBy>SDI 1158</cp:lastModifiedBy>
  <cp:revision>8</cp:revision>
  <dcterms:created xsi:type="dcterms:W3CDTF">2026-04-19T08:43:00Z</dcterms:created>
  <dcterms:modified xsi:type="dcterms:W3CDTF">2026-04-25T11:51:00Z</dcterms:modified>
</cp:coreProperties>
</file>