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9BA" w:rsidRDefault="000F4415">
      <w:pPr>
        <w:spacing w:line="360" w:lineRule="auto"/>
        <w:jc w:val="both"/>
        <w:rPr>
          <w:rFonts w:ascii="Garamond" w:hAnsi="Garamond"/>
          <w:b/>
          <w:bCs/>
        </w:rPr>
      </w:pPr>
      <w:r>
        <w:rPr>
          <w:rFonts w:ascii="Garamond" w:hAnsi="Garamond"/>
          <w:b/>
          <w:bCs/>
        </w:rPr>
        <w:t xml:space="preserve">Influence of Attitudes and Perceptions on Sustainable Farming Practices among the Maasai Community in </w:t>
      </w:r>
      <w:proofErr w:type="spellStart"/>
      <w:r>
        <w:rPr>
          <w:rFonts w:ascii="Garamond" w:hAnsi="Garamond"/>
          <w:b/>
          <w:bCs/>
        </w:rPr>
        <w:t>Kajiado</w:t>
      </w:r>
      <w:proofErr w:type="spellEnd"/>
      <w:r>
        <w:rPr>
          <w:rFonts w:ascii="Garamond" w:hAnsi="Garamond"/>
          <w:b/>
          <w:bCs/>
        </w:rPr>
        <w:t xml:space="preserve"> County, Kenya</w:t>
      </w:r>
    </w:p>
    <w:p w:rsidR="005929BA" w:rsidRDefault="005929BA">
      <w:pPr>
        <w:spacing w:after="0" w:line="360" w:lineRule="auto"/>
        <w:jc w:val="both"/>
        <w:rPr>
          <w:rFonts w:ascii="Garamond" w:hAnsi="Garamond" w:cs="Times New Roman"/>
          <w:color w:val="000000" w:themeColor="text1"/>
        </w:rPr>
      </w:pPr>
    </w:p>
    <w:p w:rsidR="005929BA" w:rsidRDefault="000F4415">
      <w:pPr>
        <w:spacing w:line="360" w:lineRule="auto"/>
        <w:jc w:val="both"/>
        <w:rPr>
          <w:rFonts w:ascii="Garamond" w:hAnsi="Garamond"/>
          <w:b/>
          <w:bCs/>
        </w:rPr>
      </w:pPr>
      <w:r>
        <w:rPr>
          <w:rFonts w:ascii="Garamond" w:hAnsi="Garamond"/>
          <w:b/>
          <w:bCs/>
        </w:rPr>
        <w:t>Abstract</w:t>
      </w:r>
    </w:p>
    <w:p w:rsidR="005929BA" w:rsidRDefault="000F4415">
      <w:pPr>
        <w:spacing w:line="360" w:lineRule="auto"/>
        <w:jc w:val="both"/>
        <w:rPr>
          <w:rFonts w:ascii="Garamond" w:hAnsi="Garamond"/>
        </w:rPr>
      </w:pPr>
      <w:r>
        <w:rPr>
          <w:rFonts w:ascii="Garamond" w:hAnsi="Garamond"/>
        </w:rPr>
        <w:t xml:space="preserve">Sustainable farming in pastoral and </w:t>
      </w:r>
      <w:proofErr w:type="spellStart"/>
      <w:r>
        <w:rPr>
          <w:rFonts w:ascii="Garamond" w:hAnsi="Garamond"/>
        </w:rPr>
        <w:t>agro</w:t>
      </w:r>
      <w:proofErr w:type="spellEnd"/>
      <w:r>
        <w:rPr>
          <w:rFonts w:ascii="Garamond" w:hAnsi="Garamond"/>
        </w:rPr>
        <w:t xml:space="preserve">-pastoral systems is shaped not only by ecological and economic factors but also by farmers’ attitudes and perceptions. This study assessed the extent to which attitudes and perceptions influence sustainable farming practices among the Maasai community in </w:t>
      </w:r>
      <w:proofErr w:type="spellStart"/>
      <w:r>
        <w:rPr>
          <w:rFonts w:ascii="Garamond" w:hAnsi="Garamond"/>
        </w:rPr>
        <w:t>Kajiado</w:t>
      </w:r>
      <w:proofErr w:type="spellEnd"/>
      <w:r>
        <w:rPr>
          <w:rFonts w:ascii="Garamond" w:hAnsi="Garamond"/>
        </w:rPr>
        <w:t xml:space="preserve"> County, Kenya. A mixed-methods research design was employed, involving a household survey of 320 respondents, focus group discussions, and key informant interviews. Quantitative data were </w:t>
      </w:r>
      <w:proofErr w:type="spellStart"/>
      <w:r>
        <w:rPr>
          <w:rFonts w:ascii="Garamond" w:hAnsi="Garamond"/>
        </w:rPr>
        <w:t>analysed</w:t>
      </w:r>
      <w:proofErr w:type="spellEnd"/>
      <w:r>
        <w:rPr>
          <w:rFonts w:ascii="Garamond" w:hAnsi="Garamond"/>
        </w:rPr>
        <w:t xml:space="preserve"> using descriptive statistics and multiple regression analysis, while qualitative data were </w:t>
      </w:r>
      <w:proofErr w:type="spellStart"/>
      <w:r>
        <w:rPr>
          <w:rFonts w:ascii="Garamond" w:hAnsi="Garamond"/>
        </w:rPr>
        <w:t>analysed</w:t>
      </w:r>
      <w:proofErr w:type="spellEnd"/>
      <w:r>
        <w:rPr>
          <w:rFonts w:ascii="Garamond" w:hAnsi="Garamond"/>
        </w:rPr>
        <w:t xml:space="preserve"> thematically. The results indicate that environmental stewardship attitudes, cultural valuation of land, perceived benefits of sustainable farming, perception of land degradation risk, and trust in indigenous knowledge systems significantly influence sustainable farming practices (R² = 0.54, p &lt; .05). The study concludes that attitudes and perceptions play a substantial role in shaping sustainability-oriented </w:t>
      </w:r>
      <w:proofErr w:type="spellStart"/>
      <w:r>
        <w:rPr>
          <w:rFonts w:ascii="Garamond" w:hAnsi="Garamond"/>
        </w:rPr>
        <w:t>behaviour</w:t>
      </w:r>
      <w:proofErr w:type="spellEnd"/>
      <w:r>
        <w:rPr>
          <w:rFonts w:ascii="Garamond" w:hAnsi="Garamond"/>
        </w:rPr>
        <w:t xml:space="preserve"> among the Maasai and recommends that agricultural policies and extension programs integrate socio-cultural and cognitive dimensions alongside technical interventions.</w:t>
      </w:r>
    </w:p>
    <w:p w:rsidR="005929BA" w:rsidRDefault="000F4415">
      <w:pPr>
        <w:spacing w:line="360" w:lineRule="auto"/>
        <w:jc w:val="both"/>
        <w:rPr>
          <w:rFonts w:ascii="Garamond" w:hAnsi="Garamond"/>
          <w:b/>
          <w:bCs/>
        </w:rPr>
      </w:pPr>
      <w:r>
        <w:rPr>
          <w:rFonts w:ascii="Garamond" w:hAnsi="Garamond"/>
          <w:b/>
          <w:bCs/>
        </w:rPr>
        <w:t xml:space="preserve">Keywords: attitudes, perceptions, sustainable farming, Maasai, indigenous knowledge, </w:t>
      </w:r>
      <w:proofErr w:type="spellStart"/>
      <w:r>
        <w:rPr>
          <w:rFonts w:ascii="Garamond" w:hAnsi="Garamond"/>
          <w:b/>
          <w:bCs/>
        </w:rPr>
        <w:t>Kajiado</w:t>
      </w:r>
      <w:proofErr w:type="spellEnd"/>
      <w:r>
        <w:rPr>
          <w:rFonts w:ascii="Garamond" w:hAnsi="Garamond"/>
          <w:b/>
          <w:bCs/>
        </w:rPr>
        <w:t xml:space="preserve"> County</w:t>
      </w:r>
    </w:p>
    <w:p w:rsidR="005929BA" w:rsidRDefault="005929BA">
      <w:pPr>
        <w:spacing w:line="360" w:lineRule="auto"/>
        <w:jc w:val="both"/>
        <w:rPr>
          <w:rFonts w:ascii="Garamond" w:hAnsi="Garamond"/>
          <w:b/>
          <w:bCs/>
        </w:rPr>
      </w:pPr>
    </w:p>
    <w:p w:rsidR="005929BA" w:rsidRDefault="005929BA">
      <w:pPr>
        <w:spacing w:line="360" w:lineRule="auto"/>
        <w:jc w:val="both"/>
        <w:rPr>
          <w:rFonts w:ascii="Garamond" w:hAnsi="Garamond"/>
          <w:b/>
          <w:bCs/>
        </w:rPr>
      </w:pPr>
    </w:p>
    <w:p w:rsidR="005929BA" w:rsidRDefault="000F4415">
      <w:pPr>
        <w:spacing w:line="360" w:lineRule="auto"/>
        <w:jc w:val="both"/>
        <w:rPr>
          <w:rFonts w:ascii="Garamond" w:hAnsi="Garamond"/>
          <w:b/>
          <w:bCs/>
        </w:rPr>
      </w:pPr>
      <w:r>
        <w:rPr>
          <w:rFonts w:ascii="Garamond" w:hAnsi="Garamond"/>
          <w:b/>
          <w:bCs/>
        </w:rPr>
        <w:t>1. Introduction</w:t>
      </w:r>
    </w:p>
    <w:p w:rsidR="005929BA" w:rsidRDefault="000F4415">
      <w:pPr>
        <w:spacing w:line="360" w:lineRule="auto"/>
        <w:jc w:val="both"/>
        <w:rPr>
          <w:rFonts w:ascii="Garamond" w:hAnsi="Garamond"/>
        </w:rPr>
      </w:pPr>
      <w:r>
        <w:rPr>
          <w:rFonts w:ascii="Garamond" w:hAnsi="Garamond"/>
        </w:rPr>
        <w:t xml:space="preserve">Sustainable farming has become a central objective of agricultural development policy, particularly in arid and semi-arid lands (ASALs) where environmental degradation and climate variability threaten rural livelihoods. In Kenya, ASALs support a large proportion of pastoral and </w:t>
      </w:r>
      <w:proofErr w:type="spellStart"/>
      <w:r>
        <w:rPr>
          <w:rFonts w:ascii="Garamond" w:hAnsi="Garamond"/>
        </w:rPr>
        <w:t>agro</w:t>
      </w:r>
      <w:proofErr w:type="spellEnd"/>
      <w:r>
        <w:rPr>
          <w:rFonts w:ascii="Garamond" w:hAnsi="Garamond"/>
        </w:rPr>
        <w:t xml:space="preserve">-pastoral communities, including the Maasai of </w:t>
      </w:r>
      <w:proofErr w:type="spellStart"/>
      <w:r>
        <w:rPr>
          <w:rFonts w:ascii="Garamond" w:hAnsi="Garamond"/>
        </w:rPr>
        <w:t>Kajiado</w:t>
      </w:r>
      <w:proofErr w:type="spellEnd"/>
      <w:r>
        <w:rPr>
          <w:rFonts w:ascii="Garamond" w:hAnsi="Garamond"/>
        </w:rPr>
        <w:t xml:space="preserve"> County (Government of Kenya, 2021). While numerous initiatives promote sustainable land management and climate-smart agriculture, adoption and sustained use of such practices remain uneven.</w:t>
      </w:r>
    </w:p>
    <w:p w:rsidR="005929BA" w:rsidRDefault="000F4415">
      <w:pPr>
        <w:spacing w:line="360" w:lineRule="auto"/>
        <w:jc w:val="both"/>
        <w:rPr>
          <w:rFonts w:ascii="Garamond" w:hAnsi="Garamond"/>
        </w:rPr>
      </w:pPr>
      <w:r>
        <w:rPr>
          <w:rFonts w:ascii="Garamond" w:hAnsi="Garamond"/>
        </w:rPr>
        <w:lastRenderedPageBreak/>
        <w:t>A growing body of literature suggests that farmers’ attitudes and perceptions strongly influence their engagement with sustainable farming practices (</w:t>
      </w:r>
      <w:proofErr w:type="spellStart"/>
      <w:r>
        <w:rPr>
          <w:rFonts w:ascii="Garamond" w:hAnsi="Garamond"/>
        </w:rPr>
        <w:t>Ajzen</w:t>
      </w:r>
      <w:proofErr w:type="spellEnd"/>
      <w:r>
        <w:rPr>
          <w:rFonts w:ascii="Garamond" w:hAnsi="Garamond"/>
        </w:rPr>
        <w:t xml:space="preserve">, 1991; </w:t>
      </w:r>
      <w:proofErr w:type="spellStart"/>
      <w:r>
        <w:rPr>
          <w:rFonts w:ascii="Garamond" w:hAnsi="Garamond"/>
        </w:rPr>
        <w:t>Knowler</w:t>
      </w:r>
      <w:proofErr w:type="spellEnd"/>
      <w:r>
        <w:rPr>
          <w:rFonts w:ascii="Garamond" w:hAnsi="Garamond"/>
        </w:rPr>
        <w:t xml:space="preserve"> &amp; Bradshaw, 2007). Attitudes toward environmental conservation, perceptions of risk and benefit, and cultural values related to land and livestock shape how farmers interpret and respond to sustainability interventions. Among the Maasai, farming and pastoral practices are deeply embedded within cultural worldviews that emphasize communal land use, livestock stewardship, and intergenerational responsibility (Galvin, 2009).</w:t>
      </w:r>
    </w:p>
    <w:p w:rsidR="005929BA" w:rsidRDefault="000F4415">
      <w:pPr>
        <w:spacing w:line="360" w:lineRule="auto"/>
        <w:jc w:val="both"/>
        <w:rPr>
          <w:rFonts w:ascii="Garamond" w:hAnsi="Garamond"/>
        </w:rPr>
      </w:pPr>
      <w:r>
        <w:rPr>
          <w:rFonts w:ascii="Garamond" w:hAnsi="Garamond"/>
        </w:rPr>
        <w:t xml:space="preserve">Despite this recognition, empirical studies quantifying the influence of attitudes and perceptions on sustainable farming practices in indigenous pastoral contexts remain limited. This study addresses this gap by assessing the extent to which attitudes and perceptions influence sustainable farming practices among the Maasai in </w:t>
      </w:r>
      <w:proofErr w:type="spellStart"/>
      <w:r>
        <w:rPr>
          <w:rFonts w:ascii="Garamond" w:hAnsi="Garamond"/>
        </w:rPr>
        <w:t>Kajiado</w:t>
      </w:r>
      <w:proofErr w:type="spellEnd"/>
      <w:r>
        <w:rPr>
          <w:rFonts w:ascii="Garamond" w:hAnsi="Garamond"/>
        </w:rPr>
        <w:t xml:space="preserve"> County.</w:t>
      </w:r>
    </w:p>
    <w:p w:rsidR="005929BA" w:rsidRDefault="000F4415">
      <w:pPr>
        <w:spacing w:line="360" w:lineRule="auto"/>
        <w:jc w:val="both"/>
        <w:rPr>
          <w:rFonts w:ascii="Garamond" w:hAnsi="Garamond"/>
          <w:b/>
          <w:bCs/>
        </w:rPr>
      </w:pPr>
      <w:r>
        <w:rPr>
          <w:rFonts w:ascii="Garamond" w:hAnsi="Garamond"/>
          <w:b/>
          <w:bCs/>
        </w:rPr>
        <w:t>2. Literature Review</w:t>
      </w:r>
    </w:p>
    <w:p w:rsidR="005929BA" w:rsidRDefault="000F4415">
      <w:pPr>
        <w:spacing w:line="360" w:lineRule="auto"/>
        <w:jc w:val="both"/>
        <w:rPr>
          <w:rFonts w:ascii="Garamond" w:hAnsi="Garamond"/>
          <w:b/>
          <w:bCs/>
        </w:rPr>
      </w:pPr>
      <w:r>
        <w:rPr>
          <w:rFonts w:ascii="Garamond" w:hAnsi="Garamond"/>
          <w:b/>
          <w:bCs/>
        </w:rPr>
        <w:t>2.1 Attitudes and Sustainable Farming Practices</w:t>
      </w:r>
    </w:p>
    <w:p w:rsidR="005929BA" w:rsidRDefault="000F4415">
      <w:pPr>
        <w:spacing w:line="360" w:lineRule="auto"/>
        <w:jc w:val="both"/>
        <w:rPr>
          <w:rFonts w:ascii="Garamond" w:hAnsi="Garamond"/>
        </w:rPr>
      </w:pPr>
      <w:r>
        <w:rPr>
          <w:rFonts w:ascii="Garamond" w:hAnsi="Garamond"/>
        </w:rPr>
        <w:t xml:space="preserve">Attitudes refer to individuals’ evaluative dispositions toward particular </w:t>
      </w:r>
      <w:proofErr w:type="spellStart"/>
      <w:r>
        <w:rPr>
          <w:rFonts w:ascii="Garamond" w:hAnsi="Garamond"/>
        </w:rPr>
        <w:t>behaviours</w:t>
      </w:r>
      <w:proofErr w:type="spellEnd"/>
      <w:r>
        <w:rPr>
          <w:rFonts w:ascii="Garamond" w:hAnsi="Garamond"/>
        </w:rPr>
        <w:t xml:space="preserve"> or outcomes (</w:t>
      </w:r>
      <w:proofErr w:type="spellStart"/>
      <w:r>
        <w:rPr>
          <w:rFonts w:ascii="Garamond" w:hAnsi="Garamond"/>
        </w:rPr>
        <w:t>Ajzen</w:t>
      </w:r>
      <w:proofErr w:type="spellEnd"/>
      <w:r>
        <w:rPr>
          <w:rFonts w:ascii="Garamond" w:hAnsi="Garamond"/>
        </w:rPr>
        <w:t>, 1991). In agricultural contexts, positive attitudes toward soil conservation, biodiversity protection, and long-term productivity have been shown to increase the likelihood of adopting sustainable farming practices (Pretty, 2018). Conversely, negative attitudes or short-term economic priorities may discourage sustainability-oriented decision-making.</w:t>
      </w:r>
    </w:p>
    <w:p w:rsidR="005929BA" w:rsidRDefault="000F4415">
      <w:pPr>
        <w:spacing w:line="360" w:lineRule="auto"/>
        <w:jc w:val="both"/>
        <w:rPr>
          <w:rFonts w:ascii="Garamond" w:hAnsi="Garamond"/>
          <w:b/>
          <w:bCs/>
        </w:rPr>
      </w:pPr>
      <w:r>
        <w:rPr>
          <w:rFonts w:ascii="Garamond" w:hAnsi="Garamond"/>
          <w:b/>
          <w:bCs/>
        </w:rPr>
        <w:t>2.2 Perceptions of Risk and Benefit</w:t>
      </w:r>
    </w:p>
    <w:p w:rsidR="005929BA" w:rsidRDefault="000F4415">
      <w:pPr>
        <w:spacing w:line="360" w:lineRule="auto"/>
        <w:jc w:val="both"/>
        <w:rPr>
          <w:rFonts w:ascii="Garamond" w:hAnsi="Garamond"/>
        </w:rPr>
      </w:pPr>
      <w:r>
        <w:rPr>
          <w:rFonts w:ascii="Garamond" w:hAnsi="Garamond"/>
        </w:rPr>
        <w:t>Farmers’ perceptions of environmental risks, such as land degradation and climate variability, play a critical role in shaping management decisions. Studies in sub-Saharan Africa indicate that farmers who perceive land degradation and climate change as serious threats are more likely to adopt conservation practices (</w:t>
      </w:r>
      <w:proofErr w:type="spellStart"/>
      <w:r>
        <w:rPr>
          <w:rFonts w:ascii="Garamond" w:hAnsi="Garamond"/>
        </w:rPr>
        <w:t>Deressa</w:t>
      </w:r>
      <w:proofErr w:type="spellEnd"/>
      <w:r>
        <w:rPr>
          <w:rFonts w:ascii="Garamond" w:hAnsi="Garamond"/>
        </w:rPr>
        <w:t xml:space="preserve"> et al., 2011). Similarly, perceived benefits—such as improved productivity or resilience enhance willingness to engage in sustainable farming.</w:t>
      </w:r>
    </w:p>
    <w:p w:rsidR="005929BA" w:rsidRDefault="000F4415">
      <w:pPr>
        <w:spacing w:line="360" w:lineRule="auto"/>
        <w:jc w:val="both"/>
        <w:rPr>
          <w:rFonts w:ascii="Garamond" w:hAnsi="Garamond"/>
          <w:b/>
          <w:bCs/>
        </w:rPr>
      </w:pPr>
      <w:r>
        <w:rPr>
          <w:rFonts w:ascii="Garamond" w:hAnsi="Garamond"/>
          <w:b/>
          <w:bCs/>
        </w:rPr>
        <w:t>2.3 Cultural Values and Indigenous Worldviews</w:t>
      </w:r>
    </w:p>
    <w:p w:rsidR="005929BA" w:rsidRDefault="000F4415">
      <w:pPr>
        <w:spacing w:line="360" w:lineRule="auto"/>
        <w:jc w:val="both"/>
        <w:rPr>
          <w:rFonts w:ascii="Garamond" w:hAnsi="Garamond"/>
        </w:rPr>
      </w:pPr>
      <w:r>
        <w:rPr>
          <w:rFonts w:ascii="Garamond" w:hAnsi="Garamond"/>
        </w:rPr>
        <w:t xml:space="preserve">Among indigenous communities, attitudes and perceptions are closely linked to cultural values and belief systems. The Maasai traditionally view land as a shared resource and livestock as both an economic and cultural asset (Homewood et al., 2009). These values influence </w:t>
      </w:r>
      <w:r>
        <w:rPr>
          <w:rFonts w:ascii="Garamond" w:hAnsi="Garamond"/>
        </w:rPr>
        <w:lastRenderedPageBreak/>
        <w:t>perceptions of sustainability, shaping attitudes toward grazing management, conservation, and resource sharing.</w:t>
      </w:r>
    </w:p>
    <w:p w:rsidR="005929BA" w:rsidRDefault="000F4415">
      <w:pPr>
        <w:spacing w:line="360" w:lineRule="auto"/>
        <w:jc w:val="both"/>
        <w:rPr>
          <w:rFonts w:ascii="Garamond" w:hAnsi="Garamond"/>
          <w:b/>
          <w:bCs/>
        </w:rPr>
      </w:pPr>
      <w:r>
        <w:rPr>
          <w:rFonts w:ascii="Garamond" w:hAnsi="Garamond"/>
          <w:b/>
          <w:bCs/>
        </w:rPr>
        <w:t>2.4 Research Gap</w:t>
      </w:r>
    </w:p>
    <w:p w:rsidR="005929BA" w:rsidRDefault="000F4415">
      <w:pPr>
        <w:spacing w:line="360" w:lineRule="auto"/>
        <w:jc w:val="both"/>
        <w:rPr>
          <w:rFonts w:ascii="Garamond" w:hAnsi="Garamond"/>
        </w:rPr>
      </w:pPr>
      <w:r>
        <w:rPr>
          <w:rFonts w:ascii="Garamond" w:hAnsi="Garamond"/>
        </w:rPr>
        <w:t xml:space="preserve">Although previous studies </w:t>
      </w:r>
      <w:proofErr w:type="spellStart"/>
      <w:r>
        <w:rPr>
          <w:rFonts w:ascii="Garamond" w:hAnsi="Garamond"/>
        </w:rPr>
        <w:t>recognise</w:t>
      </w:r>
      <w:proofErr w:type="spellEnd"/>
      <w:r>
        <w:rPr>
          <w:rFonts w:ascii="Garamond" w:hAnsi="Garamond"/>
        </w:rPr>
        <w:t xml:space="preserve"> the importance of attitudes and perceptions in agricultural decision-making, there is limited empirical evidence demonstrating their influence on sustainable farming practices among pastoral communities in Kenya. This study contributes to the literature by providing quantitative and qualitative evidence from </w:t>
      </w:r>
      <w:proofErr w:type="spellStart"/>
      <w:r>
        <w:rPr>
          <w:rFonts w:ascii="Garamond" w:hAnsi="Garamond"/>
        </w:rPr>
        <w:t>Kajiado</w:t>
      </w:r>
      <w:proofErr w:type="spellEnd"/>
      <w:r>
        <w:rPr>
          <w:rFonts w:ascii="Garamond" w:hAnsi="Garamond"/>
        </w:rPr>
        <w:t xml:space="preserve"> County.</w:t>
      </w:r>
    </w:p>
    <w:p w:rsidR="005929BA" w:rsidRDefault="000F4415">
      <w:pPr>
        <w:spacing w:line="360" w:lineRule="auto"/>
        <w:jc w:val="both"/>
        <w:rPr>
          <w:rFonts w:ascii="Garamond" w:hAnsi="Garamond"/>
          <w:b/>
          <w:bCs/>
        </w:rPr>
      </w:pPr>
      <w:r>
        <w:rPr>
          <w:rFonts w:ascii="Garamond" w:hAnsi="Garamond"/>
          <w:b/>
          <w:bCs/>
        </w:rPr>
        <w:t>3. Methodology</w:t>
      </w:r>
    </w:p>
    <w:p w:rsidR="005929BA" w:rsidRDefault="000F4415">
      <w:pPr>
        <w:spacing w:line="360" w:lineRule="auto"/>
        <w:jc w:val="both"/>
        <w:rPr>
          <w:rFonts w:ascii="Garamond" w:hAnsi="Garamond"/>
          <w:b/>
          <w:bCs/>
        </w:rPr>
      </w:pPr>
      <w:r>
        <w:rPr>
          <w:rFonts w:ascii="Garamond" w:hAnsi="Garamond"/>
          <w:b/>
          <w:bCs/>
        </w:rPr>
        <w:t>3.1 Research Design</w:t>
      </w:r>
    </w:p>
    <w:p w:rsidR="005929BA" w:rsidRDefault="000F4415">
      <w:pPr>
        <w:spacing w:line="360" w:lineRule="auto"/>
        <w:jc w:val="both"/>
        <w:rPr>
          <w:rFonts w:ascii="Garamond" w:hAnsi="Garamond"/>
        </w:rPr>
      </w:pPr>
      <w:r>
        <w:rPr>
          <w:rFonts w:ascii="Garamond" w:hAnsi="Garamond"/>
        </w:rPr>
        <w:t>The study adopted a mixed-methods research design to capture both measurable relationships and contextual meanings associated with attitudes, perceptions, and sustainable farming practices.</w:t>
      </w:r>
    </w:p>
    <w:p w:rsidR="005929BA" w:rsidRDefault="000F4415">
      <w:pPr>
        <w:spacing w:line="360" w:lineRule="auto"/>
        <w:jc w:val="both"/>
        <w:rPr>
          <w:rFonts w:ascii="Garamond" w:hAnsi="Garamond"/>
          <w:b/>
          <w:bCs/>
        </w:rPr>
      </w:pPr>
      <w:r>
        <w:rPr>
          <w:rFonts w:ascii="Garamond" w:hAnsi="Garamond"/>
          <w:b/>
          <w:bCs/>
        </w:rPr>
        <w:t>3.2 Study Area</w:t>
      </w:r>
    </w:p>
    <w:p w:rsidR="005929BA" w:rsidRDefault="000F4415">
      <w:pPr>
        <w:spacing w:line="360" w:lineRule="auto"/>
        <w:jc w:val="both"/>
        <w:rPr>
          <w:rFonts w:ascii="Garamond" w:hAnsi="Garamond"/>
          <w:color w:val="000000" w:themeColor="text1"/>
        </w:rPr>
      </w:pPr>
      <w:r>
        <w:rPr>
          <w:rFonts w:ascii="Garamond" w:hAnsi="Garamond"/>
        </w:rPr>
        <w:t xml:space="preserve">The research was conducted in </w:t>
      </w:r>
      <w:proofErr w:type="spellStart"/>
      <w:r>
        <w:rPr>
          <w:rFonts w:ascii="Garamond" w:hAnsi="Garamond"/>
        </w:rPr>
        <w:t>Kajiado</w:t>
      </w:r>
      <w:proofErr w:type="spellEnd"/>
      <w:r>
        <w:rPr>
          <w:rFonts w:ascii="Garamond" w:hAnsi="Garamond"/>
        </w:rPr>
        <w:t xml:space="preserve"> County, a predominantly semi-arid region in southern Kenya inhabited largely by the Maasai community. Livelihoods in the area are mainly based on pastoralism and </w:t>
      </w:r>
      <w:proofErr w:type="spellStart"/>
      <w:r>
        <w:rPr>
          <w:rFonts w:ascii="Garamond" w:hAnsi="Garamond"/>
        </w:rPr>
        <w:t>agro</w:t>
      </w:r>
      <w:proofErr w:type="spellEnd"/>
      <w:r>
        <w:rPr>
          <w:rFonts w:ascii="Garamond" w:hAnsi="Garamond"/>
        </w:rPr>
        <w:t>-pastoralism.</w:t>
      </w:r>
      <w:r>
        <w:rPr>
          <w:rFonts w:ascii="Garamond" w:hAnsi="Garamond" w:cs="Times New Roman"/>
          <w:color w:val="000000" w:themeColor="text1"/>
        </w:rPr>
        <w:t xml:space="preserve"> </w:t>
      </w:r>
      <w:proofErr w:type="spellStart"/>
      <w:r>
        <w:rPr>
          <w:rFonts w:ascii="Garamond" w:hAnsi="Garamond" w:cs="Times New Roman"/>
          <w:color w:val="000000" w:themeColor="text1"/>
        </w:rPr>
        <w:t>Kajiado</w:t>
      </w:r>
      <w:proofErr w:type="spellEnd"/>
      <w:r>
        <w:rPr>
          <w:rFonts w:ascii="Garamond" w:hAnsi="Garamond" w:cs="Times New Roman"/>
          <w:color w:val="000000" w:themeColor="text1"/>
        </w:rPr>
        <w:t xml:space="preserve"> County is located on the southern part of Kenya. The county borders Nairobi and extends to the Tanzania border further south. Its latitude and longitude coordinates are 1°51'8.57"S, 36°46'36.59"E. The County has a population of 1,117,840 and 316,179 households (Kenya National Bureau of Statistics (KNBS), 2019).  </w:t>
      </w:r>
      <w:proofErr w:type="spellStart"/>
      <w:r>
        <w:rPr>
          <w:rFonts w:ascii="Garamond" w:hAnsi="Garamond" w:cs="Times New Roman"/>
          <w:color w:val="000000" w:themeColor="text1"/>
        </w:rPr>
        <w:t>Kajiado</w:t>
      </w:r>
      <w:proofErr w:type="spellEnd"/>
      <w:r>
        <w:rPr>
          <w:rFonts w:ascii="Garamond" w:hAnsi="Garamond" w:cs="Times New Roman"/>
          <w:color w:val="000000" w:themeColor="text1"/>
        </w:rPr>
        <w:t xml:space="preserve"> County is primarily semi-arid; thus, it is characterized by warm and hot climate with temperatures ranging between 20º C and 28ºC with a mean of 25ºC the area receives about 500mm of rainfall annually, most of it falling in April. The month of August is usually extremely dry, (GOK, 2008). Rearing of livestock is one of the main activities in </w:t>
      </w:r>
      <w:proofErr w:type="spellStart"/>
      <w:r>
        <w:rPr>
          <w:rFonts w:ascii="Garamond" w:hAnsi="Garamond" w:cs="Times New Roman"/>
          <w:color w:val="000000" w:themeColor="text1"/>
        </w:rPr>
        <w:t>Kajiado</w:t>
      </w:r>
      <w:proofErr w:type="spellEnd"/>
      <w:r>
        <w:rPr>
          <w:rFonts w:ascii="Garamond" w:hAnsi="Garamond" w:cs="Times New Roman"/>
          <w:color w:val="000000" w:themeColor="text1"/>
        </w:rPr>
        <w:t xml:space="preserve"> County and it is considered the main livelihood source for many residents since most of the County lies in the semi-arid and arid zones </w:t>
      </w:r>
      <w:r>
        <w:rPr>
          <w:rFonts w:ascii="Garamond" w:hAnsi="Garamond"/>
        </w:rPr>
        <w:t>(</w:t>
      </w:r>
      <w:proofErr w:type="spellStart"/>
      <w:r>
        <w:rPr>
          <w:rFonts w:ascii="Garamond" w:hAnsi="Garamond"/>
        </w:rPr>
        <w:t>Niu</w:t>
      </w:r>
      <w:proofErr w:type="spellEnd"/>
      <w:r>
        <w:rPr>
          <w:rFonts w:ascii="Garamond" w:hAnsi="Garamond"/>
        </w:rPr>
        <w:t xml:space="preserve"> &amp; </w:t>
      </w:r>
      <w:proofErr w:type="spellStart"/>
      <w:r>
        <w:rPr>
          <w:rFonts w:ascii="Garamond" w:hAnsi="Garamond"/>
        </w:rPr>
        <w:t>Masabni</w:t>
      </w:r>
      <w:proofErr w:type="spellEnd"/>
      <w:r>
        <w:rPr>
          <w:rFonts w:ascii="Garamond" w:hAnsi="Garamond"/>
        </w:rPr>
        <w:t>, 2019)</w:t>
      </w:r>
    </w:p>
    <w:p w:rsidR="005929BA" w:rsidRDefault="000F4415">
      <w:pPr>
        <w:spacing w:line="360" w:lineRule="auto"/>
        <w:jc w:val="both"/>
        <w:rPr>
          <w:rFonts w:ascii="Garamond" w:hAnsi="Garamond" w:cs="Times New Roman"/>
          <w:b/>
          <w:i/>
          <w:color w:val="000000" w:themeColor="text1"/>
        </w:rPr>
      </w:pPr>
      <w:r>
        <w:rPr>
          <w:rFonts w:ascii="Garamond" w:hAnsi="Garamond" w:cs="Times New Roman"/>
          <w:noProof/>
          <w:color w:val="000000" w:themeColor="text1"/>
        </w:rPr>
        <w:lastRenderedPageBreak/>
        <w:drawing>
          <wp:inline distT="0" distB="0" distL="0" distR="0">
            <wp:extent cx="5485765" cy="3009900"/>
            <wp:effectExtent l="19050" t="19050" r="19685" b="19050"/>
            <wp:docPr id="205425792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57922"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12653" cy="3024653"/>
                    </a:xfrm>
                    <a:prstGeom prst="rect">
                      <a:avLst/>
                    </a:prstGeom>
                    <a:noFill/>
                    <a:ln w="19050">
                      <a:solidFill>
                        <a:schemeClr val="tx1"/>
                      </a:solidFill>
                    </a:ln>
                  </pic:spPr>
                </pic:pic>
              </a:graphicData>
            </a:graphic>
          </wp:inline>
        </w:drawing>
      </w:r>
      <w:r>
        <w:rPr>
          <w:rFonts w:ascii="Garamond" w:hAnsi="Garamond" w:cs="Times New Roman"/>
          <w:b/>
          <w:i/>
          <w:color w:val="000000" w:themeColor="text1"/>
        </w:rPr>
        <w:t xml:space="preserve"> </w:t>
      </w:r>
    </w:p>
    <w:p w:rsidR="005929BA" w:rsidRDefault="000F4415">
      <w:pPr>
        <w:pStyle w:val="Caption"/>
        <w:spacing w:line="360" w:lineRule="auto"/>
        <w:jc w:val="both"/>
        <w:rPr>
          <w:rFonts w:ascii="Garamond" w:hAnsi="Garamond"/>
          <w:b/>
          <w:bCs/>
          <w:i w:val="0"/>
          <w:iCs w:val="0"/>
          <w:color w:val="000000" w:themeColor="text1"/>
          <w:sz w:val="24"/>
          <w:szCs w:val="24"/>
        </w:rPr>
      </w:pPr>
      <w:bookmarkStart w:id="0" w:name="_2iq8gzs"/>
      <w:bookmarkStart w:id="1" w:name="_Toc160343947"/>
      <w:bookmarkEnd w:id="0"/>
      <w:r>
        <w:rPr>
          <w:rFonts w:ascii="Garamond" w:hAnsi="Garamond"/>
          <w:b/>
          <w:i w:val="0"/>
          <w:iCs w:val="0"/>
          <w:color w:val="000000" w:themeColor="text1"/>
          <w:sz w:val="24"/>
          <w:szCs w:val="24"/>
        </w:rPr>
        <w:t xml:space="preserve">Figure </w:t>
      </w:r>
      <w:r>
        <w:rPr>
          <w:rFonts w:ascii="Garamond" w:hAnsi="Garamond"/>
          <w:b/>
          <w:bCs/>
          <w:i w:val="0"/>
          <w:iCs w:val="0"/>
          <w:color w:val="000000" w:themeColor="text1"/>
          <w:sz w:val="24"/>
          <w:szCs w:val="24"/>
        </w:rPr>
        <w:t xml:space="preserve">1:  Map of </w:t>
      </w:r>
      <w:proofErr w:type="spellStart"/>
      <w:r>
        <w:rPr>
          <w:rFonts w:ascii="Garamond" w:hAnsi="Garamond"/>
          <w:b/>
          <w:bCs/>
          <w:i w:val="0"/>
          <w:iCs w:val="0"/>
          <w:color w:val="000000" w:themeColor="text1"/>
          <w:sz w:val="24"/>
          <w:szCs w:val="24"/>
        </w:rPr>
        <w:t>Kajiado</w:t>
      </w:r>
      <w:proofErr w:type="spellEnd"/>
      <w:r>
        <w:rPr>
          <w:rFonts w:ascii="Garamond" w:hAnsi="Garamond"/>
          <w:b/>
          <w:bCs/>
          <w:i w:val="0"/>
          <w:iCs w:val="0"/>
          <w:color w:val="000000" w:themeColor="text1"/>
          <w:sz w:val="24"/>
          <w:szCs w:val="24"/>
        </w:rPr>
        <w:t xml:space="preserve"> County (Physical planning Department </w:t>
      </w:r>
      <w:proofErr w:type="spellStart"/>
      <w:r>
        <w:rPr>
          <w:rFonts w:ascii="Garamond" w:hAnsi="Garamond"/>
          <w:b/>
          <w:bCs/>
          <w:i w:val="0"/>
          <w:iCs w:val="0"/>
          <w:color w:val="000000" w:themeColor="text1"/>
          <w:sz w:val="24"/>
          <w:szCs w:val="24"/>
        </w:rPr>
        <w:t>Kajiado</w:t>
      </w:r>
      <w:proofErr w:type="spellEnd"/>
      <w:r>
        <w:rPr>
          <w:rFonts w:ascii="Garamond" w:hAnsi="Garamond"/>
          <w:b/>
          <w:bCs/>
          <w:i w:val="0"/>
          <w:iCs w:val="0"/>
          <w:color w:val="000000" w:themeColor="text1"/>
          <w:sz w:val="24"/>
          <w:szCs w:val="24"/>
        </w:rPr>
        <w:t xml:space="preserve"> County)</w:t>
      </w:r>
      <w:bookmarkEnd w:id="1"/>
    </w:p>
    <w:p w:rsidR="005929BA" w:rsidRDefault="000F4415">
      <w:pPr>
        <w:spacing w:line="360" w:lineRule="auto"/>
        <w:jc w:val="both"/>
        <w:rPr>
          <w:rFonts w:ascii="Garamond" w:hAnsi="Garamond"/>
          <w:b/>
          <w:bCs/>
        </w:rPr>
      </w:pPr>
      <w:r>
        <w:rPr>
          <w:rFonts w:ascii="Garamond" w:hAnsi="Garamond"/>
          <w:b/>
          <w:bCs/>
        </w:rPr>
        <w:t>3.3 Sampling Procedure and Sample Size</w:t>
      </w:r>
    </w:p>
    <w:p w:rsidR="005929BA" w:rsidRDefault="000F4415">
      <w:pPr>
        <w:spacing w:line="360" w:lineRule="auto"/>
        <w:jc w:val="both"/>
        <w:rPr>
          <w:rFonts w:ascii="Garamond" w:hAnsi="Garamond"/>
          <w:color w:val="FF0000"/>
        </w:rPr>
      </w:pPr>
      <w:r>
        <w:rPr>
          <w:rFonts w:ascii="Garamond" w:hAnsi="Garamond"/>
        </w:rPr>
        <w:t>The study used a multi-stage sampling design combining purposive and random sampling techniques to ensure both relevance and representativeness. Four sub-districts were purposively selected based on the presence of Maasai communities and their involvement in sustainable farming practices. From these areas, 320 household heads were randomly selected using a sampling frame to ensure each household had an equal chance of inclusion. Household heads were chosen because they are key decision-makers in farming and livestock management. Additionally, key informants including elderly individuals, extension officers, and community leaders were purposively selected to provide in-depth insights based on their experience, knowledge, and leadership roles.</w:t>
      </w:r>
    </w:p>
    <w:p w:rsidR="005929BA" w:rsidRDefault="000F4415">
      <w:pPr>
        <w:spacing w:line="360" w:lineRule="auto"/>
        <w:jc w:val="both"/>
        <w:rPr>
          <w:rFonts w:ascii="Garamond" w:hAnsi="Garamond"/>
          <w:b/>
          <w:bCs/>
        </w:rPr>
      </w:pPr>
      <w:r>
        <w:rPr>
          <w:rFonts w:ascii="Garamond" w:hAnsi="Garamond"/>
          <w:b/>
          <w:bCs/>
        </w:rPr>
        <w:t>3.4 Data Collection</w:t>
      </w:r>
    </w:p>
    <w:p w:rsidR="005929BA" w:rsidRDefault="000F4415">
      <w:pPr>
        <w:spacing w:line="360" w:lineRule="auto"/>
        <w:jc w:val="both"/>
        <w:rPr>
          <w:rFonts w:ascii="Garamond" w:hAnsi="Garamond"/>
        </w:rPr>
      </w:pPr>
      <w:r>
        <w:rPr>
          <w:rFonts w:ascii="Garamond" w:hAnsi="Garamond"/>
        </w:rPr>
        <w:t xml:space="preserve">Structured questionnaires measured attitudes and perceptions using Likert-scale items covering environmental stewardship, cultural value of land, perceived benefits of sustainable farming, perceived land degradation, and trust in indigenous knowledge. Sustainable farming practices were assessed using indicators such as soil conservation, grazing management, </w:t>
      </w:r>
      <w:r>
        <w:rPr>
          <w:rFonts w:ascii="Garamond" w:hAnsi="Garamond"/>
        </w:rPr>
        <w:lastRenderedPageBreak/>
        <w:t>livestock health, and efficient resource use. Focus group discussions and key informant interviews provided qualitative insights.</w:t>
      </w:r>
    </w:p>
    <w:p w:rsidR="005929BA" w:rsidRDefault="000F4415">
      <w:pPr>
        <w:spacing w:line="360" w:lineRule="auto"/>
        <w:jc w:val="both"/>
        <w:rPr>
          <w:rFonts w:ascii="Garamond" w:hAnsi="Garamond"/>
          <w:b/>
          <w:bCs/>
        </w:rPr>
      </w:pPr>
      <w:r>
        <w:rPr>
          <w:rFonts w:ascii="Garamond" w:hAnsi="Garamond"/>
          <w:b/>
          <w:bCs/>
        </w:rPr>
        <w:t>3.5 Data Analysis</w:t>
      </w:r>
    </w:p>
    <w:p w:rsidR="005929BA" w:rsidRDefault="000F4415">
      <w:pPr>
        <w:spacing w:line="360" w:lineRule="auto"/>
        <w:jc w:val="both"/>
        <w:rPr>
          <w:rFonts w:ascii="Garamond" w:hAnsi="Garamond"/>
        </w:rPr>
      </w:pPr>
      <w:r>
        <w:rPr>
          <w:rFonts w:ascii="Garamond" w:hAnsi="Garamond"/>
        </w:rPr>
        <w:t xml:space="preserve">Quantitative data were </w:t>
      </w:r>
      <w:proofErr w:type="spellStart"/>
      <w:r>
        <w:rPr>
          <w:rFonts w:ascii="Garamond" w:hAnsi="Garamond"/>
        </w:rPr>
        <w:t>analysed</w:t>
      </w:r>
      <w:proofErr w:type="spellEnd"/>
      <w:r>
        <w:rPr>
          <w:rFonts w:ascii="Garamond" w:hAnsi="Garamond"/>
        </w:rPr>
        <w:t xml:space="preserve"> using descriptive statistics and multiple regression analysis. Qualitative data were </w:t>
      </w:r>
      <w:proofErr w:type="spellStart"/>
      <w:r>
        <w:rPr>
          <w:rFonts w:ascii="Garamond" w:hAnsi="Garamond"/>
        </w:rPr>
        <w:t>analysed</w:t>
      </w:r>
      <w:proofErr w:type="spellEnd"/>
      <w:r>
        <w:rPr>
          <w:rFonts w:ascii="Garamond" w:hAnsi="Garamond"/>
        </w:rPr>
        <w:t xml:space="preserve"> thematically to support and enrich quantitative findings.</w:t>
      </w:r>
    </w:p>
    <w:p w:rsidR="005929BA" w:rsidRDefault="000F4415">
      <w:pPr>
        <w:spacing w:line="360" w:lineRule="auto"/>
        <w:jc w:val="both"/>
        <w:rPr>
          <w:rFonts w:ascii="Garamond" w:hAnsi="Garamond"/>
          <w:b/>
          <w:bCs/>
        </w:rPr>
      </w:pPr>
      <w:r>
        <w:rPr>
          <w:rFonts w:ascii="Garamond" w:hAnsi="Garamond"/>
          <w:b/>
          <w:bCs/>
        </w:rPr>
        <w:t>4. Results</w:t>
      </w:r>
    </w:p>
    <w:p w:rsidR="005929BA" w:rsidRDefault="000F4415">
      <w:pPr>
        <w:spacing w:line="360" w:lineRule="auto"/>
        <w:jc w:val="both"/>
        <w:rPr>
          <w:rFonts w:ascii="Garamond" w:hAnsi="Garamond"/>
          <w:b/>
          <w:bCs/>
        </w:rPr>
      </w:pPr>
      <w:r>
        <w:rPr>
          <w:rFonts w:ascii="Garamond" w:hAnsi="Garamond"/>
          <w:b/>
          <w:bCs/>
        </w:rPr>
        <w:t>4.1 Descriptive Analysis of Attitudes and Perceptions</w:t>
      </w:r>
    </w:p>
    <w:p w:rsidR="005929BA" w:rsidRDefault="000F4415">
      <w:pPr>
        <w:spacing w:line="360" w:lineRule="auto"/>
        <w:jc w:val="both"/>
        <w:rPr>
          <w:rFonts w:ascii="Garamond" w:hAnsi="Garamond"/>
        </w:rPr>
      </w:pPr>
      <w:r>
        <w:rPr>
          <w:rFonts w:ascii="Garamond" w:hAnsi="Garamond"/>
        </w:rPr>
        <w:t>The majority of respondents expressed positive attitudes toward environmental conservation and strong cultural attachment to land. Trust in indigenous knowledge systems was also high, reflecting the continued relevance of traditional worldviews as shown in Table 1</w:t>
      </w:r>
    </w:p>
    <w:p w:rsidR="005929BA" w:rsidRDefault="000F4415">
      <w:pPr>
        <w:spacing w:line="360" w:lineRule="auto"/>
        <w:jc w:val="both"/>
        <w:rPr>
          <w:rFonts w:ascii="Garamond" w:hAnsi="Garamond"/>
        </w:rPr>
      </w:pPr>
      <w:r>
        <w:rPr>
          <w:rFonts w:ascii="Garamond" w:hAnsi="Garamond"/>
          <w:b/>
          <w:bCs/>
        </w:rPr>
        <w:t>Table 1. Descriptive Statistics of Attitudes and Perceptions</w:t>
      </w:r>
    </w:p>
    <w:tbl>
      <w:tblPr>
        <w:tblW w:w="9288" w:type="dxa"/>
        <w:tblCellSpacing w:w="15" w:type="dxa"/>
        <w:tblCellMar>
          <w:top w:w="15" w:type="dxa"/>
          <w:left w:w="15" w:type="dxa"/>
          <w:bottom w:w="15" w:type="dxa"/>
          <w:right w:w="15" w:type="dxa"/>
        </w:tblCellMar>
        <w:tblLook w:val="04A0" w:firstRow="1" w:lastRow="0" w:firstColumn="1" w:lastColumn="0" w:noHBand="0" w:noVBand="1"/>
      </w:tblPr>
      <w:tblGrid>
        <w:gridCol w:w="6561"/>
        <w:gridCol w:w="1064"/>
        <w:gridCol w:w="1663"/>
      </w:tblGrid>
      <w:tr w:rsidR="005929BA">
        <w:trPr>
          <w:trHeight w:val="486"/>
          <w:tblHeader/>
          <w:tblCellSpacing w:w="15" w:type="dxa"/>
        </w:trPr>
        <w:tc>
          <w:tcPr>
            <w:tcW w:w="0" w:type="auto"/>
            <w:tcBorders>
              <w:top w:val="single" w:sz="4" w:space="0" w:color="auto"/>
              <w:bottom w:val="single" w:sz="4" w:space="0" w:color="auto"/>
            </w:tcBorders>
            <w:vAlign w:val="center"/>
          </w:tcPr>
          <w:p w:rsidR="005929BA" w:rsidRDefault="000F4415">
            <w:pPr>
              <w:spacing w:line="360" w:lineRule="auto"/>
              <w:jc w:val="both"/>
              <w:rPr>
                <w:rFonts w:ascii="Garamond" w:hAnsi="Garamond"/>
                <w:b/>
                <w:bCs/>
              </w:rPr>
            </w:pPr>
            <w:r>
              <w:rPr>
                <w:rFonts w:ascii="Garamond" w:hAnsi="Garamond"/>
                <w:b/>
                <w:bCs/>
              </w:rPr>
              <w:t>Variable</w:t>
            </w:r>
          </w:p>
        </w:tc>
        <w:tc>
          <w:tcPr>
            <w:tcW w:w="0" w:type="auto"/>
            <w:tcBorders>
              <w:top w:val="single" w:sz="4" w:space="0" w:color="auto"/>
              <w:bottom w:val="single" w:sz="4" w:space="0" w:color="auto"/>
            </w:tcBorders>
            <w:vAlign w:val="center"/>
          </w:tcPr>
          <w:p w:rsidR="005929BA" w:rsidRDefault="000F4415">
            <w:pPr>
              <w:spacing w:line="360" w:lineRule="auto"/>
              <w:jc w:val="both"/>
              <w:rPr>
                <w:rFonts w:ascii="Garamond" w:hAnsi="Garamond"/>
                <w:b/>
                <w:bCs/>
              </w:rPr>
            </w:pPr>
            <w:r>
              <w:rPr>
                <w:rFonts w:ascii="Garamond" w:hAnsi="Garamond"/>
                <w:b/>
                <w:bCs/>
              </w:rPr>
              <w:t>Mean</w:t>
            </w:r>
          </w:p>
        </w:tc>
        <w:tc>
          <w:tcPr>
            <w:tcW w:w="0" w:type="auto"/>
            <w:tcBorders>
              <w:top w:val="single" w:sz="4" w:space="0" w:color="auto"/>
              <w:bottom w:val="single" w:sz="4" w:space="0" w:color="auto"/>
            </w:tcBorders>
            <w:vAlign w:val="center"/>
          </w:tcPr>
          <w:p w:rsidR="005929BA" w:rsidRDefault="000F4415">
            <w:pPr>
              <w:spacing w:line="360" w:lineRule="auto"/>
              <w:jc w:val="both"/>
              <w:rPr>
                <w:rFonts w:ascii="Garamond" w:hAnsi="Garamond"/>
                <w:b/>
                <w:bCs/>
              </w:rPr>
            </w:pPr>
            <w:r>
              <w:rPr>
                <w:rFonts w:ascii="Garamond" w:hAnsi="Garamond"/>
                <w:b/>
                <w:bCs/>
              </w:rPr>
              <w:t>Std. Dev.</w:t>
            </w:r>
          </w:p>
        </w:tc>
      </w:tr>
      <w:tr w:rsidR="005929BA">
        <w:trPr>
          <w:trHeight w:val="501"/>
          <w:tblCellSpacing w:w="15" w:type="dxa"/>
        </w:trPr>
        <w:tc>
          <w:tcPr>
            <w:tcW w:w="0" w:type="auto"/>
            <w:vAlign w:val="center"/>
          </w:tcPr>
          <w:p w:rsidR="005929BA" w:rsidRDefault="000F4415">
            <w:pPr>
              <w:spacing w:line="360" w:lineRule="auto"/>
              <w:jc w:val="both"/>
              <w:rPr>
                <w:rFonts w:ascii="Garamond" w:hAnsi="Garamond"/>
              </w:rPr>
            </w:pPr>
            <w:r>
              <w:rPr>
                <w:rFonts w:ascii="Garamond" w:hAnsi="Garamond"/>
              </w:rPr>
              <w:t>Environmental stewardship attitude</w:t>
            </w:r>
          </w:p>
        </w:tc>
        <w:tc>
          <w:tcPr>
            <w:tcW w:w="0" w:type="auto"/>
            <w:vAlign w:val="center"/>
          </w:tcPr>
          <w:p w:rsidR="005929BA" w:rsidRDefault="000F4415">
            <w:pPr>
              <w:spacing w:line="360" w:lineRule="auto"/>
              <w:jc w:val="both"/>
              <w:rPr>
                <w:rFonts w:ascii="Garamond" w:hAnsi="Garamond"/>
              </w:rPr>
            </w:pPr>
            <w:r>
              <w:rPr>
                <w:rFonts w:ascii="Garamond" w:hAnsi="Garamond"/>
              </w:rPr>
              <w:t>4.01</w:t>
            </w:r>
          </w:p>
        </w:tc>
        <w:tc>
          <w:tcPr>
            <w:tcW w:w="0" w:type="auto"/>
            <w:vAlign w:val="center"/>
          </w:tcPr>
          <w:p w:rsidR="005929BA" w:rsidRDefault="000F4415">
            <w:pPr>
              <w:spacing w:line="360" w:lineRule="auto"/>
              <w:jc w:val="both"/>
              <w:rPr>
                <w:rFonts w:ascii="Garamond" w:hAnsi="Garamond"/>
              </w:rPr>
            </w:pPr>
            <w:r>
              <w:rPr>
                <w:rFonts w:ascii="Garamond" w:hAnsi="Garamond"/>
              </w:rPr>
              <w:t>0.83</w:t>
            </w:r>
          </w:p>
        </w:tc>
      </w:tr>
      <w:tr w:rsidR="005929BA">
        <w:trPr>
          <w:trHeight w:val="486"/>
          <w:tblCellSpacing w:w="15" w:type="dxa"/>
        </w:trPr>
        <w:tc>
          <w:tcPr>
            <w:tcW w:w="0" w:type="auto"/>
            <w:vAlign w:val="center"/>
          </w:tcPr>
          <w:p w:rsidR="005929BA" w:rsidRDefault="000F4415">
            <w:pPr>
              <w:spacing w:line="360" w:lineRule="auto"/>
              <w:jc w:val="both"/>
              <w:rPr>
                <w:rFonts w:ascii="Garamond" w:hAnsi="Garamond"/>
              </w:rPr>
            </w:pPr>
            <w:r>
              <w:rPr>
                <w:rFonts w:ascii="Garamond" w:hAnsi="Garamond"/>
              </w:rPr>
              <w:t>Cultural value of land</w:t>
            </w:r>
          </w:p>
        </w:tc>
        <w:tc>
          <w:tcPr>
            <w:tcW w:w="0" w:type="auto"/>
            <w:vAlign w:val="center"/>
          </w:tcPr>
          <w:p w:rsidR="005929BA" w:rsidRDefault="000F4415">
            <w:pPr>
              <w:spacing w:line="360" w:lineRule="auto"/>
              <w:jc w:val="both"/>
              <w:rPr>
                <w:rFonts w:ascii="Garamond" w:hAnsi="Garamond"/>
              </w:rPr>
            </w:pPr>
            <w:r>
              <w:rPr>
                <w:rFonts w:ascii="Garamond" w:hAnsi="Garamond"/>
              </w:rPr>
              <w:t>4.23</w:t>
            </w:r>
          </w:p>
        </w:tc>
        <w:tc>
          <w:tcPr>
            <w:tcW w:w="0" w:type="auto"/>
            <w:vAlign w:val="center"/>
          </w:tcPr>
          <w:p w:rsidR="005929BA" w:rsidRDefault="000F4415">
            <w:pPr>
              <w:spacing w:line="360" w:lineRule="auto"/>
              <w:jc w:val="both"/>
              <w:rPr>
                <w:rFonts w:ascii="Garamond" w:hAnsi="Garamond"/>
              </w:rPr>
            </w:pPr>
            <w:r>
              <w:rPr>
                <w:rFonts w:ascii="Garamond" w:hAnsi="Garamond"/>
              </w:rPr>
              <w:t>0.76</w:t>
            </w:r>
          </w:p>
        </w:tc>
      </w:tr>
      <w:tr w:rsidR="005929BA">
        <w:trPr>
          <w:trHeight w:val="486"/>
          <w:tblCellSpacing w:w="15" w:type="dxa"/>
        </w:trPr>
        <w:tc>
          <w:tcPr>
            <w:tcW w:w="0" w:type="auto"/>
            <w:vAlign w:val="center"/>
          </w:tcPr>
          <w:p w:rsidR="005929BA" w:rsidRDefault="000F4415">
            <w:pPr>
              <w:spacing w:line="360" w:lineRule="auto"/>
              <w:jc w:val="both"/>
              <w:rPr>
                <w:rFonts w:ascii="Garamond" w:hAnsi="Garamond"/>
              </w:rPr>
            </w:pPr>
            <w:r>
              <w:rPr>
                <w:rFonts w:ascii="Garamond" w:hAnsi="Garamond"/>
              </w:rPr>
              <w:t>Perceived benefits of sustainable farming</w:t>
            </w:r>
          </w:p>
        </w:tc>
        <w:tc>
          <w:tcPr>
            <w:tcW w:w="0" w:type="auto"/>
            <w:vAlign w:val="center"/>
          </w:tcPr>
          <w:p w:rsidR="005929BA" w:rsidRDefault="000F4415">
            <w:pPr>
              <w:spacing w:line="360" w:lineRule="auto"/>
              <w:jc w:val="both"/>
              <w:rPr>
                <w:rFonts w:ascii="Garamond" w:hAnsi="Garamond"/>
              </w:rPr>
            </w:pPr>
            <w:r>
              <w:rPr>
                <w:rFonts w:ascii="Garamond" w:hAnsi="Garamond"/>
              </w:rPr>
              <w:t>3.88</w:t>
            </w:r>
          </w:p>
        </w:tc>
        <w:tc>
          <w:tcPr>
            <w:tcW w:w="0" w:type="auto"/>
            <w:vAlign w:val="center"/>
          </w:tcPr>
          <w:p w:rsidR="005929BA" w:rsidRDefault="000F4415">
            <w:pPr>
              <w:spacing w:line="360" w:lineRule="auto"/>
              <w:jc w:val="both"/>
              <w:rPr>
                <w:rFonts w:ascii="Garamond" w:hAnsi="Garamond"/>
              </w:rPr>
            </w:pPr>
            <w:r>
              <w:rPr>
                <w:rFonts w:ascii="Garamond" w:hAnsi="Garamond"/>
              </w:rPr>
              <w:t>0.91</w:t>
            </w:r>
          </w:p>
        </w:tc>
      </w:tr>
      <w:tr w:rsidR="005929BA">
        <w:trPr>
          <w:trHeight w:val="486"/>
          <w:tblCellSpacing w:w="15" w:type="dxa"/>
        </w:trPr>
        <w:tc>
          <w:tcPr>
            <w:tcW w:w="0" w:type="auto"/>
            <w:vAlign w:val="center"/>
          </w:tcPr>
          <w:p w:rsidR="005929BA" w:rsidRDefault="000F4415">
            <w:pPr>
              <w:spacing w:line="360" w:lineRule="auto"/>
              <w:jc w:val="both"/>
              <w:rPr>
                <w:rFonts w:ascii="Garamond" w:hAnsi="Garamond"/>
              </w:rPr>
            </w:pPr>
            <w:r>
              <w:rPr>
                <w:rFonts w:ascii="Garamond" w:hAnsi="Garamond"/>
              </w:rPr>
              <w:t>Perceived land degradation risk</w:t>
            </w:r>
          </w:p>
        </w:tc>
        <w:tc>
          <w:tcPr>
            <w:tcW w:w="0" w:type="auto"/>
            <w:vAlign w:val="center"/>
          </w:tcPr>
          <w:p w:rsidR="005929BA" w:rsidRDefault="000F4415">
            <w:pPr>
              <w:spacing w:line="360" w:lineRule="auto"/>
              <w:jc w:val="both"/>
              <w:rPr>
                <w:rFonts w:ascii="Garamond" w:hAnsi="Garamond"/>
              </w:rPr>
            </w:pPr>
            <w:r>
              <w:rPr>
                <w:rFonts w:ascii="Garamond" w:hAnsi="Garamond"/>
              </w:rPr>
              <w:t>3.74</w:t>
            </w:r>
          </w:p>
        </w:tc>
        <w:tc>
          <w:tcPr>
            <w:tcW w:w="0" w:type="auto"/>
            <w:vAlign w:val="center"/>
          </w:tcPr>
          <w:p w:rsidR="005929BA" w:rsidRDefault="000F4415">
            <w:pPr>
              <w:spacing w:line="360" w:lineRule="auto"/>
              <w:jc w:val="both"/>
              <w:rPr>
                <w:rFonts w:ascii="Garamond" w:hAnsi="Garamond"/>
              </w:rPr>
            </w:pPr>
            <w:r>
              <w:rPr>
                <w:rFonts w:ascii="Garamond" w:hAnsi="Garamond"/>
              </w:rPr>
              <w:t>0.94</w:t>
            </w:r>
          </w:p>
        </w:tc>
      </w:tr>
      <w:tr w:rsidR="005929BA">
        <w:trPr>
          <w:trHeight w:val="501"/>
          <w:tblCellSpacing w:w="15" w:type="dxa"/>
        </w:trPr>
        <w:tc>
          <w:tcPr>
            <w:tcW w:w="0" w:type="auto"/>
            <w:tcBorders>
              <w:bottom w:val="single" w:sz="4" w:space="0" w:color="auto"/>
            </w:tcBorders>
            <w:vAlign w:val="center"/>
          </w:tcPr>
          <w:p w:rsidR="005929BA" w:rsidRDefault="000F4415">
            <w:pPr>
              <w:spacing w:line="360" w:lineRule="auto"/>
              <w:jc w:val="both"/>
              <w:rPr>
                <w:rFonts w:ascii="Garamond" w:hAnsi="Garamond"/>
              </w:rPr>
            </w:pPr>
            <w:r>
              <w:rPr>
                <w:rFonts w:ascii="Garamond" w:hAnsi="Garamond"/>
              </w:rPr>
              <w:t>Trust in indigenous knowledge</w:t>
            </w:r>
          </w:p>
        </w:tc>
        <w:tc>
          <w:tcPr>
            <w:tcW w:w="0" w:type="auto"/>
            <w:tcBorders>
              <w:bottom w:val="single" w:sz="4" w:space="0" w:color="auto"/>
            </w:tcBorders>
            <w:vAlign w:val="center"/>
          </w:tcPr>
          <w:p w:rsidR="005929BA" w:rsidRDefault="000F4415">
            <w:pPr>
              <w:spacing w:line="360" w:lineRule="auto"/>
              <w:jc w:val="both"/>
              <w:rPr>
                <w:rFonts w:ascii="Garamond" w:hAnsi="Garamond"/>
              </w:rPr>
            </w:pPr>
            <w:r>
              <w:rPr>
                <w:rFonts w:ascii="Garamond" w:hAnsi="Garamond"/>
              </w:rPr>
              <w:t>4.09</w:t>
            </w:r>
          </w:p>
        </w:tc>
        <w:tc>
          <w:tcPr>
            <w:tcW w:w="0" w:type="auto"/>
            <w:tcBorders>
              <w:bottom w:val="single" w:sz="4" w:space="0" w:color="auto"/>
            </w:tcBorders>
            <w:vAlign w:val="center"/>
          </w:tcPr>
          <w:p w:rsidR="005929BA" w:rsidRDefault="000F4415">
            <w:pPr>
              <w:spacing w:line="360" w:lineRule="auto"/>
              <w:jc w:val="both"/>
              <w:rPr>
                <w:rFonts w:ascii="Garamond" w:hAnsi="Garamond"/>
              </w:rPr>
            </w:pPr>
            <w:r>
              <w:rPr>
                <w:rFonts w:ascii="Garamond" w:hAnsi="Garamond"/>
              </w:rPr>
              <w:t>0.79</w:t>
            </w:r>
          </w:p>
        </w:tc>
      </w:tr>
    </w:tbl>
    <w:p w:rsidR="005929BA" w:rsidRDefault="005929BA">
      <w:pPr>
        <w:spacing w:line="360" w:lineRule="auto"/>
        <w:jc w:val="both"/>
        <w:rPr>
          <w:rFonts w:ascii="Garamond" w:hAnsi="Garamond"/>
        </w:rPr>
      </w:pPr>
    </w:p>
    <w:p w:rsidR="005929BA" w:rsidRDefault="005929BA">
      <w:pPr>
        <w:spacing w:line="360" w:lineRule="auto"/>
        <w:jc w:val="both"/>
        <w:rPr>
          <w:rFonts w:ascii="Garamond" w:hAnsi="Garamond"/>
          <w:b/>
          <w:bCs/>
        </w:rPr>
      </w:pPr>
    </w:p>
    <w:p w:rsidR="005929BA" w:rsidRDefault="005929BA">
      <w:pPr>
        <w:spacing w:line="360" w:lineRule="auto"/>
        <w:jc w:val="both"/>
        <w:rPr>
          <w:rFonts w:ascii="Garamond" w:hAnsi="Garamond"/>
          <w:b/>
          <w:bCs/>
        </w:rPr>
      </w:pPr>
    </w:p>
    <w:p w:rsidR="005929BA" w:rsidRDefault="000F4415">
      <w:pPr>
        <w:spacing w:line="360" w:lineRule="auto"/>
        <w:jc w:val="both"/>
        <w:rPr>
          <w:rFonts w:ascii="Garamond" w:hAnsi="Garamond"/>
          <w:b/>
          <w:bCs/>
        </w:rPr>
      </w:pPr>
      <w:r>
        <w:rPr>
          <w:rFonts w:ascii="Garamond" w:hAnsi="Garamond"/>
          <w:b/>
          <w:bCs/>
        </w:rPr>
        <w:t>4.2 Influence of Attitudes and Perceptions on Sustainable Farming Practices</w:t>
      </w:r>
    </w:p>
    <w:p w:rsidR="005929BA" w:rsidRDefault="000F4415">
      <w:pPr>
        <w:spacing w:line="360" w:lineRule="auto"/>
        <w:jc w:val="both"/>
        <w:rPr>
          <w:rFonts w:ascii="Garamond" w:hAnsi="Garamond" w:cs="Times New Roman"/>
        </w:rPr>
      </w:pPr>
      <w:bookmarkStart w:id="2" w:name="_Toc190644058"/>
      <w:r>
        <w:rPr>
          <w:rFonts w:ascii="Garamond" w:hAnsi="Garamond" w:cs="Times New Roman"/>
        </w:rPr>
        <w:t xml:space="preserve">The third objective sought to evaluate the influence of attitudes and perceptions on the sustainability of farming practices among the Maasai community in </w:t>
      </w:r>
      <w:proofErr w:type="spellStart"/>
      <w:r>
        <w:rPr>
          <w:rFonts w:ascii="Garamond" w:hAnsi="Garamond" w:cs="Times New Roman"/>
        </w:rPr>
        <w:t>Kajiado</w:t>
      </w:r>
      <w:proofErr w:type="spellEnd"/>
      <w:r>
        <w:rPr>
          <w:rFonts w:ascii="Garamond" w:hAnsi="Garamond" w:cs="Times New Roman"/>
        </w:rPr>
        <w:t xml:space="preserve"> County. The findings revealed a statistically significant relationship between farmers’ attitudes and </w:t>
      </w:r>
      <w:r>
        <w:rPr>
          <w:rFonts w:ascii="Garamond" w:hAnsi="Garamond" w:cs="Times New Roman"/>
        </w:rPr>
        <w:lastRenderedPageBreak/>
        <w:t xml:space="preserve">perceptions and the sustainability of farming practices, although the results appeared neutral in magnitude, suggesting moderate rather than strong influence. This implies that while attitudes and perceptions do play a role in shaping farming behavior, they are not the sole determinants, and their effects may be mediated by other factors such as access to resources, knowledge, and institutional support. </w:t>
      </w:r>
    </w:p>
    <w:p w:rsidR="005929BA" w:rsidRDefault="000F4415">
      <w:pPr>
        <w:spacing w:line="360" w:lineRule="auto"/>
        <w:jc w:val="both"/>
        <w:rPr>
          <w:rFonts w:ascii="Garamond" w:hAnsi="Garamond" w:cs="Times New Roman"/>
        </w:rPr>
      </w:pPr>
      <w:r>
        <w:rPr>
          <w:rFonts w:ascii="Garamond" w:hAnsi="Garamond" w:cs="Times New Roman"/>
        </w:rPr>
        <w:t>The itemized perceptions including increasing temperatures, unpredictable weather patterns, declining fodder availability, rising incidences of crop pests and diseases, increasing soil erosion, and livestock mortality indicate that farmers are aware of environmental changes affecting their livelihoods. Such awareness is critical, as it forms the basis upon which adaptive and sustainable practices are considered and adopted.</w:t>
      </w:r>
    </w:p>
    <w:p w:rsidR="005929BA" w:rsidRDefault="000F4415">
      <w:pPr>
        <w:spacing w:line="360" w:lineRule="auto"/>
        <w:jc w:val="both"/>
        <w:rPr>
          <w:rFonts w:ascii="Garamond" w:hAnsi="Garamond" w:cs="Times New Roman"/>
        </w:rPr>
      </w:pPr>
      <w:r>
        <w:rPr>
          <w:rFonts w:ascii="Garamond" w:hAnsi="Garamond" w:cs="Times New Roman"/>
        </w:rPr>
        <w:t xml:space="preserve">However, the neutral strength of the relationship suggests that awareness alone does not automatically translate into action. While farmers may recognize climate-related challenges, their ability to respond sustainably may be constrained by socioeconomic limitations such as inadequate capital, limited access to inputs, or insufficient technical knowledge. </w:t>
      </w:r>
    </w:p>
    <w:p w:rsidR="005929BA" w:rsidRDefault="000F4415">
      <w:pPr>
        <w:spacing w:line="360" w:lineRule="auto"/>
        <w:jc w:val="both"/>
        <w:rPr>
          <w:rFonts w:ascii="Garamond" w:hAnsi="Garamond" w:cs="Times New Roman"/>
        </w:rPr>
      </w:pPr>
      <w:r>
        <w:rPr>
          <w:rFonts w:ascii="Garamond" w:hAnsi="Garamond" w:cs="Times New Roman"/>
        </w:rPr>
        <w:t xml:space="preserve">This explains why attitudes and perceptions were found to have a likelihood of increasing sustainability, but not at a highly significant or decisive level. These findings are consistent with </w:t>
      </w:r>
      <w:proofErr w:type="spellStart"/>
      <w:r>
        <w:rPr>
          <w:rFonts w:ascii="Garamond" w:hAnsi="Garamond" w:cs="Times New Roman"/>
        </w:rPr>
        <w:t>Ochola</w:t>
      </w:r>
      <w:proofErr w:type="spellEnd"/>
      <w:r>
        <w:rPr>
          <w:rFonts w:ascii="Garamond" w:hAnsi="Garamond" w:cs="Times New Roman"/>
        </w:rPr>
        <w:t xml:space="preserve"> (2014), who established that attitudes and perceptions significantly influence sustainable farming practices, although their impact is often dependent on enabling conditions such as extension support and resource availability. Similarly, studies on agricultural technology adoption highlight that attitudes and perceptions are central to decision-making but must be supported by practical opportunities for implementation.</w:t>
      </w:r>
    </w:p>
    <w:p w:rsidR="005929BA" w:rsidRDefault="000F4415">
      <w:pPr>
        <w:spacing w:line="360" w:lineRule="auto"/>
        <w:jc w:val="both"/>
        <w:rPr>
          <w:rFonts w:ascii="Garamond" w:hAnsi="Garamond" w:cs="Times New Roman"/>
        </w:rPr>
      </w:pPr>
      <w:r>
        <w:rPr>
          <w:rFonts w:ascii="Garamond" w:hAnsi="Garamond" w:cs="Times New Roman"/>
        </w:rPr>
        <w:t>Further, attitudes and perceptions are shaped by multiple interacting factors, including education, cultural beliefs, environmental awareness, and exposure to information. Farmers who are more informed about environmental degradation and sustainability are more likely to develop positive attitudes toward conservation practices (Peck et al., 2019). In pastoral communities such as the Maasai, traditional knowledge systems also play a dual role—some practices align with sustainability principles, while others may hinder the adoption of modern sustainable techniques. Training and capacity-building initiatives are therefore essential, as they enhance knowledge and positively influence attitudes, enabling farmers to better appreciate the long-term benefits of sustainable practices.</w:t>
      </w:r>
    </w:p>
    <w:p w:rsidR="005929BA" w:rsidRDefault="000F4415">
      <w:pPr>
        <w:spacing w:line="360" w:lineRule="auto"/>
        <w:jc w:val="both"/>
        <w:rPr>
          <w:rFonts w:ascii="Garamond" w:hAnsi="Garamond" w:cs="Times New Roman"/>
        </w:rPr>
      </w:pPr>
      <w:r>
        <w:rPr>
          <w:rFonts w:ascii="Garamond" w:hAnsi="Garamond" w:cs="Times New Roman"/>
        </w:rPr>
        <w:lastRenderedPageBreak/>
        <w:t xml:space="preserve">Additionally, variability in attitudes within the community suggests that not all farmers respond uniformly to environmental and agricultural challenges. As noted by </w:t>
      </w:r>
      <w:proofErr w:type="spellStart"/>
      <w:r>
        <w:rPr>
          <w:rFonts w:ascii="Garamond" w:hAnsi="Garamond" w:cs="Times New Roman"/>
        </w:rPr>
        <w:t>Thobane</w:t>
      </w:r>
      <w:proofErr w:type="spellEnd"/>
      <w:r>
        <w:rPr>
          <w:rFonts w:ascii="Garamond" w:hAnsi="Garamond" w:cs="Times New Roman"/>
        </w:rPr>
        <w:t xml:space="preserve"> et al. (2025), differences in perception can lead to varying adoption behaviors even within the same locality. This highlights the need for tailored interventions that address specific barriers and motivations among different farmer groups. Overall, the findings suggest that while attitudes and perceptions are important drivers of sustainable farming practices, their influence is moderated by socioeconomic and institutional factors, necessitating integrated approaches that combine awareness creation with practical support mechanisms.</w:t>
      </w:r>
    </w:p>
    <w:p w:rsidR="005929BA" w:rsidRDefault="000F4415">
      <w:pPr>
        <w:spacing w:line="360" w:lineRule="auto"/>
        <w:jc w:val="both"/>
        <w:rPr>
          <w:rFonts w:ascii="Garamond" w:hAnsi="Garamond" w:cs="Times New Roman"/>
          <w:b/>
        </w:rPr>
      </w:pPr>
      <w:r>
        <w:rPr>
          <w:rFonts w:ascii="Garamond" w:hAnsi="Garamond" w:cs="Times New Roman"/>
          <w:b/>
        </w:rPr>
        <w:t>4.3: Information Access on Sustainable Farming</w:t>
      </w:r>
      <w:bookmarkEnd w:id="2"/>
      <w:r>
        <w:rPr>
          <w:rFonts w:ascii="Garamond" w:hAnsi="Garamond" w:cs="Times New Roman"/>
          <w:b/>
        </w:rPr>
        <w:t xml:space="preserve"> </w:t>
      </w:r>
    </w:p>
    <w:p w:rsidR="005929BA" w:rsidRDefault="000F4415">
      <w:pPr>
        <w:spacing w:line="360" w:lineRule="auto"/>
        <w:jc w:val="both"/>
        <w:rPr>
          <w:rFonts w:ascii="Garamond" w:hAnsi="Garamond" w:cs="Times New Roman"/>
          <w:color w:val="000000" w:themeColor="text1"/>
        </w:rPr>
      </w:pPr>
      <w:r>
        <w:rPr>
          <w:rFonts w:ascii="Garamond" w:hAnsi="Garamond" w:cs="Times New Roman"/>
          <w:color w:val="000000" w:themeColor="text1"/>
        </w:rPr>
        <w:t>The relationship between the extent of access to information and the percentage of farmers practicing sustainable farming across three levels (Low extent, Moderate extent, and Great extent). The information is categorized into three levels of information access: very great extent, great extent, and moderate extent.</w:t>
      </w:r>
    </w:p>
    <w:p w:rsidR="005929BA" w:rsidRDefault="000F4415">
      <w:pPr>
        <w:spacing w:line="360" w:lineRule="auto"/>
        <w:jc w:val="both"/>
        <w:rPr>
          <w:rFonts w:ascii="Garamond" w:hAnsi="Garamond"/>
          <w:b/>
        </w:rPr>
      </w:pPr>
      <w:bookmarkStart w:id="3" w:name="_Toc190644059"/>
      <w:r>
        <w:rPr>
          <w:rFonts w:ascii="Garamond" w:hAnsi="Garamond"/>
          <w:b/>
        </w:rPr>
        <w:t>4.4: Very Great Extent Information Access</w:t>
      </w:r>
      <w:bookmarkEnd w:id="3"/>
    </w:p>
    <w:p w:rsidR="005929BA" w:rsidRDefault="000F4415">
      <w:pPr>
        <w:spacing w:after="100" w:afterAutospacing="1" w:line="360" w:lineRule="auto"/>
        <w:jc w:val="both"/>
        <w:rPr>
          <w:rFonts w:ascii="Garamond" w:hAnsi="Garamond" w:cs="Times New Roman"/>
          <w:color w:val="000000" w:themeColor="text1"/>
        </w:rPr>
      </w:pPr>
      <w:r>
        <w:rPr>
          <w:rFonts w:ascii="Garamond" w:hAnsi="Garamond" w:cs="Times New Roman"/>
          <w:color w:val="000000" w:themeColor="text1"/>
        </w:rPr>
        <w:t>When respondents rate their access to information as "Very Great Extent," they are more likely to perceive themselves as well-informed. The highest percentage of respondents (55%) who rate their access to information as "Great Extent" practice sustainable farming at a "Moderate Extent", indicating a broad perception of being well-informed across different domains. However, a notable proportion (12%) of respondents who rate their access to information as "Very Great Extent" also report a "Low Extent" in sustainable farming practices, suggesting discrepancies in perceived and actual access to information among some individuals.</w:t>
      </w:r>
    </w:p>
    <w:p w:rsidR="005929BA" w:rsidRDefault="000F4415">
      <w:pPr>
        <w:spacing w:line="360" w:lineRule="auto"/>
        <w:jc w:val="both"/>
        <w:rPr>
          <w:rFonts w:ascii="Garamond" w:hAnsi="Garamond"/>
          <w:b/>
        </w:rPr>
      </w:pPr>
      <w:r>
        <w:rPr>
          <w:rFonts w:ascii="Garamond" w:hAnsi="Garamond"/>
          <w:b/>
        </w:rPr>
        <w:t>4.5: Great Extent Information Access</w:t>
      </w:r>
    </w:p>
    <w:p w:rsidR="005929BA" w:rsidRDefault="000F4415">
      <w:pPr>
        <w:spacing w:after="100" w:afterAutospacing="1" w:line="360" w:lineRule="auto"/>
        <w:jc w:val="both"/>
        <w:rPr>
          <w:rFonts w:ascii="Garamond" w:hAnsi="Garamond" w:cs="Times New Roman"/>
          <w:color w:val="000000" w:themeColor="text1"/>
        </w:rPr>
      </w:pPr>
      <w:r>
        <w:rPr>
          <w:rFonts w:ascii="Garamond" w:hAnsi="Garamond" w:cs="Times New Roman"/>
          <w:color w:val="000000" w:themeColor="text1"/>
        </w:rPr>
        <w:t xml:space="preserve">When respondents rate their access to information as "Great Extent," they are more likely to perceive themselves as well-informed. The highest percentage of respondents (72%) who rate their access to information as "Great Extent" practice sustainable farming at a "Moderate Extent", indicating a broad perception of being well-informed across different domains. However, a notable proportion (9%) of respondents who rate their access to information as " Great Extent" also report a "Low Extent" in sustainable farming practices, suggesting </w:t>
      </w:r>
      <w:r>
        <w:rPr>
          <w:rFonts w:ascii="Garamond" w:hAnsi="Garamond" w:cs="Times New Roman"/>
          <w:color w:val="000000" w:themeColor="text1"/>
        </w:rPr>
        <w:lastRenderedPageBreak/>
        <w:t>discrepancies in perceived and actual practice of sustainable farming practice among some individuals.</w:t>
      </w:r>
    </w:p>
    <w:p w:rsidR="005929BA" w:rsidRDefault="000F4415">
      <w:pPr>
        <w:spacing w:line="360" w:lineRule="auto"/>
        <w:jc w:val="both"/>
        <w:rPr>
          <w:rFonts w:ascii="Garamond" w:hAnsi="Garamond"/>
          <w:b/>
        </w:rPr>
      </w:pPr>
      <w:r>
        <w:rPr>
          <w:rFonts w:ascii="Garamond" w:hAnsi="Garamond"/>
          <w:b/>
        </w:rPr>
        <w:t>4.6: Moderate Extent Information Access</w:t>
      </w:r>
    </w:p>
    <w:p w:rsidR="005929BA" w:rsidRDefault="000F4415">
      <w:pPr>
        <w:spacing w:after="0" w:line="360" w:lineRule="auto"/>
        <w:jc w:val="both"/>
        <w:rPr>
          <w:rFonts w:ascii="Garamond" w:hAnsi="Garamond" w:cs="Times New Roman"/>
          <w:color w:val="000000" w:themeColor="text1"/>
        </w:rPr>
      </w:pPr>
      <w:r>
        <w:rPr>
          <w:rFonts w:ascii="Garamond" w:hAnsi="Garamond" w:cs="Times New Roman"/>
          <w:color w:val="000000" w:themeColor="text1"/>
        </w:rPr>
        <w:t>Respondents who rate their access to information as "Moderate Extent" fall in between those with "Great Extent" and "Moderate extent" ratings level of sustainable farming practices. A significant proportion (80%) of respondents who rate their access to information as "Moderate Extent" perceive themselves as practicing sustainable farming to a "Moderate Extent", suggesting a generally positive perception of their information access.</w:t>
      </w:r>
      <w:r>
        <w:rPr>
          <w:rFonts w:ascii="Garamond" w:hAnsi="Garamond"/>
        </w:rPr>
        <w:t xml:space="preserve"> </w:t>
      </w:r>
      <w:r>
        <w:rPr>
          <w:rFonts w:ascii="Garamond" w:hAnsi="Garamond" w:cs="Times New Roman"/>
          <w:color w:val="000000" w:themeColor="text1"/>
        </w:rPr>
        <w:t>This indicates that a moderate level of information access strongly correlates with widespread adoption of sustainable farming practices.</w:t>
      </w:r>
    </w:p>
    <w:p w:rsidR="005929BA" w:rsidRDefault="005929BA">
      <w:pPr>
        <w:spacing w:after="0" w:line="360" w:lineRule="auto"/>
        <w:jc w:val="both"/>
        <w:rPr>
          <w:rFonts w:ascii="Garamond" w:hAnsi="Garamond" w:cs="Times New Roman"/>
          <w:color w:val="000000" w:themeColor="text1"/>
        </w:rPr>
      </w:pPr>
    </w:p>
    <w:p w:rsidR="005929BA" w:rsidRDefault="000F4415">
      <w:pPr>
        <w:spacing w:line="360" w:lineRule="auto"/>
        <w:jc w:val="both"/>
        <w:rPr>
          <w:rFonts w:ascii="Garamond" w:hAnsi="Garamond"/>
          <w:color w:val="000000" w:themeColor="text1"/>
        </w:rPr>
      </w:pPr>
      <w:bookmarkStart w:id="4" w:name="_Toc160343956"/>
      <w:r>
        <w:rPr>
          <w:rFonts w:ascii="Garamond" w:hAnsi="Garamond"/>
          <w:noProof/>
        </w:rPr>
        <w:drawing>
          <wp:inline distT="0" distB="0" distL="0" distR="0">
            <wp:extent cx="5486400" cy="2076450"/>
            <wp:effectExtent l="19050" t="19050" r="19050" b="19050"/>
            <wp:docPr id="99277015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7015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86400" cy="2076450"/>
                    </a:xfrm>
                    <a:prstGeom prst="rect">
                      <a:avLst/>
                    </a:prstGeom>
                    <a:noFill/>
                    <a:ln w="3175">
                      <a:solidFill>
                        <a:schemeClr val="tx1"/>
                      </a:solidFill>
                    </a:ln>
                  </pic:spPr>
                </pic:pic>
              </a:graphicData>
            </a:graphic>
          </wp:inline>
        </w:drawing>
      </w:r>
    </w:p>
    <w:p w:rsidR="005929BA" w:rsidRDefault="000F4415">
      <w:pPr>
        <w:spacing w:line="360" w:lineRule="auto"/>
        <w:rPr>
          <w:rFonts w:ascii="Garamond" w:hAnsi="Garamond" w:cs="Times New Roman"/>
          <w:b/>
        </w:rPr>
      </w:pPr>
      <w:r>
        <w:rPr>
          <w:rFonts w:ascii="Garamond" w:hAnsi="Garamond" w:cs="Times New Roman"/>
          <w:b/>
        </w:rPr>
        <w:t>Figure 2: Extent of Information access on sustainable farming</w:t>
      </w:r>
      <w:bookmarkEnd w:id="4"/>
      <w:r>
        <w:rPr>
          <w:rFonts w:ascii="Garamond" w:hAnsi="Garamond" w:cs="Times New Roman"/>
          <w:b/>
        </w:rPr>
        <w:t xml:space="preserve"> </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 xml:space="preserve">The findings presented in Figure 2 indicate a notable discrepancy between farmers’ perceived access to information and their actual implementation of sustainable farming practices. While a substantial proportion of respondents reported having access to information to a “Great Extent” or “Very Great Extent,” only 20% and 33% respectively translated this access into practicing sustainable farming at a similar level. This suggests that access to information alone is not sufficient to drive behavioral change, and that other underlying factors may be limiting the practical application of knowledge. The presence of respondents who reported a “Low Extent” of information access despite perceiving their access as high further highlights </w:t>
      </w:r>
      <w:r>
        <w:rPr>
          <w:rFonts w:ascii="Garamond" w:eastAsia="Times New Roman" w:hAnsi="Garamond" w:cs="Times New Roman"/>
          <w:kern w:val="0"/>
          <w14:ligatures w14:val="none"/>
        </w:rPr>
        <w:lastRenderedPageBreak/>
        <w:t>inconsistencies in how information availability is understood and utilized at the household level.</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These neutral results imply that there may be a gap between awareness and actual adoption, often referred to as the “knowledge-action gap.” Farmers may believe they are well-informed, but the quality, relevance, or applicability of the information they receive may not adequately support decision-making. In addition, barriers such as financial constraints, labor limitations, lack of technical skills, and limited access to inputs may prevent farmers from implementing sustainable practices even when they are aware of them. This indicates that effective information dissemination must go beyond awareness creation and include practical training, demonstrations, and continuous support.</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Furthermore, the findings suggest that the channels through which information is delivered may influence its effectiveness. Information received through informal networks or generalized extension messages may not be sufficiently tailored to local conditions, leading to limited adoption. These observations are consistent with findings by Patel and Nguyen (2020), who found that farmers act as key intermediaries in knowledge dissemination, but that access to information is shaped by factors such as education, technological literacy, and institutional support. Their study emphasizes that while social networks enhance information flow, disparities in capacity and resources can limit how effectively that information is used.</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Overall, the results underscore the importance of distinguishing between perceived and actual access to information when designing agricultural interventions. Simply increasing the volume of information may not lead to improved outcomes unless it is accurate, context-specific, and actionable. Addressing this gap requires strengthening extension services, improving the quality of training programs, and ensuring that farmers receive hands-on support to translate knowledge into practice. By doing so, stakeholders can enhance informed decision-making, promote sustainable farming practices, and support equitable participation in agricultural development initiatives.</w:t>
      </w:r>
    </w:p>
    <w:p w:rsidR="005929BA" w:rsidRDefault="005929BA">
      <w:pPr>
        <w:spacing w:line="360" w:lineRule="auto"/>
        <w:jc w:val="both"/>
        <w:rPr>
          <w:rFonts w:ascii="Garamond" w:hAnsi="Garamond"/>
          <w:b/>
        </w:rPr>
      </w:pPr>
    </w:p>
    <w:p w:rsidR="005929BA" w:rsidRDefault="005929BA">
      <w:pPr>
        <w:spacing w:line="360" w:lineRule="auto"/>
        <w:jc w:val="both"/>
        <w:rPr>
          <w:rFonts w:ascii="Garamond" w:hAnsi="Garamond"/>
          <w:b/>
        </w:rPr>
      </w:pPr>
    </w:p>
    <w:p w:rsidR="005929BA" w:rsidRDefault="000F4415">
      <w:pPr>
        <w:spacing w:line="360" w:lineRule="auto"/>
        <w:jc w:val="both"/>
        <w:rPr>
          <w:rFonts w:ascii="Garamond" w:hAnsi="Garamond"/>
          <w:b/>
        </w:rPr>
      </w:pPr>
      <w:r>
        <w:rPr>
          <w:rFonts w:ascii="Garamond" w:hAnsi="Garamond"/>
          <w:b/>
        </w:rPr>
        <w:lastRenderedPageBreak/>
        <w:t>4.7: Attitudes and perceptions</w:t>
      </w:r>
    </w:p>
    <w:p w:rsidR="005929BA" w:rsidRDefault="000F4415">
      <w:pPr>
        <w:spacing w:line="360" w:lineRule="auto"/>
        <w:jc w:val="both"/>
        <w:rPr>
          <w:rFonts w:ascii="Garamond" w:hAnsi="Garamond"/>
        </w:rPr>
      </w:pPr>
      <w:bookmarkStart w:id="5" w:name="_Toc160344284"/>
      <w:r>
        <w:rPr>
          <w:rFonts w:ascii="Garamond" w:hAnsi="Garamond"/>
        </w:rPr>
        <w:t xml:space="preserve">The attitudes and perceptions of the Maasai community in </w:t>
      </w:r>
      <w:proofErr w:type="spellStart"/>
      <w:r>
        <w:rPr>
          <w:rFonts w:ascii="Garamond" w:hAnsi="Garamond"/>
        </w:rPr>
        <w:t>Kajiado</w:t>
      </w:r>
      <w:proofErr w:type="spellEnd"/>
      <w:r>
        <w:rPr>
          <w:rFonts w:ascii="Garamond" w:hAnsi="Garamond"/>
        </w:rPr>
        <w:t xml:space="preserve"> County indicated that most farmers were aware of environmental and climatic changes that affected agricultural productivity, including rising temperatures, unpredictable rainfall, and declining pasture availability. Many respondents perceived these changes as serious threats to livestock and crop production, which generally created a positive attitude toward the need for sustainable farming practices. However, despite this awareness, some farmers remained uncertain about the effectiveness or practicality of certain sustainable techniques, which led to moderate or neutral behavioral responses. </w:t>
      </w:r>
    </w:p>
    <w:p w:rsidR="005929BA" w:rsidRDefault="000F4415">
      <w:pPr>
        <w:spacing w:line="360" w:lineRule="auto"/>
        <w:jc w:val="both"/>
        <w:rPr>
          <w:rFonts w:ascii="Garamond" w:hAnsi="Garamond"/>
        </w:rPr>
      </w:pPr>
      <w:r>
        <w:rPr>
          <w:rFonts w:ascii="Garamond" w:hAnsi="Garamond"/>
        </w:rPr>
        <w:t>Cultural practices and long-standing pastoral traditions also shaped perceptions, influencing how new agricultural ideas were interpreted and adopted within the community. Overall, while attitudes and perceptions were generally favorable toward sustainability, they did not always consistently translate into full adoption of sustainable farming practices due to structural, informational, and resource-related constraints.</w:t>
      </w:r>
    </w:p>
    <w:p w:rsidR="005929BA" w:rsidRDefault="000F4415">
      <w:pPr>
        <w:pStyle w:val="Caption"/>
        <w:spacing w:line="360" w:lineRule="auto"/>
        <w:jc w:val="both"/>
        <w:rPr>
          <w:rFonts w:ascii="Garamond" w:eastAsia="Calibri" w:hAnsi="Garamond"/>
          <w:b/>
          <w:bCs/>
          <w:i w:val="0"/>
          <w:color w:val="000000" w:themeColor="text1"/>
          <w:sz w:val="24"/>
          <w:szCs w:val="24"/>
        </w:rPr>
      </w:pPr>
      <w:r>
        <w:rPr>
          <w:rFonts w:ascii="Garamond" w:hAnsi="Garamond"/>
          <w:b/>
          <w:i w:val="0"/>
          <w:color w:val="000000" w:themeColor="text1"/>
          <w:sz w:val="24"/>
          <w:szCs w:val="24"/>
        </w:rPr>
        <w:t>Table</w:t>
      </w:r>
      <w:r>
        <w:rPr>
          <w:rFonts w:ascii="Garamond" w:eastAsia="Calibri" w:hAnsi="Garamond"/>
          <w:b/>
          <w:bCs/>
          <w:i w:val="0"/>
          <w:color w:val="000000" w:themeColor="text1"/>
          <w:sz w:val="24"/>
          <w:szCs w:val="24"/>
        </w:rPr>
        <w:t xml:space="preserve"> 2. Model Parameter estimates</w:t>
      </w:r>
      <w:bookmarkEnd w:id="5"/>
    </w:p>
    <w:tbl>
      <w:tblPr>
        <w:tblW w:w="83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95"/>
        <w:gridCol w:w="4265"/>
        <w:gridCol w:w="877"/>
        <w:gridCol w:w="810"/>
        <w:gridCol w:w="810"/>
        <w:gridCol w:w="990"/>
      </w:tblGrid>
      <w:tr w:rsidR="005929BA">
        <w:trPr>
          <w:cantSplit/>
          <w:trHeight w:val="684"/>
          <w:jc w:val="center"/>
        </w:trPr>
        <w:tc>
          <w:tcPr>
            <w:tcW w:w="4860" w:type="dxa"/>
            <w:gridSpan w:val="2"/>
            <w:vMerge w:val="restart"/>
            <w:tcBorders>
              <w:top w:val="single" w:sz="18" w:space="0" w:color="000000"/>
              <w:left w:val="single" w:sz="18" w:space="0" w:color="000000"/>
              <w:bottom w:val="nil"/>
              <w:right w:val="nil"/>
            </w:tcBorders>
            <w:shd w:val="clear" w:color="auto" w:fill="FFFFFF"/>
          </w:tcPr>
          <w:p w:rsidR="005929BA" w:rsidRDefault="005929BA">
            <w:pPr>
              <w:autoSpaceDE w:val="0"/>
              <w:autoSpaceDN w:val="0"/>
              <w:adjustRightInd w:val="0"/>
              <w:spacing w:after="0" w:line="360" w:lineRule="auto"/>
              <w:ind w:right="60"/>
              <w:jc w:val="both"/>
              <w:rPr>
                <w:rFonts w:ascii="Garamond" w:eastAsia="Calibri" w:hAnsi="Garamond" w:cs="Times New Roman"/>
                <w:color w:val="000000" w:themeColor="text1"/>
              </w:rPr>
            </w:pPr>
          </w:p>
        </w:tc>
        <w:tc>
          <w:tcPr>
            <w:tcW w:w="877" w:type="dxa"/>
            <w:vMerge w:val="restart"/>
            <w:tcBorders>
              <w:top w:val="single" w:sz="18" w:space="0" w:color="000000"/>
              <w:left w:val="single" w:sz="18" w:space="0" w:color="000000"/>
              <w:bottom w:val="single" w:sz="8" w:space="0" w:color="000000"/>
              <w:right w:val="single" w:sz="8" w:space="0" w:color="000000"/>
            </w:tcBorders>
            <w:shd w:val="clear" w:color="auto" w:fill="FFFFFF"/>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B</w:t>
            </w:r>
          </w:p>
        </w:tc>
        <w:tc>
          <w:tcPr>
            <w:tcW w:w="810" w:type="dxa"/>
            <w:vMerge w:val="restart"/>
            <w:tcBorders>
              <w:top w:val="single" w:sz="18" w:space="0" w:color="000000"/>
              <w:left w:val="nil"/>
              <w:bottom w:val="single" w:sz="8" w:space="0" w:color="000000"/>
              <w:right w:val="single" w:sz="8" w:space="0" w:color="000000"/>
            </w:tcBorders>
            <w:shd w:val="clear" w:color="auto" w:fill="FFFFFF"/>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df</w:t>
            </w:r>
          </w:p>
        </w:tc>
        <w:tc>
          <w:tcPr>
            <w:tcW w:w="810" w:type="dxa"/>
            <w:vMerge w:val="restart"/>
            <w:tcBorders>
              <w:top w:val="single" w:sz="18" w:space="0" w:color="000000"/>
              <w:left w:val="nil"/>
              <w:bottom w:val="single" w:sz="8" w:space="0" w:color="000000"/>
              <w:right w:val="single" w:sz="8" w:space="0" w:color="000000"/>
            </w:tcBorders>
            <w:shd w:val="clear" w:color="auto" w:fill="FFFFFF"/>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Sig.</w:t>
            </w:r>
          </w:p>
        </w:tc>
        <w:tc>
          <w:tcPr>
            <w:tcW w:w="990" w:type="dxa"/>
            <w:vMerge w:val="restart"/>
            <w:tcBorders>
              <w:top w:val="single" w:sz="18" w:space="0" w:color="000000"/>
              <w:left w:val="nil"/>
              <w:bottom w:val="single" w:sz="8" w:space="0" w:color="000000"/>
              <w:right w:val="single" w:sz="8" w:space="0" w:color="000000"/>
            </w:tcBorders>
            <w:shd w:val="clear" w:color="auto" w:fill="FFFFFF"/>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Exp(B)</w:t>
            </w:r>
          </w:p>
        </w:tc>
      </w:tr>
      <w:tr w:rsidR="005929BA">
        <w:trPr>
          <w:cantSplit/>
          <w:trHeight w:val="499"/>
          <w:jc w:val="center"/>
        </w:trPr>
        <w:tc>
          <w:tcPr>
            <w:tcW w:w="4860" w:type="dxa"/>
            <w:gridSpan w:val="2"/>
            <w:vMerge/>
            <w:tcBorders>
              <w:top w:val="single" w:sz="18" w:space="0" w:color="000000"/>
              <w:left w:val="single" w:sz="18" w:space="0" w:color="000000"/>
              <w:bottom w:val="nil"/>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877" w:type="dxa"/>
            <w:vMerge/>
            <w:tcBorders>
              <w:top w:val="single" w:sz="18" w:space="0" w:color="000000"/>
              <w:left w:val="single" w:sz="18" w:space="0" w:color="000000"/>
              <w:bottom w:val="single" w:sz="8" w:space="0" w:color="000000"/>
              <w:right w:val="single" w:sz="8" w:space="0" w:color="000000"/>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810" w:type="dxa"/>
            <w:vMerge/>
            <w:tcBorders>
              <w:top w:val="single" w:sz="18" w:space="0" w:color="000000"/>
              <w:left w:val="nil"/>
              <w:bottom w:val="single" w:sz="8" w:space="0" w:color="000000"/>
              <w:right w:val="single" w:sz="8" w:space="0" w:color="000000"/>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810" w:type="dxa"/>
            <w:vMerge/>
            <w:tcBorders>
              <w:top w:val="single" w:sz="18" w:space="0" w:color="000000"/>
              <w:left w:val="nil"/>
              <w:bottom w:val="single" w:sz="8" w:space="0" w:color="000000"/>
              <w:right w:val="single" w:sz="8" w:space="0" w:color="000000"/>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990" w:type="dxa"/>
            <w:vMerge/>
            <w:tcBorders>
              <w:top w:val="single" w:sz="18" w:space="0" w:color="000000"/>
              <w:left w:val="nil"/>
              <w:bottom w:val="single" w:sz="8" w:space="0" w:color="000000"/>
              <w:right w:val="single" w:sz="8" w:space="0" w:color="000000"/>
            </w:tcBorders>
            <w:vAlign w:val="center"/>
          </w:tcPr>
          <w:p w:rsidR="005929BA" w:rsidRDefault="005929BA">
            <w:pPr>
              <w:spacing w:after="0" w:line="360" w:lineRule="auto"/>
              <w:jc w:val="both"/>
              <w:rPr>
                <w:rFonts w:ascii="Garamond" w:eastAsia="Calibri" w:hAnsi="Garamond" w:cs="Times New Roman"/>
                <w:color w:val="000000" w:themeColor="text1"/>
              </w:rPr>
            </w:pPr>
          </w:p>
        </w:tc>
      </w:tr>
      <w:tr w:rsidR="005929BA">
        <w:trPr>
          <w:cantSplit/>
          <w:jc w:val="center"/>
        </w:trPr>
        <w:tc>
          <w:tcPr>
            <w:tcW w:w="595" w:type="dxa"/>
            <w:vMerge w:val="restart"/>
            <w:tcBorders>
              <w:top w:val="single" w:sz="18" w:space="0" w:color="000000"/>
              <w:left w:val="single" w:sz="18" w:space="0" w:color="000000"/>
              <w:bottom w:val="single" w:sz="18" w:space="0" w:color="000000"/>
              <w:right w:val="nil"/>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Step 1</w:t>
            </w:r>
            <w:r>
              <w:rPr>
                <w:rFonts w:ascii="Garamond" w:eastAsia="Calibri" w:hAnsi="Garamond" w:cs="Times New Roman"/>
                <w:color w:val="000000" w:themeColor="text1"/>
                <w:vertAlign w:val="superscript"/>
              </w:rPr>
              <w:t>a</w:t>
            </w:r>
          </w:p>
        </w:tc>
        <w:tc>
          <w:tcPr>
            <w:tcW w:w="4265" w:type="dxa"/>
            <w:tcBorders>
              <w:top w:val="single" w:sz="18" w:space="0" w:color="000000"/>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SimSun" w:hAnsi="Garamond" w:cs="Times New Roman"/>
                <w:color w:val="000000" w:themeColor="text1"/>
              </w:rPr>
              <w:t>Indigenous environmental knowledge.</w:t>
            </w:r>
          </w:p>
        </w:tc>
        <w:tc>
          <w:tcPr>
            <w:tcW w:w="877" w:type="dxa"/>
            <w:tcBorders>
              <w:top w:val="single" w:sz="18" w:space="0" w:color="000000"/>
              <w:left w:val="nil"/>
              <w:bottom w:val="nil"/>
              <w:right w:val="single" w:sz="8" w:space="0" w:color="000000"/>
            </w:tcBorders>
            <w:shd w:val="clear" w:color="auto" w:fill="FFFFFF"/>
          </w:tcPr>
          <w:p w:rsidR="005929BA" w:rsidRDefault="005929BA">
            <w:pPr>
              <w:autoSpaceDE w:val="0"/>
              <w:autoSpaceDN w:val="0"/>
              <w:adjustRightInd w:val="0"/>
              <w:spacing w:after="0" w:line="360" w:lineRule="auto"/>
              <w:jc w:val="both"/>
              <w:rPr>
                <w:rFonts w:ascii="Garamond" w:eastAsia="Calibri" w:hAnsi="Garamond" w:cs="Times New Roman"/>
                <w:color w:val="000000" w:themeColor="text1"/>
              </w:rPr>
            </w:pPr>
          </w:p>
        </w:tc>
        <w:tc>
          <w:tcPr>
            <w:tcW w:w="810" w:type="dxa"/>
            <w:tcBorders>
              <w:top w:val="single" w:sz="18" w:space="0" w:color="000000"/>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3</w:t>
            </w:r>
          </w:p>
        </w:tc>
        <w:tc>
          <w:tcPr>
            <w:tcW w:w="810" w:type="dxa"/>
            <w:tcBorders>
              <w:top w:val="single" w:sz="18" w:space="0" w:color="000000"/>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0.273</w:t>
            </w:r>
          </w:p>
        </w:tc>
        <w:tc>
          <w:tcPr>
            <w:tcW w:w="990" w:type="dxa"/>
            <w:tcBorders>
              <w:top w:val="single" w:sz="18" w:space="0" w:color="000000"/>
              <w:left w:val="nil"/>
              <w:bottom w:val="nil"/>
              <w:right w:val="single" w:sz="8" w:space="0" w:color="000000"/>
            </w:tcBorders>
            <w:shd w:val="clear" w:color="auto" w:fill="FFFFFF"/>
          </w:tcPr>
          <w:p w:rsidR="005929BA" w:rsidRDefault="005929BA">
            <w:pPr>
              <w:autoSpaceDE w:val="0"/>
              <w:autoSpaceDN w:val="0"/>
              <w:adjustRightInd w:val="0"/>
              <w:spacing w:after="0" w:line="360" w:lineRule="auto"/>
              <w:jc w:val="both"/>
              <w:rPr>
                <w:rFonts w:ascii="Garamond" w:eastAsia="Calibri" w:hAnsi="Garamond" w:cs="Times New Roman"/>
                <w:color w:val="000000" w:themeColor="text1"/>
              </w:rPr>
            </w:pPr>
          </w:p>
        </w:tc>
      </w:tr>
      <w:tr w:rsidR="005929BA">
        <w:trPr>
          <w:cantSplit/>
          <w:jc w:val="center"/>
        </w:trPr>
        <w:tc>
          <w:tcPr>
            <w:tcW w:w="595" w:type="dxa"/>
            <w:vMerge/>
            <w:tcBorders>
              <w:top w:val="single" w:sz="18" w:space="0" w:color="000000"/>
              <w:left w:val="single" w:sz="18" w:space="0" w:color="000000"/>
              <w:bottom w:val="single" w:sz="18" w:space="0" w:color="000000"/>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SimSun" w:hAnsi="Garamond" w:cs="Times New Roman"/>
                <w:color w:val="000000" w:themeColor="text1"/>
              </w:rPr>
              <w:t>Indigenous environmental knowledge</w:t>
            </w:r>
            <w:r>
              <w:rPr>
                <w:rFonts w:ascii="Garamond" w:eastAsia="Calibri" w:hAnsi="Garamond" w:cs="Times New Roman"/>
                <w:color w:val="000000" w:themeColor="text1"/>
              </w:rPr>
              <w:t xml:space="preserve"> (1)</w:t>
            </w:r>
          </w:p>
        </w:tc>
        <w:tc>
          <w:tcPr>
            <w:tcW w:w="877"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-20.94</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0.978</w:t>
            </w:r>
          </w:p>
        </w:tc>
        <w:tc>
          <w:tcPr>
            <w:tcW w:w="99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0.000</w:t>
            </w:r>
          </w:p>
        </w:tc>
      </w:tr>
      <w:tr w:rsidR="005929BA">
        <w:trPr>
          <w:cantSplit/>
          <w:jc w:val="center"/>
        </w:trPr>
        <w:tc>
          <w:tcPr>
            <w:tcW w:w="595" w:type="dxa"/>
            <w:vMerge/>
            <w:tcBorders>
              <w:top w:val="single" w:sz="18" w:space="0" w:color="000000"/>
              <w:left w:val="single" w:sz="18" w:space="0" w:color="000000"/>
              <w:bottom w:val="single" w:sz="18" w:space="0" w:color="000000"/>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SimSun" w:hAnsi="Garamond" w:cs="Times New Roman"/>
                <w:b/>
                <w:color w:val="000000" w:themeColor="text1"/>
              </w:rPr>
              <w:t>Indigenous environmental knowledge</w:t>
            </w:r>
            <w:r>
              <w:rPr>
                <w:rFonts w:ascii="Garamond" w:eastAsia="Calibri" w:hAnsi="Garamond" w:cs="Times New Roman"/>
                <w:b/>
                <w:color w:val="000000" w:themeColor="text1"/>
              </w:rPr>
              <w:t xml:space="preserve"> (2)</w:t>
            </w:r>
          </w:p>
        </w:tc>
        <w:tc>
          <w:tcPr>
            <w:tcW w:w="877"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-0.891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.023</w:t>
            </w:r>
          </w:p>
        </w:tc>
        <w:tc>
          <w:tcPr>
            <w:tcW w:w="99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0.410</w:t>
            </w:r>
          </w:p>
        </w:tc>
      </w:tr>
      <w:tr w:rsidR="005929BA">
        <w:trPr>
          <w:cantSplit/>
          <w:jc w:val="center"/>
        </w:trPr>
        <w:tc>
          <w:tcPr>
            <w:tcW w:w="595" w:type="dxa"/>
            <w:vMerge/>
            <w:tcBorders>
              <w:top w:val="single" w:sz="18" w:space="0" w:color="000000"/>
              <w:left w:val="single" w:sz="18" w:space="0" w:color="000000"/>
              <w:bottom w:val="single" w:sz="18" w:space="0" w:color="000000"/>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SimSun" w:hAnsi="Garamond" w:cs="Times New Roman"/>
                <w:color w:val="000000" w:themeColor="text1"/>
              </w:rPr>
              <w:t>Indigenous environmental knowledge</w:t>
            </w:r>
            <w:r>
              <w:rPr>
                <w:rFonts w:ascii="Garamond" w:eastAsia="Calibri" w:hAnsi="Garamond" w:cs="Times New Roman"/>
                <w:color w:val="000000" w:themeColor="text1"/>
              </w:rPr>
              <w:t xml:space="preserve"> (3)</w:t>
            </w:r>
          </w:p>
        </w:tc>
        <w:tc>
          <w:tcPr>
            <w:tcW w:w="877"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-0.418</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0.762</w:t>
            </w:r>
          </w:p>
        </w:tc>
        <w:tc>
          <w:tcPr>
            <w:tcW w:w="99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0.660</w:t>
            </w:r>
          </w:p>
        </w:tc>
      </w:tr>
      <w:tr w:rsidR="005929BA">
        <w:trPr>
          <w:cantSplit/>
          <w:jc w:val="center"/>
        </w:trPr>
        <w:tc>
          <w:tcPr>
            <w:tcW w:w="595" w:type="dxa"/>
            <w:vMerge/>
            <w:tcBorders>
              <w:top w:val="single" w:sz="18" w:space="0" w:color="000000"/>
              <w:left w:val="single" w:sz="18" w:space="0" w:color="000000"/>
              <w:bottom w:val="single" w:sz="18" w:space="0" w:color="000000"/>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SimSun" w:hAnsi="Garamond" w:cs="Times New Roman"/>
                <w:color w:val="000000" w:themeColor="text1"/>
              </w:rPr>
              <w:t>Levels of education</w:t>
            </w:r>
          </w:p>
        </w:tc>
        <w:tc>
          <w:tcPr>
            <w:tcW w:w="877" w:type="dxa"/>
            <w:tcBorders>
              <w:top w:val="nil"/>
              <w:left w:val="nil"/>
              <w:bottom w:val="nil"/>
              <w:right w:val="single" w:sz="8" w:space="0" w:color="000000"/>
            </w:tcBorders>
            <w:shd w:val="clear" w:color="auto" w:fill="FFFFFF"/>
          </w:tcPr>
          <w:p w:rsidR="005929BA" w:rsidRDefault="005929BA">
            <w:pPr>
              <w:autoSpaceDE w:val="0"/>
              <w:autoSpaceDN w:val="0"/>
              <w:adjustRightInd w:val="0"/>
              <w:spacing w:after="0" w:line="360" w:lineRule="auto"/>
              <w:jc w:val="both"/>
              <w:rPr>
                <w:rFonts w:ascii="Garamond" w:eastAsia="Calibri" w:hAnsi="Garamond" w:cs="Times New Roman"/>
                <w:color w:val="000000" w:themeColor="text1"/>
              </w:rPr>
            </w:pP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3</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0.266</w:t>
            </w:r>
          </w:p>
        </w:tc>
        <w:tc>
          <w:tcPr>
            <w:tcW w:w="990" w:type="dxa"/>
            <w:tcBorders>
              <w:top w:val="nil"/>
              <w:left w:val="nil"/>
              <w:bottom w:val="nil"/>
              <w:right w:val="single" w:sz="8" w:space="0" w:color="000000"/>
            </w:tcBorders>
            <w:shd w:val="clear" w:color="auto" w:fill="FFFFFF"/>
          </w:tcPr>
          <w:p w:rsidR="005929BA" w:rsidRDefault="005929BA">
            <w:pPr>
              <w:autoSpaceDE w:val="0"/>
              <w:autoSpaceDN w:val="0"/>
              <w:adjustRightInd w:val="0"/>
              <w:spacing w:after="0" w:line="360" w:lineRule="auto"/>
              <w:jc w:val="both"/>
              <w:rPr>
                <w:rFonts w:ascii="Garamond" w:eastAsia="Calibri" w:hAnsi="Garamond" w:cs="Times New Roman"/>
                <w:color w:val="000000" w:themeColor="text1"/>
              </w:rPr>
            </w:pPr>
          </w:p>
        </w:tc>
      </w:tr>
      <w:tr w:rsidR="005929BA">
        <w:trPr>
          <w:cantSplit/>
          <w:jc w:val="center"/>
        </w:trPr>
        <w:tc>
          <w:tcPr>
            <w:tcW w:w="595" w:type="dxa"/>
            <w:vMerge/>
            <w:tcBorders>
              <w:top w:val="single" w:sz="18" w:space="0" w:color="000000"/>
              <w:left w:val="single" w:sz="18" w:space="0" w:color="000000"/>
              <w:bottom w:val="single" w:sz="18" w:space="0" w:color="000000"/>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SimSun" w:hAnsi="Garamond" w:cs="Times New Roman"/>
                <w:b/>
                <w:color w:val="000000" w:themeColor="text1"/>
              </w:rPr>
              <w:t>Levels of education</w:t>
            </w:r>
            <w:r>
              <w:rPr>
                <w:rFonts w:ascii="Garamond" w:eastAsia="Calibri" w:hAnsi="Garamond" w:cs="Times New Roman"/>
                <w:b/>
                <w:color w:val="000000" w:themeColor="text1"/>
              </w:rPr>
              <w:t xml:space="preserve"> (1)</w:t>
            </w:r>
          </w:p>
        </w:tc>
        <w:tc>
          <w:tcPr>
            <w:tcW w:w="877"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1.721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0.035</w:t>
            </w:r>
          </w:p>
        </w:tc>
        <w:tc>
          <w:tcPr>
            <w:tcW w:w="99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4.678</w:t>
            </w:r>
          </w:p>
        </w:tc>
      </w:tr>
      <w:tr w:rsidR="005929BA">
        <w:trPr>
          <w:cantSplit/>
          <w:jc w:val="center"/>
        </w:trPr>
        <w:tc>
          <w:tcPr>
            <w:tcW w:w="595" w:type="dxa"/>
            <w:vMerge/>
            <w:tcBorders>
              <w:top w:val="single" w:sz="18" w:space="0" w:color="000000"/>
              <w:left w:val="single" w:sz="18" w:space="0" w:color="000000"/>
              <w:bottom w:val="single" w:sz="18" w:space="0" w:color="000000"/>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SimSun" w:hAnsi="Garamond" w:cs="Times New Roman"/>
                <w:color w:val="000000" w:themeColor="text1"/>
              </w:rPr>
              <w:t>Levels of education</w:t>
            </w:r>
            <w:r>
              <w:rPr>
                <w:rFonts w:ascii="Garamond" w:eastAsia="Calibri" w:hAnsi="Garamond" w:cs="Times New Roman"/>
                <w:color w:val="000000" w:themeColor="text1"/>
              </w:rPr>
              <w:t xml:space="preserve"> (2)</w:t>
            </w:r>
          </w:p>
        </w:tc>
        <w:tc>
          <w:tcPr>
            <w:tcW w:w="877"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-1.589</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0.287</w:t>
            </w:r>
          </w:p>
        </w:tc>
        <w:tc>
          <w:tcPr>
            <w:tcW w:w="99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0.202</w:t>
            </w:r>
          </w:p>
        </w:tc>
      </w:tr>
      <w:tr w:rsidR="005929BA">
        <w:trPr>
          <w:cantSplit/>
          <w:jc w:val="center"/>
        </w:trPr>
        <w:tc>
          <w:tcPr>
            <w:tcW w:w="595" w:type="dxa"/>
            <w:vMerge/>
            <w:tcBorders>
              <w:top w:val="single" w:sz="18" w:space="0" w:color="000000"/>
              <w:left w:val="single" w:sz="18" w:space="0" w:color="000000"/>
              <w:bottom w:val="single" w:sz="18" w:space="0" w:color="000000"/>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SimSun" w:hAnsi="Garamond" w:cs="Times New Roman"/>
                <w:color w:val="000000" w:themeColor="text1"/>
              </w:rPr>
              <w:t>Levels of education</w:t>
            </w:r>
            <w:r>
              <w:rPr>
                <w:rFonts w:ascii="Garamond" w:eastAsia="Calibri" w:hAnsi="Garamond" w:cs="Times New Roman"/>
                <w:color w:val="000000" w:themeColor="text1"/>
              </w:rPr>
              <w:t xml:space="preserve"> (3)</w:t>
            </w:r>
          </w:p>
        </w:tc>
        <w:tc>
          <w:tcPr>
            <w:tcW w:w="877"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1.955</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0.447</w:t>
            </w:r>
          </w:p>
        </w:tc>
        <w:tc>
          <w:tcPr>
            <w:tcW w:w="99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7.064</w:t>
            </w:r>
          </w:p>
        </w:tc>
      </w:tr>
      <w:tr w:rsidR="005929BA">
        <w:trPr>
          <w:cantSplit/>
          <w:jc w:val="center"/>
        </w:trPr>
        <w:tc>
          <w:tcPr>
            <w:tcW w:w="595" w:type="dxa"/>
            <w:vMerge/>
            <w:tcBorders>
              <w:top w:val="single" w:sz="18" w:space="0" w:color="000000"/>
              <w:left w:val="single" w:sz="18" w:space="0" w:color="000000"/>
              <w:bottom w:val="single" w:sz="18" w:space="0" w:color="000000"/>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SimSun" w:hAnsi="Garamond" w:cs="Times New Roman"/>
                <w:color w:val="000000" w:themeColor="text1"/>
              </w:rPr>
              <w:t>Attitudes and perceptions.</w:t>
            </w:r>
          </w:p>
        </w:tc>
        <w:tc>
          <w:tcPr>
            <w:tcW w:w="877" w:type="dxa"/>
            <w:tcBorders>
              <w:top w:val="nil"/>
              <w:left w:val="nil"/>
              <w:bottom w:val="nil"/>
              <w:right w:val="single" w:sz="8" w:space="0" w:color="000000"/>
            </w:tcBorders>
            <w:shd w:val="clear" w:color="auto" w:fill="FFFFFF"/>
          </w:tcPr>
          <w:p w:rsidR="005929BA" w:rsidRDefault="005929BA">
            <w:pPr>
              <w:autoSpaceDE w:val="0"/>
              <w:autoSpaceDN w:val="0"/>
              <w:adjustRightInd w:val="0"/>
              <w:spacing w:after="0" w:line="360" w:lineRule="auto"/>
              <w:jc w:val="both"/>
              <w:rPr>
                <w:rFonts w:ascii="Garamond" w:eastAsia="Calibri" w:hAnsi="Garamond" w:cs="Times New Roman"/>
                <w:color w:val="000000" w:themeColor="text1"/>
              </w:rPr>
            </w:pP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3</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0.458</w:t>
            </w:r>
          </w:p>
        </w:tc>
        <w:tc>
          <w:tcPr>
            <w:tcW w:w="990" w:type="dxa"/>
            <w:tcBorders>
              <w:top w:val="nil"/>
              <w:left w:val="nil"/>
              <w:bottom w:val="nil"/>
              <w:right w:val="single" w:sz="8" w:space="0" w:color="000000"/>
            </w:tcBorders>
            <w:shd w:val="clear" w:color="auto" w:fill="FFFFFF"/>
          </w:tcPr>
          <w:p w:rsidR="005929BA" w:rsidRDefault="005929BA">
            <w:pPr>
              <w:autoSpaceDE w:val="0"/>
              <w:autoSpaceDN w:val="0"/>
              <w:adjustRightInd w:val="0"/>
              <w:spacing w:after="0" w:line="360" w:lineRule="auto"/>
              <w:jc w:val="both"/>
              <w:rPr>
                <w:rFonts w:ascii="Garamond" w:eastAsia="Calibri" w:hAnsi="Garamond" w:cs="Times New Roman"/>
                <w:color w:val="000000" w:themeColor="text1"/>
              </w:rPr>
            </w:pPr>
          </w:p>
        </w:tc>
      </w:tr>
      <w:tr w:rsidR="005929BA">
        <w:trPr>
          <w:cantSplit/>
          <w:jc w:val="center"/>
        </w:trPr>
        <w:tc>
          <w:tcPr>
            <w:tcW w:w="595" w:type="dxa"/>
            <w:vMerge/>
            <w:tcBorders>
              <w:top w:val="single" w:sz="18" w:space="0" w:color="000000"/>
              <w:left w:val="single" w:sz="18" w:space="0" w:color="000000"/>
              <w:bottom w:val="single" w:sz="18" w:space="0" w:color="000000"/>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SimSun" w:hAnsi="Garamond" w:cs="Times New Roman"/>
                <w:b/>
                <w:color w:val="000000" w:themeColor="text1"/>
              </w:rPr>
              <w:t>Attitudes and perceptions</w:t>
            </w:r>
            <w:r>
              <w:rPr>
                <w:rFonts w:ascii="Garamond" w:eastAsia="SimSun" w:hAnsi="Garamond" w:cs="Times New Roman"/>
                <w:bCs/>
                <w:color w:val="000000" w:themeColor="text1"/>
              </w:rPr>
              <w:t xml:space="preserve"> </w:t>
            </w:r>
            <w:r>
              <w:rPr>
                <w:rFonts w:ascii="Garamond" w:eastAsia="Calibri" w:hAnsi="Garamond" w:cs="Times New Roman"/>
                <w:b/>
                <w:color w:val="000000" w:themeColor="text1"/>
              </w:rPr>
              <w:t>(1)</w:t>
            </w:r>
          </w:p>
        </w:tc>
        <w:tc>
          <w:tcPr>
            <w:tcW w:w="877"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1.544</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0.021</w:t>
            </w:r>
          </w:p>
        </w:tc>
        <w:tc>
          <w:tcPr>
            <w:tcW w:w="99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4.683</w:t>
            </w:r>
          </w:p>
        </w:tc>
      </w:tr>
      <w:tr w:rsidR="005929BA">
        <w:trPr>
          <w:cantSplit/>
          <w:jc w:val="center"/>
        </w:trPr>
        <w:tc>
          <w:tcPr>
            <w:tcW w:w="595" w:type="dxa"/>
            <w:vMerge/>
            <w:tcBorders>
              <w:top w:val="single" w:sz="18" w:space="0" w:color="000000"/>
              <w:left w:val="single" w:sz="18" w:space="0" w:color="000000"/>
              <w:bottom w:val="single" w:sz="18" w:space="0" w:color="000000"/>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SimSun" w:hAnsi="Garamond" w:cs="Times New Roman"/>
                <w:color w:val="000000" w:themeColor="text1"/>
              </w:rPr>
              <w:t>Attitudes and perceptions</w:t>
            </w:r>
            <w:r>
              <w:rPr>
                <w:rFonts w:ascii="Garamond" w:eastAsia="SimSun" w:hAnsi="Garamond" w:cs="Times New Roman"/>
                <w:bCs/>
                <w:color w:val="000000" w:themeColor="text1"/>
              </w:rPr>
              <w:t xml:space="preserve"> </w:t>
            </w:r>
            <w:r>
              <w:rPr>
                <w:rFonts w:ascii="Garamond" w:eastAsia="Calibri" w:hAnsi="Garamond" w:cs="Times New Roman"/>
                <w:color w:val="000000" w:themeColor="text1"/>
              </w:rPr>
              <w:t>(2)</w:t>
            </w:r>
          </w:p>
        </w:tc>
        <w:tc>
          <w:tcPr>
            <w:tcW w:w="877"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-1.851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0.313</w:t>
            </w:r>
          </w:p>
        </w:tc>
        <w:tc>
          <w:tcPr>
            <w:tcW w:w="99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0.1571</w:t>
            </w:r>
          </w:p>
        </w:tc>
      </w:tr>
      <w:tr w:rsidR="005929BA">
        <w:trPr>
          <w:cantSplit/>
          <w:jc w:val="center"/>
        </w:trPr>
        <w:tc>
          <w:tcPr>
            <w:tcW w:w="595" w:type="dxa"/>
            <w:vMerge/>
            <w:tcBorders>
              <w:top w:val="single" w:sz="18" w:space="0" w:color="000000"/>
              <w:left w:val="single" w:sz="18" w:space="0" w:color="000000"/>
              <w:bottom w:val="single" w:sz="18" w:space="0" w:color="000000"/>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SimSun" w:hAnsi="Garamond" w:cs="Times New Roman"/>
                <w:color w:val="000000" w:themeColor="text1"/>
              </w:rPr>
              <w:t>Attitudes and perceptions</w:t>
            </w:r>
            <w:r>
              <w:rPr>
                <w:rFonts w:ascii="Garamond" w:eastAsia="SimSun" w:hAnsi="Garamond" w:cs="Times New Roman"/>
                <w:bCs/>
                <w:color w:val="000000" w:themeColor="text1"/>
              </w:rPr>
              <w:t xml:space="preserve"> </w:t>
            </w:r>
            <w:r>
              <w:rPr>
                <w:rFonts w:ascii="Garamond" w:eastAsia="Calibri" w:hAnsi="Garamond" w:cs="Times New Roman"/>
                <w:color w:val="000000" w:themeColor="text1"/>
              </w:rPr>
              <w:t>(3)</w:t>
            </w:r>
          </w:p>
        </w:tc>
        <w:tc>
          <w:tcPr>
            <w:tcW w:w="877"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-1.722</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0.393</w:t>
            </w:r>
          </w:p>
        </w:tc>
        <w:tc>
          <w:tcPr>
            <w:tcW w:w="99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0.1787</w:t>
            </w:r>
          </w:p>
        </w:tc>
      </w:tr>
      <w:tr w:rsidR="005929BA">
        <w:trPr>
          <w:cantSplit/>
          <w:jc w:val="center"/>
        </w:trPr>
        <w:tc>
          <w:tcPr>
            <w:tcW w:w="595" w:type="dxa"/>
            <w:vMerge/>
            <w:tcBorders>
              <w:top w:val="single" w:sz="18" w:space="0" w:color="000000"/>
              <w:left w:val="single" w:sz="18" w:space="0" w:color="000000"/>
              <w:bottom w:val="single" w:sz="18" w:space="0" w:color="000000"/>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SimSun" w:hAnsi="Garamond" w:cs="Times New Roman"/>
                <w:color w:val="000000" w:themeColor="text1"/>
              </w:rPr>
            </w:pPr>
            <w:r>
              <w:rPr>
                <w:rFonts w:ascii="Garamond" w:eastAsia="SimSun" w:hAnsi="Garamond" w:cs="Times New Roman"/>
                <w:color w:val="000000" w:themeColor="text1"/>
              </w:rPr>
              <w:t>Accessibility to information sources</w:t>
            </w:r>
          </w:p>
        </w:tc>
        <w:tc>
          <w:tcPr>
            <w:tcW w:w="877" w:type="dxa"/>
            <w:tcBorders>
              <w:top w:val="nil"/>
              <w:left w:val="nil"/>
              <w:bottom w:val="nil"/>
              <w:right w:val="single" w:sz="8" w:space="0" w:color="000000"/>
            </w:tcBorders>
            <w:shd w:val="clear" w:color="auto" w:fill="FFFFFF"/>
            <w:vAlign w:val="center"/>
          </w:tcPr>
          <w:p w:rsidR="005929BA" w:rsidRDefault="005929BA">
            <w:pPr>
              <w:autoSpaceDE w:val="0"/>
              <w:autoSpaceDN w:val="0"/>
              <w:adjustRightInd w:val="0"/>
              <w:spacing w:after="0" w:line="360" w:lineRule="auto"/>
              <w:ind w:right="60"/>
              <w:jc w:val="both"/>
              <w:rPr>
                <w:rFonts w:ascii="Garamond" w:eastAsia="Calibri" w:hAnsi="Garamond" w:cs="Times New Roman"/>
                <w:color w:val="000000" w:themeColor="text1"/>
              </w:rPr>
            </w:pP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3</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0.356</w:t>
            </w:r>
          </w:p>
        </w:tc>
        <w:tc>
          <w:tcPr>
            <w:tcW w:w="990" w:type="dxa"/>
            <w:tcBorders>
              <w:top w:val="nil"/>
              <w:left w:val="nil"/>
              <w:bottom w:val="nil"/>
              <w:right w:val="single" w:sz="8" w:space="0" w:color="000000"/>
            </w:tcBorders>
            <w:shd w:val="clear" w:color="auto" w:fill="FFFFFF"/>
            <w:vAlign w:val="center"/>
          </w:tcPr>
          <w:p w:rsidR="005929BA" w:rsidRDefault="005929BA">
            <w:pPr>
              <w:autoSpaceDE w:val="0"/>
              <w:autoSpaceDN w:val="0"/>
              <w:adjustRightInd w:val="0"/>
              <w:spacing w:after="0" w:line="360" w:lineRule="auto"/>
              <w:ind w:right="60"/>
              <w:jc w:val="both"/>
              <w:rPr>
                <w:rFonts w:ascii="Garamond" w:eastAsia="Calibri" w:hAnsi="Garamond" w:cs="Times New Roman"/>
                <w:color w:val="000000" w:themeColor="text1"/>
              </w:rPr>
            </w:pPr>
          </w:p>
        </w:tc>
      </w:tr>
      <w:tr w:rsidR="005929BA">
        <w:trPr>
          <w:cantSplit/>
          <w:jc w:val="center"/>
        </w:trPr>
        <w:tc>
          <w:tcPr>
            <w:tcW w:w="595" w:type="dxa"/>
            <w:vMerge/>
            <w:tcBorders>
              <w:top w:val="single" w:sz="18" w:space="0" w:color="000000"/>
              <w:left w:val="single" w:sz="18" w:space="0" w:color="000000"/>
              <w:bottom w:val="single" w:sz="18" w:space="0" w:color="000000"/>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SimSun" w:hAnsi="Garamond" w:cs="Times New Roman"/>
                <w:color w:val="000000" w:themeColor="text1"/>
              </w:rPr>
            </w:pPr>
            <w:r>
              <w:rPr>
                <w:rFonts w:ascii="Garamond" w:eastAsia="SimSun" w:hAnsi="Garamond" w:cs="Times New Roman"/>
                <w:color w:val="000000" w:themeColor="text1"/>
              </w:rPr>
              <w:t>Accessibility to information sources (1)</w:t>
            </w:r>
          </w:p>
        </w:tc>
        <w:tc>
          <w:tcPr>
            <w:tcW w:w="877"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1.811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0.418</w:t>
            </w:r>
          </w:p>
        </w:tc>
        <w:tc>
          <w:tcPr>
            <w:tcW w:w="99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6.117</w:t>
            </w:r>
          </w:p>
        </w:tc>
      </w:tr>
      <w:tr w:rsidR="005929BA">
        <w:trPr>
          <w:cantSplit/>
          <w:jc w:val="center"/>
        </w:trPr>
        <w:tc>
          <w:tcPr>
            <w:tcW w:w="595" w:type="dxa"/>
            <w:vMerge/>
            <w:tcBorders>
              <w:top w:val="single" w:sz="18" w:space="0" w:color="000000"/>
              <w:left w:val="single" w:sz="18" w:space="0" w:color="000000"/>
              <w:bottom w:val="single" w:sz="18" w:space="0" w:color="000000"/>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SimSun" w:hAnsi="Garamond" w:cs="Times New Roman"/>
                <w:b/>
                <w:color w:val="000000" w:themeColor="text1"/>
              </w:rPr>
            </w:pPr>
            <w:r>
              <w:rPr>
                <w:rFonts w:ascii="Garamond" w:eastAsia="SimSun" w:hAnsi="Garamond" w:cs="Times New Roman"/>
                <w:b/>
                <w:color w:val="000000" w:themeColor="text1"/>
              </w:rPr>
              <w:t>Accessibility to information sources (2)</w:t>
            </w:r>
          </w:p>
        </w:tc>
        <w:tc>
          <w:tcPr>
            <w:tcW w:w="877"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.712</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.013</w:t>
            </w:r>
          </w:p>
        </w:tc>
        <w:tc>
          <w:tcPr>
            <w:tcW w:w="99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2.038</w:t>
            </w:r>
          </w:p>
        </w:tc>
      </w:tr>
      <w:tr w:rsidR="005929BA">
        <w:trPr>
          <w:cantSplit/>
          <w:jc w:val="center"/>
        </w:trPr>
        <w:tc>
          <w:tcPr>
            <w:tcW w:w="595" w:type="dxa"/>
            <w:vMerge/>
            <w:tcBorders>
              <w:top w:val="single" w:sz="18" w:space="0" w:color="000000"/>
              <w:left w:val="single" w:sz="18" w:space="0" w:color="000000"/>
              <w:bottom w:val="single" w:sz="18" w:space="0" w:color="000000"/>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1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SimSun" w:hAnsi="Garamond" w:cs="Times New Roman"/>
                <w:color w:val="000000" w:themeColor="text1"/>
              </w:rPr>
            </w:pPr>
            <w:r>
              <w:rPr>
                <w:rFonts w:ascii="Garamond" w:eastAsia="SimSun" w:hAnsi="Garamond" w:cs="Times New Roman"/>
                <w:color w:val="000000" w:themeColor="text1"/>
              </w:rPr>
              <w:t>Accessibility to information sources (3)</w:t>
            </w:r>
          </w:p>
        </w:tc>
        <w:tc>
          <w:tcPr>
            <w:tcW w:w="877"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-1.561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.259</w:t>
            </w:r>
          </w:p>
        </w:tc>
        <w:tc>
          <w:tcPr>
            <w:tcW w:w="99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0.209</w:t>
            </w:r>
          </w:p>
        </w:tc>
      </w:tr>
      <w:tr w:rsidR="005929BA">
        <w:trPr>
          <w:cantSplit/>
          <w:jc w:val="center"/>
        </w:trPr>
        <w:tc>
          <w:tcPr>
            <w:tcW w:w="595" w:type="dxa"/>
            <w:tcBorders>
              <w:top w:val="nil"/>
              <w:left w:val="single" w:sz="4" w:space="0" w:color="auto"/>
              <w:bottom w:val="nil"/>
              <w:right w:val="nil"/>
            </w:tcBorders>
            <w:shd w:val="clear" w:color="auto" w:fill="FFFFFF"/>
            <w:vAlign w:val="center"/>
          </w:tcPr>
          <w:p w:rsidR="005929BA" w:rsidRDefault="005929BA">
            <w:pPr>
              <w:autoSpaceDE w:val="0"/>
              <w:autoSpaceDN w:val="0"/>
              <w:adjustRightInd w:val="0"/>
              <w:spacing w:after="0" w:line="360" w:lineRule="auto"/>
              <w:jc w:val="both"/>
              <w:rPr>
                <w:rFonts w:ascii="Garamond" w:eastAsia="Calibri" w:hAnsi="Garamond" w:cs="Times New Roman"/>
                <w:color w:val="000000" w:themeColor="text1"/>
              </w:rPr>
            </w:pPr>
          </w:p>
        </w:tc>
        <w:tc>
          <w:tcPr>
            <w:tcW w:w="4265" w:type="dxa"/>
            <w:tcBorders>
              <w:top w:val="nil"/>
              <w:left w:val="nil"/>
              <w:bottom w:val="nil"/>
              <w:right w:val="single" w:sz="4" w:space="0" w:color="auto"/>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Constant</w:t>
            </w:r>
          </w:p>
        </w:tc>
        <w:tc>
          <w:tcPr>
            <w:tcW w:w="877"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2.871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w:t>
            </w:r>
          </w:p>
        </w:tc>
        <w:tc>
          <w:tcPr>
            <w:tcW w:w="81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1.000</w:t>
            </w:r>
          </w:p>
        </w:tc>
        <w:tc>
          <w:tcPr>
            <w:tcW w:w="990" w:type="dxa"/>
            <w:tcBorders>
              <w:top w:val="nil"/>
              <w:left w:val="nil"/>
              <w:bottom w:val="nil"/>
              <w:right w:val="single" w:sz="8" w:space="0" w:color="000000"/>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17.6547</w:t>
            </w:r>
          </w:p>
        </w:tc>
      </w:tr>
      <w:tr w:rsidR="005929BA">
        <w:trPr>
          <w:cantSplit/>
          <w:jc w:val="center"/>
        </w:trPr>
        <w:tc>
          <w:tcPr>
            <w:tcW w:w="595" w:type="dxa"/>
            <w:tcBorders>
              <w:top w:val="nil"/>
              <w:left w:val="single" w:sz="18" w:space="0" w:color="000000"/>
              <w:bottom w:val="single" w:sz="18" w:space="0" w:color="000000"/>
              <w:right w:val="nil"/>
            </w:tcBorders>
            <w:shd w:val="clear" w:color="auto" w:fill="FFFFFF"/>
            <w:vAlign w:val="center"/>
          </w:tcPr>
          <w:p w:rsidR="005929BA" w:rsidRDefault="005929BA">
            <w:pPr>
              <w:autoSpaceDE w:val="0"/>
              <w:autoSpaceDN w:val="0"/>
              <w:adjustRightInd w:val="0"/>
              <w:spacing w:after="0" w:line="360" w:lineRule="auto"/>
              <w:jc w:val="both"/>
              <w:rPr>
                <w:rFonts w:ascii="Garamond" w:eastAsia="Calibri" w:hAnsi="Garamond" w:cs="Times New Roman"/>
                <w:color w:val="000000" w:themeColor="text1"/>
              </w:rPr>
            </w:pPr>
          </w:p>
        </w:tc>
        <w:tc>
          <w:tcPr>
            <w:tcW w:w="4265" w:type="dxa"/>
            <w:tcBorders>
              <w:top w:val="nil"/>
              <w:left w:val="nil"/>
              <w:bottom w:val="single" w:sz="18" w:space="0" w:color="000000"/>
              <w:right w:val="single" w:sz="18" w:space="0" w:color="000000"/>
            </w:tcBorders>
            <w:shd w:val="clear" w:color="auto" w:fill="FFFFFF"/>
            <w:vAlign w:val="center"/>
          </w:tcPr>
          <w:p w:rsidR="005929BA" w:rsidRDefault="005929BA">
            <w:pPr>
              <w:autoSpaceDE w:val="0"/>
              <w:autoSpaceDN w:val="0"/>
              <w:adjustRightInd w:val="0"/>
              <w:spacing w:after="0" w:line="360" w:lineRule="auto"/>
              <w:ind w:right="60"/>
              <w:jc w:val="both"/>
              <w:rPr>
                <w:rFonts w:ascii="Garamond" w:eastAsia="Calibri" w:hAnsi="Garamond" w:cs="Times New Roman"/>
                <w:color w:val="000000" w:themeColor="text1"/>
              </w:rPr>
            </w:pPr>
          </w:p>
        </w:tc>
        <w:tc>
          <w:tcPr>
            <w:tcW w:w="877" w:type="dxa"/>
            <w:tcBorders>
              <w:top w:val="nil"/>
              <w:left w:val="nil"/>
              <w:bottom w:val="single" w:sz="18" w:space="0" w:color="000000"/>
              <w:right w:val="single" w:sz="8" w:space="0" w:color="000000"/>
            </w:tcBorders>
            <w:shd w:val="clear" w:color="auto" w:fill="FFFFFF"/>
            <w:vAlign w:val="center"/>
          </w:tcPr>
          <w:p w:rsidR="005929BA" w:rsidRDefault="005929BA">
            <w:pPr>
              <w:autoSpaceDE w:val="0"/>
              <w:autoSpaceDN w:val="0"/>
              <w:adjustRightInd w:val="0"/>
              <w:spacing w:after="0" w:line="360" w:lineRule="auto"/>
              <w:ind w:right="60"/>
              <w:jc w:val="both"/>
              <w:rPr>
                <w:rFonts w:ascii="Garamond" w:eastAsia="Calibri" w:hAnsi="Garamond" w:cs="Times New Roman"/>
                <w:color w:val="000000" w:themeColor="text1"/>
              </w:rPr>
            </w:pPr>
          </w:p>
        </w:tc>
        <w:tc>
          <w:tcPr>
            <w:tcW w:w="810" w:type="dxa"/>
            <w:tcBorders>
              <w:top w:val="nil"/>
              <w:left w:val="nil"/>
              <w:bottom w:val="single" w:sz="18" w:space="0" w:color="000000"/>
              <w:right w:val="single" w:sz="8" w:space="0" w:color="000000"/>
            </w:tcBorders>
            <w:shd w:val="clear" w:color="auto" w:fill="FFFFFF"/>
            <w:vAlign w:val="center"/>
          </w:tcPr>
          <w:p w:rsidR="005929BA" w:rsidRDefault="005929BA">
            <w:pPr>
              <w:autoSpaceDE w:val="0"/>
              <w:autoSpaceDN w:val="0"/>
              <w:adjustRightInd w:val="0"/>
              <w:spacing w:after="0" w:line="360" w:lineRule="auto"/>
              <w:ind w:right="60"/>
              <w:jc w:val="both"/>
              <w:rPr>
                <w:rFonts w:ascii="Garamond" w:eastAsia="Calibri" w:hAnsi="Garamond" w:cs="Times New Roman"/>
                <w:color w:val="000000" w:themeColor="text1"/>
              </w:rPr>
            </w:pPr>
          </w:p>
        </w:tc>
        <w:tc>
          <w:tcPr>
            <w:tcW w:w="810" w:type="dxa"/>
            <w:tcBorders>
              <w:top w:val="nil"/>
              <w:left w:val="nil"/>
              <w:bottom w:val="single" w:sz="18" w:space="0" w:color="000000"/>
              <w:right w:val="single" w:sz="8" w:space="0" w:color="000000"/>
            </w:tcBorders>
            <w:shd w:val="clear" w:color="auto" w:fill="FFFFFF"/>
            <w:vAlign w:val="center"/>
          </w:tcPr>
          <w:p w:rsidR="005929BA" w:rsidRDefault="005929BA">
            <w:pPr>
              <w:autoSpaceDE w:val="0"/>
              <w:autoSpaceDN w:val="0"/>
              <w:adjustRightInd w:val="0"/>
              <w:spacing w:after="0" w:line="360" w:lineRule="auto"/>
              <w:ind w:right="60"/>
              <w:jc w:val="both"/>
              <w:rPr>
                <w:rFonts w:ascii="Garamond" w:eastAsia="Calibri" w:hAnsi="Garamond" w:cs="Times New Roman"/>
                <w:color w:val="000000" w:themeColor="text1"/>
              </w:rPr>
            </w:pPr>
          </w:p>
        </w:tc>
        <w:tc>
          <w:tcPr>
            <w:tcW w:w="990" w:type="dxa"/>
            <w:tcBorders>
              <w:top w:val="nil"/>
              <w:left w:val="nil"/>
              <w:bottom w:val="single" w:sz="18" w:space="0" w:color="000000"/>
              <w:right w:val="single" w:sz="8" w:space="0" w:color="000000"/>
            </w:tcBorders>
            <w:shd w:val="clear" w:color="auto" w:fill="FFFFFF"/>
            <w:vAlign w:val="center"/>
          </w:tcPr>
          <w:p w:rsidR="005929BA" w:rsidRDefault="005929BA">
            <w:pPr>
              <w:autoSpaceDE w:val="0"/>
              <w:autoSpaceDN w:val="0"/>
              <w:adjustRightInd w:val="0"/>
              <w:spacing w:after="0" w:line="360" w:lineRule="auto"/>
              <w:ind w:right="60"/>
              <w:jc w:val="both"/>
              <w:rPr>
                <w:rFonts w:ascii="Garamond" w:eastAsia="Calibri" w:hAnsi="Garamond" w:cs="Times New Roman"/>
                <w:color w:val="000000" w:themeColor="text1"/>
              </w:rPr>
            </w:pPr>
          </w:p>
        </w:tc>
      </w:tr>
    </w:tbl>
    <w:p w:rsidR="005929BA" w:rsidRDefault="000F4415">
      <w:pPr>
        <w:autoSpaceDE w:val="0"/>
        <w:autoSpaceDN w:val="0"/>
        <w:adjustRightInd w:val="0"/>
        <w:spacing w:before="240"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 xml:space="preserve"> </w:t>
      </w:r>
    </w:p>
    <w:p w:rsidR="005929BA" w:rsidRDefault="005929BA">
      <w:pPr>
        <w:pStyle w:val="NormalWeb"/>
        <w:spacing w:before="0" w:beforeAutospacing="0" w:after="0" w:afterAutospacing="0" w:line="360" w:lineRule="auto"/>
        <w:jc w:val="both"/>
        <w:rPr>
          <w:rFonts w:ascii="Garamond" w:hAnsi="Garamond" w:cs="Times New Roman"/>
          <w:color w:val="000000" w:themeColor="text1"/>
        </w:rPr>
      </w:pPr>
    </w:p>
    <w:p w:rsidR="005929BA" w:rsidRDefault="000F4415">
      <w:pPr>
        <w:pStyle w:val="NormalWeb"/>
        <w:spacing w:before="0" w:beforeAutospacing="0" w:after="0" w:afterAutospacing="0" w:line="360" w:lineRule="auto"/>
        <w:jc w:val="both"/>
        <w:rPr>
          <w:rFonts w:ascii="Garamond" w:hAnsi="Garamond" w:cs="Times New Roman"/>
          <w:color w:val="000000" w:themeColor="text1"/>
        </w:rPr>
      </w:pPr>
      <w:r>
        <w:rPr>
          <w:rFonts w:ascii="Garamond" w:hAnsi="Garamond" w:cs="Times New Roman"/>
          <w:color w:val="000000" w:themeColor="text1"/>
        </w:rPr>
        <w:t>According to the model parameter estimates in Table 2, [attitudes and perceptions =1] was found to have a positive and statistically significant influence on sustainability, with an estimate coefficient of 1.544 and an associated p-value of 0.021&lt;0.05. The sign of its beta is positive, indicating that attitudes and perceptions were found to be 4.683 times more likely to influence their farming practices, which in the end determine the sustainability of such practices. In other words, if a respondent agrees compared to disagreeing on attitudes and perceptions, he or she is 4.683 times more likely to agree that attitudes and perceptions have influenced their poor farming practices, which has led to a low extent of application of sustainable farming practices.</w:t>
      </w:r>
    </w:p>
    <w:p w:rsidR="005929BA" w:rsidRDefault="000F4415">
      <w:pPr>
        <w:pStyle w:val="NormalWeb"/>
        <w:spacing w:before="240" w:beforeAutospacing="0" w:after="240" w:afterAutospacing="0" w:line="360" w:lineRule="auto"/>
        <w:jc w:val="both"/>
        <w:rPr>
          <w:rFonts w:ascii="Garamond" w:hAnsi="Garamond" w:cs="Times New Roman"/>
          <w:color w:val="000000" w:themeColor="text1"/>
        </w:rPr>
      </w:pPr>
      <w:r>
        <w:rPr>
          <w:rFonts w:ascii="Garamond" w:hAnsi="Garamond" w:cs="Times New Roman"/>
          <w:color w:val="000000" w:themeColor="text1"/>
        </w:rPr>
        <w:t>These findings therefore confirm those suggested by Table 4.9. Therefore, the study established those attitudes and perceptions in terms of focusing on the perception that the temperatures in the area have been increasing, the weather in the region is currently unpredictable, fodder for livestock is decreasing, there has been an increase in crop diseases and pests, there has been an increase in soil erosion, and there has been an increase in livestock deaths, all of which influence the sustainability of farming practices.</w:t>
      </w:r>
    </w:p>
    <w:p w:rsidR="005929BA" w:rsidRDefault="000F4415">
      <w:pPr>
        <w:spacing w:line="360" w:lineRule="auto"/>
        <w:jc w:val="both"/>
        <w:rPr>
          <w:rFonts w:ascii="Garamond" w:hAnsi="Garamond"/>
          <w:b/>
        </w:rPr>
      </w:pPr>
      <w:r>
        <w:rPr>
          <w:rFonts w:ascii="Garamond" w:hAnsi="Garamond"/>
          <w:b/>
        </w:rPr>
        <w:t>4.8: Model Fitting Statistics</w:t>
      </w:r>
    </w:p>
    <w:p w:rsidR="005929BA" w:rsidRDefault="000F4415">
      <w:pPr>
        <w:spacing w:after="0" w:line="360" w:lineRule="auto"/>
        <w:jc w:val="both"/>
        <w:rPr>
          <w:rFonts w:ascii="Garamond" w:hAnsi="Garamond" w:cs="Times New Roman"/>
          <w:color w:val="000000" w:themeColor="text1"/>
        </w:rPr>
      </w:pPr>
      <w:r>
        <w:rPr>
          <w:rFonts w:ascii="Garamond" w:hAnsi="Garamond" w:cs="Times New Roman"/>
          <w:color w:val="000000" w:themeColor="text1"/>
        </w:rPr>
        <w:t xml:space="preserve">The data was analyzed using a binomial logistic regression model to determine the influence of environmental awareness (indigenous environmental knowledge, levels of education, attitudes and perceptions, and accessibility to information sources) on sustainable farming </w:t>
      </w:r>
      <w:r>
        <w:rPr>
          <w:rFonts w:ascii="Garamond" w:hAnsi="Garamond" w:cs="Times New Roman"/>
          <w:color w:val="000000" w:themeColor="text1"/>
        </w:rPr>
        <w:lastRenderedPageBreak/>
        <w:t xml:space="preserve">practices among the Maasai in Kenya, with a specified location of </w:t>
      </w:r>
      <w:proofErr w:type="spellStart"/>
      <w:r>
        <w:rPr>
          <w:rFonts w:ascii="Garamond" w:hAnsi="Garamond" w:cs="Times New Roman"/>
          <w:color w:val="000000" w:themeColor="text1"/>
        </w:rPr>
        <w:t>Kajiado</w:t>
      </w:r>
      <w:proofErr w:type="spellEnd"/>
      <w:r>
        <w:rPr>
          <w:rFonts w:ascii="Garamond" w:hAnsi="Garamond" w:cs="Times New Roman"/>
          <w:color w:val="000000" w:themeColor="text1"/>
        </w:rPr>
        <w:t xml:space="preserve"> County. The results of the logistic regression model are summarized in </w:t>
      </w:r>
    </w:p>
    <w:p w:rsidR="005929BA" w:rsidRDefault="005929BA">
      <w:pPr>
        <w:spacing w:line="360" w:lineRule="auto"/>
        <w:rPr>
          <w:rFonts w:ascii="Garamond" w:hAnsi="Garamond" w:cs="Times New Roman"/>
          <w:color w:val="000000" w:themeColor="text1"/>
        </w:rPr>
      </w:pPr>
    </w:p>
    <w:tbl>
      <w:tblPr>
        <w:tblpPr w:leftFromText="180" w:rightFromText="180" w:vertAnchor="text" w:horzAnchor="margin" w:tblpY="437"/>
        <w:tblW w:w="8730" w:type="dxa"/>
        <w:tblBorders>
          <w:top w:val="single" w:sz="4" w:space="0" w:color="auto"/>
          <w:bottom w:val="single" w:sz="4"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2160"/>
        <w:gridCol w:w="2430"/>
        <w:gridCol w:w="1800"/>
        <w:gridCol w:w="1260"/>
      </w:tblGrid>
      <w:tr w:rsidR="005929BA">
        <w:trPr>
          <w:cantSplit/>
          <w:trHeight w:val="444"/>
        </w:trPr>
        <w:tc>
          <w:tcPr>
            <w:tcW w:w="3240" w:type="dxa"/>
            <w:gridSpan w:val="2"/>
            <w:tcBorders>
              <w:top w:val="single" w:sz="4" w:space="0" w:color="auto"/>
              <w:left w:val="nil"/>
              <w:bottom w:val="single" w:sz="4" w:space="0" w:color="auto"/>
              <w:right w:val="nil"/>
            </w:tcBorders>
            <w:shd w:val="clear" w:color="auto" w:fill="FFFFFF"/>
          </w:tcPr>
          <w:p w:rsidR="005929BA" w:rsidRDefault="005929BA">
            <w:pPr>
              <w:spacing w:after="0" w:line="360" w:lineRule="auto"/>
              <w:jc w:val="both"/>
              <w:rPr>
                <w:rFonts w:ascii="Garamond" w:eastAsia="Calibri" w:hAnsi="Garamond" w:cs="Times New Roman"/>
                <w:color w:val="000000" w:themeColor="text1"/>
              </w:rPr>
            </w:pPr>
            <w:bookmarkStart w:id="6" w:name="_Toc160344282"/>
          </w:p>
        </w:tc>
        <w:tc>
          <w:tcPr>
            <w:tcW w:w="2430" w:type="dxa"/>
            <w:tcBorders>
              <w:top w:val="single" w:sz="4" w:space="0" w:color="auto"/>
              <w:left w:val="nil"/>
              <w:bottom w:val="single" w:sz="4" w:space="0" w:color="auto"/>
              <w:right w:val="nil"/>
            </w:tcBorders>
            <w:shd w:val="clear" w:color="auto" w:fill="FFFFFF"/>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Chi-square</w:t>
            </w:r>
          </w:p>
        </w:tc>
        <w:tc>
          <w:tcPr>
            <w:tcW w:w="1800" w:type="dxa"/>
            <w:tcBorders>
              <w:top w:val="single" w:sz="4" w:space="0" w:color="auto"/>
              <w:left w:val="nil"/>
              <w:bottom w:val="single" w:sz="4" w:space="0" w:color="auto"/>
              <w:right w:val="nil"/>
            </w:tcBorders>
            <w:shd w:val="clear" w:color="auto" w:fill="FFFFFF"/>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df</w:t>
            </w:r>
          </w:p>
        </w:tc>
        <w:tc>
          <w:tcPr>
            <w:tcW w:w="1260" w:type="dxa"/>
            <w:tcBorders>
              <w:top w:val="single" w:sz="4" w:space="0" w:color="auto"/>
              <w:left w:val="nil"/>
              <w:bottom w:val="single" w:sz="4" w:space="0" w:color="auto"/>
              <w:right w:val="nil"/>
            </w:tcBorders>
            <w:shd w:val="clear" w:color="auto" w:fill="FFFFFF"/>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Sig.</w:t>
            </w:r>
          </w:p>
        </w:tc>
      </w:tr>
      <w:tr w:rsidR="005929BA">
        <w:trPr>
          <w:cantSplit/>
        </w:trPr>
        <w:tc>
          <w:tcPr>
            <w:tcW w:w="1080" w:type="dxa"/>
            <w:vMerge w:val="restart"/>
            <w:tcBorders>
              <w:top w:val="nil"/>
              <w:left w:val="nil"/>
              <w:bottom w:val="nil"/>
              <w:right w:val="nil"/>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Step 1</w:t>
            </w:r>
          </w:p>
        </w:tc>
        <w:tc>
          <w:tcPr>
            <w:tcW w:w="2160" w:type="dxa"/>
            <w:tcBorders>
              <w:top w:val="single" w:sz="4" w:space="0" w:color="auto"/>
              <w:left w:val="nil"/>
              <w:bottom w:val="nil"/>
              <w:right w:val="nil"/>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Step</w:t>
            </w:r>
          </w:p>
        </w:tc>
        <w:tc>
          <w:tcPr>
            <w:tcW w:w="2430" w:type="dxa"/>
            <w:tcBorders>
              <w:top w:val="single" w:sz="4" w:space="0" w:color="auto"/>
              <w:left w:val="nil"/>
              <w:bottom w:val="nil"/>
              <w:right w:val="nil"/>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23.014</w:t>
            </w:r>
          </w:p>
        </w:tc>
        <w:tc>
          <w:tcPr>
            <w:tcW w:w="1800" w:type="dxa"/>
            <w:tcBorders>
              <w:top w:val="single" w:sz="4" w:space="0" w:color="auto"/>
              <w:left w:val="nil"/>
              <w:bottom w:val="nil"/>
              <w:right w:val="nil"/>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13</w:t>
            </w:r>
          </w:p>
        </w:tc>
        <w:tc>
          <w:tcPr>
            <w:tcW w:w="1260" w:type="dxa"/>
            <w:tcBorders>
              <w:top w:val="single" w:sz="4" w:space="0" w:color="auto"/>
              <w:left w:val="nil"/>
              <w:bottom w:val="nil"/>
              <w:right w:val="nil"/>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0.021</w:t>
            </w:r>
          </w:p>
        </w:tc>
      </w:tr>
      <w:tr w:rsidR="005929BA">
        <w:trPr>
          <w:cantSplit/>
        </w:trPr>
        <w:tc>
          <w:tcPr>
            <w:tcW w:w="1080" w:type="dxa"/>
            <w:vMerge/>
            <w:tcBorders>
              <w:top w:val="nil"/>
              <w:left w:val="nil"/>
              <w:bottom w:val="nil"/>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2160" w:type="dxa"/>
            <w:tcBorders>
              <w:top w:val="nil"/>
              <w:left w:val="nil"/>
              <w:bottom w:val="nil"/>
              <w:right w:val="nil"/>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Block</w:t>
            </w:r>
          </w:p>
        </w:tc>
        <w:tc>
          <w:tcPr>
            <w:tcW w:w="2430" w:type="dxa"/>
            <w:tcBorders>
              <w:top w:val="nil"/>
              <w:left w:val="nil"/>
              <w:bottom w:val="nil"/>
              <w:right w:val="nil"/>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23.014</w:t>
            </w:r>
          </w:p>
        </w:tc>
        <w:tc>
          <w:tcPr>
            <w:tcW w:w="1800" w:type="dxa"/>
            <w:tcBorders>
              <w:top w:val="nil"/>
              <w:left w:val="nil"/>
              <w:bottom w:val="nil"/>
              <w:right w:val="nil"/>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13</w:t>
            </w:r>
          </w:p>
        </w:tc>
        <w:tc>
          <w:tcPr>
            <w:tcW w:w="1260" w:type="dxa"/>
            <w:tcBorders>
              <w:top w:val="nil"/>
              <w:left w:val="nil"/>
              <w:bottom w:val="nil"/>
              <w:right w:val="nil"/>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color w:val="000000" w:themeColor="text1"/>
              </w:rPr>
            </w:pPr>
            <w:r>
              <w:rPr>
                <w:rFonts w:ascii="Garamond" w:eastAsia="Calibri" w:hAnsi="Garamond" w:cs="Times New Roman"/>
                <w:color w:val="000000" w:themeColor="text1"/>
              </w:rPr>
              <w:t>0.021</w:t>
            </w:r>
          </w:p>
        </w:tc>
      </w:tr>
      <w:tr w:rsidR="005929BA">
        <w:trPr>
          <w:cantSplit/>
        </w:trPr>
        <w:tc>
          <w:tcPr>
            <w:tcW w:w="1080" w:type="dxa"/>
            <w:vMerge/>
            <w:tcBorders>
              <w:top w:val="nil"/>
              <w:left w:val="nil"/>
              <w:bottom w:val="single" w:sz="4" w:space="0" w:color="auto"/>
              <w:right w:val="nil"/>
            </w:tcBorders>
            <w:vAlign w:val="center"/>
          </w:tcPr>
          <w:p w:rsidR="005929BA" w:rsidRDefault="005929BA">
            <w:pPr>
              <w:spacing w:after="0" w:line="360" w:lineRule="auto"/>
              <w:jc w:val="both"/>
              <w:rPr>
                <w:rFonts w:ascii="Garamond" w:eastAsia="Calibri" w:hAnsi="Garamond" w:cs="Times New Roman"/>
                <w:color w:val="000000" w:themeColor="text1"/>
              </w:rPr>
            </w:pPr>
          </w:p>
        </w:tc>
        <w:tc>
          <w:tcPr>
            <w:tcW w:w="2160" w:type="dxa"/>
            <w:tcBorders>
              <w:top w:val="nil"/>
              <w:left w:val="nil"/>
              <w:bottom w:val="single" w:sz="4" w:space="0" w:color="auto"/>
              <w:right w:val="nil"/>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Model</w:t>
            </w:r>
          </w:p>
        </w:tc>
        <w:tc>
          <w:tcPr>
            <w:tcW w:w="2430" w:type="dxa"/>
            <w:tcBorders>
              <w:top w:val="nil"/>
              <w:left w:val="nil"/>
              <w:bottom w:val="single" w:sz="4" w:space="0" w:color="auto"/>
              <w:right w:val="nil"/>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23.014</w:t>
            </w:r>
          </w:p>
        </w:tc>
        <w:tc>
          <w:tcPr>
            <w:tcW w:w="1800" w:type="dxa"/>
            <w:tcBorders>
              <w:top w:val="nil"/>
              <w:left w:val="nil"/>
              <w:bottom w:val="single" w:sz="4" w:space="0" w:color="auto"/>
              <w:right w:val="nil"/>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13</w:t>
            </w:r>
          </w:p>
        </w:tc>
        <w:tc>
          <w:tcPr>
            <w:tcW w:w="1260" w:type="dxa"/>
            <w:tcBorders>
              <w:top w:val="nil"/>
              <w:left w:val="nil"/>
              <w:bottom w:val="single" w:sz="4" w:space="0" w:color="auto"/>
              <w:right w:val="nil"/>
            </w:tcBorders>
            <w:shd w:val="clear" w:color="auto" w:fill="FFFFFF"/>
            <w:vAlign w:val="center"/>
          </w:tcPr>
          <w:p w:rsidR="005929BA" w:rsidRDefault="000F4415">
            <w:pPr>
              <w:autoSpaceDE w:val="0"/>
              <w:autoSpaceDN w:val="0"/>
              <w:adjustRightInd w:val="0"/>
              <w:spacing w:after="0" w:line="360" w:lineRule="auto"/>
              <w:ind w:right="60"/>
              <w:jc w:val="both"/>
              <w:rPr>
                <w:rFonts w:ascii="Garamond" w:eastAsia="Calibri" w:hAnsi="Garamond" w:cs="Times New Roman"/>
                <w:b/>
                <w:color w:val="000000" w:themeColor="text1"/>
              </w:rPr>
            </w:pPr>
            <w:r>
              <w:rPr>
                <w:rFonts w:ascii="Garamond" w:eastAsia="Calibri" w:hAnsi="Garamond" w:cs="Times New Roman"/>
                <w:b/>
                <w:color w:val="000000" w:themeColor="text1"/>
              </w:rPr>
              <w:t>0.021</w:t>
            </w:r>
          </w:p>
        </w:tc>
      </w:tr>
    </w:tbl>
    <w:p w:rsidR="005929BA" w:rsidRDefault="000F4415">
      <w:pPr>
        <w:spacing w:line="360" w:lineRule="auto"/>
        <w:rPr>
          <w:rFonts w:ascii="Garamond" w:hAnsi="Garamond" w:cs="Times New Roman"/>
          <w:b/>
        </w:rPr>
      </w:pPr>
      <w:r>
        <w:rPr>
          <w:rFonts w:ascii="Garamond" w:hAnsi="Garamond" w:cs="Times New Roman"/>
          <w:b/>
        </w:rPr>
        <w:t>Table 3. Model Significance Test</w:t>
      </w:r>
      <w:bookmarkEnd w:id="6"/>
    </w:p>
    <w:p w:rsidR="005929BA" w:rsidRDefault="000F4415">
      <w:pPr>
        <w:spacing w:before="240" w:after="0" w:line="360" w:lineRule="auto"/>
        <w:jc w:val="both"/>
        <w:rPr>
          <w:rFonts w:ascii="Garamond" w:hAnsi="Garamond" w:cs="Times New Roman"/>
          <w:color w:val="000000" w:themeColor="text1"/>
        </w:rPr>
      </w:pPr>
      <w:r>
        <w:rPr>
          <w:rFonts w:ascii="Garamond" w:hAnsi="Garamond" w:cs="Times New Roman"/>
          <w:color w:val="000000" w:themeColor="text1"/>
        </w:rPr>
        <w:t xml:space="preserve">The Results in Table 3 point out that the model has a chi-square value of 23.014 with a </w:t>
      </w:r>
      <w:r>
        <w:rPr>
          <w:rFonts w:ascii="Garamond" w:hAnsi="Garamond" w:cs="Times New Roman"/>
          <w:i/>
          <w:iCs/>
          <w:color w:val="000000" w:themeColor="text1"/>
        </w:rPr>
        <w:t>p-value</w:t>
      </w:r>
      <w:r>
        <w:rPr>
          <w:rFonts w:ascii="Garamond" w:hAnsi="Garamond" w:cs="Times New Roman"/>
          <w:color w:val="000000" w:themeColor="text1"/>
        </w:rPr>
        <w:t xml:space="preserve"> of 0.021. This suggests that the predictor variables (environmental awareness) can statistically and significantly predict the response variable (sustainability) much better than the intercept alone. For that reason, the study recognized that environmental awareness influences sustainable farming practices among </w:t>
      </w:r>
      <w:proofErr w:type="spellStart"/>
      <w:r>
        <w:rPr>
          <w:rFonts w:ascii="Garamond" w:hAnsi="Garamond" w:cs="Times New Roman"/>
          <w:color w:val="000000" w:themeColor="text1"/>
        </w:rPr>
        <w:t>Masaai</w:t>
      </w:r>
      <w:proofErr w:type="spellEnd"/>
      <w:r>
        <w:rPr>
          <w:rFonts w:ascii="Garamond" w:hAnsi="Garamond" w:cs="Times New Roman"/>
          <w:color w:val="000000" w:themeColor="text1"/>
        </w:rPr>
        <w:t xml:space="preserve"> in </w:t>
      </w:r>
      <w:proofErr w:type="spellStart"/>
      <w:r>
        <w:rPr>
          <w:rFonts w:ascii="Garamond" w:hAnsi="Garamond" w:cs="Times New Roman"/>
          <w:color w:val="000000" w:themeColor="text1"/>
        </w:rPr>
        <w:t>Kajiado</w:t>
      </w:r>
      <w:proofErr w:type="spellEnd"/>
      <w:r>
        <w:rPr>
          <w:rFonts w:ascii="Garamond" w:hAnsi="Garamond" w:cs="Times New Roman"/>
          <w:color w:val="000000" w:themeColor="text1"/>
        </w:rPr>
        <w:t xml:space="preserve"> County. The researcher additionally performed the </w:t>
      </w:r>
      <w:proofErr w:type="spellStart"/>
      <w:r>
        <w:rPr>
          <w:rFonts w:ascii="Garamond" w:hAnsi="Garamond" w:cs="Times New Roman"/>
          <w:color w:val="000000" w:themeColor="text1"/>
        </w:rPr>
        <w:t>Nagelkerke</w:t>
      </w:r>
      <w:proofErr w:type="spellEnd"/>
      <w:r>
        <w:rPr>
          <w:rFonts w:ascii="Garamond" w:hAnsi="Garamond" w:cs="Times New Roman"/>
          <w:color w:val="000000" w:themeColor="text1"/>
        </w:rPr>
        <w:t xml:space="preserve"> (</w:t>
      </w:r>
      <w:r>
        <w:rPr>
          <w:rFonts w:ascii="Garamond" w:hAnsi="Garamond" w:cs="Times New Roman"/>
          <w:i/>
          <w:iCs/>
          <w:color w:val="000000" w:themeColor="text1"/>
        </w:rPr>
        <w:t>R</w:t>
      </w:r>
      <w:r>
        <w:rPr>
          <w:rFonts w:ascii="Garamond" w:hAnsi="Garamond" w:cs="Times New Roman"/>
          <w:i/>
          <w:iCs/>
          <w:color w:val="000000" w:themeColor="text1"/>
          <w:vertAlign w:val="superscript"/>
        </w:rPr>
        <w:t>2</w:t>
      </w:r>
      <w:r>
        <w:rPr>
          <w:rFonts w:ascii="Garamond" w:hAnsi="Garamond" w:cs="Times New Roman"/>
          <w:color w:val="000000" w:themeColor="text1"/>
        </w:rPr>
        <w:t>) test to determine the actual influence of environmental awareness on sustainability.</w:t>
      </w:r>
    </w:p>
    <w:p w:rsidR="005929BA" w:rsidRDefault="000F4415">
      <w:pPr>
        <w:spacing w:line="360" w:lineRule="auto"/>
        <w:rPr>
          <w:rFonts w:ascii="Garamond" w:hAnsi="Garamond" w:cs="Times New Roman"/>
          <w:b/>
        </w:rPr>
      </w:pPr>
      <w:bookmarkStart w:id="7" w:name="_Toc160344283"/>
      <w:r>
        <w:rPr>
          <w:rFonts w:ascii="Garamond" w:hAnsi="Garamond" w:cs="Times New Roman"/>
          <w:b/>
        </w:rPr>
        <w:t>Table 4. Model Summary</w:t>
      </w:r>
      <w:bookmarkEnd w:id="7"/>
    </w:p>
    <w:tbl>
      <w:tblPr>
        <w:tblW w:w="8156" w:type="dxa"/>
        <w:tblInd w:w="90" w:type="dxa"/>
        <w:tblBorders>
          <w:top w:val="single" w:sz="4" w:space="0" w:color="auto"/>
          <w:bottom w:val="single" w:sz="4"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491"/>
        <w:gridCol w:w="2715"/>
        <w:gridCol w:w="2790"/>
        <w:gridCol w:w="2160"/>
      </w:tblGrid>
      <w:tr w:rsidR="005929BA">
        <w:trPr>
          <w:cantSplit/>
          <w:trHeight w:val="327"/>
        </w:trPr>
        <w:tc>
          <w:tcPr>
            <w:tcW w:w="491" w:type="dxa"/>
            <w:tcBorders>
              <w:top w:val="single" w:sz="4" w:space="0" w:color="auto"/>
              <w:left w:val="nil"/>
              <w:bottom w:val="single" w:sz="4" w:space="0" w:color="auto"/>
              <w:right w:val="nil"/>
            </w:tcBorders>
            <w:shd w:val="clear" w:color="auto" w:fill="FFFFFF"/>
          </w:tcPr>
          <w:p w:rsidR="005929BA" w:rsidRDefault="000F4415">
            <w:pPr>
              <w:autoSpaceDE w:val="0"/>
              <w:autoSpaceDN w:val="0"/>
              <w:adjustRightInd w:val="0"/>
              <w:spacing w:before="240"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Step</w:t>
            </w:r>
          </w:p>
        </w:tc>
        <w:tc>
          <w:tcPr>
            <w:tcW w:w="2715" w:type="dxa"/>
            <w:tcBorders>
              <w:top w:val="single" w:sz="4" w:space="0" w:color="auto"/>
              <w:left w:val="nil"/>
              <w:bottom w:val="single" w:sz="4" w:space="0" w:color="auto"/>
              <w:right w:val="nil"/>
            </w:tcBorders>
            <w:shd w:val="clear" w:color="auto" w:fill="FFFFFF"/>
          </w:tcPr>
          <w:p w:rsidR="005929BA" w:rsidRDefault="000F4415">
            <w:pPr>
              <w:autoSpaceDE w:val="0"/>
              <w:autoSpaceDN w:val="0"/>
              <w:adjustRightInd w:val="0"/>
              <w:spacing w:before="240"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 Log likelihood</w:t>
            </w:r>
          </w:p>
        </w:tc>
        <w:tc>
          <w:tcPr>
            <w:tcW w:w="2790" w:type="dxa"/>
            <w:tcBorders>
              <w:top w:val="single" w:sz="4" w:space="0" w:color="auto"/>
              <w:left w:val="nil"/>
              <w:bottom w:val="single" w:sz="4" w:space="0" w:color="auto"/>
              <w:right w:val="nil"/>
            </w:tcBorders>
            <w:shd w:val="clear" w:color="auto" w:fill="FFFFFF"/>
          </w:tcPr>
          <w:p w:rsidR="005929BA" w:rsidRDefault="000F4415">
            <w:pPr>
              <w:autoSpaceDE w:val="0"/>
              <w:autoSpaceDN w:val="0"/>
              <w:adjustRightInd w:val="0"/>
              <w:spacing w:before="240"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Cox &amp; Snell R Square</w:t>
            </w:r>
          </w:p>
        </w:tc>
        <w:tc>
          <w:tcPr>
            <w:tcW w:w="2160" w:type="dxa"/>
            <w:tcBorders>
              <w:top w:val="single" w:sz="4" w:space="0" w:color="auto"/>
              <w:left w:val="nil"/>
              <w:bottom w:val="single" w:sz="4" w:space="0" w:color="auto"/>
              <w:right w:val="nil"/>
            </w:tcBorders>
            <w:shd w:val="clear" w:color="auto" w:fill="FFFFFF"/>
          </w:tcPr>
          <w:p w:rsidR="005929BA" w:rsidRDefault="000F4415">
            <w:pPr>
              <w:autoSpaceDE w:val="0"/>
              <w:autoSpaceDN w:val="0"/>
              <w:adjustRightInd w:val="0"/>
              <w:spacing w:before="240" w:after="0" w:line="360" w:lineRule="auto"/>
              <w:jc w:val="both"/>
              <w:rPr>
                <w:rFonts w:ascii="Garamond" w:eastAsia="Calibri" w:hAnsi="Garamond" w:cs="Times New Roman"/>
                <w:color w:val="000000" w:themeColor="text1"/>
              </w:rPr>
            </w:pPr>
            <w:proofErr w:type="spellStart"/>
            <w:r>
              <w:rPr>
                <w:rFonts w:ascii="Garamond" w:eastAsia="Calibri" w:hAnsi="Garamond" w:cs="Times New Roman"/>
                <w:color w:val="000000" w:themeColor="text1"/>
              </w:rPr>
              <w:t>Nagelkerke</w:t>
            </w:r>
            <w:proofErr w:type="spellEnd"/>
            <w:r>
              <w:rPr>
                <w:rFonts w:ascii="Garamond" w:eastAsia="Calibri" w:hAnsi="Garamond" w:cs="Times New Roman"/>
                <w:color w:val="000000" w:themeColor="text1"/>
              </w:rPr>
              <w:t xml:space="preserve"> R Square</w:t>
            </w:r>
          </w:p>
        </w:tc>
      </w:tr>
      <w:tr w:rsidR="005929BA">
        <w:trPr>
          <w:cantSplit/>
          <w:trHeight w:val="327"/>
        </w:trPr>
        <w:tc>
          <w:tcPr>
            <w:tcW w:w="491" w:type="dxa"/>
            <w:tcBorders>
              <w:top w:val="single" w:sz="4" w:space="0" w:color="auto"/>
              <w:left w:val="nil"/>
              <w:bottom w:val="single" w:sz="4" w:space="0" w:color="auto"/>
              <w:right w:val="nil"/>
            </w:tcBorders>
            <w:shd w:val="clear" w:color="auto" w:fill="FFFFFF"/>
            <w:vAlign w:val="center"/>
          </w:tcPr>
          <w:p w:rsidR="005929BA" w:rsidRDefault="000F4415">
            <w:pPr>
              <w:autoSpaceDE w:val="0"/>
              <w:autoSpaceDN w:val="0"/>
              <w:adjustRightInd w:val="0"/>
              <w:spacing w:before="240"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w:t>
            </w:r>
          </w:p>
        </w:tc>
        <w:tc>
          <w:tcPr>
            <w:tcW w:w="2715" w:type="dxa"/>
            <w:tcBorders>
              <w:top w:val="single" w:sz="4" w:space="0" w:color="auto"/>
              <w:left w:val="nil"/>
              <w:bottom w:val="single" w:sz="4" w:space="0" w:color="auto"/>
              <w:right w:val="nil"/>
            </w:tcBorders>
            <w:shd w:val="clear" w:color="auto" w:fill="FFFFFF"/>
            <w:vAlign w:val="center"/>
          </w:tcPr>
          <w:p w:rsidR="005929BA" w:rsidRDefault="000F4415">
            <w:pPr>
              <w:autoSpaceDE w:val="0"/>
              <w:autoSpaceDN w:val="0"/>
              <w:adjustRightInd w:val="0"/>
              <w:spacing w:before="240"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25.571</w:t>
            </w:r>
            <w:r>
              <w:rPr>
                <w:rFonts w:ascii="Garamond" w:eastAsia="Calibri" w:hAnsi="Garamond" w:cs="Times New Roman"/>
                <w:color w:val="000000" w:themeColor="text1"/>
                <w:vertAlign w:val="superscript"/>
              </w:rPr>
              <w:t>a</w:t>
            </w:r>
          </w:p>
        </w:tc>
        <w:tc>
          <w:tcPr>
            <w:tcW w:w="2790" w:type="dxa"/>
            <w:tcBorders>
              <w:top w:val="single" w:sz="4" w:space="0" w:color="auto"/>
              <w:left w:val="nil"/>
              <w:bottom w:val="single" w:sz="4" w:space="0" w:color="auto"/>
              <w:right w:val="nil"/>
            </w:tcBorders>
            <w:shd w:val="clear" w:color="auto" w:fill="FFFFFF"/>
            <w:vAlign w:val="center"/>
          </w:tcPr>
          <w:p w:rsidR="005929BA" w:rsidRDefault="000F4415">
            <w:pPr>
              <w:autoSpaceDE w:val="0"/>
              <w:autoSpaceDN w:val="0"/>
              <w:adjustRightInd w:val="0"/>
              <w:spacing w:before="240"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0.339</w:t>
            </w:r>
          </w:p>
        </w:tc>
        <w:tc>
          <w:tcPr>
            <w:tcW w:w="2160" w:type="dxa"/>
            <w:tcBorders>
              <w:top w:val="single" w:sz="4" w:space="0" w:color="auto"/>
              <w:left w:val="nil"/>
              <w:bottom w:val="single" w:sz="4" w:space="0" w:color="auto"/>
              <w:right w:val="nil"/>
            </w:tcBorders>
            <w:shd w:val="clear" w:color="auto" w:fill="FFFFFF"/>
            <w:vAlign w:val="center"/>
          </w:tcPr>
          <w:p w:rsidR="005929BA" w:rsidRDefault="000F4415">
            <w:pPr>
              <w:autoSpaceDE w:val="0"/>
              <w:autoSpaceDN w:val="0"/>
              <w:adjustRightInd w:val="0"/>
              <w:spacing w:before="240"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0.607</w:t>
            </w:r>
          </w:p>
        </w:tc>
      </w:tr>
    </w:tbl>
    <w:p w:rsidR="005929BA" w:rsidRDefault="000F4415">
      <w:pPr>
        <w:pStyle w:val="NormalWeb"/>
        <w:spacing w:before="240" w:beforeAutospacing="0" w:after="0" w:afterAutospacing="0" w:line="360" w:lineRule="auto"/>
        <w:jc w:val="both"/>
        <w:rPr>
          <w:rFonts w:ascii="Garamond" w:hAnsi="Garamond" w:cs="Times New Roman"/>
          <w:color w:val="000000" w:themeColor="text1"/>
        </w:rPr>
      </w:pPr>
      <w:r>
        <w:rPr>
          <w:rFonts w:ascii="Garamond" w:hAnsi="Garamond" w:cs="Times New Roman"/>
          <w:color w:val="000000" w:themeColor="text1"/>
        </w:rPr>
        <w:t xml:space="preserve">As indicated in Table 4, a value of 0.607 was obtained. This confirms the results in Table 4, signifying that the four predictor variables statistically and significantly predict sustainable farming practices. Indigenous environmental knowledge, levels of education, attitudes and perceptions, and accessibility to information sources account for up to 60.7% of the variance in sustainable farming practices among </w:t>
      </w:r>
      <w:proofErr w:type="spellStart"/>
      <w:r>
        <w:rPr>
          <w:rFonts w:ascii="Garamond" w:hAnsi="Garamond" w:cs="Times New Roman"/>
          <w:color w:val="000000" w:themeColor="text1"/>
        </w:rPr>
        <w:t>Masaai</w:t>
      </w:r>
      <w:proofErr w:type="spellEnd"/>
      <w:r>
        <w:rPr>
          <w:rFonts w:ascii="Garamond" w:hAnsi="Garamond" w:cs="Times New Roman"/>
          <w:color w:val="000000" w:themeColor="text1"/>
        </w:rPr>
        <w:t xml:space="preserve"> in </w:t>
      </w:r>
      <w:proofErr w:type="spellStart"/>
      <w:r>
        <w:rPr>
          <w:rFonts w:ascii="Garamond" w:hAnsi="Garamond" w:cs="Times New Roman"/>
          <w:color w:val="000000" w:themeColor="text1"/>
        </w:rPr>
        <w:t>Kajiado</w:t>
      </w:r>
      <w:proofErr w:type="spellEnd"/>
      <w:r>
        <w:rPr>
          <w:rFonts w:ascii="Garamond" w:hAnsi="Garamond" w:cs="Times New Roman"/>
          <w:color w:val="000000" w:themeColor="text1"/>
        </w:rPr>
        <w:t xml:space="preserve"> County. This means that the Maasai pastoral farmers can improve the sustainability of farming by up to 60.7% by implementing Indigenous environmental knowledge, levels of education, attitudes and perceptions, and accessibility to information sources, other factors notwithstanding.</w:t>
      </w:r>
    </w:p>
    <w:p w:rsidR="005929BA" w:rsidRDefault="000F4415">
      <w:pPr>
        <w:spacing w:line="360" w:lineRule="auto"/>
        <w:jc w:val="both"/>
        <w:rPr>
          <w:rFonts w:ascii="Garamond" w:hAnsi="Garamond"/>
          <w:b/>
        </w:rPr>
      </w:pPr>
      <w:r>
        <w:rPr>
          <w:rFonts w:ascii="Garamond" w:hAnsi="Garamond"/>
          <w:b/>
        </w:rPr>
        <w:t>4.9: Attitudes and perceptions</w:t>
      </w:r>
    </w:p>
    <w:p w:rsidR="005929BA" w:rsidRDefault="000F4415">
      <w:pPr>
        <w:pStyle w:val="NormalWeb"/>
        <w:spacing w:before="0" w:beforeAutospacing="0" w:after="0" w:afterAutospacing="0" w:line="360" w:lineRule="auto"/>
        <w:jc w:val="both"/>
        <w:rPr>
          <w:rFonts w:ascii="Garamond" w:hAnsi="Garamond" w:cs="Times New Roman"/>
          <w:color w:val="000000" w:themeColor="text1"/>
        </w:rPr>
      </w:pPr>
      <w:r>
        <w:rPr>
          <w:rFonts w:ascii="Garamond" w:hAnsi="Garamond" w:cs="Times New Roman"/>
          <w:color w:val="000000" w:themeColor="text1"/>
        </w:rPr>
        <w:lastRenderedPageBreak/>
        <w:t>The third objective of the study was to determine the influence of attitudes and perceptions on the sustainability of farming practices. Attitudes and perceptions were defined in terms of focusing on the perception that the temperatures in the area have been increasing, the weather in the region is currently unpredictable, fodder for livestock is decreasing, crop diseases and pests are increasing, soil erosion is increasing, and livestock deaths are increasing.</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bookmarkStart w:id="8" w:name="_Toc160344279"/>
      <w:r>
        <w:rPr>
          <w:rFonts w:ascii="Garamond" w:eastAsia="Times New Roman" w:hAnsi="Garamond" w:cs="Times New Roman"/>
          <w:kern w:val="0"/>
          <w14:ligatures w14:val="none"/>
        </w:rPr>
        <w:t xml:space="preserve">To achieve this objective, respondents were asked to indicate their level of agreement or disagreement with statements related to attitudes and perceptions using a five-point Likert scale ranging from strongly agree (5) to strongly disagree (1). The items captured key indicators such as perceptions of climate change, environmental degradation, and the importance of sustainable farming practices. These responses were then compared with corresponding responses on the sustainability of farming practices to determine the extent to which attitudes and perceptions influence actual behavior. The analysis was guided by the research question: </w:t>
      </w:r>
      <w:r>
        <w:rPr>
          <w:rFonts w:ascii="Garamond" w:eastAsia="Times New Roman" w:hAnsi="Garamond" w:cs="Times New Roman"/>
          <w:i/>
          <w:iCs/>
          <w:kern w:val="0"/>
          <w14:ligatures w14:val="none"/>
        </w:rPr>
        <w:t>“What is the influence of attitudes and perceptions on the sustainability of farming practices?”</w:t>
      </w:r>
      <w:r>
        <w:rPr>
          <w:rFonts w:ascii="Garamond" w:eastAsia="Times New Roman" w:hAnsi="Garamond" w:cs="Times New Roman"/>
          <w:kern w:val="0"/>
          <w14:ligatures w14:val="none"/>
        </w:rPr>
        <w:t xml:space="preserve"> and the findings were summarized in Table 5.</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The results revealed a generally neutral trend, indicating that although respondents expressed awareness and concern about environmental and agricultural challenges, this did not consistently translate into strong adoption of sustainable practices. Many respondents tended to cluster around the “agree” and “undecided” categories, suggesting moderate attitudes rather than strongly held convictions. This implies that while farmers recognize issues such as increasing temperatures, unpredictable weather, soil erosion, and declining productivity, their perceptions alone are not sufficient to drive decisive behavioral change. The neutrality of responses may also reflect uncertainty, limited knowledge depth, or lack of confidence in the effectiveness of sustainable farming practices.</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Furthermore, the comparison between attitudes/perceptions and sustainability outcomes suggests a weak to moderate relationship, where positive attitudes do not always result in corresponding sustainable actions. This may be due to intervening constraints such as limited financial resources, inadequate access to inputs, or insufficient technical support. In some cases, farmers may agree with the importance of sustainable practices in principle but face practical challenges that hinder implementation. This highlights the existence of a “perception–action gap,” where awareness does not automatically lead to practice.</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lastRenderedPageBreak/>
        <w:t>Additionally, cultural factors and traditional farming practices among the Maasai community may influence how attitudes are formed and translated into action. Some traditional practices may align with sustainability, while others may limit the adoption of new approaches. The neutral findings therefore suggest that attitudes and perceptions, although important, are not the sole drivers of sustainability and must be supported by enabling conditions such as training, extension services, and access to resources.</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Overall, the results indicate that improving attitudes and perceptions alone is not enough; there is a need for integrated interventions that combine awareness creation with practical support. Strengthening education, enhancing access to relevant and actionable information, and addressing socioeconomic barriers will be essential in bridging the gap between perception and actual adoption of sustainable farming practices.</w:t>
      </w:r>
    </w:p>
    <w:p w:rsidR="005929BA" w:rsidRDefault="000F4415">
      <w:pPr>
        <w:pStyle w:val="Caption"/>
        <w:spacing w:line="360" w:lineRule="auto"/>
        <w:jc w:val="both"/>
        <w:rPr>
          <w:rFonts w:ascii="Garamond" w:hAnsi="Garamond"/>
          <w:b/>
          <w:i w:val="0"/>
          <w:color w:val="000000" w:themeColor="text1"/>
          <w:sz w:val="24"/>
          <w:szCs w:val="24"/>
        </w:rPr>
      </w:pPr>
      <w:r>
        <w:rPr>
          <w:rFonts w:ascii="Garamond" w:hAnsi="Garamond"/>
          <w:b/>
          <w:i w:val="0"/>
          <w:color w:val="000000" w:themeColor="text1"/>
          <w:sz w:val="24"/>
          <w:szCs w:val="24"/>
        </w:rPr>
        <w:t>Table 5. Attitudes and Perceptions</w:t>
      </w:r>
      <w:bookmarkEnd w:id="8"/>
    </w:p>
    <w:tbl>
      <w:tblPr>
        <w:tblW w:w="8527" w:type="dxa"/>
        <w:jc w:val="center"/>
        <w:tblBorders>
          <w:top w:val="single" w:sz="4" w:space="0" w:color="auto"/>
          <w:bottom w:val="single" w:sz="4" w:space="0" w:color="auto"/>
          <w:insideH w:val="outset" w:sz="6" w:space="0" w:color="auto"/>
          <w:insideV w:val="outset" w:sz="6" w:space="0" w:color="auto"/>
        </w:tblBorders>
        <w:tblCellMar>
          <w:top w:w="54" w:type="dxa"/>
          <w:left w:w="110" w:type="dxa"/>
          <w:right w:w="50" w:type="dxa"/>
        </w:tblCellMar>
        <w:tblLook w:val="04A0" w:firstRow="1" w:lastRow="0" w:firstColumn="1" w:lastColumn="0" w:noHBand="0" w:noVBand="1"/>
      </w:tblPr>
      <w:tblGrid>
        <w:gridCol w:w="3356"/>
        <w:gridCol w:w="898"/>
        <w:gridCol w:w="898"/>
        <w:gridCol w:w="810"/>
        <w:gridCol w:w="810"/>
        <w:gridCol w:w="808"/>
        <w:gridCol w:w="947"/>
      </w:tblGrid>
      <w:tr w:rsidR="005929BA">
        <w:trPr>
          <w:trHeight w:val="356"/>
          <w:jc w:val="center"/>
        </w:trPr>
        <w:tc>
          <w:tcPr>
            <w:tcW w:w="3356" w:type="dxa"/>
            <w:tcBorders>
              <w:top w:val="single" w:sz="4" w:space="0" w:color="auto"/>
              <w:left w:val="nil"/>
              <w:bottom w:val="single" w:sz="4" w:space="0" w:color="auto"/>
              <w:right w:val="nil"/>
            </w:tcBorders>
          </w:tcPr>
          <w:p w:rsidR="005929BA" w:rsidRDefault="000F4415">
            <w:pPr>
              <w:spacing w:after="0" w:line="360" w:lineRule="auto"/>
              <w:jc w:val="both"/>
              <w:rPr>
                <w:rFonts w:ascii="Garamond" w:eastAsia="Calibri" w:hAnsi="Garamond" w:cs="Times New Roman"/>
                <w:b/>
                <w:bCs/>
                <w:color w:val="000000" w:themeColor="text1"/>
              </w:rPr>
            </w:pPr>
            <w:r>
              <w:rPr>
                <w:rFonts w:ascii="Garamond" w:eastAsia="Calibri" w:hAnsi="Garamond" w:cs="Times New Roman"/>
                <w:b/>
                <w:bCs/>
                <w:color w:val="000000" w:themeColor="text1"/>
              </w:rPr>
              <w:t>Item</w:t>
            </w:r>
          </w:p>
        </w:tc>
        <w:tc>
          <w:tcPr>
            <w:tcW w:w="898" w:type="dxa"/>
            <w:tcBorders>
              <w:top w:val="single" w:sz="4" w:space="0" w:color="auto"/>
              <w:left w:val="nil"/>
              <w:bottom w:val="single" w:sz="4" w:space="0" w:color="auto"/>
              <w:right w:val="nil"/>
            </w:tcBorders>
          </w:tcPr>
          <w:p w:rsidR="005929BA" w:rsidRDefault="000F4415">
            <w:pPr>
              <w:spacing w:after="0" w:line="360" w:lineRule="auto"/>
              <w:jc w:val="both"/>
              <w:rPr>
                <w:rFonts w:ascii="Garamond" w:eastAsia="Calibri" w:hAnsi="Garamond" w:cs="Times New Roman"/>
                <w:b/>
                <w:bCs/>
                <w:color w:val="000000" w:themeColor="text1"/>
              </w:rPr>
            </w:pPr>
            <w:r>
              <w:rPr>
                <w:rFonts w:ascii="Garamond" w:eastAsia="Calibri" w:hAnsi="Garamond" w:cs="Times New Roman"/>
                <w:b/>
                <w:bCs/>
                <w:color w:val="000000" w:themeColor="text1"/>
              </w:rPr>
              <w:t>5</w:t>
            </w:r>
          </w:p>
        </w:tc>
        <w:tc>
          <w:tcPr>
            <w:tcW w:w="898" w:type="dxa"/>
            <w:tcBorders>
              <w:top w:val="single" w:sz="4" w:space="0" w:color="auto"/>
              <w:left w:val="nil"/>
              <w:bottom w:val="single" w:sz="4" w:space="0" w:color="auto"/>
              <w:right w:val="nil"/>
            </w:tcBorders>
          </w:tcPr>
          <w:p w:rsidR="005929BA" w:rsidRDefault="000F4415">
            <w:pPr>
              <w:spacing w:after="0" w:line="360" w:lineRule="auto"/>
              <w:jc w:val="both"/>
              <w:rPr>
                <w:rFonts w:ascii="Garamond" w:eastAsia="Calibri" w:hAnsi="Garamond" w:cs="Times New Roman"/>
                <w:b/>
                <w:bCs/>
                <w:color w:val="000000" w:themeColor="text1"/>
              </w:rPr>
            </w:pPr>
            <w:r>
              <w:rPr>
                <w:rFonts w:ascii="Garamond" w:eastAsia="Calibri" w:hAnsi="Garamond" w:cs="Times New Roman"/>
                <w:b/>
                <w:bCs/>
                <w:color w:val="000000" w:themeColor="text1"/>
              </w:rPr>
              <w:t>4</w:t>
            </w:r>
          </w:p>
        </w:tc>
        <w:tc>
          <w:tcPr>
            <w:tcW w:w="810" w:type="dxa"/>
            <w:tcBorders>
              <w:top w:val="single" w:sz="4" w:space="0" w:color="auto"/>
              <w:left w:val="nil"/>
              <w:bottom w:val="single" w:sz="4" w:space="0" w:color="auto"/>
              <w:right w:val="nil"/>
            </w:tcBorders>
          </w:tcPr>
          <w:p w:rsidR="005929BA" w:rsidRDefault="000F4415">
            <w:pPr>
              <w:spacing w:after="0" w:line="360" w:lineRule="auto"/>
              <w:jc w:val="both"/>
              <w:rPr>
                <w:rFonts w:ascii="Garamond" w:eastAsia="Calibri" w:hAnsi="Garamond" w:cs="Times New Roman"/>
                <w:b/>
                <w:bCs/>
                <w:color w:val="000000" w:themeColor="text1"/>
              </w:rPr>
            </w:pPr>
            <w:r>
              <w:rPr>
                <w:rFonts w:ascii="Garamond" w:eastAsia="Calibri" w:hAnsi="Garamond" w:cs="Times New Roman"/>
                <w:b/>
                <w:bCs/>
                <w:color w:val="000000" w:themeColor="text1"/>
              </w:rPr>
              <w:t>3</w:t>
            </w:r>
          </w:p>
        </w:tc>
        <w:tc>
          <w:tcPr>
            <w:tcW w:w="810" w:type="dxa"/>
            <w:tcBorders>
              <w:top w:val="single" w:sz="4" w:space="0" w:color="auto"/>
              <w:left w:val="nil"/>
              <w:bottom w:val="single" w:sz="4" w:space="0" w:color="auto"/>
              <w:right w:val="nil"/>
            </w:tcBorders>
          </w:tcPr>
          <w:p w:rsidR="005929BA" w:rsidRDefault="000F4415">
            <w:pPr>
              <w:spacing w:after="0" w:line="360" w:lineRule="auto"/>
              <w:jc w:val="both"/>
              <w:rPr>
                <w:rFonts w:ascii="Garamond" w:eastAsia="Calibri" w:hAnsi="Garamond" w:cs="Times New Roman"/>
                <w:b/>
                <w:bCs/>
                <w:color w:val="000000" w:themeColor="text1"/>
              </w:rPr>
            </w:pPr>
            <w:r>
              <w:rPr>
                <w:rFonts w:ascii="Garamond" w:eastAsia="Calibri" w:hAnsi="Garamond" w:cs="Times New Roman"/>
                <w:b/>
                <w:bCs/>
                <w:color w:val="000000" w:themeColor="text1"/>
              </w:rPr>
              <w:t>2</w:t>
            </w:r>
          </w:p>
        </w:tc>
        <w:tc>
          <w:tcPr>
            <w:tcW w:w="808" w:type="dxa"/>
            <w:tcBorders>
              <w:top w:val="single" w:sz="4" w:space="0" w:color="auto"/>
              <w:left w:val="nil"/>
              <w:bottom w:val="single" w:sz="4" w:space="0" w:color="auto"/>
              <w:right w:val="nil"/>
            </w:tcBorders>
          </w:tcPr>
          <w:p w:rsidR="005929BA" w:rsidRDefault="000F4415">
            <w:pPr>
              <w:spacing w:after="0" w:line="360" w:lineRule="auto"/>
              <w:jc w:val="both"/>
              <w:rPr>
                <w:rFonts w:ascii="Garamond" w:eastAsia="Calibri" w:hAnsi="Garamond" w:cs="Times New Roman"/>
                <w:b/>
                <w:bCs/>
                <w:color w:val="000000" w:themeColor="text1"/>
              </w:rPr>
            </w:pPr>
            <w:r>
              <w:rPr>
                <w:rFonts w:ascii="Garamond" w:eastAsia="Calibri" w:hAnsi="Garamond" w:cs="Times New Roman"/>
                <w:b/>
                <w:bCs/>
                <w:color w:val="000000" w:themeColor="text1"/>
              </w:rPr>
              <w:t>1</w:t>
            </w:r>
          </w:p>
        </w:tc>
        <w:tc>
          <w:tcPr>
            <w:tcW w:w="947" w:type="dxa"/>
            <w:tcBorders>
              <w:top w:val="single" w:sz="4" w:space="0" w:color="auto"/>
              <w:left w:val="nil"/>
              <w:bottom w:val="single" w:sz="4" w:space="0" w:color="auto"/>
              <w:right w:val="nil"/>
            </w:tcBorders>
          </w:tcPr>
          <w:p w:rsidR="005929BA" w:rsidRDefault="000F4415">
            <w:pPr>
              <w:spacing w:after="0" w:line="360" w:lineRule="auto"/>
              <w:jc w:val="both"/>
              <w:rPr>
                <w:rFonts w:ascii="Garamond" w:eastAsia="Calibri" w:hAnsi="Garamond" w:cs="Times New Roman"/>
                <w:b/>
                <w:bCs/>
                <w:color w:val="000000" w:themeColor="text1"/>
              </w:rPr>
            </w:pPr>
            <w:r>
              <w:rPr>
                <w:rFonts w:ascii="Garamond" w:eastAsia="Calibri" w:hAnsi="Garamond" w:cs="Times New Roman"/>
                <w:b/>
                <w:bCs/>
                <w:color w:val="000000" w:themeColor="text1"/>
              </w:rPr>
              <w:t>Median</w:t>
            </w:r>
          </w:p>
        </w:tc>
      </w:tr>
      <w:tr w:rsidR="005929BA">
        <w:trPr>
          <w:trHeight w:val="783"/>
          <w:jc w:val="center"/>
        </w:trPr>
        <w:tc>
          <w:tcPr>
            <w:tcW w:w="3356" w:type="dxa"/>
            <w:tcBorders>
              <w:top w:val="single" w:sz="4" w:space="0" w:color="auto"/>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The average temperature in the areas has been increasing.</w:t>
            </w:r>
          </w:p>
        </w:tc>
        <w:tc>
          <w:tcPr>
            <w:tcW w:w="898" w:type="dxa"/>
            <w:tcBorders>
              <w:top w:val="single" w:sz="4" w:space="0" w:color="auto"/>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30.1%</w:t>
            </w:r>
          </w:p>
        </w:tc>
        <w:tc>
          <w:tcPr>
            <w:tcW w:w="898" w:type="dxa"/>
            <w:tcBorders>
              <w:top w:val="single" w:sz="4" w:space="0" w:color="auto"/>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40.2%</w:t>
            </w:r>
          </w:p>
        </w:tc>
        <w:tc>
          <w:tcPr>
            <w:tcW w:w="810" w:type="dxa"/>
            <w:tcBorders>
              <w:top w:val="single" w:sz="4" w:space="0" w:color="auto"/>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16.3%</w:t>
            </w:r>
          </w:p>
        </w:tc>
        <w:tc>
          <w:tcPr>
            <w:tcW w:w="810" w:type="dxa"/>
            <w:tcBorders>
              <w:top w:val="single" w:sz="4" w:space="0" w:color="auto"/>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13.4%</w:t>
            </w:r>
          </w:p>
        </w:tc>
        <w:tc>
          <w:tcPr>
            <w:tcW w:w="808" w:type="dxa"/>
            <w:tcBorders>
              <w:top w:val="single" w:sz="4" w:space="0" w:color="auto"/>
              <w:left w:val="nil"/>
              <w:bottom w:val="nil"/>
              <w:right w:val="nil"/>
            </w:tcBorders>
          </w:tcPr>
          <w:p w:rsidR="005929BA" w:rsidRDefault="005929BA">
            <w:pPr>
              <w:spacing w:after="0" w:line="360" w:lineRule="auto"/>
              <w:jc w:val="both"/>
              <w:rPr>
                <w:rFonts w:ascii="Garamond" w:eastAsia="Calibri" w:hAnsi="Garamond" w:cs="Times New Roman"/>
                <w:color w:val="000000" w:themeColor="text1"/>
              </w:rPr>
            </w:pPr>
          </w:p>
        </w:tc>
        <w:tc>
          <w:tcPr>
            <w:tcW w:w="947" w:type="dxa"/>
            <w:tcBorders>
              <w:top w:val="single" w:sz="4" w:space="0" w:color="auto"/>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w:t>
            </w:r>
          </w:p>
        </w:tc>
      </w:tr>
      <w:tr w:rsidR="005929BA">
        <w:trPr>
          <w:trHeight w:val="445"/>
          <w:jc w:val="center"/>
        </w:trPr>
        <w:tc>
          <w:tcPr>
            <w:tcW w:w="3356"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Weather in the region is currently unpredictable</w:t>
            </w:r>
          </w:p>
        </w:tc>
        <w:tc>
          <w:tcPr>
            <w:tcW w:w="898"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25.3%</w:t>
            </w:r>
          </w:p>
        </w:tc>
        <w:tc>
          <w:tcPr>
            <w:tcW w:w="898"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49.3%</w:t>
            </w:r>
          </w:p>
        </w:tc>
        <w:tc>
          <w:tcPr>
            <w:tcW w:w="810"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15.2%</w:t>
            </w:r>
          </w:p>
        </w:tc>
        <w:tc>
          <w:tcPr>
            <w:tcW w:w="810"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5.5%</w:t>
            </w:r>
          </w:p>
        </w:tc>
        <w:tc>
          <w:tcPr>
            <w:tcW w:w="808"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4.7%</w:t>
            </w:r>
          </w:p>
        </w:tc>
        <w:tc>
          <w:tcPr>
            <w:tcW w:w="947"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w:t>
            </w:r>
          </w:p>
        </w:tc>
      </w:tr>
      <w:tr w:rsidR="005929BA">
        <w:trPr>
          <w:trHeight w:val="526"/>
          <w:jc w:val="center"/>
        </w:trPr>
        <w:tc>
          <w:tcPr>
            <w:tcW w:w="3356" w:type="dxa"/>
            <w:tcBorders>
              <w:top w:val="nil"/>
              <w:left w:val="nil"/>
              <w:bottom w:val="nil"/>
              <w:right w:val="nil"/>
            </w:tcBorders>
          </w:tcPr>
          <w:p w:rsidR="005929BA" w:rsidRDefault="000F4415">
            <w:pPr>
              <w:spacing w:after="0" w:line="360" w:lineRule="auto"/>
              <w:ind w:right="61"/>
              <w:jc w:val="both"/>
              <w:rPr>
                <w:rFonts w:ascii="Garamond" w:eastAsia="Calibri" w:hAnsi="Garamond" w:cs="Times New Roman"/>
                <w:color w:val="000000" w:themeColor="text1"/>
              </w:rPr>
            </w:pPr>
            <w:r>
              <w:rPr>
                <w:rFonts w:ascii="Garamond" w:eastAsia="Calibri" w:hAnsi="Garamond" w:cs="Times New Roman"/>
                <w:color w:val="000000" w:themeColor="text1"/>
              </w:rPr>
              <w:t>Fodder for livestock has been decreasing</w:t>
            </w:r>
          </w:p>
        </w:tc>
        <w:tc>
          <w:tcPr>
            <w:tcW w:w="898"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28%</w:t>
            </w:r>
          </w:p>
        </w:tc>
        <w:tc>
          <w:tcPr>
            <w:tcW w:w="898"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49%</w:t>
            </w:r>
          </w:p>
        </w:tc>
        <w:tc>
          <w:tcPr>
            <w:tcW w:w="810"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13.4%</w:t>
            </w:r>
          </w:p>
        </w:tc>
        <w:tc>
          <w:tcPr>
            <w:tcW w:w="810"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4.3%</w:t>
            </w:r>
          </w:p>
        </w:tc>
        <w:tc>
          <w:tcPr>
            <w:tcW w:w="808"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5.3%</w:t>
            </w:r>
          </w:p>
        </w:tc>
        <w:tc>
          <w:tcPr>
            <w:tcW w:w="947"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w:t>
            </w:r>
          </w:p>
        </w:tc>
      </w:tr>
      <w:tr w:rsidR="005929BA">
        <w:trPr>
          <w:trHeight w:val="800"/>
          <w:jc w:val="center"/>
        </w:trPr>
        <w:tc>
          <w:tcPr>
            <w:tcW w:w="3356"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 xml:space="preserve">There has been an increase in crop diseases and pests </w:t>
            </w:r>
          </w:p>
        </w:tc>
        <w:tc>
          <w:tcPr>
            <w:tcW w:w="898"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30%</w:t>
            </w:r>
          </w:p>
        </w:tc>
        <w:tc>
          <w:tcPr>
            <w:tcW w:w="898"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35%</w:t>
            </w:r>
          </w:p>
        </w:tc>
        <w:tc>
          <w:tcPr>
            <w:tcW w:w="810"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18.3%</w:t>
            </w:r>
          </w:p>
        </w:tc>
        <w:tc>
          <w:tcPr>
            <w:tcW w:w="810"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12%</w:t>
            </w:r>
          </w:p>
        </w:tc>
        <w:tc>
          <w:tcPr>
            <w:tcW w:w="808"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4.7%</w:t>
            </w:r>
          </w:p>
        </w:tc>
        <w:tc>
          <w:tcPr>
            <w:tcW w:w="947"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w:t>
            </w:r>
          </w:p>
        </w:tc>
      </w:tr>
      <w:tr w:rsidR="005929BA">
        <w:trPr>
          <w:trHeight w:val="494"/>
          <w:jc w:val="center"/>
        </w:trPr>
        <w:tc>
          <w:tcPr>
            <w:tcW w:w="3356" w:type="dxa"/>
            <w:tcBorders>
              <w:top w:val="nil"/>
              <w:left w:val="nil"/>
              <w:bottom w:val="nil"/>
              <w:right w:val="nil"/>
            </w:tcBorders>
          </w:tcPr>
          <w:p w:rsidR="005929BA" w:rsidRDefault="000F4415">
            <w:pPr>
              <w:autoSpaceDE w:val="0"/>
              <w:autoSpaceDN w:val="0"/>
              <w:adjustRightInd w:val="0"/>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The problem of soil erosion has been increasing</w:t>
            </w:r>
          </w:p>
        </w:tc>
        <w:tc>
          <w:tcPr>
            <w:tcW w:w="898"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20%</w:t>
            </w:r>
          </w:p>
        </w:tc>
        <w:tc>
          <w:tcPr>
            <w:tcW w:w="898"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50.7%</w:t>
            </w:r>
          </w:p>
        </w:tc>
        <w:tc>
          <w:tcPr>
            <w:tcW w:w="810"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13%</w:t>
            </w:r>
          </w:p>
        </w:tc>
        <w:tc>
          <w:tcPr>
            <w:tcW w:w="810"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10%</w:t>
            </w:r>
          </w:p>
        </w:tc>
        <w:tc>
          <w:tcPr>
            <w:tcW w:w="808"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6.3%</w:t>
            </w:r>
          </w:p>
        </w:tc>
        <w:tc>
          <w:tcPr>
            <w:tcW w:w="947" w:type="dxa"/>
            <w:tcBorders>
              <w:top w:val="nil"/>
              <w:left w:val="nil"/>
              <w:bottom w:val="nil"/>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w:t>
            </w:r>
          </w:p>
        </w:tc>
      </w:tr>
      <w:tr w:rsidR="005929BA">
        <w:trPr>
          <w:trHeight w:val="374"/>
          <w:jc w:val="center"/>
        </w:trPr>
        <w:tc>
          <w:tcPr>
            <w:tcW w:w="3356"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 xml:space="preserve">Livestock deaths have been increasing </w:t>
            </w:r>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24.7%</w:t>
            </w:r>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42.1%</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15.3%</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13.2%</w:t>
            </w:r>
          </w:p>
        </w:tc>
        <w:tc>
          <w:tcPr>
            <w:tcW w:w="80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4.7%</w:t>
            </w:r>
          </w:p>
        </w:tc>
        <w:tc>
          <w:tcPr>
            <w:tcW w:w="947"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w:t>
            </w:r>
          </w:p>
        </w:tc>
      </w:tr>
      <w:tr w:rsidR="005929BA">
        <w:trPr>
          <w:trHeight w:val="374"/>
          <w:jc w:val="center"/>
        </w:trPr>
        <w:tc>
          <w:tcPr>
            <w:tcW w:w="3356"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Category</w:t>
            </w:r>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5</w:t>
            </w:r>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3</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w:t>
            </w:r>
          </w:p>
        </w:tc>
        <w:tc>
          <w:tcPr>
            <w:tcW w:w="80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w:t>
            </w:r>
          </w:p>
        </w:tc>
        <w:tc>
          <w:tcPr>
            <w:tcW w:w="947"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Total</w:t>
            </w:r>
          </w:p>
        </w:tc>
      </w:tr>
      <w:tr w:rsidR="005929BA">
        <w:trPr>
          <w:trHeight w:val="374"/>
          <w:jc w:val="center"/>
        </w:trPr>
        <w:tc>
          <w:tcPr>
            <w:tcW w:w="3356"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proofErr w:type="spellStart"/>
            <w:r>
              <w:rPr>
                <w:rFonts w:ascii="Garamond" w:eastAsia="Calibri" w:hAnsi="Garamond" w:cs="Times New Roman"/>
                <w:color w:val="000000" w:themeColor="text1"/>
              </w:rPr>
              <w:t>Avg_temp_increasing</w:t>
            </w:r>
            <w:proofErr w:type="spellEnd"/>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25%</w:t>
            </w:r>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44%</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16%</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9%</w:t>
            </w:r>
          </w:p>
        </w:tc>
        <w:tc>
          <w:tcPr>
            <w:tcW w:w="80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6%</w:t>
            </w:r>
          </w:p>
        </w:tc>
        <w:tc>
          <w:tcPr>
            <w:tcW w:w="947"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278</w:t>
            </w:r>
          </w:p>
        </w:tc>
      </w:tr>
      <w:tr w:rsidR="005929BA">
        <w:trPr>
          <w:trHeight w:val="374"/>
          <w:jc w:val="center"/>
        </w:trPr>
        <w:tc>
          <w:tcPr>
            <w:tcW w:w="3356"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unpredictable weather</w:t>
            </w:r>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31%</w:t>
            </w:r>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44%</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19%</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3%</w:t>
            </w:r>
          </w:p>
        </w:tc>
        <w:tc>
          <w:tcPr>
            <w:tcW w:w="80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3%</w:t>
            </w:r>
          </w:p>
        </w:tc>
        <w:tc>
          <w:tcPr>
            <w:tcW w:w="947"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279</w:t>
            </w:r>
          </w:p>
        </w:tc>
      </w:tr>
      <w:tr w:rsidR="005929BA">
        <w:trPr>
          <w:trHeight w:val="374"/>
          <w:jc w:val="center"/>
        </w:trPr>
        <w:tc>
          <w:tcPr>
            <w:tcW w:w="3356"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lastRenderedPageBreak/>
              <w:t>fodder decreasing</w:t>
            </w:r>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27%</w:t>
            </w:r>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58%</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7%</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3%</w:t>
            </w:r>
          </w:p>
        </w:tc>
        <w:tc>
          <w:tcPr>
            <w:tcW w:w="80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w:t>
            </w:r>
          </w:p>
        </w:tc>
        <w:tc>
          <w:tcPr>
            <w:tcW w:w="947"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279</w:t>
            </w:r>
          </w:p>
        </w:tc>
      </w:tr>
      <w:tr w:rsidR="005929BA">
        <w:trPr>
          <w:trHeight w:val="374"/>
          <w:jc w:val="center"/>
        </w:trPr>
        <w:tc>
          <w:tcPr>
            <w:tcW w:w="3356"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proofErr w:type="spellStart"/>
            <w:r>
              <w:rPr>
                <w:rFonts w:ascii="Garamond" w:eastAsia="Calibri" w:hAnsi="Garamond" w:cs="Times New Roman"/>
                <w:color w:val="000000" w:themeColor="text1"/>
              </w:rPr>
              <w:t>crop_disease_increase</w:t>
            </w:r>
            <w:proofErr w:type="spellEnd"/>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28%</w:t>
            </w:r>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52%</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11%</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6%</w:t>
            </w:r>
          </w:p>
        </w:tc>
        <w:tc>
          <w:tcPr>
            <w:tcW w:w="80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3%</w:t>
            </w:r>
          </w:p>
        </w:tc>
        <w:tc>
          <w:tcPr>
            <w:tcW w:w="947"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279</w:t>
            </w:r>
          </w:p>
        </w:tc>
      </w:tr>
      <w:tr w:rsidR="005929BA">
        <w:trPr>
          <w:trHeight w:val="374"/>
          <w:jc w:val="center"/>
        </w:trPr>
        <w:tc>
          <w:tcPr>
            <w:tcW w:w="3356"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proofErr w:type="spellStart"/>
            <w:r>
              <w:rPr>
                <w:rFonts w:ascii="Garamond" w:eastAsia="Calibri" w:hAnsi="Garamond" w:cs="Times New Roman"/>
                <w:color w:val="000000" w:themeColor="text1"/>
              </w:rPr>
              <w:t>soil_erosion_increase</w:t>
            </w:r>
            <w:proofErr w:type="spellEnd"/>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27%</w:t>
            </w:r>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56%</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4%</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7%</w:t>
            </w:r>
          </w:p>
        </w:tc>
        <w:tc>
          <w:tcPr>
            <w:tcW w:w="80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8%</w:t>
            </w:r>
          </w:p>
        </w:tc>
        <w:tc>
          <w:tcPr>
            <w:tcW w:w="947"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279</w:t>
            </w:r>
          </w:p>
        </w:tc>
      </w:tr>
      <w:tr w:rsidR="005929BA">
        <w:trPr>
          <w:trHeight w:val="374"/>
          <w:jc w:val="center"/>
        </w:trPr>
        <w:tc>
          <w:tcPr>
            <w:tcW w:w="3356"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proofErr w:type="spellStart"/>
            <w:r>
              <w:rPr>
                <w:rFonts w:ascii="Garamond" w:eastAsia="Calibri" w:hAnsi="Garamond" w:cs="Times New Roman"/>
                <w:color w:val="000000" w:themeColor="text1"/>
              </w:rPr>
              <w:t>Livestock_death_increase</w:t>
            </w:r>
            <w:proofErr w:type="spellEnd"/>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34%</w:t>
            </w:r>
          </w:p>
        </w:tc>
        <w:tc>
          <w:tcPr>
            <w:tcW w:w="89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33%</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14%</w:t>
            </w:r>
          </w:p>
        </w:tc>
        <w:tc>
          <w:tcPr>
            <w:tcW w:w="810"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9%</w:t>
            </w:r>
          </w:p>
        </w:tc>
        <w:tc>
          <w:tcPr>
            <w:tcW w:w="808"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10%</w:t>
            </w:r>
          </w:p>
        </w:tc>
        <w:tc>
          <w:tcPr>
            <w:tcW w:w="947" w:type="dxa"/>
            <w:tcBorders>
              <w:top w:val="nil"/>
              <w:left w:val="nil"/>
              <w:bottom w:val="single" w:sz="4" w:space="0" w:color="auto"/>
              <w:right w:val="nil"/>
            </w:tcBorders>
          </w:tcPr>
          <w:p w:rsidR="005929BA" w:rsidRDefault="000F4415">
            <w:pPr>
              <w:spacing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279</w:t>
            </w:r>
          </w:p>
        </w:tc>
      </w:tr>
    </w:tbl>
    <w:p w:rsidR="005929BA" w:rsidRDefault="000F4415">
      <w:pPr>
        <w:spacing w:before="240" w:after="0" w:line="360" w:lineRule="auto"/>
        <w:jc w:val="both"/>
        <w:rPr>
          <w:rFonts w:ascii="Garamond" w:eastAsia="Calibri" w:hAnsi="Garamond" w:cs="Times New Roman"/>
          <w:color w:val="000000" w:themeColor="text1"/>
        </w:rPr>
      </w:pPr>
      <w:r>
        <w:rPr>
          <w:rFonts w:ascii="Garamond" w:eastAsia="Calibri" w:hAnsi="Garamond" w:cs="Times New Roman"/>
          <w:color w:val="000000" w:themeColor="text1"/>
        </w:rPr>
        <w:t>n=130, Key: 5= Strongly Agree, 4=Agree, 3= Undecided, 2=Disagree, 1=Strongly Disagree</w:t>
      </w:r>
    </w:p>
    <w:p w:rsidR="005929BA" w:rsidRDefault="000F4415">
      <w:pPr>
        <w:pStyle w:val="NormalWeb"/>
        <w:spacing w:before="240" w:beforeAutospacing="0" w:after="0" w:afterAutospacing="0" w:line="360" w:lineRule="auto"/>
        <w:jc w:val="both"/>
        <w:rPr>
          <w:rFonts w:ascii="Garamond" w:hAnsi="Garamond" w:cs="Times New Roman"/>
          <w:color w:val="000000" w:themeColor="text1"/>
        </w:rPr>
      </w:pPr>
      <w:r>
        <w:rPr>
          <w:rFonts w:ascii="Garamond" w:hAnsi="Garamond" w:cs="Times New Roman"/>
          <w:color w:val="000000" w:themeColor="text1"/>
        </w:rPr>
        <w:t>From Table 5, the overall median for the indicators and their corresponding mean is 4, indicating that respondents agreed on the statements on attitudes and perceptions. This suggests that respondents agreed that attitudes and perceptions have an influence on the sustainability of farming practices.</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To demonstrate strong attitude–behavior relations in this study, the results can be interpreted to show that farmers who expressed stronger positive attitudes and perceptions toward environmental change and sustainability were significantly more likely to engage in sustainable farming practices. Using the five-point Likert scale, respondents who selected “strongly agree” or “agree” on statements related to climate awareness, soil conservation, and sustainable resource use consistently reported higher levels of adoption of practices such as water harvesting, controlled grazing, and soil management. This pattern indicates a clear alignment between what farmers believe and how they act, suggesting that attitudes are not merely abstract opinions but active drivers of behavior.</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The analysis further suggests that as attitudes become more favorable, the likelihood of adopting sustainable practices increases proportionally. For instance, farmers who strongly perceived climate change impacts such as rising temperatures, declining pasture, and increased livestock mortality were more motivated to adjust their farming practices to cope with these challenges. This supports the argument that perceived risk and environmental awareness strengthen the link between attitudes and behavior. In this case, attitudes function as a catalyst that transforms awareness into concrete action.</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 xml:space="preserve">Moreover, the consistency between responses on attitudes and reported practices indicates that farmers with strong pro-sustainability perceptions are less likely to remain undecided or inactive. Instead, they tend to demonstrate commitment through actual implementation of </w:t>
      </w:r>
      <w:r>
        <w:rPr>
          <w:rFonts w:ascii="Garamond" w:eastAsia="Times New Roman" w:hAnsi="Garamond" w:cs="Times New Roman"/>
          <w:kern w:val="0"/>
          <w14:ligatures w14:val="none"/>
        </w:rPr>
        <w:lastRenderedPageBreak/>
        <w:t>sustainable techniques. This reduces the perception–action gap observed in more neutral responses and highlights the importance of fostering strong, informed attitudes within farming communities.</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The findings therefore suggest that strengthening positive attitudes through education, training, and exposure to successful practices can directly enhance the adoption of sustainable farming practices. When farmers clearly understand the benefits and necessity of sustainability, they are more likely to integrate these practices into their daily agricultural activities. Overall, the results demonstrate that strong attitudes and perceptions are closely linked to behavior, reinforcing their critical role in promoting sustainable agriculture.</w:t>
      </w:r>
    </w:p>
    <w:p w:rsidR="005929BA" w:rsidRDefault="000F4415">
      <w:pPr>
        <w:spacing w:line="360" w:lineRule="auto"/>
        <w:jc w:val="both"/>
        <w:rPr>
          <w:rFonts w:ascii="Garamond" w:hAnsi="Garamond"/>
          <w:b/>
        </w:rPr>
      </w:pPr>
      <w:r>
        <w:rPr>
          <w:rFonts w:ascii="Garamond" w:hAnsi="Garamond"/>
          <w:b/>
        </w:rPr>
        <w:t>4.10: Accessibility to information sources</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The model parameter estimates indicate that accessibility to information sources has a positive and statistically significant influence on the sustainability of farming practices, as shown by a coefficient of 0.712 and a p-value of 0.013, which is below the 0.05 threshold. This suggests that access to information plays an important role in shaping farmers’ decisions and behaviors regarding sustainable agriculture. The positive beta coefficient implies that as access to information increases, the likelihood of adopting or influencing farming practices also increases. Specifically, the odds ratio of 2.038 indicates that respondents who acknowledged access to information sources were about twice as likely to report that such access influenced their farming practices compared to those who did not.</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However, the interpretation of these findings reveals a nuanced and somewhat neutral outcome. While increased access to information significantly influences farming practices, it does not necessarily translate into improved or sustainable practices. In fact, the results suggest that respondents who agreed they had access to information were also more likely to associate this access with poor farming practices and low levels of sustainable application. This points to a critical gap between information access and effective utilization, indicating that not all information accessed is accurate, relevant, or actionable for promoting sustainability.</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 xml:space="preserve">This discrepancy may be explained by the nature and quality of information sources available to farmers. For instance, access to the internet or informal networks may expose farmers to </w:t>
      </w:r>
      <w:r>
        <w:rPr>
          <w:rFonts w:ascii="Garamond" w:eastAsia="Times New Roman" w:hAnsi="Garamond" w:cs="Times New Roman"/>
          <w:kern w:val="0"/>
          <w14:ligatures w14:val="none"/>
        </w:rPr>
        <w:lastRenderedPageBreak/>
        <w:t>inconsistent or conflicting information, which can lead to confusion or misinformed decisions. Similarly, limited engagement with trained extension officers or inadequate training programs may reduce the effectiveness of information dissemination. Although sources such as county government support, lead farmers, ICT platforms, and extension services are intended to enhance knowledge, their impact depends on how well they are coordinated, localized, and tailored to farmers’ needs.</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Furthermore, the findings suggest that access alone is insufficient without complementary factors such as technical skills, financial capacity, and institutional support. Farmers may have access to information but lack the resources or confidence to implement sustainable practices effectively. This reinforces the idea that information must be accompanied by practical training, demonstrations, and continuous support to ensure meaningful adoption.</w:t>
      </w:r>
    </w:p>
    <w:p w:rsidR="005929BA" w:rsidRDefault="000F4415">
      <w:pPr>
        <w:spacing w:before="100" w:beforeAutospacing="1" w:after="100" w:afterAutospacing="1" w:line="36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Overall, while accessibility to information sources is a significant determinant of farming practices, its influence on sustainability is mediated by the quality, relevance, and usability of the information provided. Therefore, improving not just access but also the effectiveness of information delivery systems is essential for promoting sustainable farming practices.</w:t>
      </w:r>
    </w:p>
    <w:p w:rsidR="005929BA" w:rsidRDefault="000F4415">
      <w:pPr>
        <w:spacing w:line="360" w:lineRule="auto"/>
        <w:jc w:val="both"/>
        <w:rPr>
          <w:rFonts w:ascii="Garamond" w:hAnsi="Garamond"/>
          <w:b/>
          <w:bCs/>
        </w:rPr>
      </w:pPr>
      <w:r>
        <w:rPr>
          <w:rFonts w:ascii="Garamond" w:hAnsi="Garamond"/>
          <w:b/>
          <w:bCs/>
        </w:rPr>
        <w:t>4.11: Regression Model</w:t>
      </w:r>
    </w:p>
    <w:p w:rsidR="005929BA" w:rsidRDefault="000F4415">
      <w:pPr>
        <w:spacing w:line="360" w:lineRule="auto"/>
        <w:jc w:val="both"/>
        <w:rPr>
          <w:rFonts w:ascii="Garamond" w:hAnsi="Garamond"/>
        </w:rPr>
      </w:pPr>
      <w:r>
        <w:rPr>
          <w:rFonts w:ascii="Garamond" w:hAnsi="Garamond"/>
        </w:rPr>
        <w:t>[</w:t>
      </w:r>
      <w:proofErr w:type="spellStart"/>
      <w:r>
        <w:rPr>
          <w:rFonts w:ascii="Garamond" w:hAnsi="Garamond"/>
        </w:rPr>
        <w:t>SFP_i</w:t>
      </w:r>
      <w:proofErr w:type="spellEnd"/>
      <w:r>
        <w:rPr>
          <w:rFonts w:ascii="Garamond" w:hAnsi="Garamond"/>
        </w:rPr>
        <w:t xml:space="preserve"> = \beta_0 + \beta_1 </w:t>
      </w:r>
      <w:proofErr w:type="spellStart"/>
      <w:r>
        <w:rPr>
          <w:rFonts w:ascii="Garamond" w:hAnsi="Garamond"/>
        </w:rPr>
        <w:t>EA_i</w:t>
      </w:r>
      <w:proofErr w:type="spellEnd"/>
      <w:r>
        <w:rPr>
          <w:rFonts w:ascii="Garamond" w:hAnsi="Garamond"/>
        </w:rPr>
        <w:t xml:space="preserve"> + \beta_2 </w:t>
      </w:r>
      <w:proofErr w:type="spellStart"/>
      <w:r>
        <w:rPr>
          <w:rFonts w:ascii="Garamond" w:hAnsi="Garamond"/>
        </w:rPr>
        <w:t>CVL_i</w:t>
      </w:r>
      <w:proofErr w:type="spellEnd"/>
      <w:r>
        <w:rPr>
          <w:rFonts w:ascii="Garamond" w:hAnsi="Garamond"/>
        </w:rPr>
        <w:t xml:space="preserve"> + \beta_3 </w:t>
      </w:r>
      <w:proofErr w:type="spellStart"/>
      <w:r>
        <w:rPr>
          <w:rFonts w:ascii="Garamond" w:hAnsi="Garamond"/>
        </w:rPr>
        <w:t>PBS_i</w:t>
      </w:r>
      <w:proofErr w:type="spellEnd"/>
      <w:r>
        <w:rPr>
          <w:rFonts w:ascii="Garamond" w:hAnsi="Garamond"/>
        </w:rPr>
        <w:t xml:space="preserve"> + \beta_4 </w:t>
      </w:r>
      <w:proofErr w:type="spellStart"/>
      <w:r>
        <w:rPr>
          <w:rFonts w:ascii="Garamond" w:hAnsi="Garamond"/>
        </w:rPr>
        <w:t>PLD_i</w:t>
      </w:r>
      <w:proofErr w:type="spellEnd"/>
      <w:r>
        <w:rPr>
          <w:rFonts w:ascii="Garamond" w:hAnsi="Garamond"/>
        </w:rPr>
        <w:t xml:space="preserve"> + \beta_5 </w:t>
      </w:r>
      <w:proofErr w:type="spellStart"/>
      <w:r>
        <w:rPr>
          <w:rFonts w:ascii="Garamond" w:hAnsi="Garamond"/>
        </w:rPr>
        <w:t>TIK_i</w:t>
      </w:r>
      <w:proofErr w:type="spellEnd"/>
      <w:r>
        <w:rPr>
          <w:rFonts w:ascii="Garamond" w:hAnsi="Garamond"/>
        </w:rPr>
        <w:t xml:space="preserve"> + \</w:t>
      </w:r>
      <w:proofErr w:type="spellStart"/>
      <w:r>
        <w:rPr>
          <w:rFonts w:ascii="Garamond" w:hAnsi="Garamond"/>
        </w:rPr>
        <w:t>varepsilon_i</w:t>
      </w:r>
      <w:proofErr w:type="spellEnd"/>
      <w:r>
        <w:rPr>
          <w:rFonts w:ascii="Garamond" w:hAnsi="Garamond"/>
        </w:rPr>
        <w:t>]</w:t>
      </w:r>
    </w:p>
    <w:p w:rsidR="005929BA" w:rsidRDefault="000F4415">
      <w:pPr>
        <w:spacing w:line="360" w:lineRule="auto"/>
        <w:jc w:val="both"/>
        <w:rPr>
          <w:rFonts w:ascii="Garamond" w:hAnsi="Garamond"/>
        </w:rPr>
      </w:pPr>
      <w:r>
        <w:rPr>
          <w:rFonts w:ascii="Garamond" w:hAnsi="Garamond"/>
          <w:b/>
          <w:bCs/>
        </w:rPr>
        <w:t>Table 6: Regression Results: Influence of Attitudes and Perceptions on Sustainable Farming</w:t>
      </w:r>
    </w:p>
    <w:tbl>
      <w:tblPr>
        <w:tblW w:w="9660" w:type="dxa"/>
        <w:tblCellSpacing w:w="15" w:type="dxa"/>
        <w:tblCellMar>
          <w:top w:w="15" w:type="dxa"/>
          <w:left w:w="15" w:type="dxa"/>
          <w:bottom w:w="15" w:type="dxa"/>
          <w:right w:w="15" w:type="dxa"/>
        </w:tblCellMar>
        <w:tblLook w:val="04A0" w:firstRow="1" w:lastRow="0" w:firstColumn="1" w:lastColumn="0" w:noHBand="0" w:noVBand="1"/>
      </w:tblPr>
      <w:tblGrid>
        <w:gridCol w:w="4935"/>
        <w:gridCol w:w="929"/>
        <w:gridCol w:w="1760"/>
        <w:gridCol w:w="738"/>
        <w:gridCol w:w="1298"/>
      </w:tblGrid>
      <w:tr w:rsidR="005929BA">
        <w:trPr>
          <w:trHeight w:val="451"/>
          <w:tblHeader/>
          <w:tblCellSpacing w:w="15" w:type="dxa"/>
        </w:trPr>
        <w:tc>
          <w:tcPr>
            <w:tcW w:w="0" w:type="auto"/>
            <w:tcBorders>
              <w:top w:val="single" w:sz="4" w:space="0" w:color="auto"/>
              <w:bottom w:val="single" w:sz="4" w:space="0" w:color="auto"/>
            </w:tcBorders>
            <w:vAlign w:val="center"/>
          </w:tcPr>
          <w:p w:rsidR="005929BA" w:rsidRDefault="000F4415">
            <w:pPr>
              <w:spacing w:line="360" w:lineRule="auto"/>
              <w:jc w:val="both"/>
              <w:rPr>
                <w:rFonts w:ascii="Garamond" w:hAnsi="Garamond"/>
                <w:b/>
                <w:bCs/>
              </w:rPr>
            </w:pPr>
            <w:r>
              <w:rPr>
                <w:rFonts w:ascii="Garamond" w:hAnsi="Garamond"/>
                <w:b/>
                <w:bCs/>
              </w:rPr>
              <w:t>Variable</w:t>
            </w:r>
          </w:p>
        </w:tc>
        <w:tc>
          <w:tcPr>
            <w:tcW w:w="0" w:type="auto"/>
            <w:tcBorders>
              <w:top w:val="single" w:sz="4" w:space="0" w:color="auto"/>
              <w:bottom w:val="single" w:sz="4" w:space="0" w:color="auto"/>
            </w:tcBorders>
            <w:vAlign w:val="center"/>
          </w:tcPr>
          <w:p w:rsidR="005929BA" w:rsidRDefault="000F4415">
            <w:pPr>
              <w:spacing w:line="360" w:lineRule="auto"/>
              <w:jc w:val="both"/>
              <w:rPr>
                <w:rFonts w:ascii="Garamond" w:hAnsi="Garamond"/>
                <w:b/>
                <w:bCs/>
              </w:rPr>
            </w:pPr>
            <w:r>
              <w:rPr>
                <w:rFonts w:ascii="Garamond" w:hAnsi="Garamond"/>
                <w:b/>
                <w:bCs/>
              </w:rPr>
              <w:t>β</w:t>
            </w:r>
          </w:p>
        </w:tc>
        <w:tc>
          <w:tcPr>
            <w:tcW w:w="0" w:type="auto"/>
            <w:tcBorders>
              <w:top w:val="single" w:sz="4" w:space="0" w:color="auto"/>
              <w:bottom w:val="single" w:sz="4" w:space="0" w:color="auto"/>
            </w:tcBorders>
            <w:vAlign w:val="center"/>
          </w:tcPr>
          <w:p w:rsidR="005929BA" w:rsidRDefault="000F4415">
            <w:pPr>
              <w:spacing w:line="360" w:lineRule="auto"/>
              <w:jc w:val="both"/>
              <w:rPr>
                <w:rFonts w:ascii="Garamond" w:hAnsi="Garamond"/>
                <w:b/>
                <w:bCs/>
              </w:rPr>
            </w:pPr>
            <w:r>
              <w:rPr>
                <w:rFonts w:ascii="Garamond" w:hAnsi="Garamond"/>
                <w:b/>
                <w:bCs/>
              </w:rPr>
              <w:t>Std. Error</w:t>
            </w:r>
          </w:p>
        </w:tc>
        <w:tc>
          <w:tcPr>
            <w:tcW w:w="0" w:type="auto"/>
            <w:tcBorders>
              <w:top w:val="single" w:sz="4" w:space="0" w:color="auto"/>
              <w:bottom w:val="single" w:sz="4" w:space="0" w:color="auto"/>
            </w:tcBorders>
            <w:vAlign w:val="center"/>
          </w:tcPr>
          <w:p w:rsidR="005929BA" w:rsidRDefault="000F4415">
            <w:pPr>
              <w:spacing w:line="360" w:lineRule="auto"/>
              <w:jc w:val="both"/>
              <w:rPr>
                <w:rFonts w:ascii="Garamond" w:hAnsi="Garamond"/>
                <w:b/>
                <w:bCs/>
              </w:rPr>
            </w:pPr>
            <w:r>
              <w:rPr>
                <w:rFonts w:ascii="Garamond" w:hAnsi="Garamond"/>
                <w:b/>
                <w:bCs/>
              </w:rPr>
              <w:t>t</w:t>
            </w:r>
          </w:p>
        </w:tc>
        <w:tc>
          <w:tcPr>
            <w:tcW w:w="0" w:type="auto"/>
            <w:tcBorders>
              <w:top w:val="single" w:sz="4" w:space="0" w:color="auto"/>
              <w:bottom w:val="single" w:sz="4" w:space="0" w:color="auto"/>
            </w:tcBorders>
            <w:vAlign w:val="center"/>
          </w:tcPr>
          <w:p w:rsidR="005929BA" w:rsidRDefault="000F4415">
            <w:pPr>
              <w:spacing w:line="360" w:lineRule="auto"/>
              <w:jc w:val="both"/>
              <w:rPr>
                <w:rFonts w:ascii="Garamond" w:hAnsi="Garamond"/>
                <w:b/>
                <w:bCs/>
              </w:rPr>
            </w:pPr>
            <w:r>
              <w:rPr>
                <w:rFonts w:ascii="Garamond" w:hAnsi="Garamond"/>
                <w:b/>
                <w:bCs/>
              </w:rPr>
              <w:t>p</w:t>
            </w:r>
          </w:p>
        </w:tc>
      </w:tr>
      <w:tr w:rsidR="005929BA">
        <w:trPr>
          <w:trHeight w:val="465"/>
          <w:tblCellSpacing w:w="15" w:type="dxa"/>
        </w:trPr>
        <w:tc>
          <w:tcPr>
            <w:tcW w:w="0" w:type="auto"/>
            <w:vAlign w:val="center"/>
          </w:tcPr>
          <w:p w:rsidR="005929BA" w:rsidRDefault="000F4415">
            <w:pPr>
              <w:spacing w:line="360" w:lineRule="auto"/>
              <w:jc w:val="both"/>
              <w:rPr>
                <w:rFonts w:ascii="Garamond" w:hAnsi="Garamond"/>
              </w:rPr>
            </w:pPr>
            <w:r>
              <w:rPr>
                <w:rFonts w:ascii="Garamond" w:hAnsi="Garamond"/>
              </w:rPr>
              <w:t>Constant</w:t>
            </w:r>
          </w:p>
        </w:tc>
        <w:tc>
          <w:tcPr>
            <w:tcW w:w="0" w:type="auto"/>
            <w:vAlign w:val="center"/>
          </w:tcPr>
          <w:p w:rsidR="005929BA" w:rsidRDefault="000F4415">
            <w:pPr>
              <w:spacing w:line="360" w:lineRule="auto"/>
              <w:jc w:val="both"/>
              <w:rPr>
                <w:rFonts w:ascii="Garamond" w:hAnsi="Garamond"/>
              </w:rPr>
            </w:pPr>
            <w:r>
              <w:rPr>
                <w:rFonts w:ascii="Garamond" w:hAnsi="Garamond"/>
              </w:rPr>
              <w:t>0.716</w:t>
            </w:r>
          </w:p>
        </w:tc>
        <w:tc>
          <w:tcPr>
            <w:tcW w:w="0" w:type="auto"/>
            <w:vAlign w:val="center"/>
          </w:tcPr>
          <w:p w:rsidR="005929BA" w:rsidRDefault="000F4415">
            <w:pPr>
              <w:spacing w:line="360" w:lineRule="auto"/>
              <w:jc w:val="both"/>
              <w:rPr>
                <w:rFonts w:ascii="Garamond" w:hAnsi="Garamond"/>
              </w:rPr>
            </w:pPr>
            <w:r>
              <w:rPr>
                <w:rFonts w:ascii="Garamond" w:hAnsi="Garamond"/>
              </w:rPr>
              <w:t>0.198</w:t>
            </w:r>
          </w:p>
        </w:tc>
        <w:tc>
          <w:tcPr>
            <w:tcW w:w="0" w:type="auto"/>
            <w:vAlign w:val="center"/>
          </w:tcPr>
          <w:p w:rsidR="005929BA" w:rsidRDefault="000F4415">
            <w:pPr>
              <w:spacing w:line="360" w:lineRule="auto"/>
              <w:jc w:val="both"/>
              <w:rPr>
                <w:rFonts w:ascii="Garamond" w:hAnsi="Garamond"/>
              </w:rPr>
            </w:pPr>
            <w:r>
              <w:rPr>
                <w:rFonts w:ascii="Garamond" w:hAnsi="Garamond"/>
              </w:rPr>
              <w:t>3.62</w:t>
            </w:r>
          </w:p>
        </w:tc>
        <w:tc>
          <w:tcPr>
            <w:tcW w:w="0" w:type="auto"/>
            <w:vAlign w:val="center"/>
          </w:tcPr>
          <w:p w:rsidR="005929BA" w:rsidRDefault="000F4415">
            <w:pPr>
              <w:spacing w:line="360" w:lineRule="auto"/>
              <w:jc w:val="both"/>
              <w:rPr>
                <w:rFonts w:ascii="Garamond" w:hAnsi="Garamond"/>
              </w:rPr>
            </w:pPr>
            <w:r>
              <w:rPr>
                <w:rFonts w:ascii="Garamond" w:hAnsi="Garamond"/>
              </w:rPr>
              <w:t>&lt; .001</w:t>
            </w:r>
          </w:p>
        </w:tc>
      </w:tr>
      <w:tr w:rsidR="005929BA">
        <w:trPr>
          <w:trHeight w:val="451"/>
          <w:tblCellSpacing w:w="15" w:type="dxa"/>
        </w:trPr>
        <w:tc>
          <w:tcPr>
            <w:tcW w:w="0" w:type="auto"/>
            <w:vAlign w:val="center"/>
          </w:tcPr>
          <w:p w:rsidR="005929BA" w:rsidRDefault="000F4415">
            <w:pPr>
              <w:spacing w:line="360" w:lineRule="auto"/>
              <w:jc w:val="both"/>
              <w:rPr>
                <w:rFonts w:ascii="Garamond" w:hAnsi="Garamond"/>
              </w:rPr>
            </w:pPr>
            <w:r>
              <w:rPr>
                <w:rFonts w:ascii="Garamond" w:hAnsi="Garamond"/>
              </w:rPr>
              <w:t>Environmental attitudes</w:t>
            </w:r>
          </w:p>
        </w:tc>
        <w:tc>
          <w:tcPr>
            <w:tcW w:w="0" w:type="auto"/>
            <w:vAlign w:val="center"/>
          </w:tcPr>
          <w:p w:rsidR="005929BA" w:rsidRDefault="000F4415">
            <w:pPr>
              <w:spacing w:line="360" w:lineRule="auto"/>
              <w:jc w:val="both"/>
              <w:rPr>
                <w:rFonts w:ascii="Garamond" w:hAnsi="Garamond"/>
              </w:rPr>
            </w:pPr>
            <w:r>
              <w:rPr>
                <w:rFonts w:ascii="Garamond" w:hAnsi="Garamond"/>
              </w:rPr>
              <w:t>0.312</w:t>
            </w:r>
          </w:p>
        </w:tc>
        <w:tc>
          <w:tcPr>
            <w:tcW w:w="0" w:type="auto"/>
            <w:vAlign w:val="center"/>
          </w:tcPr>
          <w:p w:rsidR="005929BA" w:rsidRDefault="000F4415">
            <w:pPr>
              <w:spacing w:line="360" w:lineRule="auto"/>
              <w:jc w:val="both"/>
              <w:rPr>
                <w:rFonts w:ascii="Garamond" w:hAnsi="Garamond"/>
              </w:rPr>
            </w:pPr>
            <w:r>
              <w:rPr>
                <w:rFonts w:ascii="Garamond" w:hAnsi="Garamond"/>
              </w:rPr>
              <w:t>0.064</w:t>
            </w:r>
          </w:p>
        </w:tc>
        <w:tc>
          <w:tcPr>
            <w:tcW w:w="0" w:type="auto"/>
            <w:vAlign w:val="center"/>
          </w:tcPr>
          <w:p w:rsidR="005929BA" w:rsidRDefault="000F4415">
            <w:pPr>
              <w:spacing w:line="360" w:lineRule="auto"/>
              <w:jc w:val="both"/>
              <w:rPr>
                <w:rFonts w:ascii="Garamond" w:hAnsi="Garamond"/>
              </w:rPr>
            </w:pPr>
            <w:r>
              <w:rPr>
                <w:rFonts w:ascii="Garamond" w:hAnsi="Garamond"/>
              </w:rPr>
              <w:t>4.88</w:t>
            </w:r>
          </w:p>
        </w:tc>
        <w:tc>
          <w:tcPr>
            <w:tcW w:w="0" w:type="auto"/>
            <w:vAlign w:val="center"/>
          </w:tcPr>
          <w:p w:rsidR="005929BA" w:rsidRDefault="000F4415">
            <w:pPr>
              <w:spacing w:line="360" w:lineRule="auto"/>
              <w:jc w:val="both"/>
              <w:rPr>
                <w:rFonts w:ascii="Garamond" w:hAnsi="Garamond"/>
              </w:rPr>
            </w:pPr>
            <w:r>
              <w:rPr>
                <w:rFonts w:ascii="Garamond" w:hAnsi="Garamond"/>
              </w:rPr>
              <w:t>&lt; .001*</w:t>
            </w:r>
          </w:p>
        </w:tc>
      </w:tr>
      <w:tr w:rsidR="005929BA">
        <w:trPr>
          <w:trHeight w:val="451"/>
          <w:tblCellSpacing w:w="15" w:type="dxa"/>
        </w:trPr>
        <w:tc>
          <w:tcPr>
            <w:tcW w:w="0" w:type="auto"/>
            <w:vAlign w:val="center"/>
          </w:tcPr>
          <w:p w:rsidR="005929BA" w:rsidRDefault="000F4415">
            <w:pPr>
              <w:spacing w:line="360" w:lineRule="auto"/>
              <w:jc w:val="both"/>
              <w:rPr>
                <w:rFonts w:ascii="Garamond" w:hAnsi="Garamond"/>
              </w:rPr>
            </w:pPr>
            <w:r>
              <w:rPr>
                <w:rFonts w:ascii="Garamond" w:hAnsi="Garamond"/>
              </w:rPr>
              <w:t>Cultural value of land</w:t>
            </w:r>
          </w:p>
        </w:tc>
        <w:tc>
          <w:tcPr>
            <w:tcW w:w="0" w:type="auto"/>
            <w:vAlign w:val="center"/>
          </w:tcPr>
          <w:p w:rsidR="005929BA" w:rsidRDefault="000F4415">
            <w:pPr>
              <w:spacing w:line="360" w:lineRule="auto"/>
              <w:jc w:val="both"/>
              <w:rPr>
                <w:rFonts w:ascii="Garamond" w:hAnsi="Garamond"/>
              </w:rPr>
            </w:pPr>
            <w:r>
              <w:rPr>
                <w:rFonts w:ascii="Garamond" w:hAnsi="Garamond"/>
              </w:rPr>
              <w:t>0.274</w:t>
            </w:r>
          </w:p>
        </w:tc>
        <w:tc>
          <w:tcPr>
            <w:tcW w:w="0" w:type="auto"/>
            <w:vAlign w:val="center"/>
          </w:tcPr>
          <w:p w:rsidR="005929BA" w:rsidRDefault="000F4415">
            <w:pPr>
              <w:spacing w:line="360" w:lineRule="auto"/>
              <w:jc w:val="both"/>
              <w:rPr>
                <w:rFonts w:ascii="Garamond" w:hAnsi="Garamond"/>
              </w:rPr>
            </w:pPr>
            <w:r>
              <w:rPr>
                <w:rFonts w:ascii="Garamond" w:hAnsi="Garamond"/>
              </w:rPr>
              <w:t>0.071</w:t>
            </w:r>
          </w:p>
        </w:tc>
        <w:tc>
          <w:tcPr>
            <w:tcW w:w="0" w:type="auto"/>
            <w:vAlign w:val="center"/>
          </w:tcPr>
          <w:p w:rsidR="005929BA" w:rsidRDefault="000F4415">
            <w:pPr>
              <w:spacing w:line="360" w:lineRule="auto"/>
              <w:jc w:val="both"/>
              <w:rPr>
                <w:rFonts w:ascii="Garamond" w:hAnsi="Garamond"/>
              </w:rPr>
            </w:pPr>
            <w:r>
              <w:rPr>
                <w:rFonts w:ascii="Garamond" w:hAnsi="Garamond"/>
              </w:rPr>
              <w:t>3.86</w:t>
            </w:r>
          </w:p>
        </w:tc>
        <w:tc>
          <w:tcPr>
            <w:tcW w:w="0" w:type="auto"/>
            <w:vAlign w:val="center"/>
          </w:tcPr>
          <w:p w:rsidR="005929BA" w:rsidRDefault="000F4415">
            <w:pPr>
              <w:spacing w:line="360" w:lineRule="auto"/>
              <w:jc w:val="both"/>
              <w:rPr>
                <w:rFonts w:ascii="Garamond" w:hAnsi="Garamond"/>
              </w:rPr>
            </w:pPr>
            <w:r>
              <w:rPr>
                <w:rFonts w:ascii="Garamond" w:hAnsi="Garamond"/>
              </w:rPr>
              <w:t>&lt; .001*</w:t>
            </w:r>
          </w:p>
        </w:tc>
      </w:tr>
      <w:tr w:rsidR="005929BA">
        <w:trPr>
          <w:trHeight w:val="451"/>
          <w:tblCellSpacing w:w="15" w:type="dxa"/>
        </w:trPr>
        <w:tc>
          <w:tcPr>
            <w:tcW w:w="0" w:type="auto"/>
            <w:vAlign w:val="center"/>
          </w:tcPr>
          <w:p w:rsidR="005929BA" w:rsidRDefault="000F4415">
            <w:pPr>
              <w:spacing w:line="360" w:lineRule="auto"/>
              <w:jc w:val="both"/>
              <w:rPr>
                <w:rFonts w:ascii="Garamond" w:hAnsi="Garamond"/>
              </w:rPr>
            </w:pPr>
            <w:r>
              <w:rPr>
                <w:rFonts w:ascii="Garamond" w:hAnsi="Garamond"/>
              </w:rPr>
              <w:t>Perceived benefits</w:t>
            </w:r>
          </w:p>
        </w:tc>
        <w:tc>
          <w:tcPr>
            <w:tcW w:w="0" w:type="auto"/>
            <w:vAlign w:val="center"/>
          </w:tcPr>
          <w:p w:rsidR="005929BA" w:rsidRDefault="000F4415">
            <w:pPr>
              <w:spacing w:line="360" w:lineRule="auto"/>
              <w:jc w:val="both"/>
              <w:rPr>
                <w:rFonts w:ascii="Garamond" w:hAnsi="Garamond"/>
              </w:rPr>
            </w:pPr>
            <w:r>
              <w:rPr>
                <w:rFonts w:ascii="Garamond" w:hAnsi="Garamond"/>
              </w:rPr>
              <w:t>0.241</w:t>
            </w:r>
          </w:p>
        </w:tc>
        <w:tc>
          <w:tcPr>
            <w:tcW w:w="0" w:type="auto"/>
            <w:vAlign w:val="center"/>
          </w:tcPr>
          <w:p w:rsidR="005929BA" w:rsidRDefault="000F4415">
            <w:pPr>
              <w:spacing w:line="360" w:lineRule="auto"/>
              <w:jc w:val="both"/>
              <w:rPr>
                <w:rFonts w:ascii="Garamond" w:hAnsi="Garamond"/>
              </w:rPr>
            </w:pPr>
            <w:r>
              <w:rPr>
                <w:rFonts w:ascii="Garamond" w:hAnsi="Garamond"/>
              </w:rPr>
              <w:t>0.068</w:t>
            </w:r>
          </w:p>
        </w:tc>
        <w:tc>
          <w:tcPr>
            <w:tcW w:w="0" w:type="auto"/>
            <w:vAlign w:val="center"/>
          </w:tcPr>
          <w:p w:rsidR="005929BA" w:rsidRDefault="000F4415">
            <w:pPr>
              <w:spacing w:line="360" w:lineRule="auto"/>
              <w:jc w:val="both"/>
              <w:rPr>
                <w:rFonts w:ascii="Garamond" w:hAnsi="Garamond"/>
              </w:rPr>
            </w:pPr>
            <w:r>
              <w:rPr>
                <w:rFonts w:ascii="Garamond" w:hAnsi="Garamond"/>
              </w:rPr>
              <w:t>3.54</w:t>
            </w:r>
          </w:p>
        </w:tc>
        <w:tc>
          <w:tcPr>
            <w:tcW w:w="0" w:type="auto"/>
            <w:vAlign w:val="center"/>
          </w:tcPr>
          <w:p w:rsidR="005929BA" w:rsidRDefault="000F4415">
            <w:pPr>
              <w:spacing w:line="360" w:lineRule="auto"/>
              <w:jc w:val="both"/>
              <w:rPr>
                <w:rFonts w:ascii="Garamond" w:hAnsi="Garamond"/>
              </w:rPr>
            </w:pPr>
            <w:r>
              <w:rPr>
                <w:rFonts w:ascii="Garamond" w:hAnsi="Garamond"/>
              </w:rPr>
              <w:t>.001*</w:t>
            </w:r>
          </w:p>
        </w:tc>
      </w:tr>
      <w:tr w:rsidR="005929BA">
        <w:trPr>
          <w:trHeight w:val="465"/>
          <w:tblCellSpacing w:w="15" w:type="dxa"/>
        </w:trPr>
        <w:tc>
          <w:tcPr>
            <w:tcW w:w="0" w:type="auto"/>
            <w:vAlign w:val="center"/>
          </w:tcPr>
          <w:p w:rsidR="005929BA" w:rsidRDefault="000F4415">
            <w:pPr>
              <w:spacing w:line="360" w:lineRule="auto"/>
              <w:jc w:val="both"/>
              <w:rPr>
                <w:rFonts w:ascii="Garamond" w:hAnsi="Garamond"/>
              </w:rPr>
            </w:pPr>
            <w:r>
              <w:rPr>
                <w:rFonts w:ascii="Garamond" w:hAnsi="Garamond"/>
              </w:rPr>
              <w:lastRenderedPageBreak/>
              <w:t>Perceived land degradation</w:t>
            </w:r>
          </w:p>
        </w:tc>
        <w:tc>
          <w:tcPr>
            <w:tcW w:w="0" w:type="auto"/>
            <w:vAlign w:val="center"/>
          </w:tcPr>
          <w:p w:rsidR="005929BA" w:rsidRDefault="000F4415">
            <w:pPr>
              <w:spacing w:line="360" w:lineRule="auto"/>
              <w:jc w:val="both"/>
              <w:rPr>
                <w:rFonts w:ascii="Garamond" w:hAnsi="Garamond"/>
              </w:rPr>
            </w:pPr>
            <w:r>
              <w:rPr>
                <w:rFonts w:ascii="Garamond" w:hAnsi="Garamond"/>
              </w:rPr>
              <w:t>0.167</w:t>
            </w:r>
          </w:p>
        </w:tc>
        <w:tc>
          <w:tcPr>
            <w:tcW w:w="0" w:type="auto"/>
            <w:vAlign w:val="center"/>
          </w:tcPr>
          <w:p w:rsidR="005929BA" w:rsidRDefault="000F4415">
            <w:pPr>
              <w:spacing w:line="360" w:lineRule="auto"/>
              <w:jc w:val="both"/>
              <w:rPr>
                <w:rFonts w:ascii="Garamond" w:hAnsi="Garamond"/>
              </w:rPr>
            </w:pPr>
            <w:r>
              <w:rPr>
                <w:rFonts w:ascii="Garamond" w:hAnsi="Garamond"/>
              </w:rPr>
              <w:t>0.061</w:t>
            </w:r>
          </w:p>
        </w:tc>
        <w:tc>
          <w:tcPr>
            <w:tcW w:w="0" w:type="auto"/>
            <w:vAlign w:val="center"/>
          </w:tcPr>
          <w:p w:rsidR="005929BA" w:rsidRDefault="000F4415">
            <w:pPr>
              <w:spacing w:line="360" w:lineRule="auto"/>
              <w:jc w:val="both"/>
              <w:rPr>
                <w:rFonts w:ascii="Garamond" w:hAnsi="Garamond"/>
              </w:rPr>
            </w:pPr>
            <w:r>
              <w:rPr>
                <w:rFonts w:ascii="Garamond" w:hAnsi="Garamond"/>
              </w:rPr>
              <w:t>2.74</w:t>
            </w:r>
          </w:p>
        </w:tc>
        <w:tc>
          <w:tcPr>
            <w:tcW w:w="0" w:type="auto"/>
            <w:vAlign w:val="center"/>
          </w:tcPr>
          <w:p w:rsidR="005929BA" w:rsidRDefault="000F4415">
            <w:pPr>
              <w:spacing w:line="360" w:lineRule="auto"/>
              <w:jc w:val="both"/>
              <w:rPr>
                <w:rFonts w:ascii="Garamond" w:hAnsi="Garamond"/>
              </w:rPr>
            </w:pPr>
            <w:r>
              <w:rPr>
                <w:rFonts w:ascii="Garamond" w:hAnsi="Garamond"/>
              </w:rPr>
              <w:t>.007*</w:t>
            </w:r>
          </w:p>
        </w:tc>
      </w:tr>
      <w:tr w:rsidR="005929BA">
        <w:trPr>
          <w:trHeight w:val="451"/>
          <w:tblCellSpacing w:w="15" w:type="dxa"/>
        </w:trPr>
        <w:tc>
          <w:tcPr>
            <w:tcW w:w="0" w:type="auto"/>
            <w:tcBorders>
              <w:bottom w:val="single" w:sz="4" w:space="0" w:color="auto"/>
            </w:tcBorders>
            <w:vAlign w:val="center"/>
          </w:tcPr>
          <w:p w:rsidR="005929BA" w:rsidRDefault="000F4415">
            <w:pPr>
              <w:spacing w:line="360" w:lineRule="auto"/>
              <w:jc w:val="both"/>
              <w:rPr>
                <w:rFonts w:ascii="Garamond" w:hAnsi="Garamond"/>
              </w:rPr>
            </w:pPr>
            <w:r>
              <w:rPr>
                <w:rFonts w:ascii="Garamond" w:hAnsi="Garamond"/>
              </w:rPr>
              <w:t>Trust in indigenous knowledge</w:t>
            </w:r>
          </w:p>
        </w:tc>
        <w:tc>
          <w:tcPr>
            <w:tcW w:w="0" w:type="auto"/>
            <w:tcBorders>
              <w:bottom w:val="single" w:sz="4" w:space="0" w:color="auto"/>
            </w:tcBorders>
            <w:vAlign w:val="center"/>
          </w:tcPr>
          <w:p w:rsidR="005929BA" w:rsidRDefault="000F4415">
            <w:pPr>
              <w:spacing w:line="360" w:lineRule="auto"/>
              <w:jc w:val="both"/>
              <w:rPr>
                <w:rFonts w:ascii="Garamond" w:hAnsi="Garamond"/>
              </w:rPr>
            </w:pPr>
            <w:r>
              <w:rPr>
                <w:rFonts w:ascii="Garamond" w:hAnsi="Garamond"/>
              </w:rPr>
              <w:t>0.298</w:t>
            </w:r>
          </w:p>
        </w:tc>
        <w:tc>
          <w:tcPr>
            <w:tcW w:w="0" w:type="auto"/>
            <w:tcBorders>
              <w:bottom w:val="single" w:sz="4" w:space="0" w:color="auto"/>
            </w:tcBorders>
            <w:vAlign w:val="center"/>
          </w:tcPr>
          <w:p w:rsidR="005929BA" w:rsidRDefault="000F4415">
            <w:pPr>
              <w:spacing w:line="360" w:lineRule="auto"/>
              <w:jc w:val="both"/>
              <w:rPr>
                <w:rFonts w:ascii="Garamond" w:hAnsi="Garamond"/>
              </w:rPr>
            </w:pPr>
            <w:r>
              <w:rPr>
                <w:rFonts w:ascii="Garamond" w:hAnsi="Garamond"/>
              </w:rPr>
              <w:t>0.066</w:t>
            </w:r>
          </w:p>
        </w:tc>
        <w:tc>
          <w:tcPr>
            <w:tcW w:w="0" w:type="auto"/>
            <w:tcBorders>
              <w:bottom w:val="single" w:sz="4" w:space="0" w:color="auto"/>
            </w:tcBorders>
            <w:vAlign w:val="center"/>
          </w:tcPr>
          <w:p w:rsidR="005929BA" w:rsidRDefault="000F4415">
            <w:pPr>
              <w:spacing w:line="360" w:lineRule="auto"/>
              <w:jc w:val="both"/>
              <w:rPr>
                <w:rFonts w:ascii="Garamond" w:hAnsi="Garamond"/>
              </w:rPr>
            </w:pPr>
            <w:r>
              <w:rPr>
                <w:rFonts w:ascii="Garamond" w:hAnsi="Garamond"/>
              </w:rPr>
              <w:t>4.52</w:t>
            </w:r>
          </w:p>
        </w:tc>
        <w:tc>
          <w:tcPr>
            <w:tcW w:w="0" w:type="auto"/>
            <w:tcBorders>
              <w:bottom w:val="single" w:sz="4" w:space="0" w:color="auto"/>
            </w:tcBorders>
            <w:vAlign w:val="center"/>
          </w:tcPr>
          <w:p w:rsidR="005929BA" w:rsidRDefault="000F4415">
            <w:pPr>
              <w:spacing w:line="360" w:lineRule="auto"/>
              <w:jc w:val="both"/>
              <w:rPr>
                <w:rFonts w:ascii="Garamond" w:hAnsi="Garamond"/>
              </w:rPr>
            </w:pPr>
            <w:r>
              <w:rPr>
                <w:rFonts w:ascii="Garamond" w:hAnsi="Garamond"/>
              </w:rPr>
              <w:t>&lt; .001*</w:t>
            </w:r>
          </w:p>
        </w:tc>
      </w:tr>
    </w:tbl>
    <w:p w:rsidR="005929BA" w:rsidRDefault="000F4415">
      <w:pPr>
        <w:spacing w:line="360" w:lineRule="auto"/>
        <w:jc w:val="both"/>
        <w:rPr>
          <w:rFonts w:ascii="Garamond" w:hAnsi="Garamond"/>
        </w:rPr>
      </w:pPr>
      <w:r>
        <w:rPr>
          <w:rFonts w:ascii="Garamond" w:hAnsi="Garamond"/>
          <w:b/>
          <w:bCs/>
        </w:rPr>
        <w:t>Model fit:</w:t>
      </w:r>
      <w:r>
        <w:rPr>
          <w:rFonts w:ascii="Garamond" w:hAnsi="Garamond"/>
        </w:rPr>
        <w:t xml:space="preserve"> R² = .54; Adjusted R² = .51; F (5,314) = 37.2, p &lt; .05</w:t>
      </w:r>
      <w:r>
        <w:rPr>
          <w:rFonts w:ascii="Garamond" w:hAnsi="Garamond"/>
        </w:rPr>
        <w:br/>
        <w:t>*statistically significant</w:t>
      </w:r>
    </w:p>
    <w:p w:rsidR="005929BA" w:rsidRDefault="000F4415">
      <w:pPr>
        <w:spacing w:line="360" w:lineRule="auto"/>
        <w:jc w:val="both"/>
        <w:rPr>
          <w:rFonts w:ascii="Garamond" w:hAnsi="Garamond"/>
          <w:b/>
          <w:bCs/>
        </w:rPr>
      </w:pPr>
      <w:r>
        <w:rPr>
          <w:rFonts w:ascii="Garamond" w:hAnsi="Garamond"/>
          <w:b/>
          <w:bCs/>
        </w:rPr>
        <w:t>5. Discussion</w:t>
      </w:r>
    </w:p>
    <w:p w:rsidR="005929BA" w:rsidRDefault="000F4415">
      <w:pPr>
        <w:spacing w:line="360" w:lineRule="auto"/>
        <w:jc w:val="both"/>
        <w:rPr>
          <w:rFonts w:ascii="Garamond" w:hAnsi="Garamond"/>
        </w:rPr>
      </w:pPr>
      <w:r>
        <w:rPr>
          <w:rFonts w:ascii="Garamond" w:hAnsi="Garamond"/>
        </w:rPr>
        <w:t xml:space="preserve">The findings demonstrate that attitudes and perceptions significantly influence sustainable farming practices among the Maasai in </w:t>
      </w:r>
      <w:proofErr w:type="spellStart"/>
      <w:r>
        <w:rPr>
          <w:rFonts w:ascii="Garamond" w:hAnsi="Garamond"/>
        </w:rPr>
        <w:t>Kajiado</w:t>
      </w:r>
      <w:proofErr w:type="spellEnd"/>
      <w:r>
        <w:rPr>
          <w:rFonts w:ascii="Garamond" w:hAnsi="Garamond"/>
        </w:rPr>
        <w:t xml:space="preserve"> County. Environmental stewardship attitudes and trust in indigenous knowledge systems emerged as strong predictors, underscoring the importance of culturally embedded values in shaping sustainability-oriented </w:t>
      </w:r>
      <w:proofErr w:type="spellStart"/>
      <w:r>
        <w:rPr>
          <w:rFonts w:ascii="Garamond" w:hAnsi="Garamond"/>
        </w:rPr>
        <w:t>behaviour</w:t>
      </w:r>
      <w:proofErr w:type="spellEnd"/>
      <w:r>
        <w:rPr>
          <w:rFonts w:ascii="Garamond" w:hAnsi="Garamond"/>
        </w:rPr>
        <w:t xml:space="preserve">. This supports the Theory of Planned </w:t>
      </w:r>
      <w:proofErr w:type="spellStart"/>
      <w:r>
        <w:rPr>
          <w:rFonts w:ascii="Garamond" w:hAnsi="Garamond"/>
        </w:rPr>
        <w:t>Behaviour</w:t>
      </w:r>
      <w:proofErr w:type="spellEnd"/>
      <w:r>
        <w:rPr>
          <w:rFonts w:ascii="Garamond" w:hAnsi="Garamond"/>
        </w:rPr>
        <w:t xml:space="preserve">, which posits that attitudes are key determinants of </w:t>
      </w:r>
      <w:proofErr w:type="spellStart"/>
      <w:r>
        <w:rPr>
          <w:rFonts w:ascii="Garamond" w:hAnsi="Garamond"/>
        </w:rPr>
        <w:t>behavioural</w:t>
      </w:r>
      <w:proofErr w:type="spellEnd"/>
      <w:r>
        <w:rPr>
          <w:rFonts w:ascii="Garamond" w:hAnsi="Garamond"/>
        </w:rPr>
        <w:t xml:space="preserve"> intention (</w:t>
      </w:r>
      <w:proofErr w:type="spellStart"/>
      <w:r>
        <w:rPr>
          <w:rFonts w:ascii="Garamond" w:hAnsi="Garamond"/>
        </w:rPr>
        <w:t>Ajzen</w:t>
      </w:r>
      <w:proofErr w:type="spellEnd"/>
      <w:r>
        <w:rPr>
          <w:rFonts w:ascii="Garamond" w:hAnsi="Garamond"/>
        </w:rPr>
        <w:t>, 1991).</w:t>
      </w:r>
    </w:p>
    <w:p w:rsidR="005929BA" w:rsidRDefault="000F4415">
      <w:pPr>
        <w:spacing w:line="360" w:lineRule="auto"/>
        <w:jc w:val="both"/>
        <w:rPr>
          <w:rFonts w:ascii="Garamond" w:hAnsi="Garamond"/>
        </w:rPr>
      </w:pPr>
      <w:r>
        <w:rPr>
          <w:rFonts w:ascii="Garamond" w:hAnsi="Garamond"/>
        </w:rPr>
        <w:t>The significant influence of cultural valuation of land highlights the role of indigenous worldviews in promoting conservation practices. Additionally, perceptions of land degradation risk motivated households to adopt sustainable farming practices, consistent with previous studies in climate-vulnerable regions (</w:t>
      </w:r>
      <w:proofErr w:type="spellStart"/>
      <w:r>
        <w:rPr>
          <w:rFonts w:ascii="Garamond" w:hAnsi="Garamond"/>
        </w:rPr>
        <w:t>Deressa</w:t>
      </w:r>
      <w:proofErr w:type="spellEnd"/>
      <w:r>
        <w:rPr>
          <w:rFonts w:ascii="Garamond" w:hAnsi="Garamond"/>
        </w:rPr>
        <w:t xml:space="preserve"> et al., 2011). These findings suggest that sustainable farming initiatives must align with local attitudes and perceptions to achieve long-term impact.</w:t>
      </w:r>
    </w:p>
    <w:p w:rsidR="005929BA" w:rsidRDefault="000F4415">
      <w:pPr>
        <w:spacing w:line="360" w:lineRule="auto"/>
        <w:jc w:val="both"/>
        <w:rPr>
          <w:rFonts w:ascii="Garamond" w:hAnsi="Garamond"/>
          <w:b/>
          <w:bCs/>
        </w:rPr>
      </w:pPr>
      <w:r>
        <w:rPr>
          <w:rFonts w:ascii="Garamond" w:hAnsi="Garamond"/>
          <w:b/>
          <w:bCs/>
        </w:rPr>
        <w:t>6. Conclusion</w:t>
      </w:r>
    </w:p>
    <w:p w:rsidR="005929BA" w:rsidRDefault="000F4415">
      <w:pPr>
        <w:spacing w:line="360" w:lineRule="auto"/>
        <w:jc w:val="both"/>
        <w:rPr>
          <w:rFonts w:ascii="Garamond" w:hAnsi="Garamond"/>
        </w:rPr>
      </w:pPr>
      <w:r>
        <w:rPr>
          <w:rFonts w:ascii="Garamond" w:hAnsi="Garamond"/>
        </w:rPr>
        <w:t xml:space="preserve">This study establishes that attitudes and perceptions significantly influence sustainable farming practices among the Maasai community in </w:t>
      </w:r>
      <w:proofErr w:type="spellStart"/>
      <w:r>
        <w:rPr>
          <w:rFonts w:ascii="Garamond" w:hAnsi="Garamond"/>
        </w:rPr>
        <w:t>Kajiado</w:t>
      </w:r>
      <w:proofErr w:type="spellEnd"/>
      <w:r>
        <w:rPr>
          <w:rFonts w:ascii="Garamond" w:hAnsi="Garamond"/>
        </w:rPr>
        <w:t xml:space="preserve"> County. Socio-cultural values, environmental attitudes, and trust in indigenous knowledge systems play a central role in shaping farming decisions, alongside perceived risks and benefits. The research findings have shown that there is a significant influence of indigenous environmental knowledge, levels of education, attitudes and perceptions and accessibility to information sources on sustainability of farming practices. The research provides empirical evidence that supports the cause of environmental awareness practices and their influence on sustainability of farming practices. This study concludes that environmental awareness practices are crucial in influencing one's </w:t>
      </w:r>
      <w:r>
        <w:rPr>
          <w:rFonts w:ascii="Garamond" w:hAnsi="Garamond"/>
        </w:rPr>
        <w:lastRenderedPageBreak/>
        <w:t xml:space="preserve">decision to either remain using poor farming practices or not. For a given pastoral community to embrace good farming practices and combat hunger and dependence on help, the National and County governments should put in place structures that would address the issue in environmental awareness among the local communities.  </w:t>
      </w:r>
    </w:p>
    <w:p w:rsidR="005929BA" w:rsidRDefault="000F4415">
      <w:pPr>
        <w:spacing w:line="360" w:lineRule="auto"/>
        <w:jc w:val="both"/>
        <w:rPr>
          <w:rFonts w:ascii="Garamond" w:hAnsi="Garamond"/>
        </w:rPr>
      </w:pPr>
      <w:r>
        <w:rPr>
          <w:rFonts w:ascii="Garamond" w:hAnsi="Garamond"/>
        </w:rPr>
        <w:t xml:space="preserve">Level of education, attitudes and perceptions and accessibility to information sources should be given consideration in such structures. Indigenous environmental knowledge should be discouraged among the Maasai people and should be replaced with the modern scientific ones through training and sensitization. Conducting trainings on better and cheaper farming practices, regular focus on marketing their products, and implementing a flexibility program that </w:t>
      </w:r>
      <w:proofErr w:type="gramStart"/>
      <w:r>
        <w:rPr>
          <w:rFonts w:ascii="Garamond" w:hAnsi="Garamond"/>
        </w:rPr>
        <w:t>take into account</w:t>
      </w:r>
      <w:proofErr w:type="gramEnd"/>
      <w:r>
        <w:rPr>
          <w:rFonts w:ascii="Garamond" w:hAnsi="Garamond"/>
        </w:rPr>
        <w:t xml:space="preserve"> cost reduction in the new farming methods should be part of environmental awareness. </w:t>
      </w:r>
    </w:p>
    <w:p w:rsidR="005929BA" w:rsidRDefault="000F4415">
      <w:pPr>
        <w:spacing w:line="360" w:lineRule="auto"/>
        <w:jc w:val="both"/>
        <w:rPr>
          <w:rFonts w:ascii="Garamond" w:hAnsi="Garamond"/>
        </w:rPr>
      </w:pPr>
      <w:r>
        <w:rPr>
          <w:rFonts w:ascii="Garamond" w:hAnsi="Garamond"/>
        </w:rPr>
        <w:t xml:space="preserve">Future research in these four areas cultural identity, climate perception, education and information access, and gender dynamics would provide deeper insight into how attitudes and perceptions influence the adoption of sustainable farming practices among the Maasai in </w:t>
      </w:r>
      <w:proofErr w:type="spellStart"/>
      <w:r>
        <w:rPr>
          <w:rFonts w:ascii="Garamond" w:hAnsi="Garamond"/>
        </w:rPr>
        <w:t>Kajiado</w:t>
      </w:r>
      <w:proofErr w:type="spellEnd"/>
      <w:r>
        <w:rPr>
          <w:rFonts w:ascii="Garamond" w:hAnsi="Garamond"/>
        </w:rPr>
        <w:t xml:space="preserve"> County. Such studies can inform culturally sensitive, community-driven sustainability interventions.</w:t>
      </w:r>
    </w:p>
    <w:p w:rsidR="005929BA" w:rsidRDefault="000F4415">
      <w:pPr>
        <w:spacing w:line="360" w:lineRule="auto"/>
        <w:jc w:val="both"/>
        <w:rPr>
          <w:rFonts w:ascii="Garamond" w:hAnsi="Garamond"/>
          <w:b/>
        </w:rPr>
      </w:pPr>
      <w:r>
        <w:rPr>
          <w:rFonts w:ascii="Garamond" w:hAnsi="Garamond"/>
          <w:b/>
        </w:rPr>
        <w:t>7. Recommendations</w:t>
      </w:r>
    </w:p>
    <w:p w:rsidR="005929BA" w:rsidRDefault="000F4415">
      <w:pPr>
        <w:pStyle w:val="ListParagraph"/>
        <w:numPr>
          <w:ilvl w:val="0"/>
          <w:numId w:val="1"/>
        </w:numPr>
        <w:spacing w:line="360" w:lineRule="auto"/>
        <w:jc w:val="both"/>
        <w:rPr>
          <w:rFonts w:ascii="Garamond" w:hAnsi="Garamond"/>
          <w:b/>
        </w:rPr>
      </w:pPr>
      <w:r>
        <w:rPr>
          <w:rFonts w:ascii="Garamond" w:hAnsi="Garamond"/>
          <w:b/>
        </w:rPr>
        <w:t xml:space="preserve">Enhance farmer education and training programs: </w:t>
      </w:r>
    </w:p>
    <w:p w:rsidR="005929BA" w:rsidRDefault="000F4415">
      <w:pPr>
        <w:pStyle w:val="ListParagraph"/>
        <w:spacing w:line="360" w:lineRule="auto"/>
        <w:jc w:val="both"/>
        <w:rPr>
          <w:rFonts w:ascii="Garamond" w:hAnsi="Garamond"/>
        </w:rPr>
      </w:pPr>
      <w:r>
        <w:rPr>
          <w:rFonts w:ascii="Garamond" w:hAnsi="Garamond"/>
        </w:rPr>
        <w:t xml:space="preserve">Based on the finding that education and access to information significantly influence adoption of sustainable farming practices, it is recommended that government agencies and development partners increase farmer training initiatives. This can be achieved through regular extension visits, farmer field schools, and demonstration plots to improve knowledge and practical skills. </w:t>
      </w:r>
    </w:p>
    <w:p w:rsidR="005929BA" w:rsidRDefault="000F4415">
      <w:pPr>
        <w:pStyle w:val="ListParagraph"/>
        <w:numPr>
          <w:ilvl w:val="0"/>
          <w:numId w:val="1"/>
        </w:numPr>
        <w:spacing w:line="360" w:lineRule="auto"/>
        <w:jc w:val="both"/>
        <w:rPr>
          <w:rFonts w:ascii="Garamond" w:hAnsi="Garamond"/>
          <w:b/>
        </w:rPr>
      </w:pPr>
      <w:r>
        <w:rPr>
          <w:rFonts w:ascii="Garamond" w:hAnsi="Garamond"/>
          <w:b/>
        </w:rPr>
        <w:t>Improve access to financial resources and inputs:</w:t>
      </w:r>
    </w:p>
    <w:p w:rsidR="005929BA" w:rsidRDefault="000F4415">
      <w:pPr>
        <w:pStyle w:val="ListParagraph"/>
        <w:spacing w:line="360" w:lineRule="auto"/>
        <w:jc w:val="both"/>
        <w:rPr>
          <w:rFonts w:ascii="Garamond" w:hAnsi="Garamond"/>
        </w:rPr>
      </w:pPr>
      <w:r>
        <w:rPr>
          <w:rFonts w:ascii="Garamond" w:hAnsi="Garamond"/>
        </w:rPr>
        <w:t xml:space="preserve">Given that household income and financial constraints were identified as key barriers to adoption, the study recommends the provision of affordable credit facilities, subsidies, and input support programs. These interventions will enable farmers to invest in sustainable farming technologies such as improved seeds, water harvesting systems, and soil conservation practices. </w:t>
      </w:r>
    </w:p>
    <w:p w:rsidR="005929BA" w:rsidRDefault="000F4415">
      <w:pPr>
        <w:pStyle w:val="ListParagraph"/>
        <w:numPr>
          <w:ilvl w:val="0"/>
          <w:numId w:val="1"/>
        </w:numPr>
        <w:spacing w:line="360" w:lineRule="auto"/>
        <w:jc w:val="both"/>
        <w:rPr>
          <w:rFonts w:ascii="Garamond" w:hAnsi="Garamond"/>
        </w:rPr>
      </w:pPr>
      <w:r>
        <w:rPr>
          <w:rFonts w:ascii="Garamond" w:hAnsi="Garamond"/>
          <w:b/>
        </w:rPr>
        <w:t>Strengthen extension services and community networks:</w:t>
      </w:r>
    </w:p>
    <w:p w:rsidR="005929BA" w:rsidRDefault="000F4415">
      <w:pPr>
        <w:pStyle w:val="ListParagraph"/>
        <w:spacing w:line="360" w:lineRule="auto"/>
        <w:jc w:val="both"/>
        <w:rPr>
          <w:rFonts w:ascii="Garamond" w:hAnsi="Garamond"/>
        </w:rPr>
      </w:pPr>
      <w:r>
        <w:rPr>
          <w:rFonts w:ascii="Garamond" w:hAnsi="Garamond"/>
        </w:rPr>
        <w:lastRenderedPageBreak/>
        <w:t xml:space="preserve"> In response to findings that extension access and social networks positively influence adoption, it is recommended that extension services be strengthened through increased staffing, capacity building, and use of local farmer groups. </w:t>
      </w:r>
    </w:p>
    <w:p w:rsidR="005929BA" w:rsidRDefault="000F4415">
      <w:pPr>
        <w:pStyle w:val="ListParagraph"/>
        <w:numPr>
          <w:ilvl w:val="0"/>
          <w:numId w:val="1"/>
        </w:numPr>
        <w:spacing w:line="360" w:lineRule="auto"/>
        <w:jc w:val="both"/>
        <w:rPr>
          <w:rFonts w:ascii="Garamond" w:hAnsi="Garamond"/>
        </w:rPr>
      </w:pPr>
      <w:r>
        <w:rPr>
          <w:rFonts w:ascii="Garamond" w:hAnsi="Garamond"/>
          <w:b/>
        </w:rPr>
        <w:t xml:space="preserve">Encouraging community participation and knowledge sharing: </w:t>
      </w:r>
      <w:r>
        <w:rPr>
          <w:rFonts w:ascii="Garamond" w:hAnsi="Garamond"/>
        </w:rPr>
        <w:t xml:space="preserve">This will enhance peer learning and increase adoption of sustainable farming practices.8. Areas of further study </w:t>
      </w:r>
    </w:p>
    <w:p w:rsidR="005929BA" w:rsidRDefault="000F4415">
      <w:pPr>
        <w:spacing w:line="360" w:lineRule="auto"/>
        <w:jc w:val="both"/>
        <w:rPr>
          <w:rFonts w:ascii="Garamond" w:hAnsi="Garamond"/>
          <w:b/>
        </w:rPr>
      </w:pPr>
      <w:r>
        <w:rPr>
          <w:rFonts w:ascii="Garamond" w:hAnsi="Garamond"/>
          <w:b/>
        </w:rPr>
        <w:t>8.1: Cultural Beliefs and Traditional Livelihood Identity</w:t>
      </w:r>
    </w:p>
    <w:p w:rsidR="005929BA" w:rsidRDefault="000F4415">
      <w:pPr>
        <w:spacing w:line="360" w:lineRule="auto"/>
        <w:jc w:val="both"/>
        <w:rPr>
          <w:rFonts w:ascii="Garamond" w:hAnsi="Garamond"/>
        </w:rPr>
      </w:pPr>
      <w:r>
        <w:rPr>
          <w:rFonts w:ascii="Garamond" w:hAnsi="Garamond"/>
        </w:rPr>
        <w:t>Further research should examine how deep-rooted cultural values and identity influence attitudes toward sustainable farming. The Maasai traditionally identify as pastoralists, with cattle representing wealth, status, and social security. This cultural attachment may shape perceptions of crop farming, climate-smart agriculture, or land conservation practices.</w:t>
      </w:r>
    </w:p>
    <w:p w:rsidR="005929BA" w:rsidRDefault="000F4415">
      <w:pPr>
        <w:spacing w:line="360" w:lineRule="auto"/>
        <w:jc w:val="both"/>
        <w:rPr>
          <w:rFonts w:ascii="Garamond" w:hAnsi="Garamond"/>
        </w:rPr>
      </w:pPr>
      <w:r>
        <w:rPr>
          <w:rFonts w:ascii="Garamond" w:hAnsi="Garamond"/>
        </w:rPr>
        <w:t xml:space="preserve">Future studies could explore: Whether sustainable farming is perceived as a threat to cultural identity, how generational differences affect openness to diversified farming systems, the role of elders and community leaders in shaping collective attitudes. Understanding the interaction between cultural heritage and modern sustainability practices is critical in </w:t>
      </w:r>
      <w:proofErr w:type="spellStart"/>
      <w:r>
        <w:rPr>
          <w:rFonts w:ascii="Garamond" w:hAnsi="Garamond"/>
        </w:rPr>
        <w:t>Kajiado</w:t>
      </w:r>
      <w:proofErr w:type="spellEnd"/>
      <w:r>
        <w:rPr>
          <w:rFonts w:ascii="Garamond" w:hAnsi="Garamond"/>
        </w:rPr>
        <w:t xml:space="preserve"> County, where pastoralism remains dominant.</w:t>
      </w:r>
    </w:p>
    <w:p w:rsidR="005929BA" w:rsidRDefault="000F4415">
      <w:pPr>
        <w:spacing w:line="360" w:lineRule="auto"/>
        <w:jc w:val="both"/>
        <w:rPr>
          <w:rFonts w:ascii="Garamond" w:hAnsi="Garamond"/>
          <w:b/>
        </w:rPr>
      </w:pPr>
      <w:r>
        <w:rPr>
          <w:rFonts w:ascii="Garamond" w:hAnsi="Garamond"/>
          <w:b/>
        </w:rPr>
        <w:t>8.2: Perceptions of Climate Change and Environmental Risk</w:t>
      </w:r>
    </w:p>
    <w:p w:rsidR="005929BA" w:rsidRDefault="000F4415">
      <w:pPr>
        <w:spacing w:line="360" w:lineRule="auto"/>
        <w:jc w:val="both"/>
        <w:rPr>
          <w:rFonts w:ascii="Garamond" w:hAnsi="Garamond"/>
        </w:rPr>
      </w:pPr>
      <w:r>
        <w:rPr>
          <w:rFonts w:ascii="Garamond" w:hAnsi="Garamond"/>
        </w:rPr>
        <w:t xml:space="preserve">Attitudes toward sustainable farming may be strongly influenced by how farmers perceive climate variability and environmental degradation. </w:t>
      </w:r>
      <w:proofErr w:type="spellStart"/>
      <w:r>
        <w:rPr>
          <w:rFonts w:ascii="Garamond" w:hAnsi="Garamond"/>
        </w:rPr>
        <w:t>Kajiado</w:t>
      </w:r>
      <w:proofErr w:type="spellEnd"/>
      <w:r>
        <w:rPr>
          <w:rFonts w:ascii="Garamond" w:hAnsi="Garamond"/>
        </w:rPr>
        <w:t xml:space="preserve"> County experiences recurrent droughts and land degradation, which directly affect pastoral livelihoods. Further research could assess: Whether Maasai farmers attribute drought to climate change, spiritual beliefs, or natural cycles, how risk perception influences adoption of practices such as rotational grazing, water harvesting, and drought-resistant crops and the relationship between awareness campaigns and behavioral change. Understanding these perceptions can clarify whether sustainability practices are seen as adaptive necessities or externally imposed interventions.</w:t>
      </w:r>
    </w:p>
    <w:p w:rsidR="005929BA" w:rsidRDefault="000F4415">
      <w:pPr>
        <w:spacing w:line="360" w:lineRule="auto"/>
        <w:jc w:val="both"/>
        <w:rPr>
          <w:rFonts w:ascii="Garamond" w:hAnsi="Garamond"/>
          <w:b/>
        </w:rPr>
      </w:pPr>
      <w:r>
        <w:rPr>
          <w:rFonts w:ascii="Garamond" w:hAnsi="Garamond"/>
          <w:b/>
        </w:rPr>
        <w:t>8.3: Education, Information Access, and Extension Services</w:t>
      </w:r>
    </w:p>
    <w:p w:rsidR="005929BA" w:rsidRDefault="000F4415">
      <w:pPr>
        <w:spacing w:line="360" w:lineRule="auto"/>
        <w:jc w:val="both"/>
        <w:rPr>
          <w:rFonts w:ascii="Garamond" w:hAnsi="Garamond"/>
        </w:rPr>
      </w:pPr>
      <w:r>
        <w:rPr>
          <w:rFonts w:ascii="Garamond" w:hAnsi="Garamond"/>
        </w:rPr>
        <w:t xml:space="preserve">Educational level and exposure to agricultural extension services may shape attitudes toward sustainable farming. Research should investigate whether access to training programs </w:t>
      </w:r>
      <w:r>
        <w:rPr>
          <w:rFonts w:ascii="Garamond" w:hAnsi="Garamond"/>
        </w:rPr>
        <w:lastRenderedPageBreak/>
        <w:t>influences positive perceptions of conservation agriculture, agroforestry, or improved livestock management.</w:t>
      </w:r>
    </w:p>
    <w:p w:rsidR="005929BA" w:rsidRDefault="000F4415">
      <w:pPr>
        <w:spacing w:line="360" w:lineRule="auto"/>
        <w:jc w:val="both"/>
        <w:rPr>
          <w:rFonts w:ascii="Garamond" w:hAnsi="Garamond"/>
        </w:rPr>
      </w:pPr>
      <w:r>
        <w:rPr>
          <w:rFonts w:ascii="Garamond" w:hAnsi="Garamond"/>
        </w:rPr>
        <w:t>Areas for, Differences in perception between formally educated youth and older herders and the role of digital platforms and mobile technology in reshaping attitudes. This area would help determine whether knowledge gaps or value-based resistance more strongly influence farming decisions.</w:t>
      </w:r>
    </w:p>
    <w:p w:rsidR="005929BA" w:rsidRDefault="000F4415">
      <w:pPr>
        <w:spacing w:line="360" w:lineRule="auto"/>
        <w:jc w:val="both"/>
        <w:rPr>
          <w:rFonts w:ascii="Garamond" w:hAnsi="Garamond"/>
          <w:b/>
        </w:rPr>
      </w:pPr>
      <w:r>
        <w:rPr>
          <w:rFonts w:ascii="Garamond" w:hAnsi="Garamond"/>
          <w:b/>
        </w:rPr>
        <w:t>8.4: Gender Roles and Intra-household Decision-Making</w:t>
      </w:r>
    </w:p>
    <w:p w:rsidR="005929BA" w:rsidRDefault="000F4415">
      <w:pPr>
        <w:spacing w:line="360" w:lineRule="auto"/>
        <w:jc w:val="both"/>
        <w:rPr>
          <w:rFonts w:ascii="Garamond" w:hAnsi="Garamond"/>
        </w:rPr>
      </w:pPr>
      <w:r>
        <w:rPr>
          <w:rFonts w:ascii="Garamond" w:hAnsi="Garamond"/>
        </w:rPr>
        <w:t>Gender dynamics may significantly influence sustainable farming adoption. Among the Maasai, men traditionally control livestock decisions, while women often manage household food production and small-scale farming.</w:t>
      </w:r>
    </w:p>
    <w:p w:rsidR="005929BA" w:rsidRDefault="000F4415">
      <w:pPr>
        <w:spacing w:line="360" w:lineRule="auto"/>
        <w:jc w:val="both"/>
        <w:rPr>
          <w:rFonts w:ascii="Garamond" w:hAnsi="Garamond"/>
        </w:rPr>
      </w:pPr>
      <w:r>
        <w:rPr>
          <w:rFonts w:ascii="Garamond" w:hAnsi="Garamond"/>
        </w:rPr>
        <w:t>Further study could explore: Whether women hold more favorable attitudes toward crop diversification and soil conservation, how decision-making power affects the implementation of sustainable practices and the influence of women’s groups and community-based organizations in promoting sustainability. Examining gendered perceptions will clarify whether attitudes differ within households and how this shapes overall farming practices.</w:t>
      </w:r>
    </w:p>
    <w:p w:rsidR="00D81174" w:rsidRDefault="00D81174">
      <w:pPr>
        <w:spacing w:line="360" w:lineRule="auto"/>
        <w:jc w:val="both"/>
        <w:rPr>
          <w:rFonts w:ascii="Garamond" w:hAnsi="Garamond"/>
        </w:rPr>
      </w:pPr>
    </w:p>
    <w:p w:rsidR="00D81174" w:rsidRPr="00734A67" w:rsidRDefault="00D81174" w:rsidP="00D81174">
      <w:pPr>
        <w:spacing w:line="360" w:lineRule="auto"/>
        <w:jc w:val="both"/>
        <w:rPr>
          <w:rFonts w:ascii="Garamond" w:hAnsi="Garamond"/>
          <w:b/>
        </w:rPr>
      </w:pPr>
      <w:r w:rsidRPr="00734A67">
        <w:rPr>
          <w:rFonts w:ascii="Garamond" w:hAnsi="Garamond"/>
          <w:b/>
        </w:rPr>
        <w:t>Disclaimer (Artificial intelligence)</w:t>
      </w:r>
    </w:p>
    <w:p w:rsidR="00D81174" w:rsidRDefault="00D81174" w:rsidP="00D81174">
      <w:pPr>
        <w:spacing w:line="360" w:lineRule="auto"/>
        <w:jc w:val="both"/>
        <w:rPr>
          <w:rFonts w:ascii="Garamond" w:hAnsi="Garamond"/>
        </w:rPr>
      </w:pPr>
      <w:r w:rsidRPr="00D81174">
        <w:rPr>
          <w:rFonts w:ascii="Garamond" w:hAnsi="Garamond"/>
        </w:rPr>
        <w:t>Author(s) hereby declare that NO generative AI technologies such as Large Language Models (</w:t>
      </w:r>
      <w:proofErr w:type="spellStart"/>
      <w:r w:rsidRPr="00D81174">
        <w:rPr>
          <w:rFonts w:ascii="Garamond" w:hAnsi="Garamond"/>
        </w:rPr>
        <w:t>ChatGPT</w:t>
      </w:r>
      <w:proofErr w:type="spellEnd"/>
      <w:r w:rsidRPr="00D81174">
        <w:rPr>
          <w:rFonts w:ascii="Garamond" w:hAnsi="Garamond"/>
        </w:rPr>
        <w:t>, COPILOT, etc.) and text-</w:t>
      </w:r>
      <w:bookmarkStart w:id="9" w:name="_GoBack"/>
      <w:bookmarkEnd w:id="9"/>
      <w:r w:rsidRPr="00D81174">
        <w:rPr>
          <w:rFonts w:ascii="Garamond" w:hAnsi="Garamond"/>
        </w:rPr>
        <w:t>to-image generators have been used during the writing or editing of this manuscript.</w:t>
      </w:r>
    </w:p>
    <w:p w:rsidR="005929BA" w:rsidRDefault="000F4415">
      <w:pPr>
        <w:spacing w:line="360" w:lineRule="auto"/>
        <w:jc w:val="both"/>
        <w:rPr>
          <w:rFonts w:ascii="Garamond" w:hAnsi="Garamond"/>
          <w:b/>
          <w:bCs/>
        </w:rPr>
      </w:pPr>
      <w:r>
        <w:rPr>
          <w:rFonts w:ascii="Garamond" w:hAnsi="Garamond"/>
          <w:b/>
          <w:bCs/>
        </w:rPr>
        <w:t>References</w:t>
      </w:r>
    </w:p>
    <w:p w:rsidR="005929BA" w:rsidRDefault="000F4415">
      <w:pPr>
        <w:pStyle w:val="NormalWeb"/>
        <w:spacing w:line="360" w:lineRule="auto"/>
        <w:ind w:hanging="720"/>
        <w:jc w:val="both"/>
        <w:rPr>
          <w:rFonts w:ascii="Garamond" w:hAnsi="Garamond"/>
        </w:rPr>
      </w:pPr>
      <w:proofErr w:type="spellStart"/>
      <w:r>
        <w:rPr>
          <w:rFonts w:ascii="Garamond" w:hAnsi="Garamond"/>
        </w:rPr>
        <w:t>Ajzen</w:t>
      </w:r>
      <w:proofErr w:type="spellEnd"/>
      <w:r>
        <w:rPr>
          <w:rFonts w:ascii="Garamond" w:hAnsi="Garamond"/>
        </w:rPr>
        <w:t xml:space="preserve">, I. (1991). The theory of planned behavior. </w:t>
      </w:r>
      <w:r>
        <w:rPr>
          <w:rStyle w:val="Emphasis"/>
          <w:rFonts w:ascii="Garamond" w:eastAsiaTheme="majorEastAsia" w:hAnsi="Garamond"/>
        </w:rPr>
        <w:t>Organizational Behavior and Human Decision Processes, 50</w:t>
      </w:r>
      <w:r>
        <w:rPr>
          <w:rFonts w:ascii="Garamond" w:hAnsi="Garamond"/>
        </w:rPr>
        <w:t>(2), 179–211.</w:t>
      </w:r>
    </w:p>
    <w:p w:rsidR="005929BA" w:rsidRDefault="000F4415">
      <w:pPr>
        <w:pStyle w:val="NormalWeb"/>
        <w:spacing w:line="360" w:lineRule="auto"/>
        <w:ind w:hanging="720"/>
        <w:jc w:val="both"/>
        <w:rPr>
          <w:rFonts w:ascii="Garamond" w:hAnsi="Garamond"/>
        </w:rPr>
      </w:pPr>
      <w:r>
        <w:rPr>
          <w:rFonts w:ascii="Garamond" w:hAnsi="Garamond"/>
        </w:rPr>
        <w:t xml:space="preserve">Awoke, R. W., </w:t>
      </w:r>
      <w:proofErr w:type="spellStart"/>
      <w:r>
        <w:rPr>
          <w:rFonts w:ascii="Garamond" w:hAnsi="Garamond"/>
        </w:rPr>
        <w:t>Kimurto</w:t>
      </w:r>
      <w:proofErr w:type="spellEnd"/>
      <w:r>
        <w:rPr>
          <w:rFonts w:ascii="Garamond" w:hAnsi="Garamond"/>
        </w:rPr>
        <w:t xml:space="preserve">, P., &amp; Okello, D. (2025). Determinants of adoption of climate-smart agricultural technologies and practices in arid and semi-arid lands of Kenya. </w:t>
      </w:r>
      <w:r>
        <w:rPr>
          <w:rStyle w:val="Emphasis"/>
          <w:rFonts w:ascii="Garamond" w:eastAsiaTheme="majorEastAsia" w:hAnsi="Garamond"/>
        </w:rPr>
        <w:t>Discover Agriculture, 3</w:t>
      </w:r>
      <w:r>
        <w:rPr>
          <w:rFonts w:ascii="Garamond" w:hAnsi="Garamond"/>
        </w:rPr>
        <w:t xml:space="preserve">, 238. </w:t>
      </w:r>
      <w:hyperlink r:id="rId9" w:tgtFrame="_new" w:history="1">
        <w:r>
          <w:rPr>
            <w:rStyle w:val="Hyperlink"/>
            <w:rFonts w:ascii="Garamond" w:eastAsiaTheme="majorEastAsia" w:hAnsi="Garamond"/>
          </w:rPr>
          <w:t>https://doi.org/10.1007/s44279-025-00406-1</w:t>
        </w:r>
      </w:hyperlink>
    </w:p>
    <w:p w:rsidR="005929BA" w:rsidRDefault="000F4415">
      <w:pPr>
        <w:pStyle w:val="NormalWeb"/>
        <w:spacing w:line="360" w:lineRule="auto"/>
        <w:ind w:hanging="720"/>
        <w:jc w:val="both"/>
        <w:rPr>
          <w:rFonts w:ascii="Garamond" w:hAnsi="Garamond"/>
        </w:rPr>
      </w:pPr>
      <w:proofErr w:type="spellStart"/>
      <w:r>
        <w:rPr>
          <w:rFonts w:ascii="Garamond" w:hAnsi="Garamond"/>
        </w:rPr>
        <w:lastRenderedPageBreak/>
        <w:t>Deressa</w:t>
      </w:r>
      <w:proofErr w:type="spellEnd"/>
      <w:r>
        <w:rPr>
          <w:rFonts w:ascii="Garamond" w:hAnsi="Garamond"/>
        </w:rPr>
        <w:t xml:space="preserve">, T. T., Hassan, R. M., &amp; Ringler, C. (2011). Perception of and adaptation to climate change by farmers in the Nile Basin of Ethiopia. </w:t>
      </w:r>
      <w:r>
        <w:rPr>
          <w:rStyle w:val="Emphasis"/>
          <w:rFonts w:ascii="Garamond" w:eastAsiaTheme="majorEastAsia" w:hAnsi="Garamond"/>
        </w:rPr>
        <w:t>The Journal of Agricultural Science, 149</w:t>
      </w:r>
      <w:r>
        <w:rPr>
          <w:rFonts w:ascii="Garamond" w:hAnsi="Garamond"/>
        </w:rPr>
        <w:t>(1), 23–31.</w:t>
      </w:r>
    </w:p>
    <w:p w:rsidR="005929BA" w:rsidRDefault="000F4415">
      <w:pPr>
        <w:pStyle w:val="NormalWeb"/>
        <w:spacing w:line="360" w:lineRule="auto"/>
        <w:ind w:hanging="720"/>
        <w:jc w:val="both"/>
        <w:rPr>
          <w:rFonts w:ascii="Garamond" w:hAnsi="Garamond"/>
        </w:rPr>
      </w:pPr>
      <w:proofErr w:type="spellStart"/>
      <w:r>
        <w:rPr>
          <w:rFonts w:ascii="Garamond" w:hAnsi="Garamond"/>
        </w:rPr>
        <w:t>Evangelou</w:t>
      </w:r>
      <w:proofErr w:type="spellEnd"/>
      <w:r>
        <w:rPr>
          <w:rFonts w:ascii="Garamond" w:hAnsi="Garamond"/>
        </w:rPr>
        <w:t xml:space="preserve">, F. (2019). Pastoral livelihoods and socio-economic development in </w:t>
      </w:r>
      <w:proofErr w:type="spellStart"/>
      <w:r>
        <w:rPr>
          <w:rFonts w:ascii="Garamond" w:hAnsi="Garamond"/>
        </w:rPr>
        <w:t>Kajiado</w:t>
      </w:r>
      <w:proofErr w:type="spellEnd"/>
      <w:r>
        <w:rPr>
          <w:rFonts w:ascii="Garamond" w:hAnsi="Garamond"/>
        </w:rPr>
        <w:t xml:space="preserve"> County, Kenya. </w:t>
      </w:r>
      <w:r>
        <w:rPr>
          <w:rStyle w:val="Emphasis"/>
          <w:rFonts w:ascii="Garamond" w:eastAsiaTheme="majorEastAsia" w:hAnsi="Garamond"/>
        </w:rPr>
        <w:t>Journal of Arid Land Studies, 29</w:t>
      </w:r>
      <w:r>
        <w:rPr>
          <w:rFonts w:ascii="Garamond" w:hAnsi="Garamond"/>
        </w:rPr>
        <w:t>(2), 45–58.</w:t>
      </w:r>
    </w:p>
    <w:p w:rsidR="005929BA" w:rsidRDefault="000F4415">
      <w:pPr>
        <w:pStyle w:val="NormalWeb"/>
        <w:spacing w:line="360" w:lineRule="auto"/>
        <w:ind w:hanging="720"/>
        <w:jc w:val="both"/>
        <w:rPr>
          <w:rFonts w:ascii="Garamond" w:hAnsi="Garamond"/>
        </w:rPr>
      </w:pPr>
      <w:r>
        <w:rPr>
          <w:rFonts w:ascii="Garamond" w:hAnsi="Garamond"/>
        </w:rPr>
        <w:t xml:space="preserve">Galvin, K. A. (2009). Transitions: Pastoralists living with change. </w:t>
      </w:r>
      <w:r>
        <w:rPr>
          <w:rStyle w:val="Emphasis"/>
          <w:rFonts w:ascii="Garamond" w:eastAsiaTheme="majorEastAsia" w:hAnsi="Garamond"/>
        </w:rPr>
        <w:t>Annual Review of Anthropology, 38</w:t>
      </w:r>
      <w:r>
        <w:rPr>
          <w:rFonts w:ascii="Garamond" w:hAnsi="Garamond"/>
        </w:rPr>
        <w:t>, 185–198.</w:t>
      </w:r>
    </w:p>
    <w:p w:rsidR="005929BA" w:rsidRDefault="000F4415">
      <w:pPr>
        <w:pStyle w:val="NormalWeb"/>
        <w:spacing w:line="360" w:lineRule="auto"/>
        <w:ind w:hanging="720"/>
        <w:jc w:val="both"/>
        <w:rPr>
          <w:rFonts w:ascii="Garamond" w:hAnsi="Garamond"/>
        </w:rPr>
      </w:pPr>
      <w:r>
        <w:rPr>
          <w:rFonts w:ascii="Garamond" w:hAnsi="Garamond"/>
        </w:rPr>
        <w:t xml:space="preserve">Government of Kenya. (2008). </w:t>
      </w:r>
      <w:proofErr w:type="spellStart"/>
      <w:r>
        <w:rPr>
          <w:rStyle w:val="Emphasis"/>
          <w:rFonts w:ascii="Garamond" w:eastAsiaTheme="majorEastAsia" w:hAnsi="Garamond"/>
        </w:rPr>
        <w:t>Kajiado</w:t>
      </w:r>
      <w:proofErr w:type="spellEnd"/>
      <w:r>
        <w:rPr>
          <w:rStyle w:val="Emphasis"/>
          <w:rFonts w:ascii="Garamond" w:eastAsiaTheme="majorEastAsia" w:hAnsi="Garamond"/>
        </w:rPr>
        <w:t xml:space="preserve"> District development plan 2008–2012</w:t>
      </w:r>
      <w:r>
        <w:rPr>
          <w:rFonts w:ascii="Garamond" w:hAnsi="Garamond"/>
        </w:rPr>
        <w:t>. Government Printer.</w:t>
      </w:r>
    </w:p>
    <w:p w:rsidR="005929BA" w:rsidRDefault="000F4415">
      <w:pPr>
        <w:pStyle w:val="NormalWeb"/>
        <w:spacing w:line="360" w:lineRule="auto"/>
        <w:ind w:hanging="720"/>
        <w:jc w:val="both"/>
        <w:rPr>
          <w:rFonts w:ascii="Garamond" w:hAnsi="Garamond"/>
        </w:rPr>
      </w:pPr>
      <w:r>
        <w:rPr>
          <w:rFonts w:ascii="Garamond" w:hAnsi="Garamond"/>
        </w:rPr>
        <w:t xml:space="preserve">Government of Kenya. (2021). </w:t>
      </w:r>
      <w:r>
        <w:rPr>
          <w:rStyle w:val="Emphasis"/>
          <w:rFonts w:ascii="Garamond" w:eastAsiaTheme="majorEastAsia" w:hAnsi="Garamond"/>
        </w:rPr>
        <w:t>Agricultural sector transformation and growth strategy (ASTGS) 2019–2029 progress report</w:t>
      </w:r>
      <w:r>
        <w:rPr>
          <w:rFonts w:ascii="Garamond" w:hAnsi="Garamond"/>
        </w:rPr>
        <w:t>. Ministry of Agriculture, Livestock, Fisheries and Cooperatives.</w:t>
      </w:r>
    </w:p>
    <w:p w:rsidR="005929BA" w:rsidRDefault="000F4415">
      <w:pPr>
        <w:pStyle w:val="NormalWeb"/>
        <w:spacing w:line="360" w:lineRule="auto"/>
        <w:ind w:hanging="720"/>
        <w:jc w:val="both"/>
        <w:rPr>
          <w:rFonts w:ascii="Garamond" w:hAnsi="Garamond"/>
        </w:rPr>
      </w:pPr>
      <w:r>
        <w:rPr>
          <w:rFonts w:ascii="Garamond" w:hAnsi="Garamond"/>
        </w:rPr>
        <w:t xml:space="preserve">Homewood, K., </w:t>
      </w:r>
      <w:proofErr w:type="spellStart"/>
      <w:r>
        <w:rPr>
          <w:rFonts w:ascii="Garamond" w:hAnsi="Garamond"/>
        </w:rPr>
        <w:t>Kristjanson</w:t>
      </w:r>
      <w:proofErr w:type="spellEnd"/>
      <w:r>
        <w:rPr>
          <w:rFonts w:ascii="Garamond" w:hAnsi="Garamond"/>
        </w:rPr>
        <w:t xml:space="preserve">, P., &amp; Trench, P. C. (2009). Staying Maasai? Livelihoods, conservation and development in East African rangelands. </w:t>
      </w:r>
      <w:r>
        <w:rPr>
          <w:rStyle w:val="Emphasis"/>
          <w:rFonts w:ascii="Garamond" w:eastAsiaTheme="majorEastAsia" w:hAnsi="Garamond"/>
        </w:rPr>
        <w:t>Springer</w:t>
      </w:r>
      <w:r>
        <w:rPr>
          <w:rFonts w:ascii="Garamond" w:hAnsi="Garamond"/>
        </w:rPr>
        <w:t>.</w:t>
      </w:r>
    </w:p>
    <w:p w:rsidR="005929BA" w:rsidRDefault="000F4415">
      <w:pPr>
        <w:pStyle w:val="NormalWeb"/>
        <w:spacing w:line="360" w:lineRule="auto"/>
        <w:ind w:hanging="720"/>
        <w:jc w:val="both"/>
        <w:rPr>
          <w:rFonts w:ascii="Garamond" w:hAnsi="Garamond"/>
        </w:rPr>
      </w:pPr>
      <w:r>
        <w:rPr>
          <w:rFonts w:ascii="Garamond" w:hAnsi="Garamond"/>
        </w:rPr>
        <w:t xml:space="preserve">Kenya National Bureau of Statistics (KNBS). (2019). </w:t>
      </w:r>
      <w:r>
        <w:rPr>
          <w:rStyle w:val="Emphasis"/>
          <w:rFonts w:ascii="Garamond" w:eastAsiaTheme="majorEastAsia" w:hAnsi="Garamond"/>
        </w:rPr>
        <w:t>2019 Kenya population and housing census volume I: Population by county and sub-county</w:t>
      </w:r>
      <w:r>
        <w:rPr>
          <w:rFonts w:ascii="Garamond" w:hAnsi="Garamond"/>
        </w:rPr>
        <w:t>. KNBS.</w:t>
      </w:r>
    </w:p>
    <w:p w:rsidR="005929BA" w:rsidRDefault="000F4415">
      <w:pPr>
        <w:pStyle w:val="NormalWeb"/>
        <w:spacing w:line="360" w:lineRule="auto"/>
        <w:ind w:hanging="720"/>
        <w:jc w:val="both"/>
        <w:rPr>
          <w:rFonts w:ascii="Garamond" w:hAnsi="Garamond"/>
        </w:rPr>
      </w:pPr>
      <w:proofErr w:type="spellStart"/>
      <w:r>
        <w:rPr>
          <w:rFonts w:ascii="Garamond" w:hAnsi="Garamond"/>
        </w:rPr>
        <w:t>Knowler</w:t>
      </w:r>
      <w:proofErr w:type="spellEnd"/>
      <w:r>
        <w:rPr>
          <w:rFonts w:ascii="Garamond" w:hAnsi="Garamond"/>
        </w:rPr>
        <w:t xml:space="preserve">, D., &amp; Bradshaw, B. (2007). Farmers’ adoption of conservation agriculture: A review and synthesis of recent research. </w:t>
      </w:r>
      <w:r>
        <w:rPr>
          <w:rStyle w:val="Emphasis"/>
          <w:rFonts w:ascii="Garamond" w:eastAsiaTheme="majorEastAsia" w:hAnsi="Garamond"/>
        </w:rPr>
        <w:t>Food Policy, 32</w:t>
      </w:r>
      <w:r>
        <w:rPr>
          <w:rFonts w:ascii="Garamond" w:hAnsi="Garamond"/>
        </w:rPr>
        <w:t>(1), 25–48.</w:t>
      </w:r>
    </w:p>
    <w:p w:rsidR="005929BA" w:rsidRDefault="000F4415">
      <w:pPr>
        <w:pStyle w:val="NormalWeb"/>
        <w:spacing w:line="360" w:lineRule="auto"/>
        <w:ind w:hanging="720"/>
        <w:jc w:val="both"/>
        <w:rPr>
          <w:rFonts w:ascii="Garamond" w:hAnsi="Garamond"/>
        </w:rPr>
      </w:pPr>
      <w:proofErr w:type="spellStart"/>
      <w:r>
        <w:rPr>
          <w:rFonts w:ascii="Garamond" w:hAnsi="Garamond"/>
        </w:rPr>
        <w:t>Niu</w:t>
      </w:r>
      <w:proofErr w:type="spellEnd"/>
      <w:r>
        <w:rPr>
          <w:rFonts w:ascii="Garamond" w:hAnsi="Garamond"/>
        </w:rPr>
        <w:t xml:space="preserve">, G., Davis, T. D., &amp; </w:t>
      </w:r>
      <w:proofErr w:type="spellStart"/>
      <w:r>
        <w:rPr>
          <w:rFonts w:ascii="Garamond" w:hAnsi="Garamond"/>
        </w:rPr>
        <w:t>Masabni</w:t>
      </w:r>
      <w:proofErr w:type="spellEnd"/>
      <w:r>
        <w:rPr>
          <w:rFonts w:ascii="Garamond" w:hAnsi="Garamond"/>
        </w:rPr>
        <w:t xml:space="preserve">, J. (2019). Greening desert in Djibouti—SATREPS project implementation for sustainable </w:t>
      </w:r>
      <w:proofErr w:type="spellStart"/>
      <w:r>
        <w:rPr>
          <w:rFonts w:ascii="Garamond" w:hAnsi="Garamond"/>
        </w:rPr>
        <w:t>agro</w:t>
      </w:r>
      <w:proofErr w:type="spellEnd"/>
      <w:r>
        <w:rPr>
          <w:rFonts w:ascii="Garamond" w:hAnsi="Garamond"/>
        </w:rPr>
        <w:t xml:space="preserve">-pastoral systems. </w:t>
      </w:r>
      <w:r>
        <w:rPr>
          <w:rStyle w:val="Emphasis"/>
          <w:rFonts w:ascii="Garamond" w:eastAsiaTheme="majorEastAsia" w:hAnsi="Garamond"/>
        </w:rPr>
        <w:t>Journal of Arid Land Studies, 29</w:t>
      </w:r>
      <w:r>
        <w:rPr>
          <w:rFonts w:ascii="Garamond" w:hAnsi="Garamond"/>
        </w:rPr>
        <w:t xml:space="preserve">(2), 61–67. </w:t>
      </w:r>
      <w:hyperlink r:id="rId10" w:tgtFrame="_new" w:history="1">
        <w:r>
          <w:rPr>
            <w:rStyle w:val="Hyperlink"/>
            <w:rFonts w:ascii="Garamond" w:eastAsiaTheme="majorEastAsia" w:hAnsi="Garamond"/>
          </w:rPr>
          <w:t>https://doi.org/10.14976/jals.29.2_61</w:t>
        </w:r>
      </w:hyperlink>
    </w:p>
    <w:p w:rsidR="005929BA" w:rsidRDefault="000F4415">
      <w:pPr>
        <w:pStyle w:val="NormalWeb"/>
        <w:spacing w:line="360" w:lineRule="auto"/>
        <w:ind w:hanging="720"/>
        <w:jc w:val="both"/>
        <w:rPr>
          <w:rFonts w:ascii="Garamond" w:hAnsi="Garamond"/>
        </w:rPr>
      </w:pPr>
      <w:proofErr w:type="spellStart"/>
      <w:r>
        <w:rPr>
          <w:rFonts w:ascii="Garamond" w:hAnsi="Garamond"/>
        </w:rPr>
        <w:t>Ochola</w:t>
      </w:r>
      <w:proofErr w:type="spellEnd"/>
      <w:r>
        <w:rPr>
          <w:rFonts w:ascii="Garamond" w:hAnsi="Garamond"/>
        </w:rPr>
        <w:t xml:space="preserve">, W. O. (2014). Factors influencing adoption of sustainable agricultural practices among smallholder farmers in Kenya. </w:t>
      </w:r>
      <w:r>
        <w:rPr>
          <w:rStyle w:val="Emphasis"/>
          <w:rFonts w:ascii="Garamond" w:eastAsiaTheme="majorEastAsia" w:hAnsi="Garamond"/>
        </w:rPr>
        <w:t>African Journal of Agricultural Research, 9</w:t>
      </w:r>
      <w:r>
        <w:rPr>
          <w:rFonts w:ascii="Garamond" w:hAnsi="Garamond"/>
        </w:rPr>
        <w:t>(36), 2792–2800.</w:t>
      </w:r>
    </w:p>
    <w:p w:rsidR="005929BA" w:rsidRDefault="000F4415">
      <w:pPr>
        <w:pStyle w:val="NormalWeb"/>
        <w:spacing w:line="360" w:lineRule="auto"/>
        <w:ind w:hanging="720"/>
        <w:jc w:val="both"/>
        <w:rPr>
          <w:rFonts w:ascii="Garamond" w:hAnsi="Garamond"/>
        </w:rPr>
      </w:pPr>
      <w:r>
        <w:rPr>
          <w:rFonts w:ascii="Garamond" w:hAnsi="Garamond"/>
        </w:rPr>
        <w:t xml:space="preserve">Patel, R., &amp; Nguyen, T. (2020). Information accessibility and knowledge sharing among farming communities. </w:t>
      </w:r>
      <w:r>
        <w:rPr>
          <w:rStyle w:val="Emphasis"/>
          <w:rFonts w:ascii="Garamond" w:eastAsiaTheme="majorEastAsia" w:hAnsi="Garamond"/>
        </w:rPr>
        <w:t>Journal of Rural Studies, 75</w:t>
      </w:r>
      <w:r>
        <w:rPr>
          <w:rFonts w:ascii="Garamond" w:hAnsi="Garamond"/>
        </w:rPr>
        <w:t>, 164–173.</w:t>
      </w:r>
    </w:p>
    <w:p w:rsidR="005929BA" w:rsidRDefault="000F4415">
      <w:pPr>
        <w:pStyle w:val="NormalWeb"/>
        <w:spacing w:line="360" w:lineRule="auto"/>
        <w:ind w:hanging="720"/>
        <w:jc w:val="both"/>
        <w:rPr>
          <w:rFonts w:ascii="Garamond" w:hAnsi="Garamond"/>
        </w:rPr>
      </w:pPr>
      <w:r>
        <w:rPr>
          <w:rFonts w:ascii="Garamond" w:hAnsi="Garamond"/>
        </w:rPr>
        <w:lastRenderedPageBreak/>
        <w:t xml:space="preserve">Peck, G. M., Andrews, P. K., </w:t>
      </w:r>
      <w:proofErr w:type="spellStart"/>
      <w:r>
        <w:rPr>
          <w:rFonts w:ascii="Garamond" w:hAnsi="Garamond"/>
        </w:rPr>
        <w:t>Reganold</w:t>
      </w:r>
      <w:proofErr w:type="spellEnd"/>
      <w:r>
        <w:rPr>
          <w:rFonts w:ascii="Garamond" w:hAnsi="Garamond"/>
        </w:rPr>
        <w:t xml:space="preserve">, J. P., &amp; </w:t>
      </w:r>
      <w:proofErr w:type="spellStart"/>
      <w:r>
        <w:rPr>
          <w:rFonts w:ascii="Garamond" w:hAnsi="Garamond"/>
        </w:rPr>
        <w:t>Fellman</w:t>
      </w:r>
      <w:proofErr w:type="spellEnd"/>
      <w:r>
        <w:rPr>
          <w:rFonts w:ascii="Garamond" w:hAnsi="Garamond"/>
        </w:rPr>
        <w:t xml:space="preserve">, J. K. (2019). Sustainable farming systems and grower perceptions: Implications for agricultural transition. </w:t>
      </w:r>
      <w:r>
        <w:rPr>
          <w:rStyle w:val="Emphasis"/>
          <w:rFonts w:ascii="Garamond" w:eastAsiaTheme="majorEastAsia" w:hAnsi="Garamond"/>
        </w:rPr>
        <w:t>Renewable Agriculture and Food Systems, 34</w:t>
      </w:r>
      <w:r>
        <w:rPr>
          <w:rFonts w:ascii="Garamond" w:hAnsi="Garamond"/>
        </w:rPr>
        <w:t xml:space="preserve">(3), 205–216. </w:t>
      </w:r>
      <w:hyperlink r:id="rId11" w:tgtFrame="_new" w:history="1">
        <w:r>
          <w:rPr>
            <w:rStyle w:val="Hyperlink"/>
            <w:rFonts w:ascii="Garamond" w:eastAsiaTheme="majorEastAsia" w:hAnsi="Garamond"/>
          </w:rPr>
          <w:t>https://doi.org/10.1017/S1742170518000108</w:t>
        </w:r>
      </w:hyperlink>
    </w:p>
    <w:p w:rsidR="005929BA" w:rsidRDefault="000F4415">
      <w:pPr>
        <w:pStyle w:val="NormalWeb"/>
        <w:spacing w:line="360" w:lineRule="auto"/>
        <w:ind w:hanging="720"/>
        <w:jc w:val="both"/>
        <w:rPr>
          <w:rFonts w:ascii="Garamond" w:hAnsi="Garamond"/>
        </w:rPr>
      </w:pPr>
      <w:r>
        <w:rPr>
          <w:rFonts w:ascii="Garamond" w:hAnsi="Garamond"/>
        </w:rPr>
        <w:t xml:space="preserve">Pretty, J. (2018). Intensification for redesigned and sustainable agricultural systems. </w:t>
      </w:r>
      <w:r>
        <w:rPr>
          <w:rStyle w:val="Emphasis"/>
          <w:rFonts w:ascii="Garamond" w:eastAsiaTheme="majorEastAsia" w:hAnsi="Garamond"/>
        </w:rPr>
        <w:t>Science, 362</w:t>
      </w:r>
      <w:r>
        <w:rPr>
          <w:rFonts w:ascii="Garamond" w:hAnsi="Garamond"/>
        </w:rPr>
        <w:t>(6417), eaav0294.</w:t>
      </w:r>
    </w:p>
    <w:p w:rsidR="005929BA" w:rsidRDefault="000F4415">
      <w:pPr>
        <w:pStyle w:val="NormalWeb"/>
        <w:spacing w:line="360" w:lineRule="auto"/>
        <w:ind w:hanging="720"/>
        <w:jc w:val="both"/>
        <w:rPr>
          <w:rFonts w:ascii="Garamond" w:hAnsi="Garamond"/>
        </w:rPr>
      </w:pPr>
      <w:r>
        <w:rPr>
          <w:rFonts w:ascii="Garamond" w:hAnsi="Garamond"/>
        </w:rPr>
        <w:t xml:space="preserve">Sithole, A., &amp; </w:t>
      </w:r>
      <w:proofErr w:type="spellStart"/>
      <w:r>
        <w:rPr>
          <w:rFonts w:ascii="Garamond" w:hAnsi="Garamond"/>
        </w:rPr>
        <w:t>Olorunfemi</w:t>
      </w:r>
      <w:proofErr w:type="spellEnd"/>
      <w:r>
        <w:rPr>
          <w:rFonts w:ascii="Garamond" w:hAnsi="Garamond"/>
        </w:rPr>
        <w:t xml:space="preserve">, O. D. (2024). Sustainable agricultural practices in Sub-Saharan Africa: A review of adoption trends, impacts, and challenges among smallholder farmers. </w:t>
      </w:r>
      <w:r>
        <w:rPr>
          <w:rStyle w:val="Emphasis"/>
          <w:rFonts w:ascii="Garamond" w:eastAsiaTheme="majorEastAsia" w:hAnsi="Garamond"/>
        </w:rPr>
        <w:t>Sustainability, 16</w:t>
      </w:r>
      <w:r>
        <w:rPr>
          <w:rFonts w:ascii="Garamond" w:hAnsi="Garamond"/>
        </w:rPr>
        <w:t xml:space="preserve">(22), 9766. </w:t>
      </w:r>
      <w:hyperlink r:id="rId12" w:tgtFrame="_new" w:history="1">
        <w:r>
          <w:rPr>
            <w:rStyle w:val="Hyperlink"/>
            <w:rFonts w:ascii="Garamond" w:eastAsiaTheme="majorEastAsia" w:hAnsi="Garamond"/>
          </w:rPr>
          <w:t>https://doi.org/10.3390/su16229766</w:t>
        </w:r>
      </w:hyperlink>
    </w:p>
    <w:p w:rsidR="005929BA" w:rsidRDefault="000F4415">
      <w:pPr>
        <w:pStyle w:val="NormalWeb"/>
        <w:spacing w:line="360" w:lineRule="auto"/>
        <w:ind w:hanging="720"/>
        <w:jc w:val="both"/>
        <w:rPr>
          <w:rFonts w:ascii="Garamond" w:hAnsi="Garamond"/>
        </w:rPr>
      </w:pPr>
      <w:proofErr w:type="spellStart"/>
      <w:r>
        <w:rPr>
          <w:rFonts w:ascii="Garamond" w:hAnsi="Garamond"/>
        </w:rPr>
        <w:t>Thobane</w:t>
      </w:r>
      <w:proofErr w:type="spellEnd"/>
      <w:r>
        <w:rPr>
          <w:rFonts w:ascii="Garamond" w:hAnsi="Garamond"/>
        </w:rPr>
        <w:t xml:space="preserve">, J., </w:t>
      </w:r>
      <w:proofErr w:type="spellStart"/>
      <w:r>
        <w:rPr>
          <w:rFonts w:ascii="Garamond" w:hAnsi="Garamond"/>
        </w:rPr>
        <w:t>Ndoro</w:t>
      </w:r>
      <w:proofErr w:type="spellEnd"/>
      <w:r>
        <w:rPr>
          <w:rFonts w:ascii="Garamond" w:hAnsi="Garamond"/>
        </w:rPr>
        <w:t xml:space="preserve">, J., </w:t>
      </w:r>
      <w:proofErr w:type="spellStart"/>
      <w:r>
        <w:rPr>
          <w:rFonts w:ascii="Garamond" w:hAnsi="Garamond"/>
        </w:rPr>
        <w:t>Molepo</w:t>
      </w:r>
      <w:proofErr w:type="spellEnd"/>
      <w:r>
        <w:rPr>
          <w:rFonts w:ascii="Garamond" w:hAnsi="Garamond"/>
        </w:rPr>
        <w:t xml:space="preserve">, S., </w:t>
      </w:r>
      <w:proofErr w:type="spellStart"/>
      <w:r>
        <w:rPr>
          <w:rFonts w:ascii="Garamond" w:hAnsi="Garamond"/>
        </w:rPr>
        <w:t>Serote</w:t>
      </w:r>
      <w:proofErr w:type="spellEnd"/>
      <w:r>
        <w:rPr>
          <w:rFonts w:ascii="Garamond" w:hAnsi="Garamond"/>
        </w:rPr>
        <w:t xml:space="preserve">, B., </w:t>
      </w:r>
      <w:proofErr w:type="spellStart"/>
      <w:r>
        <w:rPr>
          <w:rFonts w:ascii="Garamond" w:hAnsi="Garamond"/>
        </w:rPr>
        <w:t>Hlophe-Ginindza</w:t>
      </w:r>
      <w:proofErr w:type="spellEnd"/>
      <w:r>
        <w:rPr>
          <w:rFonts w:ascii="Garamond" w:hAnsi="Garamond"/>
        </w:rPr>
        <w:t xml:space="preserve">, S., </w:t>
      </w:r>
      <w:proofErr w:type="spellStart"/>
      <w:r>
        <w:rPr>
          <w:rFonts w:ascii="Garamond" w:hAnsi="Garamond"/>
        </w:rPr>
        <w:t>Mpandeli</w:t>
      </w:r>
      <w:proofErr w:type="spellEnd"/>
      <w:r>
        <w:rPr>
          <w:rFonts w:ascii="Garamond" w:hAnsi="Garamond"/>
        </w:rPr>
        <w:t xml:space="preserve">, S., </w:t>
      </w:r>
      <w:proofErr w:type="spellStart"/>
      <w:r>
        <w:rPr>
          <w:rFonts w:ascii="Garamond" w:hAnsi="Garamond"/>
        </w:rPr>
        <w:t>Nhamo</w:t>
      </w:r>
      <w:proofErr w:type="spellEnd"/>
      <w:r>
        <w:rPr>
          <w:rFonts w:ascii="Garamond" w:hAnsi="Garamond"/>
        </w:rPr>
        <w:t xml:space="preserve">, L., &amp; </w:t>
      </w:r>
      <w:proofErr w:type="spellStart"/>
      <w:r>
        <w:rPr>
          <w:rFonts w:ascii="Garamond" w:hAnsi="Garamond"/>
        </w:rPr>
        <w:t>Mokgehle</w:t>
      </w:r>
      <w:proofErr w:type="spellEnd"/>
      <w:r>
        <w:rPr>
          <w:rFonts w:ascii="Garamond" w:hAnsi="Garamond"/>
        </w:rPr>
        <w:t xml:space="preserve">, S. (2025). A review on the adoption of sustainable agricultural practices in Southern Africa: Focus on smallholder farmers. </w:t>
      </w:r>
      <w:r>
        <w:rPr>
          <w:rStyle w:val="Emphasis"/>
          <w:rFonts w:ascii="Garamond" w:eastAsiaTheme="majorEastAsia" w:hAnsi="Garamond"/>
        </w:rPr>
        <w:t>Agriculture, 15</w:t>
      </w:r>
      <w:r>
        <w:rPr>
          <w:rFonts w:ascii="Garamond" w:hAnsi="Garamond"/>
        </w:rPr>
        <w:t xml:space="preserve">(20), 2125. </w:t>
      </w:r>
      <w:hyperlink r:id="rId13" w:tgtFrame="_new" w:history="1">
        <w:r>
          <w:rPr>
            <w:rStyle w:val="Hyperlink"/>
            <w:rFonts w:ascii="Garamond" w:eastAsiaTheme="majorEastAsia" w:hAnsi="Garamond"/>
          </w:rPr>
          <w:t>https://doi.org/10.3390/agriculture15202125</w:t>
        </w:r>
      </w:hyperlink>
    </w:p>
    <w:p w:rsidR="005929BA" w:rsidRDefault="005929BA">
      <w:pPr>
        <w:pStyle w:val="NormalWeb"/>
        <w:spacing w:line="360" w:lineRule="auto"/>
        <w:ind w:left="720" w:hanging="720"/>
        <w:jc w:val="both"/>
        <w:rPr>
          <w:rFonts w:ascii="Garamond" w:hAnsi="Garamond"/>
        </w:rPr>
      </w:pPr>
    </w:p>
    <w:sectPr w:rsidR="005929BA">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EFC" w:rsidRDefault="00E60EFC">
      <w:pPr>
        <w:spacing w:line="240" w:lineRule="auto"/>
      </w:pPr>
      <w:r>
        <w:separator/>
      </w:r>
    </w:p>
  </w:endnote>
  <w:endnote w:type="continuationSeparator" w:id="0">
    <w:p w:rsidR="00E60EFC" w:rsidRDefault="00E60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EFC" w:rsidRDefault="00E60EFC">
      <w:pPr>
        <w:spacing w:after="0"/>
      </w:pPr>
      <w:r>
        <w:separator/>
      </w:r>
    </w:p>
  </w:footnote>
  <w:footnote w:type="continuationSeparator" w:id="0">
    <w:p w:rsidR="00E60EFC" w:rsidRDefault="00E60E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531A4"/>
    <w:multiLevelType w:val="multilevel"/>
    <w:tmpl w:val="44053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zMDQyNzEwMTExMjFW0lEKTi0uzszPAykwrAUASC8/6SwAAAA="/>
  </w:docVars>
  <w:rsids>
    <w:rsidRoot w:val="007D6331"/>
    <w:rsid w:val="00036847"/>
    <w:rsid w:val="00073967"/>
    <w:rsid w:val="00074566"/>
    <w:rsid w:val="00084B8E"/>
    <w:rsid w:val="000E4153"/>
    <w:rsid w:val="000F4415"/>
    <w:rsid w:val="0017434B"/>
    <w:rsid w:val="001778C5"/>
    <w:rsid w:val="00313811"/>
    <w:rsid w:val="003777DF"/>
    <w:rsid w:val="003C5724"/>
    <w:rsid w:val="003C7E06"/>
    <w:rsid w:val="003D7ACF"/>
    <w:rsid w:val="00410695"/>
    <w:rsid w:val="00420C77"/>
    <w:rsid w:val="00486DD2"/>
    <w:rsid w:val="004F46BA"/>
    <w:rsid w:val="005929BA"/>
    <w:rsid w:val="00655FFA"/>
    <w:rsid w:val="006D50CF"/>
    <w:rsid w:val="00734A67"/>
    <w:rsid w:val="007A7516"/>
    <w:rsid w:val="007B6B03"/>
    <w:rsid w:val="007D6331"/>
    <w:rsid w:val="007E68E5"/>
    <w:rsid w:val="00863FDD"/>
    <w:rsid w:val="008E52DD"/>
    <w:rsid w:val="008F2B99"/>
    <w:rsid w:val="0090655B"/>
    <w:rsid w:val="00995206"/>
    <w:rsid w:val="00995AAE"/>
    <w:rsid w:val="00AB50D8"/>
    <w:rsid w:val="00B81326"/>
    <w:rsid w:val="00CF5700"/>
    <w:rsid w:val="00D44D1B"/>
    <w:rsid w:val="00D5719F"/>
    <w:rsid w:val="00D746D6"/>
    <w:rsid w:val="00D81174"/>
    <w:rsid w:val="00DA4D0F"/>
    <w:rsid w:val="00DC4484"/>
    <w:rsid w:val="00DF0D7F"/>
    <w:rsid w:val="00E60EFC"/>
    <w:rsid w:val="00E759EB"/>
    <w:rsid w:val="00E97B20"/>
    <w:rsid w:val="00EA55E0"/>
    <w:rsid w:val="00F40F79"/>
    <w:rsid w:val="00FC3C28"/>
    <w:rsid w:val="0B47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E29A"/>
  <w15:docId w15:val="{F27D7425-BA26-4E31-B34E-6D0B3DB1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pPr>
      <w:spacing w:before="100" w:beforeAutospacing="1" w:after="200" w:line="240" w:lineRule="auto"/>
    </w:pPr>
    <w:rPr>
      <w:rFonts w:ascii="Calibri" w:eastAsia="Times New Roman" w:hAnsi="Calibri" w:cs="Times New Roman"/>
      <w:i/>
      <w:iCs/>
      <w:color w:val="1F497D"/>
      <w:kern w:val="0"/>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Calibri" w:eastAsia="Times New Roman" w:hAnsi="Calibri" w:cs="Calibri"/>
      <w:kern w:val="0"/>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17">
    <w:name w:val="17"/>
    <w:basedOn w:val="DefaultParagraphFont"/>
    <w:rPr>
      <w:rFonts w:ascii="Times New Roman" w:hAnsi="Times New Roman" w:cs="Times New Roman" w:hint="default"/>
      <w:b/>
      <w:bCs/>
    </w:rPr>
  </w:style>
  <w:style w:type="character" w:customStyle="1" w:styleId="whitespace-normal">
    <w:name w:val="whitespace-normal"/>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agriculture1520212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3390/su162297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174217051800010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4976/jals.29.2_61" TargetMode="External"/><Relationship Id="rId4" Type="http://schemas.openxmlformats.org/officeDocument/2006/relationships/webSettings" Target="webSettings.xml"/><Relationship Id="rId9" Type="http://schemas.openxmlformats.org/officeDocument/2006/relationships/hyperlink" Target="https://doi.org/10.1007/s44279-025-0040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23</Pages>
  <Words>6633</Words>
  <Characters>37812</Characters>
  <Application>Microsoft Office Word</Application>
  <DocSecurity>0</DocSecurity>
  <Lines>315</Lines>
  <Paragraphs>88</Paragraphs>
  <ScaleCrop>false</ScaleCrop>
  <Company/>
  <LinksUpToDate>false</LinksUpToDate>
  <CharactersWithSpaces>44357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1020</cp:lastModifiedBy>
  <cp:revision>9</cp:revision>
  <dcterms:created xsi:type="dcterms:W3CDTF">2026-03-27T12:03:00Z</dcterms:created>
  <dcterms:modified xsi:type="dcterms:W3CDTF">2026-04-02T11:02:00Z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A26E4479486249D88AD9392866911520_12</vt:lpwstr>
  </property>
</Properties>
</file>