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B11EC" w14:textId="77777777" w:rsidR="000551E5" w:rsidRDefault="000551E5" w:rsidP="000551E5">
      <w:pPr>
        <w:spacing w:line="276" w:lineRule="auto"/>
        <w:rPr>
          <w:rFonts w:ascii="Times New Roman" w:hAnsi="Times New Roman" w:cs="Times New Roman"/>
          <w:b/>
          <w:bCs/>
          <w:color w:val="000000" w:themeColor="text1"/>
          <w:sz w:val="24"/>
          <w:szCs w:val="24"/>
          <w:shd w:val="clear" w:color="auto" w:fill="FFFFFF"/>
        </w:rPr>
      </w:pPr>
    </w:p>
    <w:p w14:paraId="6EDC96BB" w14:textId="12BF0C55" w:rsidR="004626C0" w:rsidRPr="00D32326" w:rsidRDefault="004626C0" w:rsidP="00FA7F86">
      <w:pPr>
        <w:spacing w:line="276" w:lineRule="auto"/>
        <w:jc w:val="center"/>
        <w:rPr>
          <w:rFonts w:ascii="Times New Roman" w:hAnsi="Times New Roman" w:cs="Times New Roman"/>
          <w:b/>
          <w:bCs/>
          <w:color w:val="000000" w:themeColor="text1"/>
          <w:sz w:val="24"/>
          <w:szCs w:val="24"/>
          <w:shd w:val="clear" w:color="auto" w:fill="FFFFFF"/>
        </w:rPr>
      </w:pPr>
      <w:r w:rsidRPr="00D32326">
        <w:rPr>
          <w:rFonts w:ascii="Times New Roman" w:hAnsi="Times New Roman" w:cs="Times New Roman"/>
          <w:b/>
          <w:bCs/>
          <w:color w:val="000000" w:themeColor="text1"/>
          <w:sz w:val="24"/>
          <w:szCs w:val="24"/>
          <w:shd w:val="clear" w:color="auto" w:fill="FFFFFF"/>
        </w:rPr>
        <w:t>Exploring the Role of Nutraceuticals and Functional Foods</w:t>
      </w:r>
      <w:r w:rsidR="00191462">
        <w:rPr>
          <w:rFonts w:ascii="Times New Roman" w:hAnsi="Times New Roman" w:cs="Times New Roman"/>
          <w:b/>
          <w:bCs/>
          <w:color w:val="000000" w:themeColor="text1"/>
          <w:sz w:val="24"/>
          <w:szCs w:val="24"/>
          <w:shd w:val="clear" w:color="auto" w:fill="FFFFFF"/>
        </w:rPr>
        <w:t xml:space="preserve"> </w:t>
      </w:r>
      <w:r w:rsidR="00DE2615">
        <w:rPr>
          <w:rFonts w:ascii="Times New Roman" w:hAnsi="Times New Roman" w:cs="Times New Roman"/>
          <w:b/>
          <w:bCs/>
          <w:color w:val="000000" w:themeColor="text1"/>
          <w:sz w:val="24"/>
          <w:szCs w:val="24"/>
          <w:shd w:val="clear" w:color="auto" w:fill="FFFFFF"/>
        </w:rPr>
        <w:t xml:space="preserve">as an Antiaging agent </w:t>
      </w:r>
      <w:r w:rsidR="00191462">
        <w:rPr>
          <w:rFonts w:ascii="Times New Roman" w:hAnsi="Times New Roman" w:cs="Times New Roman"/>
          <w:b/>
          <w:bCs/>
          <w:color w:val="000000" w:themeColor="text1"/>
          <w:sz w:val="24"/>
          <w:szCs w:val="24"/>
          <w:shd w:val="clear" w:color="auto" w:fill="FFFFFF"/>
        </w:rPr>
        <w:t xml:space="preserve">in </w:t>
      </w:r>
      <w:r w:rsidRPr="00D32326">
        <w:rPr>
          <w:rFonts w:ascii="Times New Roman" w:hAnsi="Times New Roman" w:cs="Times New Roman"/>
          <w:b/>
          <w:bCs/>
          <w:color w:val="000000" w:themeColor="text1"/>
          <w:sz w:val="24"/>
          <w:szCs w:val="24"/>
          <w:shd w:val="clear" w:color="auto" w:fill="FFFFFF"/>
        </w:rPr>
        <w:t>Age-Related De</w:t>
      </w:r>
      <w:r w:rsidR="00DA4420" w:rsidRPr="00D32326">
        <w:rPr>
          <w:rFonts w:ascii="Times New Roman" w:hAnsi="Times New Roman" w:cs="Times New Roman"/>
          <w:b/>
          <w:bCs/>
          <w:color w:val="000000" w:themeColor="text1"/>
          <w:sz w:val="24"/>
          <w:szCs w:val="24"/>
          <w:shd w:val="clear" w:color="auto" w:fill="FFFFFF"/>
        </w:rPr>
        <w:t>generative diseases</w:t>
      </w:r>
    </w:p>
    <w:p w14:paraId="518D68B8" w14:textId="2C96245D" w:rsidR="007748C5" w:rsidRDefault="007748C5" w:rsidP="000551E5">
      <w:pPr>
        <w:spacing w:line="276" w:lineRule="auto"/>
        <w:rPr>
          <w:rFonts w:ascii="Times New Roman" w:hAnsi="Times New Roman" w:cs="Times New Roman"/>
          <w:color w:val="000000" w:themeColor="text1"/>
          <w:sz w:val="24"/>
          <w:szCs w:val="24"/>
          <w:lang w:val="en-US"/>
        </w:rPr>
      </w:pPr>
    </w:p>
    <w:p w14:paraId="7D49EF2D" w14:textId="77777777" w:rsidR="007748C5" w:rsidRPr="00D32326" w:rsidRDefault="007748C5" w:rsidP="000551E5">
      <w:pPr>
        <w:spacing w:line="276" w:lineRule="auto"/>
        <w:rPr>
          <w:rFonts w:ascii="Times New Roman" w:hAnsi="Times New Roman" w:cs="Times New Roman"/>
          <w:color w:val="000000" w:themeColor="text1"/>
          <w:sz w:val="24"/>
          <w:szCs w:val="24"/>
          <w:lang w:val="en-US"/>
        </w:rPr>
      </w:pPr>
    </w:p>
    <w:p w14:paraId="40E698A8" w14:textId="46E2FD9A" w:rsidR="00115724" w:rsidRPr="00D32326" w:rsidRDefault="00B31666" w:rsidP="00FA7F86">
      <w:pPr>
        <w:spacing w:line="276" w:lineRule="auto"/>
        <w:jc w:val="both"/>
        <w:rPr>
          <w:rFonts w:ascii="Times New Roman" w:hAnsi="Times New Roman" w:cs="Times New Roman"/>
          <w:b/>
          <w:bCs/>
          <w:color w:val="000000" w:themeColor="text1"/>
          <w:sz w:val="24"/>
          <w:szCs w:val="24"/>
          <w:lang w:val="en-US"/>
        </w:rPr>
      </w:pPr>
      <w:r w:rsidRPr="00D32326">
        <w:rPr>
          <w:rFonts w:ascii="Times New Roman" w:hAnsi="Times New Roman" w:cs="Times New Roman"/>
          <w:b/>
          <w:bCs/>
          <w:color w:val="000000" w:themeColor="text1"/>
          <w:sz w:val="24"/>
          <w:szCs w:val="24"/>
          <w:lang w:val="en-US"/>
        </w:rPr>
        <w:t xml:space="preserve">Abstract </w:t>
      </w:r>
    </w:p>
    <w:p w14:paraId="0431F47D" w14:textId="77777777" w:rsidR="00FF6163" w:rsidRPr="00D32326" w:rsidRDefault="00FF6163" w:rsidP="00FF6163">
      <w:pPr>
        <w:spacing w:line="276" w:lineRule="auto"/>
        <w:jc w:val="both"/>
        <w:rPr>
          <w:rFonts w:ascii="Times New Roman" w:hAnsi="Times New Roman" w:cs="Times New Roman"/>
          <w:color w:val="000000" w:themeColor="text1"/>
          <w:sz w:val="24"/>
          <w:szCs w:val="24"/>
        </w:rPr>
      </w:pPr>
      <w:r w:rsidRPr="00115724">
        <w:rPr>
          <w:rFonts w:ascii="Times New Roman" w:hAnsi="Times New Roman" w:cs="Times New Roman"/>
          <w:color w:val="000000" w:themeColor="text1"/>
          <w:sz w:val="24"/>
          <w:szCs w:val="24"/>
        </w:rPr>
        <w:t xml:space="preserve">Age-related degenerative diseases, including osteoporosis, cardiovascular disease, and neurological disorders, are growing more common as the world's population ages, creating serious public health issues. Because of their bioactive ingredients, which can promote health at the cellular and systemic levels, nutraceuticals and functional foods have become attractive preventive and therapeutic therapies in this regard. The function of these natural compounds in controlling and preventing age-related deterioration is examined in this research. The possible advantages of these dietary interventions are emphasized through an analysis of different functional foods—like fruits, vegetables, and fermented products—and nutraceuticals that offer concentrated dosages of advantageous substances like antioxidants, polyphenols, and omega-3 fatty acids. </w:t>
      </w:r>
      <w:r w:rsidRPr="00433293">
        <w:rPr>
          <w:rFonts w:ascii="Times New Roman" w:hAnsi="Times New Roman" w:cs="Times New Roman"/>
          <w:color w:val="000000" w:themeColor="text1"/>
          <w:sz w:val="24"/>
          <w:szCs w:val="24"/>
        </w:rPr>
        <w:t xml:space="preserve">The methods by which these compounds may lessen the impacts of aging—such as lowering oxidative stress, inflammation, and enhancing metabolic function—are also covered in the research. </w:t>
      </w:r>
      <w:r w:rsidRPr="00D32326">
        <w:rPr>
          <w:rFonts w:ascii="Times New Roman" w:hAnsi="Times New Roman" w:cs="Times New Roman"/>
          <w:color w:val="000000" w:themeColor="text1"/>
          <w:sz w:val="24"/>
          <w:szCs w:val="24"/>
          <w:shd w:val="clear" w:color="auto" w:fill="FFFFFF"/>
        </w:rPr>
        <w:t>In conclusion, given the increased life expectancy, older people's health can be effectively prolonged by the careful use of nutraceuticals and the inclusion of functional foods. Such innovation and research remain crucial for this industry to realize its full potential and meet the dietary needs of the elderly.</w:t>
      </w:r>
    </w:p>
    <w:p w14:paraId="0B7D05A1" w14:textId="77777777" w:rsidR="00FF6163" w:rsidRPr="00D32326" w:rsidRDefault="00FF6163" w:rsidP="00FF6163">
      <w:pPr>
        <w:spacing w:line="276" w:lineRule="auto"/>
        <w:jc w:val="both"/>
        <w:rPr>
          <w:rFonts w:ascii="Times New Roman" w:hAnsi="Times New Roman" w:cs="Times New Roman"/>
          <w:b/>
          <w:bCs/>
          <w:color w:val="000000" w:themeColor="text1"/>
          <w:sz w:val="24"/>
          <w:szCs w:val="24"/>
          <w:lang w:val="en-US"/>
        </w:rPr>
      </w:pPr>
    </w:p>
    <w:p w14:paraId="7C9F5E3F" w14:textId="77777777" w:rsidR="00433293" w:rsidRPr="00D32326" w:rsidRDefault="00433293" w:rsidP="00FA7F86">
      <w:pPr>
        <w:spacing w:line="276" w:lineRule="auto"/>
        <w:jc w:val="both"/>
        <w:rPr>
          <w:rFonts w:ascii="Times New Roman" w:hAnsi="Times New Roman" w:cs="Times New Roman"/>
          <w:b/>
          <w:bCs/>
          <w:color w:val="000000" w:themeColor="text1"/>
          <w:sz w:val="24"/>
          <w:szCs w:val="24"/>
          <w:lang w:val="en-US"/>
        </w:rPr>
      </w:pPr>
    </w:p>
    <w:p w14:paraId="7568DD7C" w14:textId="424D1928" w:rsidR="00C85710" w:rsidRPr="00332358" w:rsidRDefault="00C85710" w:rsidP="00332358">
      <w:pPr>
        <w:spacing w:line="276" w:lineRule="auto"/>
        <w:rPr>
          <w:rFonts w:ascii="Times New Roman" w:hAnsi="Times New Roman" w:cs="Times New Roman"/>
          <w:color w:val="000000" w:themeColor="text1"/>
          <w:sz w:val="24"/>
          <w:szCs w:val="24"/>
        </w:rPr>
      </w:pPr>
      <w:proofErr w:type="gramStart"/>
      <w:r>
        <w:rPr>
          <w:rFonts w:ascii="Times New Roman" w:hAnsi="Times New Roman" w:cs="Times New Roman"/>
          <w:b/>
          <w:bCs/>
          <w:color w:val="000000" w:themeColor="text1"/>
          <w:sz w:val="24"/>
          <w:szCs w:val="24"/>
          <w:shd w:val="clear" w:color="auto" w:fill="FFFFFF"/>
        </w:rPr>
        <w:t>Keywords :</w:t>
      </w:r>
      <w:proofErr w:type="gramEnd"/>
      <w:r w:rsidRPr="000551E5">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 xml:space="preserve">Nutraceuticals, Functional Foods, </w:t>
      </w:r>
      <w:r w:rsidRPr="00B4787A">
        <w:rPr>
          <w:rFonts w:ascii="Times New Roman" w:hAnsi="Times New Roman" w:cs="Times New Roman"/>
          <w:color w:val="000000" w:themeColor="text1"/>
          <w:sz w:val="24"/>
          <w:szCs w:val="24"/>
          <w:shd w:val="clear" w:color="auto" w:fill="FFFFFF"/>
        </w:rPr>
        <w:t>Age-Related Degenerative diseases</w:t>
      </w:r>
      <w:r w:rsidRPr="00D323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anti-</w:t>
      </w:r>
      <w:r w:rsidRPr="00D32326">
        <w:rPr>
          <w:rFonts w:ascii="Times New Roman" w:hAnsi="Times New Roman" w:cs="Times New Roman"/>
          <w:color w:val="000000" w:themeColor="text1"/>
          <w:sz w:val="24"/>
          <w:szCs w:val="24"/>
        </w:rPr>
        <w:t>Aging</w:t>
      </w:r>
      <w:r>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 xml:space="preserve"> </w:t>
      </w:r>
    </w:p>
    <w:p w14:paraId="01F4B969" w14:textId="77777777" w:rsidR="00433293" w:rsidRPr="00D32326" w:rsidRDefault="00433293" w:rsidP="00FA7F86">
      <w:pPr>
        <w:spacing w:line="276" w:lineRule="auto"/>
        <w:jc w:val="both"/>
        <w:rPr>
          <w:rFonts w:ascii="Times New Roman" w:hAnsi="Times New Roman" w:cs="Times New Roman"/>
          <w:b/>
          <w:bCs/>
          <w:color w:val="000000" w:themeColor="text1"/>
          <w:sz w:val="24"/>
          <w:szCs w:val="24"/>
          <w:lang w:val="en-US"/>
        </w:rPr>
      </w:pPr>
    </w:p>
    <w:p w14:paraId="3BFF9902" w14:textId="05F30DB4" w:rsidR="00766BCA" w:rsidRPr="00D32326" w:rsidRDefault="00766BCA" w:rsidP="00FA7F86">
      <w:pPr>
        <w:spacing w:line="276" w:lineRule="auto"/>
        <w:jc w:val="both"/>
        <w:rPr>
          <w:rFonts w:ascii="Times New Roman" w:hAnsi="Times New Roman" w:cs="Times New Roman"/>
          <w:b/>
          <w:bCs/>
          <w:color w:val="000000" w:themeColor="text1"/>
          <w:sz w:val="24"/>
          <w:szCs w:val="24"/>
          <w:shd w:val="clear" w:color="auto" w:fill="FFFFFF"/>
        </w:rPr>
      </w:pPr>
      <w:r w:rsidRPr="00D32326">
        <w:rPr>
          <w:rFonts w:ascii="Times New Roman" w:hAnsi="Times New Roman" w:cs="Times New Roman"/>
          <w:b/>
          <w:bCs/>
          <w:color w:val="000000" w:themeColor="text1"/>
          <w:sz w:val="24"/>
          <w:szCs w:val="24"/>
          <w:shd w:val="clear" w:color="auto" w:fill="FFFFFF"/>
        </w:rPr>
        <w:t>Introduction</w:t>
      </w:r>
      <w:r w:rsidR="00F227D6" w:rsidRPr="00D32326">
        <w:rPr>
          <w:rFonts w:ascii="Times New Roman" w:hAnsi="Times New Roman" w:cs="Times New Roman"/>
          <w:b/>
          <w:bCs/>
          <w:color w:val="000000" w:themeColor="text1"/>
          <w:sz w:val="24"/>
          <w:szCs w:val="24"/>
          <w:shd w:val="clear" w:color="auto" w:fill="FFFFFF"/>
        </w:rPr>
        <w:t xml:space="preserve"> </w:t>
      </w:r>
    </w:p>
    <w:p w14:paraId="5911F3C6" w14:textId="4FD2768F" w:rsidR="00907119" w:rsidRPr="00D32326" w:rsidRDefault="005070BB" w:rsidP="00FA7F86">
      <w:pPr>
        <w:spacing w:line="276" w:lineRule="auto"/>
        <w:ind w:firstLine="720"/>
        <w:jc w:val="both"/>
        <w:rPr>
          <w:rFonts w:ascii="Times New Roman" w:hAnsi="Times New Roman" w:cs="Times New Roman"/>
          <w:sz w:val="24"/>
          <w:szCs w:val="24"/>
        </w:rPr>
      </w:pPr>
      <w:r w:rsidRPr="00D32326">
        <w:rPr>
          <w:rFonts w:ascii="Times New Roman" w:hAnsi="Times New Roman" w:cs="Times New Roman"/>
          <w:color w:val="000000" w:themeColor="text1"/>
          <w:sz w:val="24"/>
          <w:szCs w:val="24"/>
          <w:shd w:val="clear" w:color="auto" w:fill="FFFFFF"/>
        </w:rPr>
        <w:t xml:space="preserve">The global demographic shift towards older individuals has led to a growing focus on aging-related diseases and healthy aging. (Beard </w:t>
      </w:r>
      <w:r w:rsidR="00844B66" w:rsidRPr="00D32326">
        <w:rPr>
          <w:rFonts w:ascii="Times New Roman" w:hAnsi="Times New Roman" w:cs="Times New Roman"/>
          <w:i/>
          <w:iCs/>
          <w:color w:val="000000" w:themeColor="text1"/>
          <w:sz w:val="24"/>
          <w:szCs w:val="24"/>
          <w:shd w:val="clear" w:color="auto" w:fill="FFFFFF"/>
        </w:rPr>
        <w:t>et al</w:t>
      </w:r>
      <w:r w:rsidR="004626C0" w:rsidRPr="00D32326">
        <w:rPr>
          <w:rFonts w:ascii="Times New Roman" w:hAnsi="Times New Roman" w:cs="Times New Roman"/>
          <w:i/>
          <w:iCs/>
          <w:color w:val="000000" w:themeColor="text1"/>
          <w:sz w:val="24"/>
          <w:szCs w:val="24"/>
          <w:shd w:val="clear" w:color="auto" w:fill="FFFFFF"/>
        </w:rPr>
        <w:t>.</w:t>
      </w:r>
      <w:r w:rsidRPr="00D32326">
        <w:rPr>
          <w:rFonts w:ascii="Times New Roman" w:hAnsi="Times New Roman" w:cs="Times New Roman"/>
          <w:color w:val="000000" w:themeColor="text1"/>
          <w:sz w:val="24"/>
          <w:szCs w:val="24"/>
          <w:shd w:val="clear" w:color="auto" w:fill="FFFFFF"/>
        </w:rPr>
        <w:t xml:space="preserve">, 2016). </w:t>
      </w:r>
      <w:r w:rsidR="00907119" w:rsidRPr="00D32326">
        <w:rPr>
          <w:rFonts w:ascii="Times New Roman" w:hAnsi="Times New Roman" w:cs="Times New Roman"/>
          <w:color w:val="000000" w:themeColor="text1"/>
          <w:sz w:val="24"/>
          <w:szCs w:val="24"/>
          <w:shd w:val="clear" w:color="auto" w:fill="FFFFFF"/>
        </w:rPr>
        <w:t>Due to their possible therapeutic and preventative health properties, nutraceuticals and functional foods have also been identified as effective therapies.</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(Shahidi, 2009).</w:t>
      </w:r>
      <w:r w:rsidR="00907119" w:rsidRPr="00D32326">
        <w:rPr>
          <w:rFonts w:ascii="Times New Roman" w:hAnsi="Times New Roman" w:cs="Times New Roman"/>
          <w:color w:val="000000" w:themeColor="text1"/>
          <w:sz w:val="24"/>
          <w:szCs w:val="24"/>
          <w:shd w:val="clear" w:color="auto" w:fill="FFFFFF"/>
        </w:rPr>
        <w:t xml:space="preserve"> As opposed to regular drugs, nutraceuticals include bioactive substances of food that are deemed medicinal or health-enhancing. Fortified foods, or functional foods, are products which are intended to improve health in some way other than simply to provide basic nutrition</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 xml:space="preserve">(Dwyer, Coates, &amp; Smith, 2018). </w:t>
      </w:r>
      <w:r w:rsidR="00907119" w:rsidRPr="00D32326">
        <w:rPr>
          <w:rFonts w:ascii="Times New Roman" w:hAnsi="Times New Roman" w:cs="Times New Roman"/>
          <w:color w:val="000000" w:themeColor="text1"/>
          <w:sz w:val="24"/>
          <w:szCs w:val="24"/>
          <w:shd w:val="clear" w:color="auto" w:fill="FFFFFF"/>
        </w:rPr>
        <w:t xml:space="preserve"> Elderly people suffer from a wide variety of age-associated diseases, such as cardiovascular diseases, diabetes, neurodegenerative diseases, and osteoporosis, that compromise their health and quality of life. It is believed that oxidative stress, chronic low-grade inflammation and poor nutrition are among the causes of most of these diseases and all </w:t>
      </w:r>
      <w:r w:rsidR="00907119" w:rsidRPr="00D32326">
        <w:rPr>
          <w:rFonts w:ascii="Times New Roman" w:hAnsi="Times New Roman" w:cs="Times New Roman"/>
          <w:color w:val="000000" w:themeColor="text1"/>
          <w:sz w:val="24"/>
          <w:szCs w:val="24"/>
          <w:shd w:val="clear" w:color="auto" w:fill="FFFFFF"/>
        </w:rPr>
        <w:lastRenderedPageBreak/>
        <w:t>these can be managed through dietary intervention.</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(Calder, 2017)</w:t>
      </w:r>
      <w:r w:rsidR="00907119" w:rsidRPr="00D32326">
        <w:rPr>
          <w:rFonts w:ascii="Times New Roman" w:hAnsi="Times New Roman" w:cs="Times New Roman"/>
          <w:color w:val="000000" w:themeColor="text1"/>
          <w:sz w:val="24"/>
          <w:szCs w:val="24"/>
          <w:shd w:val="clear" w:color="auto" w:fill="FFFFFF"/>
        </w:rPr>
        <w:t xml:space="preserve"> Omega 3 fatty acids, antioxidants, polyphenols and probiotics, which are called nutraceuticals, have been widely evaluated for their ability to combat inflammation, improve antioxidant status, and maintain general metabolic wellness.</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 xml:space="preserve">(Joseph </w:t>
      </w:r>
      <w:r w:rsidR="00844B66" w:rsidRPr="00D32326">
        <w:rPr>
          <w:rFonts w:ascii="Times New Roman" w:hAnsi="Times New Roman" w:cs="Times New Roman"/>
          <w:i/>
          <w:iCs/>
          <w:color w:val="000000" w:themeColor="text1"/>
          <w:sz w:val="24"/>
          <w:szCs w:val="24"/>
          <w:shd w:val="clear" w:color="auto" w:fill="FFFFFF"/>
        </w:rPr>
        <w:t>et al</w:t>
      </w:r>
      <w:r w:rsidR="00055F58" w:rsidRPr="00D32326">
        <w:rPr>
          <w:rFonts w:ascii="Times New Roman" w:hAnsi="Times New Roman" w:cs="Times New Roman"/>
          <w:i/>
          <w:iCs/>
          <w:color w:val="000000" w:themeColor="text1"/>
          <w:sz w:val="24"/>
          <w:szCs w:val="24"/>
          <w:shd w:val="clear" w:color="auto" w:fill="FFFFFF"/>
        </w:rPr>
        <w:t>.</w:t>
      </w:r>
      <w:r w:rsidR="00055F58" w:rsidRPr="00D32326">
        <w:rPr>
          <w:rFonts w:ascii="Times New Roman" w:hAnsi="Times New Roman" w:cs="Times New Roman"/>
          <w:color w:val="000000" w:themeColor="text1"/>
          <w:sz w:val="24"/>
          <w:szCs w:val="24"/>
          <w:shd w:val="clear" w:color="auto" w:fill="FFFFFF"/>
        </w:rPr>
        <w:t xml:space="preserve">, 2009). </w:t>
      </w:r>
      <w:r w:rsidR="00907119" w:rsidRPr="00D32326">
        <w:rPr>
          <w:rFonts w:ascii="Times New Roman" w:hAnsi="Times New Roman" w:cs="Times New Roman"/>
          <w:color w:val="000000" w:themeColor="text1"/>
          <w:sz w:val="24"/>
          <w:szCs w:val="24"/>
          <w:shd w:val="clear" w:color="auto" w:fill="FFFFFF"/>
        </w:rPr>
        <w:t xml:space="preserve"> The objective of this review is to investigate the available evidence regarding the efficacy of nutraceuticals and functional foods in a particular disease setting.</w:t>
      </w:r>
      <w:r w:rsidR="00907119" w:rsidRPr="00D32326">
        <w:rPr>
          <w:rFonts w:ascii="Times New Roman" w:hAnsi="Times New Roman" w:cs="Times New Roman"/>
          <w:color w:val="000000" w:themeColor="text1"/>
          <w:spacing w:val="8"/>
          <w:sz w:val="24"/>
          <w:szCs w:val="24"/>
          <w:shd w:val="clear" w:color="auto" w:fill="FFFFFF"/>
        </w:rPr>
        <w:t xml:space="preserve"> </w:t>
      </w:r>
      <w:r w:rsidR="00907119" w:rsidRPr="00D32326">
        <w:rPr>
          <w:rFonts w:ascii="Times New Roman" w:hAnsi="Times New Roman" w:cs="Times New Roman"/>
          <w:sz w:val="24"/>
          <w:szCs w:val="24"/>
        </w:rPr>
        <w:t xml:space="preserve">Integration of nutraceuticals and functional foods into new food applications for an aging population may provide a non-pharmacological strategy to intervene most effectively on </w:t>
      </w:r>
      <w:proofErr w:type="spellStart"/>
      <w:r w:rsidR="00907119" w:rsidRPr="00D32326">
        <w:rPr>
          <w:rFonts w:ascii="Times New Roman" w:hAnsi="Times New Roman" w:cs="Times New Roman"/>
          <w:sz w:val="24"/>
          <w:szCs w:val="24"/>
        </w:rPr>
        <w:t>healthspan</w:t>
      </w:r>
      <w:proofErr w:type="spellEnd"/>
      <w:r w:rsidR="00907119" w:rsidRPr="00D32326">
        <w:rPr>
          <w:rFonts w:ascii="Times New Roman" w:hAnsi="Times New Roman" w:cs="Times New Roman"/>
          <w:sz w:val="24"/>
          <w:szCs w:val="24"/>
        </w:rPr>
        <w:t xml:space="preserve"> and reduce the burden of chronic disease.</w:t>
      </w:r>
      <w:r w:rsidR="00055F58" w:rsidRPr="00D32326">
        <w:rPr>
          <w:rFonts w:ascii="Times New Roman" w:hAnsi="Times New Roman" w:cs="Times New Roman"/>
          <w:sz w:val="24"/>
          <w:szCs w:val="24"/>
        </w:rPr>
        <w:t xml:space="preserve"> (</w:t>
      </w:r>
      <w:proofErr w:type="spellStart"/>
      <w:r w:rsidR="00055F58" w:rsidRPr="00D32326">
        <w:rPr>
          <w:rFonts w:ascii="Times New Roman" w:hAnsi="Times New Roman" w:cs="Times New Roman"/>
          <w:sz w:val="24"/>
          <w:szCs w:val="24"/>
        </w:rPr>
        <w:t>Ouwehand</w:t>
      </w:r>
      <w:proofErr w:type="spellEnd"/>
      <w:r w:rsidR="00055F58" w:rsidRPr="00D32326">
        <w:rPr>
          <w:rFonts w:ascii="Times New Roman" w:hAnsi="Times New Roman" w:cs="Times New Roman"/>
          <w:sz w:val="24"/>
          <w:szCs w:val="24"/>
        </w:rPr>
        <w:t xml:space="preserve">, </w:t>
      </w:r>
      <w:proofErr w:type="spellStart"/>
      <w:r w:rsidR="00055F58" w:rsidRPr="00D32326">
        <w:rPr>
          <w:rFonts w:ascii="Times New Roman" w:hAnsi="Times New Roman" w:cs="Times New Roman"/>
          <w:sz w:val="24"/>
          <w:szCs w:val="24"/>
        </w:rPr>
        <w:t>Salminen</w:t>
      </w:r>
      <w:proofErr w:type="spellEnd"/>
      <w:r w:rsidR="00055F58" w:rsidRPr="00D32326">
        <w:rPr>
          <w:rFonts w:ascii="Times New Roman" w:hAnsi="Times New Roman" w:cs="Times New Roman"/>
          <w:sz w:val="24"/>
          <w:szCs w:val="24"/>
        </w:rPr>
        <w:t xml:space="preserve">, &amp; </w:t>
      </w:r>
      <w:proofErr w:type="spellStart"/>
      <w:r w:rsidR="00055F58" w:rsidRPr="00D32326">
        <w:rPr>
          <w:rFonts w:ascii="Times New Roman" w:hAnsi="Times New Roman" w:cs="Times New Roman"/>
          <w:sz w:val="24"/>
          <w:szCs w:val="24"/>
        </w:rPr>
        <w:t>Isolauri</w:t>
      </w:r>
      <w:proofErr w:type="spellEnd"/>
      <w:r w:rsidR="00055F58" w:rsidRPr="00D32326">
        <w:rPr>
          <w:rFonts w:ascii="Times New Roman" w:hAnsi="Times New Roman" w:cs="Times New Roman"/>
          <w:sz w:val="24"/>
          <w:szCs w:val="24"/>
        </w:rPr>
        <w:t>, 2002).</w:t>
      </w:r>
      <w:r w:rsidR="00844B66" w:rsidRPr="00D32326">
        <w:rPr>
          <w:rFonts w:ascii="Times New Roman" w:hAnsi="Times New Roman" w:cs="Times New Roman"/>
          <w:sz w:val="24"/>
          <w:szCs w:val="24"/>
        </w:rPr>
        <w:t xml:space="preserve"> </w:t>
      </w:r>
      <w:r w:rsidR="00907119" w:rsidRPr="00D32326">
        <w:rPr>
          <w:rFonts w:ascii="Times New Roman" w:hAnsi="Times New Roman" w:cs="Times New Roman"/>
          <w:sz w:val="24"/>
          <w:szCs w:val="24"/>
        </w:rPr>
        <w:t xml:space="preserve">Development in technologies, omics and data-analysis combined with recent scientific insights from intervention trials will be highlighted in this review paper providing safety–efficacy matrices of representative classes of nutraceuticals and functional foods including those derived from cereals. Furthermore, node </w:t>
      </w:r>
      <w:r w:rsidR="00844B66" w:rsidRPr="00D32326">
        <w:rPr>
          <w:rFonts w:ascii="Times New Roman" w:hAnsi="Times New Roman" w:cs="Times New Roman"/>
          <w:sz w:val="24"/>
          <w:szCs w:val="24"/>
        </w:rPr>
        <w:t>analysis-based</w:t>
      </w:r>
      <w:r w:rsidR="00907119" w:rsidRPr="00D32326">
        <w:rPr>
          <w:rFonts w:ascii="Times New Roman" w:hAnsi="Times New Roman" w:cs="Times New Roman"/>
          <w:sz w:val="24"/>
          <w:szCs w:val="24"/>
        </w:rPr>
        <w:t xml:space="preserve"> hurdles hampering effective product development targeted at elderly are addressed. Improved knowledge on diet-</w:t>
      </w:r>
      <w:proofErr w:type="spellStart"/>
      <w:r w:rsidR="00907119" w:rsidRPr="00D32326">
        <w:rPr>
          <w:rFonts w:ascii="Times New Roman" w:hAnsi="Times New Roman" w:cs="Times New Roman"/>
          <w:sz w:val="24"/>
          <w:szCs w:val="24"/>
        </w:rPr>
        <w:t>healthrelationships</w:t>
      </w:r>
      <w:proofErr w:type="spellEnd"/>
      <w:r w:rsidR="00907119" w:rsidRPr="00D32326">
        <w:rPr>
          <w:rFonts w:ascii="Times New Roman" w:hAnsi="Times New Roman" w:cs="Times New Roman"/>
          <w:sz w:val="24"/>
          <w:szCs w:val="24"/>
        </w:rPr>
        <w:t xml:space="preserve"> at old age can support improved dietary recommendations thus improving </w:t>
      </w:r>
      <w:proofErr w:type="spellStart"/>
      <w:r w:rsidR="00907119" w:rsidRPr="00D32326">
        <w:rPr>
          <w:rFonts w:ascii="Times New Roman" w:hAnsi="Times New Roman" w:cs="Times New Roman"/>
          <w:sz w:val="24"/>
          <w:szCs w:val="24"/>
        </w:rPr>
        <w:t>PublicHealth</w:t>
      </w:r>
      <w:proofErr w:type="spellEnd"/>
      <w:r w:rsidR="00907119" w:rsidRPr="00D32326">
        <w:rPr>
          <w:rFonts w:ascii="Times New Roman" w:hAnsi="Times New Roman" w:cs="Times New Roman"/>
          <w:sz w:val="24"/>
          <w:szCs w:val="24"/>
        </w:rPr>
        <w:t xml:space="preserve"> Programs targeting aging people.</w:t>
      </w:r>
      <w:r w:rsidR="00055F58" w:rsidRPr="00D32326">
        <w:rPr>
          <w:rFonts w:ascii="Times New Roman" w:hAnsi="Times New Roman" w:cs="Times New Roman"/>
          <w:sz w:val="24"/>
          <w:szCs w:val="24"/>
        </w:rPr>
        <w:t xml:space="preserve"> (</w:t>
      </w:r>
      <w:proofErr w:type="spellStart"/>
      <w:r w:rsidR="00055F58" w:rsidRPr="00D32326">
        <w:rPr>
          <w:rFonts w:ascii="Times New Roman" w:hAnsi="Times New Roman" w:cs="Times New Roman"/>
          <w:sz w:val="24"/>
          <w:szCs w:val="24"/>
        </w:rPr>
        <w:t>Roberfroid</w:t>
      </w:r>
      <w:proofErr w:type="spellEnd"/>
      <w:r w:rsidR="00055F58" w:rsidRPr="00D32326">
        <w:rPr>
          <w:rFonts w:ascii="Times New Roman" w:hAnsi="Times New Roman" w:cs="Times New Roman"/>
          <w:sz w:val="24"/>
          <w:szCs w:val="24"/>
        </w:rPr>
        <w:t>, 2000).</w:t>
      </w:r>
    </w:p>
    <w:p w14:paraId="016614CB" w14:textId="3F81FEBD" w:rsidR="00F227D6" w:rsidRPr="00D32326" w:rsidRDefault="004626C0" w:rsidP="00FA7F86">
      <w:pPr>
        <w:spacing w:before="100" w:beforeAutospacing="1" w:after="100" w:afterAutospacing="1" w:line="276" w:lineRule="auto"/>
        <w:jc w:val="both"/>
        <w:outlineLvl w:val="2"/>
        <w:rPr>
          <w:rFonts w:ascii="Times New Roman" w:hAnsi="Times New Roman" w:cs="Times New Roman"/>
          <w:color w:val="000000" w:themeColor="text1"/>
          <w:sz w:val="24"/>
          <w:szCs w:val="24"/>
          <w:shd w:val="clear" w:color="auto" w:fill="FFFFFF"/>
        </w:rPr>
      </w:pPr>
      <w:r w:rsidRPr="00D32326">
        <w:rPr>
          <w:rFonts w:ascii="Times New Roman" w:hAnsi="Times New Roman" w:cs="Times New Roman"/>
          <w:b/>
          <w:bCs/>
          <w:color w:val="000000" w:themeColor="text1"/>
          <w:sz w:val="24"/>
          <w:szCs w:val="24"/>
          <w:shd w:val="clear" w:color="auto" w:fill="FFFFFF"/>
        </w:rPr>
        <w:t>1</w:t>
      </w:r>
      <w:r w:rsidRPr="00D32326">
        <w:rPr>
          <w:rFonts w:ascii="Times New Roman" w:hAnsi="Times New Roman" w:cs="Times New Roman"/>
          <w:color w:val="000000" w:themeColor="text1"/>
          <w:sz w:val="24"/>
          <w:szCs w:val="24"/>
          <w:shd w:val="clear" w:color="auto" w:fill="FFFFFF"/>
        </w:rPr>
        <w:t>.</w:t>
      </w:r>
      <w:r w:rsidR="00907119" w:rsidRPr="00D32326">
        <w:rPr>
          <w:rFonts w:ascii="Times New Roman" w:eastAsia="Times New Roman" w:hAnsi="Times New Roman" w:cs="Times New Roman"/>
          <w:b/>
          <w:bCs/>
          <w:color w:val="000000" w:themeColor="text1"/>
          <w:sz w:val="24"/>
          <w:szCs w:val="24"/>
          <w:lang w:eastAsia="en-IN"/>
        </w:rPr>
        <w:t>Aging</w:t>
      </w:r>
      <w:r w:rsidR="002C674E" w:rsidRPr="00D32326">
        <w:rPr>
          <w:rFonts w:ascii="Times New Roman" w:eastAsia="Times New Roman" w:hAnsi="Times New Roman" w:cs="Times New Roman"/>
          <w:b/>
          <w:bCs/>
          <w:color w:val="000000" w:themeColor="text1"/>
          <w:sz w:val="24"/>
          <w:szCs w:val="24"/>
          <w:lang w:eastAsia="en-IN"/>
        </w:rPr>
        <w:t xml:space="preserve"> Mechanism</w:t>
      </w:r>
      <w:r w:rsidR="00907119" w:rsidRPr="00D32326">
        <w:rPr>
          <w:rFonts w:ascii="Times New Roman" w:eastAsia="Times New Roman" w:hAnsi="Times New Roman" w:cs="Times New Roman"/>
          <w:b/>
          <w:bCs/>
          <w:color w:val="000000" w:themeColor="text1"/>
          <w:sz w:val="24"/>
          <w:szCs w:val="24"/>
          <w:lang w:eastAsia="en-IN"/>
        </w:rPr>
        <w:t xml:space="preserve"> and Nutritional Interventions</w:t>
      </w:r>
    </w:p>
    <w:p w14:paraId="4577B7A3" w14:textId="364B5DD1" w:rsidR="00907119" w:rsidRPr="00D32326" w:rsidRDefault="004626C0"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1.1</w:t>
      </w:r>
      <w:r w:rsidR="00F227D6" w:rsidRPr="00D32326">
        <w:rPr>
          <w:rFonts w:ascii="Times New Roman" w:eastAsia="Times New Roman" w:hAnsi="Times New Roman" w:cs="Times New Roman"/>
          <w:b/>
          <w:bCs/>
          <w:color w:val="000000" w:themeColor="text1"/>
          <w:sz w:val="24"/>
          <w:szCs w:val="24"/>
          <w:lang w:eastAsia="en-IN"/>
        </w:rPr>
        <w:t xml:space="preserve"> </w:t>
      </w:r>
      <w:r w:rsidR="00907119" w:rsidRPr="00D32326">
        <w:rPr>
          <w:rFonts w:ascii="Times New Roman" w:eastAsia="Times New Roman" w:hAnsi="Times New Roman" w:cs="Times New Roman"/>
          <w:b/>
          <w:bCs/>
          <w:color w:val="000000" w:themeColor="text1"/>
          <w:sz w:val="24"/>
          <w:szCs w:val="24"/>
          <w:lang w:eastAsia="en-IN"/>
        </w:rPr>
        <w:t xml:space="preserve">Biological Processes </w:t>
      </w:r>
      <w:r w:rsidR="002C674E" w:rsidRPr="00D32326">
        <w:rPr>
          <w:rFonts w:ascii="Times New Roman" w:eastAsia="Times New Roman" w:hAnsi="Times New Roman" w:cs="Times New Roman"/>
          <w:b/>
          <w:bCs/>
          <w:color w:val="000000" w:themeColor="text1"/>
          <w:sz w:val="24"/>
          <w:szCs w:val="24"/>
          <w:lang w:eastAsia="en-IN"/>
        </w:rPr>
        <w:t>responsible for</w:t>
      </w:r>
      <w:r w:rsidR="00907119" w:rsidRPr="00D32326">
        <w:rPr>
          <w:rFonts w:ascii="Times New Roman" w:eastAsia="Times New Roman" w:hAnsi="Times New Roman" w:cs="Times New Roman"/>
          <w:b/>
          <w:bCs/>
          <w:color w:val="000000" w:themeColor="text1"/>
          <w:sz w:val="24"/>
          <w:szCs w:val="24"/>
          <w:lang w:eastAsia="en-IN"/>
        </w:rPr>
        <w:t xml:space="preserve"> Aging</w:t>
      </w:r>
      <w:r w:rsidR="00F227D6" w:rsidRPr="00D32326">
        <w:rPr>
          <w:rFonts w:ascii="Times New Roman" w:eastAsia="Times New Roman" w:hAnsi="Times New Roman" w:cs="Times New Roman"/>
          <w:b/>
          <w:bCs/>
          <w:color w:val="000000" w:themeColor="text1"/>
          <w:sz w:val="24"/>
          <w:szCs w:val="24"/>
          <w:lang w:eastAsia="en-IN"/>
        </w:rPr>
        <w:t xml:space="preserve"> </w:t>
      </w:r>
    </w:p>
    <w:p w14:paraId="09A4B0CF" w14:textId="5556C2C8" w:rsidR="00BD707E" w:rsidRDefault="00907119" w:rsidP="00BD707E">
      <w:pPr>
        <w:spacing w:before="75" w:after="75" w:line="240" w:lineRule="auto"/>
      </w:pPr>
      <w:r w:rsidRPr="001A3301">
        <w:rPr>
          <w:rFonts w:ascii="Times New Roman" w:hAnsi="Times New Roman" w:cs="Times New Roman"/>
          <w:sz w:val="24"/>
          <w:szCs w:val="24"/>
          <w:shd w:val="clear" w:color="auto" w:fill="FFFFFF"/>
        </w:rPr>
        <w:t xml:space="preserve">Aging is a biological process, and it is associated with the accumulation of a progressive decline in physiological function and increased susceptibility to diseases </w:t>
      </w:r>
      <w:r w:rsidR="00A568E0" w:rsidRPr="001A3301">
        <w:rPr>
          <w:rFonts w:ascii="Times New Roman" w:hAnsi="Times New Roman" w:cs="Times New Roman"/>
          <w:sz w:val="24"/>
          <w:szCs w:val="24"/>
          <w:shd w:val="clear" w:color="auto" w:fill="FFFFFF"/>
        </w:rPr>
        <w:t xml:space="preserve">(López-Otín </w:t>
      </w:r>
      <w:r w:rsidR="00844B66" w:rsidRPr="001A3301">
        <w:rPr>
          <w:rFonts w:ascii="Times New Roman" w:hAnsi="Times New Roman" w:cs="Times New Roman"/>
          <w:sz w:val="24"/>
          <w:szCs w:val="24"/>
          <w:shd w:val="clear" w:color="auto" w:fill="FFFFFF"/>
        </w:rPr>
        <w:t>et al</w:t>
      </w:r>
      <w:r w:rsidR="00A568E0" w:rsidRPr="001A3301">
        <w:rPr>
          <w:rFonts w:ascii="Times New Roman" w:hAnsi="Times New Roman" w:cs="Times New Roman"/>
          <w:sz w:val="24"/>
          <w:szCs w:val="24"/>
          <w:shd w:val="clear" w:color="auto" w:fill="FFFFFF"/>
        </w:rPr>
        <w:t>., 2013)</w:t>
      </w:r>
      <w:r w:rsidRPr="001A3301">
        <w:rPr>
          <w:rFonts w:ascii="Times New Roman" w:hAnsi="Times New Roman" w:cs="Times New Roman"/>
          <w:sz w:val="24"/>
          <w:szCs w:val="24"/>
          <w:shd w:val="clear" w:color="auto" w:fill="FFFFFF"/>
        </w:rPr>
        <w:t>. Several interrelated mechanisms contribute to aging</w:t>
      </w:r>
      <w:r w:rsidR="004626C0" w:rsidRPr="001A3301">
        <w:rPr>
          <w:rFonts w:ascii="Times New Roman" w:hAnsi="Times New Roman" w:cs="Times New Roman"/>
          <w:sz w:val="24"/>
          <w:szCs w:val="24"/>
          <w:shd w:val="clear" w:color="auto" w:fill="FFFFFF"/>
        </w:rPr>
        <w:t xml:space="preserve"> such as</w:t>
      </w:r>
      <w:r w:rsidRPr="001A3301">
        <w:rPr>
          <w:rFonts w:ascii="Times New Roman" w:hAnsi="Times New Roman" w:cs="Times New Roman"/>
          <w:sz w:val="24"/>
          <w:szCs w:val="24"/>
          <w:shd w:val="clear" w:color="auto" w:fill="FFFFFF"/>
        </w:rPr>
        <w:t xml:space="preserve"> oxidative stress, inflammation and mitochondrial dysfunction</w:t>
      </w:r>
      <w:r w:rsidR="00A568E0" w:rsidRPr="001A3301">
        <w:rPr>
          <w:rFonts w:ascii="Times New Roman" w:hAnsi="Times New Roman" w:cs="Times New Roman"/>
          <w:sz w:val="24"/>
          <w:szCs w:val="24"/>
        </w:rPr>
        <w:t xml:space="preserve"> </w:t>
      </w:r>
      <w:r w:rsidR="00A568E0" w:rsidRPr="001A3301">
        <w:rPr>
          <w:rFonts w:ascii="Times New Roman" w:hAnsi="Times New Roman" w:cs="Times New Roman"/>
          <w:sz w:val="24"/>
          <w:szCs w:val="24"/>
          <w:shd w:val="clear" w:color="auto" w:fill="FFFFFF"/>
        </w:rPr>
        <w:t>(Harman, 2001)</w:t>
      </w:r>
      <w:r w:rsidRPr="001A3301">
        <w:rPr>
          <w:rFonts w:ascii="Times New Roman" w:hAnsi="Times New Roman" w:cs="Times New Roman"/>
          <w:sz w:val="24"/>
          <w:szCs w:val="24"/>
          <w:shd w:val="clear" w:color="auto" w:fill="FFFFFF"/>
        </w:rPr>
        <w:t xml:space="preserve">. Knowledge gained from the </w:t>
      </w:r>
      <w:proofErr w:type="spellStart"/>
      <w:r w:rsidRPr="001A3301">
        <w:rPr>
          <w:rFonts w:ascii="Times New Roman" w:hAnsi="Times New Roman" w:cs="Times New Roman"/>
          <w:sz w:val="24"/>
          <w:szCs w:val="24"/>
          <w:shd w:val="clear" w:color="auto" w:fill="FFFFFF"/>
        </w:rPr>
        <w:t>visome</w:t>
      </w:r>
      <w:proofErr w:type="spellEnd"/>
      <w:r w:rsidRPr="001A3301">
        <w:rPr>
          <w:rFonts w:ascii="Times New Roman" w:hAnsi="Times New Roman" w:cs="Times New Roman"/>
          <w:sz w:val="24"/>
          <w:szCs w:val="24"/>
          <w:shd w:val="clear" w:color="auto" w:fill="FFFFFF"/>
        </w:rPr>
        <w:t xml:space="preserve"> studies is primarily </w:t>
      </w:r>
      <w:proofErr w:type="spellStart"/>
      <w:r w:rsidRPr="001A3301">
        <w:rPr>
          <w:rFonts w:ascii="Times New Roman" w:hAnsi="Times New Roman" w:cs="Times New Roman"/>
          <w:sz w:val="24"/>
          <w:szCs w:val="24"/>
          <w:shd w:val="clear" w:color="auto" w:fill="FFFFFF"/>
        </w:rPr>
        <w:t>bioinfor</w:t>
      </w:r>
      <w:proofErr w:type="spellEnd"/>
      <w:r w:rsidRPr="001A3301">
        <w:rPr>
          <w:rFonts w:ascii="Times New Roman" w:hAnsi="Times New Roman" w:cs="Times New Roman"/>
          <w:sz w:val="24"/>
          <w:szCs w:val="24"/>
          <w:shd w:val="clear" w:color="auto" w:fill="FFFFFF"/>
        </w:rPr>
        <w:t xml:space="preserve">- </w:t>
      </w:r>
      <w:proofErr w:type="spellStart"/>
      <w:r w:rsidRPr="001A3301">
        <w:rPr>
          <w:rFonts w:ascii="Times New Roman" w:hAnsi="Times New Roman" w:cs="Times New Roman"/>
          <w:sz w:val="24"/>
          <w:szCs w:val="24"/>
          <w:shd w:val="clear" w:color="auto" w:fill="FFFFFF"/>
        </w:rPr>
        <w:t>matics</w:t>
      </w:r>
      <w:proofErr w:type="spellEnd"/>
      <w:r w:rsidRPr="001A3301">
        <w:rPr>
          <w:rFonts w:ascii="Times New Roman" w:hAnsi="Times New Roman" w:cs="Times New Roman"/>
          <w:sz w:val="24"/>
          <w:szCs w:val="24"/>
          <w:shd w:val="clear" w:color="auto" w:fill="FFFFFF"/>
        </w:rPr>
        <w:t xml:space="preserve">-driven research; Data generation is costly, difficult to obtain longitudinally in humans and often comes with data quality issues including missing </w:t>
      </w:r>
      <w:r w:rsidRPr="00BD707E">
        <w:rPr>
          <w:rFonts w:ascii="Times New Roman" w:hAnsi="Times New Roman" w:cs="Times New Roman"/>
          <w:sz w:val="24"/>
          <w:szCs w:val="24"/>
          <w:shd w:val="clear" w:color="auto" w:fill="FFFFFF"/>
        </w:rPr>
        <w:t>values</w:t>
      </w:r>
      <w:r w:rsidR="00BD707E">
        <w:rPr>
          <w:rFonts w:ascii="Times New Roman" w:hAnsi="Times New Roman" w:cs="Times New Roman"/>
          <w:sz w:val="24"/>
          <w:szCs w:val="24"/>
          <w:shd w:val="clear" w:color="auto" w:fill="FFFFFF"/>
        </w:rPr>
        <w:t xml:space="preserve"> (</w:t>
      </w:r>
      <w:proofErr w:type="spellStart"/>
      <w:r w:rsidR="00BD707E" w:rsidRPr="00BD707E">
        <w:t>Toniolo</w:t>
      </w:r>
      <w:proofErr w:type="spellEnd"/>
      <w:r w:rsidR="00BD707E" w:rsidRPr="00BD707E">
        <w:rPr>
          <w:rFonts w:ascii="Times New Roman" w:hAnsi="Times New Roman" w:cs="Times New Roman"/>
          <w:i/>
          <w:iCs/>
          <w:sz w:val="24"/>
          <w:szCs w:val="24"/>
          <w:shd w:val="clear" w:color="auto" w:fill="FFFFFF"/>
        </w:rPr>
        <w:t xml:space="preserve"> </w:t>
      </w:r>
      <w:proofErr w:type="gramStart"/>
      <w:r w:rsidR="00BD707E" w:rsidRPr="00BD707E">
        <w:rPr>
          <w:rFonts w:ascii="Times New Roman" w:hAnsi="Times New Roman" w:cs="Times New Roman"/>
          <w:i/>
          <w:iCs/>
          <w:sz w:val="24"/>
          <w:szCs w:val="24"/>
          <w:shd w:val="clear" w:color="auto" w:fill="FFFFFF"/>
        </w:rPr>
        <w:t>et al</w:t>
      </w:r>
      <w:r w:rsidR="00BD707E" w:rsidRPr="00BD707E">
        <w:rPr>
          <w:rFonts w:ascii="Times New Roman" w:hAnsi="Times New Roman" w:cs="Times New Roman"/>
          <w:sz w:val="24"/>
          <w:szCs w:val="24"/>
          <w:shd w:val="clear" w:color="auto" w:fill="FFFFFF"/>
        </w:rPr>
        <w:t>.,</w:t>
      </w:r>
      <w:r w:rsidR="00BD707E" w:rsidRPr="00BD707E">
        <w:t>,</w:t>
      </w:r>
      <w:proofErr w:type="gramEnd"/>
      <w:r w:rsidR="00BD707E">
        <w:t xml:space="preserve">  2023).</w:t>
      </w:r>
    </w:p>
    <w:p w14:paraId="42B5AE3A" w14:textId="6D2D9B1E" w:rsidR="00F227D6" w:rsidRPr="001A3301" w:rsidRDefault="00F227D6" w:rsidP="001A3301">
      <w:pPr>
        <w:spacing w:line="276" w:lineRule="auto"/>
        <w:jc w:val="both"/>
        <w:rPr>
          <w:rFonts w:ascii="Times New Roman" w:hAnsi="Times New Roman" w:cs="Times New Roman"/>
          <w:i/>
          <w:iCs/>
          <w:sz w:val="24"/>
          <w:szCs w:val="24"/>
          <w:shd w:val="clear" w:color="auto" w:fill="FFFFFF"/>
        </w:rPr>
      </w:pPr>
    </w:p>
    <w:p w14:paraId="742C7C8D" w14:textId="4B3BCF11" w:rsidR="00243079" w:rsidRPr="00D32326" w:rsidRDefault="00A97890"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1.2</w:t>
      </w:r>
      <w:r w:rsidR="00F227D6" w:rsidRPr="00D32326">
        <w:rPr>
          <w:rFonts w:ascii="Times New Roman" w:eastAsia="Times New Roman" w:hAnsi="Times New Roman" w:cs="Times New Roman"/>
          <w:b/>
          <w:bCs/>
          <w:color w:val="000000" w:themeColor="text1"/>
          <w:sz w:val="24"/>
          <w:szCs w:val="24"/>
          <w:lang w:eastAsia="en-IN"/>
        </w:rPr>
        <w:t xml:space="preserve"> </w:t>
      </w:r>
      <w:r w:rsidR="00243079" w:rsidRPr="00D32326">
        <w:rPr>
          <w:rFonts w:ascii="Times New Roman" w:eastAsia="Times New Roman" w:hAnsi="Times New Roman" w:cs="Times New Roman"/>
          <w:b/>
          <w:bCs/>
          <w:color w:val="000000" w:themeColor="text1"/>
          <w:sz w:val="24"/>
          <w:szCs w:val="24"/>
          <w:lang w:eastAsia="en-IN"/>
        </w:rPr>
        <w:t>Oxidative Stress</w:t>
      </w:r>
      <w:r w:rsidR="00F227D6" w:rsidRPr="00D32326">
        <w:rPr>
          <w:rFonts w:ascii="Times New Roman" w:eastAsia="Times New Roman" w:hAnsi="Times New Roman" w:cs="Times New Roman"/>
          <w:b/>
          <w:bCs/>
          <w:color w:val="000000" w:themeColor="text1"/>
          <w:sz w:val="24"/>
          <w:szCs w:val="24"/>
          <w:lang w:eastAsia="en-IN"/>
        </w:rPr>
        <w:t xml:space="preserve"> </w:t>
      </w:r>
    </w:p>
    <w:p w14:paraId="24CB8A6A" w14:textId="54DD15FD" w:rsidR="00BD707E" w:rsidRDefault="00243079" w:rsidP="00BD707E">
      <w:pPr>
        <w:spacing w:before="75" w:after="75" w:line="240" w:lineRule="auto"/>
        <w:rPr>
          <w:rFonts w:ascii="Arial" w:eastAsia="Times New Roman" w:hAnsi="Arial" w:cs="Arial"/>
          <w:b/>
          <w:bCs/>
          <w:sz w:val="18"/>
          <w:szCs w:val="18"/>
        </w:rPr>
      </w:pPr>
      <w:r w:rsidRPr="00D32326">
        <w:rPr>
          <w:color w:val="000000" w:themeColor="text1"/>
        </w:rPr>
        <w:t xml:space="preserve">Oxidative stress develops when an excess of reactive oxygen species (ROS) </w:t>
      </w:r>
      <w:r w:rsidR="00A97890" w:rsidRPr="00D32326">
        <w:rPr>
          <w:color w:val="000000" w:themeColor="text1"/>
        </w:rPr>
        <w:t>is</w:t>
      </w:r>
      <w:r w:rsidRPr="00D32326">
        <w:rPr>
          <w:color w:val="000000" w:themeColor="text1"/>
        </w:rPr>
        <w:t xml:space="preserve"> formed by normal cellular metabolism, particularly in the mitochondria, and is not kept in check by the body’s antioxidant mechanisms.</w:t>
      </w:r>
      <w:r w:rsidR="00132AE8" w:rsidRPr="00D32326">
        <w:rPr>
          <w:color w:val="000000" w:themeColor="text1"/>
        </w:rPr>
        <w:t xml:space="preserve"> (Harman, 2001)</w:t>
      </w:r>
      <w:r w:rsidRPr="00D32326">
        <w:rPr>
          <w:color w:val="000000" w:themeColor="text1"/>
        </w:rPr>
        <w:t xml:space="preserve"> Depressive free radicals, </w:t>
      </w:r>
      <w:proofErr w:type="spellStart"/>
      <w:r w:rsidRPr="00D32326">
        <w:rPr>
          <w:color w:val="000000" w:themeColor="text1"/>
        </w:rPr>
        <w:t>superoxides</w:t>
      </w:r>
      <w:proofErr w:type="spellEnd"/>
      <w:r w:rsidRPr="00D32326">
        <w:rPr>
          <w:color w:val="000000" w:themeColor="text1"/>
        </w:rPr>
        <w:t>, and hydrogen peroxide are the free by-products of normal cellular metabolism and activity of mitochondria.</w:t>
      </w:r>
      <w:r w:rsidR="00132AE8" w:rsidRPr="00D32326">
        <w:rPr>
          <w:color w:val="000000" w:themeColor="text1"/>
        </w:rPr>
        <w:t xml:space="preserve"> (Liguori </w:t>
      </w:r>
      <w:r w:rsidR="00844B66" w:rsidRPr="00D32326">
        <w:rPr>
          <w:i/>
          <w:iCs/>
          <w:color w:val="000000" w:themeColor="text1"/>
        </w:rPr>
        <w:t>et al</w:t>
      </w:r>
      <w:r w:rsidR="00132AE8" w:rsidRPr="00D32326">
        <w:rPr>
          <w:color w:val="000000" w:themeColor="text1"/>
        </w:rPr>
        <w:t>., 2018).</w:t>
      </w:r>
      <w:r w:rsidRPr="00D32326">
        <w:rPr>
          <w:color w:val="000000" w:themeColor="text1"/>
        </w:rPr>
        <w:t xml:space="preserve"> Though several cellular mechanisms are activated for maintaining low ROS levels and modulation free radicals are involved in cellular </w:t>
      </w:r>
      <w:proofErr w:type="spellStart"/>
      <w:r w:rsidRPr="00D32326">
        <w:rPr>
          <w:color w:val="000000" w:themeColor="text1"/>
        </w:rPr>
        <w:t>signaling</w:t>
      </w:r>
      <w:proofErr w:type="spellEnd"/>
      <w:r w:rsidRPr="00D32326">
        <w:rPr>
          <w:color w:val="000000" w:themeColor="text1"/>
        </w:rPr>
        <w:t xml:space="preserve"> and homeostasis at the low range ROS excess levels can be found quite harmful to cellular components including DNA, proteins, and lipids.</w:t>
      </w:r>
      <w:r w:rsidR="00132AE8" w:rsidRPr="00D32326">
        <w:rPr>
          <w:color w:val="000000" w:themeColor="text1"/>
        </w:rPr>
        <w:t xml:space="preserve"> (Sies </w:t>
      </w:r>
      <w:r w:rsidR="00844B66" w:rsidRPr="00D32326">
        <w:rPr>
          <w:i/>
          <w:iCs/>
          <w:color w:val="000000" w:themeColor="text1"/>
        </w:rPr>
        <w:t>et al</w:t>
      </w:r>
      <w:r w:rsidR="00132AE8" w:rsidRPr="00D32326">
        <w:rPr>
          <w:color w:val="000000" w:themeColor="text1"/>
        </w:rPr>
        <w:t>., 2017).</w:t>
      </w:r>
      <w:r w:rsidRPr="00D32326">
        <w:rPr>
          <w:color w:val="000000" w:themeColor="text1"/>
        </w:rPr>
        <w:t xml:space="preserve"> Candera emphasizes that oxidative damage accumulated during lifetime is one of the reasons of aging and development of age-related diseases, which include cancer, cardiovascular </w:t>
      </w:r>
      <w:r w:rsidR="00CA1E0A" w:rsidRPr="00D32326">
        <w:rPr>
          <w:color w:val="000000" w:themeColor="text1"/>
        </w:rPr>
        <w:t>diseases,</w:t>
      </w:r>
      <w:r w:rsidRPr="00D32326">
        <w:rPr>
          <w:color w:val="000000" w:themeColor="text1"/>
        </w:rPr>
        <w:t xml:space="preserve"> and even neurodegenerative diseases”</w:t>
      </w:r>
      <w:r w:rsidR="00132AE8" w:rsidRPr="00D32326">
        <w:rPr>
          <w:color w:val="000000" w:themeColor="text1"/>
        </w:rPr>
        <w:t xml:space="preserve"> </w:t>
      </w:r>
      <w:r w:rsidR="00BD707E">
        <w:rPr>
          <w:color w:val="000000" w:themeColor="text1"/>
        </w:rPr>
        <w:t>(</w:t>
      </w:r>
      <w:proofErr w:type="spellStart"/>
      <w:r w:rsidR="00BD707E">
        <w:t>Zavadskiy</w:t>
      </w:r>
      <w:proofErr w:type="spellEnd"/>
      <w:r w:rsidR="00BD707E">
        <w:t xml:space="preserve"> </w:t>
      </w:r>
      <w:r w:rsidR="00BD707E" w:rsidRPr="00BD707E">
        <w:rPr>
          <w:i/>
          <w:iCs/>
        </w:rPr>
        <w:t>et al.,</w:t>
      </w:r>
      <w:r w:rsidR="00BD707E">
        <w:t>2022).</w:t>
      </w:r>
    </w:p>
    <w:p w14:paraId="1FE737B9" w14:textId="58E00278" w:rsidR="00F227D6" w:rsidRPr="00D32326" w:rsidRDefault="00F227D6" w:rsidP="00FA7F86">
      <w:pPr>
        <w:pStyle w:val="NormalWeb"/>
        <w:spacing w:before="0" w:beforeAutospacing="0" w:after="240" w:afterAutospacing="0" w:line="276" w:lineRule="auto"/>
        <w:jc w:val="both"/>
        <w:textAlignment w:val="baseline"/>
        <w:rPr>
          <w:color w:val="000000" w:themeColor="text1"/>
        </w:rPr>
      </w:pPr>
    </w:p>
    <w:p w14:paraId="187850A4" w14:textId="6C72C551" w:rsidR="00766BCA" w:rsidRPr="00D32326" w:rsidRDefault="00253210" w:rsidP="00FA7F86">
      <w:pPr>
        <w:spacing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1.3</w:t>
      </w:r>
      <w:r w:rsidR="00F227D6" w:rsidRPr="00D32326">
        <w:rPr>
          <w:rFonts w:ascii="Times New Roman" w:eastAsia="Times New Roman" w:hAnsi="Times New Roman" w:cs="Times New Roman"/>
          <w:b/>
          <w:bCs/>
          <w:color w:val="000000" w:themeColor="text1"/>
          <w:sz w:val="24"/>
          <w:szCs w:val="24"/>
          <w:lang w:eastAsia="en-IN"/>
        </w:rPr>
        <w:t xml:space="preserve"> </w:t>
      </w:r>
      <w:r w:rsidR="00243079" w:rsidRPr="00D32326">
        <w:rPr>
          <w:rFonts w:ascii="Times New Roman" w:eastAsia="Times New Roman" w:hAnsi="Times New Roman" w:cs="Times New Roman"/>
          <w:b/>
          <w:bCs/>
          <w:color w:val="000000" w:themeColor="text1"/>
          <w:sz w:val="24"/>
          <w:szCs w:val="24"/>
          <w:lang w:eastAsia="en-IN"/>
        </w:rPr>
        <w:t>Inflammation</w:t>
      </w:r>
      <w:r w:rsidR="00F227D6" w:rsidRPr="00D32326">
        <w:rPr>
          <w:rFonts w:ascii="Times New Roman" w:eastAsia="Times New Roman" w:hAnsi="Times New Roman" w:cs="Times New Roman"/>
          <w:b/>
          <w:bCs/>
          <w:color w:val="000000" w:themeColor="text1"/>
          <w:sz w:val="24"/>
          <w:szCs w:val="24"/>
          <w:lang w:eastAsia="en-IN"/>
        </w:rPr>
        <w:t xml:space="preserve"> </w:t>
      </w:r>
    </w:p>
    <w:p w14:paraId="56E548A0" w14:textId="733289ED" w:rsidR="00F227D6" w:rsidRPr="00D32326" w:rsidRDefault="001F6B16" w:rsidP="00FA7F86">
      <w:pPr>
        <w:spacing w:line="276" w:lineRule="auto"/>
        <w:jc w:val="both"/>
        <w:rPr>
          <w:rFonts w:ascii="Times New Roman" w:hAnsi="Times New Roman" w:cs="Times New Roman"/>
          <w:color w:val="000000" w:themeColor="text1"/>
          <w:sz w:val="24"/>
          <w:szCs w:val="24"/>
        </w:rPr>
      </w:pPr>
      <w:r w:rsidRPr="00D32326">
        <w:rPr>
          <w:rFonts w:ascii="Times New Roman" w:hAnsi="Times New Roman" w:cs="Times New Roman"/>
          <w:color w:val="000000" w:themeColor="text1"/>
          <w:sz w:val="24"/>
          <w:szCs w:val="24"/>
          <w:lang w:val="en-US"/>
        </w:rPr>
        <w:lastRenderedPageBreak/>
        <w:t>Another age-related hallmark involves chronic inflammation often termed "inflammaging".</w:t>
      </w:r>
      <w:r w:rsidR="00132AE8" w:rsidRPr="00D32326">
        <w:rPr>
          <w:rFonts w:ascii="Times New Roman" w:hAnsi="Times New Roman" w:cs="Times New Roman"/>
          <w:color w:val="000000" w:themeColor="text1"/>
          <w:sz w:val="24"/>
          <w:szCs w:val="24"/>
        </w:rPr>
        <w:t xml:space="preserve"> (Franceschi </w:t>
      </w:r>
      <w:r w:rsidR="00844B66" w:rsidRPr="00D32326">
        <w:rPr>
          <w:rFonts w:ascii="Times New Roman" w:hAnsi="Times New Roman" w:cs="Times New Roman"/>
          <w:i/>
          <w:iCs/>
          <w:color w:val="000000" w:themeColor="text1"/>
          <w:sz w:val="24"/>
          <w:szCs w:val="24"/>
        </w:rPr>
        <w:t>et al</w:t>
      </w:r>
      <w:r w:rsidR="00132AE8" w:rsidRPr="00D32326">
        <w:rPr>
          <w:rFonts w:ascii="Times New Roman" w:hAnsi="Times New Roman" w:cs="Times New Roman"/>
          <w:color w:val="000000" w:themeColor="text1"/>
          <w:sz w:val="24"/>
          <w:szCs w:val="24"/>
        </w:rPr>
        <w:t>., 2000).</w:t>
      </w:r>
      <w:r w:rsidRPr="00D32326">
        <w:rPr>
          <w:rFonts w:ascii="Times New Roman" w:hAnsi="Times New Roman" w:cs="Times New Roman"/>
          <w:color w:val="000000" w:themeColor="text1"/>
          <w:sz w:val="24"/>
          <w:szCs w:val="24"/>
          <w:lang w:val="en-US"/>
        </w:rPr>
        <w:t xml:space="preserve"> As the body gets older, there is a systemic shift towards low-grade chronic inflammation. This can be attributed to cellular senescence, increased secretion of pro-inflammatory cytokines and accumulation of degraded cellular components leading to chronic tissue damage and subsequent many age-related diseases such as atherosclerosis, arthritis and Alzheimer's.</w:t>
      </w:r>
      <w:r w:rsidR="00132AE8" w:rsidRPr="00D32326">
        <w:rPr>
          <w:rFonts w:ascii="Times New Roman" w:hAnsi="Times New Roman" w:cs="Times New Roman"/>
          <w:color w:val="000000" w:themeColor="text1"/>
          <w:sz w:val="24"/>
          <w:szCs w:val="24"/>
        </w:rPr>
        <w:t xml:space="preserve"> (Calder </w:t>
      </w:r>
      <w:r w:rsidR="00844B66" w:rsidRPr="00D32326">
        <w:rPr>
          <w:rFonts w:ascii="Times New Roman" w:hAnsi="Times New Roman" w:cs="Times New Roman"/>
          <w:i/>
          <w:iCs/>
          <w:color w:val="000000" w:themeColor="text1"/>
          <w:sz w:val="24"/>
          <w:szCs w:val="24"/>
        </w:rPr>
        <w:t>et al</w:t>
      </w:r>
      <w:r w:rsidR="00132AE8" w:rsidRPr="00D32326">
        <w:rPr>
          <w:rFonts w:ascii="Times New Roman" w:hAnsi="Times New Roman" w:cs="Times New Roman"/>
          <w:color w:val="000000" w:themeColor="text1"/>
          <w:sz w:val="24"/>
          <w:szCs w:val="24"/>
        </w:rPr>
        <w:t>., 2017; Ferrucci &amp; Fabbri, 2018).</w:t>
      </w:r>
    </w:p>
    <w:p w14:paraId="3DB83712" w14:textId="6784F832" w:rsidR="001F6B16" w:rsidRPr="00D32326" w:rsidRDefault="00253210"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1.4</w:t>
      </w:r>
      <w:r w:rsidRPr="00D32326">
        <w:rPr>
          <w:rFonts w:ascii="Times New Roman" w:eastAsia="Times New Roman" w:hAnsi="Times New Roman" w:cs="Times New Roman"/>
          <w:color w:val="000000" w:themeColor="text1"/>
          <w:sz w:val="24"/>
          <w:szCs w:val="24"/>
          <w:lang w:eastAsia="en-IN"/>
        </w:rPr>
        <w:t xml:space="preserve"> </w:t>
      </w:r>
      <w:r w:rsidR="001F6B16" w:rsidRPr="00D32326">
        <w:rPr>
          <w:rFonts w:ascii="Times New Roman" w:eastAsia="Times New Roman" w:hAnsi="Times New Roman" w:cs="Times New Roman"/>
          <w:b/>
          <w:bCs/>
          <w:color w:val="000000" w:themeColor="text1"/>
          <w:sz w:val="24"/>
          <w:szCs w:val="24"/>
          <w:lang w:eastAsia="en-IN"/>
        </w:rPr>
        <w:t>Mitochondrial Dysfunction</w:t>
      </w:r>
    </w:p>
    <w:p w14:paraId="3760D5FB" w14:textId="3CF79CF6" w:rsidR="005070BB" w:rsidRPr="00D32326" w:rsidRDefault="001F6B16" w:rsidP="00FA7F86">
      <w:pPr>
        <w:spacing w:line="276" w:lineRule="auto"/>
        <w:jc w:val="both"/>
        <w:rPr>
          <w:rFonts w:ascii="Times New Roman" w:hAnsi="Times New Roman" w:cs="Times New Roman"/>
          <w:color w:val="000000" w:themeColor="text1"/>
          <w:sz w:val="24"/>
          <w:szCs w:val="24"/>
        </w:rPr>
      </w:pPr>
      <w:r w:rsidRPr="00D32326">
        <w:rPr>
          <w:rFonts w:ascii="Times New Roman" w:hAnsi="Times New Roman" w:cs="Times New Roman"/>
          <w:color w:val="000000" w:themeColor="text1"/>
          <w:sz w:val="24"/>
          <w:szCs w:val="24"/>
          <w:lang w:val="en-US"/>
        </w:rPr>
        <w:t>Mitochondria, the powerhouses of the cell, are integral to energy generation through oxidative phosphorylation. However, with age, mitochondrial function tends to decline</w:t>
      </w:r>
      <w:r w:rsidR="007D638E" w:rsidRPr="00D32326">
        <w:rPr>
          <w:rFonts w:ascii="Times New Roman" w:hAnsi="Times New Roman" w:cs="Times New Roman"/>
          <w:color w:val="000000" w:themeColor="text1"/>
          <w:sz w:val="24"/>
          <w:szCs w:val="24"/>
        </w:rPr>
        <w:t xml:space="preserve"> </w:t>
      </w:r>
      <w:r w:rsidR="00BD707E" w:rsidRPr="00BD707E">
        <w:rPr>
          <w:rFonts w:ascii="Times New Roman" w:hAnsi="Times New Roman" w:cs="Times New Roman"/>
          <w:color w:val="000000" w:themeColor="text1"/>
          <w:sz w:val="24"/>
          <w:szCs w:val="24"/>
        </w:rPr>
        <w:t>(</w:t>
      </w:r>
      <w:r w:rsidR="00BD707E" w:rsidRPr="00BD707E">
        <w:rPr>
          <w:rFonts w:ascii="Times New Roman" w:hAnsi="Times New Roman" w:cs="Times New Roman"/>
          <w:sz w:val="24"/>
          <w:szCs w:val="24"/>
        </w:rPr>
        <w:t xml:space="preserve">Lippi </w:t>
      </w:r>
      <w:r w:rsidR="00BD707E" w:rsidRPr="00BD707E">
        <w:rPr>
          <w:rFonts w:ascii="Times New Roman" w:hAnsi="Times New Roman" w:cs="Times New Roman"/>
          <w:i/>
          <w:iCs/>
          <w:sz w:val="24"/>
          <w:szCs w:val="24"/>
        </w:rPr>
        <w:t xml:space="preserve">et </w:t>
      </w:r>
      <w:r w:rsidR="00BD707E" w:rsidRPr="00BD707E">
        <w:rPr>
          <w:rFonts w:ascii="Times New Roman" w:hAnsi="Times New Roman" w:cs="Times New Roman"/>
          <w:sz w:val="24"/>
          <w:szCs w:val="24"/>
        </w:rPr>
        <w:t>al., 2022).</w:t>
      </w:r>
      <w:r w:rsidRPr="00D32326">
        <w:rPr>
          <w:rFonts w:ascii="Times New Roman" w:hAnsi="Times New Roman" w:cs="Times New Roman"/>
          <w:color w:val="000000" w:themeColor="text1"/>
          <w:sz w:val="24"/>
          <w:szCs w:val="24"/>
          <w:lang w:val="en-US"/>
        </w:rPr>
        <w:t>This results in decreased ATP synthesis and increased levels of ROS, which can potentially damage cellular structures</w:t>
      </w:r>
      <w:r w:rsidR="007D638E" w:rsidRPr="00D32326">
        <w:rPr>
          <w:rFonts w:ascii="Times New Roman" w:hAnsi="Times New Roman" w:cs="Times New Roman"/>
          <w:color w:val="000000" w:themeColor="text1"/>
          <w:sz w:val="24"/>
          <w:szCs w:val="24"/>
        </w:rPr>
        <w:t xml:space="preserve"> (Sun </w:t>
      </w:r>
      <w:r w:rsidR="00844B66" w:rsidRPr="00D32326">
        <w:rPr>
          <w:rFonts w:ascii="Times New Roman" w:hAnsi="Times New Roman" w:cs="Times New Roman"/>
          <w:i/>
          <w:iCs/>
          <w:color w:val="000000" w:themeColor="text1"/>
          <w:sz w:val="24"/>
          <w:szCs w:val="24"/>
        </w:rPr>
        <w:t>et al</w:t>
      </w:r>
      <w:r w:rsidR="007D638E" w:rsidRPr="00D32326">
        <w:rPr>
          <w:rFonts w:ascii="Times New Roman" w:hAnsi="Times New Roman" w:cs="Times New Roman"/>
          <w:color w:val="000000" w:themeColor="text1"/>
          <w:sz w:val="24"/>
          <w:szCs w:val="24"/>
        </w:rPr>
        <w:t>., 2016).</w:t>
      </w:r>
      <w:r w:rsidRPr="00D32326">
        <w:rPr>
          <w:rFonts w:ascii="Times New Roman" w:hAnsi="Times New Roman" w:cs="Times New Roman"/>
          <w:color w:val="000000" w:themeColor="text1"/>
          <w:sz w:val="24"/>
          <w:szCs w:val="24"/>
          <w:lang w:val="en-US"/>
        </w:rPr>
        <w:t xml:space="preserve"> </w:t>
      </w:r>
      <w:r w:rsidR="005070BB" w:rsidRPr="00D32326">
        <w:rPr>
          <w:rFonts w:ascii="Times New Roman" w:hAnsi="Times New Roman" w:cs="Times New Roman"/>
          <w:color w:val="000000" w:themeColor="text1"/>
          <w:sz w:val="24"/>
          <w:szCs w:val="24"/>
        </w:rPr>
        <w:t>The accumulation of genetic changes in the mitochondrial DNA, compromised mitophagy and disturbances in the internal structure of the mitochondria brought on by an imbalance between fission and fusion could all contribute to mitochondrial dysfunction. (Lopez-</w:t>
      </w:r>
      <w:proofErr w:type="spellStart"/>
      <w:r w:rsidR="005070BB" w:rsidRPr="00D32326">
        <w:rPr>
          <w:rFonts w:ascii="Times New Roman" w:hAnsi="Times New Roman" w:cs="Times New Roman"/>
          <w:color w:val="000000" w:themeColor="text1"/>
          <w:sz w:val="24"/>
          <w:szCs w:val="24"/>
        </w:rPr>
        <w:t>Otín</w:t>
      </w:r>
      <w:proofErr w:type="spellEnd"/>
      <w:r w:rsidR="005070BB" w:rsidRPr="00D32326">
        <w:rPr>
          <w:rFonts w:ascii="Times New Roman" w:hAnsi="Times New Roman" w:cs="Times New Roman"/>
          <w:color w:val="000000" w:themeColor="text1"/>
          <w:sz w:val="24"/>
          <w:szCs w:val="24"/>
        </w:rPr>
        <w:t xml:space="preserve"> and others, 2013)</w:t>
      </w:r>
      <w:r w:rsidR="00613201" w:rsidRPr="00D32326">
        <w:rPr>
          <w:rFonts w:ascii="Times New Roman" w:hAnsi="Times New Roman" w:cs="Times New Roman"/>
          <w:color w:val="000000" w:themeColor="text1"/>
          <w:sz w:val="24"/>
          <w:szCs w:val="24"/>
        </w:rPr>
        <w:t xml:space="preserve">. </w:t>
      </w:r>
      <w:r w:rsidR="005070BB" w:rsidRPr="00D32326">
        <w:rPr>
          <w:rFonts w:ascii="Times New Roman" w:hAnsi="Times New Roman" w:cs="Times New Roman"/>
          <w:color w:val="000000" w:themeColor="text1"/>
          <w:sz w:val="24"/>
          <w:szCs w:val="24"/>
        </w:rPr>
        <w:t>A vicious cycle that speeds up aging is created when mitochondrial function declines, contributing to oxidative stress, inflammation, and energy defi</w:t>
      </w:r>
      <w:r w:rsidR="005B782D">
        <w:rPr>
          <w:rFonts w:ascii="Times New Roman" w:hAnsi="Times New Roman" w:cs="Times New Roman"/>
          <w:color w:val="000000" w:themeColor="text1"/>
          <w:sz w:val="24"/>
          <w:szCs w:val="24"/>
        </w:rPr>
        <w:t>ciencies in aging cells. (</w:t>
      </w:r>
      <w:r w:rsidR="005070BB" w:rsidRPr="00D32326">
        <w:rPr>
          <w:rFonts w:ascii="Times New Roman" w:hAnsi="Times New Roman" w:cs="Times New Roman"/>
          <w:color w:val="000000" w:themeColor="text1"/>
          <w:sz w:val="24"/>
          <w:szCs w:val="24"/>
        </w:rPr>
        <w:t xml:space="preserve">Sun </w:t>
      </w:r>
      <w:r w:rsidR="00844B66" w:rsidRPr="00D32326">
        <w:rPr>
          <w:rFonts w:ascii="Times New Roman" w:hAnsi="Times New Roman" w:cs="Times New Roman"/>
          <w:i/>
          <w:iCs/>
          <w:color w:val="000000" w:themeColor="text1"/>
          <w:sz w:val="24"/>
          <w:szCs w:val="24"/>
        </w:rPr>
        <w:t>et al</w:t>
      </w:r>
      <w:r w:rsidR="005070BB" w:rsidRPr="00D32326">
        <w:rPr>
          <w:rFonts w:ascii="Times New Roman" w:hAnsi="Times New Roman" w:cs="Times New Roman"/>
          <w:i/>
          <w:iCs/>
          <w:color w:val="000000" w:themeColor="text1"/>
          <w:sz w:val="24"/>
          <w:szCs w:val="24"/>
        </w:rPr>
        <w:t>.</w:t>
      </w:r>
      <w:r w:rsidR="005070BB" w:rsidRPr="00D32326">
        <w:rPr>
          <w:rFonts w:ascii="Times New Roman" w:hAnsi="Times New Roman" w:cs="Times New Roman"/>
          <w:color w:val="000000" w:themeColor="text1"/>
          <w:sz w:val="24"/>
          <w:szCs w:val="24"/>
        </w:rPr>
        <w:t>, 2016).</w:t>
      </w:r>
    </w:p>
    <w:p w14:paraId="3EFAF813" w14:textId="4138B4C4" w:rsidR="001F6B16" w:rsidRPr="00D32326" w:rsidRDefault="00ED2FC1"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hAnsi="Times New Roman" w:cs="Times New Roman"/>
          <w:b/>
          <w:bCs/>
          <w:color w:val="000000" w:themeColor="text1"/>
          <w:sz w:val="24"/>
          <w:szCs w:val="24"/>
          <w:lang w:val="en-US"/>
        </w:rPr>
        <w:t>1.5</w:t>
      </w:r>
      <w:r w:rsidRPr="00D32326">
        <w:rPr>
          <w:rFonts w:ascii="Times New Roman" w:hAnsi="Times New Roman" w:cs="Times New Roman"/>
          <w:color w:val="000000" w:themeColor="text1"/>
          <w:sz w:val="24"/>
          <w:szCs w:val="24"/>
          <w:lang w:val="en-US"/>
        </w:rPr>
        <w:t xml:space="preserve"> </w:t>
      </w:r>
      <w:r w:rsidR="001F6B16" w:rsidRPr="00D32326">
        <w:rPr>
          <w:rFonts w:ascii="Times New Roman" w:eastAsia="Times New Roman" w:hAnsi="Times New Roman" w:cs="Times New Roman"/>
          <w:b/>
          <w:bCs/>
          <w:color w:val="000000" w:themeColor="text1"/>
          <w:sz w:val="24"/>
          <w:szCs w:val="24"/>
          <w:lang w:eastAsia="en-IN"/>
        </w:rPr>
        <w:t>Interplay of Processes</w:t>
      </w:r>
      <w:r w:rsidRPr="00D32326">
        <w:rPr>
          <w:rFonts w:ascii="Times New Roman" w:eastAsia="Times New Roman" w:hAnsi="Times New Roman" w:cs="Times New Roman"/>
          <w:b/>
          <w:bCs/>
          <w:color w:val="000000" w:themeColor="text1"/>
          <w:sz w:val="24"/>
          <w:szCs w:val="24"/>
          <w:lang w:eastAsia="en-IN"/>
        </w:rPr>
        <w:t xml:space="preserve"> </w:t>
      </w:r>
    </w:p>
    <w:p w14:paraId="79D7C760" w14:textId="6F176DF1" w:rsidR="005070BB" w:rsidRPr="00D32326" w:rsidRDefault="005070BB" w:rsidP="00FA7F86">
      <w:pPr>
        <w:spacing w:before="100" w:beforeAutospacing="1" w:after="100" w:afterAutospacing="1" w:line="276"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Instead of being the result of distinct processes, aging is the culmination of a complex network of interrelated and related processes</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Lopez-</w:t>
      </w:r>
      <w:proofErr w:type="spellStart"/>
      <w:r w:rsidRPr="00D32326">
        <w:rPr>
          <w:rFonts w:ascii="Times New Roman" w:eastAsia="Times New Roman" w:hAnsi="Times New Roman" w:cs="Times New Roman"/>
          <w:color w:val="000000" w:themeColor="text1"/>
          <w:sz w:val="24"/>
          <w:szCs w:val="24"/>
          <w:lang w:eastAsia="en-IN"/>
        </w:rPr>
        <w:t>Otin</w:t>
      </w:r>
      <w:proofErr w:type="spellEnd"/>
      <w:r w:rsidRPr="00D32326">
        <w:rPr>
          <w:rFonts w:ascii="Times New Roman" w:eastAsia="Times New Roman" w:hAnsi="Times New Roman" w:cs="Times New Roman"/>
          <w:color w:val="000000" w:themeColor="text1"/>
          <w:sz w:val="24"/>
          <w:szCs w:val="24"/>
          <w:lang w:eastAsia="en-IN"/>
        </w:rPr>
        <w:t xml:space="preserve"> </w:t>
      </w:r>
      <w:r w:rsidR="00FF323B" w:rsidRPr="00D32326">
        <w:rPr>
          <w:rFonts w:ascii="Times New Roman" w:eastAsia="Times New Roman" w:hAnsi="Times New Roman" w:cs="Times New Roman"/>
          <w:i/>
          <w:iCs/>
          <w:color w:val="000000" w:themeColor="text1"/>
          <w:sz w:val="24"/>
          <w:szCs w:val="24"/>
          <w:lang w:eastAsia="en-IN"/>
        </w:rPr>
        <w:t>et al.</w:t>
      </w:r>
      <w:r w:rsidR="00FF323B" w:rsidRPr="00D32326">
        <w:rPr>
          <w:rFonts w:ascii="Times New Roman" w:eastAsia="Times New Roman" w:hAnsi="Times New Roman" w:cs="Times New Roman"/>
          <w:color w:val="000000" w:themeColor="text1"/>
          <w:sz w:val="24"/>
          <w:szCs w:val="24"/>
          <w:lang w:eastAsia="en-IN"/>
        </w:rPr>
        <w:t>,</w:t>
      </w:r>
      <w:r w:rsidRPr="00D32326">
        <w:rPr>
          <w:rFonts w:ascii="Times New Roman" w:eastAsia="Times New Roman" w:hAnsi="Times New Roman" w:cs="Times New Roman"/>
          <w:color w:val="000000" w:themeColor="text1"/>
          <w:sz w:val="24"/>
          <w:szCs w:val="24"/>
          <w:lang w:eastAsia="en-IN"/>
        </w:rPr>
        <w:t xml:space="preserve"> 2013). For example, oxidative stress can initiate inflammatory pathways; persistent inflammation can harm mitochondria and increase the production of reactive oxygen species</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 xml:space="preserve">Franceschi </w:t>
      </w:r>
      <w:r w:rsidR="00FF323B" w:rsidRPr="00D32326">
        <w:rPr>
          <w:rFonts w:ascii="Times New Roman" w:eastAsia="Times New Roman" w:hAnsi="Times New Roman" w:cs="Times New Roman"/>
          <w:i/>
          <w:iCs/>
          <w:color w:val="000000" w:themeColor="text1"/>
          <w:sz w:val="24"/>
          <w:szCs w:val="24"/>
          <w:lang w:eastAsia="en-IN"/>
        </w:rPr>
        <w:t>et al</w:t>
      </w:r>
      <w:r w:rsidR="00FF323B" w:rsidRPr="00D32326">
        <w:rPr>
          <w:rFonts w:ascii="Times New Roman" w:eastAsia="Times New Roman" w:hAnsi="Times New Roman" w:cs="Times New Roman"/>
          <w:color w:val="000000" w:themeColor="text1"/>
          <w:sz w:val="24"/>
          <w:szCs w:val="24"/>
          <w:lang w:eastAsia="en-IN"/>
        </w:rPr>
        <w:t>.,</w:t>
      </w:r>
      <w:r w:rsidRPr="00D32326">
        <w:rPr>
          <w:rFonts w:ascii="Times New Roman" w:eastAsia="Times New Roman" w:hAnsi="Times New Roman" w:cs="Times New Roman"/>
          <w:color w:val="000000" w:themeColor="text1"/>
          <w:sz w:val="24"/>
          <w:szCs w:val="24"/>
          <w:lang w:eastAsia="en-IN"/>
        </w:rPr>
        <w:t xml:space="preserve"> 2018). Additionally, tissue damage, oxidative stress, inflammation, and cellular senescence can all be exacerbated by mitochondrial dysfunction</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 xml:space="preserve">Sun </w:t>
      </w:r>
      <w:r w:rsidR="00FF323B" w:rsidRPr="00D32326">
        <w:rPr>
          <w:rFonts w:ascii="Times New Roman" w:eastAsia="Times New Roman" w:hAnsi="Times New Roman" w:cs="Times New Roman"/>
          <w:i/>
          <w:iCs/>
          <w:color w:val="000000" w:themeColor="text1"/>
          <w:sz w:val="24"/>
          <w:szCs w:val="24"/>
          <w:lang w:eastAsia="en-IN"/>
        </w:rPr>
        <w:t>et al.</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2016). Therefore, understanding how these mechanisms operate will be essential to developing comprehensive therapies to fight aging and extend health</w:t>
      </w:r>
      <w:r w:rsidR="00FF323B" w:rsidRPr="00D32326">
        <w:rPr>
          <w:rFonts w:ascii="Times New Roman" w:eastAsia="Times New Roman" w:hAnsi="Times New Roman" w:cs="Times New Roman"/>
          <w:color w:val="000000" w:themeColor="text1"/>
          <w:sz w:val="24"/>
          <w:szCs w:val="24"/>
          <w:lang w:eastAsia="en-IN"/>
        </w:rPr>
        <w:t xml:space="preserve"> </w:t>
      </w:r>
      <w:r w:rsidR="005B782D">
        <w:rPr>
          <w:rFonts w:ascii="Times New Roman" w:eastAsia="Times New Roman" w:hAnsi="Times New Roman" w:cs="Times New Roman"/>
          <w:color w:val="000000" w:themeColor="text1"/>
          <w:sz w:val="24"/>
          <w:szCs w:val="24"/>
          <w:lang w:eastAsia="en-IN"/>
        </w:rPr>
        <w:t xml:space="preserve">span. </w:t>
      </w:r>
      <w:proofErr w:type="gramStart"/>
      <w:r w:rsidR="005B782D">
        <w:rPr>
          <w:rFonts w:ascii="Times New Roman" w:eastAsia="Times New Roman" w:hAnsi="Times New Roman" w:cs="Times New Roman"/>
          <w:color w:val="000000" w:themeColor="text1"/>
          <w:sz w:val="24"/>
          <w:szCs w:val="24"/>
          <w:lang w:eastAsia="en-IN"/>
        </w:rPr>
        <w:t>(</w:t>
      </w:r>
      <w:r w:rsidRPr="00D32326">
        <w:rPr>
          <w:rFonts w:ascii="Times New Roman" w:eastAsia="Times New Roman" w:hAnsi="Times New Roman" w:cs="Times New Roman"/>
          <w:color w:val="000000" w:themeColor="text1"/>
          <w:sz w:val="24"/>
          <w:szCs w:val="24"/>
          <w:lang w:eastAsia="en-IN"/>
        </w:rPr>
        <w:t xml:space="preserve"> Harman</w:t>
      </w:r>
      <w:proofErr w:type="gramEnd"/>
      <w:r w:rsidRPr="00D32326">
        <w:rPr>
          <w:rFonts w:ascii="Times New Roman" w:eastAsia="Times New Roman" w:hAnsi="Times New Roman" w:cs="Times New Roman"/>
          <w:color w:val="000000" w:themeColor="text1"/>
          <w:sz w:val="24"/>
          <w:szCs w:val="24"/>
          <w:lang w:eastAsia="en-IN"/>
        </w:rPr>
        <w:t>, 2001).</w:t>
      </w:r>
    </w:p>
    <w:p w14:paraId="05852E32" w14:textId="2148FF74" w:rsidR="001F6B16" w:rsidRPr="00D32326" w:rsidRDefault="000C7833"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1.6</w:t>
      </w:r>
      <w:r w:rsidR="000A1EA8" w:rsidRPr="00D32326">
        <w:rPr>
          <w:rFonts w:ascii="Times New Roman" w:eastAsia="Times New Roman" w:hAnsi="Times New Roman" w:cs="Times New Roman"/>
          <w:b/>
          <w:bCs/>
          <w:color w:val="000000" w:themeColor="text1"/>
          <w:sz w:val="24"/>
          <w:szCs w:val="24"/>
          <w:lang w:eastAsia="en-IN"/>
        </w:rPr>
        <w:t xml:space="preserve"> </w:t>
      </w:r>
      <w:r w:rsidR="001F6B16" w:rsidRPr="00D32326">
        <w:rPr>
          <w:rFonts w:ascii="Times New Roman" w:eastAsia="Times New Roman" w:hAnsi="Times New Roman" w:cs="Times New Roman"/>
          <w:b/>
          <w:bCs/>
          <w:color w:val="000000" w:themeColor="text1"/>
          <w:sz w:val="24"/>
          <w:szCs w:val="24"/>
          <w:lang w:eastAsia="en-IN"/>
        </w:rPr>
        <w:t>Nutraceutical and Functional Food Interventions</w:t>
      </w:r>
      <w:r w:rsidR="001A0242" w:rsidRPr="00D32326">
        <w:rPr>
          <w:rFonts w:ascii="Times New Roman" w:eastAsia="Times New Roman" w:hAnsi="Times New Roman" w:cs="Times New Roman"/>
          <w:b/>
          <w:bCs/>
          <w:color w:val="000000" w:themeColor="text1"/>
          <w:sz w:val="24"/>
          <w:szCs w:val="24"/>
          <w:lang w:eastAsia="en-IN"/>
        </w:rPr>
        <w:t xml:space="preserve"> </w:t>
      </w:r>
    </w:p>
    <w:p w14:paraId="525844DD" w14:textId="10D44CE1" w:rsidR="00F227D6" w:rsidRPr="00BD707E" w:rsidRDefault="005070BB" w:rsidP="00FA7F86">
      <w:pPr>
        <w:spacing w:line="276" w:lineRule="auto"/>
        <w:jc w:val="both"/>
        <w:rPr>
          <w:rFonts w:ascii="Times New Roman" w:hAnsi="Times New Roman" w:cs="Times New Roman"/>
          <w:color w:val="000000" w:themeColor="text1"/>
          <w:sz w:val="28"/>
          <w:szCs w:val="28"/>
          <w:lang w:val="en-US"/>
        </w:rPr>
      </w:pPr>
      <w:r w:rsidRPr="00D32326">
        <w:rPr>
          <w:rFonts w:ascii="Times New Roman" w:hAnsi="Times New Roman" w:cs="Times New Roman"/>
          <w:color w:val="000000" w:themeColor="text1"/>
          <w:sz w:val="24"/>
          <w:szCs w:val="24"/>
        </w:rPr>
        <w:t xml:space="preserve">The intervention interest of nutraceuticals and functional foods is highly promising, particularly since oxidation stress, inflammatory conditions, and the mitochondrial dysfunctional functioning play crucial roles in aging. (Liguori </w:t>
      </w:r>
      <w:r w:rsidR="00844B66" w:rsidRPr="00D32326">
        <w:rPr>
          <w:rFonts w:ascii="Times New Roman" w:hAnsi="Times New Roman" w:cs="Times New Roman"/>
          <w:i/>
          <w:iCs/>
          <w:color w:val="000000" w:themeColor="text1"/>
          <w:sz w:val="24"/>
          <w:szCs w:val="24"/>
        </w:rPr>
        <w:t>et al</w:t>
      </w:r>
      <w:r w:rsidRPr="00D32326">
        <w:rPr>
          <w:rFonts w:ascii="Times New Roman" w:hAnsi="Times New Roman" w:cs="Times New Roman"/>
          <w:i/>
          <w:iCs/>
          <w:color w:val="000000" w:themeColor="text1"/>
          <w:sz w:val="24"/>
          <w:szCs w:val="24"/>
        </w:rPr>
        <w:t>.</w:t>
      </w:r>
      <w:r w:rsidRPr="00D32326">
        <w:rPr>
          <w:rFonts w:ascii="Times New Roman" w:hAnsi="Times New Roman" w:cs="Times New Roman"/>
          <w:color w:val="000000" w:themeColor="text1"/>
          <w:sz w:val="24"/>
          <w:szCs w:val="24"/>
        </w:rPr>
        <w:t xml:space="preserve">, 2018). Oxidative damage can be responded by neutralizing ROS with antioxidants like to be vitamins C and E, polyphenols, as well as carotenoids (Sies </w:t>
      </w:r>
      <w:r w:rsidR="00844B66" w:rsidRPr="00D32326">
        <w:rPr>
          <w:rFonts w:ascii="Times New Roman" w:hAnsi="Times New Roman" w:cs="Times New Roman"/>
          <w:i/>
          <w:iCs/>
          <w:color w:val="000000" w:themeColor="text1"/>
          <w:sz w:val="24"/>
          <w:szCs w:val="24"/>
        </w:rPr>
        <w:t>et al</w:t>
      </w:r>
      <w:r w:rsidRPr="00D32326">
        <w:rPr>
          <w:rFonts w:ascii="Times New Roman" w:hAnsi="Times New Roman" w:cs="Times New Roman"/>
          <w:i/>
          <w:iCs/>
          <w:color w:val="000000" w:themeColor="text1"/>
          <w:sz w:val="24"/>
          <w:szCs w:val="24"/>
        </w:rPr>
        <w:t>.</w:t>
      </w:r>
      <w:r w:rsidRPr="00D32326">
        <w:rPr>
          <w:rFonts w:ascii="Times New Roman" w:hAnsi="Times New Roman" w:cs="Times New Roman"/>
          <w:color w:val="000000" w:themeColor="text1"/>
          <w:sz w:val="24"/>
          <w:szCs w:val="24"/>
        </w:rPr>
        <w:t>, 2017).</w:t>
      </w:r>
      <w:r w:rsidR="001F6B16" w:rsidRPr="00D32326">
        <w:rPr>
          <w:rFonts w:ascii="Times New Roman" w:hAnsi="Times New Roman" w:cs="Times New Roman"/>
          <w:color w:val="000000" w:themeColor="text1"/>
          <w:sz w:val="24"/>
          <w:szCs w:val="24"/>
          <w:lang w:val="en-US"/>
        </w:rPr>
        <w:t>Inflammation can be controlled by modulating inflammatory pathways using anti-inflammatory compounds such as omega-3 fatty acids and curcumin</w:t>
      </w:r>
      <w:r w:rsidR="007D638E" w:rsidRPr="00D32326">
        <w:rPr>
          <w:rFonts w:ascii="Times New Roman" w:hAnsi="Times New Roman" w:cs="Times New Roman"/>
          <w:color w:val="000000" w:themeColor="text1"/>
          <w:sz w:val="24"/>
          <w:szCs w:val="24"/>
        </w:rPr>
        <w:t xml:space="preserve"> (Calder, 2017)</w:t>
      </w:r>
      <w:r w:rsidR="001F6B16" w:rsidRPr="00D32326">
        <w:rPr>
          <w:rFonts w:ascii="Times New Roman" w:hAnsi="Times New Roman" w:cs="Times New Roman"/>
          <w:color w:val="000000" w:themeColor="text1"/>
          <w:sz w:val="24"/>
          <w:szCs w:val="24"/>
          <w:lang w:val="en-US"/>
        </w:rPr>
        <w:t>. Nutrients that support mitochondrial health, including coenzyme Q10, resveratrol, and certain B vitamins, can enhance mitochondrial function and mitigate age-related decline</w:t>
      </w:r>
      <w:r w:rsidR="007D638E" w:rsidRPr="00D32326">
        <w:rPr>
          <w:rFonts w:ascii="Times New Roman" w:hAnsi="Times New Roman" w:cs="Times New Roman"/>
          <w:color w:val="000000" w:themeColor="text1"/>
          <w:sz w:val="24"/>
          <w:szCs w:val="24"/>
        </w:rPr>
        <w:t xml:space="preserve"> (Sun </w:t>
      </w:r>
      <w:r w:rsidR="00844B66" w:rsidRPr="00D32326">
        <w:rPr>
          <w:rFonts w:ascii="Times New Roman" w:hAnsi="Times New Roman" w:cs="Times New Roman"/>
          <w:i/>
          <w:iCs/>
          <w:color w:val="000000" w:themeColor="text1"/>
          <w:sz w:val="24"/>
          <w:szCs w:val="24"/>
        </w:rPr>
        <w:t>et al</w:t>
      </w:r>
      <w:r w:rsidR="007D638E" w:rsidRPr="00D32326">
        <w:rPr>
          <w:rFonts w:ascii="Times New Roman" w:hAnsi="Times New Roman" w:cs="Times New Roman"/>
          <w:i/>
          <w:iCs/>
          <w:color w:val="000000" w:themeColor="text1"/>
          <w:sz w:val="24"/>
          <w:szCs w:val="24"/>
        </w:rPr>
        <w:t>.</w:t>
      </w:r>
      <w:r w:rsidR="007D638E" w:rsidRPr="00D32326">
        <w:rPr>
          <w:rFonts w:ascii="Times New Roman" w:hAnsi="Times New Roman" w:cs="Times New Roman"/>
          <w:color w:val="000000" w:themeColor="text1"/>
          <w:sz w:val="24"/>
          <w:szCs w:val="24"/>
        </w:rPr>
        <w:t>, 2016</w:t>
      </w:r>
      <w:r w:rsidR="007D638E" w:rsidRPr="00BD707E">
        <w:rPr>
          <w:rFonts w:ascii="Times New Roman" w:hAnsi="Times New Roman" w:cs="Times New Roman"/>
          <w:color w:val="000000" w:themeColor="text1"/>
          <w:sz w:val="24"/>
          <w:szCs w:val="24"/>
        </w:rPr>
        <w:t xml:space="preserve">; </w:t>
      </w:r>
      <w:r w:rsidR="00BD707E" w:rsidRPr="00BD707E">
        <w:rPr>
          <w:rFonts w:ascii="Times New Roman" w:hAnsi="Times New Roman" w:cs="Times New Roman"/>
          <w:sz w:val="24"/>
          <w:szCs w:val="24"/>
        </w:rPr>
        <w:t xml:space="preserve">Lippi </w:t>
      </w:r>
      <w:r w:rsidR="00BD707E" w:rsidRPr="00BD707E">
        <w:rPr>
          <w:rFonts w:ascii="Times New Roman" w:hAnsi="Times New Roman" w:cs="Times New Roman"/>
          <w:i/>
          <w:iCs/>
          <w:sz w:val="24"/>
          <w:szCs w:val="24"/>
        </w:rPr>
        <w:t xml:space="preserve">et </w:t>
      </w:r>
      <w:r w:rsidR="00BD707E" w:rsidRPr="00BD707E">
        <w:rPr>
          <w:rFonts w:ascii="Times New Roman" w:hAnsi="Times New Roman" w:cs="Times New Roman"/>
          <w:sz w:val="24"/>
          <w:szCs w:val="24"/>
        </w:rPr>
        <w:t>al., 2022)</w:t>
      </w:r>
    </w:p>
    <w:p w14:paraId="078D6140" w14:textId="087CB759" w:rsidR="001F6B16" w:rsidRPr="00D32326" w:rsidRDefault="000A1EA8" w:rsidP="00FA7F86">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 xml:space="preserve">2. </w:t>
      </w:r>
      <w:r w:rsidR="001F6B16" w:rsidRPr="00D32326">
        <w:rPr>
          <w:rFonts w:ascii="Times New Roman" w:eastAsia="Times New Roman" w:hAnsi="Times New Roman" w:cs="Times New Roman"/>
          <w:b/>
          <w:bCs/>
          <w:color w:val="000000" w:themeColor="text1"/>
          <w:sz w:val="24"/>
          <w:szCs w:val="24"/>
          <w:lang w:eastAsia="en-IN"/>
        </w:rPr>
        <w:t>Nutraceuticals for Age-Related Diseases</w:t>
      </w:r>
    </w:p>
    <w:p w14:paraId="09BDFC17" w14:textId="3984546B" w:rsidR="0009768E" w:rsidRPr="00D32326" w:rsidRDefault="0009768E" w:rsidP="00FA7F86">
      <w:pPr>
        <w:spacing w:before="100" w:beforeAutospacing="1" w:after="100" w:afterAutospacing="1" w:line="276"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lastRenderedPageBreak/>
        <w:t>The role and mechanism of action of nutraceuticals on diseases influenced by aging is summarized in Table 1</w:t>
      </w:r>
    </w:p>
    <w:p w14:paraId="55D87E22" w14:textId="6352CBB9" w:rsidR="00F16F0B" w:rsidRPr="00D32326" w:rsidRDefault="0009768E"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 xml:space="preserve">Table 1. Nutraceuticals and age-related diseases </w:t>
      </w:r>
    </w:p>
    <w:tbl>
      <w:tblPr>
        <w:tblStyle w:val="TableGrid"/>
        <w:tblW w:w="9702" w:type="dxa"/>
        <w:tblLook w:val="04A0" w:firstRow="1" w:lastRow="0" w:firstColumn="1" w:lastColumn="0" w:noHBand="0" w:noVBand="1"/>
      </w:tblPr>
      <w:tblGrid>
        <w:gridCol w:w="1616"/>
        <w:gridCol w:w="1026"/>
        <w:gridCol w:w="2042"/>
        <w:gridCol w:w="1276"/>
        <w:gridCol w:w="2346"/>
        <w:gridCol w:w="1396"/>
      </w:tblGrid>
      <w:tr w:rsidR="00905A13" w:rsidRPr="00D32326" w14:paraId="6D5A6D2F" w14:textId="77777777" w:rsidTr="003F57E3">
        <w:trPr>
          <w:trHeight w:val="693"/>
        </w:trPr>
        <w:tc>
          <w:tcPr>
            <w:tcW w:w="0" w:type="auto"/>
            <w:vAlign w:val="center"/>
            <w:hideMark/>
          </w:tcPr>
          <w:p w14:paraId="6D6BCCCB"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Nutraceutical</w:t>
            </w:r>
          </w:p>
        </w:tc>
        <w:tc>
          <w:tcPr>
            <w:tcW w:w="1026" w:type="dxa"/>
            <w:vAlign w:val="center"/>
            <w:hideMark/>
          </w:tcPr>
          <w:p w14:paraId="5B9C7DE8"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Typical Dose</w:t>
            </w:r>
          </w:p>
        </w:tc>
        <w:tc>
          <w:tcPr>
            <w:tcW w:w="2042" w:type="dxa"/>
            <w:vAlign w:val="center"/>
            <w:hideMark/>
          </w:tcPr>
          <w:p w14:paraId="1D97185B"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Disease Category</w:t>
            </w:r>
          </w:p>
        </w:tc>
        <w:tc>
          <w:tcPr>
            <w:tcW w:w="1274" w:type="dxa"/>
            <w:vAlign w:val="center"/>
            <w:hideMark/>
          </w:tcPr>
          <w:p w14:paraId="488E2430"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Sources</w:t>
            </w:r>
          </w:p>
        </w:tc>
        <w:tc>
          <w:tcPr>
            <w:tcW w:w="2348" w:type="dxa"/>
            <w:vAlign w:val="center"/>
            <w:hideMark/>
          </w:tcPr>
          <w:p w14:paraId="30CDA5D8"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Mechanism of Action</w:t>
            </w:r>
          </w:p>
        </w:tc>
        <w:tc>
          <w:tcPr>
            <w:tcW w:w="0" w:type="auto"/>
            <w:vAlign w:val="center"/>
            <w:hideMark/>
          </w:tcPr>
          <w:p w14:paraId="5C6016E0"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Citations</w:t>
            </w:r>
          </w:p>
        </w:tc>
      </w:tr>
      <w:tr w:rsidR="00905A13" w:rsidRPr="00D32326" w14:paraId="401F8B53" w14:textId="77777777" w:rsidTr="003F57E3">
        <w:trPr>
          <w:trHeight w:val="1209"/>
        </w:trPr>
        <w:tc>
          <w:tcPr>
            <w:tcW w:w="0" w:type="auto"/>
            <w:vAlign w:val="center"/>
            <w:hideMark/>
          </w:tcPr>
          <w:p w14:paraId="411B8DC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Omega-3 Fatty Acids</w:t>
            </w:r>
          </w:p>
        </w:tc>
        <w:tc>
          <w:tcPr>
            <w:tcW w:w="1026" w:type="dxa"/>
            <w:vAlign w:val="center"/>
            <w:hideMark/>
          </w:tcPr>
          <w:p w14:paraId="591BB05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1,000-4,000 mg/day</w:t>
            </w:r>
          </w:p>
        </w:tc>
        <w:tc>
          <w:tcPr>
            <w:tcW w:w="2042" w:type="dxa"/>
            <w:vAlign w:val="center"/>
            <w:hideMark/>
          </w:tcPr>
          <w:p w14:paraId="1648BC4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 Neurodegenerative Disorders</w:t>
            </w:r>
          </w:p>
        </w:tc>
        <w:tc>
          <w:tcPr>
            <w:tcW w:w="1274" w:type="dxa"/>
            <w:vAlign w:val="center"/>
            <w:hideMark/>
          </w:tcPr>
          <w:p w14:paraId="7F6C560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Fatty fish (salmon, mackerel), flaxseeds, walnuts</w:t>
            </w:r>
          </w:p>
        </w:tc>
        <w:tc>
          <w:tcPr>
            <w:tcW w:w="2348" w:type="dxa"/>
            <w:vAlign w:val="center"/>
            <w:hideMark/>
          </w:tcPr>
          <w:p w14:paraId="4EA39E2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Anti-inflammatory, enhances cell membrane fluidity, promotes neuronal health</w:t>
            </w:r>
          </w:p>
        </w:tc>
        <w:tc>
          <w:tcPr>
            <w:tcW w:w="0" w:type="auto"/>
            <w:vAlign w:val="center"/>
            <w:hideMark/>
          </w:tcPr>
          <w:p w14:paraId="75F7D7D2" w14:textId="0709D073"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Calon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2005; Cheng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2014; Swanson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2012</w:t>
            </w:r>
          </w:p>
        </w:tc>
      </w:tr>
      <w:tr w:rsidR="00905A13" w:rsidRPr="00D32326" w14:paraId="25B8588D" w14:textId="77777777" w:rsidTr="003F57E3">
        <w:trPr>
          <w:trHeight w:val="1853"/>
        </w:trPr>
        <w:tc>
          <w:tcPr>
            <w:tcW w:w="0" w:type="auto"/>
            <w:vAlign w:val="center"/>
            <w:hideMark/>
          </w:tcPr>
          <w:p w14:paraId="1530C8B2"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Curcumin</w:t>
            </w:r>
          </w:p>
        </w:tc>
        <w:tc>
          <w:tcPr>
            <w:tcW w:w="1026" w:type="dxa"/>
            <w:vAlign w:val="center"/>
            <w:hideMark/>
          </w:tcPr>
          <w:p w14:paraId="0B900A7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500-1,000 mg/day</w:t>
            </w:r>
          </w:p>
        </w:tc>
        <w:tc>
          <w:tcPr>
            <w:tcW w:w="2042" w:type="dxa"/>
            <w:vAlign w:val="center"/>
            <w:hideMark/>
          </w:tcPr>
          <w:p w14:paraId="2FEE3ABE"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Inflammation, Neurodegenerative Disorders</w:t>
            </w:r>
          </w:p>
        </w:tc>
        <w:tc>
          <w:tcPr>
            <w:tcW w:w="1274" w:type="dxa"/>
            <w:vAlign w:val="center"/>
            <w:hideMark/>
          </w:tcPr>
          <w:p w14:paraId="615057C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Turmeric root (Curcuma longa)</w:t>
            </w:r>
          </w:p>
        </w:tc>
        <w:tc>
          <w:tcPr>
            <w:tcW w:w="2348" w:type="dxa"/>
            <w:vAlign w:val="center"/>
            <w:hideMark/>
          </w:tcPr>
          <w:p w14:paraId="482B848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Inhibits pro-inflammatory cytokines, modulates </w:t>
            </w:r>
            <w:proofErr w:type="spellStart"/>
            <w:r w:rsidRPr="00D32326">
              <w:rPr>
                <w:rFonts w:ascii="Times New Roman" w:eastAsia="Times New Roman" w:hAnsi="Times New Roman" w:cs="Times New Roman"/>
                <w:color w:val="000000" w:themeColor="text1"/>
                <w:sz w:val="24"/>
                <w:szCs w:val="24"/>
                <w:lang w:eastAsia="en-IN"/>
              </w:rPr>
              <w:t>signaling</w:t>
            </w:r>
            <w:proofErr w:type="spellEnd"/>
            <w:r w:rsidRPr="00D32326">
              <w:rPr>
                <w:rFonts w:ascii="Times New Roman" w:eastAsia="Times New Roman" w:hAnsi="Times New Roman" w:cs="Times New Roman"/>
                <w:color w:val="000000" w:themeColor="text1"/>
                <w:sz w:val="24"/>
                <w:szCs w:val="24"/>
                <w:lang w:eastAsia="en-IN"/>
              </w:rPr>
              <w:t xml:space="preserve"> pathways (NF-kB, MAPK)</w:t>
            </w:r>
          </w:p>
        </w:tc>
        <w:tc>
          <w:tcPr>
            <w:tcW w:w="0" w:type="auto"/>
            <w:vAlign w:val="center"/>
            <w:hideMark/>
          </w:tcPr>
          <w:p w14:paraId="4888086F" w14:textId="0186AD38"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Anand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2007; Lopresti, 2017; Sarker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2021</w:t>
            </w:r>
          </w:p>
        </w:tc>
      </w:tr>
      <w:tr w:rsidR="00905A13" w:rsidRPr="00D32326" w14:paraId="63E0102C" w14:textId="77777777" w:rsidTr="003F57E3">
        <w:trPr>
          <w:trHeight w:val="1613"/>
        </w:trPr>
        <w:tc>
          <w:tcPr>
            <w:tcW w:w="0" w:type="auto"/>
            <w:vAlign w:val="center"/>
            <w:hideMark/>
          </w:tcPr>
          <w:p w14:paraId="2C29E4F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CoQ10</w:t>
            </w:r>
          </w:p>
        </w:tc>
        <w:tc>
          <w:tcPr>
            <w:tcW w:w="1026" w:type="dxa"/>
            <w:vAlign w:val="center"/>
            <w:hideMark/>
          </w:tcPr>
          <w:p w14:paraId="5E4216C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100-300 mg/day</w:t>
            </w:r>
          </w:p>
        </w:tc>
        <w:tc>
          <w:tcPr>
            <w:tcW w:w="2042" w:type="dxa"/>
            <w:vAlign w:val="center"/>
            <w:hideMark/>
          </w:tcPr>
          <w:p w14:paraId="287170FE"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 Neurodegenerative Disorders</w:t>
            </w:r>
          </w:p>
        </w:tc>
        <w:tc>
          <w:tcPr>
            <w:tcW w:w="1274" w:type="dxa"/>
            <w:vAlign w:val="center"/>
            <w:hideMark/>
          </w:tcPr>
          <w:p w14:paraId="230894C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Organ meats (liver, heart), fatty fish, spinach</w:t>
            </w:r>
          </w:p>
        </w:tc>
        <w:tc>
          <w:tcPr>
            <w:tcW w:w="2348" w:type="dxa"/>
            <w:vAlign w:val="center"/>
            <w:hideMark/>
          </w:tcPr>
          <w:p w14:paraId="2878986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Enhances mitochondrial function, reduces oxidative stress</w:t>
            </w:r>
          </w:p>
        </w:tc>
        <w:tc>
          <w:tcPr>
            <w:tcW w:w="0" w:type="auto"/>
            <w:vAlign w:val="center"/>
            <w:hideMark/>
          </w:tcPr>
          <w:p w14:paraId="357BA7C5" w14:textId="1C8CA993"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Qu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2017; Löffler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2019; Ohta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2010</w:t>
            </w:r>
          </w:p>
        </w:tc>
      </w:tr>
      <w:tr w:rsidR="00905A13" w:rsidRPr="00D32326" w14:paraId="50D22E43" w14:textId="77777777" w:rsidTr="003F57E3">
        <w:trPr>
          <w:trHeight w:val="2080"/>
        </w:trPr>
        <w:tc>
          <w:tcPr>
            <w:tcW w:w="0" w:type="auto"/>
            <w:vAlign w:val="center"/>
            <w:hideMark/>
          </w:tcPr>
          <w:p w14:paraId="25D95F7F"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Vitamin D</w:t>
            </w:r>
          </w:p>
        </w:tc>
        <w:tc>
          <w:tcPr>
            <w:tcW w:w="1026" w:type="dxa"/>
            <w:vAlign w:val="center"/>
            <w:hideMark/>
          </w:tcPr>
          <w:p w14:paraId="1F315A1D"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1,000-2,000 IU/day</w:t>
            </w:r>
          </w:p>
        </w:tc>
        <w:tc>
          <w:tcPr>
            <w:tcW w:w="2042" w:type="dxa"/>
            <w:vAlign w:val="center"/>
            <w:hideMark/>
          </w:tcPr>
          <w:p w14:paraId="435ACF3F"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Osteoporosis, Cognitive Decline</w:t>
            </w:r>
          </w:p>
        </w:tc>
        <w:tc>
          <w:tcPr>
            <w:tcW w:w="1274" w:type="dxa"/>
            <w:vAlign w:val="center"/>
            <w:hideMark/>
          </w:tcPr>
          <w:p w14:paraId="0DCD6D05"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Sunlight, fatty fish, fortified dairy</w:t>
            </w:r>
          </w:p>
        </w:tc>
        <w:tc>
          <w:tcPr>
            <w:tcW w:w="2348" w:type="dxa"/>
            <w:vAlign w:val="center"/>
            <w:hideMark/>
          </w:tcPr>
          <w:p w14:paraId="426E584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Enhances calcium absorption, regulates gene expression related to immune function</w:t>
            </w:r>
          </w:p>
        </w:tc>
        <w:tc>
          <w:tcPr>
            <w:tcW w:w="0" w:type="auto"/>
            <w:vAlign w:val="center"/>
            <w:hideMark/>
          </w:tcPr>
          <w:p w14:paraId="1E3E2305" w14:textId="7855EFA4"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Holick</w:t>
            </w:r>
            <w:proofErr w:type="spellEnd"/>
            <w:r w:rsidRPr="00D32326">
              <w:rPr>
                <w:rFonts w:ascii="Times New Roman" w:eastAsia="Times New Roman" w:hAnsi="Times New Roman" w:cs="Times New Roman"/>
                <w:color w:val="000000" w:themeColor="text1"/>
                <w:sz w:val="24"/>
                <w:szCs w:val="24"/>
                <w:lang w:eastAsia="en-IN"/>
              </w:rPr>
              <w:t xml:space="preserve">, 2007; </w:t>
            </w:r>
            <w:proofErr w:type="spellStart"/>
            <w:r w:rsidRPr="00D32326">
              <w:rPr>
                <w:rFonts w:ascii="Times New Roman" w:eastAsia="Times New Roman" w:hAnsi="Times New Roman" w:cs="Times New Roman"/>
                <w:color w:val="000000" w:themeColor="text1"/>
                <w:sz w:val="24"/>
                <w:szCs w:val="24"/>
                <w:lang w:eastAsia="en-IN"/>
              </w:rPr>
              <w:t>Annweiler</w:t>
            </w:r>
            <w:proofErr w:type="spellEnd"/>
            <w:r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2012; McGrath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2017</w:t>
            </w:r>
          </w:p>
        </w:tc>
      </w:tr>
      <w:tr w:rsidR="00905A13" w:rsidRPr="00D32326" w14:paraId="6BED0517" w14:textId="77777777" w:rsidTr="003F57E3">
        <w:trPr>
          <w:trHeight w:val="2093"/>
        </w:trPr>
        <w:tc>
          <w:tcPr>
            <w:tcW w:w="0" w:type="auto"/>
            <w:vAlign w:val="center"/>
            <w:hideMark/>
          </w:tcPr>
          <w:p w14:paraId="2A45AA11"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Ginkgo Biloba</w:t>
            </w:r>
          </w:p>
        </w:tc>
        <w:tc>
          <w:tcPr>
            <w:tcW w:w="1026" w:type="dxa"/>
            <w:vAlign w:val="center"/>
            <w:hideMark/>
          </w:tcPr>
          <w:p w14:paraId="4D9A0CF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120-240 mg/day</w:t>
            </w:r>
          </w:p>
        </w:tc>
        <w:tc>
          <w:tcPr>
            <w:tcW w:w="2042" w:type="dxa"/>
            <w:vAlign w:val="center"/>
            <w:hideMark/>
          </w:tcPr>
          <w:p w14:paraId="29F041D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Cognitive Decline, Dementia</w:t>
            </w:r>
          </w:p>
        </w:tc>
        <w:tc>
          <w:tcPr>
            <w:tcW w:w="1274" w:type="dxa"/>
            <w:vAlign w:val="center"/>
            <w:hideMark/>
          </w:tcPr>
          <w:p w14:paraId="0119997D"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Ginkgo tree leaves</w:t>
            </w:r>
          </w:p>
        </w:tc>
        <w:tc>
          <w:tcPr>
            <w:tcW w:w="2348" w:type="dxa"/>
            <w:vAlign w:val="center"/>
            <w:hideMark/>
          </w:tcPr>
          <w:p w14:paraId="0AF8E1C3"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Increases blood flow to the brain, antioxidant, modulates neurotransmitters</w:t>
            </w:r>
          </w:p>
        </w:tc>
        <w:tc>
          <w:tcPr>
            <w:tcW w:w="0" w:type="auto"/>
            <w:vAlign w:val="center"/>
            <w:hideMark/>
          </w:tcPr>
          <w:p w14:paraId="08F9A2F3" w14:textId="547B56C9"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Ladd</w:t>
            </w:r>
            <w:r w:rsidRPr="00D32326">
              <w:rPr>
                <w:rFonts w:ascii="Times New Roman" w:eastAsia="Times New Roman" w:hAnsi="Times New Roman" w:cs="Times New Roman"/>
                <w:i/>
                <w:iCs/>
                <w:color w:val="000000" w:themeColor="text1"/>
                <w:sz w:val="24"/>
                <w:szCs w:val="24"/>
                <w:lang w:eastAsia="en-IN"/>
              </w:rPr>
              <w:t xml:space="preserve"> et al.</w:t>
            </w:r>
            <w:r w:rsidRPr="00D32326">
              <w:rPr>
                <w:rFonts w:ascii="Times New Roman" w:eastAsia="Times New Roman" w:hAnsi="Times New Roman" w:cs="Times New Roman"/>
                <w:color w:val="000000" w:themeColor="text1"/>
                <w:sz w:val="24"/>
                <w:szCs w:val="24"/>
                <w:lang w:eastAsia="en-IN"/>
              </w:rPr>
              <w:t>, 2016; Birks &amp; Grimley Evans, 2009; McCarney</w:t>
            </w:r>
            <w:r w:rsidRPr="00D32326">
              <w:rPr>
                <w:rFonts w:ascii="Times New Roman" w:eastAsia="Times New Roman" w:hAnsi="Times New Roman" w:cs="Times New Roman"/>
                <w:i/>
                <w:iCs/>
                <w:color w:val="000000" w:themeColor="text1"/>
                <w:sz w:val="24"/>
                <w:szCs w:val="24"/>
                <w:lang w:eastAsia="en-IN"/>
              </w:rPr>
              <w:t xml:space="preserve"> et al.</w:t>
            </w:r>
            <w:r w:rsidRPr="00D32326">
              <w:rPr>
                <w:rFonts w:ascii="Times New Roman" w:eastAsia="Times New Roman" w:hAnsi="Times New Roman" w:cs="Times New Roman"/>
                <w:color w:val="000000" w:themeColor="text1"/>
                <w:sz w:val="24"/>
                <w:szCs w:val="24"/>
                <w:lang w:eastAsia="en-IN"/>
              </w:rPr>
              <w:t>, 2008</w:t>
            </w:r>
          </w:p>
        </w:tc>
      </w:tr>
      <w:tr w:rsidR="00905A13" w:rsidRPr="00D32326" w14:paraId="793477B8" w14:textId="77777777" w:rsidTr="003F57E3">
        <w:trPr>
          <w:trHeight w:val="2080"/>
        </w:trPr>
        <w:tc>
          <w:tcPr>
            <w:tcW w:w="0" w:type="auto"/>
            <w:vAlign w:val="center"/>
            <w:hideMark/>
          </w:tcPr>
          <w:p w14:paraId="7EE921C3"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Alpha-Lipoic Acid</w:t>
            </w:r>
          </w:p>
        </w:tc>
        <w:tc>
          <w:tcPr>
            <w:tcW w:w="1026" w:type="dxa"/>
            <w:vAlign w:val="center"/>
            <w:hideMark/>
          </w:tcPr>
          <w:p w14:paraId="50C130F2"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300-600 mg/day</w:t>
            </w:r>
          </w:p>
        </w:tc>
        <w:tc>
          <w:tcPr>
            <w:tcW w:w="2042" w:type="dxa"/>
            <w:vAlign w:val="center"/>
            <w:hideMark/>
          </w:tcPr>
          <w:p w14:paraId="1E7F9E8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Diabetes, Neurodegenerative Disorders</w:t>
            </w:r>
          </w:p>
        </w:tc>
        <w:tc>
          <w:tcPr>
            <w:tcW w:w="1274" w:type="dxa"/>
            <w:vAlign w:val="center"/>
            <w:hideMark/>
          </w:tcPr>
          <w:p w14:paraId="20F1D9D1"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Spinach, broccoli, potatoes</w:t>
            </w:r>
          </w:p>
        </w:tc>
        <w:tc>
          <w:tcPr>
            <w:tcW w:w="2348" w:type="dxa"/>
            <w:vAlign w:val="center"/>
            <w:hideMark/>
          </w:tcPr>
          <w:p w14:paraId="5A42F5C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Regenerates other antioxidants, enhances mitochondrial function, reduces oxidative stress</w:t>
            </w:r>
          </w:p>
        </w:tc>
        <w:tc>
          <w:tcPr>
            <w:tcW w:w="0" w:type="auto"/>
            <w:vAlign w:val="center"/>
            <w:hideMark/>
          </w:tcPr>
          <w:p w14:paraId="55DC22EB" w14:textId="6787E0F0"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Packer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2001; Jacob &amp; Sotiriou, 2006; Ziegler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2011</w:t>
            </w:r>
          </w:p>
        </w:tc>
      </w:tr>
      <w:tr w:rsidR="00905A13" w:rsidRPr="00D32326" w14:paraId="48991693" w14:textId="77777777" w:rsidTr="003F57E3">
        <w:trPr>
          <w:trHeight w:val="1853"/>
        </w:trPr>
        <w:tc>
          <w:tcPr>
            <w:tcW w:w="0" w:type="auto"/>
            <w:vAlign w:val="center"/>
            <w:hideMark/>
          </w:tcPr>
          <w:p w14:paraId="6CE1D2B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lastRenderedPageBreak/>
              <w:t>Magnesium</w:t>
            </w:r>
          </w:p>
        </w:tc>
        <w:tc>
          <w:tcPr>
            <w:tcW w:w="1026" w:type="dxa"/>
            <w:vAlign w:val="center"/>
            <w:hideMark/>
          </w:tcPr>
          <w:p w14:paraId="2E5CAC1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310-420 mg/day</w:t>
            </w:r>
          </w:p>
        </w:tc>
        <w:tc>
          <w:tcPr>
            <w:tcW w:w="2042" w:type="dxa"/>
            <w:vAlign w:val="center"/>
            <w:hideMark/>
          </w:tcPr>
          <w:p w14:paraId="3442B57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w:t>
            </w:r>
          </w:p>
        </w:tc>
        <w:tc>
          <w:tcPr>
            <w:tcW w:w="1274" w:type="dxa"/>
            <w:vAlign w:val="center"/>
            <w:hideMark/>
          </w:tcPr>
          <w:p w14:paraId="7E38582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Leafy greens, nuts, seeds, whole grains</w:t>
            </w:r>
          </w:p>
        </w:tc>
        <w:tc>
          <w:tcPr>
            <w:tcW w:w="2348" w:type="dxa"/>
            <w:vAlign w:val="center"/>
            <w:hideMark/>
          </w:tcPr>
          <w:p w14:paraId="2891E1F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Regulates calcium balance, acts as a cofactor in enzymatic reactions</w:t>
            </w:r>
          </w:p>
        </w:tc>
        <w:tc>
          <w:tcPr>
            <w:tcW w:w="0" w:type="auto"/>
            <w:vAlign w:val="center"/>
            <w:hideMark/>
          </w:tcPr>
          <w:p w14:paraId="7F966B23" w14:textId="76573A45"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Rosanoff</w:t>
            </w:r>
            <w:proofErr w:type="spellEnd"/>
            <w:r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2012; Barbagallo &amp; Dominguez, 2010</w:t>
            </w:r>
          </w:p>
        </w:tc>
      </w:tr>
      <w:tr w:rsidR="00905A13" w:rsidRPr="00D32326" w14:paraId="1AC791F5" w14:textId="77777777" w:rsidTr="003F57E3">
        <w:trPr>
          <w:trHeight w:val="1840"/>
        </w:trPr>
        <w:tc>
          <w:tcPr>
            <w:tcW w:w="0" w:type="auto"/>
            <w:vAlign w:val="center"/>
            <w:hideMark/>
          </w:tcPr>
          <w:p w14:paraId="3403DEC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Probiotics</w:t>
            </w:r>
          </w:p>
        </w:tc>
        <w:tc>
          <w:tcPr>
            <w:tcW w:w="1026" w:type="dxa"/>
            <w:vAlign w:val="center"/>
            <w:hideMark/>
          </w:tcPr>
          <w:p w14:paraId="1386DFF9"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1-10 billion CFUs</w:t>
            </w:r>
          </w:p>
        </w:tc>
        <w:tc>
          <w:tcPr>
            <w:tcW w:w="2042" w:type="dxa"/>
            <w:vAlign w:val="center"/>
            <w:hideMark/>
          </w:tcPr>
          <w:p w14:paraId="384B1F3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Digestive Health, Mood Disorders</w:t>
            </w:r>
          </w:p>
        </w:tc>
        <w:tc>
          <w:tcPr>
            <w:tcW w:w="1274" w:type="dxa"/>
            <w:vAlign w:val="center"/>
            <w:hideMark/>
          </w:tcPr>
          <w:p w14:paraId="34F9269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Yogurt, kefir, sauerkraut, kimchi</w:t>
            </w:r>
          </w:p>
        </w:tc>
        <w:tc>
          <w:tcPr>
            <w:tcW w:w="2348" w:type="dxa"/>
            <w:vAlign w:val="center"/>
            <w:hideMark/>
          </w:tcPr>
          <w:p w14:paraId="24A197F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Balances gut microbiota, modulates gut-brain axis, supports immune function</w:t>
            </w:r>
          </w:p>
        </w:tc>
        <w:tc>
          <w:tcPr>
            <w:tcW w:w="0" w:type="auto"/>
            <w:vAlign w:val="center"/>
            <w:hideMark/>
          </w:tcPr>
          <w:p w14:paraId="664FB45F" w14:textId="1505B9C0"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Zhai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2018; </w:t>
            </w:r>
            <w:proofErr w:type="spellStart"/>
            <w:r w:rsidRPr="00D32326">
              <w:rPr>
                <w:rFonts w:ascii="Times New Roman" w:eastAsia="Times New Roman" w:hAnsi="Times New Roman" w:cs="Times New Roman"/>
                <w:color w:val="000000" w:themeColor="text1"/>
                <w:sz w:val="24"/>
                <w:szCs w:val="24"/>
                <w:lang w:eastAsia="en-IN"/>
              </w:rPr>
              <w:t>Mörkl</w:t>
            </w:r>
            <w:proofErr w:type="spellEnd"/>
            <w:r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2018; Foster &amp; McVey Neufeld, 2013</w:t>
            </w:r>
          </w:p>
        </w:tc>
      </w:tr>
      <w:tr w:rsidR="00905A13" w:rsidRPr="00D32326" w14:paraId="7E536957" w14:textId="77777777" w:rsidTr="003F57E3">
        <w:trPr>
          <w:trHeight w:val="1386"/>
        </w:trPr>
        <w:tc>
          <w:tcPr>
            <w:tcW w:w="0" w:type="auto"/>
            <w:vAlign w:val="center"/>
            <w:hideMark/>
          </w:tcPr>
          <w:p w14:paraId="753717A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Resveratrol</w:t>
            </w:r>
          </w:p>
        </w:tc>
        <w:tc>
          <w:tcPr>
            <w:tcW w:w="1026" w:type="dxa"/>
            <w:vAlign w:val="center"/>
            <w:hideMark/>
          </w:tcPr>
          <w:p w14:paraId="5D925B1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100-500 mg/day</w:t>
            </w:r>
          </w:p>
        </w:tc>
        <w:tc>
          <w:tcPr>
            <w:tcW w:w="2042" w:type="dxa"/>
            <w:vAlign w:val="center"/>
            <w:hideMark/>
          </w:tcPr>
          <w:p w14:paraId="52BD9F3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 Aging</w:t>
            </w:r>
          </w:p>
        </w:tc>
        <w:tc>
          <w:tcPr>
            <w:tcW w:w="1274" w:type="dxa"/>
            <w:vAlign w:val="center"/>
            <w:hideMark/>
          </w:tcPr>
          <w:p w14:paraId="4F92696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Grapes, red wine, berries, peanuts</w:t>
            </w:r>
          </w:p>
        </w:tc>
        <w:tc>
          <w:tcPr>
            <w:tcW w:w="2348" w:type="dxa"/>
            <w:vAlign w:val="center"/>
            <w:hideMark/>
          </w:tcPr>
          <w:p w14:paraId="18018BB1"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Activates sirtuins (proteins involved in longevity), reduces oxidative stress</w:t>
            </w:r>
          </w:p>
        </w:tc>
        <w:tc>
          <w:tcPr>
            <w:tcW w:w="0" w:type="auto"/>
            <w:vAlign w:val="center"/>
            <w:hideMark/>
          </w:tcPr>
          <w:p w14:paraId="0E58C392" w14:textId="233F4CA8"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Baur &amp; Sinclair, 2006; Si</w:t>
            </w:r>
            <w:r w:rsidRPr="00D32326">
              <w:rPr>
                <w:rFonts w:ascii="Times New Roman" w:eastAsia="Times New Roman" w:hAnsi="Times New Roman" w:cs="Times New Roman"/>
                <w:i/>
                <w:iCs/>
                <w:color w:val="000000" w:themeColor="text1"/>
                <w:sz w:val="24"/>
                <w:szCs w:val="24"/>
                <w:lang w:eastAsia="en-IN"/>
              </w:rPr>
              <w:t xml:space="preserve"> et al.</w:t>
            </w:r>
            <w:r w:rsidRPr="00D32326">
              <w:rPr>
                <w:rFonts w:ascii="Times New Roman" w:eastAsia="Times New Roman" w:hAnsi="Times New Roman" w:cs="Times New Roman"/>
                <w:color w:val="000000" w:themeColor="text1"/>
                <w:sz w:val="24"/>
                <w:szCs w:val="24"/>
                <w:lang w:eastAsia="en-IN"/>
              </w:rPr>
              <w:t xml:space="preserve">, 2013; Csiszar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2013</w:t>
            </w:r>
          </w:p>
        </w:tc>
      </w:tr>
      <w:tr w:rsidR="00905A13" w:rsidRPr="00D32326" w14:paraId="58AE5A54" w14:textId="77777777" w:rsidTr="003F57E3">
        <w:trPr>
          <w:trHeight w:val="620"/>
        </w:trPr>
        <w:tc>
          <w:tcPr>
            <w:tcW w:w="0" w:type="auto"/>
            <w:vAlign w:val="center"/>
            <w:hideMark/>
          </w:tcPr>
          <w:p w14:paraId="60FD1C6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Vitamin E</w:t>
            </w:r>
          </w:p>
        </w:tc>
        <w:tc>
          <w:tcPr>
            <w:tcW w:w="1026" w:type="dxa"/>
            <w:vAlign w:val="center"/>
            <w:hideMark/>
          </w:tcPr>
          <w:p w14:paraId="69366CC2"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15 mg/day</w:t>
            </w:r>
          </w:p>
        </w:tc>
        <w:tc>
          <w:tcPr>
            <w:tcW w:w="2042" w:type="dxa"/>
            <w:vAlign w:val="center"/>
            <w:hideMark/>
          </w:tcPr>
          <w:p w14:paraId="67F73F2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Neurodegenerative Disorders</w:t>
            </w:r>
          </w:p>
        </w:tc>
        <w:tc>
          <w:tcPr>
            <w:tcW w:w="1274" w:type="dxa"/>
            <w:vAlign w:val="center"/>
            <w:hideMark/>
          </w:tcPr>
          <w:p w14:paraId="133F35A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Nuts, seeds, spinach, sunflower oil</w:t>
            </w:r>
          </w:p>
        </w:tc>
        <w:tc>
          <w:tcPr>
            <w:tcW w:w="2348" w:type="dxa"/>
            <w:vAlign w:val="center"/>
            <w:hideMark/>
          </w:tcPr>
          <w:p w14:paraId="6A2EDB0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Antioxidant, protects cell membranes, modulates gene expression related to inflammation</w:t>
            </w:r>
          </w:p>
        </w:tc>
        <w:tc>
          <w:tcPr>
            <w:tcW w:w="0" w:type="auto"/>
            <w:vAlign w:val="center"/>
            <w:hideMark/>
          </w:tcPr>
          <w:p w14:paraId="22956773" w14:textId="3624940B"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Chandra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2008; Niki, 2014; Millar &amp; Perdomo, 2019</w:t>
            </w:r>
          </w:p>
        </w:tc>
      </w:tr>
    </w:tbl>
    <w:p w14:paraId="64F1F509" w14:textId="77777777" w:rsidR="000C7833" w:rsidRPr="00D32326" w:rsidRDefault="000C783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A07A373" w14:textId="77777777" w:rsidR="000C7833" w:rsidRDefault="000C783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4396F0C7"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5D0F7594"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7090A6C9"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66A7F362"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725432B7"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2EAEFF26" w14:textId="63FEACD5" w:rsidR="003F57E3" w:rsidRPr="003F57E3" w:rsidRDefault="003F57E3" w:rsidP="003F57E3">
      <w:pPr>
        <w:spacing w:after="0" w:line="276" w:lineRule="auto"/>
        <w:jc w:val="both"/>
        <w:rPr>
          <w:rFonts w:ascii="Times New Roman" w:eastAsia="Times New Roman" w:hAnsi="Times New Roman" w:cs="Times New Roman"/>
          <w:b/>
          <w:bCs/>
          <w:color w:val="000000" w:themeColor="text1"/>
          <w:sz w:val="24"/>
          <w:szCs w:val="24"/>
          <w:lang w:val="en-US" w:eastAsia="en-IN"/>
        </w:rPr>
      </w:pPr>
      <w:r w:rsidRPr="003F57E3">
        <w:rPr>
          <w:rFonts w:ascii="Times New Roman" w:eastAsia="Times New Roman" w:hAnsi="Times New Roman" w:cs="Times New Roman"/>
          <w:b/>
          <w:bCs/>
          <w:noProof/>
          <w:color w:val="000000" w:themeColor="text1"/>
          <w:sz w:val="24"/>
          <w:szCs w:val="24"/>
          <w:lang w:val="en-US" w:bidi="mr-IN"/>
        </w:rPr>
        <w:lastRenderedPageBreak/>
        <w:drawing>
          <wp:inline distT="0" distB="0" distL="0" distR="0" wp14:anchorId="3A03610D" wp14:editId="2D4FC41A">
            <wp:extent cx="5731510" cy="3800475"/>
            <wp:effectExtent l="0" t="0" r="2540" b="9525"/>
            <wp:docPr id="1883923206" name="Picture 4" descr="A diagram of a complex of vitam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23206" name="Picture 4" descr="A diagram of a complex of vitamin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00475"/>
                    </a:xfrm>
                    <a:prstGeom prst="rect">
                      <a:avLst/>
                    </a:prstGeom>
                    <a:noFill/>
                    <a:ln>
                      <a:noFill/>
                    </a:ln>
                  </pic:spPr>
                </pic:pic>
              </a:graphicData>
            </a:graphic>
          </wp:inline>
        </w:drawing>
      </w:r>
    </w:p>
    <w:p w14:paraId="344544ED" w14:textId="41A5EC1F"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1060F5CE"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5FDF2A5B" w14:textId="65567A7D" w:rsidR="003F57E3" w:rsidRPr="003F57E3" w:rsidRDefault="003F57E3" w:rsidP="003F57E3">
      <w:pPr>
        <w:spacing w:after="0" w:line="276" w:lineRule="auto"/>
        <w:jc w:val="center"/>
        <w:rPr>
          <w:rFonts w:ascii="Times New Roman" w:eastAsia="Times New Roman" w:hAnsi="Times New Roman" w:cs="Times New Roman"/>
          <w:b/>
          <w:bCs/>
          <w:color w:val="000000" w:themeColor="text1"/>
          <w:sz w:val="24"/>
          <w:szCs w:val="24"/>
          <w:lang w:val="en-US" w:eastAsia="en-IN"/>
        </w:rPr>
      </w:pPr>
      <w:r>
        <w:rPr>
          <w:rFonts w:ascii="Times New Roman" w:eastAsia="Times New Roman" w:hAnsi="Times New Roman" w:cs="Times New Roman"/>
          <w:b/>
          <w:bCs/>
          <w:color w:val="000000" w:themeColor="text1"/>
          <w:sz w:val="24"/>
          <w:szCs w:val="24"/>
          <w:lang w:val="en-US" w:eastAsia="en-IN"/>
        </w:rPr>
        <w:t>Fig 1. Nutraceuticals and Anti-Aging Activity Profile</w:t>
      </w:r>
    </w:p>
    <w:p w14:paraId="3099B335"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29B222C"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6A0F6836"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8359624" w14:textId="77777777" w:rsidR="00B92BD4" w:rsidRDefault="00B92BD4"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F2933D3" w14:textId="77777777" w:rsidR="00B92BD4" w:rsidRDefault="00B92BD4"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27CE451A" w14:textId="315236A8" w:rsidR="001A6339" w:rsidRPr="00D32326" w:rsidRDefault="000C7833" w:rsidP="00FA7F86">
      <w:pPr>
        <w:spacing w:after="0"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3.</w:t>
      </w:r>
      <w:r w:rsidR="001A6339" w:rsidRPr="00D32326">
        <w:rPr>
          <w:rFonts w:ascii="Times New Roman" w:eastAsia="Times New Roman" w:hAnsi="Times New Roman" w:cs="Times New Roman"/>
          <w:b/>
          <w:bCs/>
          <w:color w:val="000000" w:themeColor="text1"/>
          <w:sz w:val="24"/>
          <w:szCs w:val="24"/>
          <w:lang w:eastAsia="en-IN"/>
        </w:rPr>
        <w:t xml:space="preserve"> Functional Foods for Healthy Aging  </w:t>
      </w:r>
    </w:p>
    <w:p w14:paraId="2F3DCAE4" w14:textId="50952C54" w:rsidR="001A6339" w:rsidRPr="00D32326" w:rsidRDefault="001A0242" w:rsidP="00FA7F86">
      <w:pPr>
        <w:pStyle w:val="NormalWeb"/>
        <w:spacing w:line="276" w:lineRule="auto"/>
        <w:jc w:val="both"/>
        <w:rPr>
          <w:color w:val="000000" w:themeColor="text1"/>
        </w:rPr>
      </w:pPr>
      <w:r w:rsidRPr="00D32326">
        <w:rPr>
          <w:color w:val="000000" w:themeColor="text1"/>
        </w:rPr>
        <w:t xml:space="preserve">Functional foods </w:t>
      </w:r>
      <w:r w:rsidR="003F2F09" w:rsidRPr="00D32326">
        <w:rPr>
          <w:color w:val="000000" w:themeColor="text1"/>
        </w:rPr>
        <w:t xml:space="preserve">with their dosage for reducing non communicable disease risk ultimately enhancing healthy life are summarized in table 2. </w:t>
      </w:r>
    </w:p>
    <w:p w14:paraId="76683BA6" w14:textId="4CB674B8" w:rsidR="003F2F09" w:rsidRPr="00D32326" w:rsidRDefault="003F2F09" w:rsidP="00FA7F86">
      <w:pPr>
        <w:pStyle w:val="NormalWeb"/>
        <w:spacing w:line="276" w:lineRule="auto"/>
        <w:jc w:val="both"/>
        <w:rPr>
          <w:b/>
          <w:bCs/>
          <w:color w:val="000000" w:themeColor="text1"/>
        </w:rPr>
      </w:pPr>
      <w:r w:rsidRPr="00D32326">
        <w:rPr>
          <w:b/>
          <w:bCs/>
          <w:color w:val="000000" w:themeColor="text1"/>
        </w:rPr>
        <w:t xml:space="preserve">Table 2. Functional foods </w:t>
      </w:r>
      <w:r w:rsidR="0057253E" w:rsidRPr="00D32326">
        <w:rPr>
          <w:b/>
          <w:bCs/>
          <w:color w:val="000000" w:themeColor="text1"/>
        </w:rPr>
        <w:t xml:space="preserve">and </w:t>
      </w:r>
      <w:r w:rsidR="00266C39" w:rsidRPr="00D32326">
        <w:rPr>
          <w:b/>
          <w:bCs/>
          <w:color w:val="000000" w:themeColor="text1"/>
        </w:rPr>
        <w:t>Age-Related</w:t>
      </w:r>
      <w:r w:rsidR="0057253E" w:rsidRPr="00D32326">
        <w:rPr>
          <w:b/>
          <w:bCs/>
          <w:color w:val="000000" w:themeColor="text1"/>
        </w:rPr>
        <w:t xml:space="preserve"> Diseases</w:t>
      </w:r>
    </w:p>
    <w:p w14:paraId="64FEADE6" w14:textId="3E7F8F3D" w:rsidR="00DD621E" w:rsidRPr="00F02C2A" w:rsidRDefault="00B92BD4"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val="en-US" w:eastAsia="en-IN"/>
        </w:rPr>
      </w:pPr>
      <w:r w:rsidRPr="00B92BD4">
        <w:rPr>
          <w:rFonts w:ascii="Times New Roman" w:eastAsia="Times New Roman" w:hAnsi="Times New Roman" w:cs="Times New Roman"/>
          <w:b/>
          <w:bCs/>
          <w:noProof/>
          <w:color w:val="000000" w:themeColor="text1"/>
          <w:sz w:val="24"/>
          <w:szCs w:val="24"/>
          <w:lang w:val="en-US" w:bidi="mr-IN"/>
        </w:rPr>
        <w:lastRenderedPageBreak/>
        <w:drawing>
          <wp:inline distT="0" distB="0" distL="0" distR="0" wp14:anchorId="6CA9EC9A" wp14:editId="5660112B">
            <wp:extent cx="6248400" cy="8324850"/>
            <wp:effectExtent l="0" t="0" r="0" b="0"/>
            <wp:docPr id="836688660" name="Picture 6" descr="A char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8660" name="Picture 6" descr="A chart of food item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8324850"/>
                    </a:xfrm>
                    <a:prstGeom prst="rect">
                      <a:avLst/>
                    </a:prstGeom>
                    <a:noFill/>
                    <a:ln>
                      <a:noFill/>
                    </a:ln>
                  </pic:spPr>
                </pic:pic>
              </a:graphicData>
            </a:graphic>
          </wp:inline>
        </w:drawing>
      </w:r>
    </w:p>
    <w:p w14:paraId="33C45532" w14:textId="77777777" w:rsidR="003F57E3" w:rsidRDefault="003F57E3"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p>
    <w:p w14:paraId="55BD0731" w14:textId="16722363" w:rsidR="00A74447" w:rsidRPr="00D32326" w:rsidRDefault="000C7833"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lastRenderedPageBreak/>
        <w:t>4.</w:t>
      </w:r>
      <w:r w:rsidR="00A74447" w:rsidRPr="00D32326">
        <w:rPr>
          <w:rFonts w:ascii="Times New Roman" w:eastAsia="Times New Roman" w:hAnsi="Times New Roman" w:cs="Times New Roman"/>
          <w:b/>
          <w:bCs/>
          <w:color w:val="000000" w:themeColor="text1"/>
          <w:sz w:val="24"/>
          <w:szCs w:val="24"/>
          <w:lang w:eastAsia="en-IN"/>
        </w:rPr>
        <w:t xml:space="preserve"> Synergistic Effects of Nutraceuticals and Functional Foods</w:t>
      </w:r>
    </w:p>
    <w:p w14:paraId="60150998" w14:textId="75F88401" w:rsidR="00E73642" w:rsidRDefault="00A74447" w:rsidP="000C7833">
      <w:pPr>
        <w:spacing w:before="100" w:beforeAutospacing="1" w:after="100" w:afterAutospacing="1" w:line="276" w:lineRule="auto"/>
        <w:jc w:val="both"/>
        <w:rPr>
          <w:rFonts w:ascii="Times New Roman" w:hAnsi="Times New Roman" w:cs="Times New Roman"/>
          <w:sz w:val="24"/>
          <w:szCs w:val="24"/>
        </w:rPr>
      </w:pPr>
      <w:r w:rsidRPr="00D32326">
        <w:rPr>
          <w:rFonts w:ascii="Times New Roman" w:eastAsia="Times New Roman" w:hAnsi="Times New Roman" w:cs="Times New Roman"/>
          <w:color w:val="000000" w:themeColor="text1"/>
          <w:sz w:val="24"/>
          <w:szCs w:val="24"/>
          <w:lang w:eastAsia="en-IN"/>
        </w:rPr>
        <w:t>The synergistic effects of nutraceuticals and functional foods refer to the enhanced or combined health benefits that occur when these substances are consumed together, as opposed to when they are consumed individually. When specific nutraceuticals (bioactive compounds or supplements) and functional foods (nutrient-rich foods that offer health benefits beyond basic nutrition) are combined, they can work in harmony to provide more significant effects on health. This synergy can optimize the body's ability to prevent or manage chronic diseases, reduce inflammation, support immune function, and improve overall well-being (Shahidi, 2012).</w:t>
      </w:r>
      <w:r w:rsidR="00FA7F86" w:rsidRPr="00D32326">
        <w:rPr>
          <w:rFonts w:ascii="Times New Roman" w:eastAsia="Times New Roman" w:hAnsi="Times New Roman" w:cs="Times New Roman"/>
          <w:color w:val="000000" w:themeColor="text1"/>
          <w:sz w:val="24"/>
          <w:szCs w:val="24"/>
          <w:lang w:eastAsia="en-IN"/>
        </w:rPr>
        <w:t xml:space="preserve"> </w:t>
      </w:r>
      <w:r w:rsidR="00266C39" w:rsidRPr="00D32326">
        <w:rPr>
          <w:rFonts w:ascii="Times New Roman" w:hAnsi="Times New Roman" w:cs="Times New Roman"/>
          <w:sz w:val="24"/>
          <w:szCs w:val="24"/>
        </w:rPr>
        <w:t xml:space="preserve">Antioxidants like flavonoids, which are abundant in berries and green tea, aid in the body's </w:t>
      </w:r>
      <w:proofErr w:type="spellStart"/>
      <w:r w:rsidR="00266C39" w:rsidRPr="00D32326">
        <w:rPr>
          <w:rFonts w:ascii="Times New Roman" w:hAnsi="Times New Roman" w:cs="Times New Roman"/>
          <w:sz w:val="24"/>
          <w:szCs w:val="24"/>
        </w:rPr>
        <w:t>defense</w:t>
      </w:r>
      <w:proofErr w:type="spellEnd"/>
      <w:r w:rsidR="00266C39" w:rsidRPr="00D32326">
        <w:rPr>
          <w:rFonts w:ascii="Times New Roman" w:hAnsi="Times New Roman" w:cs="Times New Roman"/>
          <w:sz w:val="24"/>
          <w:szCs w:val="24"/>
        </w:rPr>
        <w:t xml:space="preserve"> against free radicals. Together with other antioxidants like vitamin C and E, they strengthen each other's </w:t>
      </w:r>
      <w:proofErr w:type="spellStart"/>
      <w:r w:rsidR="00266C39" w:rsidRPr="00D32326">
        <w:rPr>
          <w:rFonts w:ascii="Times New Roman" w:hAnsi="Times New Roman" w:cs="Times New Roman"/>
          <w:sz w:val="24"/>
          <w:szCs w:val="24"/>
        </w:rPr>
        <w:t>defenses</w:t>
      </w:r>
      <w:proofErr w:type="spellEnd"/>
      <w:r w:rsidR="00266C39" w:rsidRPr="00D32326">
        <w:rPr>
          <w:rFonts w:ascii="Times New Roman" w:hAnsi="Times New Roman" w:cs="Times New Roman"/>
          <w:sz w:val="24"/>
          <w:szCs w:val="24"/>
        </w:rPr>
        <w:t xml:space="preserve"> against oxidative damage to cells, lowering the risk of age-related disorders, cancer, and heart disease (</w:t>
      </w:r>
      <w:proofErr w:type="spellStart"/>
      <w:r w:rsidR="00266C39" w:rsidRPr="00D32326">
        <w:rPr>
          <w:rFonts w:ascii="Times New Roman" w:hAnsi="Times New Roman" w:cs="Times New Roman"/>
          <w:sz w:val="24"/>
          <w:szCs w:val="24"/>
        </w:rPr>
        <w:t>Hanhineva</w:t>
      </w:r>
      <w:proofErr w:type="spellEnd"/>
      <w:r w:rsidR="00266C39" w:rsidRPr="00D32326">
        <w:rPr>
          <w:rFonts w:ascii="Times New Roman" w:hAnsi="Times New Roman" w:cs="Times New Roman"/>
          <w:sz w:val="24"/>
          <w:szCs w:val="24"/>
        </w:rPr>
        <w:t xml:space="preserve"> </w:t>
      </w:r>
      <w:r w:rsidR="00266C39" w:rsidRPr="00D32326">
        <w:rPr>
          <w:rFonts w:ascii="Times New Roman" w:hAnsi="Times New Roman" w:cs="Times New Roman"/>
          <w:i/>
          <w:iCs/>
          <w:sz w:val="24"/>
          <w:szCs w:val="24"/>
        </w:rPr>
        <w:t>et al.</w:t>
      </w:r>
      <w:r w:rsidR="00266C39" w:rsidRPr="00D32326">
        <w:rPr>
          <w:rFonts w:ascii="Times New Roman" w:hAnsi="Times New Roman" w:cs="Times New Roman"/>
          <w:sz w:val="24"/>
          <w:szCs w:val="24"/>
        </w:rPr>
        <w:t xml:space="preserve">, 2010). </w:t>
      </w:r>
      <w:r w:rsidR="00A35510" w:rsidRPr="00D32326">
        <w:rPr>
          <w:rFonts w:ascii="Times New Roman" w:hAnsi="Times New Roman" w:cs="Times New Roman"/>
          <w:sz w:val="24"/>
          <w:szCs w:val="24"/>
        </w:rPr>
        <w:t xml:space="preserve">Omega-3 fatty acids also aid in reducing inflammation, and curcumin is widely known for its anti-inflammatory qualities. According to Seals and Melov (2014), they have a potent synergistic effect that can aid in the management of chronic inflammation, which is connected to conditions including arthritis, cardiovascular disease, and cognitive decline. </w:t>
      </w:r>
      <w:r w:rsidR="007A5DD2" w:rsidRPr="00D32326">
        <w:rPr>
          <w:rFonts w:ascii="Times New Roman" w:hAnsi="Times New Roman" w:cs="Times New Roman"/>
          <w:sz w:val="24"/>
          <w:szCs w:val="24"/>
        </w:rPr>
        <w:t xml:space="preserve">Omega-3 fatty acids improve brain function, while flavonoids from dark chocolate and berries improve memory and cognitive function. According to </w:t>
      </w:r>
      <w:proofErr w:type="spellStart"/>
      <w:r w:rsidR="007A5DD2" w:rsidRPr="00D32326">
        <w:rPr>
          <w:rFonts w:ascii="Times New Roman" w:hAnsi="Times New Roman" w:cs="Times New Roman"/>
          <w:sz w:val="24"/>
          <w:szCs w:val="24"/>
        </w:rPr>
        <w:t>Lauretani</w:t>
      </w:r>
      <w:proofErr w:type="spellEnd"/>
      <w:r w:rsidR="007A5DD2" w:rsidRPr="00D32326">
        <w:rPr>
          <w:rFonts w:ascii="Times New Roman" w:hAnsi="Times New Roman" w:cs="Times New Roman"/>
          <w:sz w:val="24"/>
          <w:szCs w:val="24"/>
        </w:rPr>
        <w:t xml:space="preserve"> et al. (2008), these nutrients and foods may increase neuroprotective benefits, improve mood and mental clarity, and reduce the danger of cognitive decline associated with old age. Tomatoes also support heart health because of their high lycopene content. These essential nutrients and foods may support in order to promote cardiovascular wellness, reduce stress caused by oxidative damage, and minimize inflammatory processes (</w:t>
      </w:r>
      <w:proofErr w:type="spellStart"/>
      <w:r w:rsidR="007A5DD2" w:rsidRPr="00D32326">
        <w:rPr>
          <w:rFonts w:ascii="Times New Roman" w:hAnsi="Times New Roman" w:cs="Times New Roman"/>
          <w:sz w:val="24"/>
          <w:szCs w:val="24"/>
        </w:rPr>
        <w:t>Kafatos</w:t>
      </w:r>
      <w:proofErr w:type="spellEnd"/>
      <w:r w:rsidR="007A5DD2" w:rsidRPr="00D32326">
        <w:rPr>
          <w:rFonts w:ascii="Times New Roman" w:hAnsi="Times New Roman" w:cs="Times New Roman"/>
          <w:sz w:val="24"/>
          <w:szCs w:val="24"/>
        </w:rPr>
        <w:t xml:space="preserve"> et al., 2000).</w:t>
      </w:r>
      <w:r w:rsidR="00FA7F86" w:rsidRPr="00D32326">
        <w:rPr>
          <w:rFonts w:ascii="Times New Roman" w:eastAsia="Times New Roman" w:hAnsi="Times New Roman" w:cs="Times New Roman"/>
          <w:color w:val="000000" w:themeColor="text1"/>
          <w:sz w:val="24"/>
          <w:szCs w:val="24"/>
          <w:lang w:eastAsia="en-IN"/>
        </w:rPr>
        <w:t xml:space="preserve"> </w:t>
      </w:r>
      <w:r w:rsidR="007A5DD2" w:rsidRPr="00D32326">
        <w:rPr>
          <w:rFonts w:ascii="Times New Roman" w:hAnsi="Times New Roman" w:cs="Times New Roman"/>
          <w:sz w:val="24"/>
          <w:szCs w:val="24"/>
        </w:rPr>
        <w:t xml:space="preserve">Live helpful bacteria, or probiotics, aid in digestion and gut microbiome equilibrium. Prebiotics support and encourage the growth of good bacteria and are present in foods high in </w:t>
      </w:r>
      <w:proofErr w:type="spellStart"/>
      <w:r w:rsidR="007A5DD2" w:rsidRPr="00D32326">
        <w:rPr>
          <w:rFonts w:ascii="Times New Roman" w:hAnsi="Times New Roman" w:cs="Times New Roman"/>
          <w:sz w:val="24"/>
          <w:szCs w:val="24"/>
        </w:rPr>
        <w:t>fiber</w:t>
      </w:r>
      <w:proofErr w:type="spellEnd"/>
      <w:r w:rsidR="007A5DD2" w:rsidRPr="00D32326">
        <w:rPr>
          <w:rFonts w:ascii="Times New Roman" w:hAnsi="Times New Roman" w:cs="Times New Roman"/>
          <w:sz w:val="24"/>
          <w:szCs w:val="24"/>
        </w:rPr>
        <w:t>, such as oats and bananas. Together, they establish a symbiotic relationship that improves gut health, increases immunity, and may lower the risk of inflammation, gastrointestinal disorders, and even mental health problems associated with gut dysbiosis (</w:t>
      </w:r>
      <w:proofErr w:type="spellStart"/>
      <w:r w:rsidR="007A5DD2" w:rsidRPr="00D32326">
        <w:rPr>
          <w:rFonts w:ascii="Times New Roman" w:hAnsi="Times New Roman" w:cs="Times New Roman"/>
          <w:sz w:val="24"/>
          <w:szCs w:val="24"/>
        </w:rPr>
        <w:t>Roberfroid</w:t>
      </w:r>
      <w:proofErr w:type="spellEnd"/>
      <w:r w:rsidR="007A5DD2" w:rsidRPr="00D32326">
        <w:rPr>
          <w:rFonts w:ascii="Times New Roman" w:hAnsi="Times New Roman" w:cs="Times New Roman"/>
          <w:sz w:val="24"/>
          <w:szCs w:val="24"/>
        </w:rPr>
        <w:t xml:space="preserve">, 2000).  </w:t>
      </w:r>
      <w:r w:rsidR="007A5DD2" w:rsidRPr="00D32326">
        <w:rPr>
          <w:rFonts w:ascii="Times New Roman" w:hAnsi="Times New Roman" w:cs="Times New Roman"/>
          <w:color w:val="000000" w:themeColor="text1"/>
          <w:sz w:val="24"/>
          <w:szCs w:val="24"/>
        </w:rPr>
        <w:t xml:space="preserve">The antioxidant and anti-inflammatory qualities of vitamin E and omega-3 fatty acids help shield the skin from aging, pollution, and UV ray damage. Vitamin E and good fats, which are abundant in avocados, combine to moisturize the skin, lower inflammation, and promote normal skin aging (Shahidi, 2012). </w:t>
      </w:r>
      <w:r w:rsidR="007A5DD2" w:rsidRPr="00D32326">
        <w:rPr>
          <w:rFonts w:ascii="Times New Roman" w:hAnsi="Times New Roman" w:cs="Times New Roman"/>
          <w:sz w:val="24"/>
          <w:szCs w:val="24"/>
        </w:rPr>
        <w:t xml:space="preserve">Magnesium promotes calcium metabolism and bone mineralization, while vitamin D aids in the body's absorption of calcium, which is necessary for healthy bones. According to </w:t>
      </w:r>
      <w:proofErr w:type="spellStart"/>
      <w:r w:rsidR="007A5DD2" w:rsidRPr="00D32326">
        <w:rPr>
          <w:rFonts w:ascii="Times New Roman" w:hAnsi="Times New Roman" w:cs="Times New Roman"/>
          <w:sz w:val="24"/>
          <w:szCs w:val="24"/>
        </w:rPr>
        <w:t>Lauretani</w:t>
      </w:r>
      <w:proofErr w:type="spellEnd"/>
      <w:r w:rsidR="007A5DD2" w:rsidRPr="00D32326">
        <w:rPr>
          <w:rFonts w:ascii="Times New Roman" w:hAnsi="Times New Roman" w:cs="Times New Roman"/>
          <w:sz w:val="24"/>
          <w:szCs w:val="24"/>
        </w:rPr>
        <w:t xml:space="preserve"> et al. (2008), these nutrients work together to strengthen bones and may help avoid fractures and osteoporosis, particularly in elderly persons.</w:t>
      </w:r>
    </w:p>
    <w:p w14:paraId="72EC9E24" w14:textId="77777777" w:rsidR="00E73642" w:rsidRPr="00D32326" w:rsidRDefault="00E73642" w:rsidP="000C7833">
      <w:pPr>
        <w:spacing w:before="100" w:beforeAutospacing="1" w:after="100" w:afterAutospacing="1" w:line="276" w:lineRule="auto"/>
        <w:jc w:val="both"/>
        <w:rPr>
          <w:rFonts w:ascii="Times New Roman" w:eastAsia="Times New Roman" w:hAnsi="Times New Roman" w:cs="Times New Roman"/>
          <w:color w:val="000000" w:themeColor="text1"/>
          <w:sz w:val="24"/>
          <w:szCs w:val="24"/>
          <w:lang w:eastAsia="en-IN"/>
        </w:rPr>
      </w:pPr>
    </w:p>
    <w:p w14:paraId="6CF34788" w14:textId="6B7B9896" w:rsidR="00B2446A" w:rsidRPr="00D32326" w:rsidRDefault="00D25325" w:rsidP="00FA7F86">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5</w:t>
      </w:r>
      <w:r w:rsidR="00B2446A" w:rsidRPr="00D32326">
        <w:rPr>
          <w:rFonts w:ascii="Times New Roman" w:eastAsia="Times New Roman" w:hAnsi="Times New Roman" w:cs="Times New Roman"/>
          <w:b/>
          <w:bCs/>
          <w:color w:val="000000" w:themeColor="text1"/>
          <w:sz w:val="24"/>
          <w:szCs w:val="24"/>
          <w:lang w:eastAsia="en-IN"/>
        </w:rPr>
        <w:t>.</w:t>
      </w:r>
      <w:r w:rsidR="00B2446A" w:rsidRPr="00D32326">
        <w:rPr>
          <w:rFonts w:ascii="Times New Roman" w:eastAsia="Times New Roman" w:hAnsi="Times New Roman" w:cs="Times New Roman"/>
          <w:color w:val="000000" w:themeColor="text1"/>
          <w:sz w:val="24"/>
          <w:szCs w:val="24"/>
          <w:lang w:eastAsia="en-IN"/>
        </w:rPr>
        <w:t xml:space="preserve"> </w:t>
      </w:r>
      <w:r w:rsidR="00B2446A" w:rsidRPr="00D32326">
        <w:rPr>
          <w:rFonts w:ascii="Times New Roman" w:eastAsia="Times New Roman" w:hAnsi="Times New Roman" w:cs="Times New Roman"/>
          <w:b/>
          <w:bCs/>
          <w:color w:val="000000" w:themeColor="text1"/>
          <w:sz w:val="24"/>
          <w:szCs w:val="24"/>
          <w:lang w:eastAsia="en-IN"/>
        </w:rPr>
        <w:t>Challenges and limitations</w:t>
      </w:r>
    </w:p>
    <w:p w14:paraId="76B8B03D" w14:textId="77777777" w:rsidR="00410EC5" w:rsidRPr="00D32326" w:rsidRDefault="00000C48" w:rsidP="00410EC5">
      <w:pPr>
        <w:spacing w:line="276" w:lineRule="auto"/>
        <w:jc w:val="both"/>
        <w:rPr>
          <w:rFonts w:ascii="Times New Roman" w:hAnsi="Times New Roman" w:cs="Times New Roman"/>
          <w:color w:val="000000" w:themeColor="text1"/>
          <w:sz w:val="24"/>
          <w:szCs w:val="24"/>
        </w:rPr>
      </w:pPr>
      <w:r w:rsidRPr="00D32326">
        <w:rPr>
          <w:rFonts w:ascii="Times New Roman" w:hAnsi="Times New Roman" w:cs="Times New Roman"/>
          <w:color w:val="000000" w:themeColor="text1"/>
          <w:sz w:val="24"/>
          <w:szCs w:val="24"/>
        </w:rPr>
        <w:t xml:space="preserve">Although nutraceuticals and functional foods have demonstrated potential in promoting well-being and treating age-related illnesses, their application in this setting is fraught with </w:t>
      </w:r>
      <w:r w:rsidRPr="00D32326">
        <w:rPr>
          <w:rFonts w:ascii="Times New Roman" w:hAnsi="Times New Roman" w:cs="Times New Roman"/>
          <w:color w:val="000000" w:themeColor="text1"/>
          <w:sz w:val="24"/>
          <w:szCs w:val="24"/>
        </w:rPr>
        <w:lastRenderedPageBreak/>
        <w:t>difficulties and restrictions. These elements may affect their safety, accessibility, and effectiveness. Lack of Standardization and Regulation</w:t>
      </w:r>
      <w:r w:rsidR="000C7833" w:rsidRPr="00D32326">
        <w:rPr>
          <w:rFonts w:ascii="Times New Roman" w:hAnsi="Times New Roman" w:cs="Times New Roman"/>
          <w:color w:val="000000" w:themeColor="text1"/>
          <w:sz w:val="24"/>
          <w:szCs w:val="24"/>
        </w:rPr>
        <w:t xml:space="preserve"> for these types of food is major obstacle. </w:t>
      </w:r>
      <w:r w:rsidRPr="00D32326">
        <w:rPr>
          <w:rFonts w:ascii="Times New Roman" w:hAnsi="Times New Roman" w:cs="Times New Roman"/>
          <w:color w:val="000000" w:themeColor="text1"/>
          <w:sz w:val="24"/>
          <w:szCs w:val="24"/>
        </w:rPr>
        <w:t>The functional food and nutraceutical industries are not subject to the same strict regulations as the pharmaceutical sector. Accordingly, there can be substantial differences in the quality, efficacy, and purity of functional foods and supplements between brands and batches</w:t>
      </w:r>
      <w:r w:rsidR="000C7833" w:rsidRPr="00D32326">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(Martirosyan &amp; Singh, 2015).</w:t>
      </w:r>
      <w:r w:rsidR="000C7833" w:rsidRPr="00D32326">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 xml:space="preserve">Different therapeutic outcomes may arise from inconsistent doses and formulations. Customers find it challenging to determine whether they are receiving the appropriate quantity of active substances due to a lack of standardization (Dwyer </w:t>
      </w:r>
      <w:r w:rsidR="00844B66" w:rsidRPr="00D32326">
        <w:rPr>
          <w:rFonts w:ascii="Times New Roman" w:hAnsi="Times New Roman" w:cs="Times New Roman"/>
          <w:i/>
          <w:iCs/>
          <w:color w:val="000000" w:themeColor="text1"/>
          <w:sz w:val="24"/>
          <w:szCs w:val="24"/>
        </w:rPr>
        <w:t>et al</w:t>
      </w:r>
      <w:r w:rsidRPr="00D32326">
        <w:rPr>
          <w:rFonts w:ascii="Times New Roman" w:hAnsi="Times New Roman" w:cs="Times New Roman"/>
          <w:color w:val="000000" w:themeColor="text1"/>
          <w:sz w:val="24"/>
          <w:szCs w:val="24"/>
        </w:rPr>
        <w:t>., 2018). The quality and consistency of these items might be guaranteed with the aid of third-party testing and stricter regulatory contro</w:t>
      </w:r>
      <w:r w:rsidR="000C7833" w:rsidRPr="00D32326">
        <w:rPr>
          <w:rFonts w:ascii="Times New Roman" w:hAnsi="Times New Roman" w:cs="Times New Roman"/>
          <w:color w:val="000000" w:themeColor="text1"/>
          <w:sz w:val="24"/>
          <w:szCs w:val="24"/>
        </w:rPr>
        <w:t>l.</w:t>
      </w:r>
    </w:p>
    <w:p w14:paraId="0DB42C98" w14:textId="6531F4F4" w:rsidR="00D6384D" w:rsidRPr="00D32326" w:rsidRDefault="00000C48" w:rsidP="00A875ED">
      <w:pPr>
        <w:spacing w:line="276" w:lineRule="auto"/>
        <w:ind w:firstLine="720"/>
        <w:jc w:val="both"/>
        <w:rPr>
          <w:rFonts w:ascii="Times New Roman" w:hAnsi="Times New Roman" w:cs="Times New Roman"/>
          <w:color w:val="000000" w:themeColor="text1"/>
          <w:sz w:val="24"/>
          <w:szCs w:val="24"/>
        </w:rPr>
      </w:pPr>
      <w:r w:rsidRPr="00D32326">
        <w:rPr>
          <w:rFonts w:ascii="Times New Roman" w:hAnsi="Times New Roman" w:cs="Times New Roman"/>
          <w:sz w:val="24"/>
          <w:szCs w:val="24"/>
        </w:rPr>
        <w:t>Although numerous studies indicate that some functional foods and nutraceuticals may be beneficial to health, there is frequently little or conflicting clinical data regarding their efficacy in preventing or treating age-related illnesses</w:t>
      </w:r>
      <w:r w:rsidR="00A875ED" w:rsidRPr="00D32326">
        <w:rPr>
          <w:rFonts w:ascii="Times New Roman" w:hAnsi="Times New Roman" w:cs="Times New Roman"/>
          <w:sz w:val="24"/>
          <w:szCs w:val="24"/>
        </w:rPr>
        <w:t xml:space="preserve"> </w:t>
      </w:r>
      <w:r w:rsidRPr="00D32326">
        <w:rPr>
          <w:rFonts w:ascii="Times New Roman" w:hAnsi="Times New Roman" w:cs="Times New Roman"/>
          <w:sz w:val="24"/>
          <w:szCs w:val="24"/>
        </w:rPr>
        <w:t>(Ghosh and</w:t>
      </w:r>
      <w:r w:rsidR="00D6384D" w:rsidRPr="00D32326">
        <w:rPr>
          <w:rFonts w:ascii="Times New Roman" w:hAnsi="Times New Roman" w:cs="Times New Roman"/>
          <w:sz w:val="24"/>
          <w:szCs w:val="24"/>
        </w:rPr>
        <w:t xml:space="preserve"> </w:t>
      </w:r>
      <w:r w:rsidRPr="00D32326">
        <w:rPr>
          <w:rFonts w:ascii="Times New Roman" w:hAnsi="Times New Roman" w:cs="Times New Roman"/>
          <w:sz w:val="24"/>
          <w:szCs w:val="24"/>
        </w:rPr>
        <w:t xml:space="preserve">others, 2019). </w:t>
      </w:r>
      <w:r w:rsidRPr="00D32326">
        <w:rPr>
          <w:rFonts w:ascii="Times New Roman" w:hAnsi="Times New Roman" w:cs="Times New Roman"/>
          <w:color w:val="000000" w:themeColor="text1"/>
          <w:sz w:val="24"/>
          <w:szCs w:val="24"/>
        </w:rPr>
        <w:t>Nutraceuticals with low bioavailability may not be as effective since the body may not absorb enough of the active ingredients to have positive benefits (</w:t>
      </w:r>
      <w:r w:rsidRPr="00E65170">
        <w:rPr>
          <w:rFonts w:ascii="Times New Roman" w:hAnsi="Times New Roman" w:cs="Times New Roman"/>
          <w:color w:val="000000" w:themeColor="text1"/>
          <w:sz w:val="24"/>
          <w:szCs w:val="24"/>
          <w:highlight w:val="green"/>
        </w:rPr>
        <w:t>Agarwal &amp; Mishra, 2021).</w:t>
      </w:r>
      <w:r w:rsidRPr="00D32326">
        <w:rPr>
          <w:rFonts w:ascii="Times New Roman" w:hAnsi="Times New Roman" w:cs="Times New Roman"/>
          <w:color w:val="000000" w:themeColor="text1"/>
          <w:sz w:val="24"/>
          <w:szCs w:val="24"/>
        </w:rPr>
        <w:t xml:space="preserve"> The bioavailability of these medicines may be enhanced by developments in delivery technology, such as nanoencapsulation or bioenhancers.</w:t>
      </w:r>
      <w:r w:rsidR="00E65170">
        <w:rPr>
          <w:rFonts w:ascii="Times New Roman" w:hAnsi="Times New Roman" w:cs="Times New Roman"/>
          <w:color w:val="000000" w:themeColor="text1"/>
          <w:sz w:val="24"/>
          <w:szCs w:val="24"/>
        </w:rPr>
        <w:t xml:space="preserve"> (2015</w:t>
      </w:r>
      <w:r w:rsidRPr="00D32326">
        <w:rPr>
          <w:rFonts w:ascii="Times New Roman" w:hAnsi="Times New Roman" w:cs="Times New Roman"/>
          <w:color w:val="000000" w:themeColor="text1"/>
          <w:sz w:val="24"/>
          <w:szCs w:val="24"/>
        </w:rPr>
        <w:t xml:space="preserve">, McClements). </w:t>
      </w:r>
    </w:p>
    <w:p w14:paraId="39404641" w14:textId="420AFACB" w:rsidR="00A875ED" w:rsidRPr="00D32326" w:rsidRDefault="00D25325" w:rsidP="00A875ED">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6</w:t>
      </w:r>
      <w:r w:rsidR="00B2446A" w:rsidRPr="00D32326">
        <w:rPr>
          <w:rFonts w:ascii="Times New Roman" w:eastAsia="Times New Roman" w:hAnsi="Times New Roman" w:cs="Times New Roman"/>
          <w:b/>
          <w:bCs/>
          <w:color w:val="000000" w:themeColor="text1"/>
          <w:sz w:val="24"/>
          <w:szCs w:val="24"/>
          <w:lang w:eastAsia="en-IN"/>
        </w:rPr>
        <w:t>.</w:t>
      </w:r>
      <w:r w:rsidR="00B2446A" w:rsidRPr="00D32326">
        <w:rPr>
          <w:rFonts w:ascii="Times New Roman" w:eastAsia="Times New Roman" w:hAnsi="Times New Roman" w:cs="Times New Roman"/>
          <w:color w:val="000000" w:themeColor="text1"/>
          <w:sz w:val="24"/>
          <w:szCs w:val="24"/>
          <w:lang w:eastAsia="en-IN"/>
        </w:rPr>
        <w:t xml:space="preserve"> </w:t>
      </w:r>
      <w:r w:rsidR="00B2446A" w:rsidRPr="00D32326">
        <w:rPr>
          <w:rFonts w:ascii="Times New Roman" w:eastAsia="Times New Roman" w:hAnsi="Times New Roman" w:cs="Times New Roman"/>
          <w:b/>
          <w:bCs/>
          <w:color w:val="000000" w:themeColor="text1"/>
          <w:sz w:val="24"/>
          <w:szCs w:val="24"/>
          <w:lang w:eastAsia="en-IN"/>
        </w:rPr>
        <w:t>Future Trends and Innovations</w:t>
      </w:r>
    </w:p>
    <w:p w14:paraId="15F15DEA" w14:textId="09121BDC" w:rsidR="001253D8" w:rsidRPr="00D32326" w:rsidRDefault="005070BB" w:rsidP="00E52DAD">
      <w:pPr>
        <w:spacing w:before="100" w:beforeAutospacing="1" w:after="100" w:afterAutospacing="1" w:line="276" w:lineRule="auto"/>
        <w:ind w:firstLine="720"/>
        <w:jc w:val="both"/>
        <w:outlineLvl w:val="2"/>
        <w:rPr>
          <w:rFonts w:ascii="Times New Roman" w:hAnsi="Times New Roman" w:cs="Times New Roman"/>
          <w:sz w:val="24"/>
          <w:szCs w:val="24"/>
        </w:rPr>
      </w:pPr>
      <w:r w:rsidRPr="00D32326">
        <w:rPr>
          <w:rFonts w:ascii="Times New Roman" w:hAnsi="Times New Roman" w:cs="Times New Roman"/>
          <w:sz w:val="24"/>
          <w:szCs w:val="24"/>
        </w:rPr>
        <w:t xml:space="preserve">The field of nutraceuticals and their role in treating age-related disorders has rapidly evolved as a result of significant advancements in research, technology, and product development. Nutraceuticals have a promising future in aging-related healthcare due to several recent advancements and trends that could fundamentally alter our understanding of healthy aging. Nutrigenomics will optimize the effectiveness of nutraceuticals in treating age-related diseases by developing personalized products based on genetic profiles. </w:t>
      </w:r>
      <w:r w:rsidRPr="00D32326">
        <w:rPr>
          <w:rFonts w:ascii="Times New Roman" w:hAnsi="Times New Roman" w:cs="Times New Roman"/>
          <w:sz w:val="24"/>
          <w:szCs w:val="24"/>
        </w:rPr>
        <w:br/>
        <w:t>For example, genetic testing can determine which nutrients are best for supporting cognitive function, lowering inflammation, or extending life</w:t>
      </w:r>
      <w:r w:rsidR="00171A4D" w:rsidRPr="00D32326">
        <w:rPr>
          <w:rFonts w:ascii="Times New Roman" w:hAnsi="Times New Roman" w:cs="Times New Roman"/>
          <w:sz w:val="24"/>
          <w:szCs w:val="24"/>
        </w:rPr>
        <w:t>.</w:t>
      </w:r>
    </w:p>
    <w:p w14:paraId="0D8CC2DE" w14:textId="16C36A11" w:rsidR="00A875ED" w:rsidRPr="00D32326" w:rsidRDefault="00B2446A" w:rsidP="00A875ED">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Conclusion</w:t>
      </w:r>
    </w:p>
    <w:p w14:paraId="37B63D6C" w14:textId="5C8A9094" w:rsidR="00407FC2" w:rsidRDefault="00A875ED" w:rsidP="00171A4D">
      <w:pPr>
        <w:spacing w:before="100" w:beforeAutospacing="1" w:after="100" w:afterAutospacing="1" w:line="276" w:lineRule="auto"/>
        <w:jc w:val="both"/>
        <w:outlineLvl w:val="2"/>
        <w:rPr>
          <w:rFonts w:ascii="Times New Roman" w:eastAsia="Times New Roman" w:hAnsi="Times New Roman" w:cs="Times New Roman"/>
          <w:color w:val="000000" w:themeColor="text1"/>
          <w:sz w:val="24"/>
          <w:szCs w:val="24"/>
          <w:lang w:eastAsia="en-IN"/>
        </w:rPr>
      </w:pPr>
      <w:r w:rsidRPr="00A875ED">
        <w:rPr>
          <w:rFonts w:ascii="Times New Roman" w:eastAsia="Times New Roman" w:hAnsi="Times New Roman" w:cs="Times New Roman"/>
          <w:color w:val="000000" w:themeColor="text1"/>
          <w:sz w:val="24"/>
          <w:szCs w:val="24"/>
          <w:lang w:eastAsia="en-IN"/>
        </w:rPr>
        <w:t>In conclusion, by offering a natural, preventative, and therapeutic approach to aging, functional foods and nutraceuticals have tremendous promise in the management of age-related disorders. These bioactive substances are important for lowering oxidative stress, inflammation, and enhancing metabolic health in general. Combining accessible nutrients with functional meals including fruits, vegetables, and herbs offers an all-encompassing approach to helping older people. With their concentrated beneficial ingredients, nutraceuticals improve the treatment of chronic diseases like osteoporosis, neurodegeneration, and cardiovascular disease.</w:t>
      </w:r>
      <w:r w:rsidR="00171A4D" w:rsidRPr="00D32326">
        <w:rPr>
          <w:rFonts w:ascii="Times New Roman" w:eastAsia="Times New Roman" w:hAnsi="Times New Roman" w:cs="Times New Roman"/>
          <w:sz w:val="24"/>
          <w:szCs w:val="24"/>
          <w:lang w:eastAsia="en-IN"/>
        </w:rPr>
        <w:t xml:space="preserve"> </w:t>
      </w:r>
      <w:r w:rsidR="00171A4D" w:rsidRPr="00D32326">
        <w:rPr>
          <w:rFonts w:ascii="Times New Roman" w:eastAsia="Times New Roman" w:hAnsi="Times New Roman" w:cs="Times New Roman"/>
          <w:color w:val="000000" w:themeColor="text1"/>
          <w:sz w:val="24"/>
          <w:szCs w:val="24"/>
          <w:lang w:eastAsia="en-IN"/>
        </w:rPr>
        <w:t xml:space="preserve">A holistic approach to age-related health is provided by combining traditional therapies with nutraceuticals, enabling individualized treatments based on each patient's needs. Furthermore, the necessity for public education on the advantages of functional foods is highlighted by the growing recognition of the significance of lifestyle and dietary choices in aging. As we continue to explore their full potential, functional foods and nutraceuticals stand as key allies in promoting healthy aging, </w:t>
      </w:r>
      <w:r w:rsidR="00171A4D" w:rsidRPr="00D32326">
        <w:rPr>
          <w:rFonts w:ascii="Times New Roman" w:eastAsia="Times New Roman" w:hAnsi="Times New Roman" w:cs="Times New Roman"/>
          <w:color w:val="000000" w:themeColor="text1"/>
          <w:sz w:val="24"/>
          <w:szCs w:val="24"/>
          <w:lang w:eastAsia="en-IN"/>
        </w:rPr>
        <w:lastRenderedPageBreak/>
        <w:t>improving quality of life, and reducing the burden of age-related diseases on healthcare systems globally.</w:t>
      </w:r>
    </w:p>
    <w:p w14:paraId="3A35BBB2" w14:textId="77777777" w:rsidR="00C85710" w:rsidRDefault="00C85710" w:rsidP="00C85710">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n-IN"/>
        </w:rPr>
      </w:pPr>
      <w:r w:rsidRPr="00C85710">
        <w:rPr>
          <w:rFonts w:ascii="Times New Roman" w:eastAsia="Times New Roman" w:hAnsi="Times New Roman" w:cs="Times New Roman"/>
          <w:b/>
          <w:bCs/>
          <w:color w:val="000000" w:themeColor="text1"/>
          <w:sz w:val="24"/>
          <w:szCs w:val="24"/>
          <w:lang w:eastAsia="en-IN"/>
        </w:rPr>
        <w:t>Authors' contributions</w:t>
      </w:r>
    </w:p>
    <w:p w14:paraId="5B9B0500" w14:textId="1407BE7F" w:rsidR="00C85710" w:rsidRPr="009C59EC" w:rsidRDefault="009C59EC" w:rsidP="009C59EC">
      <w:pPr>
        <w:spacing w:after="0" w:line="240" w:lineRule="auto"/>
        <w:rPr>
          <w:rFonts w:ascii="Times New Roman" w:hAnsi="Times New Roman" w:cs="Times New Roman"/>
          <w:b/>
          <w:bCs/>
          <w:color w:val="000000" w:themeColor="text1"/>
          <w:sz w:val="24"/>
          <w:szCs w:val="24"/>
          <w:shd w:val="clear" w:color="auto" w:fill="FFFFFF"/>
        </w:rPr>
      </w:pPr>
      <w:proofErr w:type="spellStart"/>
      <w:r w:rsidRPr="009C59EC">
        <w:rPr>
          <w:rFonts w:ascii="Times New Roman" w:hAnsi="Times New Roman" w:cs="Times New Roman"/>
          <w:color w:val="000000" w:themeColor="text1"/>
          <w:sz w:val="24"/>
          <w:szCs w:val="24"/>
          <w:shd w:val="clear" w:color="auto" w:fill="FFFFFF"/>
        </w:rPr>
        <w:t>Medankar</w:t>
      </w:r>
      <w:proofErr w:type="spellEnd"/>
      <w:r w:rsidRPr="009C59EC">
        <w:rPr>
          <w:rFonts w:ascii="Times New Roman" w:hAnsi="Times New Roman" w:cs="Times New Roman"/>
          <w:color w:val="000000" w:themeColor="text1"/>
          <w:sz w:val="24"/>
          <w:szCs w:val="24"/>
          <w:shd w:val="clear" w:color="auto" w:fill="FFFFFF"/>
        </w:rPr>
        <w:t xml:space="preserve"> C.B.</w:t>
      </w:r>
      <w:r>
        <w:rPr>
          <w:rFonts w:ascii="Times New Roman" w:hAnsi="Times New Roman" w:cs="Times New Roman"/>
          <w:b/>
          <w:bCs/>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lang w:eastAsia="en-IN"/>
        </w:rPr>
        <w:t xml:space="preserve">wrote the paper and Ghodke S.V. </w:t>
      </w:r>
      <w:r w:rsidR="00C85710">
        <w:rPr>
          <w:rFonts w:ascii="Times New Roman" w:eastAsia="Times New Roman" w:hAnsi="Times New Roman" w:cs="Times New Roman"/>
          <w:color w:val="000000" w:themeColor="text1"/>
          <w:sz w:val="24"/>
          <w:szCs w:val="24"/>
          <w:lang w:eastAsia="en-IN"/>
        </w:rPr>
        <w:t>edited the paper</w:t>
      </w:r>
      <w:r w:rsidR="00C85710">
        <w:rPr>
          <w:rFonts w:ascii="Times New Roman" w:eastAsia="Times New Roman" w:hAnsi="Times New Roman" w:cs="Times New Roman"/>
          <w:b/>
          <w:bCs/>
          <w:color w:val="000000" w:themeColor="text1"/>
          <w:sz w:val="24"/>
          <w:szCs w:val="24"/>
          <w:lang w:eastAsia="en-IN"/>
        </w:rPr>
        <w:t xml:space="preserve">. </w:t>
      </w:r>
      <w:r w:rsidR="00C85710" w:rsidRPr="00C85710">
        <w:rPr>
          <w:rFonts w:ascii="Times New Roman" w:eastAsia="Times New Roman" w:hAnsi="Times New Roman" w:cs="Times New Roman"/>
          <w:color w:val="000000" w:themeColor="text1"/>
          <w:sz w:val="24"/>
          <w:szCs w:val="24"/>
          <w:lang w:eastAsia="en-IN"/>
        </w:rPr>
        <w:t>All authors have read and approved the final manuscript</w:t>
      </w:r>
    </w:p>
    <w:p w14:paraId="2466F056" w14:textId="027AA0EA" w:rsidR="009644B7" w:rsidRDefault="009C59EC" w:rsidP="00171A4D">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sidRPr="009C59EC">
        <w:rPr>
          <w:rFonts w:ascii="Times New Roman" w:eastAsia="Times New Roman" w:hAnsi="Times New Roman" w:cs="Times New Roman"/>
          <w:b/>
          <w:bCs/>
          <w:color w:val="000000" w:themeColor="text1"/>
          <w:sz w:val="24"/>
          <w:szCs w:val="24"/>
          <w:lang w:eastAsia="en-IN"/>
        </w:rPr>
        <w:t>Conflict of interests</w:t>
      </w:r>
    </w:p>
    <w:p w14:paraId="61BE5AE3" w14:textId="2953C82F" w:rsidR="009C59EC" w:rsidRDefault="009C59EC" w:rsidP="00171A4D">
      <w:pPr>
        <w:spacing w:before="100" w:beforeAutospacing="1" w:after="100" w:afterAutospacing="1" w:line="276" w:lineRule="auto"/>
        <w:jc w:val="both"/>
        <w:outlineLvl w:val="2"/>
        <w:rPr>
          <w:rFonts w:ascii="Times New Roman" w:eastAsia="Times New Roman" w:hAnsi="Times New Roman" w:cs="Times New Roman"/>
          <w:color w:val="000000" w:themeColor="text1"/>
          <w:sz w:val="24"/>
          <w:szCs w:val="24"/>
          <w:lang w:eastAsia="en-IN"/>
        </w:rPr>
      </w:pPr>
      <w:r w:rsidRPr="009C59EC">
        <w:rPr>
          <w:rFonts w:ascii="Times New Roman" w:eastAsia="Times New Roman" w:hAnsi="Times New Roman" w:cs="Times New Roman"/>
          <w:color w:val="000000" w:themeColor="text1"/>
          <w:sz w:val="24"/>
          <w:szCs w:val="24"/>
          <w:lang w:eastAsia="en-IN"/>
        </w:rPr>
        <w:t xml:space="preserve">No conflicts of </w:t>
      </w:r>
      <w:proofErr w:type="spellStart"/>
      <w:r w:rsidRPr="009C59EC">
        <w:rPr>
          <w:rFonts w:ascii="Times New Roman" w:eastAsia="Times New Roman" w:hAnsi="Times New Roman" w:cs="Times New Roman"/>
          <w:color w:val="000000" w:themeColor="text1"/>
          <w:sz w:val="24"/>
          <w:szCs w:val="24"/>
          <w:lang w:eastAsia="en-IN"/>
        </w:rPr>
        <w:t>intrests</w:t>
      </w:r>
      <w:proofErr w:type="spellEnd"/>
    </w:p>
    <w:p w14:paraId="37CDC20F" w14:textId="77777777" w:rsidR="00AD57F0" w:rsidRPr="00AD57F0" w:rsidRDefault="00AD57F0" w:rsidP="00AD57F0">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r w:rsidRPr="00AD57F0">
        <w:rPr>
          <w:rFonts w:ascii="Times New Roman" w:eastAsia="Times New Roman" w:hAnsi="Times New Roman" w:cs="Times New Roman"/>
          <w:bCs/>
          <w:sz w:val="24"/>
          <w:szCs w:val="24"/>
          <w:highlight w:val="yellow"/>
          <w:lang w:val="en-GB" w:eastAsia="en-IN"/>
        </w:rPr>
        <w:t>Disclaimer (Artificial intelligence)</w:t>
      </w:r>
    </w:p>
    <w:p w14:paraId="6B9A8473" w14:textId="77777777" w:rsidR="00AD57F0" w:rsidRPr="00AD57F0" w:rsidRDefault="00AD57F0" w:rsidP="00AD57F0">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AD57F0">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AD57F0">
        <w:rPr>
          <w:rFonts w:ascii="Times New Roman" w:eastAsia="Times New Roman" w:hAnsi="Times New Roman" w:cs="Times New Roman"/>
          <w:bCs/>
          <w:sz w:val="24"/>
          <w:szCs w:val="24"/>
          <w:highlight w:val="yellow"/>
          <w:lang w:val="en-GB" w:eastAsia="en-IN"/>
        </w:rPr>
        <w:t>ChatGPT</w:t>
      </w:r>
      <w:proofErr w:type="spellEnd"/>
      <w:r w:rsidRPr="00AD57F0">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AD57F0">
        <w:rPr>
          <w:rFonts w:ascii="Times New Roman" w:eastAsia="Times New Roman" w:hAnsi="Times New Roman" w:cs="Times New Roman"/>
          <w:bCs/>
          <w:sz w:val="24"/>
          <w:szCs w:val="24"/>
          <w:lang w:val="en-GB" w:eastAsia="en-IN"/>
        </w:rPr>
        <w:t xml:space="preserve"> </w:t>
      </w:r>
    </w:p>
    <w:bookmarkEnd w:id="0"/>
    <w:p w14:paraId="0E33898B" w14:textId="77777777" w:rsidR="00AD57F0" w:rsidRPr="009C59EC" w:rsidRDefault="00AD57F0" w:rsidP="00171A4D">
      <w:pPr>
        <w:spacing w:before="100" w:beforeAutospacing="1" w:after="100" w:afterAutospacing="1" w:line="276" w:lineRule="auto"/>
        <w:jc w:val="both"/>
        <w:outlineLvl w:val="2"/>
        <w:rPr>
          <w:rFonts w:ascii="Times New Roman" w:eastAsia="Times New Roman" w:hAnsi="Times New Roman" w:cs="Times New Roman"/>
          <w:color w:val="000000" w:themeColor="text1"/>
          <w:sz w:val="24"/>
          <w:szCs w:val="24"/>
          <w:lang w:eastAsia="en-IN"/>
        </w:rPr>
      </w:pPr>
    </w:p>
    <w:p w14:paraId="55E1AB3F" w14:textId="77777777" w:rsidR="009644B7" w:rsidRDefault="009644B7" w:rsidP="009644B7">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References</w:t>
      </w:r>
    </w:p>
    <w:p w14:paraId="2681B17A" w14:textId="202B88AF" w:rsidR="000914B9" w:rsidRPr="004412DA" w:rsidRDefault="000914B9" w:rsidP="004412DA">
      <w:pPr>
        <w:pStyle w:val="ListParagraph"/>
        <w:numPr>
          <w:ilvl w:val="0"/>
          <w:numId w:val="26"/>
        </w:numPr>
        <w:spacing w:before="75" w:after="75" w:line="240" w:lineRule="auto"/>
        <w:rPr>
          <w:rFonts w:ascii="Times New Roman" w:eastAsia="Times New Roman" w:hAnsi="Times New Roman" w:cs="Times New Roman"/>
          <w:color w:val="0000FF"/>
          <w:sz w:val="24"/>
          <w:szCs w:val="24"/>
        </w:rPr>
      </w:pPr>
      <w:bookmarkStart w:id="1" w:name="_GoBack"/>
      <w:r w:rsidRPr="004412DA">
        <w:rPr>
          <w:rFonts w:ascii="Segoe UI" w:hAnsi="Segoe UI" w:cs="Segoe UI"/>
          <w:color w:val="0D0D0D"/>
          <w:spacing w:val="-2"/>
          <w:sz w:val="20"/>
          <w:szCs w:val="20"/>
          <w:shd w:val="clear" w:color="auto" w:fill="FFFFFF"/>
        </w:rPr>
        <w:t>Ghoshal (2024)</w:t>
      </w:r>
      <w:r w:rsidRPr="004412DA">
        <w:rPr>
          <w:rFonts w:ascii="Arial" w:eastAsia="Times New Roman" w:hAnsi="Arial" w:cs="Arial"/>
          <w:sz w:val="18"/>
          <w:szCs w:val="18"/>
        </w:rPr>
        <w:t xml:space="preserve"> Nutraceutical delivery Vehicles: enhanced stability, </w:t>
      </w:r>
      <w:proofErr w:type="gramStart"/>
      <w:r w:rsidRPr="004412DA">
        <w:rPr>
          <w:rFonts w:ascii="Arial" w:eastAsia="Times New Roman" w:hAnsi="Arial" w:cs="Arial"/>
          <w:sz w:val="18"/>
          <w:szCs w:val="18"/>
        </w:rPr>
        <w:t xml:space="preserve">bioavailability </w:t>
      </w:r>
      <w:r w:rsidRPr="004412DA">
        <w:rPr>
          <w:rFonts w:ascii="Arial" w:eastAsia="Times New Roman" w:hAnsi="Arial" w:cs="Arial"/>
          <w:b/>
          <w:bCs/>
          <w:sz w:val="18"/>
          <w:szCs w:val="18"/>
        </w:rPr>
        <w:t xml:space="preserve"> </w:t>
      </w:r>
      <w:r w:rsidRPr="004412DA">
        <w:rPr>
          <w:rFonts w:ascii="Segoe UI" w:hAnsi="Segoe UI" w:cs="Segoe UI"/>
          <w:color w:val="0D0D0D"/>
          <w:spacing w:val="-2"/>
          <w:sz w:val="20"/>
          <w:szCs w:val="20"/>
          <w:shd w:val="clear" w:color="auto" w:fill="FFFFFF"/>
        </w:rPr>
        <w:t>food</w:t>
      </w:r>
      <w:proofErr w:type="gramEnd"/>
      <w:r w:rsidRPr="004412DA">
        <w:rPr>
          <w:rFonts w:ascii="Segoe UI" w:hAnsi="Segoe UI" w:cs="Segoe UI"/>
          <w:color w:val="0D0D0D"/>
          <w:spacing w:val="-2"/>
          <w:sz w:val="20"/>
          <w:szCs w:val="20"/>
          <w:shd w:val="clear" w:color="auto" w:fill="FFFFFF"/>
        </w:rPr>
        <w:t xml:space="preserve"> Sci. </w:t>
      </w:r>
      <w:proofErr w:type="spellStart"/>
      <w:r w:rsidRPr="004412DA">
        <w:rPr>
          <w:rFonts w:ascii="Segoe UI" w:hAnsi="Segoe UI" w:cs="Segoe UI"/>
          <w:color w:val="0D0D0D"/>
          <w:spacing w:val="-2"/>
          <w:sz w:val="20"/>
          <w:szCs w:val="20"/>
          <w:shd w:val="clear" w:color="auto" w:fill="FFFFFF"/>
        </w:rPr>
        <w:t>Biotechnol</w:t>
      </w:r>
      <w:proofErr w:type="spellEnd"/>
      <w:r w:rsidRPr="004412DA">
        <w:rPr>
          <w:rFonts w:ascii="Segoe UI" w:hAnsi="Segoe UI" w:cs="Segoe UI"/>
          <w:color w:val="0D0D0D"/>
          <w:spacing w:val="-2"/>
          <w:sz w:val="20"/>
          <w:szCs w:val="20"/>
          <w:shd w:val="clear" w:color="auto" w:fill="FFFFFF"/>
        </w:rPr>
        <w:t>. 34(1):31–</w:t>
      </w:r>
      <w:proofErr w:type="gramStart"/>
      <w:r w:rsidRPr="004412DA">
        <w:rPr>
          <w:rFonts w:ascii="Segoe UI" w:hAnsi="Segoe UI" w:cs="Segoe UI"/>
          <w:color w:val="0D0D0D"/>
          <w:spacing w:val="-2"/>
          <w:sz w:val="20"/>
          <w:szCs w:val="20"/>
          <w:shd w:val="clear" w:color="auto" w:fill="FFFFFF"/>
        </w:rPr>
        <w:t xml:space="preserve">48  </w:t>
      </w:r>
      <w:r w:rsidRPr="004412DA">
        <w:rPr>
          <w:rFonts w:ascii="Times New Roman" w:eastAsia="Times New Roman" w:hAnsi="Times New Roman" w:cs="Times New Roman"/>
          <w:sz w:val="24"/>
          <w:szCs w:val="24"/>
        </w:rPr>
        <w:t>DOI</w:t>
      </w:r>
      <w:proofErr w:type="gramEnd"/>
      <w:r w:rsidRPr="004412DA">
        <w:rPr>
          <w:rFonts w:ascii="Times New Roman" w:eastAsia="Times New Roman" w:hAnsi="Times New Roman" w:cs="Times New Roman"/>
          <w:sz w:val="24"/>
          <w:szCs w:val="24"/>
        </w:rPr>
        <w:t xml:space="preserve">: </w:t>
      </w:r>
      <w:hyperlink r:id="rId10" w:history="1">
        <w:r w:rsidRPr="004412DA">
          <w:rPr>
            <w:rFonts w:ascii="Times New Roman" w:eastAsia="Times New Roman" w:hAnsi="Times New Roman" w:cs="Times New Roman"/>
            <w:color w:val="0000FF"/>
            <w:sz w:val="24"/>
            <w:szCs w:val="24"/>
          </w:rPr>
          <w:t>10.1007/s10068-024-01687-w</w:t>
        </w:r>
      </w:hyperlink>
    </w:p>
    <w:p w14:paraId="0A9650C9" w14:textId="77777777" w:rsidR="000914B9" w:rsidRPr="004412DA" w:rsidRDefault="000914B9" w:rsidP="004412DA">
      <w:pPr>
        <w:pStyle w:val="ListParagraph"/>
        <w:numPr>
          <w:ilvl w:val="0"/>
          <w:numId w:val="26"/>
        </w:numPr>
        <w:spacing w:before="75" w:after="75" w:line="240" w:lineRule="auto"/>
        <w:rPr>
          <w:rFonts w:ascii="Times New Roman" w:hAnsi="Times New Roman" w:cs="Times New Roman"/>
          <w:color w:val="0D0D0D"/>
          <w:spacing w:val="-2"/>
          <w:sz w:val="24"/>
          <w:szCs w:val="24"/>
          <w:shd w:val="clear" w:color="auto" w:fill="FFFFFF"/>
        </w:rPr>
      </w:pPr>
      <w:r w:rsidRPr="004412DA">
        <w:rPr>
          <w:rFonts w:ascii="Times New Roman" w:eastAsia="Times New Roman" w:hAnsi="Times New Roman" w:cs="Times New Roman"/>
          <w:sz w:val="24"/>
          <w:szCs w:val="24"/>
        </w:rPr>
        <w:t xml:space="preserve">Olalekan </w:t>
      </w:r>
      <w:r w:rsidRPr="004412DA">
        <w:rPr>
          <w:rFonts w:ascii="Times New Roman" w:eastAsia="Times New Roman" w:hAnsi="Times New Roman" w:cs="Times New Roman"/>
          <w:i/>
          <w:iCs/>
          <w:sz w:val="24"/>
          <w:szCs w:val="24"/>
        </w:rPr>
        <w:t xml:space="preserve">et al (2024, </w:t>
      </w:r>
      <w:r w:rsidRPr="004412DA">
        <w:rPr>
          <w:rFonts w:ascii="Times New Roman" w:eastAsia="Times New Roman" w:hAnsi="Times New Roman" w:cs="Times New Roman"/>
          <w:sz w:val="24"/>
          <w:szCs w:val="24"/>
        </w:rPr>
        <w:t xml:space="preserve">the role of nutraceuticals in managing metabolic syndrome: a review </w:t>
      </w:r>
      <w:proofErr w:type="gramStart"/>
      <w:r w:rsidRPr="004412DA">
        <w:rPr>
          <w:rFonts w:ascii="Times New Roman" w:eastAsia="Times New Roman" w:hAnsi="Times New Roman" w:cs="Times New Roman"/>
          <w:sz w:val="24"/>
          <w:szCs w:val="24"/>
        </w:rPr>
        <w:t>of  clinical</w:t>
      </w:r>
      <w:proofErr w:type="gramEnd"/>
      <w:r w:rsidRPr="004412DA">
        <w:rPr>
          <w:rFonts w:ascii="Times New Roman" w:eastAsia="Times New Roman" w:hAnsi="Times New Roman" w:cs="Times New Roman"/>
          <w:sz w:val="24"/>
          <w:szCs w:val="24"/>
        </w:rPr>
        <w:t xml:space="preserve"> studies </w:t>
      </w:r>
      <w:r w:rsidRPr="004412DA">
        <w:rPr>
          <w:rFonts w:ascii="Times New Roman" w:hAnsi="Times New Roman" w:cs="Times New Roman"/>
          <w:color w:val="0D0D0D"/>
          <w:spacing w:val="-2"/>
          <w:sz w:val="24"/>
          <w:szCs w:val="24"/>
          <w:shd w:val="clear" w:color="auto" w:fill="FFFFFF"/>
        </w:rPr>
        <w:t xml:space="preserve">Egypt J. Intern. Med. 36:108 (2024) </w:t>
      </w:r>
      <w:r w:rsidRPr="004412DA">
        <w:rPr>
          <w:rFonts w:ascii="Times New Roman" w:eastAsia="Times New Roman" w:hAnsi="Times New Roman" w:cs="Times New Roman"/>
          <w:sz w:val="24"/>
          <w:szCs w:val="24"/>
        </w:rPr>
        <w:t xml:space="preserve">DOI: </w:t>
      </w:r>
      <w:r w:rsidRPr="004412DA">
        <w:rPr>
          <w:rFonts w:ascii="Times New Roman" w:hAnsi="Times New Roman" w:cs="Times New Roman"/>
          <w:color w:val="0D0D0D"/>
          <w:spacing w:val="-2"/>
          <w:sz w:val="24"/>
          <w:szCs w:val="24"/>
          <w:shd w:val="clear" w:color="auto" w:fill="FFFFFF"/>
        </w:rPr>
        <w:t xml:space="preserve"> </w:t>
      </w:r>
      <w:hyperlink r:id="rId11" w:history="1">
        <w:r w:rsidRPr="004412DA">
          <w:rPr>
            <w:rFonts w:ascii="Times New Roman" w:eastAsia="Times New Roman" w:hAnsi="Times New Roman" w:cs="Times New Roman"/>
            <w:color w:val="0000FF"/>
            <w:sz w:val="24"/>
            <w:szCs w:val="24"/>
          </w:rPr>
          <w:t>10.1186/s43162-024-00375-9</w:t>
        </w:r>
      </w:hyperlink>
    </w:p>
    <w:p w14:paraId="2AA3AC54"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Beard, J. R., Officer, A., De Carvalho, I. A., et al. (2016). "The World report on ageing and health: A policy framework for healthy ageing." The Lancet, 387(10033), 2145-2154.</w:t>
      </w:r>
    </w:p>
    <w:p w14:paraId="6416EBAE"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Calder, P. C. (2017). "Omega-3 fatty acids and inflammatory processes: From molecules to man." Biochemical Society Transactions, 45(5), 1105-1115.</w:t>
      </w:r>
    </w:p>
    <w:p w14:paraId="5E5C51E5"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Calder, P. C., Bosco, N., Bourdet-Sicard, R., et al. (2017). "Health relevance of the modification of low-grade inflammation in ageing (inflammageing) and the role of nutrition." Ageing Research Reviews, 40, 95-119.</w:t>
      </w:r>
    </w:p>
    <w:p w14:paraId="161B4687" w14:textId="29C5BCA0" w:rsidR="000914B9" w:rsidRPr="004412DA" w:rsidRDefault="000914B9" w:rsidP="004412DA">
      <w:pPr>
        <w:pStyle w:val="ListParagraph"/>
        <w:numPr>
          <w:ilvl w:val="0"/>
          <w:numId w:val="26"/>
        </w:numPr>
        <w:spacing w:before="100" w:beforeAutospacing="1" w:after="100" w:afterAutospacing="1" w:line="240" w:lineRule="auto"/>
        <w:jc w:val="both"/>
        <w:rPr>
          <w:rFonts w:ascii="Times New Roman" w:hAnsi="Times New Roman" w:cs="Times New Roman"/>
          <w:sz w:val="24"/>
          <w:szCs w:val="24"/>
        </w:rPr>
      </w:pPr>
      <w:proofErr w:type="spellStart"/>
      <w:r w:rsidRPr="004412DA">
        <w:rPr>
          <w:rFonts w:ascii="Times New Roman" w:hAnsi="Times New Roman" w:cs="Times New Roman"/>
          <w:sz w:val="24"/>
          <w:szCs w:val="24"/>
        </w:rPr>
        <w:t>Zavadskiy</w:t>
      </w:r>
      <w:proofErr w:type="spellEnd"/>
      <w:r w:rsidRPr="004412DA">
        <w:rPr>
          <w:rFonts w:ascii="Times New Roman" w:hAnsi="Times New Roman" w:cs="Times New Roman"/>
          <w:sz w:val="24"/>
          <w:szCs w:val="24"/>
        </w:rPr>
        <w:t xml:space="preserve">, S., </w:t>
      </w:r>
      <w:proofErr w:type="spellStart"/>
      <w:r w:rsidRPr="004412DA">
        <w:rPr>
          <w:rFonts w:ascii="Times New Roman" w:hAnsi="Times New Roman" w:cs="Times New Roman"/>
          <w:sz w:val="24"/>
          <w:szCs w:val="24"/>
        </w:rPr>
        <w:t>Sologova</w:t>
      </w:r>
      <w:proofErr w:type="spellEnd"/>
      <w:r w:rsidRPr="004412DA">
        <w:rPr>
          <w:rFonts w:ascii="Times New Roman" w:hAnsi="Times New Roman" w:cs="Times New Roman"/>
          <w:sz w:val="24"/>
          <w:szCs w:val="24"/>
        </w:rPr>
        <w:t xml:space="preserve">, S., &amp; </w:t>
      </w:r>
      <w:proofErr w:type="spellStart"/>
      <w:r w:rsidRPr="004412DA">
        <w:rPr>
          <w:rFonts w:ascii="Times New Roman" w:hAnsi="Times New Roman" w:cs="Times New Roman"/>
          <w:sz w:val="24"/>
          <w:szCs w:val="24"/>
        </w:rPr>
        <w:t>Moldogazieva</w:t>
      </w:r>
      <w:proofErr w:type="spellEnd"/>
      <w:r w:rsidRPr="004412DA">
        <w:rPr>
          <w:rFonts w:ascii="Times New Roman" w:hAnsi="Times New Roman" w:cs="Times New Roman"/>
          <w:sz w:val="24"/>
          <w:szCs w:val="24"/>
        </w:rPr>
        <w:t xml:space="preserve">, N. (2022). </w:t>
      </w:r>
      <w:r w:rsidRPr="004412DA">
        <w:rPr>
          <w:rStyle w:val="Emphasis"/>
          <w:rFonts w:ascii="Times New Roman" w:hAnsi="Times New Roman" w:cs="Times New Roman"/>
          <w:sz w:val="24"/>
          <w:szCs w:val="24"/>
        </w:rPr>
        <w:t>Oxidative distress in aging and age-related diseases: Spatiotemporal dysregulation of protein oxidation and degradation.</w:t>
      </w:r>
      <w:r w:rsidRPr="004412DA">
        <w:rPr>
          <w:rFonts w:ascii="Times New Roman" w:hAnsi="Times New Roman" w:cs="Times New Roman"/>
          <w:sz w:val="24"/>
          <w:szCs w:val="24"/>
        </w:rPr>
        <w:t xml:space="preserve"> </w:t>
      </w:r>
      <w:proofErr w:type="spellStart"/>
      <w:r w:rsidRPr="004412DA">
        <w:rPr>
          <w:rStyle w:val="Strong"/>
          <w:rFonts w:ascii="Times New Roman" w:hAnsi="Times New Roman" w:cs="Times New Roman"/>
          <w:sz w:val="24"/>
          <w:szCs w:val="24"/>
        </w:rPr>
        <w:t>Biochimie</w:t>
      </w:r>
      <w:proofErr w:type="spellEnd"/>
      <w:r w:rsidRPr="004412DA">
        <w:rPr>
          <w:rStyle w:val="Strong"/>
          <w:rFonts w:ascii="Times New Roman" w:hAnsi="Times New Roman" w:cs="Times New Roman"/>
          <w:sz w:val="24"/>
          <w:szCs w:val="24"/>
        </w:rPr>
        <w:t>, 195</w:t>
      </w:r>
      <w:r w:rsidRPr="004412DA">
        <w:rPr>
          <w:rFonts w:ascii="Times New Roman" w:hAnsi="Times New Roman" w:cs="Times New Roman"/>
          <w:sz w:val="24"/>
          <w:szCs w:val="24"/>
        </w:rPr>
        <w:t>, 114–134.</w:t>
      </w:r>
    </w:p>
    <w:p w14:paraId="3ADA9AE8" w14:textId="3DABB225" w:rsidR="000914B9" w:rsidRPr="004412DA" w:rsidRDefault="000914B9"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hAnsi="Times New Roman" w:cs="Times New Roman"/>
          <w:sz w:val="24"/>
          <w:szCs w:val="24"/>
        </w:rPr>
        <w:t>Riscuta</w:t>
      </w:r>
      <w:proofErr w:type="spellEnd"/>
      <w:r w:rsidRPr="004412DA">
        <w:rPr>
          <w:rFonts w:ascii="Times New Roman" w:hAnsi="Times New Roman" w:cs="Times New Roman"/>
          <w:sz w:val="24"/>
          <w:szCs w:val="24"/>
        </w:rPr>
        <w:t xml:space="preserve">, G. (2016). </w:t>
      </w:r>
      <w:r w:rsidRPr="004412DA">
        <w:rPr>
          <w:rStyle w:val="Emphasis"/>
          <w:rFonts w:ascii="Times New Roman" w:hAnsi="Times New Roman" w:cs="Times New Roman"/>
          <w:sz w:val="24"/>
          <w:szCs w:val="24"/>
        </w:rPr>
        <w:t>Nutrigenomics at the Interface of Aging, Lifespan, and Cancer Prevention.</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The Journal of Nutrition, 146</w:t>
      </w:r>
      <w:r w:rsidRPr="004412DA">
        <w:rPr>
          <w:rFonts w:ascii="Times New Roman" w:hAnsi="Times New Roman" w:cs="Times New Roman"/>
          <w:sz w:val="24"/>
          <w:szCs w:val="24"/>
        </w:rPr>
        <w:t>(10), 1931–1939.</w:t>
      </w:r>
    </w:p>
    <w:p w14:paraId="155C4FAC"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Dima, C., &amp; Dima, S. (2015). "Bioavailability of nutraceuticals: The key to determining the efficacy of functional foods." Scientia Pharmaceutica, 83(1), 17-26.</w:t>
      </w:r>
    </w:p>
    <w:p w14:paraId="3F0AF67B" w14:textId="2B46FBC9" w:rsidR="000914B9" w:rsidRPr="004412DA" w:rsidRDefault="000914B9"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8"/>
          <w:szCs w:val="28"/>
          <w:highlight w:val="green"/>
          <w:lang w:eastAsia="en-IN"/>
        </w:rPr>
      </w:pPr>
      <w:r w:rsidRPr="004412DA">
        <w:rPr>
          <w:rFonts w:ascii="Times New Roman" w:hAnsi="Times New Roman" w:cs="Times New Roman"/>
          <w:sz w:val="24"/>
          <w:szCs w:val="24"/>
        </w:rPr>
        <w:t xml:space="preserve">Deng, J., Zhu, X., Chen, Z., Fan, C. H., Kwan, H. S., Wong, C. H., </w:t>
      </w:r>
      <w:proofErr w:type="spellStart"/>
      <w:r w:rsidRPr="004412DA">
        <w:rPr>
          <w:rFonts w:ascii="Times New Roman" w:hAnsi="Times New Roman" w:cs="Times New Roman"/>
          <w:sz w:val="24"/>
          <w:szCs w:val="24"/>
        </w:rPr>
        <w:t>Shek</w:t>
      </w:r>
      <w:proofErr w:type="spellEnd"/>
      <w:r w:rsidRPr="004412DA">
        <w:rPr>
          <w:rFonts w:ascii="Times New Roman" w:hAnsi="Times New Roman" w:cs="Times New Roman"/>
          <w:sz w:val="24"/>
          <w:szCs w:val="24"/>
        </w:rPr>
        <w:t xml:space="preserve">, K. Y., </w:t>
      </w:r>
      <w:proofErr w:type="spellStart"/>
      <w:r w:rsidRPr="004412DA">
        <w:rPr>
          <w:rFonts w:ascii="Times New Roman" w:hAnsi="Times New Roman" w:cs="Times New Roman"/>
          <w:sz w:val="24"/>
          <w:szCs w:val="24"/>
        </w:rPr>
        <w:t>Zuo</w:t>
      </w:r>
      <w:proofErr w:type="spellEnd"/>
      <w:r w:rsidRPr="004412DA">
        <w:rPr>
          <w:rFonts w:ascii="Times New Roman" w:hAnsi="Times New Roman" w:cs="Times New Roman"/>
          <w:sz w:val="24"/>
          <w:szCs w:val="24"/>
        </w:rPr>
        <w:t xml:space="preserve">, Z., &amp; Lam, T. N. (2017). </w:t>
      </w:r>
      <w:r w:rsidRPr="004412DA">
        <w:rPr>
          <w:rStyle w:val="Emphasis"/>
          <w:rFonts w:ascii="Times New Roman" w:hAnsi="Times New Roman" w:cs="Times New Roman"/>
          <w:sz w:val="24"/>
          <w:szCs w:val="24"/>
        </w:rPr>
        <w:t>A Review of Food-Drug Interactions on Oral Drug Absorption.</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Drugs, 77</w:t>
      </w:r>
      <w:r w:rsidRPr="004412DA">
        <w:rPr>
          <w:rFonts w:ascii="Times New Roman" w:hAnsi="Times New Roman" w:cs="Times New Roman"/>
          <w:sz w:val="24"/>
          <w:szCs w:val="24"/>
        </w:rPr>
        <w:t>(17), 1833–1855.</w:t>
      </w:r>
    </w:p>
    <w:p w14:paraId="0DA64BBF"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Dwyer, J. T., Coates, P. M., &amp; Smith, M. J. (2018). "Dietary supplements: Regulatory challenges and research resources." Nutrients, 10(1), 41.</w:t>
      </w:r>
    </w:p>
    <w:p w14:paraId="3FB49190"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lastRenderedPageBreak/>
        <w:t>Dwyer, J. T., Coates, P. M., &amp; Smith, M. J. (2018). "Dietary supplements: Regulatory challenges and research resources." Nutrients, 10(1), 41.</w:t>
      </w:r>
    </w:p>
    <w:p w14:paraId="0D411D7A"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Ferrucci, L., &amp; Fabbri, E. (2018). "Inflammageing: Chronic inflammation in ageing, cardiovascular disease, and frailty." Nature Reviews Cardiology, 15(9), 505-522.</w:t>
      </w:r>
    </w:p>
    <w:p w14:paraId="161494D5" w14:textId="7BAD0CEC" w:rsidR="009644B7" w:rsidRPr="004412DA" w:rsidRDefault="009644B7" w:rsidP="004412DA">
      <w:pPr>
        <w:pStyle w:val="ListParagraph"/>
        <w:numPr>
          <w:ilvl w:val="0"/>
          <w:numId w:val="26"/>
        </w:numPr>
        <w:spacing w:before="75" w:after="75" w:line="240" w:lineRule="auto"/>
        <w:rPr>
          <w:rFonts w:ascii="Times New Roman" w:eastAsia="Times New Roman" w:hAnsi="Times New Roman" w:cs="Times New Roman"/>
          <w:sz w:val="24"/>
          <w:szCs w:val="24"/>
        </w:rPr>
      </w:pPr>
      <w:r w:rsidRPr="004412DA">
        <w:rPr>
          <w:rFonts w:ascii="Times New Roman" w:eastAsia="Times New Roman" w:hAnsi="Times New Roman" w:cs="Times New Roman"/>
          <w:color w:val="000000" w:themeColor="text1"/>
          <w:sz w:val="24"/>
          <w:szCs w:val="24"/>
          <w:lang w:eastAsia="en-IN"/>
        </w:rPr>
        <w:t xml:space="preserve">Franceschi, C., </w:t>
      </w:r>
      <w:proofErr w:type="spellStart"/>
      <w:r w:rsidRPr="004412DA">
        <w:rPr>
          <w:rFonts w:ascii="Times New Roman" w:eastAsia="Times New Roman" w:hAnsi="Times New Roman" w:cs="Times New Roman"/>
          <w:color w:val="000000" w:themeColor="text1"/>
          <w:sz w:val="24"/>
          <w:szCs w:val="24"/>
          <w:lang w:eastAsia="en-IN"/>
        </w:rPr>
        <w:t>Bonafè</w:t>
      </w:r>
      <w:proofErr w:type="spellEnd"/>
      <w:r w:rsidRPr="004412DA">
        <w:rPr>
          <w:rFonts w:ascii="Times New Roman" w:eastAsia="Times New Roman" w:hAnsi="Times New Roman" w:cs="Times New Roman"/>
          <w:color w:val="000000" w:themeColor="text1"/>
          <w:sz w:val="24"/>
          <w:szCs w:val="24"/>
          <w:lang w:eastAsia="en-IN"/>
        </w:rPr>
        <w:t xml:space="preserve">, M., &amp; </w:t>
      </w:r>
      <w:proofErr w:type="spellStart"/>
      <w:r w:rsidRPr="004412DA">
        <w:rPr>
          <w:rFonts w:ascii="Times New Roman" w:eastAsia="Times New Roman" w:hAnsi="Times New Roman" w:cs="Times New Roman"/>
          <w:color w:val="000000" w:themeColor="text1"/>
          <w:sz w:val="24"/>
          <w:szCs w:val="24"/>
          <w:lang w:eastAsia="en-IN"/>
        </w:rPr>
        <w:t>Valensin</w:t>
      </w:r>
      <w:proofErr w:type="spellEnd"/>
      <w:r w:rsidRPr="004412DA">
        <w:rPr>
          <w:rFonts w:ascii="Times New Roman" w:eastAsia="Times New Roman" w:hAnsi="Times New Roman" w:cs="Times New Roman"/>
          <w:color w:val="000000" w:themeColor="text1"/>
          <w:sz w:val="24"/>
          <w:szCs w:val="24"/>
          <w:lang w:eastAsia="en-IN"/>
        </w:rPr>
        <w:t>, S.</w:t>
      </w:r>
      <w:r w:rsidR="00FD6D08" w:rsidRPr="004412DA">
        <w:rPr>
          <w:rFonts w:ascii="Times New Roman" w:eastAsia="Times New Roman" w:hAnsi="Times New Roman" w:cs="Times New Roman"/>
          <w:color w:val="000000" w:themeColor="text1"/>
          <w:sz w:val="24"/>
          <w:szCs w:val="24"/>
          <w:lang w:eastAsia="en-IN"/>
        </w:rPr>
        <w:t xml:space="preserve"> </w:t>
      </w:r>
      <w:proofErr w:type="spellStart"/>
      <w:r w:rsidR="00FD6D08" w:rsidRPr="004412DA">
        <w:rPr>
          <w:rFonts w:ascii="Times New Roman" w:eastAsia="Times New Roman" w:hAnsi="Times New Roman" w:cs="Times New Roman"/>
          <w:sz w:val="24"/>
          <w:szCs w:val="24"/>
        </w:rPr>
        <w:t>Olivieri</w:t>
      </w:r>
      <w:proofErr w:type="spellEnd"/>
      <w:r w:rsidR="00FD6D08" w:rsidRPr="004412DA">
        <w:rPr>
          <w:rFonts w:ascii="Times New Roman" w:eastAsia="Times New Roman" w:hAnsi="Times New Roman" w:cs="Times New Roman"/>
          <w:sz w:val="24"/>
          <w:szCs w:val="24"/>
        </w:rPr>
        <w:t xml:space="preserve">, F., De Luca, M., Ottaviani, E., &amp; De </w:t>
      </w:r>
      <w:proofErr w:type="spellStart"/>
      <w:r w:rsidR="00FD6D08" w:rsidRPr="004412DA">
        <w:rPr>
          <w:rFonts w:ascii="Times New Roman" w:eastAsia="Times New Roman" w:hAnsi="Times New Roman" w:cs="Times New Roman"/>
          <w:sz w:val="24"/>
          <w:szCs w:val="24"/>
        </w:rPr>
        <w:t>Benedictis</w:t>
      </w:r>
      <w:proofErr w:type="spellEnd"/>
      <w:r w:rsidR="00FD6D08" w:rsidRPr="004412DA">
        <w:rPr>
          <w:rFonts w:ascii="Times New Roman" w:eastAsia="Times New Roman" w:hAnsi="Times New Roman" w:cs="Times New Roman"/>
          <w:sz w:val="24"/>
          <w:szCs w:val="24"/>
        </w:rPr>
        <w:t xml:space="preserve">, </w:t>
      </w:r>
      <w:proofErr w:type="gramStart"/>
      <w:r w:rsidR="00FD6D08" w:rsidRPr="004412DA">
        <w:rPr>
          <w:rFonts w:ascii="Times New Roman" w:eastAsia="Times New Roman" w:hAnsi="Times New Roman" w:cs="Times New Roman"/>
          <w:sz w:val="24"/>
          <w:szCs w:val="24"/>
        </w:rPr>
        <w:t>G.</w:t>
      </w:r>
      <w:r w:rsidRPr="004412DA">
        <w:rPr>
          <w:rFonts w:ascii="Times New Roman" w:eastAsia="Times New Roman" w:hAnsi="Times New Roman" w:cs="Times New Roman"/>
          <w:color w:val="000000" w:themeColor="text1"/>
          <w:sz w:val="24"/>
          <w:szCs w:val="24"/>
          <w:lang w:eastAsia="en-IN"/>
        </w:rPr>
        <w:t>(</w:t>
      </w:r>
      <w:proofErr w:type="gramEnd"/>
      <w:r w:rsidRPr="004412DA">
        <w:rPr>
          <w:rFonts w:ascii="Times New Roman" w:eastAsia="Times New Roman" w:hAnsi="Times New Roman" w:cs="Times New Roman"/>
          <w:color w:val="000000" w:themeColor="text1"/>
          <w:sz w:val="24"/>
          <w:szCs w:val="24"/>
          <w:lang w:eastAsia="en-IN"/>
        </w:rPr>
        <w:t>2000). "</w:t>
      </w:r>
      <w:proofErr w:type="spellStart"/>
      <w:r w:rsidRPr="004412DA">
        <w:rPr>
          <w:rFonts w:ascii="Times New Roman" w:eastAsia="Times New Roman" w:hAnsi="Times New Roman" w:cs="Times New Roman"/>
          <w:color w:val="000000" w:themeColor="text1"/>
          <w:sz w:val="24"/>
          <w:szCs w:val="24"/>
          <w:lang w:eastAsia="en-IN"/>
        </w:rPr>
        <w:t>Inflamm</w:t>
      </w:r>
      <w:proofErr w:type="spellEnd"/>
      <w:r w:rsidRPr="004412DA">
        <w:rPr>
          <w:rFonts w:ascii="Times New Roman" w:eastAsia="Times New Roman" w:hAnsi="Times New Roman" w:cs="Times New Roman"/>
          <w:color w:val="000000" w:themeColor="text1"/>
          <w:sz w:val="24"/>
          <w:szCs w:val="24"/>
          <w:lang w:eastAsia="en-IN"/>
        </w:rPr>
        <w:t xml:space="preserve">-aging: An evolutionary perspective on </w:t>
      </w:r>
      <w:proofErr w:type="spellStart"/>
      <w:r w:rsidRPr="004412DA">
        <w:rPr>
          <w:rFonts w:ascii="Times New Roman" w:eastAsia="Times New Roman" w:hAnsi="Times New Roman" w:cs="Times New Roman"/>
          <w:color w:val="000000" w:themeColor="text1"/>
          <w:sz w:val="24"/>
          <w:szCs w:val="24"/>
          <w:lang w:eastAsia="en-IN"/>
        </w:rPr>
        <w:t>immunosenescence</w:t>
      </w:r>
      <w:proofErr w:type="spellEnd"/>
      <w:r w:rsidRPr="004412DA">
        <w:rPr>
          <w:rFonts w:ascii="Times New Roman" w:eastAsia="Times New Roman" w:hAnsi="Times New Roman" w:cs="Times New Roman"/>
          <w:color w:val="000000" w:themeColor="text1"/>
          <w:sz w:val="24"/>
          <w:szCs w:val="24"/>
          <w:lang w:eastAsia="en-IN"/>
        </w:rPr>
        <w:t>." Annals of the New York Academy of Sciences, 908(1), 244-254.</w:t>
      </w:r>
    </w:p>
    <w:p w14:paraId="110BF1A7"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eastAsia="Times New Roman" w:hAnsi="Times New Roman" w:cs="Times New Roman"/>
          <w:color w:val="000000" w:themeColor="text1"/>
          <w:sz w:val="24"/>
          <w:szCs w:val="24"/>
          <w:lang w:eastAsia="en-IN"/>
        </w:rPr>
        <w:t>Gosslau</w:t>
      </w:r>
      <w:proofErr w:type="spellEnd"/>
      <w:r w:rsidRPr="004412DA">
        <w:rPr>
          <w:rFonts w:ascii="Times New Roman" w:eastAsia="Times New Roman" w:hAnsi="Times New Roman" w:cs="Times New Roman"/>
          <w:color w:val="000000" w:themeColor="text1"/>
          <w:sz w:val="24"/>
          <w:szCs w:val="24"/>
          <w:lang w:eastAsia="en-IN"/>
        </w:rPr>
        <w:t xml:space="preserve">, A., &amp; Chen, K. Y. (2004). Nutraceuticals, apoptosis, and disease prevention.  </w:t>
      </w:r>
      <w:r w:rsidRPr="004412DA">
        <w:rPr>
          <w:rFonts w:ascii="Times New Roman" w:eastAsia="Times New Roman" w:hAnsi="Times New Roman" w:cs="Times New Roman"/>
          <w:i/>
          <w:iCs/>
          <w:color w:val="000000" w:themeColor="text1"/>
          <w:sz w:val="24"/>
          <w:szCs w:val="24"/>
          <w:lang w:eastAsia="en-IN"/>
        </w:rPr>
        <w:t>Nutrition</w:t>
      </w:r>
      <w:r w:rsidRPr="004412DA">
        <w:rPr>
          <w:rFonts w:ascii="Times New Roman" w:eastAsia="Times New Roman" w:hAnsi="Times New Roman" w:cs="Times New Roman"/>
          <w:color w:val="000000" w:themeColor="text1"/>
          <w:sz w:val="24"/>
          <w:szCs w:val="24"/>
          <w:lang w:eastAsia="en-IN"/>
        </w:rPr>
        <w:t xml:space="preserve">, 20(1), 95-102. </w:t>
      </w:r>
      <w:proofErr w:type="gramStart"/>
      <w:r w:rsidRPr="004412DA">
        <w:rPr>
          <w:rFonts w:ascii="Times New Roman" w:eastAsia="Times New Roman" w:hAnsi="Times New Roman" w:cs="Times New Roman"/>
          <w:color w:val="000000" w:themeColor="text1"/>
          <w:sz w:val="24"/>
          <w:szCs w:val="24"/>
          <w:lang w:eastAsia="en-IN"/>
        </w:rPr>
        <w:t>doi:10.1016/j.nut</w:t>
      </w:r>
      <w:proofErr w:type="gramEnd"/>
      <w:r w:rsidRPr="004412DA">
        <w:rPr>
          <w:rFonts w:ascii="Times New Roman" w:eastAsia="Times New Roman" w:hAnsi="Times New Roman" w:cs="Times New Roman"/>
          <w:color w:val="000000" w:themeColor="text1"/>
          <w:sz w:val="24"/>
          <w:szCs w:val="24"/>
          <w:lang w:eastAsia="en-IN"/>
        </w:rPr>
        <w:t>.2003.09.017</w:t>
      </w:r>
    </w:p>
    <w:p w14:paraId="689BE6F0" w14:textId="27E1EE72"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hAnsi="Times New Roman" w:cs="Times New Roman"/>
          <w:sz w:val="24"/>
          <w:szCs w:val="24"/>
        </w:rPr>
      </w:pPr>
      <w:proofErr w:type="spellStart"/>
      <w:r w:rsidRPr="004412DA">
        <w:rPr>
          <w:rFonts w:ascii="Times New Roman" w:hAnsi="Times New Roman" w:cs="Times New Roman"/>
          <w:sz w:val="24"/>
          <w:szCs w:val="24"/>
        </w:rPr>
        <w:t>Sirtori</w:t>
      </w:r>
      <w:proofErr w:type="spellEnd"/>
      <w:r w:rsidRPr="004412DA">
        <w:rPr>
          <w:rFonts w:ascii="Times New Roman" w:hAnsi="Times New Roman" w:cs="Times New Roman"/>
          <w:sz w:val="24"/>
          <w:szCs w:val="24"/>
        </w:rPr>
        <w:t xml:space="preserve">, C. R., </w:t>
      </w:r>
      <w:proofErr w:type="spellStart"/>
      <w:r w:rsidRPr="004412DA">
        <w:rPr>
          <w:rFonts w:ascii="Times New Roman" w:hAnsi="Times New Roman" w:cs="Times New Roman"/>
          <w:sz w:val="24"/>
          <w:szCs w:val="24"/>
        </w:rPr>
        <w:t>Pavanello</w:t>
      </w:r>
      <w:proofErr w:type="spellEnd"/>
      <w:r w:rsidRPr="004412DA">
        <w:rPr>
          <w:rFonts w:ascii="Times New Roman" w:hAnsi="Times New Roman" w:cs="Times New Roman"/>
          <w:sz w:val="24"/>
          <w:szCs w:val="24"/>
        </w:rPr>
        <w:t xml:space="preserve">, C., </w:t>
      </w:r>
      <w:proofErr w:type="spellStart"/>
      <w:r w:rsidRPr="004412DA">
        <w:rPr>
          <w:rFonts w:ascii="Times New Roman" w:hAnsi="Times New Roman" w:cs="Times New Roman"/>
          <w:sz w:val="24"/>
          <w:szCs w:val="24"/>
        </w:rPr>
        <w:t>Calabresi</w:t>
      </w:r>
      <w:proofErr w:type="spellEnd"/>
      <w:r w:rsidRPr="004412DA">
        <w:rPr>
          <w:rFonts w:ascii="Times New Roman" w:hAnsi="Times New Roman" w:cs="Times New Roman"/>
          <w:sz w:val="24"/>
          <w:szCs w:val="24"/>
        </w:rPr>
        <w:t xml:space="preserve">, L., &amp; </w:t>
      </w:r>
      <w:proofErr w:type="spellStart"/>
      <w:r w:rsidRPr="004412DA">
        <w:rPr>
          <w:rFonts w:ascii="Times New Roman" w:hAnsi="Times New Roman" w:cs="Times New Roman"/>
          <w:sz w:val="24"/>
          <w:szCs w:val="24"/>
        </w:rPr>
        <w:t>Ruscica</w:t>
      </w:r>
      <w:proofErr w:type="spellEnd"/>
      <w:r w:rsidRPr="004412DA">
        <w:rPr>
          <w:rFonts w:ascii="Times New Roman" w:hAnsi="Times New Roman" w:cs="Times New Roman"/>
          <w:sz w:val="24"/>
          <w:szCs w:val="24"/>
        </w:rPr>
        <w:t xml:space="preserve">, M. (2017). </w:t>
      </w:r>
      <w:r w:rsidRPr="004412DA">
        <w:rPr>
          <w:rStyle w:val="Emphasis"/>
          <w:rFonts w:ascii="Times New Roman" w:hAnsi="Times New Roman" w:cs="Times New Roman"/>
          <w:sz w:val="24"/>
          <w:szCs w:val="24"/>
        </w:rPr>
        <w:t>Nutraceutical approaches to metabolic syndrome.</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Annals of Medicine, 49</w:t>
      </w:r>
      <w:r w:rsidRPr="004412DA">
        <w:rPr>
          <w:rFonts w:ascii="Times New Roman" w:hAnsi="Times New Roman" w:cs="Times New Roman"/>
          <w:sz w:val="24"/>
          <w:szCs w:val="24"/>
        </w:rPr>
        <w:t>(8), 678–697.</w:t>
      </w:r>
    </w:p>
    <w:p w14:paraId="3768E9DD" w14:textId="2420263A"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hAnsi="Times New Roman" w:cs="Times New Roman"/>
          <w:sz w:val="24"/>
          <w:szCs w:val="24"/>
        </w:rPr>
        <w:t xml:space="preserve">Kaufman, M. W., </w:t>
      </w:r>
      <w:proofErr w:type="spellStart"/>
      <w:r w:rsidRPr="004412DA">
        <w:rPr>
          <w:rFonts w:ascii="Times New Roman" w:hAnsi="Times New Roman" w:cs="Times New Roman"/>
          <w:sz w:val="24"/>
          <w:szCs w:val="24"/>
        </w:rPr>
        <w:t>DeParis</w:t>
      </w:r>
      <w:proofErr w:type="spellEnd"/>
      <w:r w:rsidRPr="004412DA">
        <w:rPr>
          <w:rFonts w:ascii="Times New Roman" w:hAnsi="Times New Roman" w:cs="Times New Roman"/>
          <w:sz w:val="24"/>
          <w:szCs w:val="24"/>
        </w:rPr>
        <w:t xml:space="preserve">, S., </w:t>
      </w:r>
      <w:proofErr w:type="spellStart"/>
      <w:r w:rsidRPr="004412DA">
        <w:rPr>
          <w:rFonts w:ascii="Times New Roman" w:hAnsi="Times New Roman" w:cs="Times New Roman"/>
          <w:sz w:val="24"/>
          <w:szCs w:val="24"/>
        </w:rPr>
        <w:t>Oppezzo</w:t>
      </w:r>
      <w:proofErr w:type="spellEnd"/>
      <w:r w:rsidRPr="004412DA">
        <w:rPr>
          <w:rFonts w:ascii="Times New Roman" w:hAnsi="Times New Roman" w:cs="Times New Roman"/>
          <w:sz w:val="24"/>
          <w:szCs w:val="24"/>
        </w:rPr>
        <w:t xml:space="preserve">, M., </w:t>
      </w:r>
      <w:proofErr w:type="spellStart"/>
      <w:r w:rsidRPr="004412DA">
        <w:rPr>
          <w:rFonts w:ascii="Times New Roman" w:hAnsi="Times New Roman" w:cs="Times New Roman"/>
          <w:sz w:val="24"/>
          <w:szCs w:val="24"/>
        </w:rPr>
        <w:t>Mah</w:t>
      </w:r>
      <w:proofErr w:type="spellEnd"/>
      <w:r w:rsidRPr="004412DA">
        <w:rPr>
          <w:rFonts w:ascii="Times New Roman" w:hAnsi="Times New Roman" w:cs="Times New Roman"/>
          <w:sz w:val="24"/>
          <w:szCs w:val="24"/>
        </w:rPr>
        <w:t xml:space="preserve">, C., Roche, M., </w:t>
      </w:r>
      <w:proofErr w:type="spellStart"/>
      <w:r w:rsidRPr="004412DA">
        <w:rPr>
          <w:rFonts w:ascii="Times New Roman" w:hAnsi="Times New Roman" w:cs="Times New Roman"/>
          <w:sz w:val="24"/>
          <w:szCs w:val="24"/>
        </w:rPr>
        <w:t>Frehlich</w:t>
      </w:r>
      <w:proofErr w:type="spellEnd"/>
      <w:r w:rsidRPr="004412DA">
        <w:rPr>
          <w:rFonts w:ascii="Times New Roman" w:hAnsi="Times New Roman" w:cs="Times New Roman"/>
          <w:sz w:val="24"/>
          <w:szCs w:val="24"/>
        </w:rPr>
        <w:t xml:space="preserve">, L., &amp; </w:t>
      </w:r>
      <w:proofErr w:type="spellStart"/>
      <w:r w:rsidRPr="004412DA">
        <w:rPr>
          <w:rFonts w:ascii="Times New Roman" w:hAnsi="Times New Roman" w:cs="Times New Roman"/>
          <w:sz w:val="24"/>
          <w:szCs w:val="24"/>
        </w:rPr>
        <w:t>Fredericson</w:t>
      </w:r>
      <w:proofErr w:type="spellEnd"/>
      <w:r w:rsidRPr="004412DA">
        <w:rPr>
          <w:rFonts w:ascii="Times New Roman" w:hAnsi="Times New Roman" w:cs="Times New Roman"/>
          <w:sz w:val="24"/>
          <w:szCs w:val="24"/>
        </w:rPr>
        <w:t xml:space="preserve">, M. (2024). </w:t>
      </w:r>
      <w:r w:rsidRPr="004412DA">
        <w:rPr>
          <w:rStyle w:val="Emphasis"/>
          <w:rFonts w:ascii="Times New Roman" w:hAnsi="Times New Roman" w:cs="Times New Roman"/>
          <w:sz w:val="24"/>
          <w:szCs w:val="24"/>
        </w:rPr>
        <w:t>Nutritional Supplements for Healthy Aging: A Critical Analysis Review.</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American Journal of Lifestyle Medicine, 19</w:t>
      </w:r>
      <w:r w:rsidRPr="004412DA">
        <w:rPr>
          <w:rFonts w:ascii="Times New Roman" w:hAnsi="Times New Roman" w:cs="Times New Roman"/>
          <w:sz w:val="24"/>
          <w:szCs w:val="24"/>
        </w:rPr>
        <w:t>(3), 346–360.</w:t>
      </w:r>
    </w:p>
    <w:p w14:paraId="7404A3D7"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eastAsia="Times New Roman" w:hAnsi="Times New Roman" w:cs="Times New Roman"/>
          <w:color w:val="000000" w:themeColor="text1"/>
          <w:sz w:val="24"/>
          <w:szCs w:val="24"/>
          <w:lang w:eastAsia="en-IN"/>
        </w:rPr>
        <w:t>Hanhineva</w:t>
      </w:r>
      <w:proofErr w:type="spellEnd"/>
      <w:r w:rsidRPr="004412DA">
        <w:rPr>
          <w:rFonts w:ascii="Times New Roman" w:eastAsia="Times New Roman" w:hAnsi="Times New Roman" w:cs="Times New Roman"/>
          <w:color w:val="000000" w:themeColor="text1"/>
          <w:sz w:val="24"/>
          <w:szCs w:val="24"/>
          <w:lang w:eastAsia="en-IN"/>
        </w:rPr>
        <w:t xml:space="preserve">, K., </w:t>
      </w:r>
      <w:proofErr w:type="spellStart"/>
      <w:r w:rsidRPr="004412DA">
        <w:rPr>
          <w:rFonts w:ascii="Times New Roman" w:eastAsia="Times New Roman" w:hAnsi="Times New Roman" w:cs="Times New Roman"/>
          <w:color w:val="000000" w:themeColor="text1"/>
          <w:sz w:val="24"/>
          <w:szCs w:val="24"/>
          <w:lang w:eastAsia="en-IN"/>
        </w:rPr>
        <w:t>Törrönen</w:t>
      </w:r>
      <w:proofErr w:type="spellEnd"/>
      <w:r w:rsidRPr="004412DA">
        <w:rPr>
          <w:rFonts w:ascii="Times New Roman" w:eastAsia="Times New Roman" w:hAnsi="Times New Roman" w:cs="Times New Roman"/>
          <w:color w:val="000000" w:themeColor="text1"/>
          <w:sz w:val="24"/>
          <w:szCs w:val="24"/>
          <w:lang w:eastAsia="en-IN"/>
        </w:rPr>
        <w:t xml:space="preserve">, R., Bondia-Pons, I., </w:t>
      </w:r>
      <w:proofErr w:type="spellStart"/>
      <w:r w:rsidRPr="004412DA">
        <w:rPr>
          <w:rFonts w:ascii="Times New Roman" w:eastAsia="Times New Roman" w:hAnsi="Times New Roman" w:cs="Times New Roman"/>
          <w:color w:val="000000" w:themeColor="text1"/>
          <w:sz w:val="24"/>
          <w:szCs w:val="24"/>
          <w:lang w:eastAsia="en-IN"/>
        </w:rPr>
        <w:t>Pekkinen</w:t>
      </w:r>
      <w:proofErr w:type="spellEnd"/>
      <w:r w:rsidRPr="004412DA">
        <w:rPr>
          <w:rFonts w:ascii="Times New Roman" w:eastAsia="Times New Roman" w:hAnsi="Times New Roman" w:cs="Times New Roman"/>
          <w:color w:val="000000" w:themeColor="text1"/>
          <w:sz w:val="24"/>
          <w:szCs w:val="24"/>
          <w:lang w:eastAsia="en-IN"/>
        </w:rPr>
        <w:t xml:space="preserve">, J., Kolehmainen, M., Mykkänen, H., &amp; Poutanen, K. (2010). Impact of dietary polyphenols on carbohydrate metabolism. </w:t>
      </w:r>
      <w:r w:rsidRPr="004412DA">
        <w:rPr>
          <w:rFonts w:ascii="Times New Roman" w:eastAsia="Times New Roman" w:hAnsi="Times New Roman" w:cs="Times New Roman"/>
          <w:i/>
          <w:iCs/>
          <w:color w:val="000000" w:themeColor="text1"/>
          <w:sz w:val="24"/>
          <w:szCs w:val="24"/>
          <w:lang w:eastAsia="en-IN"/>
        </w:rPr>
        <w:t>International Journal of Molecular Sciences</w:t>
      </w:r>
      <w:r w:rsidRPr="004412DA">
        <w:rPr>
          <w:rFonts w:ascii="Times New Roman" w:eastAsia="Times New Roman" w:hAnsi="Times New Roman" w:cs="Times New Roman"/>
          <w:color w:val="000000" w:themeColor="text1"/>
          <w:sz w:val="24"/>
          <w:szCs w:val="24"/>
          <w:lang w:eastAsia="en-IN"/>
        </w:rPr>
        <w:t>, 11(4), 1365-1402. doi:10.3390/ijms11041365</w:t>
      </w:r>
    </w:p>
    <w:p w14:paraId="710E6138"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Harman, D. (2001). "Aging: Overview." Annals of the New York Academy of Sciences, 928(1), 1-21.</w:t>
      </w:r>
    </w:p>
    <w:p w14:paraId="4FB493C2"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He, K., Song, Y., Daviglus, M. L., Liu, K., Van Horn, L., Dyer, A. R., &amp; Greenland, P. (2004). Fish consumption and incidence of stroke: a meta-analysis of cohort studies. </w:t>
      </w:r>
      <w:r w:rsidRPr="004412DA">
        <w:rPr>
          <w:rFonts w:ascii="Times New Roman" w:eastAsia="Times New Roman" w:hAnsi="Times New Roman" w:cs="Times New Roman"/>
          <w:i/>
          <w:iCs/>
          <w:color w:val="000000" w:themeColor="text1"/>
          <w:sz w:val="24"/>
          <w:szCs w:val="24"/>
          <w:lang w:eastAsia="en-IN"/>
        </w:rPr>
        <w:t>Stroke</w:t>
      </w:r>
      <w:r w:rsidRPr="004412DA">
        <w:rPr>
          <w:rFonts w:ascii="Times New Roman" w:eastAsia="Times New Roman" w:hAnsi="Times New Roman" w:cs="Times New Roman"/>
          <w:color w:val="000000" w:themeColor="text1"/>
          <w:sz w:val="24"/>
          <w:szCs w:val="24"/>
          <w:lang w:eastAsia="en-IN"/>
        </w:rPr>
        <w:t xml:space="preserve">, 35(7), 1538-1542. </w:t>
      </w:r>
      <w:proofErr w:type="gramStart"/>
      <w:r w:rsidRPr="004412DA">
        <w:rPr>
          <w:rFonts w:ascii="Times New Roman" w:eastAsia="Times New Roman" w:hAnsi="Times New Roman" w:cs="Times New Roman"/>
          <w:color w:val="000000" w:themeColor="text1"/>
          <w:sz w:val="24"/>
          <w:szCs w:val="24"/>
          <w:lang w:eastAsia="en-IN"/>
        </w:rPr>
        <w:t>doi:10.1161/01.STR</w:t>
      </w:r>
      <w:proofErr w:type="gramEnd"/>
      <w:r w:rsidRPr="004412DA">
        <w:rPr>
          <w:rFonts w:ascii="Times New Roman" w:eastAsia="Times New Roman" w:hAnsi="Times New Roman" w:cs="Times New Roman"/>
          <w:color w:val="000000" w:themeColor="text1"/>
          <w:sz w:val="24"/>
          <w:szCs w:val="24"/>
          <w:lang w:eastAsia="en-IN"/>
        </w:rPr>
        <w:t>.0000130856.64167.95</w:t>
      </w:r>
    </w:p>
    <w:p w14:paraId="72FFB415" w14:textId="2952907E"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hAnsi="Times New Roman" w:cs="Times New Roman"/>
          <w:sz w:val="24"/>
          <w:szCs w:val="24"/>
        </w:rPr>
        <w:t xml:space="preserve">Bianchi, V. E., Herrera, P. F., &amp; </w:t>
      </w:r>
      <w:proofErr w:type="spellStart"/>
      <w:r w:rsidRPr="004412DA">
        <w:rPr>
          <w:rFonts w:ascii="Times New Roman" w:hAnsi="Times New Roman" w:cs="Times New Roman"/>
          <w:sz w:val="24"/>
          <w:szCs w:val="24"/>
        </w:rPr>
        <w:t>Rizzi</w:t>
      </w:r>
      <w:proofErr w:type="spellEnd"/>
      <w:r w:rsidRPr="004412DA">
        <w:rPr>
          <w:rFonts w:ascii="Times New Roman" w:hAnsi="Times New Roman" w:cs="Times New Roman"/>
          <w:sz w:val="24"/>
          <w:szCs w:val="24"/>
        </w:rPr>
        <w:t xml:space="preserve">, L. (2021). </w:t>
      </w:r>
      <w:r w:rsidRPr="004412DA">
        <w:rPr>
          <w:rStyle w:val="Emphasis"/>
          <w:rFonts w:ascii="Times New Roman" w:hAnsi="Times New Roman" w:cs="Times New Roman"/>
          <w:sz w:val="24"/>
          <w:szCs w:val="24"/>
        </w:rPr>
        <w:t>Effect of nutrition on neurodegenerative diseases. A systematic review.</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Nutrition Neuroscience, 24</w:t>
      </w:r>
      <w:r w:rsidRPr="004412DA">
        <w:rPr>
          <w:rFonts w:ascii="Times New Roman" w:hAnsi="Times New Roman" w:cs="Times New Roman"/>
          <w:sz w:val="24"/>
          <w:szCs w:val="24"/>
        </w:rPr>
        <w:t>(10), 810–834.</w:t>
      </w:r>
    </w:p>
    <w:p w14:paraId="46C683C9"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Izzo, A. A., Hoon-Kim, S., Radhakrishnan, R., &amp; Williamson, E. M. (2016). "A critical approach to evaluating clinical efficacy, adverse events and drug interactions of herbal remedies." </w:t>
      </w:r>
      <w:proofErr w:type="spellStart"/>
      <w:r w:rsidRPr="004412DA">
        <w:rPr>
          <w:rFonts w:ascii="Times New Roman" w:eastAsia="Times New Roman" w:hAnsi="Times New Roman" w:cs="Times New Roman"/>
          <w:color w:val="000000" w:themeColor="text1"/>
          <w:sz w:val="24"/>
          <w:szCs w:val="24"/>
          <w:lang w:eastAsia="en-IN"/>
        </w:rPr>
        <w:t>Phytotherapy</w:t>
      </w:r>
      <w:proofErr w:type="spellEnd"/>
      <w:r w:rsidRPr="004412DA">
        <w:rPr>
          <w:rFonts w:ascii="Times New Roman" w:eastAsia="Times New Roman" w:hAnsi="Times New Roman" w:cs="Times New Roman"/>
          <w:color w:val="000000" w:themeColor="text1"/>
          <w:sz w:val="24"/>
          <w:szCs w:val="24"/>
          <w:lang w:eastAsia="en-IN"/>
        </w:rPr>
        <w:t xml:space="preserve"> Research, 30(5), 691-700.</w:t>
      </w:r>
    </w:p>
    <w:p w14:paraId="4193EFF2" w14:textId="5938B090"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proofErr w:type="spellStart"/>
      <w:r w:rsidRPr="004412DA">
        <w:rPr>
          <w:rFonts w:ascii="Times New Roman" w:hAnsi="Times New Roman" w:cs="Times New Roman"/>
          <w:sz w:val="24"/>
          <w:szCs w:val="24"/>
        </w:rPr>
        <w:t>Toniolo</w:t>
      </w:r>
      <w:proofErr w:type="spellEnd"/>
      <w:r w:rsidRPr="004412DA">
        <w:rPr>
          <w:rFonts w:ascii="Times New Roman" w:hAnsi="Times New Roman" w:cs="Times New Roman"/>
          <w:sz w:val="24"/>
          <w:szCs w:val="24"/>
        </w:rPr>
        <w:t xml:space="preserve">, L., </w:t>
      </w:r>
      <w:proofErr w:type="spellStart"/>
      <w:r w:rsidRPr="004412DA">
        <w:rPr>
          <w:rFonts w:ascii="Times New Roman" w:hAnsi="Times New Roman" w:cs="Times New Roman"/>
          <w:sz w:val="24"/>
          <w:szCs w:val="24"/>
        </w:rPr>
        <w:t>Sirago</w:t>
      </w:r>
      <w:proofErr w:type="spellEnd"/>
      <w:r w:rsidRPr="004412DA">
        <w:rPr>
          <w:rFonts w:ascii="Times New Roman" w:hAnsi="Times New Roman" w:cs="Times New Roman"/>
          <w:sz w:val="24"/>
          <w:szCs w:val="24"/>
        </w:rPr>
        <w:t xml:space="preserve">, G., &amp; </w:t>
      </w:r>
      <w:proofErr w:type="spellStart"/>
      <w:r w:rsidRPr="004412DA">
        <w:rPr>
          <w:rFonts w:ascii="Times New Roman" w:hAnsi="Times New Roman" w:cs="Times New Roman"/>
          <w:sz w:val="24"/>
          <w:szCs w:val="24"/>
        </w:rPr>
        <w:t>Giacomello</w:t>
      </w:r>
      <w:proofErr w:type="spellEnd"/>
      <w:r w:rsidRPr="004412DA">
        <w:rPr>
          <w:rFonts w:ascii="Times New Roman" w:hAnsi="Times New Roman" w:cs="Times New Roman"/>
          <w:sz w:val="24"/>
          <w:szCs w:val="24"/>
        </w:rPr>
        <w:t xml:space="preserve">, E. (2023). </w:t>
      </w:r>
      <w:r w:rsidRPr="004412DA">
        <w:rPr>
          <w:rStyle w:val="Emphasis"/>
          <w:rFonts w:ascii="Times New Roman" w:hAnsi="Times New Roman" w:cs="Times New Roman"/>
          <w:sz w:val="24"/>
          <w:szCs w:val="24"/>
        </w:rPr>
        <w:t>Experimental models for ageing research.</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Histology and Histopathology, 38</w:t>
      </w:r>
      <w:r w:rsidRPr="004412DA">
        <w:rPr>
          <w:rFonts w:ascii="Times New Roman" w:hAnsi="Times New Roman" w:cs="Times New Roman"/>
          <w:sz w:val="24"/>
          <w:szCs w:val="24"/>
        </w:rPr>
        <w:t>(6), 597–605.</w:t>
      </w:r>
    </w:p>
    <w:p w14:paraId="36FD0A4E"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Joseph, J. A., Cole, G., Head, E., &amp; Ingram, D. K. (2009). "Nutrition, brain aging, and neurodegeneration." Journal of Neuroscience, 29(41), 12795-12801.</w:t>
      </w:r>
    </w:p>
    <w:p w14:paraId="50F7C958" w14:textId="4CF42031" w:rsidR="00A7524C"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FF"/>
          <w:sz w:val="24"/>
          <w:szCs w:val="24"/>
        </w:rPr>
      </w:pPr>
      <w:proofErr w:type="spellStart"/>
      <w:r w:rsidRPr="004412DA">
        <w:rPr>
          <w:rFonts w:ascii="Times New Roman" w:eastAsia="Times New Roman" w:hAnsi="Times New Roman" w:cs="Times New Roman"/>
          <w:color w:val="000000" w:themeColor="text1"/>
          <w:sz w:val="24"/>
          <w:szCs w:val="24"/>
          <w:lang w:eastAsia="en-IN"/>
        </w:rPr>
        <w:t>Kafatos</w:t>
      </w:r>
      <w:proofErr w:type="spellEnd"/>
      <w:r w:rsidRPr="004412DA">
        <w:rPr>
          <w:rFonts w:ascii="Times New Roman" w:eastAsia="Times New Roman" w:hAnsi="Times New Roman" w:cs="Times New Roman"/>
          <w:color w:val="000000" w:themeColor="text1"/>
          <w:sz w:val="24"/>
          <w:szCs w:val="24"/>
          <w:lang w:eastAsia="en-IN"/>
        </w:rPr>
        <w:t xml:space="preserve">, A., Verhagen, H., </w:t>
      </w:r>
      <w:proofErr w:type="spellStart"/>
      <w:r w:rsidRPr="004412DA">
        <w:rPr>
          <w:rFonts w:ascii="Times New Roman" w:eastAsia="Times New Roman" w:hAnsi="Times New Roman" w:cs="Times New Roman"/>
          <w:color w:val="000000" w:themeColor="text1"/>
          <w:sz w:val="24"/>
          <w:szCs w:val="24"/>
          <w:lang w:eastAsia="en-IN"/>
        </w:rPr>
        <w:t>Moschandreas</w:t>
      </w:r>
      <w:proofErr w:type="spellEnd"/>
      <w:r w:rsidRPr="004412DA">
        <w:rPr>
          <w:rFonts w:ascii="Times New Roman" w:eastAsia="Times New Roman" w:hAnsi="Times New Roman" w:cs="Times New Roman"/>
          <w:color w:val="000000" w:themeColor="text1"/>
          <w:sz w:val="24"/>
          <w:szCs w:val="24"/>
          <w:lang w:eastAsia="en-IN"/>
        </w:rPr>
        <w:t xml:space="preserve">, J., Apostolaki, I., &amp; </w:t>
      </w:r>
      <w:proofErr w:type="spellStart"/>
      <w:r w:rsidRPr="004412DA">
        <w:rPr>
          <w:rFonts w:ascii="Times New Roman" w:eastAsia="Times New Roman" w:hAnsi="Times New Roman" w:cs="Times New Roman"/>
          <w:color w:val="000000" w:themeColor="text1"/>
          <w:sz w:val="24"/>
          <w:szCs w:val="24"/>
          <w:lang w:eastAsia="en-IN"/>
        </w:rPr>
        <w:t>Westerop</w:t>
      </w:r>
      <w:proofErr w:type="spellEnd"/>
      <w:r w:rsidRPr="004412DA">
        <w:rPr>
          <w:rFonts w:ascii="Times New Roman" w:eastAsia="Times New Roman" w:hAnsi="Times New Roman" w:cs="Times New Roman"/>
          <w:color w:val="000000" w:themeColor="text1"/>
          <w:sz w:val="24"/>
          <w:szCs w:val="24"/>
          <w:lang w:eastAsia="en-IN"/>
        </w:rPr>
        <w:t xml:space="preserve">, J. J. (2000). Mediterranean diet of Crete: Foods and nutrient content. </w:t>
      </w:r>
      <w:r w:rsidRPr="004412DA">
        <w:rPr>
          <w:rFonts w:ascii="Times New Roman" w:eastAsia="Times New Roman" w:hAnsi="Times New Roman" w:cs="Times New Roman"/>
          <w:i/>
          <w:iCs/>
          <w:color w:val="000000" w:themeColor="text1"/>
          <w:sz w:val="24"/>
          <w:szCs w:val="24"/>
          <w:lang w:eastAsia="en-IN"/>
        </w:rPr>
        <w:t>Journal of the American Dietetic Association</w:t>
      </w:r>
      <w:r w:rsidRPr="004412DA">
        <w:rPr>
          <w:rFonts w:ascii="Times New Roman" w:eastAsia="Times New Roman" w:hAnsi="Times New Roman" w:cs="Times New Roman"/>
          <w:color w:val="000000" w:themeColor="text1"/>
          <w:sz w:val="24"/>
          <w:szCs w:val="24"/>
          <w:lang w:eastAsia="en-IN"/>
        </w:rPr>
        <w:t xml:space="preserve">, 100(12), 1487-1493. </w:t>
      </w:r>
      <w:proofErr w:type="spellStart"/>
      <w:r w:rsidRPr="004412DA">
        <w:rPr>
          <w:rFonts w:ascii="Times New Roman" w:eastAsia="Times New Roman" w:hAnsi="Times New Roman" w:cs="Times New Roman"/>
          <w:color w:val="000000" w:themeColor="text1"/>
          <w:sz w:val="24"/>
          <w:szCs w:val="24"/>
          <w:lang w:eastAsia="en-IN"/>
        </w:rPr>
        <w:t>doi</w:t>
      </w:r>
      <w:proofErr w:type="spellEnd"/>
      <w:r w:rsidRPr="004412DA">
        <w:rPr>
          <w:rFonts w:ascii="Times New Roman" w:eastAsia="Times New Roman" w:hAnsi="Times New Roman" w:cs="Times New Roman"/>
          <w:color w:val="000000" w:themeColor="text1"/>
          <w:sz w:val="24"/>
          <w:szCs w:val="24"/>
          <w:lang w:eastAsia="en-IN"/>
        </w:rPr>
        <w:t>:</w:t>
      </w:r>
      <w:r w:rsidR="00FD6D08" w:rsidRPr="004412DA">
        <w:rPr>
          <w:rFonts w:ascii="Times New Roman" w:eastAsia="Times New Roman" w:hAnsi="Times New Roman" w:cs="Times New Roman"/>
          <w:color w:val="000000" w:themeColor="text1"/>
          <w:sz w:val="24"/>
          <w:szCs w:val="24"/>
          <w:lang w:eastAsia="en-IN"/>
        </w:rPr>
        <w:t xml:space="preserve"> </w:t>
      </w:r>
      <w:hyperlink r:id="rId12" w:history="1">
        <w:r w:rsidR="00FD6D08" w:rsidRPr="004412DA">
          <w:rPr>
            <w:rFonts w:ascii="Times New Roman" w:eastAsia="Times New Roman" w:hAnsi="Times New Roman" w:cs="Times New Roman"/>
            <w:color w:val="0000FF"/>
            <w:sz w:val="24"/>
            <w:szCs w:val="24"/>
          </w:rPr>
          <w:t>10.1016/s0002-8223(00)00416-8</w:t>
        </w:r>
      </w:hyperlink>
    </w:p>
    <w:p w14:paraId="5B6C1831"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eastAsia="Times New Roman" w:hAnsi="Times New Roman" w:cs="Times New Roman"/>
          <w:color w:val="000000" w:themeColor="text1"/>
          <w:sz w:val="24"/>
          <w:szCs w:val="24"/>
          <w:lang w:eastAsia="en-IN"/>
        </w:rPr>
        <w:t>Lauretani</w:t>
      </w:r>
      <w:proofErr w:type="spellEnd"/>
      <w:r w:rsidRPr="004412DA">
        <w:rPr>
          <w:rFonts w:ascii="Times New Roman" w:eastAsia="Times New Roman" w:hAnsi="Times New Roman" w:cs="Times New Roman"/>
          <w:color w:val="000000" w:themeColor="text1"/>
          <w:sz w:val="24"/>
          <w:szCs w:val="24"/>
          <w:lang w:eastAsia="en-IN"/>
        </w:rPr>
        <w:t xml:space="preserve">, F., Semba, R. D., Bandinelli, S., Dayhoff-Brannigan, M., Giacomini, V., Corsi, A. M., Guralnik, J. M., &amp; Ferrucci, L. (2008). Low plasma carotenoids and skeletal muscle strength decline over 6 years. </w:t>
      </w:r>
      <w:r w:rsidRPr="004412DA">
        <w:rPr>
          <w:rFonts w:ascii="Times New Roman" w:eastAsia="Times New Roman" w:hAnsi="Times New Roman" w:cs="Times New Roman"/>
          <w:i/>
          <w:iCs/>
          <w:color w:val="000000" w:themeColor="text1"/>
          <w:sz w:val="24"/>
          <w:szCs w:val="24"/>
          <w:lang w:eastAsia="en-IN"/>
        </w:rPr>
        <w:t>The Journals of Gerontology Series A: Biological Sciences and Medical Sciences</w:t>
      </w:r>
      <w:r w:rsidRPr="004412DA">
        <w:rPr>
          <w:rFonts w:ascii="Times New Roman" w:eastAsia="Times New Roman" w:hAnsi="Times New Roman" w:cs="Times New Roman"/>
          <w:color w:val="000000" w:themeColor="text1"/>
          <w:sz w:val="24"/>
          <w:szCs w:val="24"/>
          <w:lang w:eastAsia="en-IN"/>
        </w:rPr>
        <w:t>, 63(4), 376-383. doi:10.1093/</w:t>
      </w:r>
      <w:proofErr w:type="spellStart"/>
      <w:r w:rsidRPr="004412DA">
        <w:rPr>
          <w:rFonts w:ascii="Times New Roman" w:eastAsia="Times New Roman" w:hAnsi="Times New Roman" w:cs="Times New Roman"/>
          <w:color w:val="000000" w:themeColor="text1"/>
          <w:sz w:val="24"/>
          <w:szCs w:val="24"/>
          <w:lang w:eastAsia="en-IN"/>
        </w:rPr>
        <w:t>gerona</w:t>
      </w:r>
      <w:proofErr w:type="spellEnd"/>
      <w:r w:rsidRPr="004412DA">
        <w:rPr>
          <w:rFonts w:ascii="Times New Roman" w:eastAsia="Times New Roman" w:hAnsi="Times New Roman" w:cs="Times New Roman"/>
          <w:color w:val="000000" w:themeColor="text1"/>
          <w:sz w:val="24"/>
          <w:szCs w:val="24"/>
          <w:lang w:eastAsia="en-IN"/>
        </w:rPr>
        <w:t>/63.4.376</w:t>
      </w:r>
    </w:p>
    <w:p w14:paraId="5CE8FF98"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Liguori, I., Russo, G., Curcio, F., et al. (2018). "Oxidative stress, aging, and diseases." Clinical Interventions in Aging, 13, 757-772.</w:t>
      </w:r>
    </w:p>
    <w:p w14:paraId="71A2445B"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López-Otín, C., Blasco, M. A., Partridge, L., Serrano, M., &amp; Kroemer, G. (2013). "The hallmarks of aging." </w:t>
      </w:r>
      <w:r w:rsidRPr="004412DA">
        <w:rPr>
          <w:rFonts w:ascii="Times New Roman" w:eastAsia="Times New Roman" w:hAnsi="Times New Roman" w:cs="Times New Roman"/>
          <w:i/>
          <w:iCs/>
          <w:color w:val="000000" w:themeColor="text1"/>
          <w:sz w:val="24"/>
          <w:szCs w:val="24"/>
          <w:lang w:eastAsia="en-IN"/>
        </w:rPr>
        <w:t>Cell, 153</w:t>
      </w:r>
      <w:r w:rsidRPr="004412DA">
        <w:rPr>
          <w:rFonts w:ascii="Times New Roman" w:eastAsia="Times New Roman" w:hAnsi="Times New Roman" w:cs="Times New Roman"/>
          <w:color w:val="000000" w:themeColor="text1"/>
          <w:sz w:val="24"/>
          <w:szCs w:val="24"/>
          <w:lang w:eastAsia="en-IN"/>
        </w:rPr>
        <w:t>(6), 1194-1217.</w:t>
      </w:r>
    </w:p>
    <w:p w14:paraId="77A3F708" w14:textId="0B2DFDB5"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proofErr w:type="spellStart"/>
      <w:r w:rsidRPr="004412DA">
        <w:rPr>
          <w:rFonts w:ascii="Times New Roman" w:hAnsi="Times New Roman" w:cs="Times New Roman"/>
          <w:sz w:val="24"/>
          <w:szCs w:val="24"/>
        </w:rPr>
        <w:t>Vauzour</w:t>
      </w:r>
      <w:proofErr w:type="spellEnd"/>
      <w:r w:rsidRPr="004412DA">
        <w:rPr>
          <w:rFonts w:ascii="Times New Roman" w:hAnsi="Times New Roman" w:cs="Times New Roman"/>
          <w:sz w:val="24"/>
          <w:szCs w:val="24"/>
        </w:rPr>
        <w:t xml:space="preserve">, D. (2012). </w:t>
      </w:r>
      <w:r w:rsidRPr="004412DA">
        <w:rPr>
          <w:rStyle w:val="Emphasis"/>
          <w:rFonts w:ascii="Times New Roman" w:hAnsi="Times New Roman" w:cs="Times New Roman"/>
          <w:sz w:val="24"/>
          <w:szCs w:val="24"/>
        </w:rPr>
        <w:t>Dietary polyphenols as modulators of brain functions: Biological actions and molecular mechanisms underpinning their beneficial effects.</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Oxidative Medicine and Cellular Longevity, 2012</w:t>
      </w:r>
      <w:r w:rsidRPr="004412DA">
        <w:rPr>
          <w:rFonts w:ascii="Times New Roman" w:hAnsi="Times New Roman" w:cs="Times New Roman"/>
          <w:sz w:val="24"/>
          <w:szCs w:val="24"/>
        </w:rPr>
        <w:t>, 914273.</w:t>
      </w:r>
    </w:p>
    <w:p w14:paraId="25C5B75E"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lastRenderedPageBreak/>
        <w:t>Martirosyan, D. M., &amp; Singh, J. (2015). "A new definition of functional food by FFC: What makes a new definition unique?" Functional Foods in Health and Disease, 5(6), 209-223.</w:t>
      </w:r>
    </w:p>
    <w:p w14:paraId="46A85718" w14:textId="1EC1F1A4"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hAnsi="Times New Roman" w:cs="Times New Roman"/>
          <w:sz w:val="24"/>
          <w:szCs w:val="24"/>
        </w:rPr>
        <w:t xml:space="preserve">Calder, P. C. (2010). </w:t>
      </w:r>
      <w:r w:rsidRPr="004412DA">
        <w:rPr>
          <w:rStyle w:val="Emphasis"/>
          <w:rFonts w:ascii="Times New Roman" w:hAnsi="Times New Roman" w:cs="Times New Roman"/>
          <w:sz w:val="24"/>
          <w:szCs w:val="24"/>
        </w:rPr>
        <w:t>Omega-3 fatty acids and inflammatory processes: From molecules to man.</w:t>
      </w:r>
      <w:r w:rsidRPr="004412DA">
        <w:rPr>
          <w:rFonts w:ascii="Times New Roman" w:hAnsi="Times New Roman" w:cs="Times New Roman"/>
          <w:sz w:val="24"/>
          <w:szCs w:val="24"/>
        </w:rPr>
        <w:t xml:space="preserve"> </w:t>
      </w:r>
      <w:r w:rsidRPr="004412DA">
        <w:rPr>
          <w:rStyle w:val="Strong"/>
          <w:rFonts w:ascii="Times New Roman" w:hAnsi="Times New Roman" w:cs="Times New Roman"/>
          <w:sz w:val="24"/>
          <w:szCs w:val="24"/>
        </w:rPr>
        <w:t>Biochemical Society Transactions, 38</w:t>
      </w:r>
      <w:r w:rsidRPr="004412DA">
        <w:rPr>
          <w:rFonts w:ascii="Times New Roman" w:hAnsi="Times New Roman" w:cs="Times New Roman"/>
          <w:sz w:val="24"/>
          <w:szCs w:val="24"/>
        </w:rPr>
        <w:t>(1), 211–215.</w:t>
      </w:r>
    </w:p>
    <w:p w14:paraId="17A2F913" w14:textId="5267298A" w:rsidR="009644B7" w:rsidRPr="004412DA" w:rsidRDefault="00FD6D08"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McClements, D. J. (2015</w:t>
      </w:r>
      <w:r w:rsidR="009644B7" w:rsidRPr="004412DA">
        <w:rPr>
          <w:rFonts w:ascii="Times New Roman" w:eastAsia="Times New Roman" w:hAnsi="Times New Roman" w:cs="Times New Roman"/>
          <w:color w:val="000000" w:themeColor="text1"/>
          <w:sz w:val="24"/>
          <w:szCs w:val="24"/>
          <w:lang w:eastAsia="en-IN"/>
        </w:rPr>
        <w:t xml:space="preserve">). "Enhancing nutraceutical bioavailability through food matrix design." Current Opinion in Food Science, 33, 90-95. </w:t>
      </w:r>
    </w:p>
    <w:p w14:paraId="68A3DD44" w14:textId="0B65389B"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Morley, J. E., &amp; Silver, A. J. (1995). Nutritional issues in nursing home care. </w:t>
      </w:r>
      <w:r w:rsidRPr="004412DA">
        <w:rPr>
          <w:rFonts w:ascii="Times New Roman" w:eastAsia="Times New Roman" w:hAnsi="Times New Roman" w:cs="Times New Roman"/>
          <w:i/>
          <w:iCs/>
          <w:color w:val="000000" w:themeColor="text1"/>
          <w:sz w:val="24"/>
          <w:szCs w:val="24"/>
          <w:lang w:eastAsia="en-IN"/>
        </w:rPr>
        <w:t>Annals of Internal Medicine</w:t>
      </w:r>
      <w:r w:rsidRPr="004412DA">
        <w:rPr>
          <w:rFonts w:ascii="Times New Roman" w:eastAsia="Times New Roman" w:hAnsi="Times New Roman" w:cs="Times New Roman"/>
          <w:color w:val="000000" w:themeColor="text1"/>
          <w:sz w:val="24"/>
          <w:szCs w:val="24"/>
          <w:lang w:eastAsia="en-IN"/>
        </w:rPr>
        <w:t xml:space="preserve">, 123(11), 850-859. </w:t>
      </w:r>
      <w:proofErr w:type="spellStart"/>
      <w:r w:rsidRPr="004412DA">
        <w:rPr>
          <w:rFonts w:ascii="Times New Roman" w:eastAsia="Times New Roman" w:hAnsi="Times New Roman" w:cs="Times New Roman"/>
          <w:color w:val="000000" w:themeColor="text1"/>
          <w:sz w:val="24"/>
          <w:szCs w:val="24"/>
          <w:lang w:eastAsia="en-IN"/>
        </w:rPr>
        <w:t>doi</w:t>
      </w:r>
      <w:proofErr w:type="spellEnd"/>
      <w:r w:rsidRPr="004412DA">
        <w:rPr>
          <w:rFonts w:ascii="Times New Roman" w:eastAsia="Times New Roman" w:hAnsi="Times New Roman" w:cs="Times New Roman"/>
          <w:color w:val="000000" w:themeColor="text1"/>
          <w:sz w:val="24"/>
          <w:szCs w:val="24"/>
          <w:lang w:eastAsia="en-IN"/>
        </w:rPr>
        <w:t>:</w:t>
      </w:r>
      <w:r w:rsidR="00FD6D08" w:rsidRPr="004412DA">
        <w:rPr>
          <w:rFonts w:ascii="Times New Roman" w:eastAsia="Times New Roman" w:hAnsi="Times New Roman" w:cs="Times New Roman"/>
          <w:color w:val="000000" w:themeColor="text1"/>
          <w:sz w:val="24"/>
          <w:szCs w:val="24"/>
          <w:lang w:eastAsia="en-IN"/>
        </w:rPr>
        <w:t xml:space="preserve"> 10.7326/0003-4819-123-11-199512010-00008</w:t>
      </w:r>
    </w:p>
    <w:p w14:paraId="716C7482"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Ouwehand, A. C., Salminen, S., &amp; </w:t>
      </w:r>
      <w:proofErr w:type="spellStart"/>
      <w:r w:rsidRPr="004412DA">
        <w:rPr>
          <w:rFonts w:ascii="Times New Roman" w:eastAsia="Times New Roman" w:hAnsi="Times New Roman" w:cs="Times New Roman"/>
          <w:color w:val="000000" w:themeColor="text1"/>
          <w:sz w:val="24"/>
          <w:szCs w:val="24"/>
          <w:lang w:eastAsia="en-IN"/>
        </w:rPr>
        <w:t>Isolauri</w:t>
      </w:r>
      <w:proofErr w:type="spellEnd"/>
      <w:r w:rsidRPr="004412DA">
        <w:rPr>
          <w:rFonts w:ascii="Times New Roman" w:eastAsia="Times New Roman" w:hAnsi="Times New Roman" w:cs="Times New Roman"/>
          <w:color w:val="000000" w:themeColor="text1"/>
          <w:sz w:val="24"/>
          <w:szCs w:val="24"/>
          <w:lang w:eastAsia="en-IN"/>
        </w:rPr>
        <w:t>, E. (2002). "Probiotics: An overview of beneficial effects." Antonie van Leeuwenhoek, 82(1-4), 279-289.</w:t>
      </w:r>
    </w:p>
    <w:p w14:paraId="49F624DA" w14:textId="08BCB76B"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hAnsi="Times New Roman" w:cs="Times New Roman"/>
          <w:sz w:val="24"/>
          <w:szCs w:val="24"/>
        </w:rPr>
        <w:t xml:space="preserve">Miwa, S., Kashyap, S., </w:t>
      </w:r>
      <w:proofErr w:type="spellStart"/>
      <w:r w:rsidRPr="004412DA">
        <w:rPr>
          <w:rFonts w:ascii="Times New Roman" w:hAnsi="Times New Roman" w:cs="Times New Roman"/>
          <w:sz w:val="24"/>
          <w:szCs w:val="24"/>
        </w:rPr>
        <w:t>Chini</w:t>
      </w:r>
      <w:proofErr w:type="spellEnd"/>
      <w:r w:rsidRPr="004412DA">
        <w:rPr>
          <w:rFonts w:ascii="Times New Roman" w:hAnsi="Times New Roman" w:cs="Times New Roman"/>
          <w:sz w:val="24"/>
          <w:szCs w:val="24"/>
        </w:rPr>
        <w:t xml:space="preserve">, E., &amp; von </w:t>
      </w:r>
      <w:proofErr w:type="spellStart"/>
      <w:r w:rsidRPr="004412DA">
        <w:rPr>
          <w:rFonts w:ascii="Times New Roman" w:hAnsi="Times New Roman" w:cs="Times New Roman"/>
          <w:sz w:val="24"/>
          <w:szCs w:val="24"/>
        </w:rPr>
        <w:t>Zglinicki</w:t>
      </w:r>
      <w:proofErr w:type="spellEnd"/>
      <w:r w:rsidRPr="004412DA">
        <w:rPr>
          <w:rFonts w:ascii="Times New Roman" w:hAnsi="Times New Roman" w:cs="Times New Roman"/>
          <w:sz w:val="24"/>
          <w:szCs w:val="24"/>
        </w:rPr>
        <w:t xml:space="preserve">, T. (2022). "Mitochondrial dysfunction in cell senescence and aging." </w:t>
      </w:r>
      <w:r w:rsidRPr="004412DA">
        <w:rPr>
          <w:rStyle w:val="Emphasis"/>
          <w:rFonts w:ascii="Times New Roman" w:hAnsi="Times New Roman" w:cs="Times New Roman"/>
          <w:sz w:val="24"/>
          <w:szCs w:val="24"/>
        </w:rPr>
        <w:t>Journal of Clinical Investigation, 132</w:t>
      </w:r>
      <w:r w:rsidRPr="004412DA">
        <w:rPr>
          <w:rFonts w:ascii="Times New Roman" w:hAnsi="Times New Roman" w:cs="Times New Roman"/>
          <w:sz w:val="24"/>
          <w:szCs w:val="24"/>
        </w:rPr>
        <w:t>(13), e158447. doi:10.1172/JCI158447</w:t>
      </w:r>
      <w:r>
        <w:t>.</w:t>
      </w:r>
    </w:p>
    <w:p w14:paraId="724AC40D"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Rizzoli, R. (2022). "Nutritional aspects of bone health." Best Practice &amp; Research Clinical Endocrinology &amp; Metabolism, 36(2), 101607.</w:t>
      </w:r>
    </w:p>
    <w:p w14:paraId="4F406E78"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eastAsia="Times New Roman" w:hAnsi="Times New Roman" w:cs="Times New Roman"/>
          <w:color w:val="000000" w:themeColor="text1"/>
          <w:sz w:val="24"/>
          <w:szCs w:val="24"/>
          <w:lang w:eastAsia="en-IN"/>
        </w:rPr>
        <w:t>Roberfroid</w:t>
      </w:r>
      <w:proofErr w:type="spellEnd"/>
      <w:r w:rsidRPr="004412DA">
        <w:rPr>
          <w:rFonts w:ascii="Times New Roman" w:eastAsia="Times New Roman" w:hAnsi="Times New Roman" w:cs="Times New Roman"/>
          <w:color w:val="000000" w:themeColor="text1"/>
          <w:sz w:val="24"/>
          <w:szCs w:val="24"/>
          <w:lang w:eastAsia="en-IN"/>
        </w:rPr>
        <w:t xml:space="preserve">, M. B. (2000). Concepts and strategy of functional food science: The European perspective. </w:t>
      </w:r>
      <w:r w:rsidRPr="004412DA">
        <w:rPr>
          <w:rFonts w:ascii="Times New Roman" w:eastAsia="Times New Roman" w:hAnsi="Times New Roman" w:cs="Times New Roman"/>
          <w:i/>
          <w:iCs/>
          <w:color w:val="000000" w:themeColor="text1"/>
          <w:sz w:val="24"/>
          <w:szCs w:val="24"/>
          <w:lang w:eastAsia="en-IN"/>
        </w:rPr>
        <w:t>The American Journal of Clinical Nutrition</w:t>
      </w:r>
      <w:r w:rsidRPr="004412DA">
        <w:rPr>
          <w:rFonts w:ascii="Times New Roman" w:eastAsia="Times New Roman" w:hAnsi="Times New Roman" w:cs="Times New Roman"/>
          <w:color w:val="000000" w:themeColor="text1"/>
          <w:sz w:val="24"/>
          <w:szCs w:val="24"/>
          <w:lang w:eastAsia="en-IN"/>
        </w:rPr>
        <w:t>, 71(6), 1660S-1664S. doi:10.1093/</w:t>
      </w:r>
      <w:proofErr w:type="spellStart"/>
      <w:r w:rsidRPr="004412DA">
        <w:rPr>
          <w:rFonts w:ascii="Times New Roman" w:eastAsia="Times New Roman" w:hAnsi="Times New Roman" w:cs="Times New Roman"/>
          <w:color w:val="000000" w:themeColor="text1"/>
          <w:sz w:val="24"/>
          <w:szCs w:val="24"/>
          <w:lang w:eastAsia="en-IN"/>
        </w:rPr>
        <w:t>ajcn</w:t>
      </w:r>
      <w:proofErr w:type="spellEnd"/>
      <w:r w:rsidRPr="004412DA">
        <w:rPr>
          <w:rFonts w:ascii="Times New Roman" w:eastAsia="Times New Roman" w:hAnsi="Times New Roman" w:cs="Times New Roman"/>
          <w:color w:val="000000" w:themeColor="text1"/>
          <w:sz w:val="24"/>
          <w:szCs w:val="24"/>
          <w:lang w:eastAsia="en-IN"/>
        </w:rPr>
        <w:t>/71.6.1660S</w:t>
      </w:r>
    </w:p>
    <w:p w14:paraId="75DABFAB" w14:textId="693828C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Santini, A., Cammarata, S. M., Capone, G., </w:t>
      </w:r>
      <w:proofErr w:type="spellStart"/>
      <w:r w:rsidRPr="004412DA">
        <w:rPr>
          <w:rFonts w:ascii="Times New Roman" w:eastAsia="Times New Roman" w:hAnsi="Times New Roman" w:cs="Times New Roman"/>
          <w:color w:val="000000" w:themeColor="text1"/>
          <w:sz w:val="24"/>
          <w:szCs w:val="24"/>
          <w:lang w:eastAsia="en-IN"/>
        </w:rPr>
        <w:t>Polito</w:t>
      </w:r>
      <w:proofErr w:type="spellEnd"/>
      <w:r w:rsidRPr="004412DA">
        <w:rPr>
          <w:rFonts w:ascii="Times New Roman" w:eastAsia="Times New Roman" w:hAnsi="Times New Roman" w:cs="Times New Roman"/>
          <w:color w:val="000000" w:themeColor="text1"/>
          <w:sz w:val="24"/>
          <w:szCs w:val="24"/>
          <w:lang w:eastAsia="en-IN"/>
        </w:rPr>
        <w:t>, G.,</w:t>
      </w:r>
      <w:r w:rsidR="00FD6D08" w:rsidRPr="004412DA">
        <w:rPr>
          <w:rFonts w:ascii="Times New Roman" w:eastAsia="Times New Roman" w:hAnsi="Times New Roman" w:cs="Times New Roman"/>
          <w:color w:val="000000" w:themeColor="text1"/>
          <w:sz w:val="24"/>
          <w:szCs w:val="24"/>
          <w:lang w:eastAsia="en-IN"/>
        </w:rPr>
        <w:t xml:space="preserve"> </w:t>
      </w:r>
      <w:proofErr w:type="spellStart"/>
      <w:r w:rsidR="00FD6D08" w:rsidRPr="004412DA">
        <w:rPr>
          <w:rFonts w:ascii="Times New Roman" w:eastAsia="Times New Roman" w:hAnsi="Times New Roman" w:cs="Times New Roman"/>
          <w:sz w:val="24"/>
          <w:szCs w:val="24"/>
        </w:rPr>
        <w:t>Ianaro</w:t>
      </w:r>
      <w:proofErr w:type="spellEnd"/>
      <w:r w:rsidR="00FD6D08" w:rsidRPr="004412DA">
        <w:rPr>
          <w:rFonts w:ascii="Times New Roman" w:eastAsia="Times New Roman" w:hAnsi="Times New Roman" w:cs="Times New Roman"/>
          <w:sz w:val="24"/>
          <w:szCs w:val="24"/>
        </w:rPr>
        <w:t xml:space="preserve">, A., </w:t>
      </w:r>
      <w:proofErr w:type="spellStart"/>
      <w:r w:rsidR="00FD6D08" w:rsidRPr="004412DA">
        <w:rPr>
          <w:rFonts w:ascii="Times New Roman" w:eastAsia="Times New Roman" w:hAnsi="Times New Roman" w:cs="Times New Roman"/>
          <w:sz w:val="24"/>
          <w:szCs w:val="24"/>
        </w:rPr>
        <w:t>Tenore</w:t>
      </w:r>
      <w:proofErr w:type="spellEnd"/>
      <w:r w:rsidR="00FD6D08" w:rsidRPr="004412DA">
        <w:rPr>
          <w:rFonts w:ascii="Times New Roman" w:eastAsia="Times New Roman" w:hAnsi="Times New Roman" w:cs="Times New Roman"/>
          <w:sz w:val="24"/>
          <w:szCs w:val="24"/>
        </w:rPr>
        <w:t xml:space="preserve">, G., </w:t>
      </w:r>
      <w:proofErr w:type="spellStart"/>
      <w:r w:rsidR="00FD6D08" w:rsidRPr="004412DA">
        <w:rPr>
          <w:rFonts w:ascii="Times New Roman" w:eastAsia="Times New Roman" w:hAnsi="Times New Roman" w:cs="Times New Roman"/>
          <w:sz w:val="24"/>
          <w:szCs w:val="24"/>
        </w:rPr>
        <w:t>Pani</w:t>
      </w:r>
      <w:proofErr w:type="spellEnd"/>
      <w:r w:rsidR="00FD6D08" w:rsidRPr="004412DA">
        <w:rPr>
          <w:rFonts w:ascii="Times New Roman" w:eastAsia="Times New Roman" w:hAnsi="Times New Roman" w:cs="Times New Roman"/>
          <w:sz w:val="24"/>
          <w:szCs w:val="24"/>
        </w:rPr>
        <w:t>, L…</w:t>
      </w:r>
      <w:r w:rsidRPr="004412DA">
        <w:rPr>
          <w:rFonts w:ascii="Times New Roman" w:eastAsia="Times New Roman" w:hAnsi="Times New Roman" w:cs="Times New Roman"/>
          <w:color w:val="000000" w:themeColor="text1"/>
          <w:sz w:val="24"/>
          <w:szCs w:val="24"/>
          <w:lang w:eastAsia="en-IN"/>
        </w:rPr>
        <w:t>&amp; Novellino, E. (2018). "Nutraceuticals: Opening the debate for a regulatory framework." British Journal of Clinical Pharmacology, 84(4), 659-672.</w:t>
      </w:r>
    </w:p>
    <w:p w14:paraId="63F7E74C"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Seals, D. R., &amp; Melov, S. (2014). Translational </w:t>
      </w:r>
      <w:proofErr w:type="spellStart"/>
      <w:r w:rsidRPr="004412DA">
        <w:rPr>
          <w:rFonts w:ascii="Times New Roman" w:eastAsia="Times New Roman" w:hAnsi="Times New Roman" w:cs="Times New Roman"/>
          <w:color w:val="000000" w:themeColor="text1"/>
          <w:sz w:val="24"/>
          <w:szCs w:val="24"/>
          <w:lang w:eastAsia="en-IN"/>
        </w:rPr>
        <w:t>geroscience</w:t>
      </w:r>
      <w:proofErr w:type="spellEnd"/>
      <w:r w:rsidRPr="004412DA">
        <w:rPr>
          <w:rFonts w:ascii="Times New Roman" w:eastAsia="Times New Roman" w:hAnsi="Times New Roman" w:cs="Times New Roman"/>
          <w:color w:val="000000" w:themeColor="text1"/>
          <w:sz w:val="24"/>
          <w:szCs w:val="24"/>
          <w:lang w:eastAsia="en-IN"/>
        </w:rPr>
        <w:t xml:space="preserve">: Emphasizing function to achieve optimal longevity. </w:t>
      </w:r>
      <w:r w:rsidRPr="004412DA">
        <w:rPr>
          <w:rFonts w:ascii="Times New Roman" w:eastAsia="Times New Roman" w:hAnsi="Times New Roman" w:cs="Times New Roman"/>
          <w:i/>
          <w:iCs/>
          <w:color w:val="000000" w:themeColor="text1"/>
          <w:sz w:val="24"/>
          <w:szCs w:val="24"/>
          <w:lang w:eastAsia="en-IN"/>
        </w:rPr>
        <w:t>Aging</w:t>
      </w:r>
      <w:r w:rsidRPr="004412DA">
        <w:rPr>
          <w:rFonts w:ascii="Times New Roman" w:eastAsia="Times New Roman" w:hAnsi="Times New Roman" w:cs="Times New Roman"/>
          <w:color w:val="000000" w:themeColor="text1"/>
          <w:sz w:val="24"/>
          <w:szCs w:val="24"/>
          <w:lang w:eastAsia="en-IN"/>
        </w:rPr>
        <w:t>, 6(9), 718-730. doi:10.18632/aging.100694</w:t>
      </w:r>
    </w:p>
    <w:p w14:paraId="38714945"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Shahidi, F. (2009). "Nutraceuticals and functional foods: Whole versus processed foods." Trends in Food Science &amp; Technology, 20(9), 376–387.</w:t>
      </w:r>
    </w:p>
    <w:p w14:paraId="6D149CCD"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Shahidi, F. (2012). Nutraceuticals, functional foods and dietary supplements in health and disease. </w:t>
      </w:r>
      <w:r w:rsidRPr="004412DA">
        <w:rPr>
          <w:rFonts w:ascii="Times New Roman" w:eastAsia="Times New Roman" w:hAnsi="Times New Roman" w:cs="Times New Roman"/>
          <w:i/>
          <w:iCs/>
          <w:color w:val="000000" w:themeColor="text1"/>
          <w:sz w:val="24"/>
          <w:szCs w:val="24"/>
          <w:lang w:eastAsia="en-IN"/>
        </w:rPr>
        <w:t>Journal of Food and Drug Analysis</w:t>
      </w:r>
      <w:r w:rsidRPr="004412DA">
        <w:rPr>
          <w:rFonts w:ascii="Times New Roman" w:eastAsia="Times New Roman" w:hAnsi="Times New Roman" w:cs="Times New Roman"/>
          <w:color w:val="000000" w:themeColor="text1"/>
          <w:sz w:val="24"/>
          <w:szCs w:val="24"/>
          <w:lang w:eastAsia="en-IN"/>
        </w:rPr>
        <w:t xml:space="preserve">, 20(1), Article 78. </w:t>
      </w:r>
    </w:p>
    <w:p w14:paraId="7A3E0C2D" w14:textId="1BC2BDF1"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hAnsi="Times New Roman" w:cs="Times New Roman"/>
          <w:sz w:val="24"/>
          <w:szCs w:val="24"/>
        </w:rPr>
        <w:t>Roberfroid</w:t>
      </w:r>
      <w:proofErr w:type="spellEnd"/>
      <w:r w:rsidRPr="004412DA">
        <w:rPr>
          <w:rFonts w:ascii="Times New Roman" w:hAnsi="Times New Roman" w:cs="Times New Roman"/>
          <w:sz w:val="24"/>
          <w:szCs w:val="24"/>
        </w:rPr>
        <w:t xml:space="preserve">, M. B. (2000). "Prebiotics and probiotics: are they functional foods?" </w:t>
      </w:r>
      <w:r w:rsidRPr="004412DA">
        <w:rPr>
          <w:rStyle w:val="Emphasis"/>
          <w:rFonts w:ascii="Times New Roman" w:hAnsi="Times New Roman" w:cs="Times New Roman"/>
          <w:sz w:val="24"/>
          <w:szCs w:val="24"/>
        </w:rPr>
        <w:t>American Journal of Clinical Nutrition, 71</w:t>
      </w:r>
      <w:r w:rsidRPr="004412DA">
        <w:rPr>
          <w:rFonts w:ascii="Times New Roman" w:hAnsi="Times New Roman" w:cs="Times New Roman"/>
          <w:sz w:val="24"/>
          <w:szCs w:val="24"/>
        </w:rPr>
        <w:t>(6), 1682S-1687S.</w:t>
      </w:r>
    </w:p>
    <w:p w14:paraId="375716BC"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eastAsia="Times New Roman" w:hAnsi="Times New Roman" w:cs="Times New Roman"/>
          <w:color w:val="000000" w:themeColor="text1"/>
          <w:sz w:val="24"/>
          <w:szCs w:val="24"/>
          <w:lang w:eastAsia="en-IN"/>
        </w:rPr>
        <w:t>Sies</w:t>
      </w:r>
      <w:proofErr w:type="spellEnd"/>
      <w:r w:rsidRPr="004412DA">
        <w:rPr>
          <w:rFonts w:ascii="Times New Roman" w:eastAsia="Times New Roman" w:hAnsi="Times New Roman" w:cs="Times New Roman"/>
          <w:color w:val="000000" w:themeColor="text1"/>
          <w:sz w:val="24"/>
          <w:szCs w:val="24"/>
          <w:lang w:eastAsia="en-IN"/>
        </w:rPr>
        <w:t>, H., Berndt, C., &amp; Jones, D. P. (2017). "Oxidative stress." Annual Review of Biochemistry, 86, 715-748.</w:t>
      </w:r>
    </w:p>
    <w:p w14:paraId="230FF514" w14:textId="77777777"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4412DA">
        <w:rPr>
          <w:rFonts w:ascii="Times New Roman" w:eastAsia="Times New Roman" w:hAnsi="Times New Roman" w:cs="Times New Roman"/>
          <w:color w:val="000000" w:themeColor="text1"/>
          <w:sz w:val="24"/>
          <w:szCs w:val="24"/>
          <w:lang w:eastAsia="en-IN"/>
        </w:rPr>
        <w:t xml:space="preserve">Sun, N., </w:t>
      </w:r>
      <w:proofErr w:type="spellStart"/>
      <w:r w:rsidRPr="004412DA">
        <w:rPr>
          <w:rFonts w:ascii="Times New Roman" w:eastAsia="Times New Roman" w:hAnsi="Times New Roman" w:cs="Times New Roman"/>
          <w:color w:val="000000" w:themeColor="text1"/>
          <w:sz w:val="24"/>
          <w:szCs w:val="24"/>
          <w:lang w:eastAsia="en-IN"/>
        </w:rPr>
        <w:t>Youle</w:t>
      </w:r>
      <w:proofErr w:type="spellEnd"/>
      <w:r w:rsidRPr="004412DA">
        <w:rPr>
          <w:rFonts w:ascii="Times New Roman" w:eastAsia="Times New Roman" w:hAnsi="Times New Roman" w:cs="Times New Roman"/>
          <w:color w:val="000000" w:themeColor="text1"/>
          <w:sz w:val="24"/>
          <w:szCs w:val="24"/>
          <w:lang w:eastAsia="en-IN"/>
        </w:rPr>
        <w:t xml:space="preserve">, R. J., &amp; Finkel, T. (2016). "The mitochondrial basis of aging." </w:t>
      </w:r>
      <w:r w:rsidRPr="004412DA">
        <w:rPr>
          <w:rFonts w:ascii="Times New Roman" w:eastAsia="Times New Roman" w:hAnsi="Times New Roman" w:cs="Times New Roman"/>
          <w:i/>
          <w:iCs/>
          <w:color w:val="000000" w:themeColor="text1"/>
          <w:sz w:val="24"/>
          <w:szCs w:val="24"/>
          <w:lang w:eastAsia="en-IN"/>
        </w:rPr>
        <w:t>Molecular Cell, 61</w:t>
      </w:r>
      <w:r w:rsidRPr="004412DA">
        <w:rPr>
          <w:rFonts w:ascii="Times New Roman" w:eastAsia="Times New Roman" w:hAnsi="Times New Roman" w:cs="Times New Roman"/>
          <w:color w:val="000000" w:themeColor="text1"/>
          <w:sz w:val="24"/>
          <w:szCs w:val="24"/>
          <w:lang w:eastAsia="en-IN"/>
        </w:rPr>
        <w:t>(5), 654-666.</w:t>
      </w:r>
    </w:p>
    <w:p w14:paraId="6DD7ADD5" w14:textId="4C0538FD" w:rsidR="00A7524C" w:rsidRPr="004412DA" w:rsidRDefault="00A7524C"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hAnsi="Times New Roman" w:cs="Times New Roman"/>
          <w:sz w:val="24"/>
          <w:szCs w:val="24"/>
        </w:rPr>
        <w:t>AlAli</w:t>
      </w:r>
      <w:proofErr w:type="spellEnd"/>
      <w:r w:rsidRPr="004412DA">
        <w:rPr>
          <w:rFonts w:ascii="Times New Roman" w:hAnsi="Times New Roman" w:cs="Times New Roman"/>
          <w:sz w:val="24"/>
          <w:szCs w:val="24"/>
        </w:rPr>
        <w:t xml:space="preserve">, M., </w:t>
      </w:r>
      <w:proofErr w:type="spellStart"/>
      <w:r w:rsidRPr="004412DA">
        <w:rPr>
          <w:rFonts w:ascii="Times New Roman" w:hAnsi="Times New Roman" w:cs="Times New Roman"/>
          <w:sz w:val="24"/>
          <w:szCs w:val="24"/>
        </w:rPr>
        <w:t>Alqubaisy</w:t>
      </w:r>
      <w:proofErr w:type="spellEnd"/>
      <w:r w:rsidRPr="004412DA">
        <w:rPr>
          <w:rFonts w:ascii="Times New Roman" w:hAnsi="Times New Roman" w:cs="Times New Roman"/>
          <w:sz w:val="24"/>
          <w:szCs w:val="24"/>
        </w:rPr>
        <w:t xml:space="preserve">, M., </w:t>
      </w:r>
      <w:proofErr w:type="spellStart"/>
      <w:r w:rsidRPr="004412DA">
        <w:rPr>
          <w:rFonts w:ascii="Times New Roman" w:hAnsi="Times New Roman" w:cs="Times New Roman"/>
          <w:sz w:val="24"/>
          <w:szCs w:val="24"/>
        </w:rPr>
        <w:t>Aljaafari</w:t>
      </w:r>
      <w:proofErr w:type="spellEnd"/>
      <w:r w:rsidRPr="004412DA">
        <w:rPr>
          <w:rFonts w:ascii="Times New Roman" w:hAnsi="Times New Roman" w:cs="Times New Roman"/>
          <w:sz w:val="24"/>
          <w:szCs w:val="24"/>
        </w:rPr>
        <w:t xml:space="preserve">, M. N., et al. (2021). "Nutraceuticals: Transformation of conventional foods into health promoters/disease preventers and safety considerations." </w:t>
      </w:r>
      <w:r w:rsidRPr="004412DA">
        <w:rPr>
          <w:rStyle w:val="Emphasis"/>
          <w:rFonts w:ascii="Times New Roman" w:hAnsi="Times New Roman" w:cs="Times New Roman"/>
          <w:sz w:val="24"/>
          <w:szCs w:val="24"/>
        </w:rPr>
        <w:t>Molecules, 26</w:t>
      </w:r>
      <w:r w:rsidRPr="004412DA">
        <w:rPr>
          <w:rFonts w:ascii="Times New Roman" w:hAnsi="Times New Roman" w:cs="Times New Roman"/>
          <w:sz w:val="24"/>
          <w:szCs w:val="24"/>
        </w:rPr>
        <w:t>(9), 2540.</w:t>
      </w:r>
    </w:p>
    <w:p w14:paraId="60497F54" w14:textId="4DB462E9"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eastAsia="Times New Roman" w:hAnsi="Times New Roman" w:cs="Times New Roman"/>
          <w:color w:val="000000" w:themeColor="text1"/>
          <w:sz w:val="24"/>
          <w:szCs w:val="24"/>
          <w:lang w:eastAsia="en-IN"/>
        </w:rPr>
        <w:t>Tresserra-Rimbau</w:t>
      </w:r>
      <w:proofErr w:type="spellEnd"/>
      <w:r w:rsidRPr="004412DA">
        <w:rPr>
          <w:rFonts w:ascii="Times New Roman" w:eastAsia="Times New Roman" w:hAnsi="Times New Roman" w:cs="Times New Roman"/>
          <w:color w:val="000000" w:themeColor="text1"/>
          <w:sz w:val="24"/>
          <w:szCs w:val="24"/>
          <w:lang w:eastAsia="en-IN"/>
        </w:rPr>
        <w:t>, A., Rimm, E. B., Medina-Remón, A., Martínez-González, M. A., De la Torre, R., Corella, D., ...</w:t>
      </w:r>
      <w:r w:rsidR="00FD6D08" w:rsidRPr="004412DA">
        <w:rPr>
          <w:rFonts w:ascii="Times New Roman" w:eastAsia="Times New Roman" w:hAnsi="Times New Roman" w:cs="Times New Roman"/>
          <w:color w:val="000000" w:themeColor="text1"/>
          <w:sz w:val="24"/>
          <w:szCs w:val="24"/>
          <w:lang w:eastAsia="en-IN"/>
        </w:rPr>
        <w:t xml:space="preserve"> &amp; </w:t>
      </w:r>
      <w:proofErr w:type="spellStart"/>
      <w:r w:rsidR="00FD6D08" w:rsidRPr="004412DA">
        <w:rPr>
          <w:rFonts w:ascii="Times New Roman" w:eastAsia="Times New Roman" w:hAnsi="Times New Roman" w:cs="Times New Roman"/>
          <w:color w:val="000000" w:themeColor="text1"/>
          <w:sz w:val="24"/>
          <w:szCs w:val="24"/>
          <w:lang w:eastAsia="en-IN"/>
        </w:rPr>
        <w:t>Lamuela-Raventós</w:t>
      </w:r>
      <w:proofErr w:type="spellEnd"/>
      <w:r w:rsidR="00FD6D08" w:rsidRPr="004412DA">
        <w:rPr>
          <w:rFonts w:ascii="Times New Roman" w:eastAsia="Times New Roman" w:hAnsi="Times New Roman" w:cs="Times New Roman"/>
          <w:color w:val="000000" w:themeColor="text1"/>
          <w:sz w:val="24"/>
          <w:szCs w:val="24"/>
          <w:lang w:eastAsia="en-IN"/>
        </w:rPr>
        <w:t>, R. M. (2014</w:t>
      </w:r>
      <w:r w:rsidRPr="004412DA">
        <w:rPr>
          <w:rFonts w:ascii="Times New Roman" w:eastAsia="Times New Roman" w:hAnsi="Times New Roman" w:cs="Times New Roman"/>
          <w:color w:val="000000" w:themeColor="text1"/>
          <w:sz w:val="24"/>
          <w:szCs w:val="24"/>
          <w:lang w:eastAsia="en-IN"/>
        </w:rPr>
        <w:t>). "Polyphenol intake and mortality risk: A re-analysis of the PREDIMED trial." BMC Medicine, 16(1), 77.</w:t>
      </w:r>
    </w:p>
    <w:p w14:paraId="7EA6AF86" w14:textId="27D2356A" w:rsidR="009644B7" w:rsidRPr="004412DA" w:rsidRDefault="009644B7" w:rsidP="004412DA">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4412DA">
        <w:rPr>
          <w:rFonts w:ascii="Times New Roman" w:eastAsia="Times New Roman" w:hAnsi="Times New Roman" w:cs="Times New Roman"/>
          <w:color w:val="000000" w:themeColor="text1"/>
          <w:sz w:val="24"/>
          <w:szCs w:val="24"/>
          <w:lang w:eastAsia="en-IN"/>
        </w:rPr>
        <w:t>Vauzour</w:t>
      </w:r>
      <w:proofErr w:type="spellEnd"/>
      <w:r w:rsidRPr="004412DA">
        <w:rPr>
          <w:rFonts w:ascii="Times New Roman" w:eastAsia="Times New Roman" w:hAnsi="Times New Roman" w:cs="Times New Roman"/>
          <w:color w:val="000000" w:themeColor="text1"/>
          <w:sz w:val="24"/>
          <w:szCs w:val="24"/>
          <w:lang w:eastAsia="en-IN"/>
        </w:rPr>
        <w:t xml:space="preserve">, D., </w:t>
      </w:r>
      <w:proofErr w:type="spellStart"/>
      <w:r w:rsidRPr="004412DA">
        <w:rPr>
          <w:rFonts w:ascii="Times New Roman" w:eastAsia="Times New Roman" w:hAnsi="Times New Roman" w:cs="Times New Roman"/>
          <w:color w:val="000000" w:themeColor="text1"/>
          <w:sz w:val="24"/>
          <w:szCs w:val="24"/>
          <w:lang w:eastAsia="en-IN"/>
        </w:rPr>
        <w:t>Vafeiadou</w:t>
      </w:r>
      <w:proofErr w:type="spellEnd"/>
      <w:r w:rsidRPr="004412DA">
        <w:rPr>
          <w:rFonts w:ascii="Times New Roman" w:eastAsia="Times New Roman" w:hAnsi="Times New Roman" w:cs="Times New Roman"/>
          <w:color w:val="000000" w:themeColor="text1"/>
          <w:sz w:val="24"/>
          <w:szCs w:val="24"/>
          <w:lang w:eastAsia="en-IN"/>
        </w:rPr>
        <w:t>, K., Rodriguez-Mateos, A., Rend</w:t>
      </w:r>
      <w:r w:rsidR="00FD6D08" w:rsidRPr="004412DA">
        <w:rPr>
          <w:rFonts w:ascii="Times New Roman" w:eastAsia="Times New Roman" w:hAnsi="Times New Roman" w:cs="Times New Roman"/>
          <w:color w:val="000000" w:themeColor="text1"/>
          <w:sz w:val="24"/>
          <w:szCs w:val="24"/>
          <w:lang w:eastAsia="en-IN"/>
        </w:rPr>
        <w:t>eiro, C., &amp; Spencer, J. P. (2008</w:t>
      </w:r>
      <w:r w:rsidRPr="004412DA">
        <w:rPr>
          <w:rFonts w:ascii="Times New Roman" w:eastAsia="Times New Roman" w:hAnsi="Times New Roman" w:cs="Times New Roman"/>
          <w:color w:val="000000" w:themeColor="text1"/>
          <w:sz w:val="24"/>
          <w:szCs w:val="24"/>
          <w:lang w:eastAsia="en-IN"/>
        </w:rPr>
        <w:t>). "The neuroprote</w:t>
      </w:r>
      <w:r w:rsidR="00FD6D08" w:rsidRPr="004412DA">
        <w:rPr>
          <w:rFonts w:ascii="Times New Roman" w:eastAsia="Times New Roman" w:hAnsi="Times New Roman" w:cs="Times New Roman"/>
          <w:color w:val="000000" w:themeColor="text1"/>
          <w:sz w:val="24"/>
          <w:szCs w:val="24"/>
          <w:lang w:eastAsia="en-IN"/>
        </w:rPr>
        <w:t>ctive potential of flavonoids: a</w:t>
      </w:r>
      <w:r w:rsidRPr="004412DA">
        <w:rPr>
          <w:rFonts w:ascii="Times New Roman" w:eastAsia="Times New Roman" w:hAnsi="Times New Roman" w:cs="Times New Roman"/>
          <w:color w:val="000000" w:themeColor="text1"/>
          <w:sz w:val="24"/>
          <w:szCs w:val="24"/>
          <w:lang w:eastAsia="en-IN"/>
        </w:rPr>
        <w:t xml:space="preserve"> multiplicity of effects." Genes &amp; Nutrition, 12(1), 4.</w:t>
      </w:r>
    </w:p>
    <w:bookmarkEnd w:id="1"/>
    <w:p w14:paraId="73593228" w14:textId="77777777" w:rsidR="00C85710" w:rsidRDefault="00C85710"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
    <w:p w14:paraId="5BA8AB1A" w14:textId="77777777" w:rsidR="009644B7" w:rsidRPr="00D32326" w:rsidRDefault="009644B7" w:rsidP="009644B7">
      <w:pPr>
        <w:spacing w:line="360" w:lineRule="auto"/>
        <w:ind w:hanging="436"/>
        <w:jc w:val="both"/>
        <w:rPr>
          <w:rFonts w:ascii="Times New Roman" w:eastAsia="Times New Roman" w:hAnsi="Times New Roman" w:cs="Times New Roman"/>
          <w:color w:val="000000" w:themeColor="text1"/>
          <w:sz w:val="24"/>
          <w:szCs w:val="24"/>
          <w:lang w:eastAsia="en-IN"/>
        </w:rPr>
      </w:pPr>
    </w:p>
    <w:p w14:paraId="70B8F55C" w14:textId="77777777" w:rsidR="009644B7" w:rsidRPr="00D32326" w:rsidRDefault="009644B7" w:rsidP="009644B7">
      <w:pPr>
        <w:spacing w:line="360" w:lineRule="auto"/>
        <w:jc w:val="both"/>
        <w:rPr>
          <w:rFonts w:ascii="Times New Roman" w:hAnsi="Times New Roman" w:cs="Times New Roman"/>
          <w:color w:val="000000" w:themeColor="text1"/>
          <w:sz w:val="24"/>
          <w:szCs w:val="24"/>
          <w:lang w:val="en-US"/>
        </w:rPr>
      </w:pPr>
    </w:p>
    <w:p w14:paraId="680D00B9" w14:textId="77777777" w:rsidR="009644B7" w:rsidRPr="00D32326" w:rsidRDefault="009644B7" w:rsidP="00171A4D">
      <w:pPr>
        <w:spacing w:before="100" w:beforeAutospacing="1" w:after="100" w:afterAutospacing="1" w:line="276" w:lineRule="auto"/>
        <w:jc w:val="both"/>
        <w:outlineLvl w:val="2"/>
        <w:rPr>
          <w:rFonts w:ascii="Times New Roman" w:eastAsia="Times New Roman" w:hAnsi="Times New Roman" w:cs="Times New Roman"/>
          <w:color w:val="000000" w:themeColor="text1"/>
          <w:sz w:val="24"/>
          <w:szCs w:val="24"/>
          <w:lang w:eastAsia="en-IN"/>
        </w:rPr>
      </w:pPr>
    </w:p>
    <w:sectPr w:rsidR="009644B7" w:rsidRPr="00D3232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10300" w14:textId="77777777" w:rsidR="00CC461A" w:rsidRDefault="00CC461A" w:rsidP="004E69BB">
      <w:pPr>
        <w:spacing w:after="0" w:line="240" w:lineRule="auto"/>
      </w:pPr>
      <w:r>
        <w:separator/>
      </w:r>
    </w:p>
  </w:endnote>
  <w:endnote w:type="continuationSeparator" w:id="0">
    <w:p w14:paraId="5B4302F1" w14:textId="77777777" w:rsidR="00CC461A" w:rsidRDefault="00CC461A" w:rsidP="004E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2B30" w14:textId="77777777" w:rsidR="004E69BB" w:rsidRDefault="004E6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1A665" w14:textId="77777777" w:rsidR="004E69BB" w:rsidRDefault="004E6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3C63" w14:textId="77777777" w:rsidR="004E69BB" w:rsidRDefault="004E6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651D0" w14:textId="77777777" w:rsidR="00CC461A" w:rsidRDefault="00CC461A" w:rsidP="004E69BB">
      <w:pPr>
        <w:spacing w:after="0" w:line="240" w:lineRule="auto"/>
      </w:pPr>
      <w:r>
        <w:separator/>
      </w:r>
    </w:p>
  </w:footnote>
  <w:footnote w:type="continuationSeparator" w:id="0">
    <w:p w14:paraId="5BC2478A" w14:textId="77777777" w:rsidR="00CC461A" w:rsidRDefault="00CC461A" w:rsidP="004E6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D0EE" w14:textId="676B139E" w:rsidR="004E69BB" w:rsidRDefault="00CC461A">
    <w:pPr>
      <w:pStyle w:val="Header"/>
    </w:pPr>
    <w:r>
      <w:rPr>
        <w:noProof/>
      </w:rPr>
      <w:pict w14:anchorId="40325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09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F9FB5" w14:textId="7280271B" w:rsidR="004E69BB" w:rsidRDefault="00CC461A">
    <w:pPr>
      <w:pStyle w:val="Header"/>
    </w:pPr>
    <w:r>
      <w:rPr>
        <w:noProof/>
      </w:rPr>
      <w:pict w14:anchorId="13104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09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61C0" w14:textId="613FE9D6" w:rsidR="004E69BB" w:rsidRDefault="00CC461A">
    <w:pPr>
      <w:pStyle w:val="Header"/>
    </w:pPr>
    <w:r>
      <w:rPr>
        <w:noProof/>
      </w:rPr>
      <w:pict w14:anchorId="4FE36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09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E01"/>
    <w:multiLevelType w:val="hybridMultilevel"/>
    <w:tmpl w:val="D5967D6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D02047"/>
    <w:multiLevelType w:val="hybridMultilevel"/>
    <w:tmpl w:val="E376AA3A"/>
    <w:lvl w:ilvl="0" w:tplc="CC88120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846E42"/>
    <w:multiLevelType w:val="multilevel"/>
    <w:tmpl w:val="3424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93994"/>
    <w:multiLevelType w:val="hybridMultilevel"/>
    <w:tmpl w:val="E578D7CC"/>
    <w:lvl w:ilvl="0" w:tplc="B772048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614C03"/>
    <w:multiLevelType w:val="hybridMultilevel"/>
    <w:tmpl w:val="C76E4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284983"/>
    <w:multiLevelType w:val="hybridMultilevel"/>
    <w:tmpl w:val="BF26CA0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2431695"/>
    <w:multiLevelType w:val="hybridMultilevel"/>
    <w:tmpl w:val="07B2AEE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982128B"/>
    <w:multiLevelType w:val="hybridMultilevel"/>
    <w:tmpl w:val="03E47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095923"/>
    <w:multiLevelType w:val="multilevel"/>
    <w:tmpl w:val="AAF2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656596"/>
    <w:multiLevelType w:val="multilevel"/>
    <w:tmpl w:val="06822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5F6158"/>
    <w:multiLevelType w:val="multilevel"/>
    <w:tmpl w:val="8EFE07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0C1A47"/>
    <w:multiLevelType w:val="hybridMultilevel"/>
    <w:tmpl w:val="8C6EF58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4117565"/>
    <w:multiLevelType w:val="hybridMultilevel"/>
    <w:tmpl w:val="EFE49B3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797D72"/>
    <w:multiLevelType w:val="hybridMultilevel"/>
    <w:tmpl w:val="CB5E686A"/>
    <w:lvl w:ilvl="0" w:tplc="40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5A3C7B27"/>
    <w:multiLevelType w:val="hybridMultilevel"/>
    <w:tmpl w:val="B512E6B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C4C170A"/>
    <w:multiLevelType w:val="multilevel"/>
    <w:tmpl w:val="058C4D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E74C01"/>
    <w:multiLevelType w:val="hybridMultilevel"/>
    <w:tmpl w:val="F4CCBF4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690943B5"/>
    <w:multiLevelType w:val="multilevel"/>
    <w:tmpl w:val="DCEA991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12537E"/>
    <w:multiLevelType w:val="multilevel"/>
    <w:tmpl w:val="9876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537995"/>
    <w:multiLevelType w:val="hybridMultilevel"/>
    <w:tmpl w:val="5396167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E143362"/>
    <w:multiLevelType w:val="hybridMultilevel"/>
    <w:tmpl w:val="9BB4F9D6"/>
    <w:lvl w:ilvl="0" w:tplc="2E20F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090AB4"/>
    <w:multiLevelType w:val="hybridMultilevel"/>
    <w:tmpl w:val="CD920290"/>
    <w:lvl w:ilvl="0" w:tplc="40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70BD4439"/>
    <w:multiLevelType w:val="hybridMultilevel"/>
    <w:tmpl w:val="B6740C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17E3572"/>
    <w:multiLevelType w:val="multilevel"/>
    <w:tmpl w:val="AAF2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9469D6"/>
    <w:multiLevelType w:val="multilevel"/>
    <w:tmpl w:val="E8AA63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7E75B7"/>
    <w:multiLevelType w:val="hybridMultilevel"/>
    <w:tmpl w:val="65609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0"/>
  </w:num>
  <w:num w:numId="4">
    <w:abstractNumId w:val="15"/>
  </w:num>
  <w:num w:numId="5">
    <w:abstractNumId w:val="9"/>
  </w:num>
  <w:num w:numId="6">
    <w:abstractNumId w:val="17"/>
  </w:num>
  <w:num w:numId="7">
    <w:abstractNumId w:val="8"/>
  </w:num>
  <w:num w:numId="8">
    <w:abstractNumId w:val="23"/>
  </w:num>
  <w:num w:numId="9">
    <w:abstractNumId w:val="2"/>
  </w:num>
  <w:num w:numId="10">
    <w:abstractNumId w:val="25"/>
  </w:num>
  <w:num w:numId="11">
    <w:abstractNumId w:val="14"/>
  </w:num>
  <w:num w:numId="12">
    <w:abstractNumId w:val="3"/>
  </w:num>
  <w:num w:numId="13">
    <w:abstractNumId w:val="19"/>
  </w:num>
  <w:num w:numId="14">
    <w:abstractNumId w:val="12"/>
  </w:num>
  <w:num w:numId="15">
    <w:abstractNumId w:val="0"/>
  </w:num>
  <w:num w:numId="16">
    <w:abstractNumId w:val="6"/>
  </w:num>
  <w:num w:numId="17">
    <w:abstractNumId w:val="13"/>
  </w:num>
  <w:num w:numId="18">
    <w:abstractNumId w:val="21"/>
  </w:num>
  <w:num w:numId="19">
    <w:abstractNumId w:val="11"/>
  </w:num>
  <w:num w:numId="20">
    <w:abstractNumId w:val="5"/>
  </w:num>
  <w:num w:numId="21">
    <w:abstractNumId w:val="16"/>
  </w:num>
  <w:num w:numId="22">
    <w:abstractNumId w:val="22"/>
  </w:num>
  <w:num w:numId="23">
    <w:abstractNumId w:val="1"/>
  </w:num>
  <w:num w:numId="24">
    <w:abstractNumId w:val="4"/>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57F"/>
    <w:rsid w:val="00000C48"/>
    <w:rsid w:val="00035E57"/>
    <w:rsid w:val="000551E5"/>
    <w:rsid w:val="00055F58"/>
    <w:rsid w:val="0006306E"/>
    <w:rsid w:val="000841F0"/>
    <w:rsid w:val="000847DB"/>
    <w:rsid w:val="000914B9"/>
    <w:rsid w:val="0009768E"/>
    <w:rsid w:val="000A1EA8"/>
    <w:rsid w:val="000C20C5"/>
    <w:rsid w:val="000C7833"/>
    <w:rsid w:val="00115724"/>
    <w:rsid w:val="001253D8"/>
    <w:rsid w:val="00132AE8"/>
    <w:rsid w:val="00157B70"/>
    <w:rsid w:val="00171A4D"/>
    <w:rsid w:val="001827C0"/>
    <w:rsid w:val="00191462"/>
    <w:rsid w:val="001A0242"/>
    <w:rsid w:val="001A3301"/>
    <w:rsid w:val="001A6339"/>
    <w:rsid w:val="001F68EE"/>
    <w:rsid w:val="001F6B16"/>
    <w:rsid w:val="00207614"/>
    <w:rsid w:val="00243079"/>
    <w:rsid w:val="00253210"/>
    <w:rsid w:val="00266C39"/>
    <w:rsid w:val="002C674E"/>
    <w:rsid w:val="002F757F"/>
    <w:rsid w:val="00332358"/>
    <w:rsid w:val="0035531A"/>
    <w:rsid w:val="00364425"/>
    <w:rsid w:val="00374F84"/>
    <w:rsid w:val="00384971"/>
    <w:rsid w:val="003917A1"/>
    <w:rsid w:val="003F2F09"/>
    <w:rsid w:val="003F57E3"/>
    <w:rsid w:val="00407FC2"/>
    <w:rsid w:val="00410EC5"/>
    <w:rsid w:val="00433293"/>
    <w:rsid w:val="004412DA"/>
    <w:rsid w:val="00451F48"/>
    <w:rsid w:val="00452AEB"/>
    <w:rsid w:val="004626C0"/>
    <w:rsid w:val="00476034"/>
    <w:rsid w:val="00486892"/>
    <w:rsid w:val="00487AB6"/>
    <w:rsid w:val="004D617A"/>
    <w:rsid w:val="004E69BB"/>
    <w:rsid w:val="005070BB"/>
    <w:rsid w:val="005246E7"/>
    <w:rsid w:val="005441C4"/>
    <w:rsid w:val="005444BB"/>
    <w:rsid w:val="0057253E"/>
    <w:rsid w:val="00591601"/>
    <w:rsid w:val="005A6B55"/>
    <w:rsid w:val="005B36ED"/>
    <w:rsid w:val="005B782D"/>
    <w:rsid w:val="00613201"/>
    <w:rsid w:val="00621260"/>
    <w:rsid w:val="006520D4"/>
    <w:rsid w:val="00662265"/>
    <w:rsid w:val="006670A3"/>
    <w:rsid w:val="006966C3"/>
    <w:rsid w:val="006A15F1"/>
    <w:rsid w:val="006F7820"/>
    <w:rsid w:val="007418D1"/>
    <w:rsid w:val="00754004"/>
    <w:rsid w:val="00757794"/>
    <w:rsid w:val="007651FE"/>
    <w:rsid w:val="00766BCA"/>
    <w:rsid w:val="007748C5"/>
    <w:rsid w:val="00786D06"/>
    <w:rsid w:val="007A5DD2"/>
    <w:rsid w:val="007C57C2"/>
    <w:rsid w:val="007D638E"/>
    <w:rsid w:val="00844B66"/>
    <w:rsid w:val="008579C9"/>
    <w:rsid w:val="00905A13"/>
    <w:rsid w:val="00907119"/>
    <w:rsid w:val="009376EF"/>
    <w:rsid w:val="00960B2B"/>
    <w:rsid w:val="009610B4"/>
    <w:rsid w:val="00962DD4"/>
    <w:rsid w:val="009644B7"/>
    <w:rsid w:val="00986573"/>
    <w:rsid w:val="009B5D14"/>
    <w:rsid w:val="009B7E4C"/>
    <w:rsid w:val="009C1CB2"/>
    <w:rsid w:val="009C59EC"/>
    <w:rsid w:val="009F27B2"/>
    <w:rsid w:val="009F7192"/>
    <w:rsid w:val="00A31B83"/>
    <w:rsid w:val="00A35510"/>
    <w:rsid w:val="00A568E0"/>
    <w:rsid w:val="00A74447"/>
    <w:rsid w:val="00A7524C"/>
    <w:rsid w:val="00A875ED"/>
    <w:rsid w:val="00A97890"/>
    <w:rsid w:val="00AD57F0"/>
    <w:rsid w:val="00B2446A"/>
    <w:rsid w:val="00B31666"/>
    <w:rsid w:val="00B4787A"/>
    <w:rsid w:val="00B62766"/>
    <w:rsid w:val="00B6376B"/>
    <w:rsid w:val="00B92BD4"/>
    <w:rsid w:val="00BD707E"/>
    <w:rsid w:val="00BE3724"/>
    <w:rsid w:val="00BE7024"/>
    <w:rsid w:val="00C50DD6"/>
    <w:rsid w:val="00C546C9"/>
    <w:rsid w:val="00C85710"/>
    <w:rsid w:val="00C9451B"/>
    <w:rsid w:val="00CA1E0A"/>
    <w:rsid w:val="00CB43FE"/>
    <w:rsid w:val="00CC461A"/>
    <w:rsid w:val="00D25325"/>
    <w:rsid w:val="00D32326"/>
    <w:rsid w:val="00D37C40"/>
    <w:rsid w:val="00D6384D"/>
    <w:rsid w:val="00D82663"/>
    <w:rsid w:val="00D861F5"/>
    <w:rsid w:val="00D94210"/>
    <w:rsid w:val="00D96D88"/>
    <w:rsid w:val="00DA4420"/>
    <w:rsid w:val="00DD621E"/>
    <w:rsid w:val="00DE2615"/>
    <w:rsid w:val="00E059E2"/>
    <w:rsid w:val="00E067D5"/>
    <w:rsid w:val="00E47E06"/>
    <w:rsid w:val="00E52DAD"/>
    <w:rsid w:val="00E54EAE"/>
    <w:rsid w:val="00E65170"/>
    <w:rsid w:val="00E73642"/>
    <w:rsid w:val="00E7518F"/>
    <w:rsid w:val="00E86BDB"/>
    <w:rsid w:val="00EB28E7"/>
    <w:rsid w:val="00ED2FC1"/>
    <w:rsid w:val="00EE68FE"/>
    <w:rsid w:val="00EF1773"/>
    <w:rsid w:val="00F02C2A"/>
    <w:rsid w:val="00F16F0B"/>
    <w:rsid w:val="00F227D6"/>
    <w:rsid w:val="00F45FAF"/>
    <w:rsid w:val="00F64FA7"/>
    <w:rsid w:val="00FA3F19"/>
    <w:rsid w:val="00FA7F86"/>
    <w:rsid w:val="00FB54F1"/>
    <w:rsid w:val="00FD2705"/>
    <w:rsid w:val="00FD6D08"/>
    <w:rsid w:val="00FF323B"/>
    <w:rsid w:val="00FF5C6C"/>
    <w:rsid w:val="00FF616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C2308"/>
  <w15:docId w15:val="{F8681234-5BEE-4D92-B0EC-44D83A1B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F16F0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307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F16F0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F16F0B"/>
    <w:rPr>
      <w:b/>
      <w:bCs/>
    </w:rPr>
  </w:style>
  <w:style w:type="character" w:styleId="Emphasis">
    <w:name w:val="Emphasis"/>
    <w:basedOn w:val="DefaultParagraphFont"/>
    <w:uiPriority w:val="20"/>
    <w:qFormat/>
    <w:rsid w:val="00F16F0B"/>
    <w:rPr>
      <w:i/>
      <w:iCs/>
    </w:rPr>
  </w:style>
  <w:style w:type="table" w:styleId="TableGrid">
    <w:name w:val="Table Grid"/>
    <w:basedOn w:val="TableNormal"/>
    <w:uiPriority w:val="39"/>
    <w:rsid w:val="00374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74F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74F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2446A"/>
    <w:pPr>
      <w:ind w:left="720"/>
      <w:contextualSpacing/>
    </w:pPr>
  </w:style>
  <w:style w:type="paragraph" w:styleId="NoSpacing">
    <w:name w:val="No Spacing"/>
    <w:uiPriority w:val="1"/>
    <w:qFormat/>
    <w:rsid w:val="009F7192"/>
    <w:pPr>
      <w:spacing w:after="0" w:line="240" w:lineRule="auto"/>
    </w:pPr>
  </w:style>
  <w:style w:type="character" w:styleId="Hyperlink">
    <w:name w:val="Hyperlink"/>
    <w:basedOn w:val="DefaultParagraphFont"/>
    <w:uiPriority w:val="99"/>
    <w:unhideWhenUsed/>
    <w:rsid w:val="000551E5"/>
    <w:rPr>
      <w:color w:val="0563C1" w:themeColor="hyperlink"/>
      <w:u w:val="single"/>
    </w:rPr>
  </w:style>
  <w:style w:type="character" w:customStyle="1" w:styleId="UnresolvedMention1">
    <w:name w:val="Unresolved Mention1"/>
    <w:basedOn w:val="DefaultParagraphFont"/>
    <w:uiPriority w:val="99"/>
    <w:semiHidden/>
    <w:unhideWhenUsed/>
    <w:rsid w:val="000551E5"/>
    <w:rPr>
      <w:color w:val="605E5C"/>
      <w:shd w:val="clear" w:color="auto" w:fill="E1DFDD"/>
    </w:rPr>
  </w:style>
  <w:style w:type="paragraph" w:styleId="Header">
    <w:name w:val="header"/>
    <w:basedOn w:val="Normal"/>
    <w:link w:val="HeaderChar"/>
    <w:uiPriority w:val="99"/>
    <w:unhideWhenUsed/>
    <w:rsid w:val="004E6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9BB"/>
  </w:style>
  <w:style w:type="paragraph" w:styleId="Footer">
    <w:name w:val="footer"/>
    <w:basedOn w:val="Normal"/>
    <w:link w:val="FooterChar"/>
    <w:uiPriority w:val="99"/>
    <w:unhideWhenUsed/>
    <w:rsid w:val="004E6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9BB"/>
  </w:style>
  <w:style w:type="paragraph" w:styleId="BalloonText">
    <w:name w:val="Balloon Text"/>
    <w:basedOn w:val="Normal"/>
    <w:link w:val="BalloonTextChar"/>
    <w:uiPriority w:val="99"/>
    <w:semiHidden/>
    <w:unhideWhenUsed/>
    <w:rsid w:val="005B7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8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846">
      <w:bodyDiv w:val="1"/>
      <w:marLeft w:val="0"/>
      <w:marRight w:val="0"/>
      <w:marTop w:val="0"/>
      <w:marBottom w:val="0"/>
      <w:divBdr>
        <w:top w:val="none" w:sz="0" w:space="0" w:color="auto"/>
        <w:left w:val="none" w:sz="0" w:space="0" w:color="auto"/>
        <w:bottom w:val="none" w:sz="0" w:space="0" w:color="auto"/>
        <w:right w:val="none" w:sz="0" w:space="0" w:color="auto"/>
      </w:divBdr>
    </w:div>
    <w:div w:id="130634595">
      <w:bodyDiv w:val="1"/>
      <w:marLeft w:val="0"/>
      <w:marRight w:val="0"/>
      <w:marTop w:val="0"/>
      <w:marBottom w:val="0"/>
      <w:divBdr>
        <w:top w:val="none" w:sz="0" w:space="0" w:color="auto"/>
        <w:left w:val="none" w:sz="0" w:space="0" w:color="auto"/>
        <w:bottom w:val="none" w:sz="0" w:space="0" w:color="auto"/>
        <w:right w:val="none" w:sz="0" w:space="0" w:color="auto"/>
      </w:divBdr>
      <w:divsChild>
        <w:div w:id="570770949">
          <w:marLeft w:val="0"/>
          <w:marRight w:val="0"/>
          <w:marTop w:val="0"/>
          <w:marBottom w:val="0"/>
          <w:divBdr>
            <w:top w:val="none" w:sz="0" w:space="0" w:color="auto"/>
            <w:left w:val="none" w:sz="0" w:space="0" w:color="auto"/>
            <w:bottom w:val="none" w:sz="0" w:space="0" w:color="auto"/>
            <w:right w:val="none" w:sz="0" w:space="0" w:color="auto"/>
          </w:divBdr>
          <w:divsChild>
            <w:div w:id="278531033">
              <w:marLeft w:val="0"/>
              <w:marRight w:val="0"/>
              <w:marTop w:val="0"/>
              <w:marBottom w:val="0"/>
              <w:divBdr>
                <w:top w:val="none" w:sz="0" w:space="0" w:color="auto"/>
                <w:left w:val="none" w:sz="0" w:space="0" w:color="auto"/>
                <w:bottom w:val="none" w:sz="0" w:space="0" w:color="auto"/>
                <w:right w:val="none" w:sz="0" w:space="0" w:color="auto"/>
              </w:divBdr>
              <w:divsChild>
                <w:div w:id="1622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425">
      <w:bodyDiv w:val="1"/>
      <w:marLeft w:val="0"/>
      <w:marRight w:val="0"/>
      <w:marTop w:val="0"/>
      <w:marBottom w:val="0"/>
      <w:divBdr>
        <w:top w:val="none" w:sz="0" w:space="0" w:color="auto"/>
        <w:left w:val="none" w:sz="0" w:space="0" w:color="auto"/>
        <w:bottom w:val="none" w:sz="0" w:space="0" w:color="auto"/>
        <w:right w:val="none" w:sz="0" w:space="0" w:color="auto"/>
      </w:divBdr>
    </w:div>
    <w:div w:id="179390193">
      <w:bodyDiv w:val="1"/>
      <w:marLeft w:val="0"/>
      <w:marRight w:val="0"/>
      <w:marTop w:val="0"/>
      <w:marBottom w:val="0"/>
      <w:divBdr>
        <w:top w:val="none" w:sz="0" w:space="0" w:color="auto"/>
        <w:left w:val="none" w:sz="0" w:space="0" w:color="auto"/>
        <w:bottom w:val="none" w:sz="0" w:space="0" w:color="auto"/>
        <w:right w:val="none" w:sz="0" w:space="0" w:color="auto"/>
      </w:divBdr>
    </w:div>
    <w:div w:id="212692470">
      <w:bodyDiv w:val="1"/>
      <w:marLeft w:val="0"/>
      <w:marRight w:val="0"/>
      <w:marTop w:val="0"/>
      <w:marBottom w:val="0"/>
      <w:divBdr>
        <w:top w:val="none" w:sz="0" w:space="0" w:color="auto"/>
        <w:left w:val="none" w:sz="0" w:space="0" w:color="auto"/>
        <w:bottom w:val="none" w:sz="0" w:space="0" w:color="auto"/>
        <w:right w:val="none" w:sz="0" w:space="0" w:color="auto"/>
      </w:divBdr>
    </w:div>
    <w:div w:id="214513096">
      <w:bodyDiv w:val="1"/>
      <w:marLeft w:val="0"/>
      <w:marRight w:val="0"/>
      <w:marTop w:val="0"/>
      <w:marBottom w:val="0"/>
      <w:divBdr>
        <w:top w:val="none" w:sz="0" w:space="0" w:color="auto"/>
        <w:left w:val="none" w:sz="0" w:space="0" w:color="auto"/>
        <w:bottom w:val="none" w:sz="0" w:space="0" w:color="auto"/>
        <w:right w:val="none" w:sz="0" w:space="0" w:color="auto"/>
      </w:divBdr>
    </w:div>
    <w:div w:id="253125177">
      <w:bodyDiv w:val="1"/>
      <w:marLeft w:val="0"/>
      <w:marRight w:val="0"/>
      <w:marTop w:val="0"/>
      <w:marBottom w:val="0"/>
      <w:divBdr>
        <w:top w:val="none" w:sz="0" w:space="0" w:color="auto"/>
        <w:left w:val="none" w:sz="0" w:space="0" w:color="auto"/>
        <w:bottom w:val="none" w:sz="0" w:space="0" w:color="auto"/>
        <w:right w:val="none" w:sz="0" w:space="0" w:color="auto"/>
      </w:divBdr>
    </w:div>
    <w:div w:id="277834166">
      <w:bodyDiv w:val="1"/>
      <w:marLeft w:val="0"/>
      <w:marRight w:val="0"/>
      <w:marTop w:val="0"/>
      <w:marBottom w:val="0"/>
      <w:divBdr>
        <w:top w:val="none" w:sz="0" w:space="0" w:color="auto"/>
        <w:left w:val="none" w:sz="0" w:space="0" w:color="auto"/>
        <w:bottom w:val="none" w:sz="0" w:space="0" w:color="auto"/>
        <w:right w:val="none" w:sz="0" w:space="0" w:color="auto"/>
      </w:divBdr>
    </w:div>
    <w:div w:id="311561772">
      <w:bodyDiv w:val="1"/>
      <w:marLeft w:val="0"/>
      <w:marRight w:val="0"/>
      <w:marTop w:val="0"/>
      <w:marBottom w:val="0"/>
      <w:divBdr>
        <w:top w:val="none" w:sz="0" w:space="0" w:color="auto"/>
        <w:left w:val="none" w:sz="0" w:space="0" w:color="auto"/>
        <w:bottom w:val="none" w:sz="0" w:space="0" w:color="auto"/>
        <w:right w:val="none" w:sz="0" w:space="0" w:color="auto"/>
      </w:divBdr>
    </w:div>
    <w:div w:id="319772609">
      <w:bodyDiv w:val="1"/>
      <w:marLeft w:val="0"/>
      <w:marRight w:val="0"/>
      <w:marTop w:val="0"/>
      <w:marBottom w:val="0"/>
      <w:divBdr>
        <w:top w:val="none" w:sz="0" w:space="0" w:color="auto"/>
        <w:left w:val="none" w:sz="0" w:space="0" w:color="auto"/>
        <w:bottom w:val="none" w:sz="0" w:space="0" w:color="auto"/>
        <w:right w:val="none" w:sz="0" w:space="0" w:color="auto"/>
      </w:divBdr>
    </w:div>
    <w:div w:id="349067237">
      <w:bodyDiv w:val="1"/>
      <w:marLeft w:val="0"/>
      <w:marRight w:val="0"/>
      <w:marTop w:val="0"/>
      <w:marBottom w:val="0"/>
      <w:divBdr>
        <w:top w:val="none" w:sz="0" w:space="0" w:color="auto"/>
        <w:left w:val="none" w:sz="0" w:space="0" w:color="auto"/>
        <w:bottom w:val="none" w:sz="0" w:space="0" w:color="auto"/>
        <w:right w:val="none" w:sz="0" w:space="0" w:color="auto"/>
      </w:divBdr>
    </w:div>
    <w:div w:id="417408203">
      <w:bodyDiv w:val="1"/>
      <w:marLeft w:val="0"/>
      <w:marRight w:val="0"/>
      <w:marTop w:val="0"/>
      <w:marBottom w:val="0"/>
      <w:divBdr>
        <w:top w:val="none" w:sz="0" w:space="0" w:color="auto"/>
        <w:left w:val="none" w:sz="0" w:space="0" w:color="auto"/>
        <w:bottom w:val="none" w:sz="0" w:space="0" w:color="auto"/>
        <w:right w:val="none" w:sz="0" w:space="0" w:color="auto"/>
      </w:divBdr>
    </w:div>
    <w:div w:id="424425102">
      <w:bodyDiv w:val="1"/>
      <w:marLeft w:val="0"/>
      <w:marRight w:val="0"/>
      <w:marTop w:val="0"/>
      <w:marBottom w:val="0"/>
      <w:divBdr>
        <w:top w:val="none" w:sz="0" w:space="0" w:color="auto"/>
        <w:left w:val="none" w:sz="0" w:space="0" w:color="auto"/>
        <w:bottom w:val="none" w:sz="0" w:space="0" w:color="auto"/>
        <w:right w:val="none" w:sz="0" w:space="0" w:color="auto"/>
      </w:divBdr>
    </w:div>
    <w:div w:id="448166470">
      <w:bodyDiv w:val="1"/>
      <w:marLeft w:val="0"/>
      <w:marRight w:val="0"/>
      <w:marTop w:val="0"/>
      <w:marBottom w:val="0"/>
      <w:divBdr>
        <w:top w:val="none" w:sz="0" w:space="0" w:color="auto"/>
        <w:left w:val="none" w:sz="0" w:space="0" w:color="auto"/>
        <w:bottom w:val="none" w:sz="0" w:space="0" w:color="auto"/>
        <w:right w:val="none" w:sz="0" w:space="0" w:color="auto"/>
      </w:divBdr>
    </w:div>
    <w:div w:id="476530386">
      <w:bodyDiv w:val="1"/>
      <w:marLeft w:val="0"/>
      <w:marRight w:val="0"/>
      <w:marTop w:val="0"/>
      <w:marBottom w:val="0"/>
      <w:divBdr>
        <w:top w:val="none" w:sz="0" w:space="0" w:color="auto"/>
        <w:left w:val="none" w:sz="0" w:space="0" w:color="auto"/>
        <w:bottom w:val="none" w:sz="0" w:space="0" w:color="auto"/>
        <w:right w:val="none" w:sz="0" w:space="0" w:color="auto"/>
      </w:divBdr>
    </w:div>
    <w:div w:id="509099552">
      <w:bodyDiv w:val="1"/>
      <w:marLeft w:val="0"/>
      <w:marRight w:val="0"/>
      <w:marTop w:val="0"/>
      <w:marBottom w:val="0"/>
      <w:divBdr>
        <w:top w:val="none" w:sz="0" w:space="0" w:color="auto"/>
        <w:left w:val="none" w:sz="0" w:space="0" w:color="auto"/>
        <w:bottom w:val="none" w:sz="0" w:space="0" w:color="auto"/>
        <w:right w:val="none" w:sz="0" w:space="0" w:color="auto"/>
      </w:divBdr>
    </w:div>
    <w:div w:id="534660639">
      <w:bodyDiv w:val="1"/>
      <w:marLeft w:val="0"/>
      <w:marRight w:val="0"/>
      <w:marTop w:val="0"/>
      <w:marBottom w:val="0"/>
      <w:divBdr>
        <w:top w:val="none" w:sz="0" w:space="0" w:color="auto"/>
        <w:left w:val="none" w:sz="0" w:space="0" w:color="auto"/>
        <w:bottom w:val="none" w:sz="0" w:space="0" w:color="auto"/>
        <w:right w:val="none" w:sz="0" w:space="0" w:color="auto"/>
      </w:divBdr>
    </w:div>
    <w:div w:id="538398858">
      <w:bodyDiv w:val="1"/>
      <w:marLeft w:val="0"/>
      <w:marRight w:val="0"/>
      <w:marTop w:val="0"/>
      <w:marBottom w:val="0"/>
      <w:divBdr>
        <w:top w:val="none" w:sz="0" w:space="0" w:color="auto"/>
        <w:left w:val="none" w:sz="0" w:space="0" w:color="auto"/>
        <w:bottom w:val="none" w:sz="0" w:space="0" w:color="auto"/>
        <w:right w:val="none" w:sz="0" w:space="0" w:color="auto"/>
      </w:divBdr>
    </w:div>
    <w:div w:id="568539713">
      <w:bodyDiv w:val="1"/>
      <w:marLeft w:val="0"/>
      <w:marRight w:val="0"/>
      <w:marTop w:val="0"/>
      <w:marBottom w:val="0"/>
      <w:divBdr>
        <w:top w:val="none" w:sz="0" w:space="0" w:color="auto"/>
        <w:left w:val="none" w:sz="0" w:space="0" w:color="auto"/>
        <w:bottom w:val="none" w:sz="0" w:space="0" w:color="auto"/>
        <w:right w:val="none" w:sz="0" w:space="0" w:color="auto"/>
      </w:divBdr>
    </w:div>
    <w:div w:id="597295934">
      <w:bodyDiv w:val="1"/>
      <w:marLeft w:val="0"/>
      <w:marRight w:val="0"/>
      <w:marTop w:val="0"/>
      <w:marBottom w:val="0"/>
      <w:divBdr>
        <w:top w:val="none" w:sz="0" w:space="0" w:color="auto"/>
        <w:left w:val="none" w:sz="0" w:space="0" w:color="auto"/>
        <w:bottom w:val="none" w:sz="0" w:space="0" w:color="auto"/>
        <w:right w:val="none" w:sz="0" w:space="0" w:color="auto"/>
      </w:divBdr>
    </w:div>
    <w:div w:id="613102737">
      <w:bodyDiv w:val="1"/>
      <w:marLeft w:val="0"/>
      <w:marRight w:val="0"/>
      <w:marTop w:val="0"/>
      <w:marBottom w:val="0"/>
      <w:divBdr>
        <w:top w:val="none" w:sz="0" w:space="0" w:color="auto"/>
        <w:left w:val="none" w:sz="0" w:space="0" w:color="auto"/>
        <w:bottom w:val="none" w:sz="0" w:space="0" w:color="auto"/>
        <w:right w:val="none" w:sz="0" w:space="0" w:color="auto"/>
      </w:divBdr>
    </w:div>
    <w:div w:id="645163526">
      <w:bodyDiv w:val="1"/>
      <w:marLeft w:val="0"/>
      <w:marRight w:val="0"/>
      <w:marTop w:val="0"/>
      <w:marBottom w:val="0"/>
      <w:divBdr>
        <w:top w:val="none" w:sz="0" w:space="0" w:color="auto"/>
        <w:left w:val="none" w:sz="0" w:space="0" w:color="auto"/>
        <w:bottom w:val="none" w:sz="0" w:space="0" w:color="auto"/>
        <w:right w:val="none" w:sz="0" w:space="0" w:color="auto"/>
      </w:divBdr>
    </w:div>
    <w:div w:id="671032738">
      <w:bodyDiv w:val="1"/>
      <w:marLeft w:val="0"/>
      <w:marRight w:val="0"/>
      <w:marTop w:val="0"/>
      <w:marBottom w:val="0"/>
      <w:divBdr>
        <w:top w:val="none" w:sz="0" w:space="0" w:color="auto"/>
        <w:left w:val="none" w:sz="0" w:space="0" w:color="auto"/>
        <w:bottom w:val="none" w:sz="0" w:space="0" w:color="auto"/>
        <w:right w:val="none" w:sz="0" w:space="0" w:color="auto"/>
      </w:divBdr>
    </w:div>
    <w:div w:id="683092341">
      <w:bodyDiv w:val="1"/>
      <w:marLeft w:val="0"/>
      <w:marRight w:val="0"/>
      <w:marTop w:val="0"/>
      <w:marBottom w:val="0"/>
      <w:divBdr>
        <w:top w:val="none" w:sz="0" w:space="0" w:color="auto"/>
        <w:left w:val="none" w:sz="0" w:space="0" w:color="auto"/>
        <w:bottom w:val="none" w:sz="0" w:space="0" w:color="auto"/>
        <w:right w:val="none" w:sz="0" w:space="0" w:color="auto"/>
      </w:divBdr>
    </w:div>
    <w:div w:id="687949409">
      <w:bodyDiv w:val="1"/>
      <w:marLeft w:val="0"/>
      <w:marRight w:val="0"/>
      <w:marTop w:val="0"/>
      <w:marBottom w:val="0"/>
      <w:divBdr>
        <w:top w:val="none" w:sz="0" w:space="0" w:color="auto"/>
        <w:left w:val="none" w:sz="0" w:space="0" w:color="auto"/>
        <w:bottom w:val="none" w:sz="0" w:space="0" w:color="auto"/>
        <w:right w:val="none" w:sz="0" w:space="0" w:color="auto"/>
      </w:divBdr>
    </w:div>
    <w:div w:id="703868386">
      <w:bodyDiv w:val="1"/>
      <w:marLeft w:val="0"/>
      <w:marRight w:val="0"/>
      <w:marTop w:val="0"/>
      <w:marBottom w:val="0"/>
      <w:divBdr>
        <w:top w:val="none" w:sz="0" w:space="0" w:color="auto"/>
        <w:left w:val="none" w:sz="0" w:space="0" w:color="auto"/>
        <w:bottom w:val="none" w:sz="0" w:space="0" w:color="auto"/>
        <w:right w:val="none" w:sz="0" w:space="0" w:color="auto"/>
      </w:divBdr>
    </w:div>
    <w:div w:id="704015297">
      <w:bodyDiv w:val="1"/>
      <w:marLeft w:val="0"/>
      <w:marRight w:val="0"/>
      <w:marTop w:val="0"/>
      <w:marBottom w:val="0"/>
      <w:divBdr>
        <w:top w:val="none" w:sz="0" w:space="0" w:color="auto"/>
        <w:left w:val="none" w:sz="0" w:space="0" w:color="auto"/>
        <w:bottom w:val="none" w:sz="0" w:space="0" w:color="auto"/>
        <w:right w:val="none" w:sz="0" w:space="0" w:color="auto"/>
      </w:divBdr>
    </w:div>
    <w:div w:id="717437065">
      <w:bodyDiv w:val="1"/>
      <w:marLeft w:val="0"/>
      <w:marRight w:val="0"/>
      <w:marTop w:val="0"/>
      <w:marBottom w:val="0"/>
      <w:divBdr>
        <w:top w:val="none" w:sz="0" w:space="0" w:color="auto"/>
        <w:left w:val="none" w:sz="0" w:space="0" w:color="auto"/>
        <w:bottom w:val="none" w:sz="0" w:space="0" w:color="auto"/>
        <w:right w:val="none" w:sz="0" w:space="0" w:color="auto"/>
      </w:divBdr>
    </w:div>
    <w:div w:id="725378121">
      <w:bodyDiv w:val="1"/>
      <w:marLeft w:val="0"/>
      <w:marRight w:val="0"/>
      <w:marTop w:val="0"/>
      <w:marBottom w:val="0"/>
      <w:divBdr>
        <w:top w:val="none" w:sz="0" w:space="0" w:color="auto"/>
        <w:left w:val="none" w:sz="0" w:space="0" w:color="auto"/>
        <w:bottom w:val="none" w:sz="0" w:space="0" w:color="auto"/>
        <w:right w:val="none" w:sz="0" w:space="0" w:color="auto"/>
      </w:divBdr>
    </w:div>
    <w:div w:id="772358184">
      <w:bodyDiv w:val="1"/>
      <w:marLeft w:val="0"/>
      <w:marRight w:val="0"/>
      <w:marTop w:val="0"/>
      <w:marBottom w:val="0"/>
      <w:divBdr>
        <w:top w:val="none" w:sz="0" w:space="0" w:color="auto"/>
        <w:left w:val="none" w:sz="0" w:space="0" w:color="auto"/>
        <w:bottom w:val="none" w:sz="0" w:space="0" w:color="auto"/>
        <w:right w:val="none" w:sz="0" w:space="0" w:color="auto"/>
      </w:divBdr>
    </w:div>
    <w:div w:id="854802453">
      <w:bodyDiv w:val="1"/>
      <w:marLeft w:val="0"/>
      <w:marRight w:val="0"/>
      <w:marTop w:val="0"/>
      <w:marBottom w:val="0"/>
      <w:divBdr>
        <w:top w:val="none" w:sz="0" w:space="0" w:color="auto"/>
        <w:left w:val="none" w:sz="0" w:space="0" w:color="auto"/>
        <w:bottom w:val="none" w:sz="0" w:space="0" w:color="auto"/>
        <w:right w:val="none" w:sz="0" w:space="0" w:color="auto"/>
      </w:divBdr>
    </w:div>
    <w:div w:id="966856776">
      <w:bodyDiv w:val="1"/>
      <w:marLeft w:val="0"/>
      <w:marRight w:val="0"/>
      <w:marTop w:val="0"/>
      <w:marBottom w:val="0"/>
      <w:divBdr>
        <w:top w:val="none" w:sz="0" w:space="0" w:color="auto"/>
        <w:left w:val="none" w:sz="0" w:space="0" w:color="auto"/>
        <w:bottom w:val="none" w:sz="0" w:space="0" w:color="auto"/>
        <w:right w:val="none" w:sz="0" w:space="0" w:color="auto"/>
      </w:divBdr>
    </w:div>
    <w:div w:id="1011030440">
      <w:bodyDiv w:val="1"/>
      <w:marLeft w:val="0"/>
      <w:marRight w:val="0"/>
      <w:marTop w:val="0"/>
      <w:marBottom w:val="0"/>
      <w:divBdr>
        <w:top w:val="none" w:sz="0" w:space="0" w:color="auto"/>
        <w:left w:val="none" w:sz="0" w:space="0" w:color="auto"/>
        <w:bottom w:val="none" w:sz="0" w:space="0" w:color="auto"/>
        <w:right w:val="none" w:sz="0" w:space="0" w:color="auto"/>
      </w:divBdr>
    </w:div>
    <w:div w:id="1082794694">
      <w:bodyDiv w:val="1"/>
      <w:marLeft w:val="0"/>
      <w:marRight w:val="0"/>
      <w:marTop w:val="0"/>
      <w:marBottom w:val="0"/>
      <w:divBdr>
        <w:top w:val="none" w:sz="0" w:space="0" w:color="auto"/>
        <w:left w:val="none" w:sz="0" w:space="0" w:color="auto"/>
        <w:bottom w:val="none" w:sz="0" w:space="0" w:color="auto"/>
        <w:right w:val="none" w:sz="0" w:space="0" w:color="auto"/>
      </w:divBdr>
    </w:div>
    <w:div w:id="1103767400">
      <w:bodyDiv w:val="1"/>
      <w:marLeft w:val="0"/>
      <w:marRight w:val="0"/>
      <w:marTop w:val="0"/>
      <w:marBottom w:val="0"/>
      <w:divBdr>
        <w:top w:val="none" w:sz="0" w:space="0" w:color="auto"/>
        <w:left w:val="none" w:sz="0" w:space="0" w:color="auto"/>
        <w:bottom w:val="none" w:sz="0" w:space="0" w:color="auto"/>
        <w:right w:val="none" w:sz="0" w:space="0" w:color="auto"/>
      </w:divBdr>
    </w:div>
    <w:div w:id="1234775981">
      <w:bodyDiv w:val="1"/>
      <w:marLeft w:val="0"/>
      <w:marRight w:val="0"/>
      <w:marTop w:val="0"/>
      <w:marBottom w:val="0"/>
      <w:divBdr>
        <w:top w:val="none" w:sz="0" w:space="0" w:color="auto"/>
        <w:left w:val="none" w:sz="0" w:space="0" w:color="auto"/>
        <w:bottom w:val="none" w:sz="0" w:space="0" w:color="auto"/>
        <w:right w:val="none" w:sz="0" w:space="0" w:color="auto"/>
      </w:divBdr>
    </w:div>
    <w:div w:id="1236628371">
      <w:bodyDiv w:val="1"/>
      <w:marLeft w:val="0"/>
      <w:marRight w:val="0"/>
      <w:marTop w:val="0"/>
      <w:marBottom w:val="0"/>
      <w:divBdr>
        <w:top w:val="none" w:sz="0" w:space="0" w:color="auto"/>
        <w:left w:val="none" w:sz="0" w:space="0" w:color="auto"/>
        <w:bottom w:val="none" w:sz="0" w:space="0" w:color="auto"/>
        <w:right w:val="none" w:sz="0" w:space="0" w:color="auto"/>
      </w:divBdr>
    </w:div>
    <w:div w:id="1298729749">
      <w:bodyDiv w:val="1"/>
      <w:marLeft w:val="0"/>
      <w:marRight w:val="0"/>
      <w:marTop w:val="0"/>
      <w:marBottom w:val="0"/>
      <w:divBdr>
        <w:top w:val="none" w:sz="0" w:space="0" w:color="auto"/>
        <w:left w:val="none" w:sz="0" w:space="0" w:color="auto"/>
        <w:bottom w:val="none" w:sz="0" w:space="0" w:color="auto"/>
        <w:right w:val="none" w:sz="0" w:space="0" w:color="auto"/>
      </w:divBdr>
    </w:div>
    <w:div w:id="1327132063">
      <w:bodyDiv w:val="1"/>
      <w:marLeft w:val="0"/>
      <w:marRight w:val="0"/>
      <w:marTop w:val="0"/>
      <w:marBottom w:val="0"/>
      <w:divBdr>
        <w:top w:val="none" w:sz="0" w:space="0" w:color="auto"/>
        <w:left w:val="none" w:sz="0" w:space="0" w:color="auto"/>
        <w:bottom w:val="none" w:sz="0" w:space="0" w:color="auto"/>
        <w:right w:val="none" w:sz="0" w:space="0" w:color="auto"/>
      </w:divBdr>
    </w:div>
    <w:div w:id="1390417834">
      <w:bodyDiv w:val="1"/>
      <w:marLeft w:val="0"/>
      <w:marRight w:val="0"/>
      <w:marTop w:val="0"/>
      <w:marBottom w:val="0"/>
      <w:divBdr>
        <w:top w:val="none" w:sz="0" w:space="0" w:color="auto"/>
        <w:left w:val="none" w:sz="0" w:space="0" w:color="auto"/>
        <w:bottom w:val="none" w:sz="0" w:space="0" w:color="auto"/>
        <w:right w:val="none" w:sz="0" w:space="0" w:color="auto"/>
      </w:divBdr>
    </w:div>
    <w:div w:id="1503936706">
      <w:bodyDiv w:val="1"/>
      <w:marLeft w:val="0"/>
      <w:marRight w:val="0"/>
      <w:marTop w:val="0"/>
      <w:marBottom w:val="0"/>
      <w:divBdr>
        <w:top w:val="none" w:sz="0" w:space="0" w:color="auto"/>
        <w:left w:val="none" w:sz="0" w:space="0" w:color="auto"/>
        <w:bottom w:val="none" w:sz="0" w:space="0" w:color="auto"/>
        <w:right w:val="none" w:sz="0" w:space="0" w:color="auto"/>
      </w:divBdr>
    </w:div>
    <w:div w:id="1532841013">
      <w:bodyDiv w:val="1"/>
      <w:marLeft w:val="0"/>
      <w:marRight w:val="0"/>
      <w:marTop w:val="0"/>
      <w:marBottom w:val="0"/>
      <w:divBdr>
        <w:top w:val="none" w:sz="0" w:space="0" w:color="auto"/>
        <w:left w:val="none" w:sz="0" w:space="0" w:color="auto"/>
        <w:bottom w:val="none" w:sz="0" w:space="0" w:color="auto"/>
        <w:right w:val="none" w:sz="0" w:space="0" w:color="auto"/>
      </w:divBdr>
    </w:div>
    <w:div w:id="1639722661">
      <w:bodyDiv w:val="1"/>
      <w:marLeft w:val="0"/>
      <w:marRight w:val="0"/>
      <w:marTop w:val="0"/>
      <w:marBottom w:val="0"/>
      <w:divBdr>
        <w:top w:val="none" w:sz="0" w:space="0" w:color="auto"/>
        <w:left w:val="none" w:sz="0" w:space="0" w:color="auto"/>
        <w:bottom w:val="none" w:sz="0" w:space="0" w:color="auto"/>
        <w:right w:val="none" w:sz="0" w:space="0" w:color="auto"/>
      </w:divBdr>
    </w:div>
    <w:div w:id="1712922438">
      <w:bodyDiv w:val="1"/>
      <w:marLeft w:val="0"/>
      <w:marRight w:val="0"/>
      <w:marTop w:val="0"/>
      <w:marBottom w:val="0"/>
      <w:divBdr>
        <w:top w:val="none" w:sz="0" w:space="0" w:color="auto"/>
        <w:left w:val="none" w:sz="0" w:space="0" w:color="auto"/>
        <w:bottom w:val="none" w:sz="0" w:space="0" w:color="auto"/>
        <w:right w:val="none" w:sz="0" w:space="0" w:color="auto"/>
      </w:divBdr>
    </w:div>
    <w:div w:id="1744912393">
      <w:bodyDiv w:val="1"/>
      <w:marLeft w:val="0"/>
      <w:marRight w:val="0"/>
      <w:marTop w:val="0"/>
      <w:marBottom w:val="0"/>
      <w:divBdr>
        <w:top w:val="none" w:sz="0" w:space="0" w:color="auto"/>
        <w:left w:val="none" w:sz="0" w:space="0" w:color="auto"/>
        <w:bottom w:val="none" w:sz="0" w:space="0" w:color="auto"/>
        <w:right w:val="none" w:sz="0" w:space="0" w:color="auto"/>
      </w:divBdr>
    </w:div>
    <w:div w:id="1749811440">
      <w:bodyDiv w:val="1"/>
      <w:marLeft w:val="0"/>
      <w:marRight w:val="0"/>
      <w:marTop w:val="0"/>
      <w:marBottom w:val="0"/>
      <w:divBdr>
        <w:top w:val="none" w:sz="0" w:space="0" w:color="auto"/>
        <w:left w:val="none" w:sz="0" w:space="0" w:color="auto"/>
        <w:bottom w:val="none" w:sz="0" w:space="0" w:color="auto"/>
        <w:right w:val="none" w:sz="0" w:space="0" w:color="auto"/>
      </w:divBdr>
    </w:div>
    <w:div w:id="1803838351">
      <w:bodyDiv w:val="1"/>
      <w:marLeft w:val="0"/>
      <w:marRight w:val="0"/>
      <w:marTop w:val="0"/>
      <w:marBottom w:val="0"/>
      <w:divBdr>
        <w:top w:val="none" w:sz="0" w:space="0" w:color="auto"/>
        <w:left w:val="none" w:sz="0" w:space="0" w:color="auto"/>
        <w:bottom w:val="none" w:sz="0" w:space="0" w:color="auto"/>
        <w:right w:val="none" w:sz="0" w:space="0" w:color="auto"/>
      </w:divBdr>
    </w:div>
    <w:div w:id="1828130472">
      <w:bodyDiv w:val="1"/>
      <w:marLeft w:val="0"/>
      <w:marRight w:val="0"/>
      <w:marTop w:val="0"/>
      <w:marBottom w:val="0"/>
      <w:divBdr>
        <w:top w:val="none" w:sz="0" w:space="0" w:color="auto"/>
        <w:left w:val="none" w:sz="0" w:space="0" w:color="auto"/>
        <w:bottom w:val="none" w:sz="0" w:space="0" w:color="auto"/>
        <w:right w:val="none" w:sz="0" w:space="0" w:color="auto"/>
      </w:divBdr>
    </w:div>
    <w:div w:id="1890267928">
      <w:bodyDiv w:val="1"/>
      <w:marLeft w:val="0"/>
      <w:marRight w:val="0"/>
      <w:marTop w:val="0"/>
      <w:marBottom w:val="0"/>
      <w:divBdr>
        <w:top w:val="none" w:sz="0" w:space="0" w:color="auto"/>
        <w:left w:val="none" w:sz="0" w:space="0" w:color="auto"/>
        <w:bottom w:val="none" w:sz="0" w:space="0" w:color="auto"/>
        <w:right w:val="none" w:sz="0" w:space="0" w:color="auto"/>
      </w:divBdr>
    </w:div>
    <w:div w:id="2025088223">
      <w:bodyDiv w:val="1"/>
      <w:marLeft w:val="0"/>
      <w:marRight w:val="0"/>
      <w:marTop w:val="0"/>
      <w:marBottom w:val="0"/>
      <w:divBdr>
        <w:top w:val="none" w:sz="0" w:space="0" w:color="auto"/>
        <w:left w:val="none" w:sz="0" w:space="0" w:color="auto"/>
        <w:bottom w:val="none" w:sz="0" w:space="0" w:color="auto"/>
        <w:right w:val="none" w:sz="0" w:space="0" w:color="auto"/>
      </w:divBdr>
    </w:div>
    <w:div w:id="2071616922">
      <w:bodyDiv w:val="1"/>
      <w:marLeft w:val="0"/>
      <w:marRight w:val="0"/>
      <w:marTop w:val="0"/>
      <w:marBottom w:val="0"/>
      <w:divBdr>
        <w:top w:val="none" w:sz="0" w:space="0" w:color="auto"/>
        <w:left w:val="none" w:sz="0" w:space="0" w:color="auto"/>
        <w:bottom w:val="none" w:sz="0" w:space="0" w:color="auto"/>
        <w:right w:val="none" w:sz="0" w:space="0" w:color="auto"/>
      </w:divBdr>
    </w:div>
    <w:div w:id="2138638043">
      <w:bodyDiv w:val="1"/>
      <w:marLeft w:val="0"/>
      <w:marRight w:val="0"/>
      <w:marTop w:val="0"/>
      <w:marBottom w:val="0"/>
      <w:divBdr>
        <w:top w:val="none" w:sz="0" w:space="0" w:color="auto"/>
        <w:left w:val="none" w:sz="0" w:space="0" w:color="auto"/>
        <w:bottom w:val="none" w:sz="0" w:space="0" w:color="auto"/>
        <w:right w:val="none" w:sz="0" w:space="0" w:color="auto"/>
      </w:divBdr>
    </w:div>
    <w:div w:id="214442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s0002-8223(00)00416-8"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140-6736(15)00516-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016/S0140-6736(15)00516-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7C409-333A-41AD-8587-DF4AD39D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13</Pages>
  <Words>4030</Words>
  <Characters>22976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1022</cp:lastModifiedBy>
  <cp:revision>55</cp:revision>
  <dcterms:created xsi:type="dcterms:W3CDTF">2025-05-07T13:25:00Z</dcterms:created>
  <dcterms:modified xsi:type="dcterms:W3CDTF">2026-04-16T06:05:00Z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65487c9-99ed-4cbc-93a8-0e9b1796bde5_Enabled">
    <vt:lpwstr>true</vt:lpwstr>
  </property>
  <property fmtid="{D5CDD505-2E9C-101B-9397-08002B2CF9AE}" pid="3" name="MSIP_Label_e65487c9-99ed-4cbc-93a8-0e9b1796bde5_SetDate">
    <vt:lpwstr>2025-10-27T09:21:24Z</vt:lpwstr>
  </property>
  <property fmtid="{D5CDD505-2E9C-101B-9397-08002B2CF9AE}" pid="4" name="MSIP_Label_e65487c9-99ed-4cbc-93a8-0e9b1796bde5_Method">
    <vt:lpwstr>Standard</vt:lpwstr>
  </property>
  <property fmtid="{D5CDD505-2E9C-101B-9397-08002B2CF9AE}" pid="5" name="MSIP_Label_e65487c9-99ed-4cbc-93a8-0e9b1796bde5_Name">
    <vt:lpwstr>defa4170-0d19-0005-0004-bc88714345d2</vt:lpwstr>
  </property>
  <property fmtid="{D5CDD505-2E9C-101B-9397-08002B2CF9AE}" pid="6" name="MSIP_Label_e65487c9-99ed-4cbc-93a8-0e9b1796bde5_SiteId">
    <vt:lpwstr>03cb5f0c-1f82-4993-9621-36330f6309ec</vt:lpwstr>
  </property>
  <property fmtid="{D5CDD505-2E9C-101B-9397-08002B2CF9AE}" pid="7" name="MSIP_Label_e65487c9-99ed-4cbc-93a8-0e9b1796bde5_ActionId">
    <vt:lpwstr>feef10be-9fd5-492f-abc9-cc53f6994631</vt:lpwstr>
  </property>
  <property fmtid="{D5CDD505-2E9C-101B-9397-08002B2CF9AE}" pid="8" name="MSIP_Label_e65487c9-99ed-4cbc-93a8-0e9b1796bde5_ContentBits">
    <vt:lpwstr>0</vt:lpwstr>
  </property>
  <property fmtid="{D5CDD505-2E9C-101B-9397-08002B2CF9AE}" pid="9" name="MSIP_Label_e65487c9-99ed-4cbc-93a8-0e9b1796bde5_Tag">
    <vt:lpwstr>10, 3, 0, 1</vt:lpwstr>
  </property>
</Properties>
</file>