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CF81" w14:textId="5F139C10" w:rsidR="00B772D4" w:rsidRPr="00703274" w:rsidRDefault="002C20A0" w:rsidP="00703274">
      <w:pPr>
        <w:spacing w:after="0" w:line="240" w:lineRule="auto"/>
        <w:jc w:val="right"/>
        <w:rPr>
          <w:rFonts w:ascii="Arial" w:hAnsi="Arial" w:cs="Arial"/>
          <w:b/>
          <w:bCs/>
          <w:sz w:val="32"/>
          <w:szCs w:val="32"/>
        </w:rPr>
      </w:pPr>
      <w:r w:rsidRPr="00703274">
        <w:rPr>
          <w:rFonts w:ascii="Arial" w:hAnsi="Arial" w:cs="Arial"/>
          <w:b/>
          <w:bCs/>
          <w:sz w:val="32"/>
          <w:szCs w:val="32"/>
        </w:rPr>
        <w:t>Microbial Safety, Antioxidant Capacity, and Physicochemical Changes in Pasteurized Mint-</w:t>
      </w:r>
      <w:r w:rsidR="008B6BBD">
        <w:rPr>
          <w:rFonts w:ascii="Arial" w:hAnsi="Arial" w:cs="Arial"/>
          <w:b/>
          <w:bCs/>
          <w:sz w:val="32"/>
          <w:szCs w:val="32"/>
        </w:rPr>
        <w:t xml:space="preserve"> and</w:t>
      </w:r>
      <w:r w:rsidRPr="00703274">
        <w:rPr>
          <w:rFonts w:ascii="Arial" w:hAnsi="Arial" w:cs="Arial"/>
          <w:b/>
          <w:bCs/>
          <w:sz w:val="32"/>
          <w:szCs w:val="32"/>
        </w:rPr>
        <w:t xml:space="preserve"> </w:t>
      </w:r>
      <w:r w:rsidRPr="00703274">
        <w:rPr>
          <w:rFonts w:ascii="Arial" w:hAnsi="Arial" w:cs="Arial"/>
          <w:b/>
          <w:bCs/>
          <w:i/>
          <w:iCs/>
          <w:sz w:val="32"/>
          <w:szCs w:val="32"/>
        </w:rPr>
        <w:t>Vernonia amygdalina</w:t>
      </w:r>
      <w:r w:rsidR="008B6BBD">
        <w:rPr>
          <w:rFonts w:ascii="Arial" w:hAnsi="Arial" w:cs="Arial"/>
          <w:b/>
          <w:bCs/>
          <w:i/>
          <w:iCs/>
          <w:sz w:val="32"/>
          <w:szCs w:val="32"/>
        </w:rPr>
        <w:t>-</w:t>
      </w:r>
      <w:r w:rsidR="008B6BBD" w:rsidRPr="00703274">
        <w:rPr>
          <w:rFonts w:ascii="Arial" w:hAnsi="Arial" w:cs="Arial"/>
          <w:b/>
          <w:bCs/>
          <w:sz w:val="32"/>
          <w:szCs w:val="32"/>
        </w:rPr>
        <w:t xml:space="preserve">flavored </w:t>
      </w:r>
      <w:r w:rsidR="008E2BD3">
        <w:rPr>
          <w:rFonts w:ascii="Arial" w:hAnsi="Arial" w:cs="Arial"/>
          <w:b/>
          <w:bCs/>
          <w:sz w:val="32"/>
          <w:szCs w:val="32"/>
        </w:rPr>
        <w:t>Pineapple-Cucumber Juice</w:t>
      </w:r>
      <w:r w:rsidRPr="00703274">
        <w:rPr>
          <w:rFonts w:ascii="Arial" w:hAnsi="Arial" w:cs="Arial"/>
          <w:b/>
          <w:bCs/>
          <w:sz w:val="32"/>
          <w:szCs w:val="32"/>
        </w:rPr>
        <w:t xml:space="preserve"> Blend stored at Ambient Temperature</w:t>
      </w:r>
    </w:p>
    <w:p w14:paraId="6D647906" w14:textId="4283C966" w:rsidR="00850837" w:rsidRPr="004A4551" w:rsidRDefault="00850837" w:rsidP="007F7216">
      <w:pPr>
        <w:spacing w:after="0" w:line="480" w:lineRule="auto"/>
        <w:jc w:val="both"/>
        <w:rPr>
          <w:rFonts w:ascii="Arial" w:hAnsi="Arial" w:cs="Arial"/>
          <w:b/>
          <w:bCs/>
          <w:sz w:val="20"/>
          <w:szCs w:val="20"/>
        </w:rPr>
      </w:pPr>
    </w:p>
    <w:p w14:paraId="0833BB04" w14:textId="791CB23D" w:rsidR="00703274" w:rsidRDefault="00703274" w:rsidP="007F7216">
      <w:pPr>
        <w:spacing w:after="0" w:line="480" w:lineRule="auto"/>
        <w:jc w:val="both"/>
        <w:rPr>
          <w:rFonts w:ascii="Arial" w:hAnsi="Arial" w:cs="Arial"/>
          <w:b/>
          <w:bCs/>
        </w:rPr>
      </w:pPr>
    </w:p>
    <w:p w14:paraId="5CEEC525" w14:textId="77777777" w:rsidR="007C5F42" w:rsidRDefault="007C5F42" w:rsidP="007F7216">
      <w:pPr>
        <w:spacing w:after="0" w:line="480" w:lineRule="auto"/>
        <w:jc w:val="both"/>
        <w:rPr>
          <w:rFonts w:ascii="Arial" w:hAnsi="Arial" w:cs="Arial"/>
          <w:b/>
          <w:bCs/>
        </w:rPr>
      </w:pPr>
    </w:p>
    <w:p w14:paraId="672B1A07" w14:textId="622D8AD3" w:rsidR="00EE2624" w:rsidRPr="00703274" w:rsidRDefault="00703274" w:rsidP="007F7216">
      <w:pPr>
        <w:spacing w:after="0" w:line="480" w:lineRule="auto"/>
        <w:jc w:val="both"/>
        <w:rPr>
          <w:rFonts w:ascii="Arial" w:hAnsi="Arial" w:cs="Arial"/>
          <w:b/>
          <w:bCs/>
        </w:rPr>
      </w:pPr>
      <w:r w:rsidRPr="00703274">
        <w:rPr>
          <w:rFonts w:ascii="Arial" w:hAnsi="Arial" w:cs="Arial"/>
          <w:b/>
          <w:bCs/>
        </w:rPr>
        <w:t>ABSTRACT</w:t>
      </w:r>
    </w:p>
    <w:p w14:paraId="4DFFE546" w14:textId="77777777"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Aims:</w:t>
      </w:r>
      <w:r w:rsidRPr="004A4551">
        <w:rPr>
          <w:rFonts w:ascii="Arial" w:hAnsi="Arial" w:cs="Arial"/>
          <w:sz w:val="20"/>
          <w:szCs w:val="20"/>
        </w:rPr>
        <w:t xml:space="preserve"> The rising demand for naturally preserved functional beverages has sparked research into indigenous botanicals as preservatives and flavorings. This study evaluated the microbiological safety, antioxidant capacity, and physicochemical stability of four formulations of pasteurized pineapple-juice blends that contained mint (</w:t>
      </w:r>
      <w:r w:rsidRPr="004A4551">
        <w:rPr>
          <w:rFonts w:ascii="Arial" w:hAnsi="Arial" w:cs="Arial"/>
          <w:i/>
          <w:iCs/>
          <w:sz w:val="20"/>
          <w:szCs w:val="20"/>
        </w:rPr>
        <w:t xml:space="preserve">Mentha </w:t>
      </w:r>
      <w:proofErr w:type="spellStart"/>
      <w:r w:rsidRPr="004A4551">
        <w:rPr>
          <w:rFonts w:ascii="Arial" w:hAnsi="Arial" w:cs="Arial"/>
          <w:i/>
          <w:iCs/>
          <w:sz w:val="20"/>
          <w:szCs w:val="20"/>
        </w:rPr>
        <w:t>spp</w:t>
      </w:r>
      <w:proofErr w:type="spellEnd"/>
      <w:r w:rsidRPr="004A4551">
        <w:rPr>
          <w:rFonts w:ascii="Arial" w:hAnsi="Arial" w:cs="Arial"/>
          <w:sz w:val="20"/>
          <w:szCs w:val="20"/>
        </w:rPr>
        <w:t>) and bitter leaf (</w:t>
      </w:r>
      <w:r w:rsidRPr="004A4551">
        <w:rPr>
          <w:rFonts w:ascii="Arial" w:hAnsi="Arial" w:cs="Arial"/>
          <w:i/>
          <w:iCs/>
          <w:sz w:val="20"/>
          <w:szCs w:val="20"/>
        </w:rPr>
        <w:t>Vernonia amygdalina</w:t>
      </w:r>
      <w:r w:rsidRPr="004A4551">
        <w:rPr>
          <w:rFonts w:ascii="Arial" w:hAnsi="Arial" w:cs="Arial"/>
          <w:sz w:val="20"/>
          <w:szCs w:val="20"/>
        </w:rPr>
        <w:t xml:space="preserve"> Del.) extracts.</w:t>
      </w:r>
    </w:p>
    <w:p w14:paraId="6D0B7E4D" w14:textId="568E808F"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 xml:space="preserve">Study Design: </w:t>
      </w:r>
      <w:r w:rsidR="003E6C59" w:rsidRPr="003E6C59">
        <w:rPr>
          <w:rFonts w:ascii="Arial" w:hAnsi="Arial" w:cs="Arial"/>
          <w:sz w:val="20"/>
          <w:szCs w:val="20"/>
        </w:rPr>
        <w:t>This research is presented as an original article.</w:t>
      </w:r>
      <w:r w:rsidR="003E6C59">
        <w:rPr>
          <w:rFonts w:ascii="Arial" w:hAnsi="Arial" w:cs="Arial"/>
          <w:b/>
          <w:bCs/>
          <w:sz w:val="20"/>
          <w:szCs w:val="20"/>
        </w:rPr>
        <w:t xml:space="preserve"> </w:t>
      </w:r>
      <w:r w:rsidRPr="004A4551">
        <w:rPr>
          <w:rFonts w:ascii="Arial" w:hAnsi="Arial" w:cs="Arial"/>
          <w:sz w:val="20"/>
          <w:szCs w:val="20"/>
        </w:rPr>
        <w:t>The design was a completely randomized experimental design. Juice samples: A (control) (100% pineapple-cucumber), B (95% pineapple-cucumber:5% bitter leaf extract), C (95% pineapple-cucumber:2.5% of mint and bitter leaf extracts, each), and D (95% pineapple-cucumber:5% mint leaf extract) were stored (28</w:t>
      </w:r>
      <w:r w:rsidRPr="004A4551">
        <w:rPr>
          <w:rFonts w:ascii="Arial" w:hAnsi="Arial" w:cs="Arial"/>
          <w:sz w:val="20"/>
          <w:szCs w:val="20"/>
          <w:vertAlign w:val="superscript"/>
        </w:rPr>
        <w:t>0</w:t>
      </w:r>
      <w:r w:rsidRPr="004A4551">
        <w:rPr>
          <w:rFonts w:ascii="Arial" w:hAnsi="Arial" w:cs="Arial"/>
          <w:sz w:val="20"/>
          <w:szCs w:val="20"/>
        </w:rPr>
        <w:t xml:space="preserve">C) for 21 days. </w:t>
      </w:r>
    </w:p>
    <w:p w14:paraId="6CF941F0" w14:textId="6D16EB7F"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Place and Duration of Study:</w:t>
      </w:r>
      <w:r w:rsidRPr="004A4551">
        <w:rPr>
          <w:rFonts w:ascii="Arial" w:hAnsi="Arial" w:cs="Arial"/>
          <w:sz w:val="20"/>
          <w:szCs w:val="20"/>
        </w:rPr>
        <w:t xml:space="preserve"> Food Science and Technology Laboratory, Chukwuemeka </w:t>
      </w:r>
      <w:proofErr w:type="spellStart"/>
      <w:r w:rsidRPr="004A4551">
        <w:rPr>
          <w:rFonts w:ascii="Arial" w:hAnsi="Arial" w:cs="Arial"/>
          <w:sz w:val="20"/>
          <w:szCs w:val="20"/>
        </w:rPr>
        <w:t>Odumegwu</w:t>
      </w:r>
      <w:proofErr w:type="spellEnd"/>
      <w:r w:rsidRPr="004A4551">
        <w:rPr>
          <w:rFonts w:ascii="Arial" w:hAnsi="Arial" w:cs="Arial"/>
          <w:sz w:val="20"/>
          <w:szCs w:val="20"/>
        </w:rPr>
        <w:t xml:space="preserve"> University, Anambra State, Nigeria. Juice formulation, storage, and analysis were completed within 21 days, in June, 2025.</w:t>
      </w:r>
    </w:p>
    <w:p w14:paraId="316378AB" w14:textId="22952353"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Methodology:</w:t>
      </w:r>
      <w:r w:rsidRPr="004A4551">
        <w:rPr>
          <w:rFonts w:ascii="Arial" w:hAnsi="Arial" w:cs="Arial"/>
          <w:sz w:val="20"/>
          <w:szCs w:val="20"/>
        </w:rPr>
        <w:t xml:space="preserve"> Microbiological (total plate c</w:t>
      </w:r>
      <w:r w:rsidR="000830CD" w:rsidRPr="004A4551">
        <w:rPr>
          <w:rFonts w:ascii="Arial" w:hAnsi="Arial" w:cs="Arial"/>
          <w:sz w:val="20"/>
          <w:szCs w:val="20"/>
        </w:rPr>
        <w:t>o</w:t>
      </w:r>
      <w:r w:rsidRPr="004A4551">
        <w:rPr>
          <w:rFonts w:ascii="Arial" w:hAnsi="Arial" w:cs="Arial"/>
          <w:sz w:val="20"/>
          <w:szCs w:val="20"/>
        </w:rPr>
        <w:t xml:space="preserve">unt </w:t>
      </w:r>
      <w:r w:rsidR="000830CD" w:rsidRPr="004A4551">
        <w:rPr>
          <w:rFonts w:ascii="Arial" w:hAnsi="Arial" w:cs="Arial"/>
          <w:sz w:val="20"/>
          <w:szCs w:val="20"/>
        </w:rPr>
        <w:t>[</w:t>
      </w:r>
      <w:r w:rsidRPr="004A4551">
        <w:rPr>
          <w:rFonts w:ascii="Arial" w:hAnsi="Arial" w:cs="Arial"/>
          <w:sz w:val="20"/>
          <w:szCs w:val="20"/>
        </w:rPr>
        <w:t>TPC</w:t>
      </w:r>
      <w:r w:rsidR="000830CD" w:rsidRPr="004A4551">
        <w:rPr>
          <w:rFonts w:ascii="Arial" w:hAnsi="Arial" w:cs="Arial"/>
          <w:sz w:val="20"/>
          <w:szCs w:val="20"/>
        </w:rPr>
        <w:t>]</w:t>
      </w:r>
      <w:r w:rsidRPr="004A4551">
        <w:rPr>
          <w:rFonts w:ascii="Arial" w:hAnsi="Arial" w:cs="Arial"/>
          <w:sz w:val="20"/>
          <w:szCs w:val="20"/>
        </w:rPr>
        <w:t xml:space="preserve">, total yeast count </w:t>
      </w:r>
      <w:r w:rsidR="000830CD" w:rsidRPr="004A4551">
        <w:rPr>
          <w:rFonts w:ascii="Arial" w:hAnsi="Arial" w:cs="Arial"/>
          <w:sz w:val="20"/>
          <w:szCs w:val="20"/>
        </w:rPr>
        <w:t>[</w:t>
      </w:r>
      <w:r w:rsidRPr="004A4551">
        <w:rPr>
          <w:rFonts w:ascii="Arial" w:hAnsi="Arial" w:cs="Arial"/>
          <w:sz w:val="20"/>
          <w:szCs w:val="20"/>
        </w:rPr>
        <w:t>TYC</w:t>
      </w:r>
      <w:r w:rsidR="000830CD" w:rsidRPr="004A4551">
        <w:rPr>
          <w:rFonts w:ascii="Arial" w:hAnsi="Arial" w:cs="Arial"/>
          <w:sz w:val="20"/>
          <w:szCs w:val="20"/>
        </w:rPr>
        <w:t>]</w:t>
      </w:r>
      <w:r w:rsidRPr="004A4551">
        <w:rPr>
          <w:rFonts w:ascii="Arial" w:hAnsi="Arial" w:cs="Arial"/>
          <w:sz w:val="20"/>
          <w:szCs w:val="20"/>
        </w:rPr>
        <w:t xml:space="preserve">, total coliform count </w:t>
      </w:r>
      <w:r w:rsidR="000830CD" w:rsidRPr="004A4551">
        <w:rPr>
          <w:rFonts w:ascii="Arial" w:hAnsi="Arial" w:cs="Arial"/>
          <w:sz w:val="20"/>
          <w:szCs w:val="20"/>
        </w:rPr>
        <w:t>[</w:t>
      </w:r>
      <w:r w:rsidRPr="004A4551">
        <w:rPr>
          <w:rFonts w:ascii="Arial" w:hAnsi="Arial" w:cs="Arial"/>
          <w:sz w:val="20"/>
          <w:szCs w:val="20"/>
        </w:rPr>
        <w:t>TCC</w:t>
      </w:r>
      <w:r w:rsidR="000830CD" w:rsidRPr="004A4551">
        <w:rPr>
          <w:rFonts w:ascii="Arial" w:hAnsi="Arial" w:cs="Arial"/>
          <w:sz w:val="20"/>
          <w:szCs w:val="20"/>
        </w:rPr>
        <w:t>]</w:t>
      </w:r>
      <w:r w:rsidRPr="004A4551">
        <w:rPr>
          <w:rFonts w:ascii="Arial" w:hAnsi="Arial" w:cs="Arial"/>
          <w:sz w:val="20"/>
          <w:szCs w:val="20"/>
        </w:rPr>
        <w:t xml:space="preserve">, and total bacterial count </w:t>
      </w:r>
      <w:r w:rsidR="000830CD" w:rsidRPr="004A4551">
        <w:rPr>
          <w:rFonts w:ascii="Arial" w:hAnsi="Arial" w:cs="Arial"/>
          <w:sz w:val="20"/>
          <w:szCs w:val="20"/>
        </w:rPr>
        <w:t>[</w:t>
      </w:r>
      <w:r w:rsidRPr="004A4551">
        <w:rPr>
          <w:rFonts w:ascii="Arial" w:hAnsi="Arial" w:cs="Arial"/>
          <w:sz w:val="20"/>
          <w:szCs w:val="20"/>
        </w:rPr>
        <w:t>TBC</w:t>
      </w:r>
      <w:r w:rsidR="000830CD" w:rsidRPr="004A4551">
        <w:rPr>
          <w:rFonts w:ascii="Arial" w:hAnsi="Arial" w:cs="Arial"/>
          <w:sz w:val="20"/>
          <w:szCs w:val="20"/>
        </w:rPr>
        <w:t>])</w:t>
      </w:r>
      <w:r w:rsidRPr="004A4551">
        <w:rPr>
          <w:rFonts w:ascii="Arial" w:hAnsi="Arial" w:cs="Arial"/>
          <w:sz w:val="20"/>
          <w:szCs w:val="20"/>
        </w:rPr>
        <w:t>; antioxidant capacity (DPPH</w:t>
      </w:r>
      <w:r w:rsidR="0086455B">
        <w:rPr>
          <w:rFonts w:ascii="Arial" w:hAnsi="Arial" w:cs="Arial"/>
          <w:sz w:val="20"/>
          <w:szCs w:val="20"/>
        </w:rPr>
        <w:t xml:space="preserve"> [2,2-diphenyl-1-picrylhydrazyl]</w:t>
      </w:r>
      <w:r w:rsidRPr="004A4551">
        <w:rPr>
          <w:rFonts w:ascii="Arial" w:hAnsi="Arial" w:cs="Arial"/>
          <w:sz w:val="20"/>
          <w:szCs w:val="20"/>
        </w:rPr>
        <w:t xml:space="preserve"> and FRAP</w:t>
      </w:r>
      <w:r w:rsidR="0086455B">
        <w:rPr>
          <w:rFonts w:ascii="Arial" w:hAnsi="Arial" w:cs="Arial"/>
          <w:sz w:val="20"/>
          <w:szCs w:val="20"/>
        </w:rPr>
        <w:t xml:space="preserve"> [Ferric Reducing Antioxidant Power]</w:t>
      </w:r>
      <w:r w:rsidRPr="004A4551">
        <w:rPr>
          <w:rFonts w:ascii="Arial" w:hAnsi="Arial" w:cs="Arial"/>
          <w:sz w:val="20"/>
          <w:szCs w:val="20"/>
        </w:rPr>
        <w:t>), and physicochemica</w:t>
      </w:r>
      <w:r w:rsidR="000830CD" w:rsidRPr="004A4551">
        <w:rPr>
          <w:rFonts w:ascii="Arial" w:hAnsi="Arial" w:cs="Arial"/>
          <w:sz w:val="20"/>
          <w:szCs w:val="20"/>
        </w:rPr>
        <w:t xml:space="preserve">l parameters </w:t>
      </w:r>
      <w:r w:rsidRPr="004A4551">
        <w:rPr>
          <w:rFonts w:ascii="Arial" w:hAnsi="Arial" w:cs="Arial"/>
          <w:sz w:val="20"/>
          <w:szCs w:val="20"/>
        </w:rPr>
        <w:t xml:space="preserve">(pH and Total titratable acidity </w:t>
      </w:r>
      <w:r w:rsidR="000830CD" w:rsidRPr="004A4551">
        <w:rPr>
          <w:rFonts w:ascii="Arial" w:hAnsi="Arial" w:cs="Arial"/>
          <w:sz w:val="20"/>
          <w:szCs w:val="20"/>
        </w:rPr>
        <w:t>[</w:t>
      </w:r>
      <w:r w:rsidRPr="004A4551">
        <w:rPr>
          <w:rFonts w:ascii="Arial" w:hAnsi="Arial" w:cs="Arial"/>
          <w:sz w:val="20"/>
          <w:szCs w:val="20"/>
        </w:rPr>
        <w:t>TTA</w:t>
      </w:r>
      <w:r w:rsidR="000830CD" w:rsidRPr="004A4551">
        <w:rPr>
          <w:rFonts w:ascii="Arial" w:hAnsi="Arial" w:cs="Arial"/>
          <w:sz w:val="20"/>
          <w:szCs w:val="20"/>
        </w:rPr>
        <w:t>]</w:t>
      </w:r>
      <w:r w:rsidRPr="004A4551">
        <w:rPr>
          <w:rFonts w:ascii="Arial" w:hAnsi="Arial" w:cs="Arial"/>
          <w:sz w:val="20"/>
          <w:szCs w:val="20"/>
        </w:rPr>
        <w:t>) were evaluated. Data analysis was performed using a one-way ANOVA</w:t>
      </w:r>
      <w:r w:rsidR="000830CD" w:rsidRPr="004A4551">
        <w:rPr>
          <w:rFonts w:ascii="Arial" w:hAnsi="Arial" w:cs="Arial"/>
          <w:sz w:val="20"/>
          <w:szCs w:val="20"/>
        </w:rPr>
        <w:t xml:space="preserve">; </w:t>
      </w:r>
      <w:r w:rsidRPr="004A4551">
        <w:rPr>
          <w:rFonts w:ascii="Arial" w:hAnsi="Arial" w:cs="Arial"/>
          <w:sz w:val="20"/>
          <w:szCs w:val="20"/>
        </w:rPr>
        <w:t xml:space="preserve">means separated using LSD (p&lt; .05). </w:t>
      </w:r>
    </w:p>
    <w:p w14:paraId="501901ED" w14:textId="13C256BE"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 xml:space="preserve">Results: </w:t>
      </w:r>
      <w:r w:rsidRPr="004A4551">
        <w:rPr>
          <w:rFonts w:ascii="Arial" w:hAnsi="Arial" w:cs="Arial"/>
          <w:sz w:val="20"/>
          <w:szCs w:val="20"/>
        </w:rPr>
        <w:t>All formulations satisfied post-pasteurization standards</w:t>
      </w:r>
      <w:r w:rsidR="000830CD" w:rsidRPr="004A4551">
        <w:rPr>
          <w:rFonts w:ascii="Arial" w:hAnsi="Arial" w:cs="Arial"/>
          <w:sz w:val="20"/>
          <w:szCs w:val="20"/>
        </w:rPr>
        <w:t xml:space="preserve"> with </w:t>
      </w:r>
      <w:r w:rsidRPr="004A4551">
        <w:rPr>
          <w:rFonts w:ascii="Arial" w:hAnsi="Arial" w:cs="Arial"/>
          <w:sz w:val="20"/>
          <w:szCs w:val="20"/>
        </w:rPr>
        <w:t xml:space="preserve">TPC below 50 CFU/ml on day 0. </w:t>
      </w:r>
      <w:r w:rsidR="00D454A9" w:rsidRPr="004A4551">
        <w:rPr>
          <w:rFonts w:ascii="Arial" w:hAnsi="Arial" w:cs="Arial"/>
          <w:sz w:val="20"/>
          <w:szCs w:val="20"/>
        </w:rPr>
        <w:t>By</w:t>
      </w:r>
      <w:r w:rsidRPr="004A4551">
        <w:rPr>
          <w:rFonts w:ascii="Arial" w:hAnsi="Arial" w:cs="Arial"/>
          <w:sz w:val="20"/>
          <w:szCs w:val="20"/>
        </w:rPr>
        <w:t xml:space="preserve"> day 21, Sample B recorded the lowest microbial counts (TPC, TYC, and TCC = 250, 220, and 220, respectively), while the control recorded the highest. TCC exceeded the </w:t>
      </w:r>
      <w:r w:rsidR="00D454A9" w:rsidRPr="004A4551">
        <w:rPr>
          <w:rFonts w:ascii="Arial" w:hAnsi="Arial" w:cs="Arial"/>
          <w:sz w:val="20"/>
          <w:szCs w:val="20"/>
        </w:rPr>
        <w:t xml:space="preserve">mandatory </w:t>
      </w:r>
      <w:r w:rsidRPr="004A4551">
        <w:rPr>
          <w:rFonts w:ascii="Arial" w:hAnsi="Arial" w:cs="Arial"/>
          <w:sz w:val="20"/>
          <w:szCs w:val="20"/>
        </w:rPr>
        <w:t xml:space="preserve">zero-coliform </w:t>
      </w:r>
      <w:r w:rsidR="00217128">
        <w:rPr>
          <w:rFonts w:ascii="Arial" w:hAnsi="Arial" w:cs="Arial"/>
          <w:sz w:val="20"/>
          <w:szCs w:val="20"/>
        </w:rPr>
        <w:t xml:space="preserve">Nigeria’s </w:t>
      </w:r>
      <w:r w:rsidRPr="004A4551">
        <w:rPr>
          <w:rFonts w:ascii="Arial" w:hAnsi="Arial" w:cs="Arial"/>
          <w:sz w:val="20"/>
          <w:szCs w:val="20"/>
        </w:rPr>
        <w:t>NAFDAC</w:t>
      </w:r>
      <w:r w:rsidR="0086455B">
        <w:rPr>
          <w:rFonts w:ascii="Arial" w:hAnsi="Arial" w:cs="Arial"/>
          <w:sz w:val="20"/>
          <w:szCs w:val="20"/>
        </w:rPr>
        <w:t xml:space="preserve"> [National Agency for Food and Drug </w:t>
      </w:r>
      <w:r w:rsidR="00217128">
        <w:rPr>
          <w:rFonts w:ascii="Arial" w:hAnsi="Arial" w:cs="Arial"/>
          <w:sz w:val="20"/>
          <w:szCs w:val="20"/>
        </w:rPr>
        <w:t>Administration and Control</w:t>
      </w:r>
      <w:r w:rsidR="0086455B">
        <w:rPr>
          <w:rFonts w:ascii="Arial" w:hAnsi="Arial" w:cs="Arial"/>
          <w:sz w:val="20"/>
          <w:szCs w:val="20"/>
        </w:rPr>
        <w:t>]</w:t>
      </w:r>
      <w:r w:rsidRPr="004A4551">
        <w:rPr>
          <w:rFonts w:ascii="Arial" w:hAnsi="Arial" w:cs="Arial"/>
          <w:sz w:val="20"/>
          <w:szCs w:val="20"/>
        </w:rPr>
        <w:t xml:space="preserve"> standard in all formulations beyond day 7. DPPH and FRAP activity were higher in all composite formulations on day 1, with sample B </w:t>
      </w:r>
      <w:r w:rsidRPr="004A4551">
        <w:rPr>
          <w:rFonts w:ascii="Arial" w:hAnsi="Arial" w:cs="Arial"/>
          <w:sz w:val="20"/>
          <w:szCs w:val="20"/>
        </w:rPr>
        <w:lastRenderedPageBreak/>
        <w:t>as the highest. pH decreased, and TTA declined progressively across all samples during storage. Sample B recorded the sharpest TTA reduction (1.05% to 0.25%), while the control was most stable (1.06 to 0.72%).</w:t>
      </w:r>
    </w:p>
    <w:p w14:paraId="6A6BB7B6" w14:textId="77777777" w:rsidR="00042ABC" w:rsidRPr="004A4551" w:rsidRDefault="00042ABC" w:rsidP="007F7216">
      <w:pPr>
        <w:spacing w:after="0" w:line="480" w:lineRule="auto"/>
        <w:jc w:val="both"/>
        <w:rPr>
          <w:rFonts w:ascii="Arial" w:eastAsia="Times New Roman" w:hAnsi="Arial" w:cs="Arial"/>
          <w:sz w:val="20"/>
          <w:szCs w:val="20"/>
        </w:rPr>
      </w:pPr>
      <w:r w:rsidRPr="004A4551">
        <w:rPr>
          <w:rFonts w:ascii="Arial" w:hAnsi="Arial" w:cs="Arial"/>
          <w:b/>
          <w:bCs/>
          <w:sz w:val="20"/>
          <w:szCs w:val="20"/>
        </w:rPr>
        <w:t>Conclusion:</w:t>
      </w:r>
      <w:r w:rsidRPr="004A4551">
        <w:rPr>
          <w:rFonts w:ascii="Arial" w:hAnsi="Arial" w:cs="Arial"/>
          <w:sz w:val="20"/>
          <w:szCs w:val="20"/>
        </w:rPr>
        <w:t xml:space="preserve"> Sample B showed the most favorable and, optimal profile for pilot-scale development. </w:t>
      </w:r>
    </w:p>
    <w:p w14:paraId="4A6F030B" w14:textId="2FA5C00D" w:rsidR="00042ABC" w:rsidRPr="004A4551" w:rsidRDefault="00042ABC" w:rsidP="007F7216">
      <w:pPr>
        <w:spacing w:after="0" w:line="480" w:lineRule="auto"/>
        <w:jc w:val="both"/>
        <w:rPr>
          <w:rFonts w:ascii="Arial" w:hAnsi="Arial" w:cs="Arial"/>
          <w:sz w:val="20"/>
          <w:szCs w:val="20"/>
        </w:rPr>
      </w:pPr>
      <w:r w:rsidRPr="004A4551">
        <w:rPr>
          <w:rFonts w:ascii="Arial" w:hAnsi="Arial" w:cs="Arial"/>
          <w:b/>
          <w:bCs/>
          <w:sz w:val="20"/>
          <w:szCs w:val="20"/>
        </w:rPr>
        <w:t>Keywords:</w:t>
      </w:r>
      <w:r w:rsidRPr="004A4551">
        <w:rPr>
          <w:rFonts w:ascii="Arial" w:hAnsi="Arial" w:cs="Arial"/>
          <w:sz w:val="20"/>
          <w:szCs w:val="20"/>
        </w:rPr>
        <w:t xml:space="preserve"> </w:t>
      </w:r>
      <w:r w:rsidRPr="004A4551">
        <w:rPr>
          <w:rFonts w:ascii="Arial" w:hAnsi="Arial" w:cs="Arial"/>
          <w:i/>
          <w:iCs/>
          <w:sz w:val="20"/>
          <w:szCs w:val="20"/>
        </w:rPr>
        <w:t xml:space="preserve">Vernonia amygdalina; Mentha </w:t>
      </w:r>
      <w:proofErr w:type="spellStart"/>
      <w:r w:rsidRPr="004A4551">
        <w:rPr>
          <w:rFonts w:ascii="Arial" w:hAnsi="Arial" w:cs="Arial"/>
          <w:i/>
          <w:iCs/>
          <w:sz w:val="20"/>
          <w:szCs w:val="20"/>
        </w:rPr>
        <w:t>spp</w:t>
      </w:r>
      <w:proofErr w:type="spellEnd"/>
      <w:r w:rsidRPr="004A4551">
        <w:rPr>
          <w:rFonts w:ascii="Arial" w:hAnsi="Arial" w:cs="Arial"/>
          <w:i/>
          <w:iCs/>
          <w:sz w:val="20"/>
          <w:szCs w:val="20"/>
        </w:rPr>
        <w:t xml:space="preserve">; </w:t>
      </w:r>
      <w:r w:rsidRPr="004A4551">
        <w:rPr>
          <w:rFonts w:ascii="Arial" w:hAnsi="Arial" w:cs="Arial"/>
          <w:sz w:val="20"/>
          <w:szCs w:val="20"/>
        </w:rPr>
        <w:t xml:space="preserve">Functional juice; pasteurization; antioxidant activity; Nigeria; ambient storage. </w:t>
      </w:r>
    </w:p>
    <w:p w14:paraId="37A75375" w14:textId="50A3BEE8" w:rsidR="00A05DFA" w:rsidRPr="004A4551" w:rsidRDefault="004C42B6" w:rsidP="007F7216">
      <w:pPr>
        <w:spacing w:after="0" w:line="480" w:lineRule="auto"/>
        <w:rPr>
          <w:rFonts w:ascii="Arial" w:hAnsi="Arial" w:cs="Arial"/>
          <w:b/>
          <w:bCs/>
          <w:sz w:val="20"/>
          <w:szCs w:val="20"/>
        </w:rPr>
      </w:pPr>
      <w:r w:rsidRPr="004A4551">
        <w:rPr>
          <w:rFonts w:ascii="Arial" w:hAnsi="Arial" w:cs="Arial"/>
          <w:b/>
          <w:bCs/>
          <w:sz w:val="20"/>
          <w:szCs w:val="20"/>
        </w:rPr>
        <w:t>1. INTRODUCTION</w:t>
      </w:r>
    </w:p>
    <w:p w14:paraId="0B475E82" w14:textId="7CFD490E" w:rsidR="000A5E56" w:rsidRPr="004A4551" w:rsidRDefault="00D454A9" w:rsidP="007F7216">
      <w:pPr>
        <w:spacing w:after="0" w:line="480" w:lineRule="auto"/>
        <w:jc w:val="both"/>
        <w:rPr>
          <w:rFonts w:ascii="Arial" w:hAnsi="Arial" w:cs="Arial"/>
          <w:sz w:val="20"/>
          <w:szCs w:val="20"/>
        </w:rPr>
      </w:pPr>
      <w:r w:rsidRPr="004A4551">
        <w:rPr>
          <w:rFonts w:ascii="Arial" w:hAnsi="Arial" w:cs="Arial"/>
          <w:sz w:val="20"/>
          <w:szCs w:val="20"/>
        </w:rPr>
        <w:t>T</w:t>
      </w:r>
      <w:r w:rsidR="002C20A0" w:rsidRPr="004A4551">
        <w:rPr>
          <w:rFonts w:ascii="Arial" w:hAnsi="Arial" w:cs="Arial"/>
          <w:sz w:val="20"/>
          <w:szCs w:val="20"/>
        </w:rPr>
        <w:t>he global demand for functional, clean-label, naturally preserved beverages derived from whole fruits, vegetables, and medicinal plants</w:t>
      </w:r>
      <w:r w:rsidR="00192F77" w:rsidRPr="004A4551">
        <w:rPr>
          <w:rFonts w:ascii="Arial" w:hAnsi="Arial" w:cs="Arial"/>
          <w:sz w:val="20"/>
          <w:szCs w:val="20"/>
        </w:rPr>
        <w:t xml:space="preserve"> </w:t>
      </w:r>
      <w:r w:rsidR="006C4C8E" w:rsidRPr="004A4551">
        <w:rPr>
          <w:rFonts w:ascii="Arial" w:hAnsi="Arial" w:cs="Arial"/>
          <w:sz w:val="20"/>
          <w:szCs w:val="20"/>
        </w:rPr>
        <w:t>has</w:t>
      </w:r>
      <w:r w:rsidRPr="004A4551">
        <w:rPr>
          <w:rFonts w:ascii="Arial" w:hAnsi="Arial" w:cs="Arial"/>
          <w:sz w:val="20"/>
          <w:szCs w:val="20"/>
        </w:rPr>
        <w:t xml:space="preserve"> grown tremendously</w:t>
      </w:r>
      <w:r w:rsidR="002C20A0" w:rsidRPr="004A4551">
        <w:rPr>
          <w:rFonts w:ascii="Arial" w:hAnsi="Arial" w:cs="Arial"/>
          <w:sz w:val="20"/>
          <w:szCs w:val="20"/>
        </w:rPr>
        <w:t xml:space="preserve">. This is driven by consumers' awareness of the relationship between </w:t>
      </w:r>
      <w:r w:rsidR="00A26968">
        <w:rPr>
          <w:rFonts w:ascii="Arial" w:hAnsi="Arial" w:cs="Arial"/>
          <w:sz w:val="20"/>
          <w:szCs w:val="20"/>
        </w:rPr>
        <w:t>consuming</w:t>
      </w:r>
      <w:r w:rsidR="007C31BE" w:rsidRPr="004A4551">
        <w:rPr>
          <w:rFonts w:ascii="Arial" w:hAnsi="Arial" w:cs="Arial"/>
          <w:sz w:val="20"/>
          <w:szCs w:val="20"/>
        </w:rPr>
        <w:t xml:space="preserve"> functional foods </w:t>
      </w:r>
      <w:r w:rsidR="002C20A0" w:rsidRPr="004A4551">
        <w:rPr>
          <w:rFonts w:ascii="Arial" w:hAnsi="Arial" w:cs="Arial"/>
          <w:sz w:val="20"/>
          <w:szCs w:val="20"/>
        </w:rPr>
        <w:t>and disease prevention (</w:t>
      </w:r>
      <w:proofErr w:type="spellStart"/>
      <w:r w:rsidR="002C20A0" w:rsidRPr="004A4551">
        <w:rPr>
          <w:rFonts w:ascii="Arial" w:hAnsi="Arial" w:cs="Arial"/>
          <w:sz w:val="20"/>
          <w:szCs w:val="20"/>
        </w:rPr>
        <w:t>Granato</w:t>
      </w:r>
      <w:proofErr w:type="spellEnd"/>
      <w:r w:rsidR="002C20A0" w:rsidRPr="004A4551">
        <w:rPr>
          <w:rFonts w:ascii="Arial" w:hAnsi="Arial" w:cs="Arial"/>
          <w:sz w:val="20"/>
          <w:szCs w:val="20"/>
        </w:rPr>
        <w:t xml:space="preserve"> </w:t>
      </w:r>
      <w:r w:rsidR="002C20A0" w:rsidRPr="004A4551">
        <w:rPr>
          <w:rFonts w:ascii="Arial" w:hAnsi="Arial" w:cs="Arial"/>
          <w:i/>
          <w:iCs/>
          <w:sz w:val="20"/>
          <w:szCs w:val="20"/>
        </w:rPr>
        <w:t xml:space="preserve">et al., </w:t>
      </w:r>
      <w:r w:rsidR="002C20A0" w:rsidRPr="004A4551">
        <w:rPr>
          <w:rFonts w:ascii="Arial" w:hAnsi="Arial" w:cs="Arial"/>
          <w:sz w:val="20"/>
          <w:szCs w:val="20"/>
        </w:rPr>
        <w:t>2020). Phytochemical-rich plant foods are</w:t>
      </w:r>
      <w:r w:rsidR="007C31BE" w:rsidRPr="004A4551">
        <w:rPr>
          <w:rFonts w:ascii="Arial" w:hAnsi="Arial" w:cs="Arial"/>
          <w:sz w:val="20"/>
          <w:szCs w:val="20"/>
        </w:rPr>
        <w:t xml:space="preserve"> classified as</w:t>
      </w:r>
      <w:r w:rsidR="002C20A0" w:rsidRPr="004A4551">
        <w:rPr>
          <w:rFonts w:ascii="Arial" w:hAnsi="Arial" w:cs="Arial"/>
          <w:sz w:val="20"/>
          <w:szCs w:val="20"/>
        </w:rPr>
        <w:t xml:space="preserve"> functional</w:t>
      </w:r>
      <w:r w:rsidR="007C31BE" w:rsidRPr="004A4551">
        <w:rPr>
          <w:rFonts w:ascii="Arial" w:hAnsi="Arial" w:cs="Arial"/>
          <w:sz w:val="20"/>
          <w:szCs w:val="20"/>
        </w:rPr>
        <w:t xml:space="preserve"> </w:t>
      </w:r>
      <w:r w:rsidR="002C20A0" w:rsidRPr="004A4551">
        <w:rPr>
          <w:rFonts w:ascii="Arial" w:hAnsi="Arial" w:cs="Arial"/>
          <w:sz w:val="20"/>
          <w:szCs w:val="20"/>
        </w:rPr>
        <w:t>because</w:t>
      </w:r>
      <w:r w:rsidR="007C31BE" w:rsidRPr="004A4551">
        <w:rPr>
          <w:rFonts w:ascii="Arial" w:hAnsi="Arial" w:cs="Arial"/>
          <w:sz w:val="20"/>
          <w:szCs w:val="20"/>
        </w:rPr>
        <w:t xml:space="preserve"> their</w:t>
      </w:r>
      <w:r w:rsidR="002C20A0" w:rsidRPr="004A4551">
        <w:rPr>
          <w:rFonts w:ascii="Arial" w:hAnsi="Arial" w:cs="Arial"/>
          <w:sz w:val="20"/>
          <w:szCs w:val="20"/>
        </w:rPr>
        <w:t xml:space="preserve"> bioactive compounds</w:t>
      </w:r>
      <w:r w:rsidR="007C31BE" w:rsidRPr="004A4551">
        <w:rPr>
          <w:rFonts w:ascii="Arial" w:hAnsi="Arial" w:cs="Arial"/>
          <w:sz w:val="20"/>
          <w:szCs w:val="20"/>
        </w:rPr>
        <w:t xml:space="preserve">, such as polyphenols, carotenoids, flavonoids, and ascorbic acid, </w:t>
      </w:r>
      <w:r w:rsidR="002C20A0" w:rsidRPr="004A4551">
        <w:rPr>
          <w:rFonts w:ascii="Arial" w:hAnsi="Arial" w:cs="Arial"/>
          <w:sz w:val="20"/>
          <w:szCs w:val="20"/>
        </w:rPr>
        <w:t>can delay or prevent the onset of chronic or infectious diseases (</w:t>
      </w:r>
      <w:proofErr w:type="spellStart"/>
      <w:r w:rsidR="002C20A0" w:rsidRPr="004A4551">
        <w:rPr>
          <w:rFonts w:ascii="Arial" w:hAnsi="Arial" w:cs="Arial"/>
          <w:sz w:val="20"/>
          <w:szCs w:val="20"/>
        </w:rPr>
        <w:t>Nwagbo</w:t>
      </w:r>
      <w:proofErr w:type="spellEnd"/>
      <w:r w:rsidR="002C20A0" w:rsidRPr="004A4551">
        <w:rPr>
          <w:rFonts w:ascii="Arial" w:hAnsi="Arial" w:cs="Arial"/>
          <w:sz w:val="20"/>
          <w:szCs w:val="20"/>
        </w:rPr>
        <w:t xml:space="preserve"> </w:t>
      </w:r>
      <w:r w:rsidR="002C20A0" w:rsidRPr="004457EC">
        <w:rPr>
          <w:rFonts w:ascii="Arial" w:hAnsi="Arial" w:cs="Arial"/>
          <w:sz w:val="20"/>
          <w:szCs w:val="20"/>
        </w:rPr>
        <w:t>et al.,</w:t>
      </w:r>
      <w:r w:rsidR="002C20A0" w:rsidRPr="004A4551">
        <w:rPr>
          <w:rFonts w:ascii="Arial" w:hAnsi="Arial" w:cs="Arial"/>
          <w:i/>
          <w:iCs/>
          <w:sz w:val="20"/>
          <w:szCs w:val="20"/>
        </w:rPr>
        <w:t xml:space="preserve"> </w:t>
      </w:r>
      <w:r w:rsidR="002C20A0" w:rsidRPr="004A4551">
        <w:rPr>
          <w:rFonts w:ascii="Arial" w:hAnsi="Arial" w:cs="Arial"/>
          <w:sz w:val="20"/>
          <w:szCs w:val="20"/>
        </w:rPr>
        <w:t xml:space="preserve">2025). The consumption of functional beverages is a growing trend in Nigeria, </w:t>
      </w:r>
      <w:r w:rsidR="007C31BE" w:rsidRPr="004A4551">
        <w:rPr>
          <w:rFonts w:ascii="Arial" w:hAnsi="Arial" w:cs="Arial"/>
          <w:sz w:val="20"/>
          <w:szCs w:val="20"/>
        </w:rPr>
        <w:t xml:space="preserve">and </w:t>
      </w:r>
      <w:r w:rsidR="002C20A0" w:rsidRPr="004A4551">
        <w:rPr>
          <w:rFonts w:ascii="Arial" w:hAnsi="Arial" w:cs="Arial"/>
          <w:sz w:val="20"/>
          <w:szCs w:val="20"/>
        </w:rPr>
        <w:t>other low- and middle-income countries, where people prioritize preventive medicine using locally available traditional foods</w:t>
      </w:r>
      <w:r w:rsidR="00FC1878" w:rsidRPr="004A4551">
        <w:rPr>
          <w:rFonts w:ascii="Arial" w:hAnsi="Arial" w:cs="Arial"/>
          <w:sz w:val="20"/>
          <w:szCs w:val="20"/>
        </w:rPr>
        <w:t xml:space="preserve"> (</w:t>
      </w:r>
      <w:proofErr w:type="spellStart"/>
      <w:r w:rsidR="00FC1878" w:rsidRPr="004A4551">
        <w:rPr>
          <w:rFonts w:ascii="Arial" w:hAnsi="Arial" w:cs="Arial"/>
          <w:sz w:val="20"/>
          <w:szCs w:val="20"/>
        </w:rPr>
        <w:t>Chude</w:t>
      </w:r>
      <w:proofErr w:type="spellEnd"/>
      <w:r w:rsidR="00FC1878" w:rsidRPr="004A4551">
        <w:rPr>
          <w:rFonts w:ascii="Arial" w:hAnsi="Arial" w:cs="Arial"/>
          <w:sz w:val="20"/>
          <w:szCs w:val="20"/>
        </w:rPr>
        <w:t xml:space="preserve"> et al., 202</w:t>
      </w:r>
      <w:r w:rsidR="00B55EC6">
        <w:rPr>
          <w:rFonts w:ascii="Arial" w:hAnsi="Arial" w:cs="Arial"/>
          <w:sz w:val="20"/>
          <w:szCs w:val="20"/>
        </w:rPr>
        <w:t>1</w:t>
      </w:r>
      <w:r w:rsidR="00FC1878" w:rsidRPr="004A4551">
        <w:rPr>
          <w:rFonts w:ascii="Arial" w:hAnsi="Arial" w:cs="Arial"/>
          <w:sz w:val="20"/>
          <w:szCs w:val="20"/>
        </w:rPr>
        <w:t>)</w:t>
      </w:r>
      <w:r w:rsidR="002C20A0" w:rsidRPr="004A4551">
        <w:rPr>
          <w:rFonts w:ascii="Arial" w:hAnsi="Arial" w:cs="Arial"/>
          <w:sz w:val="20"/>
          <w:szCs w:val="20"/>
        </w:rPr>
        <w:t xml:space="preserve">. The preservation of these beverages without synthetic additives makes them appealing </w:t>
      </w:r>
      <w:r w:rsidR="000C35D7" w:rsidRPr="004A4551">
        <w:rPr>
          <w:rFonts w:ascii="Arial" w:hAnsi="Arial" w:cs="Arial"/>
          <w:sz w:val="20"/>
          <w:szCs w:val="20"/>
        </w:rPr>
        <w:t>to</w:t>
      </w:r>
      <w:r w:rsidR="002C20A0" w:rsidRPr="004A4551">
        <w:rPr>
          <w:rFonts w:ascii="Arial" w:hAnsi="Arial" w:cs="Arial"/>
          <w:sz w:val="20"/>
          <w:szCs w:val="20"/>
        </w:rPr>
        <w:t xml:space="preserve"> health-conscious consumers (</w:t>
      </w:r>
      <w:proofErr w:type="spellStart"/>
      <w:r w:rsidR="002C20A0" w:rsidRPr="004A4551">
        <w:rPr>
          <w:rFonts w:ascii="Arial" w:hAnsi="Arial" w:cs="Arial"/>
          <w:sz w:val="20"/>
          <w:szCs w:val="20"/>
        </w:rPr>
        <w:t>Ogundele</w:t>
      </w:r>
      <w:proofErr w:type="spellEnd"/>
      <w:r w:rsidR="002C20A0" w:rsidRPr="004A4551">
        <w:rPr>
          <w:rFonts w:ascii="Arial" w:hAnsi="Arial" w:cs="Arial"/>
          <w:sz w:val="20"/>
          <w:szCs w:val="20"/>
        </w:rPr>
        <w:t xml:space="preserve"> et al, 2019). </w:t>
      </w:r>
    </w:p>
    <w:p w14:paraId="28DEF133" w14:textId="503D3E39" w:rsidR="00A674EF"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Pineapple (</w:t>
      </w:r>
      <w:r w:rsidRPr="004A4551">
        <w:rPr>
          <w:rFonts w:ascii="Arial" w:hAnsi="Arial" w:cs="Arial"/>
          <w:i/>
          <w:iCs/>
          <w:sz w:val="20"/>
          <w:szCs w:val="20"/>
        </w:rPr>
        <w:t>Ananas comosus L.</w:t>
      </w:r>
      <w:r w:rsidRPr="004A4551">
        <w:rPr>
          <w:rFonts w:ascii="Arial" w:hAnsi="Arial" w:cs="Arial"/>
          <w:sz w:val="20"/>
          <w:szCs w:val="20"/>
        </w:rPr>
        <w:t>) and cucumber (</w:t>
      </w:r>
      <w:r w:rsidRPr="004A4551">
        <w:rPr>
          <w:rFonts w:ascii="Arial" w:hAnsi="Arial" w:cs="Arial"/>
          <w:i/>
          <w:iCs/>
          <w:sz w:val="20"/>
          <w:szCs w:val="20"/>
        </w:rPr>
        <w:t>Cucumis sativus</w:t>
      </w:r>
      <w:r w:rsidRPr="004A4551">
        <w:rPr>
          <w:rFonts w:ascii="Arial" w:hAnsi="Arial" w:cs="Arial"/>
          <w:sz w:val="20"/>
          <w:szCs w:val="20"/>
        </w:rPr>
        <w:t xml:space="preserve"> L) are tropical fruits used in fruit juice production </w:t>
      </w:r>
      <w:r w:rsidR="000C35D7" w:rsidRPr="004A4551">
        <w:rPr>
          <w:rFonts w:ascii="Arial" w:hAnsi="Arial" w:cs="Arial"/>
          <w:sz w:val="20"/>
          <w:szCs w:val="20"/>
        </w:rPr>
        <w:t>for</w:t>
      </w:r>
      <w:r w:rsidRPr="004A4551">
        <w:rPr>
          <w:rFonts w:ascii="Arial" w:hAnsi="Arial" w:cs="Arial"/>
          <w:sz w:val="20"/>
          <w:szCs w:val="20"/>
        </w:rPr>
        <w:t xml:space="preserve"> their moisture content and</w:t>
      </w:r>
      <w:r w:rsidR="000C35D7" w:rsidRPr="004A4551">
        <w:rPr>
          <w:rFonts w:ascii="Arial" w:hAnsi="Arial" w:cs="Arial"/>
          <w:sz w:val="20"/>
          <w:szCs w:val="20"/>
        </w:rPr>
        <w:t xml:space="preserve"> natural</w:t>
      </w:r>
      <w:r w:rsidRPr="004A4551">
        <w:rPr>
          <w:rFonts w:ascii="Arial" w:hAnsi="Arial" w:cs="Arial"/>
          <w:sz w:val="20"/>
          <w:szCs w:val="20"/>
        </w:rPr>
        <w:t xml:space="preserve"> sweetness. Pineapple contains </w:t>
      </w:r>
      <w:r w:rsidR="00A674EF" w:rsidRPr="004A4551">
        <w:rPr>
          <w:rFonts w:ascii="Arial" w:hAnsi="Arial" w:cs="Arial"/>
          <w:sz w:val="20"/>
          <w:szCs w:val="20"/>
        </w:rPr>
        <w:t>bromelain, manganese, phenolic acids, flavonoids, terpenoids, and ascorbic acid with antioxidant, anti-inflammatory, and antimicrobial properties (</w:t>
      </w:r>
      <w:proofErr w:type="spellStart"/>
      <w:r w:rsidR="00A674EF" w:rsidRPr="004A4551">
        <w:rPr>
          <w:rFonts w:ascii="Arial" w:hAnsi="Arial" w:cs="Arial"/>
          <w:sz w:val="20"/>
          <w:szCs w:val="20"/>
        </w:rPr>
        <w:t>Farombi</w:t>
      </w:r>
      <w:proofErr w:type="spellEnd"/>
      <w:r w:rsidR="00A674EF" w:rsidRPr="004A4551">
        <w:rPr>
          <w:rFonts w:ascii="Arial" w:hAnsi="Arial" w:cs="Arial"/>
          <w:sz w:val="20"/>
          <w:szCs w:val="20"/>
        </w:rPr>
        <w:t xml:space="preserve"> and </w:t>
      </w:r>
      <w:proofErr w:type="spellStart"/>
      <w:r w:rsidR="00A674EF" w:rsidRPr="004A4551">
        <w:rPr>
          <w:rFonts w:ascii="Arial" w:hAnsi="Arial" w:cs="Arial"/>
          <w:sz w:val="20"/>
          <w:szCs w:val="20"/>
        </w:rPr>
        <w:t>Owoeye</w:t>
      </w:r>
      <w:proofErr w:type="spellEnd"/>
      <w:r w:rsidR="00A674EF" w:rsidRPr="004A4551">
        <w:rPr>
          <w:rFonts w:ascii="Arial" w:hAnsi="Arial" w:cs="Arial"/>
          <w:sz w:val="20"/>
          <w:szCs w:val="20"/>
        </w:rPr>
        <w:t>, 2011}</w:t>
      </w:r>
      <w:r w:rsidR="000C35D7" w:rsidRPr="004A4551">
        <w:rPr>
          <w:rFonts w:ascii="Arial" w:hAnsi="Arial" w:cs="Arial"/>
          <w:sz w:val="20"/>
          <w:szCs w:val="20"/>
        </w:rPr>
        <w:t>, while c</w:t>
      </w:r>
      <w:r w:rsidRPr="004A4551">
        <w:rPr>
          <w:rFonts w:ascii="Arial" w:hAnsi="Arial" w:cs="Arial"/>
          <w:sz w:val="20"/>
          <w:szCs w:val="20"/>
        </w:rPr>
        <w:t xml:space="preserve">ucumber contains </w:t>
      </w:r>
      <w:proofErr w:type="spellStart"/>
      <w:r w:rsidRPr="004A4551">
        <w:rPr>
          <w:rFonts w:ascii="Arial" w:hAnsi="Arial" w:cs="Arial"/>
          <w:sz w:val="20"/>
          <w:szCs w:val="20"/>
        </w:rPr>
        <w:t>cucurbitacins</w:t>
      </w:r>
      <w:proofErr w:type="spellEnd"/>
      <w:r w:rsidR="000C35D7" w:rsidRPr="004A4551">
        <w:rPr>
          <w:rFonts w:ascii="Arial" w:hAnsi="Arial" w:cs="Arial"/>
          <w:sz w:val="20"/>
          <w:szCs w:val="20"/>
        </w:rPr>
        <w:t xml:space="preserve"> and</w:t>
      </w:r>
      <w:r w:rsidRPr="004A4551">
        <w:rPr>
          <w:rFonts w:ascii="Arial" w:hAnsi="Arial" w:cs="Arial"/>
          <w:sz w:val="20"/>
          <w:szCs w:val="20"/>
        </w:rPr>
        <w:t xml:space="preserve"> flavonoids</w:t>
      </w:r>
      <w:r w:rsidR="00A674EF" w:rsidRPr="004A4551">
        <w:rPr>
          <w:rFonts w:ascii="Arial" w:hAnsi="Arial" w:cs="Arial"/>
          <w:sz w:val="20"/>
          <w:szCs w:val="20"/>
        </w:rPr>
        <w:t xml:space="preserve"> </w:t>
      </w:r>
      <w:r w:rsidRPr="004A4551">
        <w:rPr>
          <w:rFonts w:ascii="Arial" w:hAnsi="Arial" w:cs="Arial"/>
          <w:sz w:val="20"/>
          <w:szCs w:val="20"/>
        </w:rPr>
        <w:t>(Rathore et al., 2018). Bitter leaf (</w:t>
      </w:r>
      <w:r w:rsidRPr="004A4551">
        <w:rPr>
          <w:rFonts w:ascii="Arial" w:hAnsi="Arial" w:cs="Arial"/>
          <w:i/>
          <w:iCs/>
          <w:sz w:val="20"/>
          <w:szCs w:val="20"/>
        </w:rPr>
        <w:t>Vernonia amygdalina</w:t>
      </w:r>
      <w:r w:rsidRPr="004A4551">
        <w:rPr>
          <w:rFonts w:ascii="Arial" w:hAnsi="Arial" w:cs="Arial"/>
          <w:sz w:val="20"/>
          <w:szCs w:val="20"/>
        </w:rPr>
        <w:t xml:space="preserve"> Del) is </w:t>
      </w:r>
      <w:r w:rsidR="000C35D7" w:rsidRPr="004A4551">
        <w:rPr>
          <w:rFonts w:ascii="Arial" w:hAnsi="Arial" w:cs="Arial"/>
          <w:sz w:val="20"/>
          <w:szCs w:val="20"/>
        </w:rPr>
        <w:t xml:space="preserve">an </w:t>
      </w:r>
      <w:r w:rsidRPr="004A4551">
        <w:rPr>
          <w:rFonts w:ascii="Arial" w:hAnsi="Arial" w:cs="Arial"/>
          <w:sz w:val="20"/>
          <w:szCs w:val="20"/>
        </w:rPr>
        <w:t>extensively studied indigenous West African medicinal</w:t>
      </w:r>
      <w:r w:rsidR="000C35D7" w:rsidRPr="004A4551">
        <w:rPr>
          <w:rFonts w:ascii="Arial" w:hAnsi="Arial" w:cs="Arial"/>
          <w:sz w:val="20"/>
          <w:szCs w:val="20"/>
        </w:rPr>
        <w:t xml:space="preserve"> plant</w:t>
      </w:r>
      <w:r w:rsidRPr="004A4551">
        <w:rPr>
          <w:rFonts w:ascii="Arial" w:hAnsi="Arial" w:cs="Arial"/>
          <w:sz w:val="20"/>
          <w:szCs w:val="20"/>
        </w:rPr>
        <w:t xml:space="preserve">, known for its hepatoprotective, antidiabetic, antimalarial, and antioxidant properties, </w:t>
      </w:r>
      <w:r w:rsidR="000C35D7" w:rsidRPr="004A4551">
        <w:rPr>
          <w:rFonts w:ascii="Arial" w:hAnsi="Arial" w:cs="Arial"/>
          <w:sz w:val="20"/>
          <w:szCs w:val="20"/>
        </w:rPr>
        <w:t>attributable</w:t>
      </w:r>
      <w:r w:rsidRPr="004A4551">
        <w:rPr>
          <w:rFonts w:ascii="Arial" w:hAnsi="Arial" w:cs="Arial"/>
          <w:sz w:val="20"/>
          <w:szCs w:val="20"/>
        </w:rPr>
        <w:t xml:space="preserve"> to its rich saponins, alkaloids, sesquiterpenoid lactones, and polyphenolic contents (</w:t>
      </w:r>
      <w:proofErr w:type="spellStart"/>
      <w:r w:rsidRPr="004A4551">
        <w:rPr>
          <w:rFonts w:ascii="Arial" w:hAnsi="Arial" w:cs="Arial"/>
          <w:sz w:val="20"/>
          <w:szCs w:val="20"/>
        </w:rPr>
        <w:t>Nwanio</w:t>
      </w:r>
      <w:proofErr w:type="spellEnd"/>
      <w:r w:rsidRPr="004A4551">
        <w:rPr>
          <w:rFonts w:ascii="Arial" w:hAnsi="Arial" w:cs="Arial"/>
          <w:sz w:val="20"/>
          <w:szCs w:val="20"/>
        </w:rPr>
        <w:t xml:space="preserve">, 2005; </w:t>
      </w:r>
      <w:proofErr w:type="spellStart"/>
      <w:r w:rsidRPr="004A4551">
        <w:rPr>
          <w:rFonts w:ascii="Arial" w:hAnsi="Arial" w:cs="Arial"/>
          <w:sz w:val="20"/>
          <w:szCs w:val="20"/>
        </w:rPr>
        <w:t>Ejoh</w:t>
      </w:r>
      <w:proofErr w:type="spellEnd"/>
      <w:r w:rsidRPr="004A4551">
        <w:rPr>
          <w:rFonts w:ascii="Arial" w:hAnsi="Arial" w:cs="Arial"/>
          <w:sz w:val="20"/>
          <w:szCs w:val="20"/>
        </w:rPr>
        <w:t xml:space="preserve"> et al., 2005). Mint (Mentha </w:t>
      </w:r>
      <w:proofErr w:type="spellStart"/>
      <w:r w:rsidRPr="004A4551">
        <w:rPr>
          <w:rFonts w:ascii="Arial" w:hAnsi="Arial" w:cs="Arial"/>
          <w:sz w:val="20"/>
          <w:szCs w:val="20"/>
        </w:rPr>
        <w:t>spp</w:t>
      </w:r>
      <w:proofErr w:type="spellEnd"/>
      <w:r w:rsidRPr="004A4551">
        <w:rPr>
          <w:rFonts w:ascii="Arial" w:hAnsi="Arial" w:cs="Arial"/>
          <w:sz w:val="20"/>
          <w:szCs w:val="20"/>
        </w:rPr>
        <w:t xml:space="preserve">) is a globally recognized culinary and medicinal herb </w:t>
      </w:r>
      <w:r w:rsidR="000C35D7" w:rsidRPr="004A4551">
        <w:rPr>
          <w:rFonts w:ascii="Arial" w:hAnsi="Arial" w:cs="Arial"/>
          <w:sz w:val="20"/>
          <w:szCs w:val="20"/>
        </w:rPr>
        <w:t xml:space="preserve">with established </w:t>
      </w:r>
      <w:r w:rsidRPr="004A4551">
        <w:rPr>
          <w:rFonts w:ascii="Arial" w:hAnsi="Arial" w:cs="Arial"/>
          <w:sz w:val="20"/>
          <w:szCs w:val="20"/>
        </w:rPr>
        <w:t xml:space="preserve">antimicrobial, antioxidant, and flavoring properties. The flavoring properties are </w:t>
      </w:r>
      <w:r w:rsidR="000C35D7" w:rsidRPr="004A4551">
        <w:rPr>
          <w:rFonts w:ascii="Arial" w:hAnsi="Arial" w:cs="Arial"/>
          <w:sz w:val="20"/>
          <w:szCs w:val="20"/>
        </w:rPr>
        <w:t xml:space="preserve">attributable to </w:t>
      </w:r>
      <w:r w:rsidRPr="004A4551">
        <w:rPr>
          <w:rFonts w:ascii="Arial" w:hAnsi="Arial" w:cs="Arial"/>
          <w:sz w:val="20"/>
          <w:szCs w:val="20"/>
        </w:rPr>
        <w:t>essential oil components</w:t>
      </w:r>
      <w:r w:rsidR="000C35D7" w:rsidRPr="004A4551">
        <w:rPr>
          <w:rFonts w:ascii="Arial" w:hAnsi="Arial" w:cs="Arial"/>
          <w:sz w:val="20"/>
          <w:szCs w:val="20"/>
        </w:rPr>
        <w:t>, especially</w:t>
      </w:r>
      <w:r w:rsidR="00A26968">
        <w:rPr>
          <w:rFonts w:ascii="Arial" w:hAnsi="Arial" w:cs="Arial"/>
          <w:sz w:val="20"/>
          <w:szCs w:val="20"/>
        </w:rPr>
        <w:t xml:space="preserve"> </w:t>
      </w:r>
      <w:proofErr w:type="spellStart"/>
      <w:r w:rsidR="00A26968">
        <w:rPr>
          <w:rFonts w:ascii="Arial" w:hAnsi="Arial" w:cs="Arial"/>
          <w:sz w:val="20"/>
          <w:szCs w:val="20"/>
        </w:rPr>
        <w:t>rosmarinic</w:t>
      </w:r>
      <w:proofErr w:type="spellEnd"/>
      <w:r w:rsidR="00A26968">
        <w:rPr>
          <w:rFonts w:ascii="Arial" w:hAnsi="Arial" w:cs="Arial"/>
          <w:sz w:val="20"/>
          <w:szCs w:val="20"/>
        </w:rPr>
        <w:t xml:space="preserve"> acid, menthol, and luteolin,</w:t>
      </w:r>
      <w:r w:rsidR="000C35D7" w:rsidRPr="004A4551">
        <w:rPr>
          <w:rFonts w:ascii="Arial" w:hAnsi="Arial" w:cs="Arial"/>
          <w:sz w:val="20"/>
          <w:szCs w:val="20"/>
        </w:rPr>
        <w:t xml:space="preserve"> with demonstrated utility in natural beverage</w:t>
      </w:r>
      <w:r w:rsidRPr="004A4551">
        <w:rPr>
          <w:rFonts w:ascii="Arial" w:hAnsi="Arial" w:cs="Arial"/>
          <w:sz w:val="20"/>
          <w:szCs w:val="20"/>
        </w:rPr>
        <w:t xml:space="preserve"> preservation (McKay and Blumberg, 2006; Burt, 2004</w:t>
      </w:r>
      <w:r w:rsidR="00A674EF" w:rsidRPr="004A4551">
        <w:rPr>
          <w:rFonts w:ascii="Arial" w:hAnsi="Arial" w:cs="Arial"/>
          <w:sz w:val="20"/>
          <w:szCs w:val="20"/>
        </w:rPr>
        <w:t xml:space="preserve">; Mahendran </w:t>
      </w:r>
      <w:r w:rsidR="00A674EF" w:rsidRPr="004A4551">
        <w:rPr>
          <w:rFonts w:ascii="Arial" w:hAnsi="Arial" w:cs="Arial"/>
          <w:i/>
          <w:iCs/>
          <w:sz w:val="20"/>
          <w:szCs w:val="20"/>
        </w:rPr>
        <w:t>et al., 2021</w:t>
      </w:r>
      <w:r w:rsidR="00A674EF" w:rsidRPr="004A4551">
        <w:rPr>
          <w:rFonts w:ascii="Arial" w:hAnsi="Arial" w:cs="Arial"/>
          <w:sz w:val="20"/>
          <w:szCs w:val="20"/>
        </w:rPr>
        <w:t xml:space="preserve">). </w:t>
      </w:r>
    </w:p>
    <w:p w14:paraId="5009126B" w14:textId="2C184D0D" w:rsidR="000A5E56"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Fruit- and vegetable-based beverages are inherently high-moisture, nutrient-rich products with near-neutral pH</w:t>
      </w:r>
      <w:r w:rsidR="00FC1878" w:rsidRPr="004A4551">
        <w:rPr>
          <w:rFonts w:ascii="Arial" w:hAnsi="Arial" w:cs="Arial"/>
          <w:sz w:val="20"/>
          <w:szCs w:val="20"/>
        </w:rPr>
        <w:t xml:space="preserve"> (</w:t>
      </w:r>
      <w:proofErr w:type="spellStart"/>
      <w:r w:rsidR="00FC1878" w:rsidRPr="004A4551">
        <w:rPr>
          <w:rFonts w:ascii="Arial" w:hAnsi="Arial" w:cs="Arial"/>
          <w:sz w:val="20"/>
          <w:szCs w:val="20"/>
        </w:rPr>
        <w:t>Okpalanma</w:t>
      </w:r>
      <w:proofErr w:type="spellEnd"/>
      <w:r w:rsidR="00FC1878" w:rsidRPr="004A4551">
        <w:rPr>
          <w:rFonts w:ascii="Arial" w:hAnsi="Arial" w:cs="Arial"/>
          <w:sz w:val="20"/>
          <w:szCs w:val="20"/>
        </w:rPr>
        <w:t xml:space="preserve"> et al., 2025)</w:t>
      </w:r>
      <w:r w:rsidR="00B673BC" w:rsidRPr="004A4551">
        <w:rPr>
          <w:rFonts w:ascii="Arial" w:hAnsi="Arial" w:cs="Arial"/>
          <w:sz w:val="20"/>
          <w:szCs w:val="20"/>
        </w:rPr>
        <w:t xml:space="preserve">, conditions that </w:t>
      </w:r>
      <w:r w:rsidRPr="004A4551">
        <w:rPr>
          <w:rFonts w:ascii="Arial" w:hAnsi="Arial" w:cs="Arial"/>
          <w:sz w:val="20"/>
          <w:szCs w:val="20"/>
        </w:rPr>
        <w:t xml:space="preserve">encourage microbial, enzymatic, and oxidation deterioration </w:t>
      </w:r>
      <w:r w:rsidRPr="004A4551">
        <w:rPr>
          <w:rFonts w:ascii="Arial" w:hAnsi="Arial" w:cs="Arial"/>
          <w:sz w:val="20"/>
          <w:szCs w:val="20"/>
        </w:rPr>
        <w:lastRenderedPageBreak/>
        <w:t>(</w:t>
      </w:r>
      <w:r w:rsidR="0029743E">
        <w:rPr>
          <w:rFonts w:ascii="Arial" w:hAnsi="Arial" w:cs="Arial"/>
          <w:sz w:val="20"/>
          <w:szCs w:val="20"/>
        </w:rPr>
        <w:t xml:space="preserve">Sanchez-Moreno et al., 2011; </w:t>
      </w:r>
      <w:r w:rsidRPr="004A4551">
        <w:rPr>
          <w:rFonts w:ascii="Arial" w:hAnsi="Arial" w:cs="Arial"/>
          <w:sz w:val="20"/>
          <w:szCs w:val="20"/>
        </w:rPr>
        <w:t xml:space="preserve">Rawson </w:t>
      </w:r>
      <w:r w:rsidRPr="004A4551">
        <w:rPr>
          <w:rFonts w:ascii="Arial" w:hAnsi="Arial" w:cs="Arial"/>
          <w:i/>
          <w:iCs/>
          <w:sz w:val="20"/>
          <w:szCs w:val="20"/>
        </w:rPr>
        <w:t xml:space="preserve">et al., </w:t>
      </w:r>
      <w:r w:rsidRPr="004A4551">
        <w:rPr>
          <w:rFonts w:ascii="Arial" w:hAnsi="Arial" w:cs="Arial"/>
          <w:sz w:val="20"/>
          <w:szCs w:val="20"/>
        </w:rPr>
        <w:t xml:space="preserve">2011). </w:t>
      </w:r>
      <w:r w:rsidR="000F6B5F" w:rsidRPr="004A4551">
        <w:rPr>
          <w:rFonts w:ascii="Arial" w:hAnsi="Arial" w:cs="Arial"/>
          <w:sz w:val="20"/>
          <w:szCs w:val="20"/>
        </w:rPr>
        <w:t xml:space="preserve">Pasteurization inactivates enzymatic and microbial </w:t>
      </w:r>
      <w:r w:rsidR="00B673BC" w:rsidRPr="004A4551">
        <w:rPr>
          <w:rFonts w:ascii="Arial" w:hAnsi="Arial" w:cs="Arial"/>
          <w:sz w:val="20"/>
          <w:szCs w:val="20"/>
        </w:rPr>
        <w:t>activity in</w:t>
      </w:r>
      <w:r w:rsidR="000F6B5F" w:rsidRPr="004A4551">
        <w:rPr>
          <w:rFonts w:ascii="Arial" w:hAnsi="Arial" w:cs="Arial"/>
          <w:sz w:val="20"/>
          <w:szCs w:val="20"/>
        </w:rPr>
        <w:t xml:space="preserve"> </w:t>
      </w:r>
      <w:r w:rsidR="00B673BC" w:rsidRPr="004A4551">
        <w:rPr>
          <w:rFonts w:ascii="Arial" w:hAnsi="Arial" w:cs="Arial"/>
          <w:sz w:val="20"/>
          <w:szCs w:val="20"/>
        </w:rPr>
        <w:t>such</w:t>
      </w:r>
      <w:r w:rsidR="000F6B5F" w:rsidRPr="004A4551">
        <w:rPr>
          <w:rFonts w:ascii="Arial" w:hAnsi="Arial" w:cs="Arial"/>
          <w:sz w:val="20"/>
          <w:szCs w:val="20"/>
        </w:rPr>
        <w:t xml:space="preserve"> beverages</w:t>
      </w:r>
      <w:r w:rsidR="000439E7" w:rsidRPr="004A4551">
        <w:rPr>
          <w:rFonts w:ascii="Arial" w:hAnsi="Arial" w:cs="Arial"/>
          <w:sz w:val="20"/>
          <w:szCs w:val="20"/>
        </w:rPr>
        <w:t xml:space="preserve"> and </w:t>
      </w:r>
      <w:r w:rsidR="00FC1878" w:rsidRPr="004A4551">
        <w:rPr>
          <w:rFonts w:ascii="Arial" w:hAnsi="Arial" w:cs="Arial"/>
          <w:sz w:val="20"/>
          <w:szCs w:val="20"/>
        </w:rPr>
        <w:t>maintains</w:t>
      </w:r>
      <w:r w:rsidR="000F6B5F" w:rsidRPr="004A4551">
        <w:rPr>
          <w:rFonts w:ascii="Arial" w:hAnsi="Arial" w:cs="Arial"/>
          <w:sz w:val="20"/>
          <w:szCs w:val="20"/>
        </w:rPr>
        <w:t xml:space="preserve"> antioxidant integrity (Fellows, 201</w:t>
      </w:r>
      <w:r w:rsidR="00F964BE" w:rsidRPr="004A4551">
        <w:rPr>
          <w:rFonts w:ascii="Arial" w:hAnsi="Arial" w:cs="Arial"/>
          <w:sz w:val="20"/>
          <w:szCs w:val="20"/>
        </w:rPr>
        <w:t>9</w:t>
      </w:r>
      <w:r w:rsidR="000F6B5F" w:rsidRPr="004A4551">
        <w:rPr>
          <w:rFonts w:ascii="Arial" w:hAnsi="Arial" w:cs="Arial"/>
          <w:sz w:val="20"/>
          <w:szCs w:val="20"/>
        </w:rPr>
        <w:t xml:space="preserve">). </w:t>
      </w:r>
      <w:r w:rsidR="000439E7" w:rsidRPr="004A4551">
        <w:rPr>
          <w:rFonts w:ascii="Arial" w:hAnsi="Arial" w:cs="Arial"/>
          <w:sz w:val="20"/>
          <w:szCs w:val="20"/>
        </w:rPr>
        <w:t xml:space="preserve">However, </w:t>
      </w:r>
      <w:r w:rsidR="00B673BC" w:rsidRPr="004A4551">
        <w:rPr>
          <w:rFonts w:ascii="Arial" w:hAnsi="Arial" w:cs="Arial"/>
          <w:sz w:val="20"/>
          <w:szCs w:val="20"/>
        </w:rPr>
        <w:t xml:space="preserve">its preservation </w:t>
      </w:r>
      <w:r w:rsidR="000439E7" w:rsidRPr="004A4551">
        <w:rPr>
          <w:rFonts w:ascii="Arial" w:hAnsi="Arial" w:cs="Arial"/>
          <w:sz w:val="20"/>
          <w:szCs w:val="20"/>
        </w:rPr>
        <w:t>effectiveness is influenced by</w:t>
      </w:r>
      <w:r w:rsidR="00B673BC" w:rsidRPr="004A4551">
        <w:rPr>
          <w:rFonts w:ascii="Arial" w:hAnsi="Arial" w:cs="Arial"/>
          <w:sz w:val="20"/>
          <w:szCs w:val="20"/>
        </w:rPr>
        <w:t xml:space="preserve"> post-processing </w:t>
      </w:r>
      <w:r w:rsidR="000439E7" w:rsidRPr="004A4551">
        <w:rPr>
          <w:rFonts w:ascii="Arial" w:hAnsi="Arial" w:cs="Arial"/>
          <w:sz w:val="20"/>
          <w:szCs w:val="20"/>
        </w:rPr>
        <w:t xml:space="preserve">storage conditions, </w:t>
      </w:r>
      <w:r w:rsidR="00B673BC" w:rsidRPr="004A4551">
        <w:rPr>
          <w:rFonts w:ascii="Arial" w:hAnsi="Arial" w:cs="Arial"/>
          <w:sz w:val="20"/>
          <w:szCs w:val="20"/>
        </w:rPr>
        <w:t>like</w:t>
      </w:r>
      <w:r w:rsidR="000439E7" w:rsidRPr="004A4551">
        <w:rPr>
          <w:rFonts w:ascii="Arial" w:hAnsi="Arial" w:cs="Arial"/>
          <w:sz w:val="20"/>
          <w:szCs w:val="20"/>
        </w:rPr>
        <w:t xml:space="preserve"> temperature, light, packaging material, and time (</w:t>
      </w:r>
      <w:r w:rsidR="000439E7" w:rsidRPr="004A4551">
        <w:rPr>
          <w:rFonts w:ascii="Arial" w:hAnsi="Arial" w:cs="Arial"/>
          <w:color w:val="000000" w:themeColor="text1"/>
          <w:sz w:val="20"/>
          <w:szCs w:val="20"/>
        </w:rPr>
        <w:t xml:space="preserve">Nayak </w:t>
      </w:r>
      <w:r w:rsidR="000439E7" w:rsidRPr="004A4551">
        <w:rPr>
          <w:rFonts w:ascii="Arial" w:hAnsi="Arial" w:cs="Arial"/>
          <w:i/>
          <w:iCs/>
          <w:color w:val="000000" w:themeColor="text1"/>
          <w:sz w:val="20"/>
          <w:szCs w:val="20"/>
        </w:rPr>
        <w:t xml:space="preserve">et al., </w:t>
      </w:r>
      <w:r w:rsidR="000439E7" w:rsidRPr="004A4551">
        <w:rPr>
          <w:rFonts w:ascii="Arial" w:hAnsi="Arial" w:cs="Arial"/>
          <w:color w:val="000000" w:themeColor="text1"/>
          <w:sz w:val="20"/>
          <w:szCs w:val="20"/>
        </w:rPr>
        <w:t xml:space="preserve">2015; </w:t>
      </w:r>
      <w:proofErr w:type="spellStart"/>
      <w:r w:rsidR="000439E7" w:rsidRPr="004A4551">
        <w:rPr>
          <w:rFonts w:ascii="Arial" w:hAnsi="Arial" w:cs="Arial"/>
          <w:color w:val="000000" w:themeColor="text1"/>
          <w:sz w:val="20"/>
          <w:szCs w:val="20"/>
        </w:rPr>
        <w:t>Bchir</w:t>
      </w:r>
      <w:proofErr w:type="spellEnd"/>
      <w:r w:rsidR="000439E7" w:rsidRPr="004A4551">
        <w:rPr>
          <w:rFonts w:ascii="Arial" w:hAnsi="Arial" w:cs="Arial"/>
          <w:color w:val="000000" w:themeColor="text1"/>
          <w:sz w:val="20"/>
          <w:szCs w:val="20"/>
        </w:rPr>
        <w:t xml:space="preserve"> </w:t>
      </w:r>
      <w:r w:rsidR="000439E7" w:rsidRPr="004A4551">
        <w:rPr>
          <w:rFonts w:ascii="Arial" w:hAnsi="Arial" w:cs="Arial"/>
          <w:i/>
          <w:iCs/>
          <w:color w:val="000000" w:themeColor="text1"/>
          <w:sz w:val="20"/>
          <w:szCs w:val="20"/>
        </w:rPr>
        <w:t xml:space="preserve">et al., </w:t>
      </w:r>
      <w:r w:rsidR="000439E7" w:rsidRPr="004A4551">
        <w:rPr>
          <w:rFonts w:ascii="Arial" w:hAnsi="Arial" w:cs="Arial"/>
          <w:color w:val="000000" w:themeColor="text1"/>
          <w:sz w:val="20"/>
          <w:szCs w:val="20"/>
        </w:rPr>
        <w:t>2012</w:t>
      </w:r>
      <w:r w:rsidR="000439E7" w:rsidRPr="004A4551">
        <w:rPr>
          <w:rFonts w:ascii="Arial" w:hAnsi="Arial" w:cs="Arial"/>
          <w:b/>
          <w:bCs/>
          <w:sz w:val="20"/>
          <w:szCs w:val="20"/>
        </w:rPr>
        <w:t>)</w:t>
      </w:r>
      <w:r w:rsidR="000439E7" w:rsidRPr="004A4551">
        <w:rPr>
          <w:rFonts w:ascii="Arial" w:hAnsi="Arial" w:cs="Arial"/>
          <w:sz w:val="20"/>
          <w:szCs w:val="20"/>
        </w:rPr>
        <w:t xml:space="preserve">. With </w:t>
      </w:r>
      <w:r w:rsidR="00B673BC" w:rsidRPr="004A4551">
        <w:rPr>
          <w:rFonts w:ascii="Arial" w:hAnsi="Arial" w:cs="Arial"/>
          <w:sz w:val="20"/>
          <w:szCs w:val="20"/>
        </w:rPr>
        <w:t>the average Nigerian hot tropical</w:t>
      </w:r>
      <w:r w:rsidR="000439E7" w:rsidRPr="004A4551">
        <w:rPr>
          <w:rFonts w:ascii="Arial" w:hAnsi="Arial" w:cs="Arial"/>
          <w:sz w:val="20"/>
          <w:szCs w:val="20"/>
        </w:rPr>
        <w:t xml:space="preserve"> temperature</w:t>
      </w:r>
      <w:r w:rsidR="00B673BC" w:rsidRPr="004A4551">
        <w:rPr>
          <w:rFonts w:ascii="Arial" w:hAnsi="Arial" w:cs="Arial"/>
          <w:sz w:val="20"/>
          <w:szCs w:val="20"/>
        </w:rPr>
        <w:t xml:space="preserve"> of</w:t>
      </w:r>
      <w:r w:rsidR="000439E7" w:rsidRPr="004A4551">
        <w:rPr>
          <w:rFonts w:ascii="Arial" w:hAnsi="Arial" w:cs="Arial"/>
          <w:sz w:val="20"/>
          <w:szCs w:val="20"/>
        </w:rPr>
        <w:t xml:space="preserve"> 29</w:t>
      </w:r>
      <w:r w:rsidR="000439E7" w:rsidRPr="004A4551">
        <w:rPr>
          <w:rFonts w:ascii="Arial" w:hAnsi="Arial" w:cs="Arial"/>
          <w:sz w:val="20"/>
          <w:szCs w:val="20"/>
          <w:vertAlign w:val="superscript"/>
        </w:rPr>
        <w:t>0</w:t>
      </w:r>
      <w:r w:rsidR="000439E7" w:rsidRPr="004A4551">
        <w:rPr>
          <w:rFonts w:ascii="Arial" w:hAnsi="Arial" w:cs="Arial"/>
          <w:sz w:val="20"/>
          <w:szCs w:val="20"/>
        </w:rPr>
        <w:t>C and a prevalent</w:t>
      </w:r>
      <w:r w:rsidR="002532B9" w:rsidRPr="004A4551">
        <w:rPr>
          <w:rFonts w:ascii="Arial" w:hAnsi="Arial" w:cs="Arial"/>
          <w:sz w:val="20"/>
          <w:szCs w:val="20"/>
        </w:rPr>
        <w:t xml:space="preserve"> poor power supply, the storage stability of pasteurized </w:t>
      </w:r>
      <w:r w:rsidR="00156F54" w:rsidRPr="004A4551">
        <w:rPr>
          <w:rFonts w:ascii="Arial" w:hAnsi="Arial" w:cs="Arial"/>
          <w:sz w:val="20"/>
          <w:szCs w:val="20"/>
        </w:rPr>
        <w:t xml:space="preserve">functional </w:t>
      </w:r>
      <w:r w:rsidR="002532B9" w:rsidRPr="004A4551">
        <w:rPr>
          <w:rFonts w:ascii="Arial" w:hAnsi="Arial" w:cs="Arial"/>
          <w:sz w:val="20"/>
          <w:szCs w:val="20"/>
        </w:rPr>
        <w:t>juice products remains a critical concern</w:t>
      </w:r>
      <w:r w:rsidR="002532B9" w:rsidRPr="004A4551">
        <w:rPr>
          <w:rFonts w:ascii="Arial" w:hAnsi="Arial" w:cs="Arial"/>
          <w:color w:val="000000" w:themeColor="text1"/>
          <w:sz w:val="20"/>
          <w:szCs w:val="20"/>
        </w:rPr>
        <w:t xml:space="preserve"> (Adekunle and </w:t>
      </w:r>
      <w:proofErr w:type="spellStart"/>
      <w:r w:rsidR="002532B9" w:rsidRPr="004A4551">
        <w:rPr>
          <w:rFonts w:ascii="Arial" w:hAnsi="Arial" w:cs="Arial"/>
          <w:color w:val="000000" w:themeColor="text1"/>
          <w:sz w:val="20"/>
          <w:szCs w:val="20"/>
        </w:rPr>
        <w:t>Oyewole</w:t>
      </w:r>
      <w:proofErr w:type="spellEnd"/>
      <w:r w:rsidR="002532B9" w:rsidRPr="004A4551">
        <w:rPr>
          <w:rFonts w:ascii="Arial" w:hAnsi="Arial" w:cs="Arial"/>
          <w:color w:val="000000" w:themeColor="text1"/>
          <w:sz w:val="20"/>
          <w:szCs w:val="20"/>
        </w:rPr>
        <w:t xml:space="preserve">, 2020).  </w:t>
      </w:r>
    </w:p>
    <w:p w14:paraId="4819F470" w14:textId="45B101B8" w:rsidR="008E433C" w:rsidRPr="004A4551" w:rsidRDefault="00B673BC" w:rsidP="007F7216">
      <w:pPr>
        <w:spacing w:after="0" w:line="480" w:lineRule="auto"/>
        <w:jc w:val="both"/>
        <w:rPr>
          <w:rFonts w:ascii="Arial" w:hAnsi="Arial" w:cs="Arial"/>
          <w:sz w:val="20"/>
          <w:szCs w:val="20"/>
        </w:rPr>
      </w:pPr>
      <w:r w:rsidRPr="004A4551">
        <w:rPr>
          <w:rFonts w:ascii="Arial" w:hAnsi="Arial" w:cs="Arial"/>
          <w:sz w:val="20"/>
          <w:szCs w:val="20"/>
        </w:rPr>
        <w:t xml:space="preserve">While the functional properties of individual and binary </w:t>
      </w:r>
      <w:r w:rsidR="002C20A0" w:rsidRPr="004A4551">
        <w:rPr>
          <w:rFonts w:ascii="Arial" w:hAnsi="Arial" w:cs="Arial"/>
          <w:sz w:val="20"/>
          <w:szCs w:val="20"/>
        </w:rPr>
        <w:t>blends</w:t>
      </w:r>
      <w:r w:rsidRPr="004A4551">
        <w:rPr>
          <w:rFonts w:ascii="Arial" w:hAnsi="Arial" w:cs="Arial"/>
          <w:sz w:val="20"/>
          <w:szCs w:val="20"/>
        </w:rPr>
        <w:t xml:space="preserve"> of pineapple, cucumber </w:t>
      </w:r>
      <w:r w:rsidR="003D5084">
        <w:rPr>
          <w:rFonts w:ascii="Arial" w:hAnsi="Arial" w:cs="Arial"/>
          <w:sz w:val="20"/>
          <w:szCs w:val="20"/>
        </w:rPr>
        <w:t>an</w:t>
      </w:r>
      <w:r w:rsidRPr="004A4551">
        <w:rPr>
          <w:rFonts w:ascii="Arial" w:hAnsi="Arial" w:cs="Arial"/>
          <w:sz w:val="20"/>
          <w:szCs w:val="20"/>
        </w:rPr>
        <w:t xml:space="preserve">d bitter leaf have been studied </w:t>
      </w:r>
      <w:r w:rsidR="002532B9" w:rsidRPr="004A4551">
        <w:rPr>
          <w:rFonts w:ascii="Arial" w:hAnsi="Arial" w:cs="Arial"/>
          <w:sz w:val="20"/>
          <w:szCs w:val="20"/>
        </w:rPr>
        <w:t>(</w:t>
      </w:r>
      <w:proofErr w:type="spellStart"/>
      <w:r w:rsidR="002532B9" w:rsidRPr="004A4551">
        <w:rPr>
          <w:rFonts w:ascii="Arial" w:hAnsi="Arial" w:cs="Arial"/>
          <w:sz w:val="20"/>
          <w:szCs w:val="20"/>
        </w:rPr>
        <w:t>Farombi</w:t>
      </w:r>
      <w:proofErr w:type="spellEnd"/>
      <w:r w:rsidR="002532B9" w:rsidRPr="004A4551">
        <w:rPr>
          <w:rFonts w:ascii="Arial" w:hAnsi="Arial" w:cs="Arial"/>
          <w:sz w:val="20"/>
          <w:szCs w:val="20"/>
        </w:rPr>
        <w:t xml:space="preserve"> and </w:t>
      </w:r>
      <w:proofErr w:type="spellStart"/>
      <w:r w:rsidR="002532B9" w:rsidRPr="004A4551">
        <w:rPr>
          <w:rFonts w:ascii="Arial" w:hAnsi="Arial" w:cs="Arial"/>
          <w:sz w:val="20"/>
          <w:szCs w:val="20"/>
        </w:rPr>
        <w:t>Owoeye</w:t>
      </w:r>
      <w:proofErr w:type="spellEnd"/>
      <w:r w:rsidR="002532B9" w:rsidRPr="004A4551">
        <w:rPr>
          <w:rFonts w:ascii="Arial" w:hAnsi="Arial" w:cs="Arial"/>
          <w:sz w:val="20"/>
          <w:szCs w:val="20"/>
        </w:rPr>
        <w:t>, 2011; Adegoke et al, 201</w:t>
      </w:r>
      <w:r w:rsidR="00190AC6" w:rsidRPr="004A4551">
        <w:rPr>
          <w:rFonts w:ascii="Arial" w:hAnsi="Arial" w:cs="Arial"/>
          <w:sz w:val="20"/>
          <w:szCs w:val="20"/>
        </w:rPr>
        <w:t>6)</w:t>
      </w:r>
      <w:r w:rsidRPr="004A4551">
        <w:rPr>
          <w:rFonts w:ascii="Arial" w:hAnsi="Arial" w:cs="Arial"/>
          <w:color w:val="FF0000"/>
          <w:sz w:val="20"/>
          <w:szCs w:val="20"/>
        </w:rPr>
        <w:t xml:space="preserve">, </w:t>
      </w:r>
      <w:r w:rsidR="002532B9" w:rsidRPr="004A4551">
        <w:rPr>
          <w:rFonts w:ascii="Arial" w:hAnsi="Arial" w:cs="Arial"/>
          <w:sz w:val="20"/>
          <w:szCs w:val="20"/>
        </w:rPr>
        <w:t xml:space="preserve">no </w:t>
      </w:r>
      <w:r w:rsidR="00190AC6" w:rsidRPr="004A4551">
        <w:rPr>
          <w:rFonts w:ascii="Arial" w:hAnsi="Arial" w:cs="Arial"/>
          <w:sz w:val="20"/>
          <w:szCs w:val="20"/>
        </w:rPr>
        <w:t xml:space="preserve">published </w:t>
      </w:r>
      <w:r w:rsidR="002532B9" w:rsidRPr="004A4551">
        <w:rPr>
          <w:rFonts w:ascii="Arial" w:hAnsi="Arial" w:cs="Arial"/>
          <w:sz w:val="20"/>
          <w:szCs w:val="20"/>
        </w:rPr>
        <w:t>data</w:t>
      </w:r>
      <w:r w:rsidRPr="004A4551">
        <w:rPr>
          <w:rFonts w:ascii="Arial" w:hAnsi="Arial" w:cs="Arial"/>
          <w:sz w:val="20"/>
          <w:szCs w:val="20"/>
        </w:rPr>
        <w:t xml:space="preserve"> exists</w:t>
      </w:r>
      <w:r w:rsidR="002532B9" w:rsidRPr="004A4551">
        <w:rPr>
          <w:rFonts w:ascii="Arial" w:hAnsi="Arial" w:cs="Arial"/>
          <w:sz w:val="20"/>
          <w:szCs w:val="20"/>
        </w:rPr>
        <w:t xml:space="preserve"> on </w:t>
      </w:r>
      <w:r w:rsidR="00190AC6" w:rsidRPr="004A4551">
        <w:rPr>
          <w:rFonts w:ascii="Arial" w:hAnsi="Arial" w:cs="Arial"/>
          <w:sz w:val="20"/>
          <w:szCs w:val="20"/>
        </w:rPr>
        <w:t xml:space="preserve">pineapple-cucumber juice blends with </w:t>
      </w:r>
      <w:r w:rsidR="002532B9" w:rsidRPr="004A4551">
        <w:rPr>
          <w:rFonts w:ascii="Arial" w:hAnsi="Arial" w:cs="Arial"/>
          <w:sz w:val="20"/>
          <w:szCs w:val="20"/>
        </w:rPr>
        <w:t xml:space="preserve">mint </w:t>
      </w:r>
      <w:r w:rsidR="002C20A0" w:rsidRPr="004A4551">
        <w:rPr>
          <w:rFonts w:ascii="Arial" w:hAnsi="Arial" w:cs="Arial"/>
          <w:sz w:val="20"/>
          <w:szCs w:val="20"/>
        </w:rPr>
        <w:t xml:space="preserve">and bitter leaf </w:t>
      </w:r>
      <w:r w:rsidR="002532B9" w:rsidRPr="004A4551">
        <w:rPr>
          <w:rFonts w:ascii="Arial" w:hAnsi="Arial" w:cs="Arial"/>
          <w:sz w:val="20"/>
          <w:szCs w:val="20"/>
        </w:rPr>
        <w:t>as</w:t>
      </w:r>
      <w:r w:rsidR="002C20A0" w:rsidRPr="004A4551">
        <w:rPr>
          <w:rFonts w:ascii="Arial" w:hAnsi="Arial" w:cs="Arial"/>
          <w:sz w:val="20"/>
          <w:szCs w:val="20"/>
        </w:rPr>
        <w:t xml:space="preserve"> </w:t>
      </w:r>
      <w:r w:rsidR="002532B9" w:rsidRPr="004A4551">
        <w:rPr>
          <w:rFonts w:ascii="Arial" w:hAnsi="Arial" w:cs="Arial"/>
          <w:sz w:val="20"/>
          <w:szCs w:val="20"/>
        </w:rPr>
        <w:t>flavoring</w:t>
      </w:r>
      <w:r w:rsidR="00190AC6" w:rsidRPr="004A4551">
        <w:rPr>
          <w:rFonts w:ascii="Arial" w:hAnsi="Arial" w:cs="Arial"/>
          <w:sz w:val="20"/>
          <w:szCs w:val="20"/>
        </w:rPr>
        <w:t xml:space="preserve"> and preservation</w:t>
      </w:r>
      <w:r w:rsidR="002532B9" w:rsidRPr="004A4551">
        <w:rPr>
          <w:rFonts w:ascii="Arial" w:hAnsi="Arial" w:cs="Arial"/>
          <w:sz w:val="20"/>
          <w:szCs w:val="20"/>
        </w:rPr>
        <w:t xml:space="preserve"> </w:t>
      </w:r>
      <w:r w:rsidR="002C20A0" w:rsidRPr="004A4551">
        <w:rPr>
          <w:rFonts w:ascii="Arial" w:hAnsi="Arial" w:cs="Arial"/>
          <w:sz w:val="20"/>
          <w:szCs w:val="20"/>
        </w:rPr>
        <w:t>agents</w:t>
      </w:r>
      <w:r w:rsidR="002532B9" w:rsidRPr="004A4551">
        <w:rPr>
          <w:rFonts w:ascii="Arial" w:hAnsi="Arial" w:cs="Arial"/>
          <w:sz w:val="20"/>
          <w:szCs w:val="20"/>
        </w:rPr>
        <w:t xml:space="preserve">. Again, </w:t>
      </w:r>
      <w:r w:rsidR="002571AD" w:rsidRPr="004A4551">
        <w:rPr>
          <w:rFonts w:ascii="Arial" w:hAnsi="Arial" w:cs="Arial"/>
          <w:sz w:val="20"/>
          <w:szCs w:val="20"/>
        </w:rPr>
        <w:t xml:space="preserve">most </w:t>
      </w:r>
      <w:r w:rsidR="002532B9" w:rsidRPr="004A4551">
        <w:rPr>
          <w:rFonts w:ascii="Arial" w:hAnsi="Arial" w:cs="Arial"/>
          <w:sz w:val="20"/>
          <w:szCs w:val="20"/>
        </w:rPr>
        <w:t>shelf-life stud</w:t>
      </w:r>
      <w:r w:rsidR="002571AD" w:rsidRPr="004A4551">
        <w:rPr>
          <w:rFonts w:ascii="Arial" w:hAnsi="Arial" w:cs="Arial"/>
          <w:sz w:val="20"/>
          <w:szCs w:val="20"/>
        </w:rPr>
        <w:t>ies</w:t>
      </w:r>
      <w:r w:rsidR="002532B9" w:rsidRPr="004A4551">
        <w:rPr>
          <w:rFonts w:ascii="Arial" w:hAnsi="Arial" w:cs="Arial"/>
          <w:sz w:val="20"/>
          <w:szCs w:val="20"/>
        </w:rPr>
        <w:t xml:space="preserve"> of </w:t>
      </w:r>
      <w:r w:rsidR="002571AD" w:rsidRPr="004A4551">
        <w:rPr>
          <w:rFonts w:ascii="Arial" w:hAnsi="Arial" w:cs="Arial"/>
          <w:sz w:val="20"/>
          <w:szCs w:val="20"/>
        </w:rPr>
        <w:t xml:space="preserve">vegetable-fruit juice beverages </w:t>
      </w:r>
      <w:r w:rsidR="00190AC6" w:rsidRPr="004A4551">
        <w:rPr>
          <w:rFonts w:ascii="Arial" w:hAnsi="Arial" w:cs="Arial"/>
          <w:sz w:val="20"/>
          <w:szCs w:val="20"/>
        </w:rPr>
        <w:t xml:space="preserve">were conducted </w:t>
      </w:r>
      <w:r w:rsidR="002571AD" w:rsidRPr="004A4551">
        <w:rPr>
          <w:rFonts w:ascii="Arial" w:hAnsi="Arial" w:cs="Arial"/>
          <w:sz w:val="20"/>
          <w:szCs w:val="20"/>
        </w:rPr>
        <w:t xml:space="preserve">under refrigerated conditions, which do not reflect </w:t>
      </w:r>
      <w:r w:rsidR="00190AC6" w:rsidRPr="004A4551">
        <w:rPr>
          <w:rFonts w:ascii="Arial" w:hAnsi="Arial" w:cs="Arial"/>
          <w:sz w:val="20"/>
          <w:szCs w:val="20"/>
        </w:rPr>
        <w:t>tropical</w:t>
      </w:r>
      <w:r w:rsidR="002571AD" w:rsidRPr="004A4551">
        <w:rPr>
          <w:rFonts w:ascii="Arial" w:hAnsi="Arial" w:cs="Arial"/>
          <w:sz w:val="20"/>
          <w:szCs w:val="20"/>
        </w:rPr>
        <w:t xml:space="preserve"> </w:t>
      </w:r>
      <w:r w:rsidR="00190AC6" w:rsidRPr="004A4551">
        <w:rPr>
          <w:rFonts w:ascii="Arial" w:hAnsi="Arial" w:cs="Arial"/>
          <w:sz w:val="20"/>
          <w:szCs w:val="20"/>
        </w:rPr>
        <w:t xml:space="preserve">ambient </w:t>
      </w:r>
      <w:r w:rsidR="002571AD" w:rsidRPr="004A4551">
        <w:rPr>
          <w:rFonts w:ascii="Arial" w:hAnsi="Arial" w:cs="Arial"/>
          <w:sz w:val="20"/>
          <w:szCs w:val="20"/>
        </w:rPr>
        <w:t xml:space="preserve">storage realities (Adekunle and </w:t>
      </w:r>
      <w:proofErr w:type="spellStart"/>
      <w:r w:rsidR="002571AD" w:rsidRPr="004A4551">
        <w:rPr>
          <w:rFonts w:ascii="Arial" w:hAnsi="Arial" w:cs="Arial"/>
          <w:sz w:val="20"/>
          <w:szCs w:val="20"/>
        </w:rPr>
        <w:t>Oyewole</w:t>
      </w:r>
      <w:proofErr w:type="spellEnd"/>
      <w:r w:rsidR="002571AD" w:rsidRPr="004A4551">
        <w:rPr>
          <w:rFonts w:ascii="Arial" w:hAnsi="Arial" w:cs="Arial"/>
          <w:sz w:val="20"/>
          <w:szCs w:val="20"/>
        </w:rPr>
        <w:t xml:space="preserve">, 2020; </w:t>
      </w:r>
      <w:proofErr w:type="spellStart"/>
      <w:r w:rsidR="002571AD" w:rsidRPr="004A4551">
        <w:rPr>
          <w:rFonts w:ascii="Arial" w:hAnsi="Arial" w:cs="Arial"/>
          <w:sz w:val="20"/>
          <w:szCs w:val="20"/>
        </w:rPr>
        <w:t>Okwu</w:t>
      </w:r>
      <w:proofErr w:type="spellEnd"/>
      <w:r w:rsidR="002571AD" w:rsidRPr="004A4551">
        <w:rPr>
          <w:rFonts w:ascii="Arial" w:hAnsi="Arial" w:cs="Arial"/>
          <w:sz w:val="20"/>
          <w:szCs w:val="20"/>
        </w:rPr>
        <w:t xml:space="preserve"> and </w:t>
      </w:r>
      <w:proofErr w:type="spellStart"/>
      <w:r w:rsidR="002571AD" w:rsidRPr="004A4551">
        <w:rPr>
          <w:rFonts w:ascii="Arial" w:hAnsi="Arial" w:cs="Arial"/>
          <w:sz w:val="20"/>
          <w:szCs w:val="20"/>
        </w:rPr>
        <w:t>Emenike</w:t>
      </w:r>
      <w:proofErr w:type="spellEnd"/>
      <w:r w:rsidR="002571AD" w:rsidRPr="004A4551">
        <w:rPr>
          <w:rFonts w:ascii="Arial" w:hAnsi="Arial" w:cs="Arial"/>
          <w:sz w:val="20"/>
          <w:szCs w:val="20"/>
        </w:rPr>
        <w:t>, 2006)</w:t>
      </w:r>
      <w:r w:rsidR="001F0AA9" w:rsidRPr="004A4551">
        <w:rPr>
          <w:rFonts w:ascii="Arial" w:hAnsi="Arial" w:cs="Arial"/>
          <w:sz w:val="20"/>
          <w:szCs w:val="20"/>
        </w:rPr>
        <w:t xml:space="preserve">. </w:t>
      </w:r>
      <w:r w:rsidR="00190AC6" w:rsidRPr="004A4551">
        <w:rPr>
          <w:rFonts w:ascii="Arial" w:hAnsi="Arial" w:cs="Arial"/>
          <w:sz w:val="20"/>
          <w:szCs w:val="20"/>
        </w:rPr>
        <w:t xml:space="preserve">There is also a paucity of systematic multi-parameter quality </w:t>
      </w:r>
      <w:r w:rsidR="001B11C5" w:rsidRPr="004A4551">
        <w:rPr>
          <w:rFonts w:ascii="Arial" w:hAnsi="Arial" w:cs="Arial"/>
          <w:sz w:val="20"/>
          <w:szCs w:val="20"/>
        </w:rPr>
        <w:t>studies of microbiological safety, antioxidant retention, and physicochemical stability over a defined ambient storage period in this context. The current study addresses this gap by examining the microbiological, antioxidant, and physicochemical profiles of pasteurized mint-and-</w:t>
      </w:r>
      <w:proofErr w:type="spellStart"/>
      <w:r w:rsidR="001B11C5" w:rsidRPr="004A4551">
        <w:rPr>
          <w:rFonts w:ascii="Arial" w:hAnsi="Arial" w:cs="Arial"/>
          <w:sz w:val="20"/>
          <w:szCs w:val="20"/>
        </w:rPr>
        <w:t>bitterleaf</w:t>
      </w:r>
      <w:proofErr w:type="spellEnd"/>
      <w:r w:rsidR="001B11C5" w:rsidRPr="004A4551">
        <w:rPr>
          <w:rFonts w:ascii="Arial" w:hAnsi="Arial" w:cs="Arial"/>
          <w:sz w:val="20"/>
          <w:szCs w:val="20"/>
        </w:rPr>
        <w:t>-flavored</w:t>
      </w:r>
      <w:r w:rsidR="00190AC6" w:rsidRPr="004A4551">
        <w:rPr>
          <w:rFonts w:ascii="Arial" w:hAnsi="Arial" w:cs="Arial"/>
          <w:sz w:val="20"/>
          <w:szCs w:val="20"/>
        </w:rPr>
        <w:t xml:space="preserve"> pineapple-cucumber juice blend</w:t>
      </w:r>
      <w:r w:rsidR="001B11C5" w:rsidRPr="004A4551">
        <w:rPr>
          <w:rFonts w:ascii="Arial" w:hAnsi="Arial" w:cs="Arial"/>
          <w:sz w:val="20"/>
          <w:szCs w:val="20"/>
        </w:rPr>
        <w:t>s</w:t>
      </w:r>
      <w:r w:rsidR="00190AC6" w:rsidRPr="004A4551">
        <w:rPr>
          <w:rFonts w:ascii="Arial" w:hAnsi="Arial" w:cs="Arial"/>
          <w:sz w:val="20"/>
          <w:szCs w:val="20"/>
        </w:rPr>
        <w:t xml:space="preserve"> stored at 28</w:t>
      </w:r>
      <w:r w:rsidR="00190AC6" w:rsidRPr="004A4551">
        <w:rPr>
          <w:rFonts w:ascii="Arial" w:hAnsi="Arial" w:cs="Arial"/>
          <w:sz w:val="20"/>
          <w:szCs w:val="20"/>
          <w:vertAlign w:val="superscript"/>
        </w:rPr>
        <w:t>0</w:t>
      </w:r>
      <w:r w:rsidR="00190AC6" w:rsidRPr="004A4551">
        <w:rPr>
          <w:rFonts w:ascii="Arial" w:hAnsi="Arial" w:cs="Arial"/>
          <w:sz w:val="20"/>
          <w:szCs w:val="20"/>
        </w:rPr>
        <w:t>C for 21 days</w:t>
      </w:r>
      <w:r w:rsidR="001B11C5" w:rsidRPr="004A4551">
        <w:rPr>
          <w:rFonts w:ascii="Arial" w:hAnsi="Arial" w:cs="Arial"/>
          <w:sz w:val="20"/>
          <w:szCs w:val="20"/>
        </w:rPr>
        <w:t xml:space="preserve">. </w:t>
      </w:r>
      <w:r w:rsidR="00714C8F" w:rsidRPr="004A4551">
        <w:rPr>
          <w:rFonts w:ascii="Arial" w:hAnsi="Arial" w:cs="Arial"/>
          <w:sz w:val="20"/>
          <w:szCs w:val="20"/>
        </w:rPr>
        <w:t>Th</w:t>
      </w:r>
      <w:r w:rsidR="001B11C5" w:rsidRPr="004A4551">
        <w:rPr>
          <w:rFonts w:ascii="Arial" w:hAnsi="Arial" w:cs="Arial"/>
          <w:sz w:val="20"/>
          <w:szCs w:val="20"/>
        </w:rPr>
        <w:t xml:space="preserve">e findings are intended to be useful to functional beverage processors and regulatory bodies in Nigeria. </w:t>
      </w:r>
      <w:r w:rsidR="00714C8F" w:rsidRPr="004A4551">
        <w:rPr>
          <w:rFonts w:ascii="Arial" w:hAnsi="Arial" w:cs="Arial"/>
          <w:sz w:val="20"/>
          <w:szCs w:val="20"/>
        </w:rPr>
        <w:t xml:space="preserve"> </w:t>
      </w:r>
    </w:p>
    <w:p w14:paraId="26CFFDA5" w14:textId="77777777" w:rsidR="00703274" w:rsidRDefault="00703274" w:rsidP="007F7216">
      <w:pPr>
        <w:spacing w:after="0" w:line="480" w:lineRule="auto"/>
        <w:rPr>
          <w:rFonts w:ascii="Arial" w:hAnsi="Arial" w:cs="Arial"/>
          <w:b/>
          <w:bCs/>
          <w:sz w:val="20"/>
          <w:szCs w:val="20"/>
        </w:rPr>
      </w:pPr>
    </w:p>
    <w:p w14:paraId="673BC095" w14:textId="6D6DC29D" w:rsidR="006C4F1A" w:rsidRPr="00703274" w:rsidRDefault="004C42B6" w:rsidP="007F7216">
      <w:pPr>
        <w:spacing w:after="0" w:line="480" w:lineRule="auto"/>
        <w:rPr>
          <w:rFonts w:ascii="Arial" w:hAnsi="Arial" w:cs="Arial"/>
          <w:b/>
          <w:bCs/>
        </w:rPr>
      </w:pPr>
      <w:r w:rsidRPr="00703274">
        <w:rPr>
          <w:rFonts w:ascii="Arial" w:hAnsi="Arial" w:cs="Arial"/>
          <w:b/>
          <w:bCs/>
        </w:rPr>
        <w:t>2. MATERIALS AND METHODS</w:t>
      </w:r>
    </w:p>
    <w:p w14:paraId="7A57F0BD" w14:textId="77777777" w:rsidR="00795735" w:rsidRPr="00703274" w:rsidRDefault="002C20A0" w:rsidP="007F7216">
      <w:pPr>
        <w:spacing w:after="0" w:line="480" w:lineRule="auto"/>
        <w:jc w:val="both"/>
        <w:rPr>
          <w:rFonts w:ascii="Arial" w:hAnsi="Arial" w:cs="Arial"/>
          <w:b/>
          <w:bCs/>
        </w:rPr>
      </w:pPr>
      <w:r w:rsidRPr="00703274">
        <w:rPr>
          <w:rFonts w:ascii="Arial" w:hAnsi="Arial" w:cs="Arial"/>
          <w:b/>
          <w:bCs/>
        </w:rPr>
        <w:t>2.1 Raw Materials Procurement and Authentication</w:t>
      </w:r>
    </w:p>
    <w:p w14:paraId="23C3CAA0" w14:textId="7A6654F5" w:rsidR="006C4F1A"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researchers procured fresh bitter leaf (</w:t>
      </w:r>
      <w:r w:rsidRPr="004A4551">
        <w:rPr>
          <w:rFonts w:ascii="Arial" w:hAnsi="Arial" w:cs="Arial"/>
          <w:i/>
          <w:iCs/>
          <w:sz w:val="20"/>
          <w:szCs w:val="20"/>
        </w:rPr>
        <w:t>Vernonia amygdalina Del</w:t>
      </w:r>
      <w:r w:rsidRPr="004A4551">
        <w:rPr>
          <w:rFonts w:ascii="Arial" w:hAnsi="Arial" w:cs="Arial"/>
          <w:sz w:val="20"/>
          <w:szCs w:val="20"/>
        </w:rPr>
        <w:t>), cucumber (</w:t>
      </w:r>
      <w:r w:rsidRPr="004A4551">
        <w:rPr>
          <w:rFonts w:ascii="Arial" w:hAnsi="Arial" w:cs="Arial"/>
          <w:i/>
          <w:iCs/>
          <w:sz w:val="20"/>
          <w:szCs w:val="20"/>
        </w:rPr>
        <w:t>Cucumis sativus L.</w:t>
      </w:r>
      <w:r w:rsidRPr="004A4551">
        <w:rPr>
          <w:rFonts w:ascii="Arial" w:hAnsi="Arial" w:cs="Arial"/>
          <w:sz w:val="20"/>
          <w:szCs w:val="20"/>
        </w:rPr>
        <w:t>), ripe pineapple (</w:t>
      </w:r>
      <w:r w:rsidRPr="004A4551">
        <w:rPr>
          <w:rFonts w:ascii="Arial" w:hAnsi="Arial" w:cs="Arial"/>
          <w:i/>
          <w:iCs/>
          <w:sz w:val="20"/>
          <w:szCs w:val="20"/>
        </w:rPr>
        <w:t xml:space="preserve">Ananas comosus </w:t>
      </w:r>
      <w:r w:rsidRPr="004A4551">
        <w:rPr>
          <w:rFonts w:ascii="Arial" w:hAnsi="Arial" w:cs="Arial"/>
          <w:sz w:val="20"/>
          <w:szCs w:val="20"/>
        </w:rPr>
        <w:t xml:space="preserve">L. </w:t>
      </w:r>
      <w:proofErr w:type="spellStart"/>
      <w:r w:rsidRPr="004A4551">
        <w:rPr>
          <w:rFonts w:ascii="Arial" w:hAnsi="Arial" w:cs="Arial"/>
          <w:sz w:val="20"/>
          <w:szCs w:val="20"/>
        </w:rPr>
        <w:t>Merr</w:t>
      </w:r>
      <w:proofErr w:type="spellEnd"/>
      <w:r w:rsidRPr="004A4551">
        <w:rPr>
          <w:rFonts w:ascii="Arial" w:hAnsi="Arial" w:cs="Arial"/>
          <w:sz w:val="20"/>
          <w:szCs w:val="20"/>
        </w:rPr>
        <w:t>.), and fresh mint leaves (</w:t>
      </w:r>
      <w:r w:rsidRPr="004A4551">
        <w:rPr>
          <w:rFonts w:ascii="Arial" w:hAnsi="Arial" w:cs="Arial"/>
          <w:i/>
          <w:iCs/>
          <w:sz w:val="20"/>
          <w:szCs w:val="20"/>
        </w:rPr>
        <w:t xml:space="preserve">Mentha spicata </w:t>
      </w:r>
      <w:r w:rsidRPr="004A4551">
        <w:rPr>
          <w:rFonts w:ascii="Arial" w:hAnsi="Arial" w:cs="Arial"/>
          <w:sz w:val="20"/>
          <w:szCs w:val="20"/>
        </w:rPr>
        <w:t xml:space="preserve">L.) from Eke </w:t>
      </w:r>
      <w:proofErr w:type="spellStart"/>
      <w:r w:rsidRPr="004A4551">
        <w:rPr>
          <w:rFonts w:ascii="Arial" w:hAnsi="Arial" w:cs="Arial"/>
          <w:sz w:val="20"/>
          <w:szCs w:val="20"/>
        </w:rPr>
        <w:t>Awka</w:t>
      </w:r>
      <w:proofErr w:type="spellEnd"/>
      <w:r w:rsidRPr="004A4551">
        <w:rPr>
          <w:rFonts w:ascii="Arial" w:hAnsi="Arial" w:cs="Arial"/>
          <w:sz w:val="20"/>
          <w:szCs w:val="20"/>
        </w:rPr>
        <w:t xml:space="preserve">, </w:t>
      </w:r>
      <w:proofErr w:type="spellStart"/>
      <w:r w:rsidRPr="004A4551">
        <w:rPr>
          <w:rFonts w:ascii="Arial" w:hAnsi="Arial" w:cs="Arial"/>
          <w:sz w:val="20"/>
          <w:szCs w:val="20"/>
        </w:rPr>
        <w:t>Awka</w:t>
      </w:r>
      <w:proofErr w:type="spellEnd"/>
      <w:r w:rsidRPr="004A4551">
        <w:rPr>
          <w:rFonts w:ascii="Arial" w:hAnsi="Arial" w:cs="Arial"/>
          <w:sz w:val="20"/>
          <w:szCs w:val="20"/>
        </w:rPr>
        <w:t xml:space="preserve"> South LGA, Anambra State. </w:t>
      </w:r>
      <w:r w:rsidR="001B11C5" w:rsidRPr="004A4551">
        <w:rPr>
          <w:rFonts w:ascii="Arial" w:hAnsi="Arial" w:cs="Arial"/>
          <w:sz w:val="20"/>
          <w:szCs w:val="20"/>
        </w:rPr>
        <w:t>P</w:t>
      </w:r>
      <w:r w:rsidRPr="004A4551">
        <w:rPr>
          <w:rFonts w:ascii="Arial" w:hAnsi="Arial" w:cs="Arial"/>
          <w:sz w:val="20"/>
          <w:szCs w:val="20"/>
        </w:rPr>
        <w:t xml:space="preserve">lant materials </w:t>
      </w:r>
      <w:r w:rsidR="001B11C5" w:rsidRPr="004A4551">
        <w:rPr>
          <w:rFonts w:ascii="Arial" w:hAnsi="Arial" w:cs="Arial"/>
          <w:sz w:val="20"/>
          <w:szCs w:val="20"/>
        </w:rPr>
        <w:t xml:space="preserve">were </w:t>
      </w:r>
      <w:r w:rsidRPr="004A4551">
        <w:rPr>
          <w:rFonts w:ascii="Arial" w:hAnsi="Arial" w:cs="Arial"/>
          <w:sz w:val="20"/>
          <w:szCs w:val="20"/>
        </w:rPr>
        <w:t>visually</w:t>
      </w:r>
      <w:r w:rsidR="001B11C5" w:rsidRPr="004A4551">
        <w:rPr>
          <w:rFonts w:ascii="Arial" w:hAnsi="Arial" w:cs="Arial"/>
          <w:sz w:val="20"/>
          <w:szCs w:val="20"/>
        </w:rPr>
        <w:t xml:space="preserve"> screened</w:t>
      </w:r>
      <w:r w:rsidRPr="004A4551">
        <w:rPr>
          <w:rFonts w:ascii="Arial" w:hAnsi="Arial" w:cs="Arial"/>
          <w:sz w:val="20"/>
          <w:szCs w:val="20"/>
        </w:rPr>
        <w:t xml:space="preserve"> for freshness, </w:t>
      </w:r>
      <w:r w:rsidR="001B11C5" w:rsidRPr="004A4551">
        <w:rPr>
          <w:rFonts w:ascii="Arial" w:hAnsi="Arial" w:cs="Arial"/>
          <w:sz w:val="20"/>
          <w:szCs w:val="20"/>
        </w:rPr>
        <w:t>absence of</w:t>
      </w:r>
      <w:r w:rsidRPr="004A4551">
        <w:rPr>
          <w:rFonts w:ascii="Arial" w:hAnsi="Arial" w:cs="Arial"/>
          <w:sz w:val="20"/>
          <w:szCs w:val="20"/>
        </w:rPr>
        <w:t xml:space="preserve"> </w:t>
      </w:r>
      <w:r w:rsidR="001B11C5" w:rsidRPr="004A4551">
        <w:rPr>
          <w:rFonts w:ascii="Arial" w:hAnsi="Arial" w:cs="Arial"/>
          <w:sz w:val="20"/>
          <w:szCs w:val="20"/>
        </w:rPr>
        <w:t xml:space="preserve">visible </w:t>
      </w:r>
      <w:r w:rsidRPr="004A4551">
        <w:rPr>
          <w:rFonts w:ascii="Arial" w:hAnsi="Arial" w:cs="Arial"/>
          <w:sz w:val="20"/>
          <w:szCs w:val="20"/>
        </w:rPr>
        <w:t>damage</w:t>
      </w:r>
      <w:r w:rsidR="001B11C5" w:rsidRPr="004A4551">
        <w:rPr>
          <w:rFonts w:ascii="Arial" w:hAnsi="Arial" w:cs="Arial"/>
          <w:sz w:val="20"/>
          <w:szCs w:val="20"/>
        </w:rPr>
        <w:t xml:space="preserve"> or</w:t>
      </w:r>
      <w:r w:rsidRPr="004A4551">
        <w:rPr>
          <w:rFonts w:ascii="Arial" w:hAnsi="Arial" w:cs="Arial"/>
          <w:sz w:val="20"/>
          <w:szCs w:val="20"/>
        </w:rPr>
        <w:t xml:space="preserve"> mold</w:t>
      </w:r>
      <w:r w:rsidR="001B11C5" w:rsidRPr="004A4551">
        <w:rPr>
          <w:rFonts w:ascii="Arial" w:hAnsi="Arial" w:cs="Arial"/>
          <w:sz w:val="20"/>
          <w:szCs w:val="20"/>
        </w:rPr>
        <w:t>, and then authenticated</w:t>
      </w:r>
      <w:r w:rsidRPr="004A4551">
        <w:rPr>
          <w:rFonts w:ascii="Arial" w:hAnsi="Arial" w:cs="Arial"/>
          <w:sz w:val="20"/>
          <w:szCs w:val="20"/>
        </w:rPr>
        <w:t xml:space="preserve"> </w:t>
      </w:r>
      <w:r w:rsidR="001B11C5" w:rsidRPr="004A4551">
        <w:rPr>
          <w:rFonts w:ascii="Arial" w:hAnsi="Arial" w:cs="Arial"/>
          <w:sz w:val="20"/>
          <w:szCs w:val="20"/>
        </w:rPr>
        <w:t xml:space="preserve">by </w:t>
      </w:r>
      <w:r w:rsidRPr="004A4551">
        <w:rPr>
          <w:rFonts w:ascii="Arial" w:hAnsi="Arial" w:cs="Arial"/>
          <w:sz w:val="20"/>
          <w:szCs w:val="20"/>
        </w:rPr>
        <w:t xml:space="preserve">Crop Scientists at the Department of Crop Science and Horticulture, Chukwuemeka </w:t>
      </w:r>
      <w:proofErr w:type="spellStart"/>
      <w:r w:rsidRPr="004A4551">
        <w:rPr>
          <w:rFonts w:ascii="Arial" w:hAnsi="Arial" w:cs="Arial"/>
          <w:sz w:val="20"/>
          <w:szCs w:val="20"/>
        </w:rPr>
        <w:t>Odumegwu</w:t>
      </w:r>
      <w:proofErr w:type="spellEnd"/>
      <w:r w:rsidRPr="004A4551">
        <w:rPr>
          <w:rFonts w:ascii="Arial" w:hAnsi="Arial" w:cs="Arial"/>
          <w:sz w:val="20"/>
          <w:szCs w:val="20"/>
        </w:rPr>
        <w:t xml:space="preserve"> Ojukwu University, </w:t>
      </w:r>
      <w:proofErr w:type="spellStart"/>
      <w:r w:rsidRPr="004A4551">
        <w:rPr>
          <w:rFonts w:ascii="Arial" w:hAnsi="Arial" w:cs="Arial"/>
          <w:sz w:val="20"/>
          <w:szCs w:val="20"/>
        </w:rPr>
        <w:t>Igbariam</w:t>
      </w:r>
      <w:proofErr w:type="spellEnd"/>
      <w:r w:rsidRPr="004A4551">
        <w:rPr>
          <w:rFonts w:ascii="Arial" w:hAnsi="Arial" w:cs="Arial"/>
          <w:sz w:val="20"/>
          <w:szCs w:val="20"/>
        </w:rPr>
        <w:t xml:space="preserve"> Campus</w:t>
      </w:r>
      <w:r w:rsidR="003A5EC1" w:rsidRPr="004A4551">
        <w:rPr>
          <w:rFonts w:ascii="Arial" w:hAnsi="Arial" w:cs="Arial"/>
          <w:sz w:val="20"/>
          <w:szCs w:val="20"/>
        </w:rPr>
        <w:t xml:space="preserve">. </w:t>
      </w:r>
      <w:r w:rsidR="001B11C5" w:rsidRPr="004A4551">
        <w:rPr>
          <w:rFonts w:ascii="Arial" w:hAnsi="Arial" w:cs="Arial"/>
          <w:sz w:val="20"/>
          <w:szCs w:val="20"/>
        </w:rPr>
        <w:t>P</w:t>
      </w:r>
      <w:r w:rsidR="003A5EC1" w:rsidRPr="004A4551">
        <w:rPr>
          <w:rFonts w:ascii="Arial" w:hAnsi="Arial" w:cs="Arial"/>
          <w:sz w:val="20"/>
          <w:szCs w:val="20"/>
        </w:rPr>
        <w:t xml:space="preserve">otable water was used </w:t>
      </w:r>
      <w:r w:rsidR="001B11C5" w:rsidRPr="004A4551">
        <w:rPr>
          <w:rFonts w:ascii="Arial" w:hAnsi="Arial" w:cs="Arial"/>
          <w:sz w:val="20"/>
          <w:szCs w:val="20"/>
        </w:rPr>
        <w:t>throughout</w:t>
      </w:r>
      <w:r w:rsidR="003A5EC1" w:rsidRPr="004A4551">
        <w:rPr>
          <w:rFonts w:ascii="Arial" w:hAnsi="Arial" w:cs="Arial"/>
          <w:sz w:val="20"/>
          <w:szCs w:val="20"/>
        </w:rPr>
        <w:t xml:space="preserve"> all processing</w:t>
      </w:r>
      <w:r w:rsidR="001B11C5" w:rsidRPr="004A4551">
        <w:rPr>
          <w:rFonts w:ascii="Arial" w:hAnsi="Arial" w:cs="Arial"/>
          <w:sz w:val="20"/>
          <w:szCs w:val="20"/>
        </w:rPr>
        <w:t xml:space="preserve"> steps</w:t>
      </w:r>
      <w:r w:rsidR="003A5EC1" w:rsidRPr="004A4551">
        <w:rPr>
          <w:rFonts w:ascii="Arial" w:hAnsi="Arial" w:cs="Arial"/>
          <w:sz w:val="20"/>
          <w:szCs w:val="20"/>
        </w:rPr>
        <w:t>.</w:t>
      </w:r>
    </w:p>
    <w:p w14:paraId="294118D2" w14:textId="77777777" w:rsidR="003A5EC1" w:rsidRPr="00703274" w:rsidRDefault="002C20A0" w:rsidP="007F7216">
      <w:pPr>
        <w:spacing w:after="0" w:line="480" w:lineRule="auto"/>
        <w:jc w:val="both"/>
        <w:rPr>
          <w:rFonts w:ascii="Arial" w:eastAsia="Times New Roman" w:hAnsi="Arial" w:cs="Arial"/>
          <w:b/>
          <w:bCs/>
        </w:rPr>
      </w:pPr>
      <w:r w:rsidRPr="00703274">
        <w:rPr>
          <w:rFonts w:ascii="Arial" w:eastAsia="Times New Roman" w:hAnsi="Arial" w:cs="Arial"/>
          <w:b/>
          <w:bCs/>
        </w:rPr>
        <w:t>2.2 Juice Formulation Pre-processing</w:t>
      </w:r>
    </w:p>
    <w:p w14:paraId="53DAA411" w14:textId="3516E636" w:rsidR="00095193" w:rsidRPr="004A4551" w:rsidRDefault="002C20A0" w:rsidP="007F7216">
      <w:pPr>
        <w:spacing w:after="0" w:line="480" w:lineRule="auto"/>
        <w:jc w:val="both"/>
        <w:rPr>
          <w:rFonts w:ascii="Arial" w:eastAsia="Times New Roman" w:hAnsi="Arial" w:cs="Arial"/>
          <w:sz w:val="20"/>
          <w:szCs w:val="20"/>
        </w:rPr>
      </w:pPr>
      <w:r w:rsidRPr="004A4551">
        <w:rPr>
          <w:rFonts w:ascii="Arial" w:eastAsia="Times New Roman" w:hAnsi="Arial" w:cs="Arial"/>
          <w:sz w:val="20"/>
          <w:szCs w:val="20"/>
        </w:rPr>
        <w:t xml:space="preserve">All raw materials were washed </w:t>
      </w:r>
      <w:r w:rsidR="00166542" w:rsidRPr="004A4551">
        <w:rPr>
          <w:rFonts w:ascii="Arial" w:eastAsia="Times New Roman" w:hAnsi="Arial" w:cs="Arial"/>
          <w:sz w:val="20"/>
          <w:szCs w:val="20"/>
        </w:rPr>
        <w:t xml:space="preserve">under </w:t>
      </w:r>
      <w:r w:rsidRPr="004A4551">
        <w:rPr>
          <w:rFonts w:ascii="Arial" w:eastAsia="Times New Roman" w:hAnsi="Arial" w:cs="Arial"/>
          <w:sz w:val="20"/>
          <w:szCs w:val="20"/>
        </w:rPr>
        <w:t>running potable water</w:t>
      </w:r>
      <w:r w:rsidR="00166542" w:rsidRPr="004A4551">
        <w:rPr>
          <w:rFonts w:ascii="Arial" w:eastAsia="Times New Roman" w:hAnsi="Arial" w:cs="Arial"/>
          <w:sz w:val="20"/>
          <w:szCs w:val="20"/>
        </w:rPr>
        <w:t xml:space="preserve">. The bitter leaf </w:t>
      </w:r>
      <w:r w:rsidR="005D0F39" w:rsidRPr="004A4551">
        <w:rPr>
          <w:rFonts w:ascii="Arial" w:eastAsia="Times New Roman" w:hAnsi="Arial" w:cs="Arial"/>
          <w:sz w:val="20"/>
          <w:szCs w:val="20"/>
        </w:rPr>
        <w:t>and mint leaves were</w:t>
      </w:r>
      <w:r w:rsidR="00166542" w:rsidRPr="004A4551">
        <w:rPr>
          <w:rFonts w:ascii="Arial" w:eastAsia="Times New Roman" w:hAnsi="Arial" w:cs="Arial"/>
          <w:sz w:val="20"/>
          <w:szCs w:val="20"/>
        </w:rPr>
        <w:t xml:space="preserve"> </w:t>
      </w:r>
      <w:r w:rsidR="00403A14" w:rsidRPr="004A4551">
        <w:rPr>
          <w:rFonts w:ascii="Arial" w:eastAsia="Times New Roman" w:hAnsi="Arial" w:cs="Arial"/>
          <w:sz w:val="20"/>
          <w:szCs w:val="20"/>
        </w:rPr>
        <w:t xml:space="preserve">each </w:t>
      </w:r>
      <w:r w:rsidR="00166542" w:rsidRPr="004A4551">
        <w:rPr>
          <w:rFonts w:ascii="Arial" w:eastAsia="Times New Roman" w:hAnsi="Arial" w:cs="Arial"/>
          <w:sz w:val="20"/>
          <w:szCs w:val="20"/>
        </w:rPr>
        <w:t>blanched at 80</w:t>
      </w:r>
      <w:r w:rsidR="00166542" w:rsidRPr="004A4551">
        <w:rPr>
          <w:rFonts w:ascii="Arial" w:eastAsia="Times New Roman" w:hAnsi="Arial" w:cs="Arial"/>
          <w:sz w:val="20"/>
          <w:szCs w:val="20"/>
          <w:vertAlign w:val="superscript"/>
        </w:rPr>
        <w:t>0</w:t>
      </w:r>
      <w:r w:rsidR="00166542" w:rsidRPr="004A4551">
        <w:rPr>
          <w:rFonts w:ascii="Arial" w:eastAsia="Times New Roman" w:hAnsi="Arial" w:cs="Arial"/>
          <w:sz w:val="20"/>
          <w:szCs w:val="20"/>
        </w:rPr>
        <w:t>C for 2 minutes to reduce bitterness</w:t>
      </w:r>
      <w:r w:rsidR="005D0F39" w:rsidRPr="004A4551">
        <w:rPr>
          <w:rFonts w:ascii="Arial" w:eastAsia="Times New Roman" w:hAnsi="Arial" w:cs="Arial"/>
          <w:sz w:val="20"/>
          <w:szCs w:val="20"/>
        </w:rPr>
        <w:t xml:space="preserve">, </w:t>
      </w:r>
      <w:r w:rsidR="00594B5F" w:rsidRPr="004A4551">
        <w:rPr>
          <w:rFonts w:ascii="Arial" w:eastAsia="Times New Roman" w:hAnsi="Arial" w:cs="Arial"/>
          <w:sz w:val="20"/>
          <w:szCs w:val="20"/>
        </w:rPr>
        <w:t xml:space="preserve">inactivate </w:t>
      </w:r>
      <w:r w:rsidR="005D0F39" w:rsidRPr="004A4551">
        <w:rPr>
          <w:rFonts w:ascii="Arial" w:eastAsia="Times New Roman" w:hAnsi="Arial" w:cs="Arial"/>
          <w:sz w:val="20"/>
          <w:szCs w:val="20"/>
        </w:rPr>
        <w:t xml:space="preserve">enzymes, and </w:t>
      </w:r>
      <w:r w:rsidR="00594B5F" w:rsidRPr="004A4551">
        <w:rPr>
          <w:rFonts w:ascii="Arial" w:eastAsia="Times New Roman" w:hAnsi="Arial" w:cs="Arial"/>
          <w:sz w:val="20"/>
          <w:szCs w:val="20"/>
        </w:rPr>
        <w:t xml:space="preserve">lower </w:t>
      </w:r>
      <w:r w:rsidR="005D0F39" w:rsidRPr="004A4551">
        <w:rPr>
          <w:rFonts w:ascii="Arial" w:eastAsia="Times New Roman" w:hAnsi="Arial" w:cs="Arial"/>
          <w:sz w:val="20"/>
          <w:szCs w:val="20"/>
        </w:rPr>
        <w:t>microbial load</w:t>
      </w:r>
      <w:r w:rsidR="00594B5F" w:rsidRPr="004A4551">
        <w:rPr>
          <w:rFonts w:ascii="Arial" w:eastAsia="Times New Roman" w:hAnsi="Arial" w:cs="Arial"/>
          <w:sz w:val="20"/>
          <w:szCs w:val="20"/>
        </w:rPr>
        <w:t>, then</w:t>
      </w:r>
      <w:r w:rsidR="005D0F39" w:rsidRPr="004A4551">
        <w:rPr>
          <w:rFonts w:ascii="Arial" w:eastAsia="Times New Roman" w:hAnsi="Arial" w:cs="Arial"/>
          <w:sz w:val="20"/>
          <w:szCs w:val="20"/>
        </w:rPr>
        <w:t xml:space="preserve"> </w:t>
      </w:r>
      <w:r w:rsidR="005D0F39" w:rsidRPr="004A4551">
        <w:rPr>
          <w:rFonts w:ascii="Arial" w:eastAsia="Times New Roman" w:hAnsi="Arial" w:cs="Arial"/>
          <w:sz w:val="20"/>
          <w:szCs w:val="20"/>
        </w:rPr>
        <w:lastRenderedPageBreak/>
        <w:t xml:space="preserve">cooled </w:t>
      </w:r>
      <w:r w:rsidR="00403A14" w:rsidRPr="004A4551">
        <w:rPr>
          <w:rFonts w:ascii="Arial" w:eastAsia="Times New Roman" w:hAnsi="Arial" w:cs="Arial"/>
          <w:sz w:val="20"/>
          <w:szCs w:val="20"/>
        </w:rPr>
        <w:t>in cold portable water</w:t>
      </w:r>
      <w:r w:rsidR="00166542" w:rsidRPr="004A4551">
        <w:rPr>
          <w:rFonts w:ascii="Arial" w:eastAsia="Times New Roman" w:hAnsi="Arial" w:cs="Arial"/>
          <w:sz w:val="20"/>
          <w:szCs w:val="20"/>
        </w:rPr>
        <w:t xml:space="preserve"> (</w:t>
      </w:r>
      <w:proofErr w:type="spellStart"/>
      <w:r w:rsidR="00166542" w:rsidRPr="004A4551">
        <w:rPr>
          <w:rFonts w:ascii="Arial" w:eastAsia="Times New Roman" w:hAnsi="Arial" w:cs="Arial"/>
          <w:sz w:val="20"/>
          <w:szCs w:val="20"/>
        </w:rPr>
        <w:t>Farombi</w:t>
      </w:r>
      <w:proofErr w:type="spellEnd"/>
      <w:r w:rsidR="00166542" w:rsidRPr="004A4551">
        <w:rPr>
          <w:rFonts w:ascii="Arial" w:eastAsia="Times New Roman" w:hAnsi="Arial" w:cs="Arial"/>
          <w:sz w:val="20"/>
          <w:szCs w:val="20"/>
        </w:rPr>
        <w:t xml:space="preserve"> and </w:t>
      </w:r>
      <w:proofErr w:type="spellStart"/>
      <w:r w:rsidR="00166542" w:rsidRPr="004A4551">
        <w:rPr>
          <w:rFonts w:ascii="Arial" w:eastAsia="Times New Roman" w:hAnsi="Arial" w:cs="Arial"/>
          <w:sz w:val="20"/>
          <w:szCs w:val="20"/>
        </w:rPr>
        <w:t>Owoeye</w:t>
      </w:r>
      <w:proofErr w:type="spellEnd"/>
      <w:r w:rsidR="00166542" w:rsidRPr="004A4551">
        <w:rPr>
          <w:rFonts w:ascii="Arial" w:eastAsia="Times New Roman" w:hAnsi="Arial" w:cs="Arial"/>
          <w:sz w:val="20"/>
          <w:szCs w:val="20"/>
        </w:rPr>
        <w:t>, 2011). The pineapple was peeled, cored, and sliced</w:t>
      </w:r>
      <w:r w:rsidR="00594B5F" w:rsidRPr="004A4551">
        <w:rPr>
          <w:rFonts w:ascii="Arial" w:eastAsia="Times New Roman" w:hAnsi="Arial" w:cs="Arial"/>
          <w:sz w:val="20"/>
          <w:szCs w:val="20"/>
        </w:rPr>
        <w:t>;</w:t>
      </w:r>
      <w:r w:rsidR="00166542" w:rsidRPr="004A4551">
        <w:rPr>
          <w:rFonts w:ascii="Arial" w:eastAsia="Times New Roman" w:hAnsi="Arial" w:cs="Arial"/>
          <w:sz w:val="20"/>
          <w:szCs w:val="20"/>
        </w:rPr>
        <w:t xml:space="preserve"> cucumber was washed and trimmed without the skin to retain chlorophyll and polyphenols (Lim, 2012). </w:t>
      </w:r>
      <w:r w:rsidR="00594B5F" w:rsidRPr="004A4551">
        <w:rPr>
          <w:rFonts w:ascii="Arial" w:eastAsia="Times New Roman" w:hAnsi="Arial" w:cs="Arial"/>
          <w:sz w:val="20"/>
          <w:szCs w:val="20"/>
        </w:rPr>
        <w:t>J</w:t>
      </w:r>
      <w:r w:rsidRPr="004A4551">
        <w:rPr>
          <w:rFonts w:ascii="Arial" w:eastAsia="Times New Roman" w:hAnsi="Arial" w:cs="Arial"/>
          <w:sz w:val="20"/>
          <w:szCs w:val="20"/>
        </w:rPr>
        <w:t xml:space="preserve">uices were extracted from </w:t>
      </w:r>
      <w:r w:rsidR="000A5E56" w:rsidRPr="004A4551">
        <w:rPr>
          <w:rFonts w:ascii="Arial" w:eastAsia="Times New Roman" w:hAnsi="Arial" w:cs="Arial"/>
          <w:sz w:val="20"/>
          <w:szCs w:val="20"/>
        </w:rPr>
        <w:t>pineapple and cucumber using</w:t>
      </w:r>
      <w:r w:rsidRPr="004A4551">
        <w:rPr>
          <w:rFonts w:ascii="Arial" w:eastAsia="Times New Roman" w:hAnsi="Arial" w:cs="Arial"/>
          <w:sz w:val="20"/>
          <w:szCs w:val="20"/>
        </w:rPr>
        <w:t xml:space="preserve"> a fruit juice extractor (</w:t>
      </w:r>
      <w:r w:rsidR="00A707F1" w:rsidRPr="004A4551">
        <w:rPr>
          <w:rFonts w:ascii="Arial" w:eastAsia="Times New Roman" w:hAnsi="Arial" w:cs="Arial"/>
          <w:color w:val="404040"/>
          <w:sz w:val="24"/>
          <w:szCs w:val="24"/>
        </w:rPr>
        <w:t>HR1869, Philips</w:t>
      </w:r>
      <w:r w:rsidRPr="004A4551">
        <w:rPr>
          <w:rFonts w:ascii="Arial" w:eastAsia="Times New Roman" w:hAnsi="Arial" w:cs="Arial"/>
          <w:sz w:val="20"/>
          <w:szCs w:val="20"/>
        </w:rPr>
        <w:t xml:space="preserve">). </w:t>
      </w:r>
      <w:r w:rsidR="001A5AE2" w:rsidRPr="004A4551">
        <w:rPr>
          <w:rFonts w:ascii="Arial" w:hAnsi="Arial" w:cs="Arial"/>
          <w:sz w:val="20"/>
          <w:szCs w:val="20"/>
        </w:rPr>
        <w:t>The mint and bitter leaves were blended with portable water at 1:5 w/ ratio</w:t>
      </w:r>
      <w:r w:rsidR="0077704E" w:rsidRPr="004A4551">
        <w:rPr>
          <w:rFonts w:ascii="Arial" w:hAnsi="Arial" w:cs="Arial"/>
          <w:sz w:val="20"/>
          <w:szCs w:val="20"/>
        </w:rPr>
        <w:t xml:space="preserve"> and </w:t>
      </w:r>
      <w:r w:rsidR="001A5AE2" w:rsidRPr="004A4551">
        <w:rPr>
          <w:rFonts w:ascii="Arial" w:hAnsi="Arial" w:cs="Arial"/>
          <w:sz w:val="20"/>
          <w:szCs w:val="20"/>
        </w:rPr>
        <w:t>strained through double</w:t>
      </w:r>
      <w:r w:rsidR="0077704E" w:rsidRPr="004A4551">
        <w:rPr>
          <w:rFonts w:ascii="Arial" w:hAnsi="Arial" w:cs="Arial"/>
          <w:sz w:val="20"/>
          <w:szCs w:val="20"/>
        </w:rPr>
        <w:t>-</w:t>
      </w:r>
      <w:r w:rsidR="001A5AE2" w:rsidRPr="004A4551">
        <w:rPr>
          <w:rFonts w:ascii="Arial" w:hAnsi="Arial" w:cs="Arial"/>
          <w:sz w:val="20"/>
          <w:szCs w:val="20"/>
        </w:rPr>
        <w:t>layer</w:t>
      </w:r>
      <w:r w:rsidR="0077704E" w:rsidRPr="004A4551">
        <w:rPr>
          <w:rFonts w:ascii="Arial" w:hAnsi="Arial" w:cs="Arial"/>
          <w:sz w:val="20"/>
          <w:szCs w:val="20"/>
        </w:rPr>
        <w:t>ed</w:t>
      </w:r>
      <w:r w:rsidR="001A5AE2" w:rsidRPr="004A4551">
        <w:rPr>
          <w:rFonts w:ascii="Arial" w:hAnsi="Arial" w:cs="Arial"/>
          <w:sz w:val="20"/>
          <w:szCs w:val="20"/>
        </w:rPr>
        <w:t xml:space="preserve"> muslin cloth to yield aqueous extract</w:t>
      </w:r>
      <w:r w:rsidR="0077704E" w:rsidRPr="004A4551">
        <w:rPr>
          <w:rFonts w:ascii="Arial" w:hAnsi="Arial" w:cs="Arial"/>
          <w:sz w:val="20"/>
          <w:szCs w:val="20"/>
        </w:rPr>
        <w:t>s</w:t>
      </w:r>
      <w:r w:rsidR="001A5AE2" w:rsidRPr="004A4551">
        <w:rPr>
          <w:rFonts w:ascii="Arial" w:hAnsi="Arial" w:cs="Arial"/>
          <w:sz w:val="20"/>
          <w:szCs w:val="20"/>
        </w:rPr>
        <w:t xml:space="preserve">. All materials were </w:t>
      </w:r>
      <w:r w:rsidR="00833A8C" w:rsidRPr="004A4551">
        <w:rPr>
          <w:rFonts w:ascii="Arial" w:hAnsi="Arial" w:cs="Arial"/>
          <w:sz w:val="20"/>
          <w:szCs w:val="20"/>
        </w:rPr>
        <w:t xml:space="preserve">stored </w:t>
      </w:r>
      <w:r w:rsidR="001A5AE2" w:rsidRPr="004A4551">
        <w:rPr>
          <w:rFonts w:ascii="Arial" w:hAnsi="Arial" w:cs="Arial"/>
          <w:sz w:val="20"/>
          <w:szCs w:val="20"/>
        </w:rPr>
        <w:t xml:space="preserve">in sterile glass containers at 4°C until blended. </w:t>
      </w:r>
      <w:r w:rsidR="00833A8C" w:rsidRPr="004A4551">
        <w:rPr>
          <w:rFonts w:ascii="Arial" w:eastAsia="Times New Roman" w:hAnsi="Arial" w:cs="Arial"/>
          <w:sz w:val="20"/>
          <w:szCs w:val="20"/>
        </w:rPr>
        <w:t xml:space="preserve">Four juice formulations were prepared as described in </w:t>
      </w:r>
      <w:r w:rsidRPr="004A4551">
        <w:rPr>
          <w:rFonts w:ascii="Arial" w:eastAsia="Times New Roman" w:hAnsi="Arial" w:cs="Arial"/>
          <w:sz w:val="20"/>
          <w:szCs w:val="20"/>
        </w:rPr>
        <w:t xml:space="preserve">Table 1. </w:t>
      </w:r>
    </w:p>
    <w:p w14:paraId="05D50149" w14:textId="14BCF977" w:rsidR="00095193" w:rsidRPr="004A4551" w:rsidRDefault="002C20A0" w:rsidP="007F7216">
      <w:pPr>
        <w:spacing w:after="0" w:line="480" w:lineRule="auto"/>
        <w:jc w:val="both"/>
        <w:rPr>
          <w:rFonts w:ascii="Arial" w:hAnsi="Arial" w:cs="Arial"/>
          <w:b/>
          <w:sz w:val="20"/>
          <w:szCs w:val="20"/>
        </w:rPr>
      </w:pPr>
      <w:r w:rsidRPr="004A4551">
        <w:rPr>
          <w:rFonts w:ascii="Arial" w:hAnsi="Arial" w:cs="Arial"/>
          <w:b/>
          <w:sz w:val="20"/>
          <w:szCs w:val="20"/>
        </w:rPr>
        <w:t xml:space="preserve">Table 1: Formulation of </w:t>
      </w:r>
      <w:r w:rsidRPr="004A4551">
        <w:rPr>
          <w:rFonts w:ascii="Arial" w:eastAsia="Times New Roman" w:hAnsi="Arial" w:cs="Arial"/>
          <w:b/>
          <w:color w:val="000000"/>
          <w:sz w:val="20"/>
          <w:szCs w:val="20"/>
        </w:rPr>
        <w:t>Pasteurized Pineapple</w:t>
      </w:r>
      <w:r w:rsidR="008E2BD3">
        <w:rPr>
          <w:rFonts w:ascii="Arial" w:eastAsia="Times New Roman" w:hAnsi="Arial" w:cs="Arial"/>
          <w:b/>
          <w:color w:val="000000"/>
          <w:sz w:val="20"/>
          <w:szCs w:val="20"/>
        </w:rPr>
        <w:t>-</w:t>
      </w:r>
      <w:r w:rsidR="00272984" w:rsidRPr="004A4551">
        <w:rPr>
          <w:rFonts w:ascii="Arial" w:eastAsia="Times New Roman" w:hAnsi="Arial" w:cs="Arial"/>
          <w:b/>
          <w:color w:val="000000"/>
          <w:sz w:val="20"/>
          <w:szCs w:val="20"/>
        </w:rPr>
        <w:t>Cucumber</w:t>
      </w:r>
      <w:r w:rsidRPr="004A4551">
        <w:rPr>
          <w:rFonts w:ascii="Arial" w:eastAsia="Times New Roman" w:hAnsi="Arial" w:cs="Arial"/>
          <w:b/>
          <w:color w:val="000000"/>
          <w:sz w:val="20"/>
          <w:szCs w:val="20"/>
        </w:rPr>
        <w:t xml:space="preserve"> Functional Juice </w:t>
      </w:r>
      <w:r w:rsidR="000A5E56" w:rsidRPr="004A4551">
        <w:rPr>
          <w:rFonts w:ascii="Arial" w:eastAsia="Times New Roman" w:hAnsi="Arial" w:cs="Arial"/>
          <w:b/>
          <w:color w:val="000000"/>
          <w:sz w:val="20"/>
          <w:szCs w:val="20"/>
        </w:rPr>
        <w:t>Flavored</w:t>
      </w:r>
      <w:r w:rsidRPr="004A4551">
        <w:rPr>
          <w:rFonts w:ascii="Arial" w:eastAsia="Times New Roman" w:hAnsi="Arial" w:cs="Arial"/>
          <w:b/>
          <w:color w:val="000000"/>
          <w:sz w:val="20"/>
          <w:szCs w:val="20"/>
        </w:rPr>
        <w:t xml:space="preserve"> with Mint and </w:t>
      </w:r>
      <w:proofErr w:type="spellStart"/>
      <w:r w:rsidRPr="004A4551">
        <w:rPr>
          <w:rFonts w:ascii="Arial" w:eastAsia="Times New Roman" w:hAnsi="Arial" w:cs="Arial"/>
          <w:b/>
          <w:color w:val="000000"/>
          <w:sz w:val="20"/>
          <w:szCs w:val="20"/>
        </w:rPr>
        <w:t>Bitterleaf</w:t>
      </w:r>
      <w:proofErr w:type="spellEnd"/>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00"/>
        <w:gridCol w:w="1530"/>
        <w:gridCol w:w="1530"/>
        <w:gridCol w:w="1530"/>
      </w:tblGrid>
      <w:tr w:rsidR="002E590B" w:rsidRPr="004A4551" w14:paraId="7FB3819D" w14:textId="77777777" w:rsidTr="00DF7350">
        <w:tc>
          <w:tcPr>
            <w:tcW w:w="2790" w:type="dxa"/>
            <w:tcBorders>
              <w:bottom w:val="single" w:sz="4" w:space="0" w:color="auto"/>
            </w:tcBorders>
          </w:tcPr>
          <w:p w14:paraId="579F1094" w14:textId="77777777" w:rsidR="00095193" w:rsidRPr="004A4551" w:rsidRDefault="002C20A0" w:rsidP="007F7216">
            <w:pPr>
              <w:spacing w:line="480" w:lineRule="auto"/>
              <w:rPr>
                <w:rFonts w:ascii="Arial" w:hAnsi="Arial" w:cs="Arial"/>
                <w:b/>
                <w:sz w:val="20"/>
                <w:szCs w:val="20"/>
              </w:rPr>
            </w:pPr>
            <w:r w:rsidRPr="004A4551">
              <w:rPr>
                <w:rFonts w:ascii="Arial" w:hAnsi="Arial" w:cs="Arial"/>
                <w:b/>
                <w:sz w:val="20"/>
                <w:szCs w:val="20"/>
              </w:rPr>
              <w:t>Formulation (100%)</w:t>
            </w:r>
          </w:p>
        </w:tc>
        <w:tc>
          <w:tcPr>
            <w:tcW w:w="1800" w:type="dxa"/>
            <w:tcBorders>
              <w:bottom w:val="single" w:sz="4" w:space="0" w:color="auto"/>
            </w:tcBorders>
          </w:tcPr>
          <w:p w14:paraId="0C4BED6A" w14:textId="77777777" w:rsidR="00095193" w:rsidRPr="004A4551" w:rsidRDefault="002C20A0" w:rsidP="007F7216">
            <w:pPr>
              <w:spacing w:line="480" w:lineRule="auto"/>
              <w:jc w:val="center"/>
              <w:rPr>
                <w:rFonts w:ascii="Arial" w:hAnsi="Arial" w:cs="Arial"/>
                <w:b/>
                <w:sz w:val="20"/>
                <w:szCs w:val="20"/>
              </w:rPr>
            </w:pPr>
            <w:r w:rsidRPr="004A4551">
              <w:rPr>
                <w:rFonts w:ascii="Arial" w:hAnsi="Arial" w:cs="Arial"/>
                <w:b/>
                <w:sz w:val="20"/>
                <w:szCs w:val="20"/>
              </w:rPr>
              <w:t>B</w:t>
            </w:r>
          </w:p>
        </w:tc>
        <w:tc>
          <w:tcPr>
            <w:tcW w:w="1530" w:type="dxa"/>
            <w:tcBorders>
              <w:bottom w:val="single" w:sz="4" w:space="0" w:color="auto"/>
            </w:tcBorders>
          </w:tcPr>
          <w:p w14:paraId="57DFA158" w14:textId="77777777" w:rsidR="00095193" w:rsidRPr="004A4551" w:rsidRDefault="002C20A0" w:rsidP="007F7216">
            <w:pPr>
              <w:spacing w:line="480" w:lineRule="auto"/>
              <w:jc w:val="center"/>
              <w:rPr>
                <w:rFonts w:ascii="Arial" w:hAnsi="Arial" w:cs="Arial"/>
                <w:b/>
                <w:sz w:val="20"/>
                <w:szCs w:val="20"/>
              </w:rPr>
            </w:pPr>
            <w:r w:rsidRPr="004A4551">
              <w:rPr>
                <w:rFonts w:ascii="Arial" w:hAnsi="Arial" w:cs="Arial"/>
                <w:b/>
                <w:sz w:val="20"/>
                <w:szCs w:val="20"/>
              </w:rPr>
              <w:t>C</w:t>
            </w:r>
          </w:p>
        </w:tc>
        <w:tc>
          <w:tcPr>
            <w:tcW w:w="1530" w:type="dxa"/>
            <w:tcBorders>
              <w:bottom w:val="single" w:sz="4" w:space="0" w:color="auto"/>
            </w:tcBorders>
          </w:tcPr>
          <w:p w14:paraId="393DA2C2" w14:textId="77777777" w:rsidR="00095193" w:rsidRPr="004A4551" w:rsidRDefault="002C20A0" w:rsidP="007F7216">
            <w:pPr>
              <w:spacing w:line="480" w:lineRule="auto"/>
              <w:jc w:val="center"/>
              <w:rPr>
                <w:rFonts w:ascii="Arial" w:hAnsi="Arial" w:cs="Arial"/>
                <w:b/>
                <w:sz w:val="20"/>
                <w:szCs w:val="20"/>
              </w:rPr>
            </w:pPr>
            <w:r w:rsidRPr="004A4551">
              <w:rPr>
                <w:rFonts w:ascii="Arial" w:hAnsi="Arial" w:cs="Arial"/>
                <w:b/>
                <w:sz w:val="20"/>
                <w:szCs w:val="20"/>
              </w:rPr>
              <w:t>D</w:t>
            </w:r>
          </w:p>
        </w:tc>
        <w:tc>
          <w:tcPr>
            <w:tcW w:w="1530" w:type="dxa"/>
            <w:tcBorders>
              <w:bottom w:val="single" w:sz="4" w:space="0" w:color="auto"/>
            </w:tcBorders>
          </w:tcPr>
          <w:p w14:paraId="0C99B4A3" w14:textId="77777777" w:rsidR="00095193" w:rsidRPr="004A4551" w:rsidRDefault="002C20A0" w:rsidP="007F7216">
            <w:pPr>
              <w:spacing w:line="480" w:lineRule="auto"/>
              <w:jc w:val="center"/>
              <w:rPr>
                <w:rFonts w:ascii="Arial" w:hAnsi="Arial" w:cs="Arial"/>
                <w:b/>
                <w:sz w:val="20"/>
                <w:szCs w:val="20"/>
              </w:rPr>
            </w:pPr>
            <w:r w:rsidRPr="004A4551">
              <w:rPr>
                <w:rFonts w:ascii="Arial" w:hAnsi="Arial" w:cs="Arial"/>
                <w:b/>
                <w:sz w:val="20"/>
                <w:szCs w:val="20"/>
              </w:rPr>
              <w:t>Control</w:t>
            </w:r>
          </w:p>
        </w:tc>
      </w:tr>
      <w:tr w:rsidR="002E590B" w:rsidRPr="004A4551" w14:paraId="4C6DDE91" w14:textId="77777777" w:rsidTr="00DF7350">
        <w:tc>
          <w:tcPr>
            <w:tcW w:w="2790" w:type="dxa"/>
            <w:tcBorders>
              <w:top w:val="single" w:sz="4" w:space="0" w:color="auto"/>
            </w:tcBorders>
          </w:tcPr>
          <w:p w14:paraId="24807147"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Cucumber juice</w:t>
            </w:r>
          </w:p>
        </w:tc>
        <w:tc>
          <w:tcPr>
            <w:tcW w:w="1800" w:type="dxa"/>
            <w:tcBorders>
              <w:top w:val="single" w:sz="4" w:space="0" w:color="auto"/>
            </w:tcBorders>
          </w:tcPr>
          <w:p w14:paraId="6E867367"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30</w:t>
            </w:r>
          </w:p>
        </w:tc>
        <w:tc>
          <w:tcPr>
            <w:tcW w:w="1530" w:type="dxa"/>
            <w:tcBorders>
              <w:top w:val="single" w:sz="4" w:space="0" w:color="auto"/>
            </w:tcBorders>
          </w:tcPr>
          <w:p w14:paraId="3706229E"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30</w:t>
            </w:r>
          </w:p>
        </w:tc>
        <w:tc>
          <w:tcPr>
            <w:tcW w:w="1530" w:type="dxa"/>
            <w:tcBorders>
              <w:top w:val="single" w:sz="4" w:space="0" w:color="auto"/>
            </w:tcBorders>
          </w:tcPr>
          <w:p w14:paraId="016AC5F8"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30</w:t>
            </w:r>
          </w:p>
        </w:tc>
        <w:tc>
          <w:tcPr>
            <w:tcW w:w="1530" w:type="dxa"/>
            <w:tcBorders>
              <w:top w:val="single" w:sz="4" w:space="0" w:color="auto"/>
            </w:tcBorders>
          </w:tcPr>
          <w:p w14:paraId="783961E7"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30</w:t>
            </w:r>
          </w:p>
        </w:tc>
      </w:tr>
      <w:tr w:rsidR="002E590B" w:rsidRPr="004A4551" w14:paraId="6356A7E0" w14:textId="77777777" w:rsidTr="00DF7350">
        <w:tc>
          <w:tcPr>
            <w:tcW w:w="2790" w:type="dxa"/>
          </w:tcPr>
          <w:p w14:paraId="2E004B9A"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Pineapple juice</w:t>
            </w:r>
          </w:p>
        </w:tc>
        <w:tc>
          <w:tcPr>
            <w:tcW w:w="1800" w:type="dxa"/>
          </w:tcPr>
          <w:p w14:paraId="5C610E2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45</w:t>
            </w:r>
          </w:p>
        </w:tc>
        <w:tc>
          <w:tcPr>
            <w:tcW w:w="1530" w:type="dxa"/>
          </w:tcPr>
          <w:p w14:paraId="12684197"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45</w:t>
            </w:r>
          </w:p>
        </w:tc>
        <w:tc>
          <w:tcPr>
            <w:tcW w:w="1530" w:type="dxa"/>
          </w:tcPr>
          <w:p w14:paraId="44A8EE69"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45</w:t>
            </w:r>
          </w:p>
        </w:tc>
        <w:tc>
          <w:tcPr>
            <w:tcW w:w="1530" w:type="dxa"/>
          </w:tcPr>
          <w:p w14:paraId="1FCF0099"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50</w:t>
            </w:r>
          </w:p>
        </w:tc>
      </w:tr>
      <w:tr w:rsidR="002E590B" w:rsidRPr="004A4551" w14:paraId="1196AAA9" w14:textId="77777777" w:rsidTr="00DF7350">
        <w:tc>
          <w:tcPr>
            <w:tcW w:w="2790" w:type="dxa"/>
          </w:tcPr>
          <w:p w14:paraId="0E73225B"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Lemon juice</w:t>
            </w:r>
          </w:p>
        </w:tc>
        <w:tc>
          <w:tcPr>
            <w:tcW w:w="1800" w:type="dxa"/>
          </w:tcPr>
          <w:p w14:paraId="71F9B8B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142F9B59"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0167639A"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7664BC3F"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r>
      <w:tr w:rsidR="002E590B" w:rsidRPr="004A4551" w14:paraId="0031B3F1" w14:textId="77777777" w:rsidTr="00DF7350">
        <w:tc>
          <w:tcPr>
            <w:tcW w:w="2790" w:type="dxa"/>
          </w:tcPr>
          <w:p w14:paraId="5C1DD874"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 xml:space="preserve">Date syrup </w:t>
            </w:r>
          </w:p>
        </w:tc>
        <w:tc>
          <w:tcPr>
            <w:tcW w:w="1800" w:type="dxa"/>
          </w:tcPr>
          <w:p w14:paraId="0005C9CA"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10</w:t>
            </w:r>
          </w:p>
        </w:tc>
        <w:tc>
          <w:tcPr>
            <w:tcW w:w="1530" w:type="dxa"/>
          </w:tcPr>
          <w:p w14:paraId="791AF038"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10</w:t>
            </w:r>
          </w:p>
        </w:tc>
        <w:tc>
          <w:tcPr>
            <w:tcW w:w="1530" w:type="dxa"/>
          </w:tcPr>
          <w:p w14:paraId="197E8A2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10</w:t>
            </w:r>
          </w:p>
        </w:tc>
        <w:tc>
          <w:tcPr>
            <w:tcW w:w="1530" w:type="dxa"/>
          </w:tcPr>
          <w:p w14:paraId="26861072"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10</w:t>
            </w:r>
          </w:p>
        </w:tc>
      </w:tr>
      <w:tr w:rsidR="002E590B" w:rsidRPr="004A4551" w14:paraId="1F98BB7F" w14:textId="77777777" w:rsidTr="00DF7350">
        <w:tc>
          <w:tcPr>
            <w:tcW w:w="2790" w:type="dxa"/>
          </w:tcPr>
          <w:p w14:paraId="0DD0E5D1"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Ginger extract</w:t>
            </w:r>
          </w:p>
        </w:tc>
        <w:tc>
          <w:tcPr>
            <w:tcW w:w="1800" w:type="dxa"/>
          </w:tcPr>
          <w:p w14:paraId="220D3E6C"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71207F9E"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06CCC045"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77F8D1E2"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r>
      <w:tr w:rsidR="002E590B" w:rsidRPr="004A4551" w14:paraId="3C59E246" w14:textId="77777777" w:rsidTr="00DF7350">
        <w:tc>
          <w:tcPr>
            <w:tcW w:w="2790" w:type="dxa"/>
          </w:tcPr>
          <w:p w14:paraId="415DBC4C"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Mint extract</w:t>
            </w:r>
          </w:p>
        </w:tc>
        <w:tc>
          <w:tcPr>
            <w:tcW w:w="1800" w:type="dxa"/>
          </w:tcPr>
          <w:p w14:paraId="440D7C30"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0</w:t>
            </w:r>
          </w:p>
        </w:tc>
        <w:tc>
          <w:tcPr>
            <w:tcW w:w="1530" w:type="dxa"/>
          </w:tcPr>
          <w:p w14:paraId="54620957"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2.5</w:t>
            </w:r>
          </w:p>
        </w:tc>
        <w:tc>
          <w:tcPr>
            <w:tcW w:w="1530" w:type="dxa"/>
          </w:tcPr>
          <w:p w14:paraId="500D2885"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23D84EF5"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0</w:t>
            </w:r>
          </w:p>
        </w:tc>
      </w:tr>
      <w:tr w:rsidR="002E590B" w:rsidRPr="004A4551" w14:paraId="567049EB" w14:textId="77777777" w:rsidTr="00DF7350">
        <w:tc>
          <w:tcPr>
            <w:tcW w:w="2790" w:type="dxa"/>
          </w:tcPr>
          <w:p w14:paraId="5F4A6607" w14:textId="77777777" w:rsidR="00095193" w:rsidRPr="004A4551" w:rsidRDefault="002C20A0" w:rsidP="007F7216">
            <w:pPr>
              <w:spacing w:line="480" w:lineRule="auto"/>
              <w:rPr>
                <w:rFonts w:ascii="Arial" w:hAnsi="Arial" w:cs="Arial"/>
                <w:sz w:val="20"/>
                <w:szCs w:val="20"/>
              </w:rPr>
            </w:pPr>
            <w:r w:rsidRPr="004A4551">
              <w:rPr>
                <w:rFonts w:ascii="Arial" w:hAnsi="Arial" w:cs="Arial"/>
                <w:sz w:val="20"/>
                <w:szCs w:val="20"/>
              </w:rPr>
              <w:t>Bitter leaf extract</w:t>
            </w:r>
          </w:p>
        </w:tc>
        <w:tc>
          <w:tcPr>
            <w:tcW w:w="1800" w:type="dxa"/>
          </w:tcPr>
          <w:p w14:paraId="4439092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5</w:t>
            </w:r>
          </w:p>
        </w:tc>
        <w:tc>
          <w:tcPr>
            <w:tcW w:w="1530" w:type="dxa"/>
          </w:tcPr>
          <w:p w14:paraId="5B206173"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2.5</w:t>
            </w:r>
          </w:p>
        </w:tc>
        <w:tc>
          <w:tcPr>
            <w:tcW w:w="1530" w:type="dxa"/>
          </w:tcPr>
          <w:p w14:paraId="04475B89"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0</w:t>
            </w:r>
          </w:p>
        </w:tc>
        <w:tc>
          <w:tcPr>
            <w:tcW w:w="1530" w:type="dxa"/>
          </w:tcPr>
          <w:p w14:paraId="408F59AE" w14:textId="77777777" w:rsidR="00095193" w:rsidRPr="004A4551" w:rsidRDefault="002C20A0" w:rsidP="007F7216">
            <w:pPr>
              <w:spacing w:line="480" w:lineRule="auto"/>
              <w:jc w:val="center"/>
              <w:rPr>
                <w:rFonts w:ascii="Arial" w:hAnsi="Arial" w:cs="Arial"/>
                <w:sz w:val="20"/>
                <w:szCs w:val="20"/>
              </w:rPr>
            </w:pPr>
            <w:r w:rsidRPr="004A4551">
              <w:rPr>
                <w:rFonts w:ascii="Arial" w:hAnsi="Arial" w:cs="Arial"/>
                <w:sz w:val="20"/>
                <w:szCs w:val="20"/>
              </w:rPr>
              <w:t>0</w:t>
            </w:r>
          </w:p>
        </w:tc>
      </w:tr>
    </w:tbl>
    <w:p w14:paraId="2CD090D1" w14:textId="77777777" w:rsidR="00095193" w:rsidRPr="004A4551" w:rsidRDefault="002C20A0" w:rsidP="007F7216">
      <w:pPr>
        <w:spacing w:after="0" w:line="480" w:lineRule="auto"/>
        <w:rPr>
          <w:rFonts w:ascii="Arial" w:hAnsi="Arial" w:cs="Arial"/>
          <w:sz w:val="20"/>
          <w:szCs w:val="20"/>
        </w:rPr>
      </w:pPr>
      <w:r w:rsidRPr="004A4551">
        <w:rPr>
          <w:rFonts w:ascii="Arial" w:hAnsi="Arial" w:cs="Arial"/>
          <w:sz w:val="20"/>
          <w:szCs w:val="20"/>
        </w:rPr>
        <w:t>Means ± SD within the same row with the same superscript are not significantly different.</w:t>
      </w:r>
    </w:p>
    <w:p w14:paraId="20FC9326" w14:textId="40180364" w:rsidR="00091BA2" w:rsidRPr="004A4551" w:rsidRDefault="002C20A0" w:rsidP="007F7216">
      <w:pPr>
        <w:spacing w:after="0" w:line="480" w:lineRule="auto"/>
        <w:jc w:val="both"/>
        <w:rPr>
          <w:rFonts w:ascii="Arial" w:eastAsia="Times New Roman" w:hAnsi="Arial" w:cs="Arial"/>
          <w:iCs/>
          <w:color w:val="000000"/>
          <w:sz w:val="20"/>
          <w:szCs w:val="20"/>
          <w:vertAlign w:val="superscript"/>
        </w:rPr>
      </w:pPr>
      <w:r w:rsidRPr="004A4551">
        <w:rPr>
          <w:rFonts w:ascii="Arial" w:eastAsia="Times New Roman" w:hAnsi="Arial" w:cs="Arial"/>
          <w:iCs/>
          <w:color w:val="000000"/>
          <w:sz w:val="20"/>
          <w:szCs w:val="20"/>
          <w:vertAlign w:val="superscript"/>
        </w:rPr>
        <w:t>Key: Control = 100% Pineapple-Cumber Juice; 0% mint and 0% bitter leaf; Sample B=95% Pineapple-Cumber Juice; 0% mint and 5% bitter leaf; Sample C=100% Pineapple-Cumber Juice; 2.5% mint and 2.5% bitter leaf; Sample D= 100% Pineapple-Cumber Juice; 5% mint and 0% bitter leaf.</w:t>
      </w:r>
    </w:p>
    <w:p w14:paraId="14A5CC0F" w14:textId="77777777" w:rsidR="000A3596" w:rsidRPr="00703274" w:rsidRDefault="002C20A0" w:rsidP="007F7216">
      <w:pPr>
        <w:spacing w:after="0" w:line="480" w:lineRule="auto"/>
        <w:jc w:val="both"/>
        <w:rPr>
          <w:rFonts w:ascii="Arial" w:hAnsi="Arial" w:cs="Arial"/>
          <w:b/>
          <w:bCs/>
        </w:rPr>
      </w:pPr>
      <w:r w:rsidRPr="00703274">
        <w:rPr>
          <w:rFonts w:ascii="Arial" w:eastAsia="Times New Roman" w:hAnsi="Arial" w:cs="Arial"/>
          <w:b/>
          <w:bCs/>
        </w:rPr>
        <w:t xml:space="preserve">2.4 </w:t>
      </w:r>
      <w:r w:rsidRPr="00703274">
        <w:rPr>
          <w:rFonts w:ascii="Arial" w:hAnsi="Arial" w:cs="Arial"/>
          <w:b/>
          <w:bCs/>
        </w:rPr>
        <w:t>Pasteurization and Storage</w:t>
      </w:r>
    </w:p>
    <w:p w14:paraId="37921838" w14:textId="1862F312" w:rsidR="000A3596"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Each juice formulation was pasteurized at 72</w:t>
      </w:r>
      <w:r w:rsidRPr="004A4551">
        <w:rPr>
          <w:rFonts w:ascii="Arial" w:hAnsi="Arial" w:cs="Arial"/>
          <w:sz w:val="20"/>
          <w:szCs w:val="20"/>
          <w:vertAlign w:val="superscript"/>
        </w:rPr>
        <w:t>0</w:t>
      </w:r>
      <w:r w:rsidRPr="004A4551">
        <w:rPr>
          <w:rFonts w:ascii="Arial" w:hAnsi="Arial" w:cs="Arial"/>
          <w:sz w:val="20"/>
          <w:szCs w:val="20"/>
        </w:rPr>
        <w:t xml:space="preserve">C for 15 seconds in a water-bath pasteurizer. consistent with </w:t>
      </w:r>
      <w:r w:rsidRPr="004A4551">
        <w:rPr>
          <w:rFonts w:ascii="Arial" w:hAnsi="Arial" w:cs="Arial"/>
          <w:color w:val="000000" w:themeColor="text1"/>
          <w:sz w:val="20"/>
          <w:szCs w:val="20"/>
        </w:rPr>
        <w:t xml:space="preserve">Codex Alimentarius </w:t>
      </w:r>
      <w:r w:rsidR="00833A8C" w:rsidRPr="004A4551">
        <w:rPr>
          <w:rFonts w:ascii="Arial" w:hAnsi="Arial" w:cs="Arial"/>
          <w:color w:val="000000" w:themeColor="text1"/>
          <w:sz w:val="20"/>
          <w:szCs w:val="20"/>
        </w:rPr>
        <w:t>(</w:t>
      </w:r>
      <w:r w:rsidRPr="004A4551">
        <w:rPr>
          <w:rFonts w:ascii="Arial" w:hAnsi="Arial" w:cs="Arial"/>
          <w:color w:val="000000" w:themeColor="text1"/>
          <w:sz w:val="20"/>
          <w:szCs w:val="20"/>
        </w:rPr>
        <w:t>2005)</w:t>
      </w:r>
      <w:r w:rsidR="00833A8C" w:rsidRPr="004A4551">
        <w:rPr>
          <w:rFonts w:ascii="Arial" w:hAnsi="Arial" w:cs="Arial"/>
          <w:color w:val="000000" w:themeColor="text1"/>
          <w:sz w:val="20"/>
          <w:szCs w:val="20"/>
        </w:rPr>
        <w:t xml:space="preserve"> and </w:t>
      </w:r>
      <w:r w:rsidRPr="004A4551">
        <w:rPr>
          <w:rFonts w:ascii="Arial" w:hAnsi="Arial" w:cs="Arial"/>
          <w:sz w:val="20"/>
          <w:szCs w:val="20"/>
        </w:rPr>
        <w:t>validated in similar studies (</w:t>
      </w:r>
      <w:r w:rsidRPr="004A4551">
        <w:rPr>
          <w:rFonts w:ascii="Arial" w:hAnsi="Arial" w:cs="Arial"/>
          <w:color w:val="000000" w:themeColor="text1"/>
          <w:sz w:val="20"/>
          <w:szCs w:val="20"/>
        </w:rPr>
        <w:t>Fellows, 201</w:t>
      </w:r>
      <w:r w:rsidR="00C07FF6" w:rsidRPr="004A4551">
        <w:rPr>
          <w:rFonts w:ascii="Arial" w:hAnsi="Arial" w:cs="Arial"/>
          <w:color w:val="000000" w:themeColor="text1"/>
          <w:sz w:val="20"/>
          <w:szCs w:val="20"/>
        </w:rPr>
        <w:t>9</w:t>
      </w:r>
      <w:r w:rsidRPr="004A4551">
        <w:rPr>
          <w:rFonts w:ascii="Arial" w:hAnsi="Arial" w:cs="Arial"/>
          <w:sz w:val="20"/>
          <w:szCs w:val="20"/>
        </w:rPr>
        <w:t xml:space="preserve">). Immediately after pasteurization, samples were hot-filled into sterilized, 250 ml amber glass bottles, sealed, labeled, and cooled to ambient temperature. </w:t>
      </w:r>
      <w:r w:rsidR="00BD6C29" w:rsidRPr="004A4551">
        <w:rPr>
          <w:rFonts w:ascii="Arial" w:hAnsi="Arial" w:cs="Arial"/>
          <w:sz w:val="20"/>
          <w:szCs w:val="20"/>
        </w:rPr>
        <w:t xml:space="preserve">Each juice formulation was filled in 7 different bottles to ensure </w:t>
      </w:r>
      <w:r w:rsidR="00A26968">
        <w:rPr>
          <w:rFonts w:ascii="Arial" w:hAnsi="Arial" w:cs="Arial"/>
          <w:sz w:val="20"/>
          <w:szCs w:val="20"/>
        </w:rPr>
        <w:t>single-use</w:t>
      </w:r>
      <w:r w:rsidR="00BD6C29" w:rsidRPr="004A4551">
        <w:rPr>
          <w:rFonts w:ascii="Arial" w:hAnsi="Arial" w:cs="Arial"/>
          <w:sz w:val="20"/>
          <w:szCs w:val="20"/>
        </w:rPr>
        <w:t xml:space="preserve"> after opening.</w:t>
      </w:r>
    </w:p>
    <w:p w14:paraId="7A758865" w14:textId="4C078EFE" w:rsidR="000A3596"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samples were </w:t>
      </w:r>
      <w:r w:rsidR="00BD6C29" w:rsidRPr="004A4551">
        <w:rPr>
          <w:rFonts w:ascii="Arial" w:hAnsi="Arial" w:cs="Arial"/>
          <w:sz w:val="20"/>
          <w:szCs w:val="20"/>
        </w:rPr>
        <w:t>stored</w:t>
      </w:r>
      <w:r w:rsidRPr="004A4551">
        <w:rPr>
          <w:rFonts w:ascii="Arial" w:hAnsi="Arial" w:cs="Arial"/>
          <w:sz w:val="20"/>
          <w:szCs w:val="20"/>
        </w:rPr>
        <w:t xml:space="preserve"> at ambient temperature (28 ± 1°C)</w:t>
      </w:r>
      <w:r w:rsidR="007A2814">
        <w:rPr>
          <w:rFonts w:ascii="Arial" w:hAnsi="Arial" w:cs="Arial"/>
          <w:sz w:val="20"/>
          <w:szCs w:val="20"/>
        </w:rPr>
        <w:t xml:space="preserve"> and away from direct sunlight</w:t>
      </w:r>
      <w:r w:rsidRPr="004A4551">
        <w:rPr>
          <w:rFonts w:ascii="Arial" w:hAnsi="Arial" w:cs="Arial"/>
          <w:sz w:val="20"/>
          <w:szCs w:val="20"/>
        </w:rPr>
        <w:t xml:space="preserve"> for 21 days. </w:t>
      </w:r>
      <w:r w:rsidR="00BD6C29" w:rsidRPr="004A4551">
        <w:rPr>
          <w:rFonts w:ascii="Arial" w:hAnsi="Arial" w:cs="Arial"/>
          <w:sz w:val="20"/>
          <w:szCs w:val="20"/>
        </w:rPr>
        <w:t>W</w:t>
      </w:r>
      <w:r w:rsidRPr="004A4551">
        <w:rPr>
          <w:rFonts w:ascii="Arial" w:hAnsi="Arial" w:cs="Arial"/>
          <w:sz w:val="20"/>
          <w:szCs w:val="20"/>
        </w:rPr>
        <w:t>ithdraw</w:t>
      </w:r>
      <w:r w:rsidR="00BD6C29" w:rsidRPr="004A4551">
        <w:rPr>
          <w:rFonts w:ascii="Arial" w:hAnsi="Arial" w:cs="Arial"/>
          <w:sz w:val="20"/>
          <w:szCs w:val="20"/>
        </w:rPr>
        <w:t>als were made</w:t>
      </w:r>
      <w:r w:rsidRPr="004A4551">
        <w:rPr>
          <w:rFonts w:ascii="Arial" w:hAnsi="Arial" w:cs="Arial"/>
          <w:sz w:val="20"/>
          <w:szCs w:val="20"/>
        </w:rPr>
        <w:t xml:space="preserve"> aseptically </w:t>
      </w:r>
      <w:r w:rsidR="00A26968">
        <w:rPr>
          <w:rFonts w:ascii="Arial" w:hAnsi="Arial" w:cs="Arial"/>
          <w:sz w:val="20"/>
          <w:szCs w:val="20"/>
        </w:rPr>
        <w:t xml:space="preserve">on days 1, 3, 7, 14, and 21 for microbiological and physicochemical </w:t>
      </w:r>
      <w:r w:rsidR="00A26968">
        <w:rPr>
          <w:rFonts w:ascii="Arial" w:hAnsi="Arial" w:cs="Arial"/>
          <w:sz w:val="20"/>
          <w:szCs w:val="20"/>
        </w:rPr>
        <w:lastRenderedPageBreak/>
        <w:t>analyses, and on days</w:t>
      </w:r>
      <w:r w:rsidRPr="004A4551">
        <w:rPr>
          <w:rFonts w:ascii="Arial" w:hAnsi="Arial" w:cs="Arial"/>
          <w:sz w:val="20"/>
          <w:szCs w:val="20"/>
        </w:rPr>
        <w:t xml:space="preserve"> 1 and 15 for antioxidant analysis. </w:t>
      </w:r>
      <w:r w:rsidR="00BD6C29" w:rsidRPr="004A4551">
        <w:rPr>
          <w:rFonts w:ascii="Arial" w:hAnsi="Arial" w:cs="Arial"/>
          <w:sz w:val="20"/>
          <w:szCs w:val="20"/>
        </w:rPr>
        <w:t xml:space="preserve">Storage </w:t>
      </w:r>
      <w:r w:rsidRPr="004A4551">
        <w:rPr>
          <w:rFonts w:ascii="Arial" w:hAnsi="Arial" w:cs="Arial"/>
          <w:sz w:val="20"/>
          <w:szCs w:val="20"/>
        </w:rPr>
        <w:t>temperature was monitored twice daily using a calibrated digital thermometer.</w:t>
      </w:r>
    </w:p>
    <w:p w14:paraId="09FE8773" w14:textId="77777777" w:rsidR="000A3596" w:rsidRPr="00703274" w:rsidRDefault="002C20A0" w:rsidP="007F7216">
      <w:pPr>
        <w:spacing w:after="0" w:line="480" w:lineRule="auto"/>
        <w:jc w:val="both"/>
        <w:rPr>
          <w:rFonts w:ascii="Arial" w:hAnsi="Arial" w:cs="Arial"/>
          <w:b/>
          <w:bCs/>
        </w:rPr>
      </w:pPr>
      <w:r w:rsidRPr="00703274">
        <w:rPr>
          <w:rFonts w:ascii="Arial" w:hAnsi="Arial" w:cs="Arial"/>
          <w:b/>
          <w:bCs/>
        </w:rPr>
        <w:t>2.5 Microbiological Analysis</w:t>
      </w:r>
    </w:p>
    <w:p w14:paraId="4591AE7A" w14:textId="45F1AF21" w:rsidR="000A3596" w:rsidRPr="004A4551" w:rsidRDefault="00BD6C29" w:rsidP="007F7216">
      <w:pPr>
        <w:spacing w:after="0" w:line="480" w:lineRule="auto"/>
        <w:jc w:val="both"/>
        <w:rPr>
          <w:rFonts w:ascii="Arial" w:hAnsi="Arial" w:cs="Arial"/>
          <w:b/>
          <w:bCs/>
          <w:sz w:val="20"/>
          <w:szCs w:val="20"/>
          <w:u w:val="single"/>
        </w:rPr>
      </w:pPr>
      <w:r w:rsidRPr="004A4551">
        <w:rPr>
          <w:rFonts w:ascii="Arial" w:hAnsi="Arial" w:cs="Arial"/>
          <w:sz w:val="20"/>
          <w:szCs w:val="20"/>
        </w:rPr>
        <w:t>M</w:t>
      </w:r>
      <w:r w:rsidR="002C20A0" w:rsidRPr="004A4551">
        <w:rPr>
          <w:rFonts w:ascii="Arial" w:hAnsi="Arial" w:cs="Arial"/>
          <w:sz w:val="20"/>
          <w:szCs w:val="20"/>
        </w:rPr>
        <w:t>icrobiological quality was analyzed using standard plate count methods (APHA, 2001)</w:t>
      </w:r>
      <w:r w:rsidR="002C20A0" w:rsidRPr="004A4551">
        <w:rPr>
          <w:rFonts w:ascii="Arial" w:hAnsi="Arial" w:cs="Arial"/>
          <w:color w:val="000000" w:themeColor="text1"/>
          <w:sz w:val="20"/>
          <w:szCs w:val="20"/>
        </w:rPr>
        <w:t>.</w:t>
      </w:r>
      <w:r w:rsidRPr="004A4551">
        <w:rPr>
          <w:rFonts w:ascii="Arial" w:hAnsi="Arial" w:cs="Arial"/>
          <w:color w:val="000000" w:themeColor="text1"/>
          <w:sz w:val="20"/>
          <w:szCs w:val="20"/>
        </w:rPr>
        <w:t xml:space="preserve"> Total plate count </w:t>
      </w:r>
      <w:r w:rsidR="00E7444F" w:rsidRPr="004A4551">
        <w:rPr>
          <w:rFonts w:ascii="Arial" w:hAnsi="Arial" w:cs="Arial"/>
          <w:color w:val="000000" w:themeColor="text1"/>
          <w:sz w:val="20"/>
          <w:szCs w:val="20"/>
        </w:rPr>
        <w:t xml:space="preserve">(TPC) </w:t>
      </w:r>
      <w:r w:rsidRPr="004A4551">
        <w:rPr>
          <w:rFonts w:ascii="Arial" w:hAnsi="Arial" w:cs="Arial"/>
          <w:color w:val="000000" w:themeColor="text1"/>
          <w:sz w:val="20"/>
          <w:szCs w:val="20"/>
        </w:rPr>
        <w:t xml:space="preserve">was enumerated </w:t>
      </w:r>
      <w:r w:rsidRPr="004A4551">
        <w:rPr>
          <w:rFonts w:ascii="Arial" w:hAnsi="Arial" w:cs="Arial"/>
          <w:sz w:val="20"/>
          <w:szCs w:val="20"/>
        </w:rPr>
        <w:t>on p</w:t>
      </w:r>
      <w:r w:rsidR="002C20A0" w:rsidRPr="004A4551">
        <w:rPr>
          <w:rFonts w:ascii="Arial" w:hAnsi="Arial" w:cs="Arial"/>
          <w:sz w:val="20"/>
          <w:szCs w:val="20"/>
        </w:rPr>
        <w:t xml:space="preserve">late </w:t>
      </w:r>
      <w:r w:rsidRPr="004A4551">
        <w:rPr>
          <w:rFonts w:ascii="Arial" w:hAnsi="Arial" w:cs="Arial"/>
          <w:sz w:val="20"/>
          <w:szCs w:val="20"/>
        </w:rPr>
        <w:t>c</w:t>
      </w:r>
      <w:r w:rsidR="002C20A0" w:rsidRPr="004A4551">
        <w:rPr>
          <w:rFonts w:ascii="Arial" w:hAnsi="Arial" w:cs="Arial"/>
          <w:sz w:val="20"/>
          <w:szCs w:val="20"/>
        </w:rPr>
        <w:t xml:space="preserve">ount </w:t>
      </w:r>
      <w:r w:rsidRPr="004A4551">
        <w:rPr>
          <w:rFonts w:ascii="Arial" w:hAnsi="Arial" w:cs="Arial"/>
          <w:sz w:val="20"/>
          <w:szCs w:val="20"/>
        </w:rPr>
        <w:t>a</w:t>
      </w:r>
      <w:r w:rsidR="002C20A0" w:rsidRPr="004A4551">
        <w:rPr>
          <w:rFonts w:ascii="Arial" w:hAnsi="Arial" w:cs="Arial"/>
          <w:sz w:val="20"/>
          <w:szCs w:val="20"/>
        </w:rPr>
        <w:t xml:space="preserve">gar (PCA; </w:t>
      </w:r>
      <w:proofErr w:type="spellStart"/>
      <w:r w:rsidR="002C20A0" w:rsidRPr="004A4551">
        <w:rPr>
          <w:rFonts w:ascii="Arial" w:hAnsi="Arial" w:cs="Arial"/>
          <w:sz w:val="20"/>
          <w:szCs w:val="20"/>
        </w:rPr>
        <w:t>Oxoid</w:t>
      </w:r>
      <w:proofErr w:type="spellEnd"/>
      <w:r w:rsidR="002C20A0" w:rsidRPr="004A4551">
        <w:rPr>
          <w:rFonts w:ascii="Arial" w:hAnsi="Arial" w:cs="Arial"/>
          <w:sz w:val="20"/>
          <w:szCs w:val="20"/>
        </w:rPr>
        <w:t xml:space="preserve">, UK) incubated at 37 °C for 48 hours. </w:t>
      </w:r>
      <w:r w:rsidR="00E7444F" w:rsidRPr="004A4551">
        <w:rPr>
          <w:rFonts w:ascii="Arial" w:hAnsi="Arial" w:cs="Arial"/>
          <w:sz w:val="20"/>
          <w:szCs w:val="20"/>
        </w:rPr>
        <w:t xml:space="preserve">Total yeast count (TYC) was determined </w:t>
      </w:r>
      <w:r w:rsidR="002C20A0" w:rsidRPr="004A4551">
        <w:rPr>
          <w:rFonts w:ascii="Arial" w:hAnsi="Arial" w:cs="Arial"/>
          <w:sz w:val="20"/>
          <w:szCs w:val="20"/>
        </w:rPr>
        <w:t xml:space="preserve">on Potato Dextrose Agar (PDA; </w:t>
      </w:r>
      <w:proofErr w:type="spellStart"/>
      <w:r w:rsidR="002C20A0" w:rsidRPr="004A4551">
        <w:rPr>
          <w:rFonts w:ascii="Arial" w:hAnsi="Arial" w:cs="Arial"/>
          <w:sz w:val="20"/>
          <w:szCs w:val="20"/>
        </w:rPr>
        <w:t>Oxoid</w:t>
      </w:r>
      <w:proofErr w:type="spellEnd"/>
      <w:r w:rsidR="002C20A0" w:rsidRPr="004A4551">
        <w:rPr>
          <w:rFonts w:ascii="Arial" w:hAnsi="Arial" w:cs="Arial"/>
          <w:sz w:val="20"/>
          <w:szCs w:val="20"/>
        </w:rPr>
        <w:t>, UK) acidified with 10% tartaric acid</w:t>
      </w:r>
      <w:r w:rsidR="00E7444F" w:rsidRPr="004A4551">
        <w:rPr>
          <w:rFonts w:ascii="Arial" w:hAnsi="Arial" w:cs="Arial"/>
          <w:sz w:val="20"/>
          <w:szCs w:val="20"/>
        </w:rPr>
        <w:t xml:space="preserve">, </w:t>
      </w:r>
      <w:r w:rsidR="002C20A0" w:rsidRPr="004A4551">
        <w:rPr>
          <w:rFonts w:ascii="Arial" w:hAnsi="Arial" w:cs="Arial"/>
          <w:sz w:val="20"/>
          <w:szCs w:val="20"/>
        </w:rPr>
        <w:t>incubated at 25 °C for 72-120 hours.</w:t>
      </w:r>
      <w:r w:rsidR="00E7444F" w:rsidRPr="004A4551">
        <w:rPr>
          <w:rFonts w:ascii="Arial" w:hAnsi="Arial" w:cs="Arial"/>
          <w:sz w:val="20"/>
          <w:szCs w:val="20"/>
        </w:rPr>
        <w:t xml:space="preserve"> Total coliform count (TCC)</w:t>
      </w:r>
      <w:r w:rsidR="002C20A0" w:rsidRPr="004A4551">
        <w:rPr>
          <w:rFonts w:ascii="Arial" w:hAnsi="Arial" w:cs="Arial"/>
          <w:sz w:val="20"/>
          <w:szCs w:val="20"/>
        </w:rPr>
        <w:t xml:space="preserve"> was</w:t>
      </w:r>
      <w:r w:rsidR="00E7444F" w:rsidRPr="004A4551">
        <w:rPr>
          <w:rFonts w:ascii="Arial" w:hAnsi="Arial" w:cs="Arial"/>
          <w:sz w:val="20"/>
          <w:szCs w:val="20"/>
        </w:rPr>
        <w:t xml:space="preserve"> assessed by the Most Probable Number method using </w:t>
      </w:r>
      <w:r w:rsidR="002C20A0" w:rsidRPr="004A4551">
        <w:rPr>
          <w:rFonts w:ascii="Arial" w:hAnsi="Arial" w:cs="Arial"/>
          <w:sz w:val="20"/>
          <w:szCs w:val="20"/>
        </w:rPr>
        <w:t>MacConkey broth</w:t>
      </w:r>
      <w:r w:rsidR="00E7444F" w:rsidRPr="004A4551">
        <w:rPr>
          <w:rFonts w:ascii="Arial" w:hAnsi="Arial" w:cs="Arial"/>
          <w:sz w:val="20"/>
          <w:szCs w:val="20"/>
        </w:rPr>
        <w:t xml:space="preserve">, </w:t>
      </w:r>
      <w:r w:rsidR="002C20A0" w:rsidRPr="004A4551">
        <w:rPr>
          <w:rFonts w:ascii="Arial" w:hAnsi="Arial" w:cs="Arial"/>
          <w:sz w:val="20"/>
          <w:szCs w:val="20"/>
        </w:rPr>
        <w:t>confirm</w:t>
      </w:r>
      <w:r w:rsidR="00E7444F" w:rsidRPr="004A4551">
        <w:rPr>
          <w:rFonts w:ascii="Arial" w:hAnsi="Arial" w:cs="Arial"/>
          <w:sz w:val="20"/>
          <w:szCs w:val="20"/>
        </w:rPr>
        <w:t>ed</w:t>
      </w:r>
      <w:r w:rsidR="002C20A0" w:rsidRPr="004A4551">
        <w:rPr>
          <w:rFonts w:ascii="Arial" w:hAnsi="Arial" w:cs="Arial"/>
          <w:sz w:val="20"/>
          <w:szCs w:val="20"/>
        </w:rPr>
        <w:t xml:space="preserve"> on Brilliant Green Bile Broth (BGBB) at 37</w:t>
      </w:r>
      <w:r w:rsidR="002C20A0" w:rsidRPr="004A4551">
        <w:rPr>
          <w:rFonts w:ascii="Arial" w:hAnsi="Arial" w:cs="Arial"/>
          <w:sz w:val="20"/>
          <w:szCs w:val="20"/>
          <w:vertAlign w:val="superscript"/>
        </w:rPr>
        <w:t>0</w:t>
      </w:r>
      <w:r w:rsidR="002C20A0" w:rsidRPr="004A4551">
        <w:rPr>
          <w:rFonts w:ascii="Arial" w:hAnsi="Arial" w:cs="Arial"/>
          <w:sz w:val="20"/>
          <w:szCs w:val="20"/>
        </w:rPr>
        <w:t xml:space="preserve"> °C for 48 hours</w:t>
      </w:r>
      <w:r w:rsidR="00E7444F" w:rsidRPr="004A4551">
        <w:rPr>
          <w:rFonts w:ascii="Arial" w:hAnsi="Arial" w:cs="Arial"/>
          <w:sz w:val="20"/>
          <w:szCs w:val="20"/>
        </w:rPr>
        <w:t>.</w:t>
      </w:r>
      <w:r w:rsidR="002C20A0" w:rsidRPr="004A4551">
        <w:rPr>
          <w:rFonts w:ascii="Arial" w:hAnsi="Arial" w:cs="Arial"/>
          <w:sz w:val="20"/>
          <w:szCs w:val="20"/>
        </w:rPr>
        <w:t xml:space="preserve"> Total bacterial counts were determined by the pour plate method</w:t>
      </w:r>
      <w:r w:rsidR="00E7444F" w:rsidRPr="004A4551">
        <w:rPr>
          <w:rFonts w:ascii="Arial" w:hAnsi="Arial" w:cs="Arial"/>
          <w:sz w:val="20"/>
          <w:szCs w:val="20"/>
        </w:rPr>
        <w:t xml:space="preserve"> on nutrient agar </w:t>
      </w:r>
      <w:r w:rsidR="00E7444F" w:rsidRPr="004A4551">
        <w:rPr>
          <w:rFonts w:ascii="Arial" w:eastAsia="Times New Roman" w:hAnsi="Arial" w:cs="Arial"/>
          <w:sz w:val="24"/>
          <w:szCs w:val="24"/>
        </w:rPr>
        <w:t xml:space="preserve">(NA; </w:t>
      </w:r>
      <w:proofErr w:type="spellStart"/>
      <w:r w:rsidR="00E7444F" w:rsidRPr="004A4551">
        <w:rPr>
          <w:rFonts w:ascii="Arial" w:eastAsia="Times New Roman" w:hAnsi="Arial" w:cs="Arial"/>
          <w:sz w:val="24"/>
          <w:szCs w:val="24"/>
        </w:rPr>
        <w:t>Oxoid</w:t>
      </w:r>
      <w:proofErr w:type="spellEnd"/>
      <w:r w:rsidR="00E7444F" w:rsidRPr="004A4551">
        <w:rPr>
          <w:rFonts w:ascii="Arial" w:eastAsia="Times New Roman" w:hAnsi="Arial" w:cs="Arial"/>
          <w:sz w:val="24"/>
          <w:szCs w:val="24"/>
        </w:rPr>
        <w:t>, UK)</w:t>
      </w:r>
      <w:r w:rsidR="002C20A0" w:rsidRPr="004A4551">
        <w:rPr>
          <w:rFonts w:ascii="Arial" w:hAnsi="Arial" w:cs="Arial"/>
          <w:sz w:val="20"/>
          <w:szCs w:val="20"/>
        </w:rPr>
        <w:t>, with incubation at 37 °C for 24</w:t>
      </w:r>
      <w:r w:rsidR="00E7444F" w:rsidRPr="004A4551">
        <w:rPr>
          <w:rFonts w:ascii="Arial" w:hAnsi="Arial" w:cs="Arial"/>
          <w:sz w:val="20"/>
          <w:szCs w:val="20"/>
        </w:rPr>
        <w:t>-</w:t>
      </w:r>
      <w:r w:rsidR="002C20A0" w:rsidRPr="004A4551">
        <w:rPr>
          <w:rFonts w:ascii="Arial" w:hAnsi="Arial" w:cs="Arial"/>
          <w:sz w:val="20"/>
          <w:szCs w:val="20"/>
        </w:rPr>
        <w:t>48 hours</w:t>
      </w:r>
      <w:r w:rsidR="00E7444F" w:rsidRPr="004A4551">
        <w:rPr>
          <w:rFonts w:ascii="Arial" w:hAnsi="Arial" w:cs="Arial"/>
          <w:sz w:val="20"/>
          <w:szCs w:val="20"/>
        </w:rPr>
        <w:t>. All counts were expressed as colony-forming units per milliliter (CFU/ml).</w:t>
      </w:r>
    </w:p>
    <w:p w14:paraId="6BCD6CB8" w14:textId="63D8529D" w:rsidR="00DE4139" w:rsidRPr="00703274" w:rsidRDefault="002C20A0" w:rsidP="007F7216">
      <w:pPr>
        <w:spacing w:after="0" w:line="480" w:lineRule="auto"/>
        <w:jc w:val="both"/>
        <w:rPr>
          <w:rFonts w:ascii="Arial" w:hAnsi="Arial" w:cs="Arial"/>
          <w:b/>
          <w:bCs/>
        </w:rPr>
      </w:pPr>
      <w:r w:rsidRPr="00703274">
        <w:rPr>
          <w:rFonts w:ascii="Arial" w:hAnsi="Arial" w:cs="Arial"/>
          <w:b/>
          <w:bCs/>
        </w:rPr>
        <w:t xml:space="preserve">2.6 Antioxidant Activity </w:t>
      </w:r>
    </w:p>
    <w:p w14:paraId="109CAD38" w14:textId="1F99E5F3" w:rsidR="000A3596" w:rsidRPr="004A4551" w:rsidRDefault="002C20A0" w:rsidP="007F7216">
      <w:pPr>
        <w:spacing w:after="0" w:line="480" w:lineRule="auto"/>
        <w:jc w:val="both"/>
        <w:rPr>
          <w:rFonts w:ascii="Arial" w:eastAsia="Times New Roman" w:hAnsi="Arial" w:cs="Arial"/>
          <w:sz w:val="20"/>
          <w:szCs w:val="20"/>
        </w:rPr>
      </w:pPr>
      <w:r w:rsidRPr="004A4551">
        <w:rPr>
          <w:rFonts w:ascii="Arial" w:hAnsi="Arial" w:cs="Arial"/>
          <w:sz w:val="20"/>
          <w:szCs w:val="20"/>
        </w:rPr>
        <w:t xml:space="preserve">The DPPH (2,2-diphenyl-1-picrylhydrazyl) radical scavenging assay was </w:t>
      </w:r>
      <w:r w:rsidR="007A2814">
        <w:rPr>
          <w:rFonts w:ascii="Arial" w:hAnsi="Arial" w:cs="Arial"/>
          <w:sz w:val="20"/>
          <w:szCs w:val="20"/>
        </w:rPr>
        <w:t>performed according to the method of Brand-Williams et al. (1995),</w:t>
      </w:r>
      <w:r w:rsidRPr="004A4551">
        <w:rPr>
          <w:rFonts w:ascii="Arial" w:hAnsi="Arial" w:cs="Arial"/>
          <w:color w:val="FF0000"/>
          <w:sz w:val="20"/>
          <w:szCs w:val="20"/>
        </w:rPr>
        <w:t xml:space="preserve"> </w:t>
      </w:r>
      <w:r w:rsidRPr="004A4551">
        <w:rPr>
          <w:rFonts w:ascii="Arial" w:hAnsi="Arial" w:cs="Arial"/>
          <w:sz w:val="20"/>
          <w:szCs w:val="20"/>
        </w:rPr>
        <w:t>a</w:t>
      </w:r>
      <w:r w:rsidR="00E7444F" w:rsidRPr="004A4551">
        <w:rPr>
          <w:rFonts w:ascii="Arial" w:hAnsi="Arial" w:cs="Arial"/>
          <w:sz w:val="20"/>
          <w:szCs w:val="20"/>
        </w:rPr>
        <w:t xml:space="preserve">s </w:t>
      </w:r>
      <w:r w:rsidRPr="004A4551">
        <w:rPr>
          <w:rFonts w:ascii="Arial" w:hAnsi="Arial" w:cs="Arial"/>
          <w:sz w:val="20"/>
          <w:szCs w:val="20"/>
        </w:rPr>
        <w:t xml:space="preserve">modified by </w:t>
      </w:r>
      <w:proofErr w:type="spellStart"/>
      <w:r w:rsidRPr="004A4551">
        <w:rPr>
          <w:rFonts w:ascii="Arial" w:hAnsi="Arial" w:cs="Arial"/>
          <w:color w:val="000000" w:themeColor="text1"/>
          <w:sz w:val="20"/>
          <w:szCs w:val="20"/>
        </w:rPr>
        <w:t>Mensor</w:t>
      </w:r>
      <w:proofErr w:type="spellEnd"/>
      <w:r w:rsidRPr="004A4551">
        <w:rPr>
          <w:rFonts w:ascii="Arial" w:hAnsi="Arial" w:cs="Arial"/>
          <w:color w:val="000000" w:themeColor="text1"/>
          <w:sz w:val="20"/>
          <w:szCs w:val="20"/>
        </w:rPr>
        <w:t xml:space="preserve"> et al. (2001). </w:t>
      </w:r>
      <w:r w:rsidRPr="004A4551">
        <w:rPr>
          <w:rFonts w:ascii="Arial" w:hAnsi="Arial" w:cs="Arial"/>
          <w:sz w:val="20"/>
          <w:szCs w:val="20"/>
        </w:rPr>
        <w:t>Briefly, 0.5 mL of each juice blend was added to 3.0 mL of a 0.004% methanolic DPPH solution</w:t>
      </w:r>
      <w:r w:rsidR="00E7444F" w:rsidRPr="004A4551">
        <w:rPr>
          <w:rFonts w:ascii="Arial" w:hAnsi="Arial" w:cs="Arial"/>
          <w:sz w:val="20"/>
          <w:szCs w:val="20"/>
        </w:rPr>
        <w:t xml:space="preserve">, </w:t>
      </w:r>
      <w:r w:rsidRPr="004A4551">
        <w:rPr>
          <w:rFonts w:ascii="Arial" w:hAnsi="Arial" w:cs="Arial"/>
          <w:sz w:val="20"/>
          <w:szCs w:val="20"/>
        </w:rPr>
        <w:t>vortexed</w:t>
      </w:r>
      <w:r w:rsidR="007A2814">
        <w:rPr>
          <w:rFonts w:ascii="Arial" w:hAnsi="Arial" w:cs="Arial"/>
          <w:sz w:val="20"/>
          <w:szCs w:val="20"/>
        </w:rPr>
        <w:t>,</w:t>
      </w:r>
      <w:r w:rsidRPr="004A4551">
        <w:rPr>
          <w:rFonts w:ascii="Arial" w:hAnsi="Arial" w:cs="Arial"/>
          <w:sz w:val="20"/>
          <w:szCs w:val="20"/>
        </w:rPr>
        <w:t xml:space="preserve"> and allowed to stand in the dark at room temperature for 30 minutes. Absorbance was measured at 517 </w:t>
      </w:r>
      <w:r w:rsidR="007A2814">
        <w:rPr>
          <w:rFonts w:ascii="Arial" w:hAnsi="Arial" w:cs="Arial"/>
          <w:sz w:val="20"/>
          <w:szCs w:val="20"/>
        </w:rPr>
        <w:t>nm,</w:t>
      </w:r>
      <w:r w:rsidR="00BE3DC1" w:rsidRPr="004A4551">
        <w:rPr>
          <w:rFonts w:ascii="Arial" w:hAnsi="Arial" w:cs="Arial"/>
          <w:sz w:val="20"/>
          <w:szCs w:val="20"/>
        </w:rPr>
        <w:t xml:space="preserve"> </w:t>
      </w:r>
      <w:r w:rsidR="007A2814">
        <w:rPr>
          <w:rFonts w:ascii="Arial" w:hAnsi="Arial" w:cs="Arial"/>
          <w:sz w:val="20"/>
          <w:szCs w:val="20"/>
        </w:rPr>
        <w:t xml:space="preserve">as </w:t>
      </w:r>
      <w:r w:rsidR="00E7444F" w:rsidRPr="004A4551">
        <w:rPr>
          <w:rFonts w:ascii="Arial" w:hAnsi="Arial" w:cs="Arial"/>
          <w:sz w:val="20"/>
          <w:szCs w:val="20"/>
        </w:rPr>
        <w:t>percentage inhibition (%)</w:t>
      </w:r>
      <w:r w:rsidR="007A2814">
        <w:rPr>
          <w:rFonts w:ascii="Arial" w:hAnsi="Arial" w:cs="Arial"/>
          <w:sz w:val="20"/>
          <w:szCs w:val="20"/>
        </w:rPr>
        <w:t xml:space="preserve"> and</w:t>
      </w:r>
      <w:r w:rsidR="00BE3DC1" w:rsidRPr="004A4551">
        <w:rPr>
          <w:rFonts w:ascii="Arial" w:hAnsi="Arial" w:cs="Arial"/>
          <w:sz w:val="20"/>
          <w:szCs w:val="20"/>
        </w:rPr>
        <w:t xml:space="preserve"> </w:t>
      </w:r>
      <w:r w:rsidRPr="004A4551">
        <w:rPr>
          <w:rFonts w:ascii="Arial" w:hAnsi="Arial" w:cs="Arial"/>
          <w:sz w:val="20"/>
          <w:szCs w:val="20"/>
        </w:rPr>
        <w:t xml:space="preserve">calculated </w:t>
      </w:r>
      <w:r w:rsidR="00BE3DC1" w:rsidRPr="004A4551">
        <w:rPr>
          <w:rFonts w:ascii="Arial" w:hAnsi="Arial" w:cs="Arial"/>
          <w:sz w:val="20"/>
          <w:szCs w:val="20"/>
        </w:rPr>
        <w:t>as:</w:t>
      </w:r>
    </w:p>
    <w:p w14:paraId="65AE01FA" w14:textId="77777777" w:rsidR="000A3596" w:rsidRPr="004A4551" w:rsidRDefault="002C20A0" w:rsidP="007F7216">
      <w:pPr>
        <w:spacing w:after="0" w:line="480" w:lineRule="auto"/>
        <w:jc w:val="both"/>
        <w:rPr>
          <w:rFonts w:ascii="Arial" w:hAnsi="Arial" w:cs="Arial"/>
          <w:b/>
          <w:bCs/>
          <w:sz w:val="20"/>
          <w:szCs w:val="20"/>
        </w:rPr>
      </w:pPr>
      <m:oMathPara>
        <m:oMath>
          <m:r>
            <w:rPr>
              <w:rFonts w:ascii="Cambria Math" w:hAnsi="Cambria Math" w:cs="Arial"/>
              <w:sz w:val="20"/>
              <w:szCs w:val="20"/>
            </w:rPr>
            <m:t>% inhibition=</m:t>
          </m:r>
          <m:f>
            <m:fPr>
              <m:ctrlPr>
                <w:rPr>
                  <w:rFonts w:ascii="Cambria Math" w:eastAsia="Times New Roman" w:hAnsi="Cambria Math" w:cs="Arial"/>
                  <w:i/>
                  <w:sz w:val="20"/>
                  <w:szCs w:val="20"/>
                </w:rPr>
              </m:ctrlPr>
            </m:fPr>
            <m:num>
              <m:r>
                <w:rPr>
                  <w:rFonts w:ascii="Cambria Math" w:hAnsi="Cambria Math" w:cs="Arial"/>
                  <w:sz w:val="20"/>
                  <w:szCs w:val="20"/>
                </w:rPr>
                <m:t xml:space="preserve">A control-A sample   </m:t>
              </m:r>
            </m:num>
            <m:den>
              <m:r>
                <w:rPr>
                  <w:rFonts w:ascii="Cambria Math" w:hAnsi="Cambria Math" w:cs="Arial"/>
                  <w:sz w:val="20"/>
                  <w:szCs w:val="20"/>
                </w:rPr>
                <m:t>A control</m:t>
              </m:r>
            </m:den>
          </m:f>
          <m:r>
            <m:rPr>
              <m:sty m:val="b"/>
            </m:rPr>
            <w:rPr>
              <w:rFonts w:ascii="Cambria Math" w:hAnsi="Cambria Math" w:cs="Arial"/>
              <w:sz w:val="20"/>
              <w:szCs w:val="20"/>
            </w:rPr>
            <m:t>×100</m:t>
          </m:r>
        </m:oMath>
      </m:oMathPara>
    </w:p>
    <w:p w14:paraId="3B8B443D" w14:textId="7F9D185F" w:rsidR="000A3596"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FRAP assay was </w:t>
      </w:r>
      <w:r w:rsidR="007A2814">
        <w:rPr>
          <w:rFonts w:ascii="Arial" w:hAnsi="Arial" w:cs="Arial"/>
          <w:sz w:val="20"/>
          <w:szCs w:val="20"/>
        </w:rPr>
        <w:t>performed as described by</w:t>
      </w:r>
      <w:r w:rsidR="00BE3DC1" w:rsidRPr="004A4551">
        <w:rPr>
          <w:rFonts w:ascii="Arial" w:hAnsi="Arial" w:cs="Arial"/>
          <w:sz w:val="20"/>
          <w:szCs w:val="20"/>
        </w:rPr>
        <w:t xml:space="preserve"> </w:t>
      </w:r>
      <w:r w:rsidRPr="004A4551">
        <w:rPr>
          <w:rFonts w:ascii="Arial" w:hAnsi="Arial" w:cs="Arial"/>
          <w:sz w:val="20"/>
          <w:szCs w:val="20"/>
        </w:rPr>
        <w:t>Benzie and Strain (1996). The FRAP reagent</w:t>
      </w:r>
      <w:r w:rsidR="007A2814">
        <w:rPr>
          <w:rFonts w:ascii="Arial" w:hAnsi="Arial" w:cs="Arial"/>
          <w:sz w:val="20"/>
          <w:szCs w:val="20"/>
        </w:rPr>
        <w:t>, made up of 300 mM acetate buffer (pH 3.6), 10 mM TPTZ (2,4,6-tripyridyl-s-triazine) solution in 40 mM HCl, and 20 mM FeCl3.6H2O in a ratio of 10:1:1 (v/v/v),</w:t>
      </w:r>
      <w:r w:rsidR="00BE3DC1" w:rsidRPr="004A4551">
        <w:rPr>
          <w:rFonts w:ascii="Arial" w:hAnsi="Arial" w:cs="Arial"/>
          <w:sz w:val="20"/>
          <w:szCs w:val="20"/>
        </w:rPr>
        <w:t xml:space="preserve"> was freshly prepared</w:t>
      </w:r>
      <w:r w:rsidRPr="004A4551">
        <w:rPr>
          <w:rFonts w:ascii="Arial" w:hAnsi="Arial" w:cs="Arial"/>
          <w:sz w:val="20"/>
          <w:szCs w:val="20"/>
        </w:rPr>
        <w:t xml:space="preserve">. A 150 </w:t>
      </w:r>
      <w:r w:rsidRPr="004A4551">
        <w:rPr>
          <w:rFonts w:ascii="Arial" w:eastAsia="Times New Roman" w:hAnsi="Arial" w:cs="Arial"/>
          <w:sz w:val="20"/>
          <w:szCs w:val="20"/>
        </w:rPr>
        <w:t>µ</w:t>
      </w:r>
      <w:r w:rsidRPr="004A4551">
        <w:rPr>
          <w:rFonts w:ascii="Arial" w:hAnsi="Arial" w:cs="Arial"/>
          <w:sz w:val="20"/>
          <w:szCs w:val="20"/>
        </w:rPr>
        <w:t xml:space="preserve">L aliquot of each </w:t>
      </w:r>
      <w:r w:rsidR="00BE3DC1" w:rsidRPr="004A4551">
        <w:rPr>
          <w:rFonts w:ascii="Arial" w:hAnsi="Arial" w:cs="Arial"/>
          <w:sz w:val="20"/>
          <w:szCs w:val="20"/>
        </w:rPr>
        <w:t>sample</w:t>
      </w:r>
      <w:r w:rsidRPr="004A4551">
        <w:rPr>
          <w:rFonts w:ascii="Arial" w:hAnsi="Arial" w:cs="Arial"/>
          <w:sz w:val="20"/>
          <w:szCs w:val="20"/>
        </w:rPr>
        <w:t xml:space="preserve"> was mixed with 2</w:t>
      </w:r>
      <w:r w:rsidR="00BE3DC1" w:rsidRPr="004A4551">
        <w:rPr>
          <w:rFonts w:ascii="Arial" w:hAnsi="Arial" w:cs="Arial"/>
          <w:sz w:val="20"/>
          <w:szCs w:val="20"/>
        </w:rPr>
        <w:t>,</w:t>
      </w:r>
      <w:r w:rsidRPr="004A4551">
        <w:rPr>
          <w:rFonts w:ascii="Arial" w:hAnsi="Arial" w:cs="Arial"/>
          <w:sz w:val="20"/>
          <w:szCs w:val="20"/>
        </w:rPr>
        <w:t xml:space="preserve">850 </w:t>
      </w:r>
      <w:r w:rsidRPr="004A4551">
        <w:rPr>
          <w:rFonts w:ascii="Arial" w:eastAsia="Times New Roman" w:hAnsi="Arial" w:cs="Arial"/>
          <w:sz w:val="20"/>
          <w:szCs w:val="20"/>
        </w:rPr>
        <w:t>µ</w:t>
      </w:r>
      <w:r w:rsidRPr="004A4551">
        <w:rPr>
          <w:rFonts w:ascii="Arial" w:hAnsi="Arial" w:cs="Arial"/>
          <w:sz w:val="20"/>
          <w:szCs w:val="20"/>
        </w:rPr>
        <w:t>L of FRAP reagent</w:t>
      </w:r>
      <w:r w:rsidR="00BE3DC1" w:rsidRPr="004A4551">
        <w:rPr>
          <w:rFonts w:ascii="Arial" w:hAnsi="Arial" w:cs="Arial"/>
          <w:sz w:val="20"/>
          <w:szCs w:val="20"/>
        </w:rPr>
        <w:t xml:space="preserve">, </w:t>
      </w:r>
      <w:r w:rsidRPr="004A4551">
        <w:rPr>
          <w:rFonts w:ascii="Arial" w:hAnsi="Arial" w:cs="Arial"/>
          <w:sz w:val="20"/>
          <w:szCs w:val="20"/>
        </w:rPr>
        <w:t>incubated at 37</w:t>
      </w:r>
      <w:r w:rsidRPr="004A4551">
        <w:rPr>
          <w:rFonts w:ascii="Arial" w:hAnsi="Arial" w:cs="Arial"/>
          <w:sz w:val="20"/>
          <w:szCs w:val="20"/>
          <w:vertAlign w:val="superscript"/>
        </w:rPr>
        <w:t>0</w:t>
      </w:r>
      <w:r w:rsidRPr="004A4551">
        <w:rPr>
          <w:rFonts w:ascii="Arial" w:hAnsi="Arial" w:cs="Arial"/>
          <w:sz w:val="20"/>
          <w:szCs w:val="20"/>
        </w:rPr>
        <w:t xml:space="preserve"> °C for 4 minutes</w:t>
      </w:r>
      <w:r w:rsidR="00BE3DC1" w:rsidRPr="004A4551">
        <w:rPr>
          <w:rFonts w:ascii="Arial" w:hAnsi="Arial" w:cs="Arial"/>
          <w:sz w:val="20"/>
          <w:szCs w:val="20"/>
        </w:rPr>
        <w:t xml:space="preserve"> and a</w:t>
      </w:r>
      <w:r w:rsidRPr="004A4551">
        <w:rPr>
          <w:rFonts w:ascii="Arial" w:hAnsi="Arial" w:cs="Arial"/>
          <w:sz w:val="20"/>
          <w:szCs w:val="20"/>
        </w:rPr>
        <w:t>bsorbance read at 593 nm</w:t>
      </w:r>
      <w:r w:rsidR="00C9096D" w:rsidRPr="004A4551">
        <w:rPr>
          <w:rFonts w:ascii="Arial" w:hAnsi="Arial" w:cs="Arial"/>
          <w:sz w:val="20"/>
          <w:szCs w:val="20"/>
        </w:rPr>
        <w:t>. Results</w:t>
      </w:r>
      <w:r w:rsidRPr="004A4551">
        <w:rPr>
          <w:rFonts w:ascii="Arial" w:hAnsi="Arial" w:cs="Arial"/>
          <w:sz w:val="20"/>
          <w:szCs w:val="20"/>
        </w:rPr>
        <w:t xml:space="preserve"> were expressed as </w:t>
      </w:r>
      <w:r w:rsidRPr="004A4551">
        <w:rPr>
          <w:rFonts w:ascii="Arial" w:eastAsia="Times New Roman" w:hAnsi="Arial" w:cs="Arial"/>
          <w:sz w:val="20"/>
          <w:szCs w:val="20"/>
        </w:rPr>
        <w:t>µ</w:t>
      </w:r>
      <w:r w:rsidRPr="004A4551">
        <w:rPr>
          <w:rFonts w:ascii="Arial" w:hAnsi="Arial" w:cs="Arial"/>
          <w:sz w:val="20"/>
          <w:szCs w:val="20"/>
        </w:rPr>
        <w:t>mol FeSO</w:t>
      </w:r>
      <w:r w:rsidRPr="004A4551">
        <w:rPr>
          <w:rFonts w:ascii="Arial" w:hAnsi="Arial" w:cs="Arial"/>
          <w:sz w:val="20"/>
          <w:szCs w:val="20"/>
          <w:vertAlign w:val="subscript"/>
        </w:rPr>
        <w:t xml:space="preserve">4 </w:t>
      </w:r>
      <w:r w:rsidRPr="004A4551">
        <w:rPr>
          <w:rFonts w:ascii="Arial" w:hAnsi="Arial" w:cs="Arial"/>
          <w:sz w:val="20"/>
          <w:szCs w:val="20"/>
        </w:rPr>
        <w:t>equivalents using a standard calibration curve.</w:t>
      </w:r>
    </w:p>
    <w:p w14:paraId="0775B27A" w14:textId="77777777" w:rsidR="00C9096D" w:rsidRPr="00703274" w:rsidRDefault="002C20A0" w:rsidP="007F7216">
      <w:pPr>
        <w:spacing w:after="0" w:line="480" w:lineRule="auto"/>
        <w:jc w:val="both"/>
        <w:rPr>
          <w:rFonts w:ascii="Arial" w:hAnsi="Arial" w:cs="Arial"/>
          <w:b/>
          <w:bCs/>
        </w:rPr>
      </w:pPr>
      <w:r w:rsidRPr="00703274">
        <w:rPr>
          <w:rFonts w:ascii="Arial" w:hAnsi="Arial" w:cs="Arial"/>
          <w:b/>
          <w:bCs/>
        </w:rPr>
        <w:t>2.</w:t>
      </w:r>
      <w:r w:rsidR="00DE4139" w:rsidRPr="00703274">
        <w:rPr>
          <w:rFonts w:ascii="Arial" w:hAnsi="Arial" w:cs="Arial"/>
          <w:b/>
          <w:bCs/>
        </w:rPr>
        <w:t>7</w:t>
      </w:r>
      <w:r w:rsidRPr="00703274">
        <w:rPr>
          <w:rFonts w:ascii="Arial" w:hAnsi="Arial" w:cs="Arial"/>
          <w:b/>
          <w:bCs/>
        </w:rPr>
        <w:t xml:space="preserve"> Physicochemical Analysis</w:t>
      </w:r>
    </w:p>
    <w:p w14:paraId="68692483" w14:textId="082910B3" w:rsidR="000A3596" w:rsidRPr="004A4551" w:rsidRDefault="002C20A0" w:rsidP="007F7216">
      <w:pPr>
        <w:spacing w:after="0" w:line="480" w:lineRule="auto"/>
        <w:jc w:val="both"/>
        <w:rPr>
          <w:rFonts w:ascii="Arial" w:hAnsi="Arial" w:cs="Arial"/>
          <w:b/>
          <w:bCs/>
          <w:sz w:val="20"/>
          <w:szCs w:val="20"/>
        </w:rPr>
      </w:pPr>
      <w:r w:rsidRPr="004A4551">
        <w:rPr>
          <w:rFonts w:ascii="Arial" w:hAnsi="Arial" w:cs="Arial"/>
          <w:sz w:val="20"/>
          <w:szCs w:val="20"/>
        </w:rPr>
        <w:t>The pH was measured directly</w:t>
      </w:r>
      <w:r w:rsidR="00C9096D" w:rsidRPr="004A4551">
        <w:rPr>
          <w:rFonts w:ascii="Arial" w:hAnsi="Arial" w:cs="Arial"/>
          <w:sz w:val="20"/>
          <w:szCs w:val="20"/>
        </w:rPr>
        <w:t xml:space="preserve"> on days 1, 3, and 15</w:t>
      </w:r>
      <w:r w:rsidRPr="004A4551">
        <w:rPr>
          <w:rFonts w:ascii="Arial" w:hAnsi="Arial" w:cs="Arial"/>
          <w:sz w:val="20"/>
          <w:szCs w:val="20"/>
        </w:rPr>
        <w:t xml:space="preserve"> using a pre-calibrated digital pH meter</w:t>
      </w:r>
      <w:r w:rsidR="00C9096D" w:rsidRPr="004A4551">
        <w:rPr>
          <w:rFonts w:ascii="Arial" w:hAnsi="Arial" w:cs="Arial"/>
          <w:sz w:val="20"/>
          <w:szCs w:val="20"/>
        </w:rPr>
        <w:t xml:space="preserve"> (</w:t>
      </w:r>
      <w:r w:rsidRPr="004A4551">
        <w:rPr>
          <w:rFonts w:ascii="Arial" w:hAnsi="Arial" w:cs="Arial"/>
          <w:sz w:val="20"/>
          <w:szCs w:val="20"/>
        </w:rPr>
        <w:t>calibrated with pH 4.0 and pH 7.0 buffer solutions</w:t>
      </w:r>
      <w:r w:rsidR="00C9096D" w:rsidRPr="004A4551">
        <w:rPr>
          <w:rFonts w:ascii="Arial" w:hAnsi="Arial" w:cs="Arial"/>
          <w:sz w:val="20"/>
          <w:szCs w:val="20"/>
        </w:rPr>
        <w:t>)</w:t>
      </w:r>
      <w:r w:rsidRPr="004A4551">
        <w:rPr>
          <w:rFonts w:ascii="Arial" w:hAnsi="Arial" w:cs="Arial"/>
          <w:sz w:val="20"/>
          <w:szCs w:val="20"/>
        </w:rPr>
        <w:t>.</w:t>
      </w:r>
    </w:p>
    <w:p w14:paraId="2CBC78AB" w14:textId="09CEE027" w:rsidR="000A3596" w:rsidRPr="004A4551" w:rsidRDefault="00C9096D" w:rsidP="007F7216">
      <w:pPr>
        <w:spacing w:after="0" w:line="480" w:lineRule="auto"/>
        <w:jc w:val="both"/>
        <w:rPr>
          <w:rFonts w:ascii="Arial" w:hAnsi="Arial" w:cs="Arial"/>
          <w:sz w:val="20"/>
          <w:szCs w:val="20"/>
        </w:rPr>
      </w:pPr>
      <w:r w:rsidRPr="004A4551">
        <w:rPr>
          <w:rFonts w:ascii="Arial" w:hAnsi="Arial" w:cs="Arial"/>
          <w:sz w:val="20"/>
          <w:szCs w:val="20"/>
        </w:rPr>
        <w:lastRenderedPageBreak/>
        <w:t>Total Titratable Acidity (</w:t>
      </w:r>
      <w:r w:rsidR="002C20A0" w:rsidRPr="004A4551">
        <w:rPr>
          <w:rFonts w:ascii="Arial" w:hAnsi="Arial" w:cs="Arial"/>
          <w:sz w:val="20"/>
          <w:szCs w:val="20"/>
        </w:rPr>
        <w:t>TTA</w:t>
      </w:r>
      <w:r w:rsidRPr="004A4551">
        <w:rPr>
          <w:rFonts w:ascii="Arial" w:hAnsi="Arial" w:cs="Arial"/>
          <w:sz w:val="20"/>
          <w:szCs w:val="20"/>
        </w:rPr>
        <w:t>)</w:t>
      </w:r>
      <w:r w:rsidR="002C20A0" w:rsidRPr="004A4551">
        <w:rPr>
          <w:rFonts w:ascii="Arial" w:hAnsi="Arial" w:cs="Arial"/>
          <w:sz w:val="20"/>
          <w:szCs w:val="20"/>
        </w:rPr>
        <w:t xml:space="preserve"> was determined by the AOAC (2016) titrimetric method</w:t>
      </w:r>
      <w:r w:rsidRPr="004A4551">
        <w:rPr>
          <w:rFonts w:ascii="Arial" w:hAnsi="Arial" w:cs="Arial"/>
          <w:sz w:val="20"/>
          <w:szCs w:val="20"/>
        </w:rPr>
        <w:t>:</w:t>
      </w:r>
      <w:r w:rsidR="002C20A0" w:rsidRPr="004A4551">
        <w:rPr>
          <w:rFonts w:ascii="Arial" w:hAnsi="Arial" w:cs="Arial"/>
          <w:sz w:val="20"/>
          <w:szCs w:val="20"/>
        </w:rPr>
        <w:t xml:space="preserve"> 10 mL of each sample was titrated against 0.1 N NaOH using phenolphthalein indicator </w:t>
      </w:r>
      <w:r w:rsidRPr="004A4551">
        <w:rPr>
          <w:rFonts w:ascii="Arial" w:hAnsi="Arial" w:cs="Arial"/>
          <w:sz w:val="20"/>
          <w:szCs w:val="20"/>
        </w:rPr>
        <w:t xml:space="preserve">to a persistent </w:t>
      </w:r>
      <w:r w:rsidR="002C20A0" w:rsidRPr="004A4551">
        <w:rPr>
          <w:rFonts w:ascii="Arial" w:hAnsi="Arial" w:cs="Arial"/>
          <w:sz w:val="20"/>
          <w:szCs w:val="20"/>
        </w:rPr>
        <w:t>pink endpoint</w:t>
      </w:r>
      <w:r w:rsidR="00CF7B80" w:rsidRPr="004A4551">
        <w:rPr>
          <w:rFonts w:ascii="Arial" w:hAnsi="Arial" w:cs="Arial"/>
          <w:sz w:val="20"/>
          <w:szCs w:val="20"/>
        </w:rPr>
        <w:t>,</w:t>
      </w:r>
      <w:r w:rsidRPr="004A4551">
        <w:rPr>
          <w:rFonts w:ascii="Arial" w:hAnsi="Arial" w:cs="Arial"/>
          <w:sz w:val="20"/>
          <w:szCs w:val="20"/>
        </w:rPr>
        <w:t xml:space="preserve"> and </w:t>
      </w:r>
      <w:r w:rsidR="002C20A0" w:rsidRPr="004A4551">
        <w:rPr>
          <w:rFonts w:ascii="Arial" w:hAnsi="Arial" w:cs="Arial"/>
          <w:sz w:val="20"/>
          <w:szCs w:val="20"/>
        </w:rPr>
        <w:t xml:space="preserve">TTA </w:t>
      </w:r>
      <w:r w:rsidR="00CF7B80" w:rsidRPr="004A4551">
        <w:rPr>
          <w:rFonts w:ascii="Arial" w:hAnsi="Arial" w:cs="Arial"/>
          <w:sz w:val="20"/>
          <w:szCs w:val="20"/>
        </w:rPr>
        <w:t xml:space="preserve">was </w:t>
      </w:r>
      <w:r w:rsidR="002C20A0" w:rsidRPr="004A4551">
        <w:rPr>
          <w:rFonts w:ascii="Arial" w:hAnsi="Arial" w:cs="Arial"/>
          <w:sz w:val="20"/>
          <w:szCs w:val="20"/>
        </w:rPr>
        <w:t xml:space="preserve">expressed as percentage citric acid equivalent (g/100 mL), </w:t>
      </w:r>
      <w:r w:rsidR="00CF7B80" w:rsidRPr="004A4551">
        <w:rPr>
          <w:rFonts w:ascii="Arial" w:hAnsi="Arial" w:cs="Arial"/>
          <w:sz w:val="20"/>
          <w:szCs w:val="20"/>
        </w:rPr>
        <w:t>since</w:t>
      </w:r>
      <w:r w:rsidR="002C20A0" w:rsidRPr="004A4551">
        <w:rPr>
          <w:rFonts w:ascii="Arial" w:hAnsi="Arial" w:cs="Arial"/>
          <w:sz w:val="20"/>
          <w:szCs w:val="20"/>
        </w:rPr>
        <w:t xml:space="preserve"> citric acid is the predominant organic acid in pineapple-based </w:t>
      </w:r>
      <w:r w:rsidR="00CF7B80" w:rsidRPr="004A4551">
        <w:rPr>
          <w:rFonts w:ascii="Arial" w:hAnsi="Arial" w:cs="Arial"/>
          <w:sz w:val="20"/>
          <w:szCs w:val="20"/>
        </w:rPr>
        <w:t xml:space="preserve">blends </w:t>
      </w:r>
      <w:r w:rsidR="002C20A0" w:rsidRPr="004A4551">
        <w:rPr>
          <w:rFonts w:ascii="Arial" w:hAnsi="Arial" w:cs="Arial"/>
          <w:color w:val="000000" w:themeColor="text1"/>
          <w:sz w:val="20"/>
          <w:szCs w:val="20"/>
        </w:rPr>
        <w:t>(Lim, 2012).</w:t>
      </w:r>
      <w:r w:rsidR="00CF7B80" w:rsidRPr="004A4551">
        <w:rPr>
          <w:rFonts w:ascii="Arial" w:hAnsi="Arial" w:cs="Arial"/>
          <w:color w:val="000000" w:themeColor="text1"/>
          <w:sz w:val="20"/>
          <w:szCs w:val="20"/>
        </w:rPr>
        <w:t xml:space="preserve"> All determinations were done in triplicates.</w:t>
      </w:r>
      <w:r w:rsidR="002C20A0" w:rsidRPr="004A4551">
        <w:rPr>
          <w:rFonts w:ascii="Arial" w:hAnsi="Arial" w:cs="Arial"/>
          <w:color w:val="000000" w:themeColor="text1"/>
          <w:sz w:val="20"/>
          <w:szCs w:val="20"/>
        </w:rPr>
        <w:t xml:space="preserve"> </w:t>
      </w:r>
    </w:p>
    <w:p w14:paraId="6D0BD728" w14:textId="24E91AE8" w:rsidR="00D40F74" w:rsidRPr="00703274" w:rsidRDefault="002C20A0" w:rsidP="007F7216">
      <w:pPr>
        <w:spacing w:after="0" w:line="480" w:lineRule="auto"/>
        <w:jc w:val="both"/>
        <w:rPr>
          <w:rFonts w:ascii="Arial" w:hAnsi="Arial" w:cs="Arial"/>
          <w:b/>
          <w:bCs/>
        </w:rPr>
      </w:pPr>
      <w:r w:rsidRPr="00703274">
        <w:rPr>
          <w:rFonts w:ascii="Arial" w:hAnsi="Arial" w:cs="Arial"/>
          <w:b/>
          <w:bCs/>
        </w:rPr>
        <w:t>2.</w:t>
      </w:r>
      <w:r w:rsidR="00DE4139" w:rsidRPr="00703274">
        <w:rPr>
          <w:rFonts w:ascii="Arial" w:hAnsi="Arial" w:cs="Arial"/>
          <w:b/>
          <w:bCs/>
        </w:rPr>
        <w:t>8</w:t>
      </w:r>
      <w:r w:rsidRPr="00703274">
        <w:rPr>
          <w:rFonts w:ascii="Arial" w:hAnsi="Arial" w:cs="Arial"/>
          <w:b/>
          <w:bCs/>
        </w:rPr>
        <w:t xml:space="preserve"> Data Analysis</w:t>
      </w:r>
    </w:p>
    <w:p w14:paraId="416B7A53" w14:textId="70BDEDAF" w:rsidR="008E433C" w:rsidRDefault="00CF7B80" w:rsidP="007F7216">
      <w:pPr>
        <w:spacing w:after="0" w:line="480" w:lineRule="auto"/>
        <w:jc w:val="both"/>
        <w:rPr>
          <w:rFonts w:ascii="Arial" w:hAnsi="Arial" w:cs="Arial"/>
          <w:sz w:val="20"/>
          <w:szCs w:val="20"/>
        </w:rPr>
      </w:pPr>
      <w:r w:rsidRPr="004A4551">
        <w:rPr>
          <w:rFonts w:ascii="Arial" w:hAnsi="Arial" w:cs="Arial"/>
          <w:sz w:val="20"/>
          <w:szCs w:val="20"/>
        </w:rPr>
        <w:t>Da</w:t>
      </w:r>
      <w:r w:rsidR="002C20A0" w:rsidRPr="004A4551">
        <w:rPr>
          <w:rFonts w:ascii="Arial" w:hAnsi="Arial" w:cs="Arial"/>
          <w:sz w:val="20"/>
          <w:szCs w:val="20"/>
        </w:rPr>
        <w:t>ta were expressed as mean ± standard deviation (SD) of three independent replications (n = 3). One-way ANOVA</w:t>
      </w:r>
      <w:r w:rsidRPr="004A4551">
        <w:rPr>
          <w:rFonts w:ascii="Arial" w:hAnsi="Arial" w:cs="Arial"/>
          <w:sz w:val="20"/>
          <w:szCs w:val="20"/>
        </w:rPr>
        <w:t xml:space="preserve"> (Analysis of Variance) </w:t>
      </w:r>
      <w:r w:rsidR="002C20A0" w:rsidRPr="004A4551">
        <w:rPr>
          <w:rFonts w:ascii="Arial" w:hAnsi="Arial" w:cs="Arial"/>
          <w:sz w:val="20"/>
          <w:szCs w:val="20"/>
        </w:rPr>
        <w:t>was applied</w:t>
      </w:r>
      <w:r w:rsidRPr="004A4551">
        <w:rPr>
          <w:rFonts w:ascii="Arial" w:hAnsi="Arial" w:cs="Arial"/>
          <w:sz w:val="20"/>
          <w:szCs w:val="20"/>
        </w:rPr>
        <w:t xml:space="preserve"> using IBM SPSS Statistics Version 26.0 (IBM Corp., Armonk, NY, USA). </w:t>
      </w:r>
      <w:r w:rsidR="002C20A0" w:rsidRPr="004A4551">
        <w:rPr>
          <w:rFonts w:ascii="Arial" w:hAnsi="Arial" w:cs="Arial"/>
          <w:sz w:val="20"/>
          <w:szCs w:val="20"/>
        </w:rPr>
        <w:t>Where ANOVA indicated significant differences, the Least Significant Differences (LSD) post hoc test was used for pairwise comparisons. The significant threshold was p&lt;0.05. Graphical representation was performed using Microsoft Excel 2019</w:t>
      </w:r>
      <w:r w:rsidRPr="004A4551">
        <w:rPr>
          <w:rFonts w:ascii="Arial" w:hAnsi="Arial" w:cs="Arial"/>
          <w:sz w:val="20"/>
          <w:szCs w:val="20"/>
        </w:rPr>
        <w:t>.</w:t>
      </w:r>
    </w:p>
    <w:p w14:paraId="4154576C" w14:textId="77777777" w:rsidR="00703274" w:rsidRPr="004A4551" w:rsidRDefault="00703274" w:rsidP="007F7216">
      <w:pPr>
        <w:spacing w:after="0" w:line="480" w:lineRule="auto"/>
        <w:jc w:val="both"/>
        <w:rPr>
          <w:rFonts w:ascii="Arial" w:hAnsi="Arial" w:cs="Arial"/>
          <w:b/>
          <w:bCs/>
          <w:sz w:val="20"/>
          <w:szCs w:val="20"/>
        </w:rPr>
      </w:pPr>
    </w:p>
    <w:p w14:paraId="38359D97" w14:textId="72120289" w:rsidR="002D45FE" w:rsidRPr="00703274" w:rsidRDefault="004C42B6" w:rsidP="007F7216">
      <w:pPr>
        <w:spacing w:after="0" w:line="480" w:lineRule="auto"/>
        <w:rPr>
          <w:rFonts w:ascii="Arial" w:eastAsia="Times New Roman" w:hAnsi="Arial" w:cs="Arial"/>
          <w:b/>
          <w:bCs/>
          <w:color w:val="000000"/>
        </w:rPr>
      </w:pPr>
      <w:r w:rsidRPr="00703274">
        <w:rPr>
          <w:rFonts w:ascii="Arial" w:eastAsia="Times New Roman" w:hAnsi="Arial" w:cs="Arial"/>
          <w:b/>
          <w:bCs/>
          <w:color w:val="000000"/>
        </w:rPr>
        <w:t>3. RESULTS AND DISCUSSIONS</w:t>
      </w:r>
    </w:p>
    <w:p w14:paraId="36168FD1" w14:textId="0B788A80" w:rsidR="002D45FE" w:rsidRPr="00703274" w:rsidRDefault="002D45FE" w:rsidP="007F7216">
      <w:pPr>
        <w:spacing w:after="0" w:line="480" w:lineRule="auto"/>
        <w:jc w:val="both"/>
        <w:rPr>
          <w:rFonts w:ascii="Arial" w:hAnsi="Arial" w:cs="Arial"/>
          <w:b/>
          <w:bCs/>
        </w:rPr>
      </w:pPr>
      <w:r w:rsidRPr="004A4551">
        <w:rPr>
          <w:rFonts w:ascii="Arial" w:hAnsi="Arial" w:cs="Arial"/>
          <w:b/>
          <w:bCs/>
          <w:sz w:val="20"/>
          <w:szCs w:val="20"/>
        </w:rPr>
        <w:t xml:space="preserve"> </w:t>
      </w:r>
      <w:r w:rsidRPr="00703274">
        <w:rPr>
          <w:rFonts w:ascii="Arial" w:hAnsi="Arial" w:cs="Arial"/>
          <w:b/>
          <w:bCs/>
        </w:rPr>
        <w:t xml:space="preserve">3.1 Microbiological Stability </w:t>
      </w:r>
    </w:p>
    <w:p w14:paraId="717F4250" w14:textId="5D73EA30" w:rsidR="00DE4139" w:rsidRPr="004A4551" w:rsidRDefault="00DE4139"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3.1.1 Total Plate Count</w:t>
      </w:r>
    </w:p>
    <w:p w14:paraId="3CDFB9D6" w14:textId="21DD3628" w:rsidR="00095193" w:rsidRPr="009B1638" w:rsidRDefault="002C20A0" w:rsidP="009B1638">
      <w:pPr>
        <w:spacing w:line="480" w:lineRule="auto"/>
        <w:jc w:val="both"/>
        <w:rPr>
          <w:rFonts w:ascii="Arial" w:hAnsi="Arial" w:cs="Arial"/>
          <w:sz w:val="20"/>
          <w:szCs w:val="20"/>
        </w:rPr>
      </w:pPr>
      <w:r w:rsidRPr="00A26968">
        <w:rPr>
          <w:rFonts w:ascii="Arial" w:hAnsi="Arial" w:cs="Arial"/>
          <w:sz w:val="20"/>
          <w:szCs w:val="20"/>
        </w:rPr>
        <w:t>All microbial counts are expressed in CFU/ml</w:t>
      </w:r>
      <w:r w:rsidR="00D40F74" w:rsidRPr="00A26968">
        <w:rPr>
          <w:rFonts w:ascii="Arial" w:hAnsi="Arial" w:cs="Arial"/>
          <w:sz w:val="20"/>
          <w:szCs w:val="20"/>
        </w:rPr>
        <w:t xml:space="preserve">. </w:t>
      </w:r>
      <w:r w:rsidRPr="00A26968">
        <w:rPr>
          <w:rFonts w:ascii="Arial" w:hAnsi="Arial" w:cs="Arial"/>
          <w:sz w:val="20"/>
          <w:szCs w:val="20"/>
        </w:rPr>
        <w:t>T</w:t>
      </w:r>
      <w:r w:rsidR="00051371" w:rsidRPr="00A26968">
        <w:rPr>
          <w:rFonts w:ascii="Arial" w:hAnsi="Arial" w:cs="Arial"/>
          <w:sz w:val="20"/>
          <w:szCs w:val="20"/>
        </w:rPr>
        <w:t>he T</w:t>
      </w:r>
      <w:r w:rsidRPr="00A26968">
        <w:rPr>
          <w:rFonts w:ascii="Arial" w:hAnsi="Arial" w:cs="Arial"/>
          <w:sz w:val="20"/>
          <w:szCs w:val="20"/>
        </w:rPr>
        <w:t>PC of all four formulations was below 50 CFU/ml on Day 0</w:t>
      </w:r>
      <w:r w:rsidR="00051371" w:rsidRPr="00A26968">
        <w:rPr>
          <w:rFonts w:ascii="Arial" w:hAnsi="Arial" w:cs="Arial"/>
          <w:sz w:val="20"/>
          <w:szCs w:val="20"/>
        </w:rPr>
        <w:t xml:space="preserve"> (Fig 1), confirming</w:t>
      </w:r>
      <w:r w:rsidRPr="00A26968">
        <w:rPr>
          <w:rFonts w:ascii="Arial" w:hAnsi="Arial" w:cs="Arial"/>
          <w:sz w:val="20"/>
          <w:szCs w:val="20"/>
        </w:rPr>
        <w:t xml:space="preserve"> that pasteurization was </w:t>
      </w:r>
      <w:r w:rsidR="00051371" w:rsidRPr="00A26968">
        <w:rPr>
          <w:rFonts w:ascii="Arial" w:hAnsi="Arial" w:cs="Arial"/>
          <w:sz w:val="20"/>
          <w:szCs w:val="20"/>
        </w:rPr>
        <w:t xml:space="preserve">effective </w:t>
      </w:r>
      <w:r w:rsidRPr="00A26968">
        <w:rPr>
          <w:rFonts w:ascii="Arial" w:hAnsi="Arial" w:cs="Arial"/>
          <w:sz w:val="20"/>
          <w:szCs w:val="20"/>
        </w:rPr>
        <w:t xml:space="preserve">in reducing the initial vegetative microbial population to negligible levels. TPC increased progressively </w:t>
      </w:r>
      <w:r w:rsidR="00051371" w:rsidRPr="00A26968">
        <w:rPr>
          <w:rFonts w:ascii="Arial" w:hAnsi="Arial" w:cs="Arial"/>
          <w:sz w:val="20"/>
          <w:szCs w:val="20"/>
        </w:rPr>
        <w:t xml:space="preserve">across all formulations during the 21-day storage period at 280 °C, with statistically significant differences (p&lt;0.05) </w:t>
      </w:r>
      <w:r w:rsidRPr="00A26968">
        <w:rPr>
          <w:rFonts w:ascii="Arial" w:hAnsi="Arial" w:cs="Arial"/>
          <w:sz w:val="20"/>
          <w:szCs w:val="20"/>
        </w:rPr>
        <w:t>among samples</w:t>
      </w:r>
      <w:r w:rsidR="00051371" w:rsidRPr="00A26968">
        <w:rPr>
          <w:rFonts w:ascii="Arial" w:hAnsi="Arial" w:cs="Arial"/>
          <w:sz w:val="20"/>
          <w:szCs w:val="20"/>
        </w:rPr>
        <w:t xml:space="preserve"> from day 7</w:t>
      </w:r>
      <w:r w:rsidRPr="00A26968">
        <w:rPr>
          <w:rFonts w:ascii="Arial" w:hAnsi="Arial" w:cs="Arial"/>
          <w:sz w:val="20"/>
          <w:szCs w:val="20"/>
        </w:rPr>
        <w:t xml:space="preserve">. </w:t>
      </w:r>
      <w:r w:rsidR="001D7765" w:rsidRPr="00A26968">
        <w:rPr>
          <w:rFonts w:ascii="Arial" w:hAnsi="Arial" w:cs="Arial"/>
          <w:sz w:val="20"/>
          <w:szCs w:val="20"/>
        </w:rPr>
        <w:t>By</w:t>
      </w:r>
      <w:r w:rsidRPr="00A26968">
        <w:rPr>
          <w:rFonts w:ascii="Arial" w:hAnsi="Arial" w:cs="Arial"/>
          <w:sz w:val="20"/>
          <w:szCs w:val="20"/>
        </w:rPr>
        <w:t xml:space="preserve"> Day 21, </w:t>
      </w:r>
      <w:r w:rsidR="001D7765" w:rsidRPr="00A26968">
        <w:rPr>
          <w:rFonts w:ascii="Arial" w:hAnsi="Arial" w:cs="Arial"/>
          <w:sz w:val="20"/>
          <w:szCs w:val="20"/>
        </w:rPr>
        <w:t xml:space="preserve">the control recorded the </w:t>
      </w:r>
      <w:r w:rsidRPr="00A26968">
        <w:rPr>
          <w:rFonts w:ascii="Arial" w:hAnsi="Arial" w:cs="Arial"/>
          <w:sz w:val="20"/>
          <w:szCs w:val="20"/>
        </w:rPr>
        <w:t>highest TPC of approximately 1000 CFU/ml</w:t>
      </w:r>
      <w:r w:rsidR="001D7765" w:rsidRPr="00A26968">
        <w:rPr>
          <w:rFonts w:ascii="Arial" w:hAnsi="Arial" w:cs="Arial"/>
          <w:sz w:val="20"/>
          <w:szCs w:val="20"/>
        </w:rPr>
        <w:t xml:space="preserve">. Sample B recorded the </w:t>
      </w:r>
      <w:r w:rsidR="001D7765" w:rsidRPr="00A26968">
        <w:rPr>
          <w:rFonts w:ascii="Arial" w:eastAsia="Times New Roman" w:hAnsi="Arial" w:cs="Arial"/>
          <w:sz w:val="20"/>
          <w:szCs w:val="20"/>
        </w:rPr>
        <w:t xml:space="preserve">lowest count at approximately 250 CFU/ml; Samples C and D recorded intermediate values of approximately 500 CFU/ml and 770 CFU/ml, respectively. </w:t>
      </w:r>
      <w:r w:rsidRPr="00A26968">
        <w:rPr>
          <w:rFonts w:ascii="Arial" w:hAnsi="Arial" w:cs="Arial"/>
          <w:sz w:val="20"/>
          <w:szCs w:val="20"/>
        </w:rPr>
        <w:t>The</w:t>
      </w:r>
      <w:r w:rsidR="001D7765" w:rsidRPr="00A26968">
        <w:rPr>
          <w:rFonts w:ascii="Arial" w:hAnsi="Arial" w:cs="Arial"/>
          <w:sz w:val="20"/>
          <w:szCs w:val="20"/>
        </w:rPr>
        <w:t xml:space="preserve"> resulting inhibition</w:t>
      </w:r>
      <w:r w:rsidRPr="00A26968">
        <w:rPr>
          <w:rFonts w:ascii="Arial" w:hAnsi="Arial" w:cs="Arial"/>
          <w:sz w:val="20"/>
          <w:szCs w:val="20"/>
        </w:rPr>
        <w:t xml:space="preserve"> rank o</w:t>
      </w:r>
      <w:r w:rsidR="001D7765" w:rsidRPr="00A26968">
        <w:rPr>
          <w:rFonts w:ascii="Arial" w:hAnsi="Arial" w:cs="Arial"/>
          <w:sz w:val="20"/>
          <w:szCs w:val="20"/>
        </w:rPr>
        <w:t>rder</w:t>
      </w:r>
      <w:r w:rsidRPr="00A26968">
        <w:rPr>
          <w:rFonts w:ascii="Arial" w:hAnsi="Arial" w:cs="Arial"/>
          <w:sz w:val="20"/>
          <w:szCs w:val="20"/>
        </w:rPr>
        <w:t xml:space="preserve"> was: sample B &gt; sample C &gt; sample D&gt; control. All 4 formulations remained within the NAFDAC/ICMSF</w:t>
      </w:r>
      <w:r w:rsidR="007927FA" w:rsidRPr="00A26968">
        <w:rPr>
          <w:rFonts w:ascii="Arial" w:hAnsi="Arial" w:cs="Arial"/>
          <w:sz w:val="20"/>
          <w:szCs w:val="20"/>
        </w:rPr>
        <w:t xml:space="preserve"> (NAFDAC, 2023; ICMSF, 2002)</w:t>
      </w:r>
      <w:r w:rsidRPr="00A26968">
        <w:rPr>
          <w:rFonts w:ascii="Arial" w:hAnsi="Arial" w:cs="Arial"/>
          <w:sz w:val="20"/>
          <w:szCs w:val="20"/>
        </w:rPr>
        <w:t xml:space="preserve"> maximum total viable count threshold of 10</w:t>
      </w:r>
      <w:r w:rsidRPr="00A26968">
        <w:rPr>
          <w:rFonts w:ascii="Arial" w:hAnsi="Arial" w:cs="Arial"/>
          <w:sz w:val="20"/>
          <w:szCs w:val="20"/>
          <w:vertAlign w:val="superscript"/>
        </w:rPr>
        <w:t>6</w:t>
      </w:r>
      <w:r w:rsidRPr="00A26968">
        <w:rPr>
          <w:rFonts w:ascii="Arial" w:hAnsi="Arial" w:cs="Arial"/>
          <w:sz w:val="20"/>
          <w:szCs w:val="20"/>
        </w:rPr>
        <w:t xml:space="preserve"> CFU/mL throughout the </w:t>
      </w:r>
      <w:r w:rsidR="001D7765" w:rsidRPr="00A26968">
        <w:rPr>
          <w:rFonts w:ascii="Arial" w:hAnsi="Arial" w:cs="Arial"/>
          <w:sz w:val="20"/>
          <w:szCs w:val="20"/>
        </w:rPr>
        <w:t xml:space="preserve">study </w:t>
      </w:r>
      <w:r w:rsidRPr="00A26968">
        <w:rPr>
          <w:rFonts w:ascii="Arial" w:hAnsi="Arial" w:cs="Arial"/>
          <w:sz w:val="20"/>
          <w:szCs w:val="20"/>
        </w:rPr>
        <w:t>period, indicating</w:t>
      </w:r>
      <w:r w:rsidR="001D7765" w:rsidRPr="00A26968">
        <w:rPr>
          <w:rFonts w:ascii="Arial" w:hAnsi="Arial" w:cs="Arial"/>
          <w:sz w:val="20"/>
          <w:szCs w:val="20"/>
        </w:rPr>
        <w:t xml:space="preserve"> formal compliance at all time points </w:t>
      </w:r>
      <w:r w:rsidR="006D76A9" w:rsidRPr="00A26968">
        <w:rPr>
          <w:rFonts w:ascii="Arial" w:hAnsi="Arial" w:cs="Arial"/>
          <w:sz w:val="20"/>
          <w:szCs w:val="20"/>
        </w:rPr>
        <w:t>assessed</w:t>
      </w:r>
      <w:r w:rsidRPr="00A26968">
        <w:rPr>
          <w:rFonts w:ascii="Arial" w:hAnsi="Arial" w:cs="Arial"/>
          <w:sz w:val="20"/>
          <w:szCs w:val="20"/>
        </w:rPr>
        <w:t xml:space="preserve">. However, the </w:t>
      </w:r>
      <w:r w:rsidR="006D76A9" w:rsidRPr="00A26968">
        <w:rPr>
          <w:rFonts w:ascii="Arial" w:hAnsi="Arial" w:cs="Arial"/>
          <w:sz w:val="20"/>
          <w:szCs w:val="20"/>
        </w:rPr>
        <w:t xml:space="preserve">trajectory of </w:t>
      </w:r>
      <w:r w:rsidRPr="00A26968">
        <w:rPr>
          <w:rFonts w:ascii="Arial" w:hAnsi="Arial" w:cs="Arial"/>
          <w:sz w:val="20"/>
          <w:szCs w:val="20"/>
        </w:rPr>
        <w:t>the control,</w:t>
      </w:r>
      <w:r w:rsidR="006D76A9" w:rsidRPr="00A26968">
        <w:rPr>
          <w:rFonts w:ascii="Arial" w:hAnsi="Arial" w:cs="Arial"/>
          <w:sz w:val="20"/>
          <w:szCs w:val="20"/>
        </w:rPr>
        <w:t xml:space="preserve"> </w:t>
      </w:r>
      <w:r w:rsidRPr="00A26968">
        <w:rPr>
          <w:rFonts w:ascii="Arial" w:hAnsi="Arial" w:cs="Arial"/>
          <w:sz w:val="20"/>
          <w:szCs w:val="20"/>
        </w:rPr>
        <w:t>ris</w:t>
      </w:r>
      <w:r w:rsidR="006D76A9" w:rsidRPr="00A26968">
        <w:rPr>
          <w:rFonts w:ascii="Arial" w:hAnsi="Arial" w:cs="Arial"/>
          <w:sz w:val="20"/>
          <w:szCs w:val="20"/>
        </w:rPr>
        <w:t>ing</w:t>
      </w:r>
      <w:r w:rsidRPr="00A26968">
        <w:rPr>
          <w:rFonts w:ascii="Arial" w:hAnsi="Arial" w:cs="Arial"/>
          <w:sz w:val="20"/>
          <w:szCs w:val="20"/>
        </w:rPr>
        <w:t xml:space="preserve"> from below 50 CFU/ml to 1000 CFU/ml </w:t>
      </w:r>
      <w:r w:rsidR="006D76A9" w:rsidRPr="00A26968">
        <w:rPr>
          <w:rFonts w:ascii="Arial" w:hAnsi="Arial" w:cs="Arial"/>
          <w:sz w:val="20"/>
          <w:szCs w:val="20"/>
        </w:rPr>
        <w:t xml:space="preserve">by day </w:t>
      </w:r>
      <w:r w:rsidRPr="00A26968">
        <w:rPr>
          <w:rFonts w:ascii="Arial" w:hAnsi="Arial" w:cs="Arial"/>
          <w:sz w:val="20"/>
          <w:szCs w:val="20"/>
        </w:rPr>
        <w:t>21, suggest</w:t>
      </w:r>
      <w:r w:rsidR="006D76A9" w:rsidRPr="00A26968">
        <w:rPr>
          <w:rFonts w:ascii="Arial" w:hAnsi="Arial" w:cs="Arial"/>
          <w:sz w:val="20"/>
          <w:szCs w:val="20"/>
        </w:rPr>
        <w:t>s that continued ambient storage beyond this period would likely breach this threshold</w:t>
      </w:r>
      <w:r w:rsidRPr="00A26968">
        <w:rPr>
          <w:rFonts w:ascii="Arial" w:hAnsi="Arial" w:cs="Arial"/>
          <w:sz w:val="20"/>
          <w:szCs w:val="20"/>
        </w:rPr>
        <w:t xml:space="preserve">. The </w:t>
      </w:r>
      <w:r w:rsidR="00511863" w:rsidRPr="00A26968">
        <w:rPr>
          <w:rFonts w:ascii="Arial" w:hAnsi="Arial" w:cs="Arial"/>
          <w:sz w:val="20"/>
          <w:szCs w:val="20"/>
        </w:rPr>
        <w:t xml:space="preserve">fourfold reduction in TPC achieved by </w:t>
      </w:r>
      <w:r w:rsidRPr="00A26968">
        <w:rPr>
          <w:rFonts w:ascii="Arial" w:hAnsi="Arial" w:cs="Arial"/>
          <w:sz w:val="20"/>
          <w:szCs w:val="20"/>
        </w:rPr>
        <w:t xml:space="preserve">sample B (250 CFU/ml by day 21) relative to the control could be attributed to </w:t>
      </w:r>
      <w:r w:rsidRPr="00A26968">
        <w:rPr>
          <w:rFonts w:ascii="Arial" w:hAnsi="Arial" w:cs="Arial"/>
          <w:i/>
          <w:iCs/>
          <w:sz w:val="20"/>
          <w:szCs w:val="20"/>
        </w:rPr>
        <w:t>Vernonia amygdalina'</w:t>
      </w:r>
      <w:r w:rsidRPr="00A26968">
        <w:rPr>
          <w:rFonts w:ascii="Arial" w:hAnsi="Arial" w:cs="Arial"/>
          <w:sz w:val="20"/>
          <w:szCs w:val="20"/>
        </w:rPr>
        <w:t>s antimicrobial phytochemicals</w:t>
      </w:r>
      <w:r w:rsidRPr="00A26968">
        <w:rPr>
          <w:rFonts w:ascii="Arial" w:hAnsi="Arial" w:cs="Arial"/>
          <w:i/>
          <w:iCs/>
          <w:sz w:val="20"/>
          <w:szCs w:val="20"/>
        </w:rPr>
        <w:t>. Vernonia amygdalina</w:t>
      </w:r>
      <w:r w:rsidR="00FC007D" w:rsidRPr="00A26968">
        <w:rPr>
          <w:rFonts w:ascii="Arial" w:hAnsi="Arial" w:cs="Arial"/>
          <w:i/>
          <w:iCs/>
          <w:sz w:val="20"/>
          <w:szCs w:val="20"/>
        </w:rPr>
        <w:t>’s</w:t>
      </w:r>
      <w:r w:rsidRPr="00A26968">
        <w:rPr>
          <w:rFonts w:ascii="Arial" w:hAnsi="Arial" w:cs="Arial"/>
          <w:i/>
          <w:iCs/>
          <w:sz w:val="20"/>
          <w:szCs w:val="20"/>
        </w:rPr>
        <w:t xml:space="preserve"> </w:t>
      </w:r>
      <w:r w:rsidRPr="00A26968">
        <w:rPr>
          <w:rFonts w:ascii="Arial" w:hAnsi="Arial" w:cs="Arial"/>
          <w:sz w:val="20"/>
          <w:szCs w:val="20"/>
        </w:rPr>
        <w:t xml:space="preserve">sesquiterpene lactones, </w:t>
      </w:r>
      <w:proofErr w:type="spellStart"/>
      <w:r w:rsidRPr="00A26968">
        <w:rPr>
          <w:rFonts w:ascii="Arial" w:hAnsi="Arial" w:cs="Arial"/>
          <w:sz w:val="20"/>
          <w:szCs w:val="20"/>
        </w:rPr>
        <w:t>vernoniosides</w:t>
      </w:r>
      <w:proofErr w:type="spellEnd"/>
      <w:r w:rsidRPr="00A26968">
        <w:rPr>
          <w:rFonts w:ascii="Arial" w:hAnsi="Arial" w:cs="Arial"/>
          <w:sz w:val="20"/>
          <w:szCs w:val="20"/>
        </w:rPr>
        <w:t>, alkaloids, and phenolic acids</w:t>
      </w:r>
      <w:r w:rsidR="00FC007D" w:rsidRPr="00A26968">
        <w:rPr>
          <w:rFonts w:ascii="Arial" w:hAnsi="Arial" w:cs="Arial"/>
          <w:sz w:val="20"/>
          <w:szCs w:val="20"/>
        </w:rPr>
        <w:t xml:space="preserve"> have been reported to </w:t>
      </w:r>
      <w:r w:rsidRPr="00A26968">
        <w:rPr>
          <w:rFonts w:ascii="Arial" w:hAnsi="Arial" w:cs="Arial"/>
          <w:sz w:val="20"/>
          <w:szCs w:val="20"/>
        </w:rPr>
        <w:t xml:space="preserve">disrupt </w:t>
      </w:r>
      <w:r w:rsidRPr="00A26968">
        <w:rPr>
          <w:rFonts w:ascii="Arial" w:hAnsi="Arial" w:cs="Arial"/>
          <w:sz w:val="20"/>
          <w:szCs w:val="20"/>
        </w:rPr>
        <w:lastRenderedPageBreak/>
        <w:t xml:space="preserve">microbial cell </w:t>
      </w:r>
      <w:r w:rsidR="00B56155" w:rsidRPr="00A26968">
        <w:rPr>
          <w:rFonts w:ascii="Arial" w:hAnsi="Arial" w:cs="Arial"/>
          <w:sz w:val="20"/>
          <w:szCs w:val="20"/>
        </w:rPr>
        <w:t>membrane integrity and inhibit key respiratory enzymes in both Gram-positive</w:t>
      </w:r>
      <w:r w:rsidRPr="00A26968">
        <w:rPr>
          <w:rFonts w:ascii="Arial" w:hAnsi="Arial" w:cs="Arial"/>
          <w:sz w:val="20"/>
          <w:szCs w:val="20"/>
        </w:rPr>
        <w:t xml:space="preserve"> and </w:t>
      </w:r>
      <w:r w:rsidR="00FC007D" w:rsidRPr="00A26968">
        <w:rPr>
          <w:rFonts w:ascii="Arial" w:hAnsi="Arial" w:cs="Arial"/>
          <w:sz w:val="20"/>
          <w:szCs w:val="20"/>
        </w:rPr>
        <w:t>G</w:t>
      </w:r>
      <w:r w:rsidRPr="00A26968">
        <w:rPr>
          <w:rFonts w:ascii="Arial" w:hAnsi="Arial" w:cs="Arial"/>
          <w:sz w:val="20"/>
          <w:szCs w:val="20"/>
        </w:rPr>
        <w:t>ram-negative organisms (</w:t>
      </w:r>
      <w:proofErr w:type="spellStart"/>
      <w:r w:rsidRPr="00A26968">
        <w:rPr>
          <w:rFonts w:ascii="Arial" w:hAnsi="Arial" w:cs="Arial"/>
          <w:color w:val="000000" w:themeColor="text1"/>
          <w:sz w:val="20"/>
          <w:szCs w:val="20"/>
        </w:rPr>
        <w:t>Igile</w:t>
      </w:r>
      <w:proofErr w:type="spellEnd"/>
      <w:r w:rsidRPr="00A26968">
        <w:rPr>
          <w:rFonts w:ascii="Arial" w:hAnsi="Arial" w:cs="Arial"/>
          <w:color w:val="000000" w:themeColor="text1"/>
          <w:sz w:val="20"/>
          <w:szCs w:val="20"/>
        </w:rPr>
        <w:t xml:space="preserve"> et al., 1994; </w:t>
      </w:r>
      <w:proofErr w:type="spellStart"/>
      <w:r w:rsidRPr="00A26968">
        <w:rPr>
          <w:rFonts w:ascii="Arial" w:hAnsi="Arial" w:cs="Arial"/>
          <w:color w:val="000000" w:themeColor="text1"/>
          <w:sz w:val="20"/>
          <w:szCs w:val="20"/>
        </w:rPr>
        <w:t>Nweze</w:t>
      </w:r>
      <w:proofErr w:type="spellEnd"/>
      <w:r w:rsidRPr="00A26968">
        <w:rPr>
          <w:rFonts w:ascii="Arial" w:hAnsi="Arial" w:cs="Arial"/>
          <w:color w:val="000000" w:themeColor="text1"/>
          <w:sz w:val="20"/>
          <w:szCs w:val="20"/>
        </w:rPr>
        <w:t xml:space="preserve"> and Eze</w:t>
      </w:r>
      <w:r w:rsidRPr="00A26968">
        <w:rPr>
          <w:rFonts w:ascii="Arial" w:hAnsi="Arial" w:cs="Arial"/>
          <w:sz w:val="20"/>
          <w:szCs w:val="20"/>
        </w:rPr>
        <w:t xml:space="preserve">, 2009). The progressive rise in TPC across all formulations </w:t>
      </w:r>
      <w:r w:rsidR="00B56155" w:rsidRPr="00A26968">
        <w:rPr>
          <w:rFonts w:ascii="Arial" w:hAnsi="Arial" w:cs="Arial"/>
          <w:sz w:val="20"/>
          <w:szCs w:val="20"/>
        </w:rPr>
        <w:t xml:space="preserve">reflects the survival and proliferation of thermoduric spore-forming organisms that resist </w:t>
      </w:r>
      <w:r w:rsidRPr="00A26968">
        <w:rPr>
          <w:rFonts w:ascii="Arial" w:hAnsi="Arial" w:cs="Arial"/>
          <w:sz w:val="20"/>
          <w:szCs w:val="20"/>
        </w:rPr>
        <w:t>pasteurization</w:t>
      </w:r>
      <w:r w:rsidR="00B56155" w:rsidRPr="00A26968">
        <w:rPr>
          <w:rFonts w:ascii="Arial" w:hAnsi="Arial" w:cs="Arial"/>
          <w:sz w:val="20"/>
          <w:szCs w:val="20"/>
        </w:rPr>
        <w:t xml:space="preserve"> temperatures </w:t>
      </w:r>
      <w:r w:rsidRPr="00A26968">
        <w:rPr>
          <w:rFonts w:ascii="Arial" w:hAnsi="Arial" w:cs="Arial"/>
          <w:sz w:val="20"/>
          <w:szCs w:val="20"/>
        </w:rPr>
        <w:t>(</w:t>
      </w:r>
      <w:proofErr w:type="spellStart"/>
      <w:r w:rsidRPr="00A26968">
        <w:rPr>
          <w:rFonts w:ascii="Arial" w:hAnsi="Arial" w:cs="Arial"/>
          <w:sz w:val="20"/>
          <w:szCs w:val="20"/>
        </w:rPr>
        <w:t>Beuchat</w:t>
      </w:r>
      <w:proofErr w:type="spellEnd"/>
      <w:r w:rsidRPr="00A26968">
        <w:rPr>
          <w:rFonts w:ascii="Arial" w:hAnsi="Arial" w:cs="Arial"/>
          <w:sz w:val="20"/>
          <w:szCs w:val="20"/>
        </w:rPr>
        <w:t>, 2002).</w:t>
      </w:r>
      <w:r w:rsidR="009B1638">
        <w:rPr>
          <w:rFonts w:ascii="Arial" w:hAnsi="Arial" w:cs="Arial"/>
          <w:sz w:val="20"/>
          <w:szCs w:val="20"/>
        </w:rPr>
        <w:t xml:space="preserve"> </w:t>
      </w:r>
      <w:r w:rsidR="009B1638" w:rsidRPr="009F166F">
        <w:rPr>
          <w:rFonts w:ascii="Arial" w:hAnsi="Arial" w:cs="Arial"/>
          <w:sz w:val="20"/>
          <w:szCs w:val="20"/>
        </w:rPr>
        <w:t>The National Agency for Food and Drug Administration and Control (NAFDAC) has microbiological limits for food safety and quality. For Total plate count (TPC), the acceptable levels for ready-to-eat foods, including fruit juices, are &lt;10</w:t>
      </w:r>
      <w:r w:rsidR="009B1638" w:rsidRPr="009F166F">
        <w:rPr>
          <w:rFonts w:ascii="Arial" w:hAnsi="Arial" w:cs="Arial"/>
          <w:sz w:val="20"/>
          <w:szCs w:val="20"/>
          <w:vertAlign w:val="superscript"/>
        </w:rPr>
        <w:t>5</w:t>
      </w:r>
      <w:r w:rsidR="009B1638" w:rsidRPr="009F166F">
        <w:rPr>
          <w:rFonts w:ascii="Arial" w:hAnsi="Arial" w:cs="Arial"/>
          <w:sz w:val="20"/>
          <w:szCs w:val="20"/>
        </w:rPr>
        <w:t xml:space="preserve"> CFU/g. Higher counts </w:t>
      </w:r>
      <w:r w:rsidR="00893DDA">
        <w:rPr>
          <w:rFonts w:ascii="Arial" w:hAnsi="Arial" w:cs="Arial"/>
          <w:sz w:val="20"/>
          <w:szCs w:val="20"/>
        </w:rPr>
        <w:t xml:space="preserve">indicate contamination or poor handling (NAFDAC, </w:t>
      </w:r>
      <w:r w:rsidR="00294514" w:rsidRPr="004A4551">
        <w:rPr>
          <w:rFonts w:ascii="Arial" w:hAnsi="Arial" w:cs="Arial"/>
          <w:sz w:val="20"/>
          <w:szCs w:val="20"/>
        </w:rPr>
        <w:t>2003)</w:t>
      </w:r>
      <w:r w:rsidR="009B1638" w:rsidRPr="009F166F">
        <w:rPr>
          <w:rFonts w:ascii="Arial" w:hAnsi="Arial" w:cs="Arial"/>
          <w:sz w:val="20"/>
          <w:szCs w:val="20"/>
        </w:rPr>
        <w:t xml:space="preserve">. </w:t>
      </w:r>
    </w:p>
    <w:p w14:paraId="6DE91BA2" w14:textId="77777777" w:rsidR="00095193"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2F0A196B" wp14:editId="5C02738C">
            <wp:extent cx="4276725" cy="1905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W w:w="3360" w:type="dxa"/>
        <w:tblLook w:val="04A0" w:firstRow="1" w:lastRow="0" w:firstColumn="1" w:lastColumn="0" w:noHBand="0" w:noVBand="1"/>
      </w:tblPr>
      <w:tblGrid>
        <w:gridCol w:w="2400"/>
        <w:gridCol w:w="960"/>
      </w:tblGrid>
      <w:tr w:rsidR="002E590B" w:rsidRPr="004A4551" w14:paraId="1A519921" w14:textId="77777777" w:rsidTr="00DF7350">
        <w:trPr>
          <w:trHeight w:val="300"/>
        </w:trPr>
        <w:tc>
          <w:tcPr>
            <w:tcW w:w="2400" w:type="dxa"/>
            <w:noWrap/>
            <w:vAlign w:val="bottom"/>
            <w:hideMark/>
          </w:tcPr>
          <w:p w14:paraId="22D60E57" w14:textId="77777777" w:rsidR="00095193" w:rsidRPr="004A4551" w:rsidRDefault="00095193" w:rsidP="007F7216">
            <w:pPr>
              <w:spacing w:after="0" w:line="480" w:lineRule="auto"/>
              <w:rPr>
                <w:rFonts w:ascii="Arial" w:hAnsi="Arial" w:cs="Arial"/>
                <w:sz w:val="20"/>
                <w:szCs w:val="20"/>
              </w:rPr>
            </w:pPr>
          </w:p>
        </w:tc>
        <w:tc>
          <w:tcPr>
            <w:tcW w:w="960" w:type="dxa"/>
            <w:noWrap/>
            <w:vAlign w:val="bottom"/>
            <w:hideMark/>
          </w:tcPr>
          <w:p w14:paraId="08F0D615" w14:textId="77777777" w:rsidR="00095193" w:rsidRPr="004A4551" w:rsidRDefault="002C20A0" w:rsidP="007F7216">
            <w:pPr>
              <w:spacing w:after="0" w:line="480" w:lineRule="auto"/>
              <w:ind w:left="-2508" w:right="-5568"/>
              <w:rPr>
                <w:rFonts w:ascii="Arial" w:eastAsia="Times New Roman" w:hAnsi="Arial" w:cs="Arial"/>
                <w:color w:val="000000"/>
                <w:sz w:val="20"/>
                <w:szCs w:val="20"/>
              </w:rPr>
            </w:pPr>
            <w:r w:rsidRPr="004A4551">
              <w:rPr>
                <w:rFonts w:ascii="Arial" w:eastAsia="Times New Roman" w:hAnsi="Arial" w:cs="Arial"/>
                <w:color w:val="000000"/>
                <w:sz w:val="20"/>
                <w:szCs w:val="20"/>
              </w:rPr>
              <w:t>Bitter l</w:t>
            </w:r>
          </w:p>
        </w:tc>
      </w:tr>
    </w:tbl>
    <w:p w14:paraId="476C54FD" w14:textId="09094974" w:rsidR="00095193" w:rsidRPr="004A4551" w:rsidRDefault="002C20A0" w:rsidP="007F7216">
      <w:pPr>
        <w:spacing w:after="0" w:line="480" w:lineRule="auto"/>
        <w:rPr>
          <w:rFonts w:ascii="Arial" w:eastAsia="Times New Roman" w:hAnsi="Arial" w:cs="Arial"/>
          <w:b/>
          <w:bCs/>
          <w:color w:val="000000"/>
          <w:sz w:val="20"/>
          <w:szCs w:val="20"/>
        </w:rPr>
      </w:pPr>
      <w:r w:rsidRPr="004A4551">
        <w:rPr>
          <w:rFonts w:ascii="Arial" w:eastAsia="Times New Roman" w:hAnsi="Arial" w:cs="Arial"/>
          <w:b/>
          <w:bCs/>
          <w:color w:val="000000"/>
          <w:sz w:val="20"/>
          <w:szCs w:val="20"/>
        </w:rPr>
        <w:t>Fig 1: Total plate count of Pasteurized Mint-</w:t>
      </w:r>
      <w:r w:rsidR="00272984">
        <w:rPr>
          <w:rFonts w:ascii="Arial" w:eastAsia="Times New Roman" w:hAnsi="Arial" w:cs="Arial"/>
          <w:b/>
          <w:bCs/>
          <w:color w:val="000000"/>
          <w:sz w:val="20"/>
          <w:szCs w:val="20"/>
        </w:rPr>
        <w:t xml:space="preserve">flavored and </w:t>
      </w:r>
      <w:proofErr w:type="spellStart"/>
      <w:r w:rsidRPr="004A4551">
        <w:rPr>
          <w:rFonts w:ascii="Arial" w:eastAsia="Times New Roman" w:hAnsi="Arial" w:cs="Arial"/>
          <w:b/>
          <w:bCs/>
          <w:color w:val="000000"/>
          <w:sz w:val="20"/>
          <w:szCs w:val="20"/>
        </w:rPr>
        <w:t>Bitterleaf</w:t>
      </w:r>
      <w:proofErr w:type="spellEnd"/>
      <w:r w:rsidR="00272984">
        <w:rPr>
          <w:rFonts w:ascii="Arial" w:eastAsia="Times New Roman" w:hAnsi="Arial" w:cs="Arial"/>
          <w:b/>
          <w:bCs/>
          <w:color w:val="000000"/>
          <w:sz w:val="20"/>
          <w:szCs w:val="20"/>
        </w:rPr>
        <w:t xml:space="preserve">-flavored </w:t>
      </w:r>
      <w:r w:rsidRPr="004A4551">
        <w:rPr>
          <w:rFonts w:ascii="Arial" w:eastAsia="Times New Roman" w:hAnsi="Arial" w:cs="Arial"/>
          <w:b/>
          <w:bCs/>
          <w:color w:val="000000"/>
          <w:sz w:val="20"/>
          <w:szCs w:val="20"/>
        </w:rPr>
        <w:t>Pineapple</w:t>
      </w:r>
      <w:r w:rsidR="00272984">
        <w:rPr>
          <w:rFonts w:ascii="Arial" w:eastAsia="Times New Roman" w:hAnsi="Arial" w:cs="Arial"/>
          <w:b/>
          <w:bCs/>
          <w:color w:val="000000"/>
          <w:sz w:val="20"/>
          <w:szCs w:val="20"/>
        </w:rPr>
        <w:t>-Cucumber</w:t>
      </w:r>
      <w:r w:rsidRPr="004A4551">
        <w:rPr>
          <w:rFonts w:ascii="Arial" w:eastAsia="Times New Roman" w:hAnsi="Arial" w:cs="Arial"/>
          <w:b/>
          <w:bCs/>
          <w:color w:val="000000"/>
          <w:sz w:val="20"/>
          <w:szCs w:val="20"/>
        </w:rPr>
        <w:t xml:space="preserve"> Juice during 21 Days Storage (28</w:t>
      </w:r>
      <w:r w:rsidRPr="004A4551">
        <w:rPr>
          <w:rFonts w:ascii="Arial" w:eastAsia="Times New Roman" w:hAnsi="Arial" w:cs="Arial"/>
          <w:b/>
          <w:bCs/>
          <w:color w:val="000000"/>
          <w:sz w:val="20"/>
          <w:szCs w:val="20"/>
          <w:vertAlign w:val="superscript"/>
        </w:rPr>
        <w:t>0</w:t>
      </w:r>
      <w:r w:rsidRPr="004A4551">
        <w:rPr>
          <w:rFonts w:ascii="Arial" w:eastAsia="Times New Roman" w:hAnsi="Arial" w:cs="Arial"/>
          <w:b/>
          <w:bCs/>
          <w:color w:val="000000"/>
          <w:sz w:val="20"/>
          <w:szCs w:val="20"/>
        </w:rPr>
        <w:t>C)</w:t>
      </w:r>
    </w:p>
    <w:p w14:paraId="401FBC9A" w14:textId="1A7B0929" w:rsidR="00095193"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32FB0957" w14:textId="3CD5A599" w:rsidR="00DE4139" w:rsidRPr="004A4551" w:rsidRDefault="00DE4139"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3.1.2 Total Yeast Count</w:t>
      </w:r>
    </w:p>
    <w:p w14:paraId="1C933FB5" w14:textId="152CB12D" w:rsidR="00095193" w:rsidRPr="004A4551" w:rsidRDefault="002C20A0" w:rsidP="00294514">
      <w:pPr>
        <w:spacing w:line="480" w:lineRule="auto"/>
        <w:jc w:val="both"/>
        <w:rPr>
          <w:rFonts w:ascii="Arial" w:hAnsi="Arial" w:cs="Arial"/>
          <w:sz w:val="20"/>
          <w:szCs w:val="20"/>
        </w:rPr>
      </w:pPr>
      <w:r w:rsidRPr="004A4551">
        <w:rPr>
          <w:rFonts w:ascii="Arial" w:hAnsi="Arial" w:cs="Arial"/>
          <w:sz w:val="20"/>
          <w:szCs w:val="20"/>
        </w:rPr>
        <w:t>The TYC</w:t>
      </w:r>
      <w:r w:rsidR="00C81D22" w:rsidRPr="004A4551">
        <w:rPr>
          <w:rFonts w:ascii="Arial" w:hAnsi="Arial" w:cs="Arial"/>
          <w:sz w:val="20"/>
          <w:szCs w:val="20"/>
        </w:rPr>
        <w:t xml:space="preserve"> (</w:t>
      </w:r>
      <w:r w:rsidRPr="004A4551">
        <w:rPr>
          <w:rFonts w:ascii="Arial" w:hAnsi="Arial" w:cs="Arial"/>
          <w:sz w:val="20"/>
          <w:szCs w:val="20"/>
        </w:rPr>
        <w:t>Fig 2</w:t>
      </w:r>
      <w:r w:rsidR="00C81D22" w:rsidRPr="004A4551">
        <w:rPr>
          <w:rFonts w:ascii="Arial" w:hAnsi="Arial" w:cs="Arial"/>
          <w:sz w:val="20"/>
          <w:szCs w:val="20"/>
        </w:rPr>
        <w:t xml:space="preserve">) was negligible on day 0 across all formulations, confirming effective elimination of all predominant yeast </w:t>
      </w:r>
      <w:r w:rsidR="00954EE3" w:rsidRPr="004A4551">
        <w:rPr>
          <w:rFonts w:ascii="Arial" w:hAnsi="Arial" w:cs="Arial"/>
          <w:sz w:val="20"/>
          <w:szCs w:val="20"/>
        </w:rPr>
        <w:t>populations by</w:t>
      </w:r>
      <w:r w:rsidR="00C81D22" w:rsidRPr="004A4551">
        <w:rPr>
          <w:rFonts w:ascii="Arial" w:hAnsi="Arial" w:cs="Arial"/>
          <w:sz w:val="20"/>
          <w:szCs w:val="20"/>
        </w:rPr>
        <w:t xml:space="preserve"> pasteurization</w:t>
      </w:r>
      <w:r w:rsidRPr="004A4551">
        <w:rPr>
          <w:rFonts w:ascii="Arial" w:hAnsi="Arial" w:cs="Arial"/>
          <w:sz w:val="20"/>
          <w:szCs w:val="20"/>
        </w:rPr>
        <w:t xml:space="preserve">. </w:t>
      </w:r>
      <w:r w:rsidR="00954EE3" w:rsidRPr="004A4551">
        <w:rPr>
          <w:rFonts w:ascii="Arial" w:hAnsi="Arial" w:cs="Arial"/>
          <w:sz w:val="20"/>
          <w:szCs w:val="20"/>
        </w:rPr>
        <w:t>However, the y</w:t>
      </w:r>
      <w:r w:rsidRPr="004A4551">
        <w:rPr>
          <w:rFonts w:ascii="Arial" w:hAnsi="Arial" w:cs="Arial"/>
          <w:sz w:val="20"/>
          <w:szCs w:val="20"/>
        </w:rPr>
        <w:t>east population</w:t>
      </w:r>
      <w:r w:rsidR="00954EE3" w:rsidRPr="004A4551">
        <w:rPr>
          <w:rFonts w:ascii="Arial" w:hAnsi="Arial" w:cs="Arial"/>
          <w:sz w:val="20"/>
          <w:szCs w:val="20"/>
        </w:rPr>
        <w:t xml:space="preserve"> increased steadily </w:t>
      </w:r>
      <w:r w:rsidRPr="004A4551">
        <w:rPr>
          <w:rFonts w:ascii="Arial" w:hAnsi="Arial" w:cs="Arial"/>
          <w:sz w:val="20"/>
          <w:szCs w:val="20"/>
        </w:rPr>
        <w:t xml:space="preserve">throughout storage. </w:t>
      </w:r>
      <w:r w:rsidR="00954EE3" w:rsidRPr="004A4551">
        <w:rPr>
          <w:rFonts w:ascii="Arial" w:hAnsi="Arial" w:cs="Arial"/>
          <w:sz w:val="20"/>
          <w:szCs w:val="20"/>
        </w:rPr>
        <w:t xml:space="preserve">By </w:t>
      </w:r>
      <w:r w:rsidR="007B6C12" w:rsidRPr="004A4551">
        <w:rPr>
          <w:rFonts w:ascii="Arial" w:hAnsi="Arial" w:cs="Arial"/>
          <w:sz w:val="20"/>
          <w:szCs w:val="20"/>
        </w:rPr>
        <w:t>Day 21, the control approached 1000 CFU/mL, near or exceeding the ICMSF (2000) maximum total fungal count guidelines of 10</w:t>
      </w:r>
      <w:r w:rsidR="007B6C12" w:rsidRPr="004A4551">
        <w:rPr>
          <w:rFonts w:ascii="Arial" w:hAnsi="Arial" w:cs="Arial"/>
          <w:sz w:val="20"/>
          <w:szCs w:val="20"/>
          <w:vertAlign w:val="superscript"/>
        </w:rPr>
        <w:t>3</w:t>
      </w:r>
      <w:r w:rsidR="007B6C12" w:rsidRPr="004A4551">
        <w:rPr>
          <w:rFonts w:ascii="Arial" w:hAnsi="Arial" w:cs="Arial"/>
          <w:sz w:val="20"/>
          <w:szCs w:val="20"/>
        </w:rPr>
        <w:t>-10</w:t>
      </w:r>
      <w:r w:rsidR="007B6C12" w:rsidRPr="004A4551">
        <w:rPr>
          <w:rFonts w:ascii="Arial" w:hAnsi="Arial" w:cs="Arial"/>
          <w:sz w:val="20"/>
          <w:szCs w:val="20"/>
          <w:vertAlign w:val="superscript"/>
        </w:rPr>
        <w:t>4</w:t>
      </w:r>
      <w:r w:rsidR="007B6C12" w:rsidRPr="004A4551">
        <w:rPr>
          <w:rFonts w:ascii="Arial" w:hAnsi="Arial" w:cs="Arial"/>
          <w:sz w:val="20"/>
          <w:szCs w:val="20"/>
        </w:rPr>
        <w:t xml:space="preserve"> CFU/mL for packaged juice. This raises concerns about prolonged microbial safety. Sample B maintained the lowest TYC (220 CFU/mL), well within acceptable limits, followed by sample C (450 CFU/mL) and sample D (680 CFU/mL). The rank order mirrored TPC results. </w:t>
      </w:r>
      <w:r w:rsidRPr="004A4551">
        <w:rPr>
          <w:rFonts w:ascii="Arial" w:hAnsi="Arial" w:cs="Arial"/>
          <w:sz w:val="20"/>
          <w:szCs w:val="20"/>
        </w:rPr>
        <w:t xml:space="preserve"> The antifungal efficacy </w:t>
      </w:r>
      <w:r w:rsidR="007B6C12" w:rsidRPr="004A4551">
        <w:rPr>
          <w:rFonts w:ascii="Arial" w:hAnsi="Arial" w:cs="Arial"/>
          <w:sz w:val="20"/>
          <w:szCs w:val="20"/>
        </w:rPr>
        <w:t xml:space="preserve">of </w:t>
      </w:r>
      <w:r w:rsidRPr="004A4551">
        <w:rPr>
          <w:rFonts w:ascii="Arial" w:hAnsi="Arial" w:cs="Arial"/>
          <w:sz w:val="20"/>
          <w:szCs w:val="20"/>
        </w:rPr>
        <w:t>bitter leaf</w:t>
      </w:r>
      <w:r w:rsidR="007B6C12" w:rsidRPr="004A4551">
        <w:rPr>
          <w:rFonts w:ascii="Arial" w:hAnsi="Arial" w:cs="Arial"/>
          <w:sz w:val="20"/>
          <w:szCs w:val="20"/>
        </w:rPr>
        <w:t xml:space="preserve"> in sample B</w:t>
      </w:r>
      <w:r w:rsidRPr="004A4551">
        <w:rPr>
          <w:rFonts w:ascii="Arial" w:hAnsi="Arial" w:cs="Arial"/>
          <w:sz w:val="20"/>
          <w:szCs w:val="20"/>
        </w:rPr>
        <w:t xml:space="preserve"> is consistent with </w:t>
      </w:r>
      <w:r w:rsidR="007B6C12" w:rsidRPr="004A4551">
        <w:rPr>
          <w:rFonts w:ascii="Arial" w:hAnsi="Arial" w:cs="Arial"/>
          <w:sz w:val="20"/>
          <w:szCs w:val="20"/>
        </w:rPr>
        <w:t xml:space="preserve">reports that its </w:t>
      </w:r>
      <w:r w:rsidRPr="004A4551">
        <w:rPr>
          <w:rFonts w:ascii="Arial" w:hAnsi="Arial" w:cs="Arial"/>
          <w:sz w:val="20"/>
          <w:szCs w:val="20"/>
        </w:rPr>
        <w:t>flavonoid and saponin fractions</w:t>
      </w:r>
      <w:r w:rsidR="007B6C12" w:rsidRPr="004A4551">
        <w:rPr>
          <w:rFonts w:ascii="Arial" w:hAnsi="Arial" w:cs="Arial"/>
          <w:sz w:val="20"/>
          <w:szCs w:val="20"/>
        </w:rPr>
        <w:t xml:space="preserve"> inhibit </w:t>
      </w:r>
      <w:r w:rsidRPr="004A4551">
        <w:rPr>
          <w:rFonts w:ascii="Arial" w:hAnsi="Arial" w:cs="Arial"/>
          <w:sz w:val="20"/>
          <w:szCs w:val="20"/>
        </w:rPr>
        <w:t>ergosterol biosynthesis</w:t>
      </w:r>
      <w:r w:rsidR="007B6C12" w:rsidRPr="004A4551">
        <w:rPr>
          <w:rFonts w:ascii="Arial" w:hAnsi="Arial" w:cs="Arial"/>
          <w:sz w:val="20"/>
          <w:szCs w:val="20"/>
        </w:rPr>
        <w:t xml:space="preserve"> and compromise fungal </w:t>
      </w:r>
      <w:r w:rsidRPr="004A4551">
        <w:rPr>
          <w:rFonts w:ascii="Arial" w:hAnsi="Arial" w:cs="Arial"/>
          <w:sz w:val="20"/>
          <w:szCs w:val="20"/>
        </w:rPr>
        <w:t>cellular permeability (</w:t>
      </w:r>
      <w:bookmarkStart w:id="0" w:name="_Hlk226145125"/>
      <w:proofErr w:type="spellStart"/>
      <w:r w:rsidRPr="004A4551">
        <w:rPr>
          <w:rFonts w:ascii="Arial" w:hAnsi="Arial" w:cs="Arial"/>
          <w:sz w:val="20"/>
          <w:szCs w:val="20"/>
        </w:rPr>
        <w:t>Ejoh</w:t>
      </w:r>
      <w:proofErr w:type="spellEnd"/>
      <w:r w:rsidRPr="004A4551">
        <w:rPr>
          <w:rFonts w:ascii="Arial" w:hAnsi="Arial" w:cs="Arial"/>
          <w:sz w:val="20"/>
          <w:szCs w:val="20"/>
        </w:rPr>
        <w:t xml:space="preserve"> et al, </w:t>
      </w:r>
      <w:r w:rsidRPr="004A4551">
        <w:rPr>
          <w:rFonts w:ascii="Arial" w:hAnsi="Arial" w:cs="Arial"/>
          <w:sz w:val="20"/>
          <w:szCs w:val="20"/>
        </w:rPr>
        <w:lastRenderedPageBreak/>
        <w:t>2005</w:t>
      </w:r>
      <w:bookmarkEnd w:id="0"/>
      <w:r w:rsidRPr="004A4551">
        <w:rPr>
          <w:rFonts w:ascii="Arial" w:hAnsi="Arial" w:cs="Arial"/>
          <w:sz w:val="20"/>
          <w:szCs w:val="20"/>
        </w:rPr>
        <w:t xml:space="preserve">). The gradual rise in yeast count across all </w:t>
      </w:r>
      <w:r w:rsidR="008348C4" w:rsidRPr="004A4551">
        <w:rPr>
          <w:rFonts w:ascii="Arial" w:hAnsi="Arial" w:cs="Arial"/>
          <w:sz w:val="20"/>
          <w:szCs w:val="20"/>
        </w:rPr>
        <w:t xml:space="preserve">formulations </w:t>
      </w:r>
      <w:r w:rsidRPr="004A4551">
        <w:rPr>
          <w:rFonts w:ascii="Arial" w:hAnsi="Arial" w:cs="Arial"/>
          <w:sz w:val="20"/>
          <w:szCs w:val="20"/>
        </w:rPr>
        <w:t>reflects the thermal tolerance of yeast ascospore</w:t>
      </w:r>
      <w:r w:rsidR="008348C4" w:rsidRPr="004A4551">
        <w:rPr>
          <w:rFonts w:ascii="Arial" w:hAnsi="Arial" w:cs="Arial"/>
          <w:sz w:val="20"/>
          <w:szCs w:val="20"/>
        </w:rPr>
        <w:t>s and</w:t>
      </w:r>
      <w:r w:rsidRPr="004A4551">
        <w:rPr>
          <w:rFonts w:ascii="Arial" w:hAnsi="Arial" w:cs="Arial"/>
          <w:sz w:val="20"/>
          <w:szCs w:val="20"/>
        </w:rPr>
        <w:t xml:space="preserve"> the limited sustained antifungal activity of botanical extracts against surviving spore populations at ambient temperature (Pitt &amp; Hocking, 2009). </w:t>
      </w:r>
      <w:r w:rsidR="009B1638" w:rsidRPr="009F166F">
        <w:rPr>
          <w:rFonts w:ascii="Arial" w:hAnsi="Arial" w:cs="Arial"/>
          <w:sz w:val="20"/>
          <w:szCs w:val="20"/>
        </w:rPr>
        <w:t>The NAFDAC limit for Total yeast count is 10</w:t>
      </w:r>
      <w:r w:rsidR="009B1638" w:rsidRPr="009F166F">
        <w:rPr>
          <w:rFonts w:ascii="Arial" w:hAnsi="Arial" w:cs="Arial"/>
          <w:sz w:val="20"/>
          <w:szCs w:val="20"/>
          <w:vertAlign w:val="superscript"/>
        </w:rPr>
        <w:t xml:space="preserve">3 </w:t>
      </w:r>
      <w:r w:rsidR="009B1638" w:rsidRPr="009F166F">
        <w:rPr>
          <w:rFonts w:ascii="Arial" w:hAnsi="Arial" w:cs="Arial"/>
          <w:sz w:val="20"/>
          <w:szCs w:val="20"/>
        </w:rPr>
        <w:t>– 10</w:t>
      </w:r>
      <w:r w:rsidR="009B1638" w:rsidRPr="009F166F">
        <w:rPr>
          <w:rFonts w:ascii="Arial" w:hAnsi="Arial" w:cs="Arial"/>
          <w:sz w:val="20"/>
          <w:szCs w:val="20"/>
          <w:vertAlign w:val="superscript"/>
        </w:rPr>
        <w:t>4</w:t>
      </w:r>
      <w:r w:rsidR="009B1638" w:rsidRPr="009F166F">
        <w:rPr>
          <w:rFonts w:ascii="Arial" w:hAnsi="Arial" w:cs="Arial"/>
          <w:sz w:val="20"/>
          <w:szCs w:val="20"/>
        </w:rPr>
        <w:t xml:space="preserve"> CFU/g. A higher count </w:t>
      </w:r>
      <w:r w:rsidR="00294514">
        <w:rPr>
          <w:rFonts w:ascii="Arial" w:hAnsi="Arial" w:cs="Arial"/>
          <w:sz w:val="20"/>
          <w:szCs w:val="20"/>
        </w:rPr>
        <w:t>indicates spoilage risk (NAFDAC,</w:t>
      </w:r>
      <w:r w:rsidR="00294514" w:rsidRPr="004A4551">
        <w:rPr>
          <w:rFonts w:ascii="Arial" w:hAnsi="Arial" w:cs="Arial"/>
          <w:sz w:val="20"/>
          <w:szCs w:val="20"/>
        </w:rPr>
        <w:t>2003)</w:t>
      </w:r>
      <w:r w:rsidR="009B1638" w:rsidRPr="009F166F">
        <w:rPr>
          <w:rFonts w:ascii="Arial" w:hAnsi="Arial" w:cs="Arial"/>
          <w:sz w:val="20"/>
          <w:szCs w:val="20"/>
        </w:rPr>
        <w:t xml:space="preserve">. </w:t>
      </w:r>
    </w:p>
    <w:p w14:paraId="57FFBB79" w14:textId="77777777" w:rsidR="001A5AE2"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45841618" wp14:editId="007D6477">
            <wp:extent cx="4095750" cy="2190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C7FE0E" w14:textId="1E1FB84A" w:rsidR="00095193" w:rsidRPr="004A4551" w:rsidRDefault="002C20A0" w:rsidP="007F7216">
      <w:pPr>
        <w:spacing w:after="0" w:line="480" w:lineRule="auto"/>
        <w:jc w:val="both"/>
        <w:rPr>
          <w:rFonts w:ascii="Arial" w:hAnsi="Arial" w:cs="Arial"/>
          <w:b/>
          <w:bCs/>
          <w:sz w:val="20"/>
          <w:szCs w:val="20"/>
        </w:rPr>
      </w:pPr>
      <w:r w:rsidRPr="004A4551">
        <w:rPr>
          <w:rFonts w:ascii="Arial" w:hAnsi="Arial" w:cs="Arial"/>
          <w:b/>
          <w:bCs/>
          <w:sz w:val="20"/>
          <w:szCs w:val="20"/>
        </w:rPr>
        <w:t>Figure 2: Total Yeast Count (CFU/ml) of Pasteurized Mint-</w:t>
      </w:r>
      <w:r w:rsidR="00272984">
        <w:rPr>
          <w:rFonts w:ascii="Arial" w:hAnsi="Arial" w:cs="Arial"/>
          <w:b/>
          <w:bCs/>
          <w:sz w:val="20"/>
          <w:szCs w:val="20"/>
        </w:rPr>
        <w:t xml:space="preserve">flavored and </w:t>
      </w:r>
      <w:r w:rsidRPr="004A4551">
        <w:rPr>
          <w:rFonts w:ascii="Arial" w:hAnsi="Arial" w:cs="Arial"/>
          <w:b/>
          <w:bCs/>
          <w:sz w:val="20"/>
          <w:szCs w:val="20"/>
        </w:rPr>
        <w:t>Bitter leaf</w:t>
      </w:r>
      <w:r w:rsidR="00FC38E7" w:rsidRPr="004A4551">
        <w:rPr>
          <w:rFonts w:ascii="Arial" w:hAnsi="Arial" w:cs="Arial"/>
          <w:b/>
          <w:bCs/>
          <w:sz w:val="20"/>
          <w:szCs w:val="20"/>
        </w:rPr>
        <w:t>-</w:t>
      </w:r>
      <w:r w:rsidRPr="004A4551">
        <w:rPr>
          <w:rFonts w:ascii="Arial" w:hAnsi="Arial" w:cs="Arial"/>
          <w:b/>
          <w:bCs/>
          <w:sz w:val="20"/>
          <w:szCs w:val="20"/>
        </w:rPr>
        <w:t>flavored Pineapple-cucumber Juice during 21 Days of Storage at 28</w:t>
      </w:r>
      <w:r w:rsidRPr="004A4551">
        <w:rPr>
          <w:rFonts w:ascii="Arial" w:hAnsi="Arial" w:cs="Arial"/>
          <w:b/>
          <w:bCs/>
          <w:sz w:val="20"/>
          <w:szCs w:val="20"/>
          <w:vertAlign w:val="superscript"/>
        </w:rPr>
        <w:t>0</w:t>
      </w:r>
      <w:r w:rsidRPr="004A4551">
        <w:rPr>
          <w:rFonts w:ascii="Arial" w:hAnsi="Arial" w:cs="Arial"/>
          <w:b/>
          <w:bCs/>
          <w:sz w:val="20"/>
          <w:szCs w:val="20"/>
        </w:rPr>
        <w:t xml:space="preserve">C </w:t>
      </w:r>
    </w:p>
    <w:p w14:paraId="3208D0F3" w14:textId="6583C9AC" w:rsidR="00095193" w:rsidRPr="004A4551" w:rsidRDefault="002C20A0" w:rsidP="007F7216">
      <w:pPr>
        <w:spacing w:after="0" w:line="480" w:lineRule="auto"/>
        <w:ind w:left="720"/>
        <w:jc w:val="both"/>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3F51FFBA" w14:textId="021E67D5" w:rsidR="00DE4139" w:rsidRPr="004A4551" w:rsidRDefault="00DE4139"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3.1.3 Total Coliform Count</w:t>
      </w:r>
    </w:p>
    <w:p w14:paraId="420108D1" w14:textId="45EC4154" w:rsidR="00601F03" w:rsidRPr="004A4551" w:rsidRDefault="002C20A0" w:rsidP="00294514">
      <w:pPr>
        <w:spacing w:line="480" w:lineRule="auto"/>
        <w:jc w:val="both"/>
        <w:rPr>
          <w:rFonts w:ascii="Arial" w:hAnsi="Arial" w:cs="Arial"/>
          <w:sz w:val="20"/>
          <w:szCs w:val="20"/>
        </w:rPr>
      </w:pPr>
      <w:r w:rsidRPr="004A4551">
        <w:rPr>
          <w:rFonts w:ascii="Arial" w:hAnsi="Arial" w:cs="Arial"/>
          <w:sz w:val="20"/>
          <w:szCs w:val="20"/>
        </w:rPr>
        <w:t xml:space="preserve">The TCC </w:t>
      </w:r>
      <w:r w:rsidR="00C56940" w:rsidRPr="004A4551">
        <w:rPr>
          <w:rFonts w:ascii="Arial" w:hAnsi="Arial" w:cs="Arial"/>
          <w:sz w:val="20"/>
          <w:szCs w:val="20"/>
        </w:rPr>
        <w:t xml:space="preserve">results </w:t>
      </w:r>
      <w:r w:rsidR="008348C4" w:rsidRPr="004A4551">
        <w:rPr>
          <w:rFonts w:ascii="Arial" w:hAnsi="Arial" w:cs="Arial"/>
          <w:sz w:val="20"/>
          <w:szCs w:val="20"/>
        </w:rPr>
        <w:t>(</w:t>
      </w:r>
      <w:r w:rsidRPr="004A4551">
        <w:rPr>
          <w:rFonts w:ascii="Arial" w:hAnsi="Arial" w:cs="Arial"/>
          <w:sz w:val="20"/>
          <w:szCs w:val="20"/>
        </w:rPr>
        <w:t>Figure 3</w:t>
      </w:r>
      <w:r w:rsidR="008348C4" w:rsidRPr="004A4551">
        <w:rPr>
          <w:rFonts w:ascii="Arial" w:hAnsi="Arial" w:cs="Arial"/>
          <w:sz w:val="20"/>
          <w:szCs w:val="20"/>
        </w:rPr>
        <w:t xml:space="preserve">) </w:t>
      </w:r>
      <w:r w:rsidR="00C56940" w:rsidRPr="004A4551">
        <w:rPr>
          <w:rFonts w:ascii="Arial" w:hAnsi="Arial" w:cs="Arial"/>
          <w:sz w:val="20"/>
          <w:szCs w:val="20"/>
        </w:rPr>
        <w:t>carry</w:t>
      </w:r>
      <w:r w:rsidR="008348C4" w:rsidRPr="004A4551">
        <w:rPr>
          <w:rFonts w:ascii="Arial" w:hAnsi="Arial" w:cs="Arial"/>
          <w:sz w:val="20"/>
          <w:szCs w:val="20"/>
        </w:rPr>
        <w:t xml:space="preserve"> the greatest regulatory significance of all four microbiological parameters</w:t>
      </w:r>
      <w:r w:rsidRPr="004A4551">
        <w:rPr>
          <w:rFonts w:ascii="Arial" w:hAnsi="Arial" w:cs="Arial"/>
          <w:sz w:val="20"/>
          <w:szCs w:val="20"/>
        </w:rPr>
        <w:t>. On day 0, coliform</w:t>
      </w:r>
      <w:r w:rsidR="00C56940" w:rsidRPr="004A4551">
        <w:rPr>
          <w:rFonts w:ascii="Arial" w:hAnsi="Arial" w:cs="Arial"/>
          <w:sz w:val="20"/>
          <w:szCs w:val="20"/>
        </w:rPr>
        <w:t xml:space="preserve">s were absent (&lt;1 CFU/ml) in all formulations, confirming </w:t>
      </w:r>
      <w:r w:rsidRPr="004A4551">
        <w:rPr>
          <w:rFonts w:ascii="Arial" w:hAnsi="Arial" w:cs="Arial"/>
          <w:sz w:val="20"/>
          <w:szCs w:val="20"/>
        </w:rPr>
        <w:t xml:space="preserve">post-pasteurization compliance with the NAFDAC/SON </w:t>
      </w:r>
      <w:r w:rsidR="00C56940" w:rsidRPr="004A4551">
        <w:rPr>
          <w:rFonts w:ascii="Arial" w:hAnsi="Arial" w:cs="Arial"/>
          <w:sz w:val="20"/>
          <w:szCs w:val="20"/>
        </w:rPr>
        <w:t xml:space="preserve">standard mandating </w:t>
      </w:r>
      <w:r w:rsidRPr="004A4551">
        <w:rPr>
          <w:rFonts w:ascii="Arial" w:hAnsi="Arial" w:cs="Arial"/>
          <w:sz w:val="20"/>
          <w:szCs w:val="20"/>
        </w:rPr>
        <w:t xml:space="preserve">the </w:t>
      </w:r>
      <w:r w:rsidR="00C56940" w:rsidRPr="004A4551">
        <w:rPr>
          <w:rFonts w:ascii="Arial" w:hAnsi="Arial" w:cs="Arial"/>
          <w:sz w:val="20"/>
          <w:szCs w:val="20"/>
        </w:rPr>
        <w:t>complete</w:t>
      </w:r>
      <w:r w:rsidRPr="004A4551">
        <w:rPr>
          <w:rFonts w:ascii="Arial" w:hAnsi="Arial" w:cs="Arial"/>
          <w:sz w:val="20"/>
          <w:szCs w:val="20"/>
        </w:rPr>
        <w:t xml:space="preserve"> absence of coliforms in pasteurized packaged juices (NAFDAC, 2003; ICMSF, 2002). However</w:t>
      </w:r>
      <w:r w:rsidR="00C56940" w:rsidRPr="004A4551">
        <w:rPr>
          <w:rFonts w:ascii="Arial" w:hAnsi="Arial" w:cs="Arial"/>
          <w:sz w:val="20"/>
          <w:szCs w:val="20"/>
        </w:rPr>
        <w:t>, from day 7 onwards</w:t>
      </w:r>
      <w:r w:rsidRPr="004A4551">
        <w:rPr>
          <w:rFonts w:ascii="Arial" w:hAnsi="Arial" w:cs="Arial"/>
          <w:sz w:val="20"/>
          <w:szCs w:val="20"/>
        </w:rPr>
        <w:t xml:space="preserve">, coliforms became detectable in all </w:t>
      </w:r>
      <w:r w:rsidR="00C56940" w:rsidRPr="004A4551">
        <w:rPr>
          <w:rFonts w:ascii="Arial" w:hAnsi="Arial" w:cs="Arial"/>
          <w:sz w:val="20"/>
          <w:szCs w:val="20"/>
        </w:rPr>
        <w:t xml:space="preserve">samples. By day 21, </w:t>
      </w:r>
      <w:r w:rsidRPr="004A4551">
        <w:rPr>
          <w:rFonts w:ascii="Arial" w:hAnsi="Arial" w:cs="Arial"/>
          <w:sz w:val="20"/>
          <w:szCs w:val="20"/>
        </w:rPr>
        <w:t>the control</w:t>
      </w:r>
      <w:r w:rsidR="00C56940" w:rsidRPr="004A4551">
        <w:rPr>
          <w:rFonts w:ascii="Arial" w:hAnsi="Arial" w:cs="Arial"/>
          <w:sz w:val="20"/>
          <w:szCs w:val="20"/>
        </w:rPr>
        <w:t xml:space="preserve"> had accumulated </w:t>
      </w:r>
      <w:r w:rsidRPr="004A4551">
        <w:rPr>
          <w:rFonts w:ascii="Arial" w:hAnsi="Arial" w:cs="Arial"/>
          <w:sz w:val="20"/>
          <w:szCs w:val="20"/>
        </w:rPr>
        <w:t>approximately 1000 CFU/ml</w:t>
      </w:r>
      <w:r w:rsidR="00C56940" w:rsidRPr="004A4551">
        <w:rPr>
          <w:rFonts w:ascii="Arial" w:hAnsi="Arial" w:cs="Arial"/>
          <w:sz w:val="20"/>
          <w:szCs w:val="20"/>
        </w:rPr>
        <w:t xml:space="preserve">, </w:t>
      </w:r>
      <w:r w:rsidRPr="004A4551">
        <w:rPr>
          <w:rFonts w:ascii="Arial" w:hAnsi="Arial" w:cs="Arial"/>
          <w:sz w:val="20"/>
          <w:szCs w:val="20"/>
        </w:rPr>
        <w:t xml:space="preserve">sample B </w:t>
      </w:r>
      <w:r w:rsidR="00C56940" w:rsidRPr="004A4551">
        <w:rPr>
          <w:rFonts w:ascii="Arial" w:hAnsi="Arial" w:cs="Arial"/>
          <w:sz w:val="20"/>
          <w:szCs w:val="20"/>
        </w:rPr>
        <w:t xml:space="preserve">approximately </w:t>
      </w:r>
      <w:r w:rsidRPr="004A4551">
        <w:rPr>
          <w:rFonts w:ascii="Arial" w:hAnsi="Arial" w:cs="Arial"/>
          <w:sz w:val="20"/>
          <w:szCs w:val="20"/>
        </w:rPr>
        <w:t xml:space="preserve">229 CFU/ml, </w:t>
      </w:r>
      <w:r w:rsidR="007374B3" w:rsidRPr="004A4551">
        <w:rPr>
          <w:rFonts w:ascii="Arial" w:hAnsi="Arial" w:cs="Arial"/>
          <w:sz w:val="20"/>
          <w:szCs w:val="20"/>
        </w:rPr>
        <w:t>sample C approximately 460 CFU/ml,</w:t>
      </w:r>
      <w:r w:rsidRPr="004A4551">
        <w:rPr>
          <w:rFonts w:ascii="Arial" w:hAnsi="Arial" w:cs="Arial"/>
          <w:sz w:val="20"/>
          <w:szCs w:val="20"/>
        </w:rPr>
        <w:t xml:space="preserve"> and</w:t>
      </w:r>
      <w:r w:rsidR="00C56940" w:rsidRPr="004A4551">
        <w:rPr>
          <w:rFonts w:ascii="Arial" w:hAnsi="Arial" w:cs="Arial"/>
          <w:sz w:val="20"/>
          <w:szCs w:val="20"/>
        </w:rPr>
        <w:t xml:space="preserve"> sample D, approximately</w:t>
      </w:r>
      <w:r w:rsidRPr="004A4551">
        <w:rPr>
          <w:rFonts w:ascii="Arial" w:hAnsi="Arial" w:cs="Arial"/>
          <w:sz w:val="20"/>
          <w:szCs w:val="20"/>
        </w:rPr>
        <w:t xml:space="preserve"> 620 CFU/ml.</w:t>
      </w:r>
      <w:r w:rsidR="007374B3" w:rsidRPr="004A4551">
        <w:rPr>
          <w:rFonts w:ascii="Arial" w:hAnsi="Arial" w:cs="Arial"/>
          <w:sz w:val="20"/>
          <w:szCs w:val="20"/>
        </w:rPr>
        <w:t xml:space="preserve"> </w:t>
      </w:r>
      <w:r w:rsidRPr="004A4551">
        <w:rPr>
          <w:rFonts w:ascii="Arial" w:hAnsi="Arial" w:cs="Arial"/>
          <w:sz w:val="20"/>
          <w:szCs w:val="20"/>
        </w:rPr>
        <w:t xml:space="preserve">The detection of coliforms beyond day 7 </w:t>
      </w:r>
      <w:r w:rsidR="007374B3" w:rsidRPr="004A4551">
        <w:rPr>
          <w:rFonts w:ascii="Arial" w:hAnsi="Arial" w:cs="Arial"/>
          <w:sz w:val="20"/>
          <w:szCs w:val="20"/>
        </w:rPr>
        <w:t xml:space="preserve">in all formulations constitutes a regulatory non-compliance event with respect to the mandatory </w:t>
      </w:r>
      <w:r w:rsidR="00BC22C0" w:rsidRPr="004A4551">
        <w:rPr>
          <w:rFonts w:ascii="Arial" w:hAnsi="Arial" w:cs="Arial"/>
          <w:sz w:val="20"/>
          <w:szCs w:val="20"/>
        </w:rPr>
        <w:t>zero-</w:t>
      </w:r>
      <w:r w:rsidR="007374B3" w:rsidRPr="004A4551">
        <w:rPr>
          <w:rFonts w:ascii="Arial" w:hAnsi="Arial" w:cs="Arial"/>
          <w:sz w:val="20"/>
          <w:szCs w:val="20"/>
        </w:rPr>
        <w:t xml:space="preserve">coliform </w:t>
      </w:r>
      <w:r w:rsidR="00BC22C0" w:rsidRPr="004A4551">
        <w:rPr>
          <w:rFonts w:ascii="Arial" w:hAnsi="Arial" w:cs="Arial"/>
          <w:sz w:val="20"/>
          <w:szCs w:val="20"/>
        </w:rPr>
        <w:t>standard, irrespective of absolute CFU/ml values. This establishes that, from a coliform compliance standpoint, the safe ambient-temperature shelf life of all four formulations is less than 7</w:t>
      </w:r>
      <w:r w:rsidR="00BC22C0" w:rsidRPr="004A4551">
        <w:rPr>
          <w:rFonts w:ascii="Arial" w:eastAsia="Times New Roman" w:hAnsi="Arial" w:cs="Arial"/>
          <w:sz w:val="20"/>
          <w:szCs w:val="20"/>
        </w:rPr>
        <w:t xml:space="preserve"> days. </w:t>
      </w:r>
      <w:r w:rsidRPr="004A4551">
        <w:rPr>
          <w:rFonts w:ascii="Arial" w:hAnsi="Arial" w:cs="Arial"/>
          <w:sz w:val="20"/>
          <w:szCs w:val="20"/>
        </w:rPr>
        <w:t xml:space="preserve">The </w:t>
      </w:r>
      <w:r w:rsidR="00BC22C0" w:rsidRPr="004A4551">
        <w:rPr>
          <w:rFonts w:ascii="Arial" w:hAnsi="Arial" w:cs="Arial"/>
          <w:sz w:val="20"/>
          <w:szCs w:val="20"/>
        </w:rPr>
        <w:t>Is a</w:t>
      </w:r>
      <w:r w:rsidRPr="004A4551">
        <w:rPr>
          <w:rFonts w:ascii="Arial" w:hAnsi="Arial" w:cs="Arial"/>
          <w:sz w:val="20"/>
          <w:szCs w:val="20"/>
        </w:rPr>
        <w:t xml:space="preserve"> critical</w:t>
      </w:r>
      <w:r w:rsidR="00BC22C0" w:rsidRPr="004A4551">
        <w:rPr>
          <w:rFonts w:ascii="Arial" w:hAnsi="Arial" w:cs="Arial"/>
          <w:sz w:val="20"/>
          <w:szCs w:val="20"/>
        </w:rPr>
        <w:t xml:space="preserve"> datum for NAFDAC product registration and shelf-life labeling. </w:t>
      </w:r>
      <w:r w:rsidRPr="004A4551">
        <w:rPr>
          <w:rFonts w:ascii="Arial" w:hAnsi="Arial" w:cs="Arial"/>
          <w:sz w:val="20"/>
          <w:szCs w:val="20"/>
        </w:rPr>
        <w:t xml:space="preserve"> The comparatively lower TCC of sample B (220 CFU/ml) relative to the control (1000 CFU/ml) shows that bitter </w:t>
      </w:r>
      <w:r w:rsidRPr="004A4551">
        <w:rPr>
          <w:rFonts w:ascii="Arial" w:hAnsi="Arial" w:cs="Arial"/>
          <w:sz w:val="20"/>
          <w:szCs w:val="20"/>
        </w:rPr>
        <w:lastRenderedPageBreak/>
        <w:t xml:space="preserve">leaf extracts conferred a meaningful delay in coliform proliferation during storage. This </w:t>
      </w:r>
      <w:r w:rsidR="00BC22C0" w:rsidRPr="004A4551">
        <w:rPr>
          <w:rFonts w:ascii="Arial" w:hAnsi="Arial" w:cs="Arial"/>
          <w:sz w:val="20"/>
          <w:szCs w:val="20"/>
        </w:rPr>
        <w:t>could be explained by the evidence that</w:t>
      </w:r>
      <w:r w:rsidRPr="004A4551">
        <w:rPr>
          <w:rFonts w:ascii="Arial" w:hAnsi="Arial" w:cs="Arial"/>
          <w:sz w:val="20"/>
          <w:szCs w:val="20"/>
        </w:rPr>
        <w:t xml:space="preserve"> phenolic acids and alkaloids from </w:t>
      </w:r>
      <w:r w:rsidRPr="004A4551">
        <w:rPr>
          <w:rFonts w:ascii="Arial" w:hAnsi="Arial" w:cs="Arial"/>
          <w:i/>
          <w:iCs/>
          <w:sz w:val="20"/>
          <w:szCs w:val="20"/>
        </w:rPr>
        <w:t xml:space="preserve">Vernonia amygdalina </w:t>
      </w:r>
      <w:r w:rsidRPr="004A4551">
        <w:rPr>
          <w:rFonts w:ascii="Arial" w:hAnsi="Arial" w:cs="Arial"/>
          <w:sz w:val="20"/>
          <w:szCs w:val="20"/>
        </w:rPr>
        <w:t>can interfere with the outer membrane lipopolysaccharide cell walls of gram-negative bacteria, to which coliforms belong (</w:t>
      </w:r>
      <w:proofErr w:type="spellStart"/>
      <w:r w:rsidRPr="004A4551">
        <w:rPr>
          <w:rFonts w:ascii="Arial" w:hAnsi="Arial" w:cs="Arial"/>
          <w:sz w:val="20"/>
          <w:szCs w:val="20"/>
        </w:rPr>
        <w:t>Igile</w:t>
      </w:r>
      <w:proofErr w:type="spellEnd"/>
      <w:r w:rsidRPr="004A4551">
        <w:rPr>
          <w:rFonts w:ascii="Arial" w:hAnsi="Arial" w:cs="Arial"/>
          <w:sz w:val="20"/>
          <w:szCs w:val="20"/>
        </w:rPr>
        <w:t xml:space="preserve"> et al., 1994). </w:t>
      </w:r>
      <w:r w:rsidR="00BC22C0" w:rsidRPr="004A4551">
        <w:rPr>
          <w:rFonts w:ascii="Arial" w:hAnsi="Arial" w:cs="Arial"/>
          <w:sz w:val="20"/>
          <w:szCs w:val="20"/>
        </w:rPr>
        <w:t xml:space="preserve">Nevertheless, no </w:t>
      </w:r>
      <w:r w:rsidRPr="004A4551">
        <w:rPr>
          <w:rFonts w:ascii="Arial" w:hAnsi="Arial" w:cs="Arial"/>
          <w:sz w:val="20"/>
          <w:szCs w:val="20"/>
        </w:rPr>
        <w:t>formulations maintain</w:t>
      </w:r>
      <w:r w:rsidR="00BC22C0" w:rsidRPr="004A4551">
        <w:rPr>
          <w:rFonts w:ascii="Arial" w:hAnsi="Arial" w:cs="Arial"/>
          <w:sz w:val="20"/>
          <w:szCs w:val="20"/>
        </w:rPr>
        <w:t>ed</w:t>
      </w:r>
      <w:r w:rsidRPr="004A4551">
        <w:rPr>
          <w:rFonts w:ascii="Arial" w:hAnsi="Arial" w:cs="Arial"/>
          <w:sz w:val="20"/>
          <w:szCs w:val="20"/>
        </w:rPr>
        <w:t xml:space="preserve"> zero coliform counts beyond day 7</w:t>
      </w:r>
      <w:r w:rsidR="00BC22C0" w:rsidRPr="004A4551">
        <w:rPr>
          <w:rFonts w:ascii="Arial" w:hAnsi="Arial" w:cs="Arial"/>
          <w:sz w:val="20"/>
          <w:szCs w:val="20"/>
        </w:rPr>
        <w:t>,</w:t>
      </w:r>
      <w:r w:rsidRPr="004A4551">
        <w:rPr>
          <w:rFonts w:ascii="Arial" w:hAnsi="Arial" w:cs="Arial"/>
          <w:sz w:val="20"/>
          <w:szCs w:val="20"/>
        </w:rPr>
        <w:t xml:space="preserve"> indicat</w:t>
      </w:r>
      <w:r w:rsidR="00BC22C0" w:rsidRPr="004A4551">
        <w:rPr>
          <w:rFonts w:ascii="Arial" w:hAnsi="Arial" w:cs="Arial"/>
          <w:sz w:val="20"/>
          <w:szCs w:val="20"/>
        </w:rPr>
        <w:t>ing</w:t>
      </w:r>
      <w:r w:rsidRPr="004A4551">
        <w:rPr>
          <w:rFonts w:ascii="Arial" w:hAnsi="Arial" w:cs="Arial"/>
          <w:sz w:val="20"/>
          <w:szCs w:val="20"/>
        </w:rPr>
        <w:t xml:space="preserve"> that the botanical </w:t>
      </w:r>
      <w:r w:rsidR="004C057B" w:rsidRPr="004A4551">
        <w:rPr>
          <w:rFonts w:ascii="Arial" w:hAnsi="Arial" w:cs="Arial"/>
          <w:sz w:val="20"/>
          <w:szCs w:val="20"/>
        </w:rPr>
        <w:t>extract concentrations used extended the coliform-free window but did</w:t>
      </w:r>
      <w:r w:rsidRPr="004A4551">
        <w:rPr>
          <w:rFonts w:ascii="Arial" w:hAnsi="Arial" w:cs="Arial"/>
          <w:sz w:val="20"/>
          <w:szCs w:val="20"/>
        </w:rPr>
        <w:t xml:space="preserve"> not </w:t>
      </w:r>
      <w:r w:rsidR="004C057B" w:rsidRPr="004A4551">
        <w:rPr>
          <w:rFonts w:ascii="Arial" w:hAnsi="Arial" w:cs="Arial"/>
          <w:sz w:val="20"/>
          <w:szCs w:val="20"/>
        </w:rPr>
        <w:t>achieve absolute coliform suppression across 21 days storage period</w:t>
      </w:r>
      <w:r w:rsidRPr="004A4551">
        <w:rPr>
          <w:rFonts w:ascii="Arial" w:hAnsi="Arial" w:cs="Arial"/>
          <w:sz w:val="20"/>
          <w:szCs w:val="20"/>
        </w:rPr>
        <w:t xml:space="preserve">. </w:t>
      </w:r>
      <w:r w:rsidR="00294514" w:rsidRPr="009F166F">
        <w:rPr>
          <w:rFonts w:ascii="Arial" w:hAnsi="Arial" w:cs="Arial"/>
          <w:sz w:val="20"/>
          <w:szCs w:val="20"/>
        </w:rPr>
        <w:t>The Total Coliform Count NAFDAC standard is &lt;10</w:t>
      </w:r>
      <w:r w:rsidR="00294514" w:rsidRPr="009F166F">
        <w:rPr>
          <w:rFonts w:ascii="Arial" w:hAnsi="Arial" w:cs="Arial"/>
          <w:sz w:val="20"/>
          <w:szCs w:val="20"/>
          <w:vertAlign w:val="superscript"/>
        </w:rPr>
        <w:t>2</w:t>
      </w:r>
      <w:r w:rsidR="00294514" w:rsidRPr="009F166F">
        <w:rPr>
          <w:rFonts w:ascii="Arial" w:hAnsi="Arial" w:cs="Arial"/>
          <w:sz w:val="20"/>
          <w:szCs w:val="20"/>
        </w:rPr>
        <w:t xml:space="preserve"> CFU/g or zero count in high-quality foods. Any coliform count indicates possible fecal or environmental contamination. Low microbial counts indicate product safety, good sanitation, adequate processing, and </w:t>
      </w:r>
      <w:r w:rsidR="00294514">
        <w:rPr>
          <w:rFonts w:ascii="Arial" w:hAnsi="Arial" w:cs="Arial"/>
          <w:sz w:val="20"/>
          <w:szCs w:val="20"/>
        </w:rPr>
        <w:t xml:space="preserve">a good shelf life (NAFDAC, </w:t>
      </w:r>
      <w:r w:rsidR="00294514" w:rsidRPr="004A4551">
        <w:rPr>
          <w:rFonts w:ascii="Arial" w:hAnsi="Arial" w:cs="Arial"/>
          <w:sz w:val="20"/>
          <w:szCs w:val="20"/>
        </w:rPr>
        <w:t>2003)</w:t>
      </w:r>
      <w:r w:rsidR="00294514" w:rsidRPr="009F166F">
        <w:rPr>
          <w:rFonts w:ascii="Arial" w:hAnsi="Arial" w:cs="Arial"/>
          <w:sz w:val="20"/>
          <w:szCs w:val="20"/>
        </w:rPr>
        <w:t>.</w:t>
      </w:r>
    </w:p>
    <w:p w14:paraId="3CBC229A" w14:textId="77777777" w:rsidR="00601F03"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65C9BACC" wp14:editId="473D7DC9">
            <wp:extent cx="4305300" cy="24765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883E45" w14:textId="68A9016E" w:rsidR="00601F03" w:rsidRPr="004A4551" w:rsidRDefault="002C20A0" w:rsidP="007F7216">
      <w:pPr>
        <w:spacing w:after="0" w:line="480" w:lineRule="auto"/>
        <w:rPr>
          <w:rFonts w:ascii="Arial" w:eastAsia="Times New Roman" w:hAnsi="Arial" w:cs="Arial"/>
          <w:b/>
          <w:bCs/>
          <w:color w:val="000000"/>
          <w:sz w:val="20"/>
          <w:szCs w:val="20"/>
        </w:rPr>
      </w:pPr>
      <w:r w:rsidRPr="004A4551">
        <w:rPr>
          <w:rFonts w:ascii="Arial" w:hAnsi="Arial" w:cs="Arial"/>
          <w:b/>
          <w:bCs/>
          <w:sz w:val="20"/>
          <w:szCs w:val="20"/>
        </w:rPr>
        <w:t xml:space="preserve">Fig 3: </w:t>
      </w:r>
      <w:r w:rsidRPr="004A4551">
        <w:rPr>
          <w:rFonts w:ascii="Arial" w:eastAsia="Times New Roman" w:hAnsi="Arial" w:cs="Arial"/>
          <w:b/>
          <w:bCs/>
          <w:color w:val="000000"/>
          <w:sz w:val="20"/>
          <w:szCs w:val="20"/>
        </w:rPr>
        <w:t>Total Coliform Count (CFU/ml) of Pasteurized Mint-</w:t>
      </w:r>
      <w:r w:rsidR="00272984">
        <w:rPr>
          <w:rFonts w:ascii="Arial" w:eastAsia="Times New Roman" w:hAnsi="Arial" w:cs="Arial"/>
          <w:b/>
          <w:bCs/>
          <w:color w:val="000000"/>
          <w:sz w:val="20"/>
          <w:szCs w:val="20"/>
        </w:rPr>
        <w:t xml:space="preserve">flavored and </w:t>
      </w:r>
      <w:proofErr w:type="spellStart"/>
      <w:r w:rsidRPr="004A4551">
        <w:rPr>
          <w:rFonts w:ascii="Arial" w:eastAsia="Times New Roman" w:hAnsi="Arial" w:cs="Arial"/>
          <w:b/>
          <w:bCs/>
          <w:color w:val="000000"/>
          <w:sz w:val="20"/>
          <w:szCs w:val="20"/>
        </w:rPr>
        <w:t>Bitterleaf</w:t>
      </w:r>
      <w:proofErr w:type="spellEnd"/>
      <w:r w:rsidR="00FC38E7" w:rsidRPr="004A4551">
        <w:rPr>
          <w:rFonts w:ascii="Arial" w:eastAsia="Times New Roman" w:hAnsi="Arial" w:cs="Arial"/>
          <w:b/>
          <w:bCs/>
          <w:color w:val="000000"/>
          <w:sz w:val="20"/>
          <w:szCs w:val="20"/>
        </w:rPr>
        <w:t xml:space="preserve">-Flavored </w:t>
      </w:r>
      <w:r w:rsidRPr="004A4551">
        <w:rPr>
          <w:rFonts w:ascii="Arial" w:eastAsia="Times New Roman" w:hAnsi="Arial" w:cs="Arial"/>
          <w:b/>
          <w:bCs/>
          <w:color w:val="000000"/>
          <w:sz w:val="20"/>
          <w:szCs w:val="20"/>
        </w:rPr>
        <w:t>Pineapple</w:t>
      </w:r>
      <w:r w:rsidR="00272984">
        <w:rPr>
          <w:rFonts w:ascii="Arial" w:eastAsia="Times New Roman" w:hAnsi="Arial" w:cs="Arial"/>
          <w:b/>
          <w:bCs/>
          <w:color w:val="000000"/>
          <w:sz w:val="20"/>
          <w:szCs w:val="20"/>
        </w:rPr>
        <w:t>-Cucumber</w:t>
      </w:r>
      <w:r w:rsidRPr="004A4551">
        <w:rPr>
          <w:rFonts w:ascii="Arial" w:eastAsia="Times New Roman" w:hAnsi="Arial" w:cs="Arial"/>
          <w:b/>
          <w:bCs/>
          <w:color w:val="000000"/>
          <w:sz w:val="20"/>
          <w:szCs w:val="20"/>
        </w:rPr>
        <w:t xml:space="preserve"> Juice during 21 Days Storage (28</w:t>
      </w:r>
      <w:r w:rsidRPr="004A4551">
        <w:rPr>
          <w:rFonts w:ascii="Arial" w:eastAsia="Times New Roman" w:hAnsi="Arial" w:cs="Arial"/>
          <w:b/>
          <w:bCs/>
          <w:color w:val="000000"/>
          <w:sz w:val="20"/>
          <w:szCs w:val="20"/>
          <w:vertAlign w:val="superscript"/>
        </w:rPr>
        <w:t>0</w:t>
      </w:r>
      <w:r w:rsidRPr="004A4551">
        <w:rPr>
          <w:rFonts w:ascii="Arial" w:eastAsia="Times New Roman" w:hAnsi="Arial" w:cs="Arial"/>
          <w:b/>
          <w:bCs/>
          <w:color w:val="000000"/>
          <w:sz w:val="20"/>
          <w:szCs w:val="20"/>
        </w:rPr>
        <w:t>C).</w:t>
      </w:r>
    </w:p>
    <w:p w14:paraId="6DA2224A" w14:textId="1D0F60F6" w:rsidR="002D45FE" w:rsidRPr="004A4551" w:rsidRDefault="002D45FE"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C</w:t>
      </w:r>
      <w:r w:rsidR="002C20A0" w:rsidRPr="004A4551">
        <w:rPr>
          <w:rFonts w:ascii="Arial" w:hAnsi="Arial" w:cs="Arial"/>
          <w:i/>
          <w:iCs/>
          <w:sz w:val="20"/>
          <w:szCs w:val="20"/>
          <w:vertAlign w:val="superscript"/>
        </w:rPr>
        <w:t xml:space="preserve">ontrol (100% pineapple-cucumber juice), Sample B (95% pineapple-cucumber juice and 5% bitter leaf extract), Sample C (95% pineapple-cucumber juice and 2.5% of mint and bitter leaf extracts), and Sample D (95% pineapple-cucumber juice and 5% mint leaf extract). </w:t>
      </w:r>
    </w:p>
    <w:p w14:paraId="321FDC9B" w14:textId="37A477D8" w:rsidR="00DE4139" w:rsidRPr="00703274" w:rsidRDefault="00DE4139" w:rsidP="007F7216">
      <w:pPr>
        <w:spacing w:after="0" w:line="480" w:lineRule="auto"/>
        <w:jc w:val="both"/>
        <w:rPr>
          <w:rFonts w:ascii="Arial" w:hAnsi="Arial" w:cs="Arial"/>
          <w:b/>
          <w:bCs/>
          <w:sz w:val="20"/>
          <w:szCs w:val="20"/>
          <w:u w:val="single"/>
        </w:rPr>
      </w:pPr>
      <w:r w:rsidRPr="00703274">
        <w:rPr>
          <w:rFonts w:ascii="Arial" w:hAnsi="Arial" w:cs="Arial"/>
          <w:b/>
          <w:bCs/>
          <w:sz w:val="20"/>
          <w:szCs w:val="20"/>
          <w:u w:val="single"/>
        </w:rPr>
        <w:t>3.1.4 Total Bacterial Count</w:t>
      </w:r>
    </w:p>
    <w:p w14:paraId="7CDCC693" w14:textId="4D672A29" w:rsidR="00601F03"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TBC</w:t>
      </w:r>
      <w:r w:rsidR="00D4593C" w:rsidRPr="004A4551">
        <w:rPr>
          <w:rFonts w:ascii="Arial" w:hAnsi="Arial" w:cs="Arial"/>
          <w:sz w:val="20"/>
          <w:szCs w:val="20"/>
        </w:rPr>
        <w:t xml:space="preserve"> (</w:t>
      </w:r>
      <w:r w:rsidRPr="004A4551">
        <w:rPr>
          <w:rFonts w:ascii="Arial" w:hAnsi="Arial" w:cs="Arial"/>
          <w:sz w:val="20"/>
          <w:szCs w:val="20"/>
        </w:rPr>
        <w:t>Figure 4</w:t>
      </w:r>
      <w:r w:rsidR="00D4593C" w:rsidRPr="004A4551">
        <w:rPr>
          <w:rFonts w:ascii="Arial" w:hAnsi="Arial" w:cs="Arial"/>
          <w:sz w:val="20"/>
          <w:szCs w:val="20"/>
        </w:rPr>
        <w:t>)</w:t>
      </w:r>
      <w:r w:rsidRPr="004A4551">
        <w:rPr>
          <w:rFonts w:ascii="Arial" w:hAnsi="Arial" w:cs="Arial"/>
          <w:sz w:val="20"/>
          <w:szCs w:val="20"/>
        </w:rPr>
        <w:t xml:space="preserve"> provides the most comprehensive overview of microbial spoilage among the four microbiological parameters studied. All </w:t>
      </w:r>
      <w:r w:rsidR="00F065BD" w:rsidRPr="004A4551">
        <w:rPr>
          <w:rFonts w:ascii="Arial" w:hAnsi="Arial" w:cs="Arial"/>
          <w:sz w:val="20"/>
          <w:szCs w:val="20"/>
        </w:rPr>
        <w:t>formulation</w:t>
      </w:r>
      <w:r w:rsidRPr="004A4551">
        <w:rPr>
          <w:rFonts w:ascii="Arial" w:hAnsi="Arial" w:cs="Arial"/>
          <w:sz w:val="20"/>
          <w:szCs w:val="20"/>
        </w:rPr>
        <w:t>s recorded TBC below 10</w:t>
      </w:r>
      <w:r w:rsidRPr="004A4551">
        <w:rPr>
          <w:rFonts w:ascii="Arial" w:hAnsi="Arial" w:cs="Arial"/>
          <w:sz w:val="20"/>
          <w:szCs w:val="20"/>
          <w:vertAlign w:val="superscript"/>
        </w:rPr>
        <w:t>2</w:t>
      </w:r>
      <w:r w:rsidRPr="004A4551">
        <w:rPr>
          <w:rFonts w:ascii="Arial" w:hAnsi="Arial" w:cs="Arial"/>
          <w:sz w:val="20"/>
          <w:szCs w:val="20"/>
        </w:rPr>
        <w:t xml:space="preserve"> CFU/ml on day 0, confirming effective pasteurization. The control exceeded the internationally recognized spoilage threshold of 10</w:t>
      </w:r>
      <w:r w:rsidRPr="004A4551">
        <w:rPr>
          <w:rFonts w:ascii="Arial" w:hAnsi="Arial" w:cs="Arial"/>
          <w:sz w:val="20"/>
          <w:szCs w:val="20"/>
          <w:vertAlign w:val="superscript"/>
        </w:rPr>
        <w:t xml:space="preserve">5 </w:t>
      </w:r>
      <w:r w:rsidRPr="004A4551">
        <w:rPr>
          <w:rFonts w:ascii="Arial" w:hAnsi="Arial" w:cs="Arial"/>
          <w:sz w:val="20"/>
          <w:szCs w:val="20"/>
        </w:rPr>
        <w:t>CFU/ml within the first 6 days of ambient storage at 28 °C</w:t>
      </w:r>
      <w:r w:rsidR="00F065BD" w:rsidRPr="004A4551">
        <w:rPr>
          <w:rFonts w:ascii="Arial" w:hAnsi="Arial" w:cs="Arial"/>
          <w:sz w:val="20"/>
          <w:szCs w:val="20"/>
        </w:rPr>
        <w:t xml:space="preserve"> and is</w:t>
      </w:r>
      <w:r w:rsidRPr="004A4551">
        <w:rPr>
          <w:rFonts w:ascii="Arial" w:hAnsi="Arial" w:cs="Arial"/>
          <w:sz w:val="20"/>
          <w:szCs w:val="20"/>
        </w:rPr>
        <w:t xml:space="preserve"> estimated to have reached counts approaching 10</w:t>
      </w:r>
      <w:r w:rsidRPr="004A4551">
        <w:rPr>
          <w:rFonts w:ascii="Arial" w:hAnsi="Arial" w:cs="Arial"/>
          <w:sz w:val="20"/>
          <w:szCs w:val="20"/>
          <w:vertAlign w:val="superscript"/>
        </w:rPr>
        <w:t>8</w:t>
      </w:r>
      <w:r w:rsidRPr="004A4551">
        <w:rPr>
          <w:rFonts w:ascii="Arial" w:hAnsi="Arial" w:cs="Arial"/>
          <w:sz w:val="20"/>
          <w:szCs w:val="20"/>
        </w:rPr>
        <w:t xml:space="preserve"> CFU/ml by day 21. </w:t>
      </w:r>
      <w:r w:rsidR="00A44396" w:rsidRPr="004A4551">
        <w:rPr>
          <w:rFonts w:ascii="Arial" w:hAnsi="Arial" w:cs="Arial"/>
          <w:sz w:val="20"/>
          <w:szCs w:val="20"/>
        </w:rPr>
        <w:t xml:space="preserve">This indicated </w:t>
      </w:r>
      <w:r w:rsidRPr="004A4551">
        <w:rPr>
          <w:rFonts w:ascii="Arial" w:hAnsi="Arial" w:cs="Arial"/>
          <w:sz w:val="20"/>
          <w:szCs w:val="20"/>
        </w:rPr>
        <w:t>advanced spoilage</w:t>
      </w:r>
      <w:r w:rsidR="00A44396" w:rsidRPr="004A4551">
        <w:rPr>
          <w:rFonts w:ascii="Arial" w:hAnsi="Arial" w:cs="Arial"/>
          <w:sz w:val="20"/>
          <w:szCs w:val="20"/>
        </w:rPr>
        <w:t xml:space="preserve"> and a</w:t>
      </w:r>
      <w:r w:rsidRPr="004A4551">
        <w:rPr>
          <w:rFonts w:ascii="Arial" w:hAnsi="Arial" w:cs="Arial"/>
          <w:sz w:val="20"/>
          <w:szCs w:val="20"/>
        </w:rPr>
        <w:t xml:space="preserve"> product unsafe for </w:t>
      </w:r>
      <w:r w:rsidRPr="004A4551">
        <w:rPr>
          <w:rFonts w:ascii="Arial" w:hAnsi="Arial" w:cs="Arial"/>
          <w:sz w:val="20"/>
          <w:szCs w:val="20"/>
        </w:rPr>
        <w:lastRenderedPageBreak/>
        <w:t xml:space="preserve">consumption. The composite formulations (samples B, C, and D) showed substantially delayed bacterial proliferation. Sample B maintained the lowest TBC throughout the </w:t>
      </w:r>
      <w:r w:rsidR="00A44396" w:rsidRPr="004A4551">
        <w:rPr>
          <w:rFonts w:ascii="Arial" w:hAnsi="Arial" w:cs="Arial"/>
          <w:sz w:val="20"/>
          <w:szCs w:val="20"/>
        </w:rPr>
        <w:t xml:space="preserve">21-day </w:t>
      </w:r>
      <w:r w:rsidRPr="004A4551">
        <w:rPr>
          <w:rFonts w:ascii="Arial" w:hAnsi="Arial" w:cs="Arial"/>
          <w:sz w:val="20"/>
          <w:szCs w:val="20"/>
        </w:rPr>
        <w:t>storage period and was the only formulation to remain below the 10</w:t>
      </w:r>
      <w:r w:rsidRPr="004A4551">
        <w:rPr>
          <w:rFonts w:ascii="Arial" w:hAnsi="Arial" w:cs="Arial"/>
          <w:sz w:val="20"/>
          <w:szCs w:val="20"/>
          <w:vertAlign w:val="superscript"/>
        </w:rPr>
        <w:t xml:space="preserve">5 </w:t>
      </w:r>
      <w:r w:rsidRPr="004A4551">
        <w:rPr>
          <w:rFonts w:ascii="Arial" w:hAnsi="Arial" w:cs="Arial"/>
          <w:sz w:val="20"/>
          <w:szCs w:val="20"/>
        </w:rPr>
        <w:t>CFU/mL spoilage threshold beyond days 9-12. This extended the microbial safe storage window by 6</w:t>
      </w:r>
      <w:r w:rsidR="00A44396" w:rsidRPr="004A4551">
        <w:rPr>
          <w:rFonts w:ascii="Arial" w:hAnsi="Arial" w:cs="Arial"/>
          <w:sz w:val="20"/>
          <w:szCs w:val="20"/>
        </w:rPr>
        <w:t>-</w:t>
      </w:r>
      <w:r w:rsidRPr="004A4551">
        <w:rPr>
          <w:rFonts w:ascii="Arial" w:hAnsi="Arial" w:cs="Arial"/>
          <w:sz w:val="20"/>
          <w:szCs w:val="20"/>
        </w:rPr>
        <w:t>9 days compared to the control.</w:t>
      </w:r>
    </w:p>
    <w:p w14:paraId="3CBAE0C6" w14:textId="77777777" w:rsidR="00601F03"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0F8D76EA" wp14:editId="7CD62CDB">
            <wp:extent cx="4295775" cy="18954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4DF101" w14:textId="6CF562A9" w:rsidR="00601F03" w:rsidRPr="004A4551" w:rsidRDefault="002C20A0" w:rsidP="007F7216">
      <w:pPr>
        <w:spacing w:after="0" w:line="480" w:lineRule="auto"/>
        <w:rPr>
          <w:rFonts w:ascii="Arial" w:eastAsia="Times New Roman" w:hAnsi="Arial" w:cs="Arial"/>
          <w:b/>
          <w:bCs/>
          <w:color w:val="000000"/>
          <w:sz w:val="20"/>
          <w:szCs w:val="20"/>
        </w:rPr>
      </w:pPr>
      <w:r w:rsidRPr="004A4551">
        <w:rPr>
          <w:rFonts w:ascii="Arial" w:hAnsi="Arial" w:cs="Arial"/>
          <w:b/>
          <w:bCs/>
          <w:sz w:val="20"/>
          <w:szCs w:val="20"/>
        </w:rPr>
        <w:t xml:space="preserve">Fig 4: </w:t>
      </w:r>
      <w:r w:rsidRPr="004A4551">
        <w:rPr>
          <w:rFonts w:ascii="Arial" w:eastAsia="Times New Roman" w:hAnsi="Arial" w:cs="Arial"/>
          <w:b/>
          <w:bCs/>
          <w:color w:val="000000"/>
          <w:sz w:val="20"/>
          <w:szCs w:val="20"/>
        </w:rPr>
        <w:t xml:space="preserve">Total Bacterial Count (CFU/ml) </w:t>
      </w:r>
      <w:r w:rsidR="00FC38E7" w:rsidRPr="004A4551">
        <w:rPr>
          <w:rFonts w:ascii="Arial" w:eastAsia="Times New Roman" w:hAnsi="Arial" w:cs="Arial"/>
          <w:b/>
          <w:bCs/>
          <w:color w:val="000000"/>
          <w:sz w:val="20"/>
          <w:szCs w:val="20"/>
        </w:rPr>
        <w:t>of Pasteurized Mint-</w:t>
      </w:r>
      <w:r w:rsidR="00272984">
        <w:rPr>
          <w:rFonts w:ascii="Arial" w:eastAsia="Times New Roman" w:hAnsi="Arial" w:cs="Arial"/>
          <w:b/>
          <w:bCs/>
          <w:color w:val="000000"/>
          <w:sz w:val="20"/>
          <w:szCs w:val="20"/>
        </w:rPr>
        <w:t xml:space="preserve">Flavored and </w:t>
      </w:r>
      <w:r w:rsidR="00FC38E7" w:rsidRPr="004A4551">
        <w:rPr>
          <w:rFonts w:ascii="Arial" w:eastAsia="Times New Roman" w:hAnsi="Arial" w:cs="Arial"/>
          <w:b/>
          <w:bCs/>
          <w:color w:val="000000"/>
          <w:sz w:val="20"/>
          <w:szCs w:val="20"/>
        </w:rPr>
        <w:t xml:space="preserve">Bitter </w:t>
      </w:r>
      <w:proofErr w:type="gramStart"/>
      <w:r w:rsidR="00FC38E7" w:rsidRPr="004A4551">
        <w:rPr>
          <w:rFonts w:ascii="Arial" w:eastAsia="Times New Roman" w:hAnsi="Arial" w:cs="Arial"/>
          <w:b/>
          <w:bCs/>
          <w:color w:val="000000"/>
          <w:sz w:val="20"/>
          <w:szCs w:val="20"/>
        </w:rPr>
        <w:t>leaf</w:t>
      </w:r>
      <w:proofErr w:type="gramEnd"/>
      <w:r w:rsidR="00FC38E7" w:rsidRPr="004A4551">
        <w:rPr>
          <w:rFonts w:ascii="Arial" w:eastAsia="Times New Roman" w:hAnsi="Arial" w:cs="Arial"/>
          <w:b/>
          <w:bCs/>
          <w:color w:val="000000"/>
          <w:sz w:val="20"/>
          <w:szCs w:val="20"/>
        </w:rPr>
        <w:t>-Flavored Pineapple</w:t>
      </w:r>
      <w:r w:rsidR="00272984">
        <w:rPr>
          <w:rFonts w:ascii="Arial" w:eastAsia="Times New Roman" w:hAnsi="Arial" w:cs="Arial"/>
          <w:b/>
          <w:bCs/>
          <w:color w:val="000000"/>
          <w:sz w:val="20"/>
          <w:szCs w:val="20"/>
        </w:rPr>
        <w:t>-Cucumber</w:t>
      </w:r>
      <w:r w:rsidR="00FC38E7" w:rsidRPr="004A4551">
        <w:rPr>
          <w:rFonts w:ascii="Arial" w:eastAsia="Times New Roman" w:hAnsi="Arial" w:cs="Arial"/>
          <w:b/>
          <w:bCs/>
          <w:color w:val="000000"/>
          <w:sz w:val="20"/>
          <w:szCs w:val="20"/>
        </w:rPr>
        <w:t xml:space="preserve"> Juice during 21 Days Storage (28</w:t>
      </w:r>
      <w:r w:rsidR="00FC38E7" w:rsidRPr="004A4551">
        <w:rPr>
          <w:rFonts w:ascii="Arial" w:eastAsia="Times New Roman" w:hAnsi="Arial" w:cs="Arial"/>
          <w:b/>
          <w:bCs/>
          <w:color w:val="000000"/>
          <w:sz w:val="20"/>
          <w:szCs w:val="20"/>
          <w:vertAlign w:val="superscript"/>
        </w:rPr>
        <w:t>0</w:t>
      </w:r>
      <w:r w:rsidR="00FC38E7" w:rsidRPr="004A4551">
        <w:rPr>
          <w:rFonts w:ascii="Arial" w:eastAsia="Times New Roman" w:hAnsi="Arial" w:cs="Arial"/>
          <w:b/>
          <w:bCs/>
          <w:color w:val="000000"/>
          <w:sz w:val="20"/>
          <w:szCs w:val="20"/>
        </w:rPr>
        <w:t>C).</w:t>
      </w:r>
    </w:p>
    <w:p w14:paraId="251CEE93" w14:textId="3F83BB54" w:rsidR="002D45FE"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354CDA6E" w14:textId="3897D75E" w:rsidR="002D45FE" w:rsidRPr="004A4551" w:rsidRDefault="00DB764E" w:rsidP="007F7216">
      <w:pPr>
        <w:spacing w:after="0" w:line="480" w:lineRule="auto"/>
        <w:jc w:val="both"/>
        <w:rPr>
          <w:rFonts w:ascii="Arial" w:hAnsi="Arial" w:cs="Arial"/>
          <w:sz w:val="20"/>
          <w:szCs w:val="20"/>
        </w:rPr>
      </w:pPr>
      <w:r w:rsidRPr="004A4551">
        <w:rPr>
          <w:rFonts w:ascii="Arial" w:hAnsi="Arial" w:cs="Arial"/>
          <w:sz w:val="20"/>
          <w:szCs w:val="20"/>
        </w:rPr>
        <w:t xml:space="preserve">This </w:t>
      </w:r>
      <w:r w:rsidR="002C20A0" w:rsidRPr="004A4551">
        <w:rPr>
          <w:rFonts w:ascii="Arial" w:hAnsi="Arial" w:cs="Arial"/>
          <w:sz w:val="20"/>
          <w:szCs w:val="20"/>
        </w:rPr>
        <w:t xml:space="preserve">superior bacteriostatic performance </w:t>
      </w:r>
      <w:r w:rsidRPr="004A4551">
        <w:rPr>
          <w:rFonts w:ascii="Arial" w:hAnsi="Arial" w:cs="Arial"/>
          <w:sz w:val="20"/>
          <w:szCs w:val="20"/>
        </w:rPr>
        <w:t>is consistent with the principles of h</w:t>
      </w:r>
      <w:r w:rsidR="002C20A0" w:rsidRPr="004A4551">
        <w:rPr>
          <w:rFonts w:ascii="Arial" w:hAnsi="Arial" w:cs="Arial"/>
          <w:sz w:val="20"/>
          <w:szCs w:val="20"/>
        </w:rPr>
        <w:t>urdle technology</w:t>
      </w:r>
      <w:r w:rsidRPr="004A4551">
        <w:rPr>
          <w:rFonts w:ascii="Arial" w:hAnsi="Arial" w:cs="Arial"/>
          <w:sz w:val="20"/>
          <w:szCs w:val="20"/>
        </w:rPr>
        <w:t xml:space="preserve">, </w:t>
      </w:r>
      <w:r w:rsidR="00A454C6" w:rsidRPr="004A4551">
        <w:rPr>
          <w:rFonts w:ascii="Arial" w:hAnsi="Arial" w:cs="Arial"/>
          <w:sz w:val="20"/>
          <w:szCs w:val="20"/>
        </w:rPr>
        <w:t xml:space="preserve">in which pasteurization combined with naturally derived antimicrobial compounds creates a cumulative preservation barrier beyond that provided by </w:t>
      </w:r>
      <w:r w:rsidRPr="004A4551">
        <w:rPr>
          <w:rFonts w:ascii="Arial" w:hAnsi="Arial" w:cs="Arial"/>
          <w:sz w:val="20"/>
          <w:szCs w:val="20"/>
        </w:rPr>
        <w:t>thermal treatment</w:t>
      </w:r>
      <w:r w:rsidR="002C20A0" w:rsidRPr="004A4551">
        <w:rPr>
          <w:rFonts w:ascii="Arial" w:hAnsi="Arial" w:cs="Arial"/>
          <w:sz w:val="20"/>
          <w:szCs w:val="20"/>
        </w:rPr>
        <w:t xml:space="preserve"> alone (</w:t>
      </w:r>
      <w:proofErr w:type="spellStart"/>
      <w:r w:rsidR="002C20A0" w:rsidRPr="004A4551">
        <w:rPr>
          <w:rFonts w:ascii="Arial" w:hAnsi="Arial" w:cs="Arial"/>
          <w:sz w:val="20"/>
          <w:szCs w:val="20"/>
        </w:rPr>
        <w:t>Leistner</w:t>
      </w:r>
      <w:proofErr w:type="spellEnd"/>
      <w:r w:rsidR="002C20A0" w:rsidRPr="004A4551">
        <w:rPr>
          <w:rFonts w:ascii="Arial" w:hAnsi="Arial" w:cs="Arial"/>
          <w:sz w:val="20"/>
          <w:szCs w:val="20"/>
        </w:rPr>
        <w:t xml:space="preserve">, 2000). The synergistic antimicrobial activity of </w:t>
      </w:r>
      <w:proofErr w:type="spellStart"/>
      <w:r w:rsidR="002C20A0" w:rsidRPr="004A4551">
        <w:rPr>
          <w:rFonts w:ascii="Arial" w:hAnsi="Arial" w:cs="Arial"/>
          <w:sz w:val="20"/>
          <w:szCs w:val="20"/>
        </w:rPr>
        <w:t>vernoniosides</w:t>
      </w:r>
      <w:proofErr w:type="spellEnd"/>
      <w:r w:rsidR="00A454C6" w:rsidRPr="004A4551">
        <w:rPr>
          <w:rFonts w:ascii="Arial" w:hAnsi="Arial" w:cs="Arial"/>
          <w:sz w:val="20"/>
          <w:szCs w:val="20"/>
        </w:rPr>
        <w:t xml:space="preserve">, </w:t>
      </w:r>
      <w:r w:rsidR="002C20A0" w:rsidRPr="004A4551">
        <w:rPr>
          <w:rFonts w:ascii="Arial" w:hAnsi="Arial" w:cs="Arial"/>
          <w:sz w:val="20"/>
          <w:szCs w:val="20"/>
        </w:rPr>
        <w:t>sesquiterpenoid lactones</w:t>
      </w:r>
      <w:r w:rsidR="00A454C6" w:rsidRPr="004A4551">
        <w:rPr>
          <w:rFonts w:ascii="Arial" w:hAnsi="Arial" w:cs="Arial"/>
          <w:sz w:val="20"/>
          <w:szCs w:val="20"/>
        </w:rPr>
        <w:t xml:space="preserve">, phenolics, and flavonoids from Vernonia amygdalina, which can disrupt bacterial cell membrane integrity, inhibit enzymatic function, and </w:t>
      </w:r>
      <w:r w:rsidR="002C20A0" w:rsidRPr="004A4551">
        <w:rPr>
          <w:rFonts w:ascii="Arial" w:hAnsi="Arial" w:cs="Arial"/>
          <w:sz w:val="20"/>
          <w:szCs w:val="20"/>
        </w:rPr>
        <w:t xml:space="preserve">interfere with nucleic acid synthesis </w:t>
      </w:r>
      <w:r w:rsidR="00A454C6" w:rsidRPr="004A4551">
        <w:rPr>
          <w:rFonts w:ascii="Arial" w:hAnsi="Arial" w:cs="Arial"/>
          <w:sz w:val="20"/>
          <w:szCs w:val="20"/>
        </w:rPr>
        <w:t xml:space="preserve">provides the phytochemical basis for sample B’s superior performance </w:t>
      </w:r>
      <w:r w:rsidR="002C20A0" w:rsidRPr="004A4551">
        <w:rPr>
          <w:rFonts w:ascii="Arial" w:hAnsi="Arial" w:cs="Arial"/>
          <w:sz w:val="20"/>
          <w:szCs w:val="20"/>
        </w:rPr>
        <w:t>(</w:t>
      </w:r>
      <w:proofErr w:type="spellStart"/>
      <w:r w:rsidR="002C20A0" w:rsidRPr="004A4551">
        <w:rPr>
          <w:rFonts w:ascii="Arial" w:hAnsi="Arial" w:cs="Arial"/>
          <w:sz w:val="20"/>
          <w:szCs w:val="20"/>
        </w:rPr>
        <w:t>Igile</w:t>
      </w:r>
      <w:proofErr w:type="spellEnd"/>
      <w:r w:rsidR="002C20A0" w:rsidRPr="004A4551">
        <w:rPr>
          <w:rFonts w:ascii="Arial" w:hAnsi="Arial" w:cs="Arial"/>
          <w:sz w:val="20"/>
          <w:szCs w:val="20"/>
        </w:rPr>
        <w:t xml:space="preserve"> </w:t>
      </w:r>
      <w:r w:rsidR="002C20A0" w:rsidRPr="004A4551">
        <w:rPr>
          <w:rFonts w:ascii="Arial" w:hAnsi="Arial" w:cs="Arial"/>
          <w:i/>
          <w:iCs/>
          <w:sz w:val="20"/>
          <w:szCs w:val="20"/>
        </w:rPr>
        <w:t xml:space="preserve">et al, </w:t>
      </w:r>
      <w:r w:rsidR="002C20A0" w:rsidRPr="004A4551">
        <w:rPr>
          <w:rFonts w:ascii="Arial" w:hAnsi="Arial" w:cs="Arial"/>
          <w:sz w:val="20"/>
          <w:szCs w:val="20"/>
        </w:rPr>
        <w:t>1994). A summary comparison of day 21 against the regulatory standard is presented in Table 2.</w:t>
      </w:r>
    </w:p>
    <w:p w14:paraId="342DFA34" w14:textId="77777777" w:rsidR="00626C87" w:rsidRPr="004A4551" w:rsidRDefault="00626C87" w:rsidP="007F7216">
      <w:pPr>
        <w:spacing w:after="0" w:line="480" w:lineRule="auto"/>
        <w:jc w:val="both"/>
        <w:rPr>
          <w:rFonts w:ascii="Arial" w:hAnsi="Arial" w:cs="Arial"/>
          <w:sz w:val="20"/>
          <w:szCs w:val="20"/>
        </w:rPr>
      </w:pPr>
    </w:p>
    <w:p w14:paraId="474A9EDD" w14:textId="61F9555E" w:rsidR="00601F03" w:rsidRPr="004A4551" w:rsidRDefault="002C20A0" w:rsidP="007F7216">
      <w:pPr>
        <w:spacing w:after="0" w:line="480" w:lineRule="auto"/>
        <w:jc w:val="both"/>
        <w:rPr>
          <w:rFonts w:ascii="Arial" w:hAnsi="Arial" w:cs="Arial"/>
          <w:sz w:val="20"/>
          <w:szCs w:val="20"/>
        </w:rPr>
      </w:pPr>
      <w:r w:rsidRPr="004A4551">
        <w:rPr>
          <w:rFonts w:ascii="Arial" w:hAnsi="Arial" w:cs="Arial"/>
          <w:b/>
          <w:bCs/>
          <w:sz w:val="20"/>
          <w:szCs w:val="20"/>
        </w:rPr>
        <w:t>Table 2: Comparison of Day 21 Microbiological Results against NAFDAC/SON/ACMSF Standards for Pasteurized Packaged Fruit Juice Blends</w:t>
      </w:r>
      <w:r w:rsidRPr="004A4551">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228"/>
        <w:gridCol w:w="1756"/>
        <w:gridCol w:w="1756"/>
        <w:gridCol w:w="1772"/>
      </w:tblGrid>
      <w:tr w:rsidR="002E590B" w:rsidRPr="004A4551" w14:paraId="6F954D2D" w14:textId="77777777" w:rsidTr="00601F03">
        <w:tc>
          <w:tcPr>
            <w:tcW w:w="1870" w:type="dxa"/>
            <w:tcBorders>
              <w:top w:val="single" w:sz="4" w:space="0" w:color="auto"/>
              <w:bottom w:val="single" w:sz="4" w:space="0" w:color="auto"/>
            </w:tcBorders>
          </w:tcPr>
          <w:p w14:paraId="14BD58E2"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Microbiological Parameter</w:t>
            </w:r>
          </w:p>
        </w:tc>
        <w:tc>
          <w:tcPr>
            <w:tcW w:w="1870" w:type="dxa"/>
            <w:tcBorders>
              <w:top w:val="single" w:sz="4" w:space="0" w:color="auto"/>
              <w:bottom w:val="single" w:sz="4" w:space="0" w:color="auto"/>
            </w:tcBorders>
          </w:tcPr>
          <w:p w14:paraId="3F078C5A"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NAFDAC/SON/ICMSF Limit</w:t>
            </w:r>
          </w:p>
        </w:tc>
        <w:tc>
          <w:tcPr>
            <w:tcW w:w="1870" w:type="dxa"/>
            <w:tcBorders>
              <w:top w:val="single" w:sz="4" w:space="0" w:color="auto"/>
              <w:bottom w:val="single" w:sz="4" w:space="0" w:color="auto"/>
            </w:tcBorders>
          </w:tcPr>
          <w:p w14:paraId="1FA01FA8"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Control (Day 21)</w:t>
            </w:r>
          </w:p>
        </w:tc>
        <w:tc>
          <w:tcPr>
            <w:tcW w:w="1870" w:type="dxa"/>
            <w:tcBorders>
              <w:top w:val="single" w:sz="4" w:space="0" w:color="auto"/>
              <w:bottom w:val="single" w:sz="4" w:space="0" w:color="auto"/>
            </w:tcBorders>
          </w:tcPr>
          <w:p w14:paraId="5CEB2408"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Sample B (Day 21)</w:t>
            </w:r>
          </w:p>
        </w:tc>
        <w:tc>
          <w:tcPr>
            <w:tcW w:w="1870" w:type="dxa"/>
            <w:tcBorders>
              <w:top w:val="single" w:sz="4" w:space="0" w:color="auto"/>
              <w:bottom w:val="single" w:sz="4" w:space="0" w:color="auto"/>
            </w:tcBorders>
          </w:tcPr>
          <w:p w14:paraId="43D222FE" w14:textId="77777777" w:rsidR="00601F03" w:rsidRPr="004A4551" w:rsidRDefault="002C20A0" w:rsidP="007F7216">
            <w:pPr>
              <w:spacing w:line="480" w:lineRule="auto"/>
              <w:jc w:val="both"/>
              <w:rPr>
                <w:rFonts w:ascii="Arial" w:hAnsi="Arial" w:cs="Arial"/>
                <w:b/>
                <w:bCs/>
                <w:sz w:val="20"/>
                <w:szCs w:val="20"/>
              </w:rPr>
            </w:pPr>
            <w:r w:rsidRPr="004A4551">
              <w:rPr>
                <w:rFonts w:ascii="Arial" w:hAnsi="Arial" w:cs="Arial"/>
                <w:b/>
                <w:bCs/>
                <w:sz w:val="20"/>
                <w:szCs w:val="20"/>
              </w:rPr>
              <w:t>Sample D (Day 21)</w:t>
            </w:r>
          </w:p>
        </w:tc>
      </w:tr>
      <w:tr w:rsidR="002E590B" w:rsidRPr="004A4551" w14:paraId="0B3EE924" w14:textId="77777777" w:rsidTr="00601F03">
        <w:tc>
          <w:tcPr>
            <w:tcW w:w="1870" w:type="dxa"/>
            <w:tcBorders>
              <w:top w:val="single" w:sz="4" w:space="0" w:color="auto"/>
            </w:tcBorders>
          </w:tcPr>
          <w:p w14:paraId="4DBEAE8F"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lastRenderedPageBreak/>
              <w:t>Total Viable Count (TPC)</w:t>
            </w:r>
          </w:p>
        </w:tc>
        <w:tc>
          <w:tcPr>
            <w:tcW w:w="1870" w:type="dxa"/>
            <w:tcBorders>
              <w:top w:val="single" w:sz="4" w:space="0" w:color="auto"/>
            </w:tcBorders>
          </w:tcPr>
          <w:p w14:paraId="273B7D7E"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&lt;10</w:t>
            </w:r>
            <w:r w:rsidRPr="004A4551">
              <w:rPr>
                <w:rFonts w:ascii="Arial" w:hAnsi="Arial" w:cs="Arial"/>
                <w:sz w:val="20"/>
                <w:szCs w:val="20"/>
                <w:vertAlign w:val="superscript"/>
              </w:rPr>
              <w:t>6</w:t>
            </w:r>
            <w:r w:rsidRPr="004A4551">
              <w:rPr>
                <w:rFonts w:ascii="Arial" w:hAnsi="Arial" w:cs="Arial"/>
                <w:sz w:val="20"/>
                <w:szCs w:val="20"/>
              </w:rPr>
              <w:t xml:space="preserve"> CFU/ml</w:t>
            </w:r>
          </w:p>
        </w:tc>
        <w:tc>
          <w:tcPr>
            <w:tcW w:w="1870" w:type="dxa"/>
            <w:tcBorders>
              <w:top w:val="single" w:sz="4" w:space="0" w:color="auto"/>
            </w:tcBorders>
          </w:tcPr>
          <w:p w14:paraId="304A0093"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1000 CFU/</w:t>
            </w:r>
            <w:proofErr w:type="gramStart"/>
            <w:r w:rsidRPr="004A4551">
              <w:rPr>
                <w:rFonts w:ascii="Arial" w:hAnsi="Arial" w:cs="Arial"/>
                <w:sz w:val="20"/>
                <w:szCs w:val="20"/>
              </w:rPr>
              <w:t xml:space="preserve">ml  </w:t>
            </w:r>
            <w:r w:rsidRPr="004A4551">
              <w:rPr>
                <w:rFonts w:ascii="Segoe UI Symbol" w:hAnsi="Segoe UI Symbol" w:cs="Segoe UI Symbol"/>
                <w:sz w:val="20"/>
                <w:szCs w:val="20"/>
              </w:rPr>
              <w:t>✓</w:t>
            </w:r>
            <w:proofErr w:type="gramEnd"/>
          </w:p>
        </w:tc>
        <w:tc>
          <w:tcPr>
            <w:tcW w:w="1870" w:type="dxa"/>
            <w:tcBorders>
              <w:top w:val="single" w:sz="4" w:space="0" w:color="auto"/>
            </w:tcBorders>
          </w:tcPr>
          <w:p w14:paraId="2204CAEA"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250 CFU/ml </w:t>
            </w:r>
            <w:r w:rsidRPr="004A4551">
              <w:rPr>
                <w:rFonts w:ascii="Segoe UI Symbol" w:hAnsi="Segoe UI Symbol" w:cs="Segoe UI Symbol"/>
                <w:sz w:val="20"/>
                <w:szCs w:val="20"/>
              </w:rPr>
              <w:t>✓</w:t>
            </w:r>
          </w:p>
        </w:tc>
        <w:tc>
          <w:tcPr>
            <w:tcW w:w="1870" w:type="dxa"/>
            <w:tcBorders>
              <w:top w:val="single" w:sz="4" w:space="0" w:color="auto"/>
            </w:tcBorders>
          </w:tcPr>
          <w:p w14:paraId="2CE93FBC"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770 CFU/ml </w:t>
            </w:r>
            <w:r w:rsidRPr="004A4551">
              <w:rPr>
                <w:rFonts w:ascii="Segoe UI Symbol" w:hAnsi="Segoe UI Symbol" w:cs="Segoe UI Symbol"/>
                <w:sz w:val="20"/>
                <w:szCs w:val="20"/>
              </w:rPr>
              <w:t>✓</w:t>
            </w:r>
          </w:p>
        </w:tc>
      </w:tr>
      <w:tr w:rsidR="002E590B" w:rsidRPr="004A4551" w14:paraId="65934B0C" w14:textId="77777777" w:rsidTr="00601F03">
        <w:tc>
          <w:tcPr>
            <w:tcW w:w="1870" w:type="dxa"/>
          </w:tcPr>
          <w:p w14:paraId="0782B564"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Total Yeast Count (TYC)</w:t>
            </w:r>
          </w:p>
        </w:tc>
        <w:tc>
          <w:tcPr>
            <w:tcW w:w="1870" w:type="dxa"/>
          </w:tcPr>
          <w:p w14:paraId="3C75705B"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&lt;10</w:t>
            </w:r>
            <w:r w:rsidRPr="004A4551">
              <w:rPr>
                <w:rFonts w:ascii="Arial" w:hAnsi="Arial" w:cs="Arial"/>
                <w:sz w:val="20"/>
                <w:szCs w:val="20"/>
                <w:vertAlign w:val="superscript"/>
              </w:rPr>
              <w:t>3</w:t>
            </w:r>
            <w:r w:rsidRPr="004A4551">
              <w:rPr>
                <w:rFonts w:ascii="Arial" w:hAnsi="Arial" w:cs="Arial"/>
                <w:sz w:val="20"/>
                <w:szCs w:val="20"/>
              </w:rPr>
              <w:t>-10</w:t>
            </w:r>
            <w:r w:rsidRPr="004A4551">
              <w:rPr>
                <w:rFonts w:ascii="Arial" w:hAnsi="Arial" w:cs="Arial"/>
                <w:sz w:val="20"/>
                <w:szCs w:val="20"/>
                <w:vertAlign w:val="superscript"/>
              </w:rPr>
              <w:t>4</w:t>
            </w:r>
            <w:r w:rsidRPr="004A4551">
              <w:rPr>
                <w:rFonts w:ascii="Arial" w:hAnsi="Arial" w:cs="Arial"/>
                <w:sz w:val="20"/>
                <w:szCs w:val="20"/>
              </w:rPr>
              <w:t xml:space="preserve"> CFU/ml</w:t>
            </w:r>
          </w:p>
        </w:tc>
        <w:tc>
          <w:tcPr>
            <w:tcW w:w="1870" w:type="dxa"/>
          </w:tcPr>
          <w:p w14:paraId="0064214A"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1000 CFU/ml </w:t>
            </w:r>
            <w:r w:rsidRPr="004A4551">
              <w:rPr>
                <w:rFonts w:ascii="Segoe UI Symbol" w:hAnsi="Segoe UI Symbol" w:cs="Segoe UI Symbol"/>
                <w:sz w:val="20"/>
                <w:szCs w:val="20"/>
              </w:rPr>
              <w:t>✓</w:t>
            </w:r>
            <w:r w:rsidRPr="004A4551">
              <w:rPr>
                <w:rFonts w:ascii="Arial" w:hAnsi="Arial" w:cs="Arial"/>
                <w:sz w:val="20"/>
                <w:szCs w:val="20"/>
              </w:rPr>
              <w:t>*</w:t>
            </w:r>
          </w:p>
        </w:tc>
        <w:tc>
          <w:tcPr>
            <w:tcW w:w="1870" w:type="dxa"/>
          </w:tcPr>
          <w:p w14:paraId="1C5DB946"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220 CFU/ml </w:t>
            </w:r>
            <w:r w:rsidRPr="004A4551">
              <w:rPr>
                <w:rFonts w:ascii="Segoe UI Symbol" w:hAnsi="Segoe UI Symbol" w:cs="Segoe UI Symbol"/>
                <w:sz w:val="20"/>
                <w:szCs w:val="20"/>
              </w:rPr>
              <w:t>✓</w:t>
            </w:r>
          </w:p>
        </w:tc>
        <w:tc>
          <w:tcPr>
            <w:tcW w:w="1870" w:type="dxa"/>
          </w:tcPr>
          <w:p w14:paraId="52997E68"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680 CFU/ml </w:t>
            </w:r>
            <w:r w:rsidRPr="004A4551">
              <w:rPr>
                <w:rFonts w:ascii="Segoe UI Symbol" w:hAnsi="Segoe UI Symbol" w:cs="Segoe UI Symbol"/>
                <w:sz w:val="20"/>
                <w:szCs w:val="20"/>
              </w:rPr>
              <w:t>✓</w:t>
            </w:r>
            <w:r w:rsidRPr="004A4551">
              <w:rPr>
                <w:rFonts w:ascii="Arial" w:hAnsi="Arial" w:cs="Arial"/>
                <w:sz w:val="20"/>
                <w:szCs w:val="20"/>
              </w:rPr>
              <w:t>*</w:t>
            </w:r>
          </w:p>
        </w:tc>
      </w:tr>
      <w:tr w:rsidR="002E590B" w:rsidRPr="004A4551" w14:paraId="3E92D475" w14:textId="77777777" w:rsidTr="00601F03">
        <w:tc>
          <w:tcPr>
            <w:tcW w:w="1870" w:type="dxa"/>
          </w:tcPr>
          <w:p w14:paraId="5EB30172"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Total Coliform Count (TCC)</w:t>
            </w:r>
          </w:p>
        </w:tc>
        <w:tc>
          <w:tcPr>
            <w:tcW w:w="1870" w:type="dxa"/>
          </w:tcPr>
          <w:p w14:paraId="144B5672"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Absent (0 CFU/ml)</w:t>
            </w:r>
          </w:p>
        </w:tc>
        <w:tc>
          <w:tcPr>
            <w:tcW w:w="1870" w:type="dxa"/>
          </w:tcPr>
          <w:p w14:paraId="294019B3"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1000 CFU/ml </w:t>
            </w:r>
            <w:r w:rsidRPr="004A4551">
              <w:rPr>
                <w:rFonts w:ascii="Segoe UI Symbol" w:hAnsi="Segoe UI Symbol" w:cs="Segoe UI Symbol"/>
                <w:sz w:val="20"/>
                <w:szCs w:val="20"/>
              </w:rPr>
              <w:t>✗</w:t>
            </w:r>
            <w:r w:rsidRPr="004A4551">
              <w:rPr>
                <w:rFonts w:ascii="Arial" w:hAnsi="Arial" w:cs="Arial"/>
                <w:sz w:val="20"/>
                <w:szCs w:val="20"/>
              </w:rPr>
              <w:t xml:space="preserve"> </w:t>
            </w:r>
          </w:p>
        </w:tc>
        <w:tc>
          <w:tcPr>
            <w:tcW w:w="1870" w:type="dxa"/>
          </w:tcPr>
          <w:p w14:paraId="1B26AA0B"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220 CFU/ml </w:t>
            </w:r>
          </w:p>
          <w:p w14:paraId="35561C72" w14:textId="77777777" w:rsidR="00601F03" w:rsidRPr="004A4551" w:rsidRDefault="002C20A0" w:rsidP="007F7216">
            <w:pPr>
              <w:spacing w:line="480" w:lineRule="auto"/>
              <w:jc w:val="both"/>
              <w:rPr>
                <w:rFonts w:ascii="Arial" w:hAnsi="Arial" w:cs="Arial"/>
                <w:sz w:val="20"/>
                <w:szCs w:val="20"/>
              </w:rPr>
            </w:pPr>
            <w:r w:rsidRPr="004A4551">
              <w:rPr>
                <w:rFonts w:ascii="Segoe UI Symbol" w:hAnsi="Segoe UI Symbol" w:cs="Segoe UI Symbol"/>
                <w:sz w:val="20"/>
                <w:szCs w:val="20"/>
              </w:rPr>
              <w:t>✗</w:t>
            </w:r>
          </w:p>
        </w:tc>
        <w:tc>
          <w:tcPr>
            <w:tcW w:w="1870" w:type="dxa"/>
          </w:tcPr>
          <w:p w14:paraId="438E20F3"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620 CFU/ml </w:t>
            </w:r>
            <w:r w:rsidRPr="004A4551">
              <w:rPr>
                <w:rFonts w:ascii="Segoe UI Symbol" w:hAnsi="Segoe UI Symbol" w:cs="Segoe UI Symbol"/>
                <w:sz w:val="20"/>
                <w:szCs w:val="20"/>
              </w:rPr>
              <w:t>✗</w:t>
            </w:r>
            <w:r w:rsidRPr="004A4551">
              <w:rPr>
                <w:rFonts w:ascii="Arial" w:hAnsi="Arial" w:cs="Arial"/>
                <w:sz w:val="20"/>
                <w:szCs w:val="20"/>
              </w:rPr>
              <w:t xml:space="preserve"> </w:t>
            </w:r>
          </w:p>
        </w:tc>
      </w:tr>
      <w:tr w:rsidR="002E590B" w:rsidRPr="004A4551" w14:paraId="3EA197F7" w14:textId="77777777" w:rsidTr="00601F03">
        <w:tc>
          <w:tcPr>
            <w:tcW w:w="1870" w:type="dxa"/>
          </w:tcPr>
          <w:p w14:paraId="21ED5F9A"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Total Bacterial Count (TBC)</w:t>
            </w:r>
          </w:p>
        </w:tc>
        <w:tc>
          <w:tcPr>
            <w:tcW w:w="1870" w:type="dxa"/>
          </w:tcPr>
          <w:p w14:paraId="2A795B48"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&lt;10</w:t>
            </w:r>
            <w:r w:rsidRPr="004A4551">
              <w:rPr>
                <w:rFonts w:ascii="Arial" w:hAnsi="Arial" w:cs="Arial"/>
                <w:sz w:val="20"/>
                <w:szCs w:val="20"/>
                <w:vertAlign w:val="superscript"/>
              </w:rPr>
              <w:t>5</w:t>
            </w:r>
            <w:r w:rsidRPr="004A4551">
              <w:rPr>
                <w:rFonts w:ascii="Arial" w:hAnsi="Arial" w:cs="Arial"/>
                <w:sz w:val="20"/>
                <w:szCs w:val="20"/>
              </w:rPr>
              <w:t xml:space="preserve"> CFU/ml</w:t>
            </w:r>
          </w:p>
        </w:tc>
        <w:tc>
          <w:tcPr>
            <w:tcW w:w="1870" w:type="dxa"/>
          </w:tcPr>
          <w:p w14:paraId="0CAFA5D0"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&gt;10</w:t>
            </w:r>
            <w:r w:rsidRPr="004A4551">
              <w:rPr>
                <w:rFonts w:ascii="Arial" w:hAnsi="Arial" w:cs="Arial"/>
                <w:sz w:val="20"/>
                <w:szCs w:val="20"/>
                <w:vertAlign w:val="superscript"/>
              </w:rPr>
              <w:t>8</w:t>
            </w:r>
            <w:r w:rsidRPr="004A4551">
              <w:rPr>
                <w:rFonts w:ascii="Arial" w:hAnsi="Arial" w:cs="Arial"/>
                <w:sz w:val="20"/>
                <w:szCs w:val="20"/>
              </w:rPr>
              <w:t xml:space="preserve"> CFU/ml</w:t>
            </w:r>
          </w:p>
          <w:p w14:paraId="4978C912" w14:textId="77777777" w:rsidR="00601F03" w:rsidRPr="004A4551" w:rsidRDefault="002C20A0" w:rsidP="007F7216">
            <w:pPr>
              <w:spacing w:line="480" w:lineRule="auto"/>
              <w:jc w:val="both"/>
              <w:rPr>
                <w:rFonts w:ascii="Arial" w:hAnsi="Arial" w:cs="Arial"/>
                <w:sz w:val="20"/>
                <w:szCs w:val="20"/>
              </w:rPr>
            </w:pPr>
            <w:r w:rsidRPr="004A4551">
              <w:rPr>
                <w:rFonts w:ascii="Segoe UI Symbol" w:hAnsi="Segoe UI Symbol" w:cs="Segoe UI Symbol"/>
                <w:sz w:val="20"/>
                <w:szCs w:val="20"/>
              </w:rPr>
              <w:t>✗</w:t>
            </w:r>
          </w:p>
        </w:tc>
        <w:tc>
          <w:tcPr>
            <w:tcW w:w="1870" w:type="dxa"/>
          </w:tcPr>
          <w:p w14:paraId="39C68D55"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 xml:space="preserve">Lowest </w:t>
            </w:r>
          </w:p>
          <w:p w14:paraId="1128CEE6" w14:textId="77777777" w:rsidR="00601F03" w:rsidRPr="004A4551" w:rsidRDefault="002C20A0" w:rsidP="007F7216">
            <w:pPr>
              <w:spacing w:line="480" w:lineRule="auto"/>
              <w:jc w:val="both"/>
              <w:rPr>
                <w:rFonts w:ascii="Arial" w:hAnsi="Arial" w:cs="Arial"/>
                <w:sz w:val="20"/>
                <w:szCs w:val="20"/>
              </w:rPr>
            </w:pPr>
            <w:r w:rsidRPr="004A4551">
              <w:rPr>
                <w:rFonts w:ascii="Segoe UI Symbol" w:hAnsi="Segoe UI Symbol" w:cs="Segoe UI Symbol"/>
                <w:sz w:val="20"/>
                <w:szCs w:val="20"/>
              </w:rPr>
              <w:t>✓</w:t>
            </w:r>
          </w:p>
        </w:tc>
        <w:tc>
          <w:tcPr>
            <w:tcW w:w="1870" w:type="dxa"/>
          </w:tcPr>
          <w:p w14:paraId="6595F8F0" w14:textId="77777777" w:rsidR="00601F03" w:rsidRPr="004A4551" w:rsidRDefault="002C20A0" w:rsidP="007F7216">
            <w:pPr>
              <w:spacing w:line="480" w:lineRule="auto"/>
              <w:jc w:val="both"/>
              <w:rPr>
                <w:rFonts w:ascii="Arial" w:hAnsi="Arial" w:cs="Arial"/>
                <w:sz w:val="20"/>
                <w:szCs w:val="20"/>
              </w:rPr>
            </w:pPr>
            <w:r w:rsidRPr="004A4551">
              <w:rPr>
                <w:rFonts w:ascii="Arial" w:hAnsi="Arial" w:cs="Arial"/>
                <w:sz w:val="20"/>
                <w:szCs w:val="20"/>
              </w:rPr>
              <w:t>Moderate</w:t>
            </w:r>
          </w:p>
          <w:p w14:paraId="457BEF8C" w14:textId="77777777" w:rsidR="00601F03" w:rsidRPr="004A4551" w:rsidRDefault="002C20A0" w:rsidP="007F7216">
            <w:pPr>
              <w:spacing w:line="480" w:lineRule="auto"/>
              <w:jc w:val="both"/>
              <w:rPr>
                <w:rFonts w:ascii="Arial" w:hAnsi="Arial" w:cs="Arial"/>
                <w:sz w:val="20"/>
                <w:szCs w:val="20"/>
              </w:rPr>
            </w:pPr>
            <w:r w:rsidRPr="004A4551">
              <w:rPr>
                <w:rFonts w:ascii="Segoe UI Symbol" w:hAnsi="Segoe UI Symbol" w:cs="Segoe UI Symbol"/>
                <w:sz w:val="20"/>
                <w:szCs w:val="20"/>
              </w:rPr>
              <w:t>✓</w:t>
            </w:r>
            <w:r w:rsidRPr="004A4551">
              <w:rPr>
                <w:rFonts w:ascii="Arial" w:hAnsi="Arial" w:cs="Arial"/>
                <w:sz w:val="20"/>
                <w:szCs w:val="20"/>
              </w:rPr>
              <w:t>*</w:t>
            </w:r>
          </w:p>
        </w:tc>
      </w:tr>
    </w:tbl>
    <w:p w14:paraId="584FAADB" w14:textId="77777777" w:rsidR="00601F03" w:rsidRPr="004A4551" w:rsidRDefault="002C20A0" w:rsidP="007F7216">
      <w:pPr>
        <w:spacing w:after="0" w:line="480" w:lineRule="auto"/>
        <w:jc w:val="both"/>
        <w:rPr>
          <w:rFonts w:ascii="Arial" w:hAnsi="Arial" w:cs="Arial"/>
          <w:i/>
          <w:iCs/>
          <w:sz w:val="20"/>
          <w:szCs w:val="20"/>
          <w:vertAlign w:val="superscript"/>
        </w:rPr>
      </w:pPr>
      <w:r w:rsidRPr="004A4551">
        <w:rPr>
          <w:rFonts w:ascii="Arial" w:hAnsi="Arial" w:cs="Arial"/>
          <w:i/>
          <w:iCs/>
          <w:sz w:val="20"/>
          <w:szCs w:val="20"/>
          <w:vertAlign w:val="superscript"/>
        </w:rPr>
        <w:t xml:space="preserve">Note: </w:t>
      </w:r>
      <w:r w:rsidRPr="004A4551">
        <w:rPr>
          <w:rFonts w:ascii="Segoe UI Symbol" w:hAnsi="Segoe UI Symbol" w:cs="Segoe UI Symbol"/>
          <w:i/>
          <w:iCs/>
          <w:sz w:val="20"/>
          <w:szCs w:val="20"/>
          <w:vertAlign w:val="superscript"/>
        </w:rPr>
        <w:t>✓</w:t>
      </w:r>
      <w:r w:rsidRPr="004A4551">
        <w:rPr>
          <w:rFonts w:ascii="Arial" w:hAnsi="Arial" w:cs="Arial"/>
          <w:i/>
          <w:iCs/>
          <w:sz w:val="20"/>
          <w:szCs w:val="20"/>
          <w:vertAlign w:val="superscript"/>
        </w:rPr>
        <w:t xml:space="preserve">= within acceptable limit; </w:t>
      </w:r>
      <w:r w:rsidRPr="004A4551">
        <w:rPr>
          <w:rFonts w:ascii="Segoe UI Symbol" w:hAnsi="Segoe UI Symbol" w:cs="Segoe UI Symbol"/>
          <w:i/>
          <w:iCs/>
          <w:sz w:val="20"/>
          <w:szCs w:val="20"/>
          <w:vertAlign w:val="superscript"/>
        </w:rPr>
        <w:t>✗</w:t>
      </w:r>
      <w:r w:rsidRPr="004A4551">
        <w:rPr>
          <w:rFonts w:ascii="Arial" w:hAnsi="Arial" w:cs="Arial"/>
          <w:i/>
          <w:iCs/>
          <w:sz w:val="20"/>
          <w:szCs w:val="20"/>
          <w:vertAlign w:val="superscript"/>
        </w:rPr>
        <w:t>= exceeds/violates standard; * = approaching upper boundary. Sample C values were omitted for brevity, but followed the same trend described in the text.</w:t>
      </w:r>
    </w:p>
    <w:p w14:paraId="09DA8ABF" w14:textId="2D76B485" w:rsidR="002D45FE"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Sources: NAFDAC (2003); ICMSF (2002)</w:t>
      </w:r>
      <w:r w:rsidR="009A2A6D" w:rsidRPr="004A4551">
        <w:rPr>
          <w:rFonts w:ascii="Arial" w:hAnsi="Arial" w:cs="Arial"/>
          <w:sz w:val="20"/>
          <w:szCs w:val="20"/>
        </w:rPr>
        <w:t>.</w:t>
      </w:r>
    </w:p>
    <w:p w14:paraId="42488F84" w14:textId="0DC8946B" w:rsidR="009A2A6D" w:rsidRPr="00703274" w:rsidRDefault="002D45FE" w:rsidP="007F7216">
      <w:pPr>
        <w:spacing w:after="0" w:line="480" w:lineRule="auto"/>
        <w:jc w:val="both"/>
        <w:rPr>
          <w:rFonts w:ascii="Arial" w:hAnsi="Arial" w:cs="Arial"/>
        </w:rPr>
      </w:pPr>
      <w:r w:rsidRPr="00703274">
        <w:rPr>
          <w:rFonts w:ascii="Arial" w:hAnsi="Arial" w:cs="Arial"/>
          <w:b/>
          <w:bCs/>
        </w:rPr>
        <w:t xml:space="preserve">3.2 </w:t>
      </w:r>
      <w:r w:rsidR="002C20A0" w:rsidRPr="00703274">
        <w:rPr>
          <w:rFonts w:ascii="Arial" w:hAnsi="Arial" w:cs="Arial"/>
          <w:b/>
          <w:bCs/>
        </w:rPr>
        <w:t>Antioxidant Capacity</w:t>
      </w:r>
    </w:p>
    <w:p w14:paraId="13C97EB6" w14:textId="44E31F71" w:rsidR="00DE4139" w:rsidRPr="004A4551" w:rsidRDefault="00DE4139" w:rsidP="007F7216">
      <w:pPr>
        <w:spacing w:after="0" w:line="480" w:lineRule="auto"/>
        <w:jc w:val="both"/>
        <w:rPr>
          <w:rFonts w:ascii="Arial" w:hAnsi="Arial" w:cs="Arial"/>
          <w:b/>
          <w:bCs/>
          <w:sz w:val="20"/>
          <w:szCs w:val="20"/>
          <w:u w:val="single"/>
        </w:rPr>
      </w:pPr>
      <w:r w:rsidRPr="004A4551">
        <w:rPr>
          <w:rFonts w:ascii="Arial" w:hAnsi="Arial" w:cs="Arial"/>
          <w:b/>
          <w:bCs/>
          <w:sz w:val="20"/>
          <w:szCs w:val="20"/>
          <w:u w:val="single"/>
        </w:rPr>
        <w:t>3.2.1 The DPPH Radical Scavenging Ability</w:t>
      </w:r>
    </w:p>
    <w:p w14:paraId="74B69158" w14:textId="2AD76825" w:rsidR="009A2A6D"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DPPH radical scavenging activity of all four formulations on day 1 and day 15 </w:t>
      </w:r>
      <w:r w:rsidR="00626C87" w:rsidRPr="004A4551">
        <w:rPr>
          <w:rFonts w:ascii="Arial" w:hAnsi="Arial" w:cs="Arial"/>
          <w:sz w:val="20"/>
          <w:szCs w:val="20"/>
        </w:rPr>
        <w:t xml:space="preserve">is </w:t>
      </w:r>
      <w:r w:rsidRPr="004A4551">
        <w:rPr>
          <w:rFonts w:ascii="Arial" w:hAnsi="Arial" w:cs="Arial"/>
          <w:sz w:val="20"/>
          <w:szCs w:val="20"/>
        </w:rPr>
        <w:t>shown in Figure 5. On day 1,</w:t>
      </w:r>
      <w:r w:rsidR="004D080E" w:rsidRPr="004A4551">
        <w:rPr>
          <w:rFonts w:ascii="Arial" w:hAnsi="Arial" w:cs="Arial"/>
          <w:sz w:val="20"/>
          <w:szCs w:val="20"/>
        </w:rPr>
        <w:t xml:space="preserve"> all composite formulations (sample B, C and D)</w:t>
      </w:r>
      <w:r w:rsidRPr="004A4551">
        <w:rPr>
          <w:rFonts w:ascii="Arial" w:hAnsi="Arial" w:cs="Arial"/>
          <w:sz w:val="20"/>
          <w:szCs w:val="20"/>
        </w:rPr>
        <w:t xml:space="preserve"> demonstrated </w:t>
      </w:r>
      <w:r w:rsidR="004D080E" w:rsidRPr="004A4551">
        <w:rPr>
          <w:rFonts w:ascii="Arial" w:hAnsi="Arial" w:cs="Arial"/>
          <w:sz w:val="20"/>
          <w:szCs w:val="20"/>
        </w:rPr>
        <w:t xml:space="preserve">significantly </w:t>
      </w:r>
      <w:r w:rsidRPr="004A4551">
        <w:rPr>
          <w:rFonts w:ascii="Arial" w:hAnsi="Arial" w:cs="Arial"/>
          <w:sz w:val="20"/>
          <w:szCs w:val="20"/>
        </w:rPr>
        <w:t>higher (</w:t>
      </w:r>
      <w:r w:rsidR="005D6056" w:rsidRPr="004A4551">
        <w:rPr>
          <w:rFonts w:ascii="Arial" w:hAnsi="Arial" w:cs="Arial"/>
          <w:sz w:val="20"/>
          <w:szCs w:val="20"/>
        </w:rPr>
        <w:t>p = .05</w:t>
      </w:r>
      <w:r w:rsidRPr="004A4551">
        <w:rPr>
          <w:rFonts w:ascii="Arial" w:hAnsi="Arial" w:cs="Arial"/>
          <w:sz w:val="20"/>
          <w:szCs w:val="20"/>
        </w:rPr>
        <w:t xml:space="preserve">) DPPH </w:t>
      </w:r>
      <w:r w:rsidR="004D080E" w:rsidRPr="004A4551">
        <w:rPr>
          <w:rFonts w:ascii="Arial" w:hAnsi="Arial" w:cs="Arial"/>
          <w:sz w:val="20"/>
          <w:szCs w:val="20"/>
        </w:rPr>
        <w:t>inhibition</w:t>
      </w:r>
      <w:r w:rsidRPr="004A4551">
        <w:rPr>
          <w:rFonts w:ascii="Arial" w:hAnsi="Arial" w:cs="Arial"/>
          <w:sz w:val="20"/>
          <w:szCs w:val="20"/>
        </w:rPr>
        <w:t xml:space="preserve"> than the control</w:t>
      </w:r>
      <w:r w:rsidR="004D080E" w:rsidRPr="004A4551">
        <w:rPr>
          <w:rFonts w:ascii="Arial" w:hAnsi="Arial" w:cs="Arial"/>
          <w:sz w:val="20"/>
          <w:szCs w:val="20"/>
        </w:rPr>
        <w:t xml:space="preserve"> across all tested concentrations, with </w:t>
      </w:r>
      <w:r w:rsidRPr="004A4551">
        <w:rPr>
          <w:rFonts w:ascii="Arial" w:hAnsi="Arial" w:cs="Arial"/>
          <w:sz w:val="20"/>
          <w:szCs w:val="20"/>
        </w:rPr>
        <w:t xml:space="preserve">sample B </w:t>
      </w:r>
      <w:r w:rsidR="004D080E" w:rsidRPr="004A4551">
        <w:rPr>
          <w:rFonts w:ascii="Arial" w:hAnsi="Arial" w:cs="Arial"/>
          <w:sz w:val="20"/>
          <w:szCs w:val="20"/>
        </w:rPr>
        <w:t>recording</w:t>
      </w:r>
      <w:r w:rsidRPr="004A4551">
        <w:rPr>
          <w:rFonts w:ascii="Arial" w:hAnsi="Arial" w:cs="Arial"/>
          <w:sz w:val="20"/>
          <w:szCs w:val="20"/>
        </w:rPr>
        <w:t xml:space="preserve"> the highest inhibition percentag</w:t>
      </w:r>
      <w:r w:rsidR="004D080E" w:rsidRPr="004A4551">
        <w:rPr>
          <w:rFonts w:ascii="Arial" w:hAnsi="Arial" w:cs="Arial"/>
          <w:sz w:val="20"/>
          <w:szCs w:val="20"/>
        </w:rPr>
        <w:t>e</w:t>
      </w:r>
      <w:r w:rsidRPr="004A4551">
        <w:rPr>
          <w:rFonts w:ascii="Arial" w:hAnsi="Arial" w:cs="Arial"/>
          <w:sz w:val="20"/>
          <w:szCs w:val="20"/>
        </w:rPr>
        <w:t>. A clear</w:t>
      </w:r>
      <w:r w:rsidR="00421C4C" w:rsidRPr="004A4551">
        <w:rPr>
          <w:rFonts w:ascii="Arial" w:hAnsi="Arial" w:cs="Arial"/>
          <w:sz w:val="20"/>
          <w:szCs w:val="20"/>
        </w:rPr>
        <w:t xml:space="preserve">, </w:t>
      </w:r>
      <w:r w:rsidRPr="004A4551">
        <w:rPr>
          <w:rFonts w:ascii="Arial" w:hAnsi="Arial" w:cs="Arial"/>
          <w:sz w:val="20"/>
          <w:szCs w:val="20"/>
        </w:rPr>
        <w:t>consistent</w:t>
      </w:r>
      <w:r w:rsidR="00421C4C" w:rsidRPr="004A4551">
        <w:rPr>
          <w:rFonts w:ascii="Arial" w:hAnsi="Arial" w:cs="Arial"/>
          <w:sz w:val="20"/>
          <w:szCs w:val="20"/>
        </w:rPr>
        <w:t>,</w:t>
      </w:r>
      <w:r w:rsidRPr="004A4551">
        <w:rPr>
          <w:rFonts w:ascii="Arial" w:hAnsi="Arial" w:cs="Arial"/>
          <w:sz w:val="20"/>
          <w:szCs w:val="20"/>
        </w:rPr>
        <w:t xml:space="preserve"> positive</w:t>
      </w:r>
      <w:r w:rsidR="00421C4C" w:rsidRPr="004A4551">
        <w:rPr>
          <w:rFonts w:ascii="Arial" w:hAnsi="Arial" w:cs="Arial"/>
          <w:sz w:val="20"/>
          <w:szCs w:val="20"/>
        </w:rPr>
        <w:t xml:space="preserve"> </w:t>
      </w:r>
      <w:r w:rsidRPr="004A4551">
        <w:rPr>
          <w:rFonts w:ascii="Arial" w:hAnsi="Arial" w:cs="Arial"/>
          <w:sz w:val="20"/>
          <w:szCs w:val="20"/>
        </w:rPr>
        <w:t>concentration</w:t>
      </w:r>
      <w:r w:rsidR="00421C4C" w:rsidRPr="004A4551">
        <w:rPr>
          <w:rFonts w:ascii="Arial" w:hAnsi="Arial" w:cs="Arial"/>
          <w:sz w:val="20"/>
          <w:szCs w:val="20"/>
        </w:rPr>
        <w:t>-dependent relationship between juice concentration</w:t>
      </w:r>
      <w:r w:rsidRPr="004A4551">
        <w:rPr>
          <w:rFonts w:ascii="Arial" w:hAnsi="Arial" w:cs="Arial"/>
          <w:sz w:val="20"/>
          <w:szCs w:val="20"/>
        </w:rPr>
        <w:t xml:space="preserve"> and percentage DPPH inhibition was observed across all formulations on both measurement days. This reflect</w:t>
      </w:r>
      <w:r w:rsidR="00421C4C" w:rsidRPr="004A4551">
        <w:rPr>
          <w:rFonts w:ascii="Arial" w:hAnsi="Arial" w:cs="Arial"/>
          <w:sz w:val="20"/>
          <w:szCs w:val="20"/>
        </w:rPr>
        <w:t>ed</w:t>
      </w:r>
      <w:r w:rsidRPr="004A4551">
        <w:rPr>
          <w:rFonts w:ascii="Arial" w:hAnsi="Arial" w:cs="Arial"/>
          <w:sz w:val="20"/>
          <w:szCs w:val="20"/>
        </w:rPr>
        <w:t xml:space="preserve"> the </w:t>
      </w:r>
      <w:r w:rsidR="00421C4C" w:rsidRPr="004A4551">
        <w:rPr>
          <w:rFonts w:ascii="Arial" w:hAnsi="Arial" w:cs="Arial"/>
          <w:sz w:val="20"/>
          <w:szCs w:val="20"/>
        </w:rPr>
        <w:t xml:space="preserve">characteristic </w:t>
      </w:r>
      <w:r w:rsidRPr="004A4551">
        <w:rPr>
          <w:rFonts w:ascii="Arial" w:hAnsi="Arial" w:cs="Arial"/>
          <w:sz w:val="20"/>
          <w:szCs w:val="20"/>
        </w:rPr>
        <w:t>dose-dependent behavior of hydrogen-atom-donating antioxidants (Sharma and Bhat, 2009). By day 15, a statistically significant (</w:t>
      </w:r>
      <w:r w:rsidR="005D6056" w:rsidRPr="004A4551">
        <w:rPr>
          <w:rFonts w:ascii="Arial" w:hAnsi="Arial" w:cs="Arial"/>
          <w:sz w:val="20"/>
          <w:szCs w:val="20"/>
        </w:rPr>
        <w:t>p = .05</w:t>
      </w:r>
      <w:r w:rsidRPr="004A4551">
        <w:rPr>
          <w:rFonts w:ascii="Arial" w:hAnsi="Arial" w:cs="Arial"/>
          <w:sz w:val="20"/>
          <w:szCs w:val="20"/>
        </w:rPr>
        <w:t>) decline in DPPH activity</w:t>
      </w:r>
      <w:r w:rsidR="00421C4C" w:rsidRPr="004A4551">
        <w:rPr>
          <w:rFonts w:ascii="Arial" w:hAnsi="Arial" w:cs="Arial"/>
          <w:sz w:val="20"/>
          <w:szCs w:val="20"/>
        </w:rPr>
        <w:t xml:space="preserve"> was recorded</w:t>
      </w:r>
      <w:r w:rsidRPr="004A4551">
        <w:rPr>
          <w:rFonts w:ascii="Arial" w:hAnsi="Arial" w:cs="Arial"/>
          <w:sz w:val="20"/>
          <w:szCs w:val="20"/>
        </w:rPr>
        <w:t xml:space="preserve"> across all four formulations. Despite this</w:t>
      </w:r>
      <w:r w:rsidR="00421C4C" w:rsidRPr="004A4551">
        <w:rPr>
          <w:rFonts w:ascii="Arial" w:hAnsi="Arial" w:cs="Arial"/>
          <w:sz w:val="20"/>
          <w:szCs w:val="20"/>
        </w:rPr>
        <w:t xml:space="preserve"> universal decline</w:t>
      </w:r>
      <w:r w:rsidRPr="004A4551">
        <w:rPr>
          <w:rFonts w:ascii="Arial" w:hAnsi="Arial" w:cs="Arial"/>
          <w:sz w:val="20"/>
          <w:szCs w:val="20"/>
        </w:rPr>
        <w:t>, samples</w:t>
      </w:r>
      <w:r w:rsidR="00421C4C" w:rsidRPr="004A4551">
        <w:rPr>
          <w:rFonts w:ascii="Arial" w:hAnsi="Arial" w:cs="Arial"/>
          <w:sz w:val="20"/>
          <w:szCs w:val="20"/>
        </w:rPr>
        <w:t xml:space="preserve"> B, C</w:t>
      </w:r>
      <w:r w:rsidR="00372C38">
        <w:rPr>
          <w:rFonts w:ascii="Arial" w:hAnsi="Arial" w:cs="Arial"/>
          <w:sz w:val="20"/>
          <w:szCs w:val="20"/>
        </w:rPr>
        <w:t>,</w:t>
      </w:r>
      <w:r w:rsidR="00421C4C" w:rsidRPr="004A4551">
        <w:rPr>
          <w:rFonts w:ascii="Arial" w:hAnsi="Arial" w:cs="Arial"/>
          <w:sz w:val="20"/>
          <w:szCs w:val="20"/>
        </w:rPr>
        <w:t xml:space="preserve"> and D retained</w:t>
      </w:r>
      <w:r w:rsidRPr="004A4551">
        <w:rPr>
          <w:rFonts w:ascii="Arial" w:hAnsi="Arial" w:cs="Arial"/>
          <w:sz w:val="20"/>
          <w:szCs w:val="20"/>
        </w:rPr>
        <w:t xml:space="preserve"> higher radical scavenging activity </w:t>
      </w:r>
      <w:r w:rsidR="00421C4C" w:rsidRPr="004A4551">
        <w:rPr>
          <w:rFonts w:ascii="Arial" w:hAnsi="Arial" w:cs="Arial"/>
          <w:sz w:val="20"/>
          <w:szCs w:val="20"/>
        </w:rPr>
        <w:t xml:space="preserve">than the control </w:t>
      </w:r>
      <w:r w:rsidRPr="004A4551">
        <w:rPr>
          <w:rFonts w:ascii="Arial" w:hAnsi="Arial" w:cs="Arial"/>
          <w:sz w:val="20"/>
          <w:szCs w:val="20"/>
        </w:rPr>
        <w:t>on day</w:t>
      </w:r>
      <w:r w:rsidR="00421C4C" w:rsidRPr="004A4551">
        <w:rPr>
          <w:rFonts w:ascii="Arial" w:hAnsi="Arial" w:cs="Arial"/>
          <w:sz w:val="20"/>
          <w:szCs w:val="20"/>
        </w:rPr>
        <w:t xml:space="preserve"> 15</w:t>
      </w:r>
      <w:r w:rsidRPr="004A4551">
        <w:rPr>
          <w:rFonts w:ascii="Arial" w:hAnsi="Arial" w:cs="Arial"/>
          <w:sz w:val="20"/>
          <w:szCs w:val="20"/>
        </w:rPr>
        <w:t>. This indicates greater antioxidant retention in the botanically enriched blends</w:t>
      </w:r>
      <w:r w:rsidR="004457EC">
        <w:rPr>
          <w:rFonts w:ascii="Arial" w:hAnsi="Arial" w:cs="Arial"/>
          <w:sz w:val="20"/>
          <w:szCs w:val="20"/>
        </w:rPr>
        <w:t xml:space="preserve"> </w:t>
      </w:r>
      <w:r w:rsidR="00912418">
        <w:rPr>
          <w:rFonts w:ascii="Arial" w:hAnsi="Arial" w:cs="Arial"/>
          <w:sz w:val="20"/>
          <w:szCs w:val="20"/>
        </w:rPr>
        <w:t>(</w:t>
      </w:r>
      <w:proofErr w:type="spellStart"/>
      <w:r w:rsidR="004457EC" w:rsidRPr="004A4551">
        <w:rPr>
          <w:rFonts w:ascii="Arial" w:hAnsi="Arial" w:cs="Arial"/>
          <w:sz w:val="20"/>
          <w:szCs w:val="20"/>
        </w:rPr>
        <w:t>Nwagbo</w:t>
      </w:r>
      <w:proofErr w:type="spellEnd"/>
      <w:r w:rsidR="004457EC" w:rsidRPr="004A4551">
        <w:rPr>
          <w:rFonts w:ascii="Arial" w:hAnsi="Arial" w:cs="Arial"/>
          <w:sz w:val="20"/>
          <w:szCs w:val="20"/>
        </w:rPr>
        <w:t xml:space="preserve"> </w:t>
      </w:r>
      <w:r w:rsidR="004457EC" w:rsidRPr="004457EC">
        <w:rPr>
          <w:rFonts w:ascii="Arial" w:hAnsi="Arial" w:cs="Arial"/>
          <w:sz w:val="20"/>
          <w:szCs w:val="20"/>
        </w:rPr>
        <w:t>et al.,</w:t>
      </w:r>
      <w:r w:rsidR="004457EC" w:rsidRPr="004A4551">
        <w:rPr>
          <w:rFonts w:ascii="Arial" w:hAnsi="Arial" w:cs="Arial"/>
          <w:i/>
          <w:iCs/>
          <w:sz w:val="20"/>
          <w:szCs w:val="20"/>
        </w:rPr>
        <w:t xml:space="preserve"> </w:t>
      </w:r>
      <w:r w:rsidR="004457EC" w:rsidRPr="004A4551">
        <w:rPr>
          <w:rFonts w:ascii="Arial" w:hAnsi="Arial" w:cs="Arial"/>
          <w:sz w:val="20"/>
          <w:szCs w:val="20"/>
        </w:rPr>
        <w:t>202</w:t>
      </w:r>
      <w:r w:rsidR="004457EC">
        <w:rPr>
          <w:rFonts w:ascii="Arial" w:hAnsi="Arial" w:cs="Arial"/>
          <w:sz w:val="20"/>
          <w:szCs w:val="20"/>
        </w:rPr>
        <w:t>0)</w:t>
      </w:r>
      <w:r w:rsidRPr="004A4551">
        <w:rPr>
          <w:rFonts w:ascii="Arial" w:hAnsi="Arial" w:cs="Arial"/>
          <w:sz w:val="20"/>
          <w:szCs w:val="20"/>
        </w:rPr>
        <w:t>.</w:t>
      </w:r>
    </w:p>
    <w:p w14:paraId="1AF2C75F" w14:textId="77777777" w:rsidR="009A2A6D"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lastRenderedPageBreak/>
        <w:drawing>
          <wp:inline distT="0" distB="0" distL="0" distR="0" wp14:anchorId="414B9188" wp14:editId="0B1AE673">
            <wp:extent cx="4314825" cy="21050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A4551">
        <w:rPr>
          <w:rFonts w:ascii="Arial" w:hAnsi="Arial" w:cs="Arial"/>
          <w:noProof/>
          <w:sz w:val="20"/>
          <w:szCs w:val="20"/>
        </w:rPr>
        <w:drawing>
          <wp:inline distT="0" distB="0" distL="0" distR="0" wp14:anchorId="22078DAA" wp14:editId="16D27BF7">
            <wp:extent cx="4314825" cy="21526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D7384A" w14:textId="414C3EDC" w:rsidR="009A2A6D" w:rsidRPr="004A4551" w:rsidRDefault="002C20A0" w:rsidP="007F7216">
      <w:pPr>
        <w:spacing w:after="0" w:line="480" w:lineRule="auto"/>
        <w:jc w:val="both"/>
        <w:rPr>
          <w:rFonts w:ascii="Arial" w:eastAsia="Times New Roman" w:hAnsi="Arial" w:cs="Arial"/>
          <w:b/>
          <w:bCs/>
          <w:color w:val="000000"/>
          <w:sz w:val="20"/>
          <w:szCs w:val="20"/>
        </w:rPr>
      </w:pPr>
      <w:r w:rsidRPr="004A4551">
        <w:rPr>
          <w:rFonts w:ascii="Arial" w:hAnsi="Arial" w:cs="Arial"/>
          <w:b/>
          <w:bCs/>
          <w:sz w:val="20"/>
          <w:szCs w:val="20"/>
        </w:rPr>
        <w:t xml:space="preserve">Fig 5: DPPH Radical Scavenging Activity </w:t>
      </w:r>
      <w:r w:rsidR="00FC38E7" w:rsidRPr="004A4551">
        <w:rPr>
          <w:rFonts w:ascii="Arial" w:eastAsia="Times New Roman" w:hAnsi="Arial" w:cs="Arial"/>
          <w:b/>
          <w:bCs/>
          <w:color w:val="000000"/>
          <w:sz w:val="20"/>
          <w:szCs w:val="20"/>
        </w:rPr>
        <w:t>of Pasteurized Mint-</w:t>
      </w:r>
      <w:r w:rsidR="00272984">
        <w:rPr>
          <w:rFonts w:ascii="Arial" w:eastAsia="Times New Roman" w:hAnsi="Arial" w:cs="Arial"/>
          <w:b/>
          <w:bCs/>
          <w:color w:val="000000"/>
          <w:sz w:val="20"/>
          <w:szCs w:val="20"/>
        </w:rPr>
        <w:t xml:space="preserve">Flavored and </w:t>
      </w:r>
      <w:proofErr w:type="spellStart"/>
      <w:r w:rsidR="00FC38E7" w:rsidRPr="004A4551">
        <w:rPr>
          <w:rFonts w:ascii="Arial" w:eastAsia="Times New Roman" w:hAnsi="Arial" w:cs="Arial"/>
          <w:b/>
          <w:bCs/>
          <w:color w:val="000000"/>
          <w:sz w:val="20"/>
          <w:szCs w:val="20"/>
        </w:rPr>
        <w:t>Bitterleaf</w:t>
      </w:r>
      <w:proofErr w:type="spellEnd"/>
      <w:r w:rsidR="00FC38E7" w:rsidRPr="004A4551">
        <w:rPr>
          <w:rFonts w:ascii="Arial" w:eastAsia="Times New Roman" w:hAnsi="Arial" w:cs="Arial"/>
          <w:b/>
          <w:bCs/>
          <w:color w:val="000000"/>
          <w:sz w:val="20"/>
          <w:szCs w:val="20"/>
        </w:rPr>
        <w:t>-Flavored Pineapple</w:t>
      </w:r>
      <w:r w:rsidR="00272984">
        <w:rPr>
          <w:rFonts w:ascii="Arial" w:eastAsia="Times New Roman" w:hAnsi="Arial" w:cs="Arial"/>
          <w:b/>
          <w:bCs/>
          <w:color w:val="000000"/>
          <w:sz w:val="20"/>
          <w:szCs w:val="20"/>
        </w:rPr>
        <w:t>-Cucumber</w:t>
      </w:r>
      <w:r w:rsidR="00FC38E7" w:rsidRPr="004A4551">
        <w:rPr>
          <w:rFonts w:ascii="Arial" w:eastAsia="Times New Roman" w:hAnsi="Arial" w:cs="Arial"/>
          <w:b/>
          <w:bCs/>
          <w:color w:val="000000"/>
          <w:sz w:val="20"/>
          <w:szCs w:val="20"/>
        </w:rPr>
        <w:t xml:space="preserve"> Juice during 21 Days Storage (28</w:t>
      </w:r>
      <w:r w:rsidR="00FC38E7" w:rsidRPr="004A4551">
        <w:rPr>
          <w:rFonts w:ascii="Arial" w:eastAsia="Times New Roman" w:hAnsi="Arial" w:cs="Arial"/>
          <w:b/>
          <w:bCs/>
          <w:color w:val="000000"/>
          <w:sz w:val="20"/>
          <w:szCs w:val="20"/>
          <w:vertAlign w:val="superscript"/>
        </w:rPr>
        <w:t>0</w:t>
      </w:r>
      <w:r w:rsidR="00FC38E7" w:rsidRPr="004A4551">
        <w:rPr>
          <w:rFonts w:ascii="Arial" w:eastAsia="Times New Roman" w:hAnsi="Arial" w:cs="Arial"/>
          <w:b/>
          <w:bCs/>
          <w:color w:val="000000"/>
          <w:sz w:val="20"/>
          <w:szCs w:val="20"/>
        </w:rPr>
        <w:t>C).</w:t>
      </w:r>
    </w:p>
    <w:p w14:paraId="353AC29B" w14:textId="03D8413D" w:rsidR="009A2A6D"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6CFF84E4" w14:textId="06BECD3B" w:rsidR="002D45FE"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w:t>
      </w:r>
      <w:r w:rsidR="00F11DD1" w:rsidRPr="004A4551">
        <w:rPr>
          <w:rFonts w:ascii="Arial" w:hAnsi="Arial" w:cs="Arial"/>
          <w:sz w:val="20"/>
          <w:szCs w:val="20"/>
        </w:rPr>
        <w:t xml:space="preserve">e </w:t>
      </w:r>
      <w:r w:rsidRPr="004A4551">
        <w:rPr>
          <w:rFonts w:ascii="Arial" w:hAnsi="Arial" w:cs="Arial"/>
          <w:sz w:val="20"/>
          <w:szCs w:val="20"/>
        </w:rPr>
        <w:t>superior</w:t>
      </w:r>
      <w:r w:rsidR="00F11DD1" w:rsidRPr="004A4551">
        <w:rPr>
          <w:rFonts w:ascii="Arial" w:hAnsi="Arial" w:cs="Arial"/>
          <w:sz w:val="20"/>
          <w:szCs w:val="20"/>
        </w:rPr>
        <w:t xml:space="preserve"> initial</w:t>
      </w:r>
      <w:r w:rsidRPr="004A4551">
        <w:rPr>
          <w:rFonts w:ascii="Arial" w:hAnsi="Arial" w:cs="Arial"/>
          <w:sz w:val="20"/>
          <w:szCs w:val="20"/>
        </w:rPr>
        <w:t xml:space="preserve"> DPPH activity of samples B, C, and D on day 1</w:t>
      </w:r>
      <w:r w:rsidR="00F11DD1" w:rsidRPr="004A4551">
        <w:rPr>
          <w:rFonts w:ascii="Arial" w:hAnsi="Arial" w:cs="Arial"/>
          <w:sz w:val="20"/>
          <w:szCs w:val="20"/>
        </w:rPr>
        <w:t xml:space="preserve"> is</w:t>
      </w:r>
      <w:r w:rsidRPr="004A4551">
        <w:rPr>
          <w:rFonts w:ascii="Arial" w:hAnsi="Arial" w:cs="Arial"/>
          <w:sz w:val="20"/>
          <w:szCs w:val="20"/>
        </w:rPr>
        <w:t xml:space="preserve"> attributable to the</w:t>
      </w:r>
      <w:r w:rsidR="00F11DD1" w:rsidRPr="004A4551">
        <w:rPr>
          <w:rFonts w:ascii="Arial" w:hAnsi="Arial" w:cs="Arial"/>
          <w:sz w:val="20"/>
          <w:szCs w:val="20"/>
        </w:rPr>
        <w:t xml:space="preserve"> structurally diverse hydrogen-atom-donating phytochemicals introduced by the botanical extracts, </w:t>
      </w:r>
      <w:r w:rsidRPr="004A4551">
        <w:rPr>
          <w:rFonts w:ascii="Arial" w:hAnsi="Arial" w:cs="Arial"/>
          <w:sz w:val="20"/>
          <w:szCs w:val="20"/>
        </w:rPr>
        <w:t xml:space="preserve">particularly </w:t>
      </w:r>
      <w:r w:rsidR="00936CFF" w:rsidRPr="004A4551">
        <w:rPr>
          <w:rFonts w:ascii="Arial" w:hAnsi="Arial" w:cs="Arial"/>
          <w:sz w:val="20"/>
          <w:szCs w:val="20"/>
        </w:rPr>
        <w:t>flavonoids (</w:t>
      </w:r>
      <w:r w:rsidRPr="004A4551">
        <w:rPr>
          <w:rFonts w:ascii="Arial" w:hAnsi="Arial" w:cs="Arial"/>
          <w:sz w:val="20"/>
          <w:szCs w:val="20"/>
        </w:rPr>
        <w:t>luteolin and quercetin derivatives</w:t>
      </w:r>
      <w:r w:rsidR="00936CFF" w:rsidRPr="004A4551">
        <w:rPr>
          <w:rFonts w:ascii="Arial" w:hAnsi="Arial" w:cs="Arial"/>
          <w:sz w:val="20"/>
          <w:szCs w:val="20"/>
        </w:rPr>
        <w:t>)</w:t>
      </w:r>
      <w:r w:rsidRPr="004A4551">
        <w:rPr>
          <w:rFonts w:ascii="Arial" w:hAnsi="Arial" w:cs="Arial"/>
          <w:sz w:val="20"/>
          <w:szCs w:val="20"/>
        </w:rPr>
        <w:t>, phenolic acid</w:t>
      </w:r>
      <w:r w:rsidR="00936CFF" w:rsidRPr="004A4551">
        <w:rPr>
          <w:rFonts w:ascii="Arial" w:hAnsi="Arial" w:cs="Arial"/>
          <w:sz w:val="20"/>
          <w:szCs w:val="20"/>
        </w:rPr>
        <w:t>,</w:t>
      </w:r>
      <w:r w:rsidRPr="004A4551">
        <w:rPr>
          <w:rFonts w:ascii="Arial" w:hAnsi="Arial" w:cs="Arial"/>
          <w:sz w:val="20"/>
          <w:szCs w:val="20"/>
        </w:rPr>
        <w:t xml:space="preserve"> and </w:t>
      </w:r>
      <w:proofErr w:type="spellStart"/>
      <w:r w:rsidRPr="004A4551">
        <w:rPr>
          <w:rFonts w:ascii="Arial" w:hAnsi="Arial" w:cs="Arial"/>
          <w:sz w:val="20"/>
          <w:szCs w:val="20"/>
        </w:rPr>
        <w:t>vernodalin</w:t>
      </w:r>
      <w:proofErr w:type="spellEnd"/>
      <w:r w:rsidRPr="004A4551">
        <w:rPr>
          <w:rFonts w:ascii="Arial" w:hAnsi="Arial" w:cs="Arial"/>
          <w:sz w:val="20"/>
          <w:szCs w:val="20"/>
        </w:rPr>
        <w:t xml:space="preserve">, </w:t>
      </w:r>
      <w:r w:rsidR="00936CFF" w:rsidRPr="004A4551">
        <w:rPr>
          <w:rFonts w:ascii="Arial" w:hAnsi="Arial" w:cs="Arial"/>
          <w:sz w:val="20"/>
          <w:szCs w:val="20"/>
        </w:rPr>
        <w:t xml:space="preserve">from </w:t>
      </w:r>
      <w:r w:rsidR="00936CFF" w:rsidRPr="004A4551">
        <w:rPr>
          <w:rFonts w:ascii="Arial" w:hAnsi="Arial" w:cs="Arial"/>
          <w:i/>
          <w:iCs/>
          <w:sz w:val="20"/>
          <w:szCs w:val="20"/>
        </w:rPr>
        <w:t xml:space="preserve">Vernonia amygdalin </w:t>
      </w:r>
      <w:r w:rsidR="00936CFF" w:rsidRPr="004A4551">
        <w:rPr>
          <w:rFonts w:ascii="Arial" w:hAnsi="Arial" w:cs="Arial"/>
          <w:sz w:val="20"/>
          <w:szCs w:val="20"/>
        </w:rPr>
        <w:t xml:space="preserve">and </w:t>
      </w:r>
      <w:proofErr w:type="spellStart"/>
      <w:r w:rsidR="00936CFF" w:rsidRPr="004A4551">
        <w:rPr>
          <w:rFonts w:ascii="Arial" w:hAnsi="Arial" w:cs="Arial"/>
          <w:sz w:val="20"/>
          <w:szCs w:val="20"/>
        </w:rPr>
        <w:t>rosmarinic</w:t>
      </w:r>
      <w:proofErr w:type="spellEnd"/>
      <w:r w:rsidR="00936CFF" w:rsidRPr="004A4551">
        <w:rPr>
          <w:rFonts w:ascii="Arial" w:hAnsi="Arial" w:cs="Arial"/>
          <w:sz w:val="20"/>
          <w:szCs w:val="20"/>
        </w:rPr>
        <w:t xml:space="preserve"> acid and phenolics from </w:t>
      </w:r>
      <w:r w:rsidR="00936CFF" w:rsidRPr="004A4551">
        <w:rPr>
          <w:rFonts w:ascii="Arial" w:hAnsi="Arial" w:cs="Arial"/>
          <w:i/>
          <w:iCs/>
          <w:sz w:val="20"/>
          <w:szCs w:val="20"/>
        </w:rPr>
        <w:t xml:space="preserve">Mentha </w:t>
      </w:r>
      <w:proofErr w:type="spellStart"/>
      <w:r w:rsidR="00936CFF" w:rsidRPr="004A4551">
        <w:rPr>
          <w:rFonts w:ascii="Arial" w:hAnsi="Arial" w:cs="Arial"/>
          <w:i/>
          <w:iCs/>
          <w:sz w:val="20"/>
          <w:szCs w:val="20"/>
        </w:rPr>
        <w:t>spp</w:t>
      </w:r>
      <w:proofErr w:type="spellEnd"/>
      <w:r w:rsidR="00936CFF" w:rsidRPr="004A4551">
        <w:rPr>
          <w:rFonts w:ascii="Arial" w:hAnsi="Arial" w:cs="Arial"/>
          <w:i/>
          <w:iCs/>
          <w:sz w:val="20"/>
          <w:szCs w:val="20"/>
        </w:rPr>
        <w:t xml:space="preserve"> </w:t>
      </w:r>
      <w:r w:rsidRPr="004A4551">
        <w:rPr>
          <w:rFonts w:ascii="Arial" w:hAnsi="Arial" w:cs="Arial"/>
          <w:sz w:val="20"/>
          <w:szCs w:val="20"/>
        </w:rPr>
        <w:t>(</w:t>
      </w:r>
      <w:proofErr w:type="spellStart"/>
      <w:r w:rsidRPr="004A4551">
        <w:rPr>
          <w:rFonts w:ascii="Arial" w:hAnsi="Arial" w:cs="Arial"/>
          <w:sz w:val="20"/>
          <w:szCs w:val="20"/>
        </w:rPr>
        <w:t>Igile</w:t>
      </w:r>
      <w:proofErr w:type="spellEnd"/>
      <w:r w:rsidRPr="004A4551">
        <w:rPr>
          <w:rFonts w:ascii="Arial" w:hAnsi="Arial" w:cs="Arial"/>
          <w:sz w:val="20"/>
          <w:szCs w:val="20"/>
        </w:rPr>
        <w:t xml:space="preserve">, 1994). The universal decline in DPPH activity </w:t>
      </w:r>
      <w:r w:rsidR="00936CFF" w:rsidRPr="004A4551">
        <w:rPr>
          <w:rFonts w:ascii="Arial" w:hAnsi="Arial" w:cs="Arial"/>
          <w:sz w:val="20"/>
          <w:szCs w:val="20"/>
        </w:rPr>
        <w:t xml:space="preserve">from day 1 to day 15 is consistent with the well-established kinetics of ascorbic acid and polyphenol degradation at ambient temperature, under residual dissolved oxygen, and </w:t>
      </w:r>
      <w:r w:rsidRPr="004A4551">
        <w:rPr>
          <w:rFonts w:ascii="Arial" w:hAnsi="Arial" w:cs="Arial"/>
          <w:sz w:val="20"/>
          <w:szCs w:val="20"/>
        </w:rPr>
        <w:t>advancing microbial activity</w:t>
      </w:r>
      <w:r w:rsidR="00936CFF" w:rsidRPr="004A4551">
        <w:rPr>
          <w:rFonts w:ascii="Arial" w:hAnsi="Arial" w:cs="Arial"/>
          <w:sz w:val="20"/>
          <w:szCs w:val="20"/>
        </w:rPr>
        <w:t>. A</w:t>
      </w:r>
      <w:r w:rsidRPr="004A4551">
        <w:rPr>
          <w:rFonts w:ascii="Arial" w:hAnsi="Arial" w:cs="Arial"/>
          <w:sz w:val="20"/>
          <w:szCs w:val="20"/>
        </w:rPr>
        <w:t>ll of these accelerate oxidative breakdown of labile antioxidant species in stored juice matrices (</w:t>
      </w:r>
      <w:proofErr w:type="spellStart"/>
      <w:r w:rsidRPr="004A4551">
        <w:rPr>
          <w:rFonts w:ascii="Arial" w:hAnsi="Arial" w:cs="Arial"/>
          <w:sz w:val="20"/>
          <w:szCs w:val="20"/>
        </w:rPr>
        <w:t>Burdurlu</w:t>
      </w:r>
      <w:proofErr w:type="spellEnd"/>
      <w:r w:rsidRPr="004A4551">
        <w:rPr>
          <w:rFonts w:ascii="Arial" w:hAnsi="Arial" w:cs="Arial"/>
          <w:sz w:val="20"/>
          <w:szCs w:val="20"/>
        </w:rPr>
        <w:t xml:space="preserve"> et al., 2006). The relative retention of DPPH activity in </w:t>
      </w:r>
      <w:r w:rsidR="00936CFF" w:rsidRPr="004A4551">
        <w:rPr>
          <w:rFonts w:ascii="Arial" w:hAnsi="Arial" w:cs="Arial"/>
          <w:sz w:val="20"/>
          <w:szCs w:val="20"/>
        </w:rPr>
        <w:t xml:space="preserve">the botanically-enriched samples </w:t>
      </w:r>
      <w:r w:rsidRPr="004A4551">
        <w:rPr>
          <w:rFonts w:ascii="Arial" w:hAnsi="Arial" w:cs="Arial"/>
          <w:sz w:val="20"/>
          <w:szCs w:val="20"/>
        </w:rPr>
        <w:t>by day 15 suggests the</w:t>
      </w:r>
      <w:r w:rsidR="00936CFF" w:rsidRPr="004A4551">
        <w:rPr>
          <w:rFonts w:ascii="Arial" w:hAnsi="Arial" w:cs="Arial"/>
          <w:sz w:val="20"/>
          <w:szCs w:val="20"/>
        </w:rPr>
        <w:t xml:space="preserve"> presence of</w:t>
      </w:r>
      <w:r w:rsidRPr="004A4551">
        <w:rPr>
          <w:rFonts w:ascii="Arial" w:hAnsi="Arial" w:cs="Arial"/>
          <w:sz w:val="20"/>
          <w:szCs w:val="20"/>
        </w:rPr>
        <w:t xml:space="preserve"> structurally</w:t>
      </w:r>
      <w:r w:rsidR="00936CFF" w:rsidRPr="004A4551">
        <w:rPr>
          <w:rFonts w:ascii="Arial" w:hAnsi="Arial" w:cs="Arial"/>
          <w:sz w:val="20"/>
          <w:szCs w:val="20"/>
        </w:rPr>
        <w:t xml:space="preserve"> more stable polyphenolic fractions, particularly</w:t>
      </w:r>
      <w:r w:rsidRPr="004A4551">
        <w:rPr>
          <w:rFonts w:ascii="Arial" w:hAnsi="Arial" w:cs="Arial"/>
          <w:sz w:val="20"/>
          <w:szCs w:val="20"/>
        </w:rPr>
        <w:t xml:space="preserve"> flavone glycosides</w:t>
      </w:r>
      <w:r w:rsidR="00936CFF" w:rsidRPr="004A4551">
        <w:rPr>
          <w:rFonts w:ascii="Arial" w:hAnsi="Arial" w:cs="Arial"/>
          <w:sz w:val="20"/>
          <w:szCs w:val="20"/>
        </w:rPr>
        <w:t xml:space="preserve"> that</w:t>
      </w:r>
      <w:r w:rsidRPr="004A4551">
        <w:rPr>
          <w:rFonts w:ascii="Arial" w:hAnsi="Arial" w:cs="Arial"/>
          <w:sz w:val="20"/>
          <w:szCs w:val="20"/>
        </w:rPr>
        <w:t xml:space="preserve"> resist </w:t>
      </w:r>
      <w:r w:rsidR="00936CFF" w:rsidRPr="004A4551">
        <w:rPr>
          <w:rFonts w:ascii="Arial" w:hAnsi="Arial" w:cs="Arial"/>
          <w:sz w:val="20"/>
          <w:szCs w:val="20"/>
        </w:rPr>
        <w:t xml:space="preserve">oxidative </w:t>
      </w:r>
      <w:r w:rsidRPr="004A4551">
        <w:rPr>
          <w:rFonts w:ascii="Arial" w:hAnsi="Arial" w:cs="Arial"/>
          <w:sz w:val="20"/>
          <w:szCs w:val="20"/>
        </w:rPr>
        <w:lastRenderedPageBreak/>
        <w:t>degradation</w:t>
      </w:r>
      <w:r w:rsidR="00936CFF" w:rsidRPr="004A4551">
        <w:rPr>
          <w:rFonts w:ascii="Arial" w:hAnsi="Arial" w:cs="Arial"/>
          <w:sz w:val="20"/>
          <w:szCs w:val="20"/>
        </w:rPr>
        <w:t xml:space="preserve"> more effectively</w:t>
      </w:r>
      <w:r w:rsidRPr="004A4551">
        <w:rPr>
          <w:rFonts w:ascii="Arial" w:hAnsi="Arial" w:cs="Arial"/>
          <w:sz w:val="20"/>
          <w:szCs w:val="20"/>
        </w:rPr>
        <w:t xml:space="preserve"> than the predominantly ascorbic acid-based antioxidant system of the control (Rathore et al., 2018; </w:t>
      </w:r>
      <w:proofErr w:type="spellStart"/>
      <w:r w:rsidRPr="004A4551">
        <w:rPr>
          <w:rFonts w:ascii="Arial" w:hAnsi="Arial" w:cs="Arial"/>
          <w:sz w:val="20"/>
          <w:szCs w:val="20"/>
        </w:rPr>
        <w:t>Igile</w:t>
      </w:r>
      <w:proofErr w:type="spellEnd"/>
      <w:r w:rsidRPr="004A4551">
        <w:rPr>
          <w:rFonts w:ascii="Arial" w:hAnsi="Arial" w:cs="Arial"/>
          <w:sz w:val="20"/>
          <w:szCs w:val="20"/>
        </w:rPr>
        <w:t xml:space="preserve">, 19994). </w:t>
      </w:r>
    </w:p>
    <w:p w14:paraId="78FB134A" w14:textId="20F74B6E" w:rsidR="006F477B" w:rsidRPr="004A4551" w:rsidRDefault="006F477B"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3.2.2 The Ferric Reducing Antioxidant Power (FRAP)</w:t>
      </w:r>
    </w:p>
    <w:p w14:paraId="3AD5CCBF" w14:textId="65D7B4A8" w:rsidR="009A2A6D"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FRAP</w:t>
      </w:r>
      <w:r w:rsidR="00BF2CF0" w:rsidRPr="004A4551">
        <w:rPr>
          <w:rFonts w:ascii="Arial" w:hAnsi="Arial" w:cs="Arial"/>
          <w:sz w:val="20"/>
          <w:szCs w:val="20"/>
        </w:rPr>
        <w:t xml:space="preserve"> data</w:t>
      </w:r>
      <w:r w:rsidRPr="004A4551">
        <w:rPr>
          <w:rFonts w:ascii="Arial" w:hAnsi="Arial" w:cs="Arial"/>
          <w:sz w:val="20"/>
          <w:szCs w:val="20"/>
        </w:rPr>
        <w:t xml:space="preserve"> </w:t>
      </w:r>
      <w:r w:rsidR="00BF2CF0" w:rsidRPr="004A4551">
        <w:rPr>
          <w:rFonts w:ascii="Arial" w:hAnsi="Arial" w:cs="Arial"/>
          <w:sz w:val="20"/>
          <w:szCs w:val="20"/>
        </w:rPr>
        <w:t xml:space="preserve">followed </w:t>
      </w:r>
      <w:r w:rsidRPr="004A4551">
        <w:rPr>
          <w:rFonts w:ascii="Arial" w:hAnsi="Arial" w:cs="Arial"/>
          <w:sz w:val="20"/>
          <w:szCs w:val="20"/>
        </w:rPr>
        <w:t xml:space="preserve">a </w:t>
      </w:r>
      <w:r w:rsidR="00BF2CF0" w:rsidRPr="004A4551">
        <w:rPr>
          <w:rFonts w:ascii="Arial" w:hAnsi="Arial" w:cs="Arial"/>
          <w:sz w:val="20"/>
          <w:szCs w:val="20"/>
        </w:rPr>
        <w:t xml:space="preserve">pattern consistent with </w:t>
      </w:r>
      <w:r w:rsidRPr="004A4551">
        <w:rPr>
          <w:rFonts w:ascii="Arial" w:hAnsi="Arial" w:cs="Arial"/>
          <w:sz w:val="20"/>
          <w:szCs w:val="20"/>
        </w:rPr>
        <w:t>the DPPH</w:t>
      </w:r>
      <w:r w:rsidR="00BF2CF0" w:rsidRPr="004A4551">
        <w:rPr>
          <w:rFonts w:ascii="Arial" w:hAnsi="Arial" w:cs="Arial"/>
          <w:sz w:val="20"/>
          <w:szCs w:val="20"/>
        </w:rPr>
        <w:t xml:space="preserve"> results, with a </w:t>
      </w:r>
      <w:r w:rsidRPr="004A4551">
        <w:rPr>
          <w:rFonts w:ascii="Arial" w:hAnsi="Arial" w:cs="Arial"/>
          <w:sz w:val="20"/>
          <w:szCs w:val="20"/>
        </w:rPr>
        <w:t xml:space="preserve">mechanistically distinct antioxidant pathway </w:t>
      </w:r>
      <w:r w:rsidR="00884CD7" w:rsidRPr="004A4551">
        <w:rPr>
          <w:rFonts w:ascii="Arial" w:hAnsi="Arial" w:cs="Arial"/>
          <w:sz w:val="20"/>
          <w:szCs w:val="20"/>
        </w:rPr>
        <w:t>donating electrons to reduce Fe3+ to Fe2+</w:t>
      </w:r>
      <w:r w:rsidRPr="004A4551">
        <w:rPr>
          <w:rFonts w:ascii="Arial" w:hAnsi="Arial" w:cs="Arial"/>
          <w:sz w:val="20"/>
          <w:szCs w:val="20"/>
        </w:rPr>
        <w:t xml:space="preserve">. On day 1, all </w:t>
      </w:r>
      <w:r w:rsidR="00884CD7" w:rsidRPr="004A4551">
        <w:rPr>
          <w:rFonts w:ascii="Arial" w:hAnsi="Arial" w:cs="Arial"/>
          <w:sz w:val="20"/>
          <w:szCs w:val="20"/>
        </w:rPr>
        <w:t>composite</w:t>
      </w:r>
      <w:r w:rsidRPr="004A4551">
        <w:rPr>
          <w:rFonts w:ascii="Arial" w:hAnsi="Arial" w:cs="Arial"/>
          <w:sz w:val="20"/>
          <w:szCs w:val="20"/>
        </w:rPr>
        <w:t xml:space="preserve"> formulations </w:t>
      </w:r>
      <w:r w:rsidR="00884CD7" w:rsidRPr="004A4551">
        <w:rPr>
          <w:rFonts w:ascii="Arial" w:hAnsi="Arial" w:cs="Arial"/>
          <w:sz w:val="20"/>
          <w:szCs w:val="20"/>
        </w:rPr>
        <w:t>record</w:t>
      </w:r>
      <w:r w:rsidRPr="004A4551">
        <w:rPr>
          <w:rFonts w:ascii="Arial" w:hAnsi="Arial" w:cs="Arial"/>
          <w:sz w:val="20"/>
          <w:szCs w:val="20"/>
        </w:rPr>
        <w:t xml:space="preserve">ed higher FRAP values than the control, with sample B showing the highest electron-donating antioxidant capacity. </w:t>
      </w:r>
      <w:r w:rsidR="00884CD7" w:rsidRPr="004A4551">
        <w:rPr>
          <w:rFonts w:ascii="Arial" w:hAnsi="Arial" w:cs="Arial"/>
          <w:sz w:val="20"/>
          <w:szCs w:val="20"/>
        </w:rPr>
        <w:t>A</w:t>
      </w:r>
      <w:r w:rsidRPr="004A4551">
        <w:rPr>
          <w:rFonts w:ascii="Arial" w:hAnsi="Arial" w:cs="Arial"/>
          <w:sz w:val="20"/>
          <w:szCs w:val="20"/>
        </w:rPr>
        <w:t xml:space="preserve"> positive concentration-dependent response </w:t>
      </w:r>
      <w:r w:rsidR="00884CD7" w:rsidRPr="004A4551">
        <w:rPr>
          <w:rFonts w:ascii="Arial" w:hAnsi="Arial" w:cs="Arial"/>
          <w:sz w:val="20"/>
          <w:szCs w:val="20"/>
        </w:rPr>
        <w:t xml:space="preserve">was confirmed for </w:t>
      </w:r>
      <w:r w:rsidRPr="004A4551">
        <w:rPr>
          <w:rFonts w:ascii="Arial" w:hAnsi="Arial" w:cs="Arial"/>
          <w:sz w:val="20"/>
          <w:szCs w:val="20"/>
        </w:rPr>
        <w:t>all samples on both days</w:t>
      </w:r>
      <w:r w:rsidR="001E200A" w:rsidRPr="004A4551">
        <w:rPr>
          <w:rFonts w:ascii="Arial" w:hAnsi="Arial" w:cs="Arial"/>
          <w:sz w:val="20"/>
          <w:szCs w:val="20"/>
        </w:rPr>
        <w:t>,</w:t>
      </w:r>
      <w:r w:rsidRPr="004A4551">
        <w:rPr>
          <w:rFonts w:ascii="Arial" w:hAnsi="Arial" w:cs="Arial"/>
          <w:sz w:val="20"/>
          <w:szCs w:val="20"/>
        </w:rPr>
        <w:t xml:space="preserve"> </w:t>
      </w:r>
      <w:r w:rsidR="00884CD7" w:rsidRPr="004A4551">
        <w:rPr>
          <w:rFonts w:ascii="Arial" w:hAnsi="Arial" w:cs="Arial"/>
          <w:sz w:val="20"/>
          <w:szCs w:val="20"/>
        </w:rPr>
        <w:t xml:space="preserve">consistent with the fundamental proportionality between </w:t>
      </w:r>
      <w:r w:rsidRPr="004A4551">
        <w:rPr>
          <w:rFonts w:ascii="Arial" w:hAnsi="Arial" w:cs="Arial"/>
          <w:sz w:val="20"/>
          <w:szCs w:val="20"/>
        </w:rPr>
        <w:t>reductant concentration and ferric-ion-reducing capacity (Benzie and Strain, 1996). By day 15, FRAP values declined significantly (</w:t>
      </w:r>
      <w:r w:rsidR="005D6056" w:rsidRPr="004A4551">
        <w:rPr>
          <w:rFonts w:ascii="Arial" w:hAnsi="Arial" w:cs="Arial"/>
          <w:sz w:val="20"/>
          <w:szCs w:val="20"/>
        </w:rPr>
        <w:t>p = .05</w:t>
      </w:r>
      <w:r w:rsidRPr="004A4551">
        <w:rPr>
          <w:rFonts w:ascii="Arial" w:hAnsi="Arial" w:cs="Arial"/>
          <w:sz w:val="20"/>
          <w:szCs w:val="20"/>
        </w:rPr>
        <w:t xml:space="preserve">) across all formulations, with </w:t>
      </w:r>
      <w:r w:rsidR="00884CD7" w:rsidRPr="004A4551">
        <w:rPr>
          <w:rFonts w:ascii="Arial" w:hAnsi="Arial" w:cs="Arial"/>
          <w:sz w:val="20"/>
          <w:szCs w:val="20"/>
        </w:rPr>
        <w:t xml:space="preserve">the decline most pronounced in </w:t>
      </w:r>
      <w:r w:rsidRPr="004A4551">
        <w:rPr>
          <w:rFonts w:ascii="Arial" w:hAnsi="Arial" w:cs="Arial"/>
          <w:sz w:val="20"/>
          <w:szCs w:val="20"/>
        </w:rPr>
        <w:t>sample B.</w:t>
      </w:r>
    </w:p>
    <w:p w14:paraId="371C9500" w14:textId="4B932774" w:rsidR="009A2A6D"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elevated </w:t>
      </w:r>
      <w:r w:rsidR="001E200A" w:rsidRPr="004A4551">
        <w:rPr>
          <w:rFonts w:ascii="Arial" w:hAnsi="Arial" w:cs="Arial"/>
          <w:sz w:val="20"/>
          <w:szCs w:val="20"/>
        </w:rPr>
        <w:t xml:space="preserve">day 1 FRAP values in the composite formulations confirm that the </w:t>
      </w:r>
      <w:proofErr w:type="spellStart"/>
      <w:r w:rsidR="001E200A" w:rsidRPr="004A4551">
        <w:rPr>
          <w:rFonts w:ascii="Arial" w:hAnsi="Arial" w:cs="Arial"/>
          <w:sz w:val="20"/>
          <w:szCs w:val="20"/>
        </w:rPr>
        <w:t>bitterleaf</w:t>
      </w:r>
      <w:proofErr w:type="spellEnd"/>
      <w:r w:rsidR="001E200A" w:rsidRPr="004A4551">
        <w:rPr>
          <w:rFonts w:ascii="Arial" w:hAnsi="Arial" w:cs="Arial"/>
          <w:sz w:val="20"/>
          <w:szCs w:val="20"/>
        </w:rPr>
        <w:t xml:space="preserve"> and mint extracts complement the </w:t>
      </w:r>
      <w:r w:rsidR="00452A25">
        <w:rPr>
          <w:rFonts w:ascii="Arial" w:hAnsi="Arial" w:cs="Arial"/>
          <w:sz w:val="20"/>
          <w:szCs w:val="20"/>
        </w:rPr>
        <w:t>pineapple-cucumber base's electron-donating antioxidant capacity</w:t>
      </w:r>
      <w:r w:rsidRPr="004A4551">
        <w:rPr>
          <w:rFonts w:ascii="Arial" w:hAnsi="Arial" w:cs="Arial"/>
          <w:sz w:val="20"/>
          <w:szCs w:val="20"/>
        </w:rPr>
        <w:t xml:space="preserve">. </w:t>
      </w:r>
      <w:r w:rsidR="001E200A" w:rsidRPr="004A4551">
        <w:rPr>
          <w:rFonts w:ascii="Arial" w:hAnsi="Arial" w:cs="Arial"/>
          <w:sz w:val="20"/>
          <w:szCs w:val="20"/>
        </w:rPr>
        <w:t>This is consistent with the d</w:t>
      </w:r>
      <w:r w:rsidRPr="004A4551">
        <w:rPr>
          <w:rFonts w:ascii="Arial" w:hAnsi="Arial" w:cs="Arial"/>
          <w:sz w:val="20"/>
          <w:szCs w:val="20"/>
        </w:rPr>
        <w:t xml:space="preserve">ocumented </w:t>
      </w:r>
      <w:r w:rsidR="001E200A" w:rsidRPr="004A4551">
        <w:rPr>
          <w:rFonts w:ascii="Arial" w:hAnsi="Arial" w:cs="Arial"/>
          <w:sz w:val="20"/>
          <w:szCs w:val="20"/>
        </w:rPr>
        <w:t xml:space="preserve">high FRAP activity of </w:t>
      </w:r>
      <w:r w:rsidRPr="004A4551">
        <w:rPr>
          <w:rFonts w:ascii="Arial" w:hAnsi="Arial" w:cs="Arial"/>
          <w:i/>
          <w:iCs/>
          <w:sz w:val="20"/>
          <w:szCs w:val="20"/>
        </w:rPr>
        <w:t xml:space="preserve">Vernonia </w:t>
      </w:r>
      <w:r w:rsidR="001E200A" w:rsidRPr="004A4551">
        <w:rPr>
          <w:rFonts w:ascii="Arial" w:hAnsi="Arial" w:cs="Arial"/>
          <w:sz w:val="20"/>
          <w:szCs w:val="20"/>
        </w:rPr>
        <w:t>attributable to their rich</w:t>
      </w:r>
      <w:r w:rsidRPr="004A4551">
        <w:rPr>
          <w:rFonts w:ascii="Arial" w:hAnsi="Arial" w:cs="Arial"/>
          <w:sz w:val="20"/>
          <w:szCs w:val="20"/>
        </w:rPr>
        <w:t xml:space="preserve"> </w:t>
      </w:r>
      <w:r w:rsidR="001E200A" w:rsidRPr="004A4551">
        <w:rPr>
          <w:rFonts w:ascii="Arial" w:hAnsi="Arial" w:cs="Arial"/>
          <w:sz w:val="20"/>
          <w:szCs w:val="20"/>
        </w:rPr>
        <w:t>poly</w:t>
      </w:r>
      <w:r w:rsidRPr="004A4551">
        <w:rPr>
          <w:rFonts w:ascii="Arial" w:hAnsi="Arial" w:cs="Arial"/>
          <w:sz w:val="20"/>
          <w:szCs w:val="20"/>
        </w:rPr>
        <w:t>phenol and flavonoid content (</w:t>
      </w:r>
      <w:r w:rsidR="00DB21C9" w:rsidRPr="004A4551">
        <w:rPr>
          <w:rFonts w:ascii="Arial" w:hAnsi="Arial" w:cs="Arial"/>
          <w:sz w:val="20"/>
          <w:szCs w:val="20"/>
        </w:rPr>
        <w:t>Musa et al., 2011</w:t>
      </w:r>
      <w:r w:rsidRPr="004A4551">
        <w:rPr>
          <w:rFonts w:ascii="Arial" w:hAnsi="Arial" w:cs="Arial"/>
          <w:sz w:val="20"/>
          <w:szCs w:val="20"/>
        </w:rPr>
        <w:t xml:space="preserve">). The </w:t>
      </w:r>
      <w:r w:rsidR="001E200A" w:rsidRPr="004A4551">
        <w:rPr>
          <w:rFonts w:ascii="Arial" w:hAnsi="Arial" w:cs="Arial"/>
          <w:sz w:val="20"/>
          <w:szCs w:val="20"/>
        </w:rPr>
        <w:t xml:space="preserve">more pronounced </w:t>
      </w:r>
      <w:r w:rsidRPr="004A4551">
        <w:rPr>
          <w:rFonts w:ascii="Arial" w:hAnsi="Arial" w:cs="Arial"/>
          <w:sz w:val="20"/>
          <w:szCs w:val="20"/>
        </w:rPr>
        <w:t xml:space="preserve">FRAP </w:t>
      </w:r>
      <w:r w:rsidR="001E200A" w:rsidRPr="004A4551">
        <w:rPr>
          <w:rFonts w:ascii="Arial" w:hAnsi="Arial" w:cs="Arial"/>
          <w:sz w:val="20"/>
          <w:szCs w:val="20"/>
        </w:rPr>
        <w:t xml:space="preserve">decline in sample B between days 1 and 15, despite </w:t>
      </w:r>
      <w:r w:rsidR="00090DAA" w:rsidRPr="004A4551">
        <w:rPr>
          <w:rFonts w:ascii="Arial" w:hAnsi="Arial" w:cs="Arial"/>
          <w:sz w:val="20"/>
          <w:szCs w:val="20"/>
        </w:rPr>
        <w:t xml:space="preserve">the </w:t>
      </w:r>
      <w:r w:rsidR="001E200A" w:rsidRPr="004A4551">
        <w:rPr>
          <w:rFonts w:ascii="Arial" w:hAnsi="Arial" w:cs="Arial"/>
          <w:sz w:val="20"/>
          <w:szCs w:val="20"/>
        </w:rPr>
        <w:t>record</w:t>
      </w:r>
      <w:r w:rsidR="00090DAA" w:rsidRPr="004A4551">
        <w:rPr>
          <w:rFonts w:ascii="Arial" w:hAnsi="Arial" w:cs="Arial"/>
          <w:sz w:val="20"/>
          <w:szCs w:val="20"/>
        </w:rPr>
        <w:t>ed</w:t>
      </w:r>
      <w:r w:rsidR="001E200A" w:rsidRPr="004A4551">
        <w:rPr>
          <w:rFonts w:ascii="Arial" w:hAnsi="Arial" w:cs="Arial"/>
          <w:sz w:val="20"/>
          <w:szCs w:val="20"/>
        </w:rPr>
        <w:t xml:space="preserve"> highest initial FRAP</w:t>
      </w:r>
      <w:r w:rsidR="00090DAA" w:rsidRPr="004A4551">
        <w:rPr>
          <w:rFonts w:ascii="Arial" w:hAnsi="Arial" w:cs="Arial"/>
          <w:sz w:val="20"/>
          <w:szCs w:val="20"/>
        </w:rPr>
        <w:t xml:space="preserve">, </w:t>
      </w:r>
      <w:r w:rsidR="00452A25">
        <w:rPr>
          <w:rFonts w:ascii="Arial" w:hAnsi="Arial" w:cs="Arial"/>
          <w:sz w:val="20"/>
          <w:szCs w:val="20"/>
        </w:rPr>
        <w:t>suggests</w:t>
      </w:r>
      <w:r w:rsidR="00090DAA" w:rsidRPr="004A4551">
        <w:rPr>
          <w:rFonts w:ascii="Arial" w:hAnsi="Arial" w:cs="Arial"/>
          <w:sz w:val="20"/>
          <w:szCs w:val="20"/>
        </w:rPr>
        <w:t xml:space="preserve"> that</w:t>
      </w:r>
      <w:r w:rsidRPr="004A4551">
        <w:rPr>
          <w:rFonts w:ascii="Arial" w:hAnsi="Arial" w:cs="Arial"/>
          <w:sz w:val="20"/>
          <w:szCs w:val="20"/>
        </w:rPr>
        <w:t xml:space="preserve"> sesquiterpene lactone and alkaloid fractions </w:t>
      </w:r>
      <w:r w:rsidR="00090DAA" w:rsidRPr="004A4551">
        <w:rPr>
          <w:rFonts w:ascii="Arial" w:hAnsi="Arial" w:cs="Arial"/>
          <w:sz w:val="20"/>
          <w:szCs w:val="20"/>
        </w:rPr>
        <w:t>from</w:t>
      </w:r>
      <w:r w:rsidRPr="004A4551">
        <w:rPr>
          <w:rFonts w:ascii="Arial" w:hAnsi="Arial" w:cs="Arial"/>
          <w:sz w:val="20"/>
          <w:szCs w:val="20"/>
        </w:rPr>
        <w:t xml:space="preserve"> the full-dose bitter leaf extract</w:t>
      </w:r>
      <w:r w:rsidR="00090DAA" w:rsidRPr="004A4551">
        <w:rPr>
          <w:rFonts w:ascii="Arial" w:hAnsi="Arial" w:cs="Arial"/>
          <w:sz w:val="20"/>
          <w:szCs w:val="20"/>
        </w:rPr>
        <w:t xml:space="preserve"> are </w:t>
      </w:r>
      <w:r w:rsidR="00452A25">
        <w:rPr>
          <w:rFonts w:ascii="Arial" w:hAnsi="Arial" w:cs="Arial"/>
          <w:sz w:val="20"/>
          <w:szCs w:val="20"/>
        </w:rPr>
        <w:t xml:space="preserve">more </w:t>
      </w:r>
      <w:r w:rsidR="00090DAA" w:rsidRPr="004A4551">
        <w:rPr>
          <w:rFonts w:ascii="Arial" w:hAnsi="Arial" w:cs="Arial"/>
          <w:sz w:val="20"/>
          <w:szCs w:val="20"/>
        </w:rPr>
        <w:t xml:space="preserve">susceptible to oxidative degradation during ambient storage than the antioxidant compounds of mint </w:t>
      </w:r>
      <w:r w:rsidRPr="004A4551">
        <w:rPr>
          <w:rFonts w:ascii="Arial" w:hAnsi="Arial" w:cs="Arial"/>
          <w:sz w:val="20"/>
          <w:szCs w:val="20"/>
        </w:rPr>
        <w:t>(</w:t>
      </w:r>
      <w:proofErr w:type="spellStart"/>
      <w:r w:rsidRPr="004A4551">
        <w:rPr>
          <w:rFonts w:ascii="Arial" w:hAnsi="Arial" w:cs="Arial"/>
          <w:sz w:val="20"/>
          <w:szCs w:val="20"/>
        </w:rPr>
        <w:t>Igile</w:t>
      </w:r>
      <w:proofErr w:type="spellEnd"/>
      <w:r w:rsidRPr="004A4551">
        <w:rPr>
          <w:rFonts w:ascii="Arial" w:hAnsi="Arial" w:cs="Arial"/>
          <w:sz w:val="20"/>
          <w:szCs w:val="20"/>
        </w:rPr>
        <w:t xml:space="preserve"> et al., 1994). Despite this steeper decline, </w:t>
      </w:r>
      <w:r w:rsidR="00090DAA" w:rsidRPr="004A4551">
        <w:rPr>
          <w:rFonts w:ascii="Arial" w:hAnsi="Arial" w:cs="Arial"/>
          <w:sz w:val="20"/>
          <w:szCs w:val="20"/>
        </w:rPr>
        <w:t xml:space="preserve">all composite formulations retained higher FRAP </w:t>
      </w:r>
      <w:r w:rsidRPr="004A4551">
        <w:rPr>
          <w:rFonts w:ascii="Arial" w:hAnsi="Arial" w:cs="Arial"/>
          <w:sz w:val="20"/>
          <w:szCs w:val="20"/>
        </w:rPr>
        <w:t xml:space="preserve">values than the control by day 15. This </w:t>
      </w:r>
      <w:r w:rsidR="00090DAA" w:rsidRPr="004A4551">
        <w:rPr>
          <w:rFonts w:ascii="Arial" w:hAnsi="Arial" w:cs="Arial"/>
          <w:sz w:val="20"/>
          <w:szCs w:val="20"/>
        </w:rPr>
        <w:t xml:space="preserve">confirms </w:t>
      </w:r>
      <w:r w:rsidRPr="004A4551">
        <w:rPr>
          <w:rFonts w:ascii="Arial" w:hAnsi="Arial" w:cs="Arial"/>
          <w:sz w:val="20"/>
          <w:szCs w:val="20"/>
        </w:rPr>
        <w:t xml:space="preserve">that </w:t>
      </w:r>
      <w:r w:rsidR="00090DAA" w:rsidRPr="004A4551">
        <w:rPr>
          <w:rFonts w:ascii="Arial" w:hAnsi="Arial" w:cs="Arial"/>
          <w:sz w:val="20"/>
          <w:szCs w:val="20"/>
        </w:rPr>
        <w:t xml:space="preserve">botanical enrichment </w:t>
      </w:r>
      <w:r w:rsidRPr="004A4551">
        <w:rPr>
          <w:rFonts w:ascii="Arial" w:hAnsi="Arial" w:cs="Arial"/>
          <w:sz w:val="20"/>
          <w:szCs w:val="20"/>
        </w:rPr>
        <w:t xml:space="preserve">enhanced </w:t>
      </w:r>
      <w:r w:rsidR="00452A25">
        <w:rPr>
          <w:rFonts w:ascii="Arial" w:hAnsi="Arial" w:cs="Arial"/>
          <w:sz w:val="20"/>
          <w:szCs w:val="20"/>
        </w:rPr>
        <w:t xml:space="preserve">the </w:t>
      </w:r>
      <w:r w:rsidRPr="004A4551">
        <w:rPr>
          <w:rFonts w:ascii="Arial" w:hAnsi="Arial" w:cs="Arial"/>
          <w:sz w:val="20"/>
          <w:szCs w:val="20"/>
        </w:rPr>
        <w:t xml:space="preserve">initial </w:t>
      </w:r>
      <w:r w:rsidR="00090DAA" w:rsidRPr="004A4551">
        <w:rPr>
          <w:rFonts w:ascii="Arial" w:hAnsi="Arial" w:cs="Arial"/>
          <w:sz w:val="20"/>
          <w:szCs w:val="20"/>
        </w:rPr>
        <w:t>anti</w:t>
      </w:r>
      <w:r w:rsidRPr="004A4551">
        <w:rPr>
          <w:rFonts w:ascii="Arial" w:hAnsi="Arial" w:cs="Arial"/>
          <w:sz w:val="20"/>
          <w:szCs w:val="20"/>
        </w:rPr>
        <w:t>oxidant profile and greater antioxidant retention during ambient storage</w:t>
      </w:r>
      <w:r w:rsidR="00372C38">
        <w:rPr>
          <w:rFonts w:ascii="Arial" w:hAnsi="Arial" w:cs="Arial"/>
          <w:sz w:val="20"/>
          <w:szCs w:val="20"/>
        </w:rPr>
        <w:t xml:space="preserve"> (</w:t>
      </w:r>
      <w:r w:rsidR="00372C38" w:rsidRPr="00C22E28">
        <w:rPr>
          <w:rFonts w:ascii="Arial" w:hAnsi="Arial" w:cs="Arial"/>
          <w:sz w:val="20"/>
          <w:szCs w:val="20"/>
        </w:rPr>
        <w:t>Okafor</w:t>
      </w:r>
      <w:r w:rsidR="00372C38">
        <w:rPr>
          <w:rFonts w:ascii="Arial" w:hAnsi="Arial" w:cs="Arial"/>
          <w:sz w:val="20"/>
          <w:szCs w:val="20"/>
        </w:rPr>
        <w:t xml:space="preserve"> et al., 2021</w:t>
      </w:r>
      <w:r w:rsidR="00CE5515">
        <w:rPr>
          <w:rFonts w:ascii="Arial" w:hAnsi="Arial" w:cs="Arial"/>
          <w:sz w:val="20"/>
          <w:szCs w:val="20"/>
        </w:rPr>
        <w:t xml:space="preserve">; </w:t>
      </w:r>
      <w:proofErr w:type="spellStart"/>
      <w:r w:rsidR="00CE5515">
        <w:rPr>
          <w:rFonts w:ascii="Arial" w:hAnsi="Arial" w:cs="Arial"/>
          <w:sz w:val="20"/>
          <w:szCs w:val="20"/>
        </w:rPr>
        <w:t>Zuleta</w:t>
      </w:r>
      <w:proofErr w:type="spellEnd"/>
      <w:r w:rsidR="00CE5515">
        <w:rPr>
          <w:rFonts w:ascii="Arial" w:hAnsi="Arial" w:cs="Arial"/>
          <w:sz w:val="20"/>
          <w:szCs w:val="20"/>
        </w:rPr>
        <w:t>, et al., 2007</w:t>
      </w:r>
      <w:r w:rsidR="00372C38">
        <w:rPr>
          <w:rFonts w:ascii="Arial" w:hAnsi="Arial" w:cs="Arial"/>
          <w:sz w:val="20"/>
          <w:szCs w:val="20"/>
        </w:rPr>
        <w:t>)</w:t>
      </w:r>
      <w:r w:rsidRPr="004A4551">
        <w:rPr>
          <w:rFonts w:ascii="Arial" w:hAnsi="Arial" w:cs="Arial"/>
          <w:sz w:val="20"/>
          <w:szCs w:val="20"/>
        </w:rPr>
        <w:t xml:space="preserve">. </w:t>
      </w:r>
    </w:p>
    <w:p w14:paraId="5E8D0421" w14:textId="77777777" w:rsidR="001A5AE2" w:rsidRPr="004A4551" w:rsidRDefault="001A5AE2" w:rsidP="007F7216">
      <w:pPr>
        <w:spacing w:after="0" w:line="480" w:lineRule="auto"/>
        <w:rPr>
          <w:rFonts w:ascii="Arial" w:eastAsia="Times New Roman" w:hAnsi="Arial" w:cs="Arial"/>
          <w:color w:val="000000"/>
          <w:sz w:val="20"/>
          <w:szCs w:val="20"/>
        </w:rPr>
      </w:pPr>
    </w:p>
    <w:p w14:paraId="62E44BBD" w14:textId="77777777" w:rsidR="001A5AE2"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23EA77F7" wp14:editId="5A3C2561">
            <wp:extent cx="4086225" cy="200025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3A851F" w14:textId="77777777" w:rsidR="001A5AE2"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lastRenderedPageBreak/>
        <w:drawing>
          <wp:inline distT="0" distB="0" distL="0" distR="0" wp14:anchorId="780EF592" wp14:editId="20394A78">
            <wp:extent cx="4124325" cy="19145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11F2F1" w14:textId="4CB27FC3" w:rsidR="001A5AE2" w:rsidRPr="004A4551" w:rsidRDefault="002C20A0" w:rsidP="007F7216">
      <w:pPr>
        <w:spacing w:after="0" w:line="480" w:lineRule="auto"/>
        <w:jc w:val="both"/>
        <w:rPr>
          <w:rFonts w:ascii="Arial" w:eastAsia="Times New Roman" w:hAnsi="Arial" w:cs="Arial"/>
          <w:b/>
          <w:bCs/>
          <w:color w:val="000000"/>
          <w:sz w:val="20"/>
          <w:szCs w:val="20"/>
        </w:rPr>
      </w:pPr>
      <w:r w:rsidRPr="004A4551">
        <w:rPr>
          <w:rFonts w:ascii="Arial" w:hAnsi="Arial" w:cs="Arial"/>
          <w:b/>
          <w:bCs/>
          <w:sz w:val="20"/>
          <w:szCs w:val="20"/>
        </w:rPr>
        <w:t xml:space="preserve">Fig 6: FRAP Radical Scavenging Activity </w:t>
      </w:r>
      <w:r w:rsidR="00FC38E7" w:rsidRPr="004A4551">
        <w:rPr>
          <w:rFonts w:ascii="Arial" w:eastAsia="Times New Roman" w:hAnsi="Arial" w:cs="Arial"/>
          <w:b/>
          <w:bCs/>
          <w:color w:val="000000"/>
          <w:sz w:val="20"/>
          <w:szCs w:val="20"/>
        </w:rPr>
        <w:t>of Pasteurized Mint-</w:t>
      </w:r>
      <w:r w:rsidR="00272984">
        <w:rPr>
          <w:rFonts w:ascii="Arial" w:eastAsia="Times New Roman" w:hAnsi="Arial" w:cs="Arial"/>
          <w:b/>
          <w:bCs/>
          <w:color w:val="000000"/>
          <w:sz w:val="20"/>
          <w:szCs w:val="20"/>
        </w:rPr>
        <w:t xml:space="preserve">Flavored and </w:t>
      </w:r>
      <w:proofErr w:type="spellStart"/>
      <w:r w:rsidR="00FC38E7" w:rsidRPr="004A4551">
        <w:rPr>
          <w:rFonts w:ascii="Arial" w:eastAsia="Times New Roman" w:hAnsi="Arial" w:cs="Arial"/>
          <w:b/>
          <w:bCs/>
          <w:color w:val="000000"/>
          <w:sz w:val="20"/>
          <w:szCs w:val="20"/>
        </w:rPr>
        <w:t>Bitterleaf</w:t>
      </w:r>
      <w:proofErr w:type="spellEnd"/>
      <w:r w:rsidR="00FC38E7" w:rsidRPr="004A4551">
        <w:rPr>
          <w:rFonts w:ascii="Arial" w:eastAsia="Times New Roman" w:hAnsi="Arial" w:cs="Arial"/>
          <w:b/>
          <w:bCs/>
          <w:color w:val="000000"/>
          <w:sz w:val="20"/>
          <w:szCs w:val="20"/>
        </w:rPr>
        <w:t>-Flavored Pineapple</w:t>
      </w:r>
      <w:r w:rsidR="00272984">
        <w:rPr>
          <w:rFonts w:ascii="Arial" w:eastAsia="Times New Roman" w:hAnsi="Arial" w:cs="Arial"/>
          <w:b/>
          <w:bCs/>
          <w:color w:val="000000"/>
          <w:sz w:val="20"/>
          <w:szCs w:val="20"/>
        </w:rPr>
        <w:t>-Cucumber</w:t>
      </w:r>
      <w:r w:rsidR="00FC38E7" w:rsidRPr="004A4551">
        <w:rPr>
          <w:rFonts w:ascii="Arial" w:eastAsia="Times New Roman" w:hAnsi="Arial" w:cs="Arial"/>
          <w:b/>
          <w:bCs/>
          <w:color w:val="000000"/>
          <w:sz w:val="20"/>
          <w:szCs w:val="20"/>
        </w:rPr>
        <w:t xml:space="preserve"> Juice during 21 Days Storage (28</w:t>
      </w:r>
      <w:r w:rsidR="00FC38E7" w:rsidRPr="004A4551">
        <w:rPr>
          <w:rFonts w:ascii="Arial" w:eastAsia="Times New Roman" w:hAnsi="Arial" w:cs="Arial"/>
          <w:b/>
          <w:bCs/>
          <w:color w:val="000000"/>
          <w:sz w:val="20"/>
          <w:szCs w:val="20"/>
          <w:vertAlign w:val="superscript"/>
        </w:rPr>
        <w:t>0</w:t>
      </w:r>
      <w:r w:rsidR="00FC38E7" w:rsidRPr="004A4551">
        <w:rPr>
          <w:rFonts w:ascii="Arial" w:eastAsia="Times New Roman" w:hAnsi="Arial" w:cs="Arial"/>
          <w:b/>
          <w:bCs/>
          <w:color w:val="000000"/>
          <w:sz w:val="20"/>
          <w:szCs w:val="20"/>
        </w:rPr>
        <w:t>C).</w:t>
      </w:r>
    </w:p>
    <w:p w14:paraId="5F9BFCC4" w14:textId="09561B55" w:rsidR="000D1AA5"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7E3CCA6F" w14:textId="50EAAB38" w:rsidR="000D1AA5" w:rsidRPr="00703274" w:rsidRDefault="002D45FE" w:rsidP="007F7216">
      <w:pPr>
        <w:spacing w:after="0" w:line="480" w:lineRule="auto"/>
        <w:jc w:val="both"/>
        <w:rPr>
          <w:rFonts w:ascii="Arial" w:hAnsi="Arial" w:cs="Arial"/>
          <w:b/>
          <w:bCs/>
        </w:rPr>
      </w:pPr>
      <w:r w:rsidRPr="00703274">
        <w:rPr>
          <w:rFonts w:ascii="Arial" w:hAnsi="Arial" w:cs="Arial"/>
          <w:b/>
          <w:bCs/>
        </w:rPr>
        <w:t xml:space="preserve">3.3 </w:t>
      </w:r>
      <w:r w:rsidR="002C20A0" w:rsidRPr="00703274">
        <w:rPr>
          <w:rFonts w:ascii="Arial" w:hAnsi="Arial" w:cs="Arial"/>
          <w:b/>
          <w:bCs/>
        </w:rPr>
        <w:t>Physicochemical Stability</w:t>
      </w:r>
    </w:p>
    <w:p w14:paraId="55B76413" w14:textId="2D1BDF4B" w:rsidR="006F477B" w:rsidRPr="004A4551" w:rsidRDefault="006F477B"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3.3.1 pH</w:t>
      </w:r>
    </w:p>
    <w:p w14:paraId="7D2EFF5A" w14:textId="4B485D52" w:rsidR="000D1AA5"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The pH values of all four formulations at days 1, 3, and 15 are shown in Figure 7. On day 1, the control exhibited the lowest pH (most acidic), consistent with the higher pineapple content (50% v/v), since pineapple is naturally rich in citric and malic acids</w:t>
      </w:r>
      <w:r w:rsidR="00C04293" w:rsidRPr="004A4551">
        <w:rPr>
          <w:rFonts w:ascii="Arial" w:hAnsi="Arial" w:cs="Arial"/>
          <w:sz w:val="20"/>
          <w:szCs w:val="20"/>
        </w:rPr>
        <w:t>. This</w:t>
      </w:r>
      <w:r w:rsidRPr="004A4551">
        <w:rPr>
          <w:rFonts w:ascii="Arial" w:hAnsi="Arial" w:cs="Arial"/>
          <w:sz w:val="20"/>
          <w:szCs w:val="20"/>
        </w:rPr>
        <w:t xml:space="preserve"> confer</w:t>
      </w:r>
      <w:r w:rsidR="00C04293" w:rsidRPr="004A4551">
        <w:rPr>
          <w:rFonts w:ascii="Arial" w:hAnsi="Arial" w:cs="Arial"/>
          <w:sz w:val="20"/>
          <w:szCs w:val="20"/>
        </w:rPr>
        <w:t>s</w:t>
      </w:r>
      <w:r w:rsidRPr="004A4551">
        <w:rPr>
          <w:rFonts w:ascii="Arial" w:hAnsi="Arial" w:cs="Arial"/>
          <w:sz w:val="20"/>
          <w:szCs w:val="20"/>
        </w:rPr>
        <w:t xml:space="preserve"> </w:t>
      </w:r>
      <w:r w:rsidR="00C04293" w:rsidRPr="004A4551">
        <w:rPr>
          <w:rFonts w:ascii="Arial" w:hAnsi="Arial" w:cs="Arial"/>
          <w:sz w:val="20"/>
          <w:szCs w:val="20"/>
        </w:rPr>
        <w:t>a</w:t>
      </w:r>
      <w:r w:rsidRPr="004A4551">
        <w:rPr>
          <w:rFonts w:ascii="Arial" w:hAnsi="Arial" w:cs="Arial"/>
          <w:sz w:val="20"/>
          <w:szCs w:val="20"/>
        </w:rPr>
        <w:t xml:space="preserve"> characteristic pH of 3.5</w:t>
      </w:r>
      <w:r w:rsidR="00452A25">
        <w:rPr>
          <w:rFonts w:ascii="Arial" w:hAnsi="Arial" w:cs="Arial"/>
          <w:sz w:val="20"/>
          <w:szCs w:val="20"/>
        </w:rPr>
        <w:t xml:space="preserve">-4.0 (Rathore et al., 2018). The composite samples recorded higher initial pH values, reflecting the dilution of pineapple acid content by the addition of botanical extracts, which both have near-neutral </w:t>
      </w:r>
      <w:proofErr w:type="spellStart"/>
      <w:r w:rsidR="00452A25">
        <w:rPr>
          <w:rFonts w:ascii="Arial" w:hAnsi="Arial" w:cs="Arial"/>
          <w:sz w:val="20"/>
          <w:szCs w:val="20"/>
        </w:rPr>
        <w:t>pH.</w:t>
      </w:r>
      <w:proofErr w:type="spellEnd"/>
      <w:r w:rsidRPr="004A4551">
        <w:rPr>
          <w:rFonts w:ascii="Arial" w:hAnsi="Arial" w:cs="Arial"/>
          <w:sz w:val="20"/>
          <w:szCs w:val="20"/>
        </w:rPr>
        <w:t xml:space="preserve"> A statistically significant (p &lt; 0.50) decline in pH was observed across all formulations from day 1 t</w:t>
      </w:r>
      <w:r w:rsidR="001F693D" w:rsidRPr="004A4551">
        <w:rPr>
          <w:rFonts w:ascii="Arial" w:hAnsi="Arial" w:cs="Arial"/>
          <w:sz w:val="20"/>
          <w:szCs w:val="20"/>
        </w:rPr>
        <w:t>o</w:t>
      </w:r>
      <w:r w:rsidRPr="004A4551">
        <w:rPr>
          <w:rFonts w:ascii="Arial" w:hAnsi="Arial" w:cs="Arial"/>
          <w:sz w:val="20"/>
          <w:szCs w:val="20"/>
        </w:rPr>
        <w:t xml:space="preserve"> day 15, with the most pronounced decrease occurring between day 3 and day 15.</w:t>
      </w:r>
    </w:p>
    <w:p w14:paraId="0F0729CB" w14:textId="77777777" w:rsidR="000D1AA5"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3DDE353C" wp14:editId="5987BFBB">
            <wp:extent cx="4371975" cy="181927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DAFB3C" w14:textId="779B8ABB" w:rsidR="000D1AA5" w:rsidRPr="004A4551" w:rsidRDefault="002C20A0" w:rsidP="007F7216">
      <w:pPr>
        <w:spacing w:after="0" w:line="480" w:lineRule="auto"/>
        <w:jc w:val="both"/>
        <w:rPr>
          <w:rFonts w:ascii="Arial" w:eastAsia="Times New Roman" w:hAnsi="Arial" w:cs="Arial"/>
          <w:b/>
          <w:bCs/>
          <w:color w:val="000000"/>
          <w:sz w:val="20"/>
          <w:szCs w:val="20"/>
        </w:rPr>
      </w:pPr>
      <w:r w:rsidRPr="004A4551">
        <w:rPr>
          <w:rFonts w:ascii="Arial" w:hAnsi="Arial" w:cs="Arial"/>
          <w:b/>
          <w:bCs/>
          <w:sz w:val="20"/>
          <w:szCs w:val="20"/>
        </w:rPr>
        <w:lastRenderedPageBreak/>
        <w:t xml:space="preserve">Fig 7: pH </w:t>
      </w:r>
      <w:r w:rsidRPr="004A4551">
        <w:rPr>
          <w:rFonts w:ascii="Arial" w:eastAsia="Times New Roman" w:hAnsi="Arial" w:cs="Arial"/>
          <w:b/>
          <w:bCs/>
          <w:color w:val="000000"/>
          <w:sz w:val="20"/>
          <w:szCs w:val="20"/>
        </w:rPr>
        <w:t>of Pasteurized Mint-</w:t>
      </w:r>
      <w:r w:rsidR="00272984">
        <w:rPr>
          <w:rFonts w:ascii="Arial" w:eastAsia="Times New Roman" w:hAnsi="Arial" w:cs="Arial"/>
          <w:b/>
          <w:bCs/>
          <w:color w:val="000000"/>
          <w:sz w:val="20"/>
          <w:szCs w:val="20"/>
        </w:rPr>
        <w:t xml:space="preserve">Flavored and </w:t>
      </w:r>
      <w:proofErr w:type="spellStart"/>
      <w:r w:rsidRPr="004A4551">
        <w:rPr>
          <w:rFonts w:ascii="Arial" w:eastAsia="Times New Roman" w:hAnsi="Arial" w:cs="Arial"/>
          <w:b/>
          <w:bCs/>
          <w:color w:val="000000"/>
          <w:sz w:val="20"/>
          <w:szCs w:val="20"/>
        </w:rPr>
        <w:t>Bitterleaf</w:t>
      </w:r>
      <w:proofErr w:type="spellEnd"/>
      <w:r w:rsidRPr="004A4551">
        <w:rPr>
          <w:rFonts w:ascii="Arial" w:eastAsia="Times New Roman" w:hAnsi="Arial" w:cs="Arial"/>
          <w:b/>
          <w:bCs/>
          <w:color w:val="000000"/>
          <w:sz w:val="20"/>
          <w:szCs w:val="20"/>
        </w:rPr>
        <w:t>-Flavored Pineapple</w:t>
      </w:r>
      <w:r w:rsidR="00272984">
        <w:rPr>
          <w:rFonts w:ascii="Arial" w:eastAsia="Times New Roman" w:hAnsi="Arial" w:cs="Arial"/>
          <w:b/>
          <w:bCs/>
          <w:color w:val="000000"/>
          <w:sz w:val="20"/>
          <w:szCs w:val="20"/>
        </w:rPr>
        <w:t>-Cucumber</w:t>
      </w:r>
      <w:r w:rsidRPr="004A4551">
        <w:rPr>
          <w:rFonts w:ascii="Arial" w:eastAsia="Times New Roman" w:hAnsi="Arial" w:cs="Arial"/>
          <w:b/>
          <w:bCs/>
          <w:color w:val="000000"/>
          <w:sz w:val="20"/>
          <w:szCs w:val="20"/>
        </w:rPr>
        <w:t xml:space="preserve"> Juice during 21 Days Storage (28</w:t>
      </w:r>
      <w:r w:rsidRPr="004A4551">
        <w:rPr>
          <w:rFonts w:ascii="Arial" w:eastAsia="Times New Roman" w:hAnsi="Arial" w:cs="Arial"/>
          <w:b/>
          <w:bCs/>
          <w:color w:val="000000"/>
          <w:sz w:val="20"/>
          <w:szCs w:val="20"/>
          <w:vertAlign w:val="superscript"/>
        </w:rPr>
        <w:t>0</w:t>
      </w:r>
      <w:r w:rsidRPr="004A4551">
        <w:rPr>
          <w:rFonts w:ascii="Arial" w:eastAsia="Times New Roman" w:hAnsi="Arial" w:cs="Arial"/>
          <w:b/>
          <w:bCs/>
          <w:color w:val="000000"/>
          <w:sz w:val="20"/>
          <w:szCs w:val="20"/>
        </w:rPr>
        <w:t>C).</w:t>
      </w:r>
    </w:p>
    <w:p w14:paraId="666E4FBF" w14:textId="476332EB" w:rsidR="000D1AA5" w:rsidRPr="004A4551" w:rsidRDefault="002C20A0" w:rsidP="007F7216">
      <w:pPr>
        <w:spacing w:after="0" w:line="480" w:lineRule="auto"/>
        <w:ind w:left="720"/>
        <w:rPr>
          <w:rFonts w:ascii="Arial" w:hAnsi="Arial" w:cs="Arial"/>
          <w:i/>
          <w:iCs/>
          <w:sz w:val="20"/>
          <w:szCs w:val="20"/>
          <w:vertAlign w:val="superscript"/>
        </w:rPr>
      </w:pPr>
      <w:r w:rsidRPr="004A4551">
        <w:rPr>
          <w:rFonts w:ascii="Arial" w:hAnsi="Arial" w:cs="Arial"/>
          <w:i/>
          <w:iCs/>
          <w:sz w:val="20"/>
          <w:szCs w:val="20"/>
          <w:vertAlign w:val="superscript"/>
        </w:rPr>
        <w:t xml:space="preserve">Control (100% pineapple-cucumber juice), Sample B (95% pineapple-cucumber juice and 5% bitter leaf extract), Sample C (95% pineapple-cucumber juice and 2.5% of mint and bitter leaf extracts), and Sample D (95% pineapple-cucumber juice and 5% mint leaf extract). </w:t>
      </w:r>
    </w:p>
    <w:p w14:paraId="5E79B08E" w14:textId="665CC00F" w:rsidR="002D45FE"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w:t>
      </w:r>
      <w:r w:rsidR="001F693D" w:rsidRPr="004A4551">
        <w:rPr>
          <w:rFonts w:ascii="Arial" w:hAnsi="Arial" w:cs="Arial"/>
          <w:sz w:val="20"/>
          <w:szCs w:val="20"/>
        </w:rPr>
        <w:t xml:space="preserve">control exhibited the steepest rate of </w:t>
      </w:r>
      <w:r w:rsidR="00212C71" w:rsidRPr="004A4551">
        <w:rPr>
          <w:rFonts w:ascii="Arial" w:hAnsi="Arial" w:cs="Arial"/>
          <w:sz w:val="20"/>
          <w:szCs w:val="20"/>
        </w:rPr>
        <w:t>acidification during storage, corroborating the TBC data (Fig 4)</w:t>
      </w:r>
      <w:r w:rsidR="00452A25">
        <w:rPr>
          <w:rFonts w:ascii="Arial" w:hAnsi="Arial" w:cs="Arial"/>
          <w:sz w:val="20"/>
          <w:szCs w:val="20"/>
        </w:rPr>
        <w:t>,</w:t>
      </w:r>
      <w:r w:rsidR="00212C71" w:rsidRPr="004A4551">
        <w:rPr>
          <w:rFonts w:ascii="Arial" w:hAnsi="Arial" w:cs="Arial"/>
          <w:sz w:val="20"/>
          <w:szCs w:val="20"/>
        </w:rPr>
        <w:t xml:space="preserve"> which confirmed that exponential bacterial proliferation in the control </w:t>
      </w:r>
      <w:r w:rsidR="00452A25">
        <w:rPr>
          <w:rFonts w:ascii="Arial" w:hAnsi="Arial" w:cs="Arial"/>
          <w:sz w:val="20"/>
          <w:szCs w:val="20"/>
        </w:rPr>
        <w:t>led to a proportionally greater reduction in organic acids through fermentative catabolism of the juice's</w:t>
      </w:r>
      <w:r w:rsidR="00212C71" w:rsidRPr="004A4551">
        <w:rPr>
          <w:rFonts w:ascii="Arial" w:hAnsi="Arial" w:cs="Arial"/>
          <w:sz w:val="20"/>
          <w:szCs w:val="20"/>
        </w:rPr>
        <w:t xml:space="preserve"> fermentable sugars</w:t>
      </w:r>
      <w:r w:rsidR="00D40681" w:rsidRPr="004A4551">
        <w:rPr>
          <w:rFonts w:ascii="Arial" w:hAnsi="Arial" w:cs="Arial"/>
          <w:sz w:val="20"/>
          <w:szCs w:val="20"/>
        </w:rPr>
        <w:t xml:space="preserve"> (</w:t>
      </w:r>
      <w:proofErr w:type="spellStart"/>
      <w:r w:rsidR="00D40681" w:rsidRPr="004A4551">
        <w:rPr>
          <w:rFonts w:ascii="Arial" w:hAnsi="Arial" w:cs="Arial"/>
          <w:sz w:val="20"/>
          <w:szCs w:val="20"/>
        </w:rPr>
        <w:t>Beuchat</w:t>
      </w:r>
      <w:proofErr w:type="spellEnd"/>
      <w:r w:rsidR="00D40681" w:rsidRPr="004A4551">
        <w:rPr>
          <w:rFonts w:ascii="Arial" w:hAnsi="Arial" w:cs="Arial"/>
          <w:sz w:val="20"/>
          <w:szCs w:val="20"/>
        </w:rPr>
        <w:t>, 2022; Sanchez-Moreno et al., 2003)</w:t>
      </w:r>
      <w:r w:rsidR="00212C71" w:rsidRPr="004A4551">
        <w:rPr>
          <w:rFonts w:ascii="Arial" w:hAnsi="Arial" w:cs="Arial"/>
          <w:sz w:val="20"/>
          <w:szCs w:val="20"/>
        </w:rPr>
        <w:t>. In contrast, the composite formulations maintained greater pH stability, particularly during days 1-3</w:t>
      </w:r>
      <w:r w:rsidR="00D40681" w:rsidRPr="004A4551">
        <w:rPr>
          <w:rFonts w:ascii="Arial" w:hAnsi="Arial" w:cs="Arial"/>
          <w:sz w:val="20"/>
          <w:szCs w:val="20"/>
        </w:rPr>
        <w:t>. This was</w:t>
      </w:r>
      <w:r w:rsidR="00212C71" w:rsidRPr="004A4551">
        <w:rPr>
          <w:rFonts w:ascii="Arial" w:hAnsi="Arial" w:cs="Arial"/>
          <w:sz w:val="20"/>
          <w:szCs w:val="20"/>
        </w:rPr>
        <w:t xml:space="preserve"> consistent with the antimicrobial suppression of fermentative microorganisms by</w:t>
      </w:r>
      <w:r w:rsidR="00D40681" w:rsidRPr="004A4551">
        <w:rPr>
          <w:rFonts w:ascii="Arial" w:hAnsi="Arial" w:cs="Arial"/>
          <w:sz w:val="20"/>
          <w:szCs w:val="20"/>
        </w:rPr>
        <w:t xml:space="preserve"> the phytochemicals </w:t>
      </w:r>
      <w:r w:rsidR="00452A25">
        <w:rPr>
          <w:rFonts w:ascii="Arial" w:hAnsi="Arial" w:cs="Arial"/>
          <w:sz w:val="20"/>
          <w:szCs w:val="20"/>
        </w:rPr>
        <w:t>in the botanical extracts, as reported by Nwachukwu et al.</w:t>
      </w:r>
      <w:r w:rsidR="00D40681" w:rsidRPr="004A4551">
        <w:rPr>
          <w:rFonts w:ascii="Arial" w:hAnsi="Arial" w:cs="Arial"/>
          <w:sz w:val="20"/>
          <w:szCs w:val="20"/>
        </w:rPr>
        <w:t xml:space="preserve"> (2023).</w:t>
      </w:r>
      <w:r w:rsidRPr="004A4551">
        <w:rPr>
          <w:rFonts w:ascii="Arial" w:hAnsi="Arial" w:cs="Arial"/>
          <w:sz w:val="20"/>
          <w:szCs w:val="20"/>
        </w:rPr>
        <w:t xml:space="preserve"> Nwachukwu et al. (2023 reported that beverages fortified with plant-derived </w:t>
      </w:r>
      <w:proofErr w:type="spellStart"/>
      <w:r w:rsidRPr="004A4551">
        <w:rPr>
          <w:rFonts w:ascii="Arial" w:hAnsi="Arial" w:cs="Arial"/>
          <w:sz w:val="20"/>
          <w:szCs w:val="20"/>
        </w:rPr>
        <w:t>bioactives</w:t>
      </w:r>
      <w:proofErr w:type="spellEnd"/>
      <w:r w:rsidRPr="004A4551">
        <w:rPr>
          <w:rFonts w:ascii="Arial" w:hAnsi="Arial" w:cs="Arial"/>
          <w:sz w:val="20"/>
          <w:szCs w:val="20"/>
        </w:rPr>
        <w:t xml:space="preserve"> exhibited greater pH stability during storage due to inhibited microbial fermentation. The pH data thus provide independent physicochemical corroboration of the microbiological findings </w:t>
      </w:r>
      <w:r w:rsidR="00227068" w:rsidRPr="004A4551">
        <w:rPr>
          <w:rFonts w:ascii="Arial" w:hAnsi="Arial" w:cs="Arial"/>
          <w:sz w:val="20"/>
          <w:szCs w:val="20"/>
        </w:rPr>
        <w:t xml:space="preserve">in section 3.1. </w:t>
      </w:r>
    </w:p>
    <w:p w14:paraId="53272F32" w14:textId="6A0D7226" w:rsidR="006F477B" w:rsidRPr="004A4551" w:rsidRDefault="006F477B" w:rsidP="007F7216">
      <w:pPr>
        <w:spacing w:after="0" w:line="480" w:lineRule="auto"/>
        <w:rPr>
          <w:rFonts w:ascii="Arial" w:hAnsi="Arial" w:cs="Arial"/>
          <w:b/>
          <w:bCs/>
          <w:sz w:val="20"/>
          <w:szCs w:val="20"/>
          <w:u w:val="single"/>
        </w:rPr>
      </w:pPr>
      <w:r w:rsidRPr="004A4551">
        <w:rPr>
          <w:rFonts w:ascii="Arial" w:hAnsi="Arial" w:cs="Arial"/>
          <w:b/>
          <w:bCs/>
          <w:sz w:val="20"/>
          <w:szCs w:val="20"/>
          <w:u w:val="single"/>
        </w:rPr>
        <w:t>3.3.2 The Total Titratable Acidity (TTA)</w:t>
      </w:r>
    </w:p>
    <w:p w14:paraId="5E87D5E0" w14:textId="2CA7AD0B" w:rsidR="002D45FE"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total titratable acidity (TTA) of all four </w:t>
      </w:r>
      <w:r w:rsidR="00E91522" w:rsidRPr="004A4551">
        <w:rPr>
          <w:rFonts w:ascii="Arial" w:hAnsi="Arial" w:cs="Arial"/>
          <w:sz w:val="20"/>
          <w:szCs w:val="20"/>
        </w:rPr>
        <w:t xml:space="preserve">formulations </w:t>
      </w:r>
      <w:r w:rsidRPr="004A4551">
        <w:rPr>
          <w:rFonts w:ascii="Arial" w:hAnsi="Arial" w:cs="Arial"/>
          <w:sz w:val="20"/>
          <w:szCs w:val="20"/>
        </w:rPr>
        <w:t xml:space="preserve">declined progressively from day 1 to day 15 </w:t>
      </w:r>
      <w:r w:rsidR="00E91522" w:rsidRPr="004A4551">
        <w:rPr>
          <w:rFonts w:ascii="Arial" w:hAnsi="Arial" w:cs="Arial"/>
          <w:sz w:val="20"/>
          <w:szCs w:val="20"/>
        </w:rPr>
        <w:t xml:space="preserve">of </w:t>
      </w:r>
      <w:r w:rsidRPr="004A4551">
        <w:rPr>
          <w:rFonts w:ascii="Arial" w:hAnsi="Arial" w:cs="Arial"/>
          <w:sz w:val="20"/>
          <w:szCs w:val="20"/>
        </w:rPr>
        <w:t>ambient storage (28</w:t>
      </w:r>
      <w:r w:rsidRPr="004A4551">
        <w:rPr>
          <w:rFonts w:ascii="Arial" w:hAnsi="Arial" w:cs="Arial"/>
          <w:sz w:val="20"/>
          <w:szCs w:val="20"/>
          <w:vertAlign w:val="superscript"/>
        </w:rPr>
        <w:t>0</w:t>
      </w:r>
      <w:r w:rsidRPr="004A4551">
        <w:rPr>
          <w:rFonts w:ascii="Arial" w:hAnsi="Arial" w:cs="Arial"/>
          <w:sz w:val="20"/>
          <w:szCs w:val="20"/>
        </w:rPr>
        <w:t>C)</w:t>
      </w:r>
      <w:r w:rsidR="00E91522" w:rsidRPr="004A4551">
        <w:rPr>
          <w:rFonts w:ascii="Arial" w:hAnsi="Arial" w:cs="Arial"/>
          <w:sz w:val="20"/>
          <w:szCs w:val="20"/>
        </w:rPr>
        <w:t xml:space="preserve"> </w:t>
      </w:r>
      <w:r w:rsidR="00CD4EED" w:rsidRPr="004A4551">
        <w:rPr>
          <w:rFonts w:ascii="Arial" w:hAnsi="Arial" w:cs="Arial"/>
          <w:sz w:val="20"/>
          <w:szCs w:val="20"/>
        </w:rPr>
        <w:t>(</w:t>
      </w:r>
      <w:r w:rsidRPr="004A4551">
        <w:rPr>
          <w:rFonts w:ascii="Arial" w:hAnsi="Arial" w:cs="Arial"/>
          <w:sz w:val="20"/>
          <w:szCs w:val="20"/>
        </w:rPr>
        <w:t>Figure 8</w:t>
      </w:r>
      <w:r w:rsidR="00CD4EED" w:rsidRPr="004A4551">
        <w:rPr>
          <w:rFonts w:ascii="Arial" w:hAnsi="Arial" w:cs="Arial"/>
          <w:sz w:val="20"/>
          <w:szCs w:val="20"/>
        </w:rPr>
        <w:t>)</w:t>
      </w:r>
      <w:r w:rsidRPr="004A4551">
        <w:rPr>
          <w:rFonts w:ascii="Arial" w:hAnsi="Arial" w:cs="Arial"/>
          <w:sz w:val="20"/>
          <w:szCs w:val="20"/>
        </w:rPr>
        <w:t>. Th</w:t>
      </w:r>
      <w:r w:rsidR="00226661" w:rsidRPr="004A4551">
        <w:rPr>
          <w:rFonts w:ascii="Arial" w:hAnsi="Arial" w:cs="Arial"/>
          <w:sz w:val="20"/>
          <w:szCs w:val="20"/>
        </w:rPr>
        <w:t>is reflected</w:t>
      </w:r>
      <w:r w:rsidRPr="004A4551">
        <w:rPr>
          <w:rFonts w:ascii="Arial" w:hAnsi="Arial" w:cs="Arial"/>
          <w:sz w:val="20"/>
          <w:szCs w:val="20"/>
        </w:rPr>
        <w:t xml:space="preserve"> a net reduction in titratable organic</w:t>
      </w:r>
      <w:r w:rsidR="00226661" w:rsidRPr="004A4551">
        <w:rPr>
          <w:rFonts w:ascii="Arial" w:hAnsi="Arial" w:cs="Arial"/>
          <w:sz w:val="20"/>
          <w:szCs w:val="20"/>
        </w:rPr>
        <w:t xml:space="preserve"> acid </w:t>
      </w:r>
      <w:r w:rsidR="00AF02EB" w:rsidRPr="004A4551">
        <w:rPr>
          <w:rFonts w:ascii="Arial" w:hAnsi="Arial" w:cs="Arial"/>
          <w:sz w:val="20"/>
          <w:szCs w:val="20"/>
        </w:rPr>
        <w:t>content</w:t>
      </w:r>
      <w:r w:rsidRPr="004A4551">
        <w:rPr>
          <w:rFonts w:ascii="Arial" w:hAnsi="Arial" w:cs="Arial"/>
          <w:sz w:val="20"/>
          <w:szCs w:val="20"/>
        </w:rPr>
        <w:t xml:space="preserve">. On day 1, sample C recorded the highest initial TTA </w:t>
      </w:r>
      <w:r w:rsidR="00AF02EB" w:rsidRPr="004A4551">
        <w:rPr>
          <w:rFonts w:ascii="Arial" w:hAnsi="Arial" w:cs="Arial"/>
          <w:sz w:val="20"/>
          <w:szCs w:val="20"/>
        </w:rPr>
        <w:t>at approximately</w:t>
      </w:r>
      <w:r w:rsidRPr="004A4551">
        <w:rPr>
          <w:rFonts w:ascii="Arial" w:hAnsi="Arial" w:cs="Arial"/>
          <w:sz w:val="20"/>
          <w:szCs w:val="20"/>
        </w:rPr>
        <w:t xml:space="preserve"> 1.35 % citric acid </w:t>
      </w:r>
      <w:r w:rsidR="00AF02EB" w:rsidRPr="004A4551">
        <w:rPr>
          <w:rFonts w:ascii="Arial" w:hAnsi="Arial" w:cs="Arial"/>
          <w:sz w:val="20"/>
          <w:szCs w:val="20"/>
        </w:rPr>
        <w:t>equivalent</w:t>
      </w:r>
      <w:r w:rsidRPr="004A4551">
        <w:rPr>
          <w:rFonts w:ascii="Arial" w:hAnsi="Arial" w:cs="Arial"/>
          <w:sz w:val="20"/>
          <w:szCs w:val="20"/>
        </w:rPr>
        <w:t xml:space="preserve">, followed by sample D </w:t>
      </w:r>
      <w:r w:rsidR="00AF02EB" w:rsidRPr="004A4551">
        <w:rPr>
          <w:rFonts w:ascii="Arial" w:hAnsi="Arial" w:cs="Arial"/>
          <w:sz w:val="20"/>
          <w:szCs w:val="20"/>
        </w:rPr>
        <w:t>(=</w:t>
      </w:r>
      <w:r w:rsidRPr="004A4551">
        <w:rPr>
          <w:rFonts w:ascii="Arial" w:hAnsi="Arial" w:cs="Arial"/>
          <w:sz w:val="20"/>
          <w:szCs w:val="20"/>
        </w:rPr>
        <w:t>1.25%</w:t>
      </w:r>
      <w:r w:rsidR="00AF02EB" w:rsidRPr="004A4551">
        <w:rPr>
          <w:rFonts w:ascii="Arial" w:hAnsi="Arial" w:cs="Arial"/>
          <w:sz w:val="20"/>
          <w:szCs w:val="20"/>
        </w:rPr>
        <w:t>), the</w:t>
      </w:r>
      <w:r w:rsidRPr="004A4551">
        <w:rPr>
          <w:rFonts w:ascii="Arial" w:hAnsi="Arial" w:cs="Arial"/>
          <w:sz w:val="20"/>
          <w:szCs w:val="20"/>
        </w:rPr>
        <w:t xml:space="preserve"> control </w:t>
      </w:r>
      <w:r w:rsidR="00AF02EB" w:rsidRPr="004A4551">
        <w:rPr>
          <w:rFonts w:ascii="Arial" w:hAnsi="Arial" w:cs="Arial"/>
          <w:sz w:val="20"/>
          <w:szCs w:val="20"/>
        </w:rPr>
        <w:t>(=</w:t>
      </w:r>
      <w:r w:rsidRPr="004A4551">
        <w:rPr>
          <w:rFonts w:ascii="Arial" w:hAnsi="Arial" w:cs="Arial"/>
          <w:sz w:val="20"/>
          <w:szCs w:val="20"/>
        </w:rPr>
        <w:t>1.06%</w:t>
      </w:r>
      <w:r w:rsidR="00AF02EB" w:rsidRPr="004A4551">
        <w:rPr>
          <w:rFonts w:ascii="Arial" w:hAnsi="Arial" w:cs="Arial"/>
          <w:sz w:val="20"/>
          <w:szCs w:val="20"/>
        </w:rPr>
        <w:t>)</w:t>
      </w:r>
      <w:r w:rsidRPr="004A4551">
        <w:rPr>
          <w:rFonts w:ascii="Arial" w:hAnsi="Arial" w:cs="Arial"/>
          <w:sz w:val="20"/>
          <w:szCs w:val="20"/>
        </w:rPr>
        <w:t>, and sample B</w:t>
      </w:r>
      <w:r w:rsidR="00AF02EB" w:rsidRPr="004A4551">
        <w:rPr>
          <w:rFonts w:ascii="Arial" w:hAnsi="Arial" w:cs="Arial"/>
          <w:sz w:val="20"/>
          <w:szCs w:val="20"/>
        </w:rPr>
        <w:t xml:space="preserve"> (=</w:t>
      </w:r>
      <w:r w:rsidRPr="004A4551">
        <w:rPr>
          <w:rFonts w:ascii="Arial" w:hAnsi="Arial" w:cs="Arial"/>
          <w:sz w:val="20"/>
          <w:szCs w:val="20"/>
        </w:rPr>
        <w:t>1.05%</w:t>
      </w:r>
      <w:r w:rsidR="00AF02EB" w:rsidRPr="004A4551">
        <w:rPr>
          <w:rFonts w:ascii="Arial" w:hAnsi="Arial" w:cs="Arial"/>
          <w:sz w:val="20"/>
          <w:szCs w:val="20"/>
        </w:rPr>
        <w:t>)</w:t>
      </w:r>
      <w:r w:rsidRPr="004A4551">
        <w:rPr>
          <w:rFonts w:ascii="Arial" w:hAnsi="Arial" w:cs="Arial"/>
          <w:sz w:val="20"/>
          <w:szCs w:val="20"/>
        </w:rPr>
        <w:t xml:space="preserve">. By day 15, all formulations showed substantial </w:t>
      </w:r>
      <w:r w:rsidR="00AF02EB" w:rsidRPr="004A4551">
        <w:rPr>
          <w:rFonts w:ascii="Arial" w:hAnsi="Arial" w:cs="Arial"/>
          <w:sz w:val="20"/>
          <w:szCs w:val="20"/>
        </w:rPr>
        <w:t>reductions:</w:t>
      </w:r>
      <w:r w:rsidRPr="004A4551">
        <w:rPr>
          <w:rFonts w:ascii="Arial" w:hAnsi="Arial" w:cs="Arial"/>
          <w:sz w:val="20"/>
          <w:szCs w:val="20"/>
        </w:rPr>
        <w:t xml:space="preserve"> Sample B decline</w:t>
      </w:r>
      <w:r w:rsidR="00AF02EB" w:rsidRPr="004A4551">
        <w:rPr>
          <w:rFonts w:ascii="Arial" w:hAnsi="Arial" w:cs="Arial"/>
          <w:sz w:val="20"/>
          <w:szCs w:val="20"/>
        </w:rPr>
        <w:t>d</w:t>
      </w:r>
      <w:r w:rsidRPr="004A4551">
        <w:rPr>
          <w:rFonts w:ascii="Arial" w:hAnsi="Arial" w:cs="Arial"/>
          <w:sz w:val="20"/>
          <w:szCs w:val="20"/>
        </w:rPr>
        <w:t xml:space="preserve"> from </w:t>
      </w:r>
      <w:r w:rsidR="00AF02EB" w:rsidRPr="004A4551">
        <w:rPr>
          <w:rFonts w:ascii="Arial" w:hAnsi="Arial" w:cs="Arial"/>
          <w:sz w:val="20"/>
          <w:szCs w:val="20"/>
        </w:rPr>
        <w:t xml:space="preserve">approximately </w:t>
      </w:r>
      <w:r w:rsidRPr="004A4551">
        <w:rPr>
          <w:rFonts w:ascii="Arial" w:hAnsi="Arial" w:cs="Arial"/>
          <w:sz w:val="20"/>
          <w:szCs w:val="20"/>
        </w:rPr>
        <w:t>1.05%</w:t>
      </w:r>
      <w:r w:rsidR="00AF02EB" w:rsidRPr="004A4551">
        <w:rPr>
          <w:rFonts w:ascii="Arial" w:hAnsi="Arial" w:cs="Arial"/>
          <w:sz w:val="20"/>
          <w:szCs w:val="20"/>
        </w:rPr>
        <w:t xml:space="preserve"> </w:t>
      </w:r>
      <w:r w:rsidRPr="004A4551">
        <w:rPr>
          <w:rFonts w:ascii="Arial" w:hAnsi="Arial" w:cs="Arial"/>
          <w:sz w:val="20"/>
          <w:szCs w:val="20"/>
        </w:rPr>
        <w:t xml:space="preserve">to </w:t>
      </w:r>
      <w:r w:rsidR="00AF02EB" w:rsidRPr="004A4551">
        <w:rPr>
          <w:rFonts w:ascii="Arial" w:hAnsi="Arial" w:cs="Arial"/>
          <w:sz w:val="20"/>
          <w:szCs w:val="20"/>
        </w:rPr>
        <w:t xml:space="preserve">approximately </w:t>
      </w:r>
      <w:r w:rsidRPr="004A4551">
        <w:rPr>
          <w:rFonts w:ascii="Arial" w:hAnsi="Arial" w:cs="Arial"/>
          <w:sz w:val="20"/>
          <w:szCs w:val="20"/>
        </w:rPr>
        <w:t>0.25%</w:t>
      </w:r>
      <w:r w:rsidR="00AF02EB" w:rsidRPr="004A4551">
        <w:rPr>
          <w:rFonts w:ascii="Arial" w:hAnsi="Arial" w:cs="Arial"/>
          <w:sz w:val="20"/>
          <w:szCs w:val="20"/>
        </w:rPr>
        <w:t>;</w:t>
      </w:r>
      <w:r w:rsidRPr="004A4551">
        <w:rPr>
          <w:rFonts w:ascii="Arial" w:hAnsi="Arial" w:cs="Arial"/>
          <w:sz w:val="20"/>
          <w:szCs w:val="20"/>
        </w:rPr>
        <w:t xml:space="preserve"> </w:t>
      </w:r>
      <w:r w:rsidR="00AF02EB" w:rsidRPr="004A4551">
        <w:rPr>
          <w:rFonts w:ascii="Arial" w:hAnsi="Arial" w:cs="Arial"/>
          <w:sz w:val="20"/>
          <w:szCs w:val="20"/>
        </w:rPr>
        <w:t>s</w:t>
      </w:r>
      <w:r w:rsidRPr="004A4551">
        <w:rPr>
          <w:rFonts w:ascii="Arial" w:hAnsi="Arial" w:cs="Arial"/>
          <w:sz w:val="20"/>
          <w:szCs w:val="20"/>
        </w:rPr>
        <w:t>ample C from 1.35% to 0.77%</w:t>
      </w:r>
      <w:r w:rsidR="00AF02EB" w:rsidRPr="004A4551">
        <w:rPr>
          <w:rFonts w:ascii="Arial" w:hAnsi="Arial" w:cs="Arial"/>
          <w:sz w:val="20"/>
          <w:szCs w:val="20"/>
        </w:rPr>
        <w:t xml:space="preserve">; sample D from 1.25% to 0.84%; and the control from 1.06% to 0.72%, with the control showing </w:t>
      </w:r>
      <w:r w:rsidRPr="004A4551">
        <w:rPr>
          <w:rFonts w:ascii="Arial" w:hAnsi="Arial" w:cs="Arial"/>
          <w:sz w:val="20"/>
          <w:szCs w:val="20"/>
        </w:rPr>
        <w:t xml:space="preserve">the most stable </w:t>
      </w:r>
      <w:r w:rsidR="00AF02EB" w:rsidRPr="004A4551">
        <w:rPr>
          <w:rFonts w:ascii="Arial" w:hAnsi="Arial" w:cs="Arial"/>
          <w:sz w:val="20"/>
          <w:szCs w:val="20"/>
        </w:rPr>
        <w:t>profile</w:t>
      </w:r>
      <w:r w:rsidRPr="004A4551">
        <w:rPr>
          <w:rFonts w:ascii="Arial" w:hAnsi="Arial" w:cs="Arial"/>
          <w:sz w:val="20"/>
          <w:szCs w:val="20"/>
        </w:rPr>
        <w:t>.</w:t>
      </w:r>
    </w:p>
    <w:p w14:paraId="4087AF6D" w14:textId="6A19E1B4" w:rsidR="000D1AA5" w:rsidRPr="004A4551" w:rsidRDefault="002C20A0" w:rsidP="007F7216">
      <w:pPr>
        <w:spacing w:after="0" w:line="480" w:lineRule="auto"/>
        <w:jc w:val="both"/>
        <w:rPr>
          <w:rFonts w:ascii="Arial" w:hAnsi="Arial" w:cs="Arial"/>
          <w:sz w:val="20"/>
          <w:szCs w:val="20"/>
        </w:rPr>
      </w:pPr>
      <w:r w:rsidRPr="004A4551">
        <w:rPr>
          <w:rFonts w:ascii="Arial" w:hAnsi="Arial" w:cs="Arial"/>
          <w:sz w:val="20"/>
          <w:szCs w:val="20"/>
        </w:rPr>
        <w:t xml:space="preserve">The progressive decline in TTA </w:t>
      </w:r>
      <w:r w:rsidR="006A0A87" w:rsidRPr="004A4551">
        <w:rPr>
          <w:rFonts w:ascii="Arial" w:hAnsi="Arial" w:cs="Arial"/>
          <w:sz w:val="20"/>
          <w:szCs w:val="20"/>
        </w:rPr>
        <w:t xml:space="preserve">is </w:t>
      </w:r>
      <w:r w:rsidRPr="004A4551">
        <w:rPr>
          <w:rFonts w:ascii="Arial" w:hAnsi="Arial" w:cs="Arial"/>
          <w:sz w:val="20"/>
          <w:szCs w:val="20"/>
        </w:rPr>
        <w:t>attributed to microbial, enzymatic, and non-enzymatic degradation of organic acids</w:t>
      </w:r>
      <w:r w:rsidR="00266366" w:rsidRPr="004A4551">
        <w:rPr>
          <w:rFonts w:ascii="Arial" w:hAnsi="Arial" w:cs="Arial"/>
          <w:sz w:val="20"/>
          <w:szCs w:val="20"/>
        </w:rPr>
        <w:t>;</w:t>
      </w:r>
      <w:r w:rsidRPr="004A4551">
        <w:rPr>
          <w:rFonts w:ascii="Arial" w:hAnsi="Arial" w:cs="Arial"/>
          <w:sz w:val="20"/>
          <w:szCs w:val="20"/>
        </w:rPr>
        <w:t xml:space="preserve"> malic, citric, and tartaric acids</w:t>
      </w:r>
      <w:r w:rsidR="00266366" w:rsidRPr="004A4551">
        <w:rPr>
          <w:rFonts w:ascii="Arial" w:hAnsi="Arial" w:cs="Arial"/>
          <w:sz w:val="20"/>
          <w:szCs w:val="20"/>
        </w:rPr>
        <w:t>, during</w:t>
      </w:r>
      <w:r w:rsidRPr="004A4551">
        <w:rPr>
          <w:rFonts w:ascii="Arial" w:hAnsi="Arial" w:cs="Arial"/>
          <w:sz w:val="20"/>
          <w:szCs w:val="20"/>
        </w:rPr>
        <w:t xml:space="preserve"> ambient </w:t>
      </w:r>
      <w:r w:rsidR="00266366" w:rsidRPr="004A4551">
        <w:rPr>
          <w:rFonts w:ascii="Arial" w:hAnsi="Arial" w:cs="Arial"/>
          <w:sz w:val="20"/>
          <w:szCs w:val="20"/>
        </w:rPr>
        <w:t>storage</w:t>
      </w:r>
      <w:r w:rsidRPr="004A4551">
        <w:rPr>
          <w:rFonts w:ascii="Arial" w:hAnsi="Arial" w:cs="Arial"/>
          <w:sz w:val="20"/>
          <w:szCs w:val="20"/>
        </w:rPr>
        <w:t xml:space="preserve">, </w:t>
      </w:r>
      <w:r w:rsidR="00266366" w:rsidRPr="004A4551">
        <w:rPr>
          <w:rFonts w:ascii="Arial" w:hAnsi="Arial" w:cs="Arial"/>
          <w:sz w:val="20"/>
          <w:szCs w:val="20"/>
        </w:rPr>
        <w:t>consistent with</w:t>
      </w:r>
      <w:r w:rsidRPr="004A4551">
        <w:rPr>
          <w:rFonts w:ascii="Arial" w:hAnsi="Arial" w:cs="Arial"/>
          <w:sz w:val="20"/>
          <w:szCs w:val="20"/>
        </w:rPr>
        <w:t xml:space="preserve"> earlier</w:t>
      </w:r>
      <w:r w:rsidR="00266366" w:rsidRPr="004A4551">
        <w:rPr>
          <w:rFonts w:ascii="Arial" w:hAnsi="Arial" w:cs="Arial"/>
          <w:sz w:val="20"/>
          <w:szCs w:val="20"/>
        </w:rPr>
        <w:t xml:space="preserve"> reports</w:t>
      </w:r>
      <w:r w:rsidRPr="004A4551">
        <w:rPr>
          <w:rFonts w:ascii="Arial" w:hAnsi="Arial" w:cs="Arial"/>
          <w:sz w:val="20"/>
          <w:szCs w:val="20"/>
        </w:rPr>
        <w:t xml:space="preserve"> for pasteurized fruit and vegetable beverages (H</w:t>
      </w:r>
      <w:r w:rsidR="00BC247E">
        <w:rPr>
          <w:rFonts w:ascii="Arial" w:hAnsi="Arial" w:cs="Arial"/>
          <w:sz w:val="20"/>
          <w:szCs w:val="20"/>
        </w:rPr>
        <w:t>o</w:t>
      </w:r>
      <w:r w:rsidRPr="004A4551">
        <w:rPr>
          <w:rFonts w:ascii="Arial" w:hAnsi="Arial" w:cs="Arial"/>
          <w:sz w:val="20"/>
          <w:szCs w:val="20"/>
        </w:rPr>
        <w:t>ssain et al., 201</w:t>
      </w:r>
      <w:r w:rsidR="003B0588">
        <w:rPr>
          <w:rFonts w:ascii="Arial" w:hAnsi="Arial" w:cs="Arial"/>
          <w:sz w:val="20"/>
          <w:szCs w:val="20"/>
        </w:rPr>
        <w:t>5</w:t>
      </w:r>
      <w:r w:rsidRPr="004A4551">
        <w:rPr>
          <w:rFonts w:ascii="Arial" w:hAnsi="Arial" w:cs="Arial"/>
          <w:sz w:val="20"/>
          <w:szCs w:val="20"/>
        </w:rPr>
        <w:t xml:space="preserve">; </w:t>
      </w:r>
      <w:proofErr w:type="spellStart"/>
      <w:r w:rsidRPr="004A4551">
        <w:rPr>
          <w:rFonts w:ascii="Arial" w:hAnsi="Arial" w:cs="Arial"/>
          <w:sz w:val="20"/>
          <w:szCs w:val="20"/>
        </w:rPr>
        <w:t>Akinwale</w:t>
      </w:r>
      <w:proofErr w:type="spellEnd"/>
      <w:r w:rsidRPr="004A4551">
        <w:rPr>
          <w:rFonts w:ascii="Arial" w:hAnsi="Arial" w:cs="Arial"/>
          <w:sz w:val="20"/>
          <w:szCs w:val="20"/>
        </w:rPr>
        <w:t xml:space="preserve"> et al., 2017). The steepest</w:t>
      </w:r>
      <w:r w:rsidR="00266366" w:rsidRPr="004A4551">
        <w:rPr>
          <w:rFonts w:ascii="Arial" w:hAnsi="Arial" w:cs="Arial"/>
          <w:sz w:val="20"/>
          <w:szCs w:val="20"/>
        </w:rPr>
        <w:t xml:space="preserve"> TTA</w:t>
      </w:r>
      <w:r w:rsidRPr="004A4551">
        <w:rPr>
          <w:rFonts w:ascii="Arial" w:hAnsi="Arial" w:cs="Arial"/>
          <w:sz w:val="20"/>
          <w:szCs w:val="20"/>
        </w:rPr>
        <w:t xml:space="preserve"> decline in sample B relative to the control suggests that its complex </w:t>
      </w:r>
      <w:r w:rsidR="00266366" w:rsidRPr="004A4551">
        <w:rPr>
          <w:rFonts w:ascii="Arial" w:hAnsi="Arial" w:cs="Arial"/>
          <w:sz w:val="20"/>
          <w:szCs w:val="20"/>
        </w:rPr>
        <w:t>phytochemical</w:t>
      </w:r>
      <w:r w:rsidRPr="004A4551">
        <w:rPr>
          <w:rFonts w:ascii="Arial" w:hAnsi="Arial" w:cs="Arial"/>
          <w:sz w:val="20"/>
          <w:szCs w:val="20"/>
        </w:rPr>
        <w:t xml:space="preserve"> matrix</w:t>
      </w:r>
      <w:r w:rsidR="00266366" w:rsidRPr="004A4551">
        <w:rPr>
          <w:rFonts w:ascii="Arial" w:hAnsi="Arial" w:cs="Arial"/>
          <w:sz w:val="20"/>
          <w:szCs w:val="20"/>
        </w:rPr>
        <w:t xml:space="preserve"> promoted</w:t>
      </w:r>
      <w:r w:rsidRPr="004A4551">
        <w:rPr>
          <w:rFonts w:ascii="Arial" w:hAnsi="Arial" w:cs="Arial"/>
          <w:sz w:val="20"/>
          <w:szCs w:val="20"/>
        </w:rPr>
        <w:t xml:space="preserve"> biochemical interactions within the juice </w:t>
      </w:r>
      <w:r w:rsidR="00266366" w:rsidRPr="004A4551">
        <w:rPr>
          <w:rFonts w:ascii="Arial" w:hAnsi="Arial" w:cs="Arial"/>
          <w:sz w:val="20"/>
          <w:szCs w:val="20"/>
        </w:rPr>
        <w:t>acid fraction, accelerating organic acid consumption beyond that observed in the simpler, unfortified matrix</w:t>
      </w:r>
      <w:r w:rsidRPr="004A4551">
        <w:rPr>
          <w:rFonts w:ascii="Arial" w:hAnsi="Arial" w:cs="Arial"/>
          <w:sz w:val="20"/>
          <w:szCs w:val="20"/>
        </w:rPr>
        <w:t xml:space="preserve">. This corroborates the findings of Ajayi and </w:t>
      </w:r>
      <w:proofErr w:type="spellStart"/>
      <w:r w:rsidRPr="004A4551">
        <w:rPr>
          <w:rFonts w:ascii="Arial" w:hAnsi="Arial" w:cs="Arial"/>
          <w:sz w:val="20"/>
          <w:szCs w:val="20"/>
        </w:rPr>
        <w:t>Falegan</w:t>
      </w:r>
      <w:proofErr w:type="spellEnd"/>
      <w:r w:rsidRPr="004A4551">
        <w:rPr>
          <w:rFonts w:ascii="Arial" w:hAnsi="Arial" w:cs="Arial"/>
          <w:sz w:val="20"/>
          <w:szCs w:val="20"/>
        </w:rPr>
        <w:t xml:space="preserve"> (2021)</w:t>
      </w:r>
      <w:r w:rsidR="00452A25">
        <w:rPr>
          <w:rFonts w:ascii="Arial" w:hAnsi="Arial" w:cs="Arial"/>
          <w:sz w:val="20"/>
          <w:szCs w:val="20"/>
        </w:rPr>
        <w:t>,</w:t>
      </w:r>
      <w:r w:rsidR="00266366" w:rsidRPr="004A4551">
        <w:rPr>
          <w:rFonts w:ascii="Arial" w:hAnsi="Arial" w:cs="Arial"/>
          <w:sz w:val="20"/>
          <w:szCs w:val="20"/>
        </w:rPr>
        <w:t xml:space="preserve"> who</w:t>
      </w:r>
      <w:r w:rsidRPr="004A4551">
        <w:rPr>
          <w:rFonts w:ascii="Arial" w:hAnsi="Arial" w:cs="Arial"/>
          <w:sz w:val="20"/>
          <w:szCs w:val="20"/>
        </w:rPr>
        <w:t xml:space="preserve"> report</w:t>
      </w:r>
      <w:r w:rsidR="00266366" w:rsidRPr="004A4551">
        <w:rPr>
          <w:rFonts w:ascii="Arial" w:hAnsi="Arial" w:cs="Arial"/>
          <w:sz w:val="20"/>
          <w:szCs w:val="20"/>
        </w:rPr>
        <w:t>ed</w:t>
      </w:r>
      <w:r w:rsidRPr="004A4551">
        <w:rPr>
          <w:rFonts w:ascii="Arial" w:hAnsi="Arial" w:cs="Arial"/>
          <w:sz w:val="20"/>
          <w:szCs w:val="20"/>
        </w:rPr>
        <w:t xml:space="preserve"> that herbal-fortified juice formulations showed a faster</w:t>
      </w:r>
      <w:r w:rsidR="00266366" w:rsidRPr="004A4551">
        <w:rPr>
          <w:rFonts w:ascii="Arial" w:hAnsi="Arial" w:cs="Arial"/>
          <w:sz w:val="20"/>
          <w:szCs w:val="20"/>
        </w:rPr>
        <w:t xml:space="preserve"> </w:t>
      </w:r>
      <w:r w:rsidR="00452A25">
        <w:rPr>
          <w:rFonts w:ascii="Arial" w:hAnsi="Arial" w:cs="Arial"/>
          <w:sz w:val="20"/>
          <w:szCs w:val="20"/>
        </w:rPr>
        <w:t>reduction in TTA</w:t>
      </w:r>
      <w:r w:rsidR="00266366" w:rsidRPr="004A4551">
        <w:rPr>
          <w:rFonts w:ascii="Arial" w:hAnsi="Arial" w:cs="Arial"/>
          <w:sz w:val="20"/>
          <w:szCs w:val="20"/>
        </w:rPr>
        <w:t xml:space="preserve"> than non-fortified controls </w:t>
      </w:r>
      <w:r w:rsidR="00266366" w:rsidRPr="004A4551">
        <w:rPr>
          <w:rFonts w:ascii="Arial" w:hAnsi="Arial" w:cs="Arial"/>
          <w:sz w:val="20"/>
          <w:szCs w:val="20"/>
        </w:rPr>
        <w:lastRenderedPageBreak/>
        <w:t>during ambient storage.</w:t>
      </w:r>
      <w:r w:rsidRPr="004A4551">
        <w:rPr>
          <w:rFonts w:ascii="Arial" w:hAnsi="Arial" w:cs="Arial"/>
          <w:sz w:val="20"/>
          <w:szCs w:val="20"/>
        </w:rPr>
        <w:t xml:space="preserve"> The</w:t>
      </w:r>
      <w:r w:rsidR="00266366" w:rsidRPr="004A4551">
        <w:rPr>
          <w:rFonts w:ascii="Arial" w:hAnsi="Arial" w:cs="Arial"/>
          <w:sz w:val="20"/>
          <w:szCs w:val="20"/>
        </w:rPr>
        <w:t xml:space="preserve"> more</w:t>
      </w:r>
      <w:r w:rsidRPr="004A4551">
        <w:rPr>
          <w:rFonts w:ascii="Arial" w:hAnsi="Arial" w:cs="Arial"/>
          <w:sz w:val="20"/>
          <w:szCs w:val="20"/>
        </w:rPr>
        <w:t xml:space="preserve"> gradual TTA decline in sample D relative to sample B suggests that mint leaf</w:t>
      </w:r>
      <w:r w:rsidR="00266366" w:rsidRPr="004A4551">
        <w:rPr>
          <w:rFonts w:ascii="Arial" w:hAnsi="Arial" w:cs="Arial"/>
          <w:sz w:val="20"/>
          <w:szCs w:val="20"/>
        </w:rPr>
        <w:t xml:space="preserve"> extract at equivalent concentration introduced fewer acid-degrading phytochemical interactions than bitter leaf extract.</w:t>
      </w:r>
      <w:r w:rsidRPr="004A4551">
        <w:rPr>
          <w:rFonts w:ascii="Arial" w:hAnsi="Arial" w:cs="Arial"/>
          <w:sz w:val="20"/>
          <w:szCs w:val="20"/>
        </w:rPr>
        <w:t xml:space="preserve"> </w:t>
      </w:r>
      <w:r w:rsidR="00BF11C9" w:rsidRPr="004A4551">
        <w:rPr>
          <w:rFonts w:ascii="Arial" w:hAnsi="Arial" w:cs="Arial"/>
          <w:sz w:val="20"/>
          <w:szCs w:val="20"/>
        </w:rPr>
        <w:t xml:space="preserve">The most stable TTA profile of the control is consistent with findings by </w:t>
      </w:r>
      <w:proofErr w:type="spellStart"/>
      <w:r w:rsidRPr="004A4551">
        <w:rPr>
          <w:rFonts w:ascii="Arial" w:hAnsi="Arial" w:cs="Arial"/>
          <w:sz w:val="20"/>
          <w:szCs w:val="20"/>
        </w:rPr>
        <w:t>Olasupo</w:t>
      </w:r>
      <w:proofErr w:type="spellEnd"/>
      <w:r w:rsidRPr="004A4551">
        <w:rPr>
          <w:rFonts w:ascii="Arial" w:hAnsi="Arial" w:cs="Arial"/>
          <w:sz w:val="20"/>
          <w:szCs w:val="20"/>
        </w:rPr>
        <w:t xml:space="preserve"> et al. </w:t>
      </w:r>
      <w:r w:rsidR="00BF11C9" w:rsidRPr="004A4551">
        <w:rPr>
          <w:rFonts w:ascii="Arial" w:hAnsi="Arial" w:cs="Arial"/>
          <w:sz w:val="20"/>
          <w:szCs w:val="20"/>
        </w:rPr>
        <w:t>(</w:t>
      </w:r>
      <w:r w:rsidRPr="004A4551">
        <w:rPr>
          <w:rFonts w:ascii="Arial" w:hAnsi="Arial" w:cs="Arial"/>
          <w:sz w:val="20"/>
          <w:szCs w:val="20"/>
        </w:rPr>
        <w:t>2020)</w:t>
      </w:r>
      <w:r w:rsidR="00BF11C9" w:rsidRPr="004A4551">
        <w:rPr>
          <w:rFonts w:ascii="Arial" w:hAnsi="Arial" w:cs="Arial"/>
          <w:sz w:val="20"/>
          <w:szCs w:val="20"/>
        </w:rPr>
        <w:t>, who observed that unfortified fruit-vegetable</w:t>
      </w:r>
      <w:r w:rsidR="001C21C5" w:rsidRPr="004A4551">
        <w:rPr>
          <w:rFonts w:ascii="Arial" w:hAnsi="Arial" w:cs="Arial"/>
          <w:sz w:val="20"/>
          <w:szCs w:val="20"/>
        </w:rPr>
        <w:t xml:space="preserve"> blends retained titra</w:t>
      </w:r>
      <w:r w:rsidR="00382F7F" w:rsidRPr="004A4551">
        <w:rPr>
          <w:rFonts w:ascii="Arial" w:hAnsi="Arial" w:cs="Arial"/>
          <w:sz w:val="20"/>
          <w:szCs w:val="20"/>
        </w:rPr>
        <w:t>ta</w:t>
      </w:r>
      <w:r w:rsidR="001C21C5" w:rsidRPr="004A4551">
        <w:rPr>
          <w:rFonts w:ascii="Arial" w:hAnsi="Arial" w:cs="Arial"/>
          <w:sz w:val="20"/>
          <w:szCs w:val="20"/>
        </w:rPr>
        <w:t>ble acidity more consistently during ambient storage than botanically</w:t>
      </w:r>
      <w:r w:rsidR="00382F7F" w:rsidRPr="004A4551">
        <w:rPr>
          <w:rFonts w:ascii="Arial" w:hAnsi="Arial" w:cs="Arial"/>
          <w:sz w:val="20"/>
          <w:szCs w:val="20"/>
        </w:rPr>
        <w:t xml:space="preserve"> enriched formulations. </w:t>
      </w:r>
    </w:p>
    <w:p w14:paraId="3061CE0D" w14:textId="77777777" w:rsidR="000D1AA5" w:rsidRPr="004A4551" w:rsidRDefault="002C20A0" w:rsidP="007F7216">
      <w:pPr>
        <w:spacing w:after="0" w:line="480" w:lineRule="auto"/>
        <w:rPr>
          <w:rFonts w:ascii="Arial" w:hAnsi="Arial" w:cs="Arial"/>
          <w:sz w:val="20"/>
          <w:szCs w:val="20"/>
        </w:rPr>
      </w:pPr>
      <w:r w:rsidRPr="004A4551">
        <w:rPr>
          <w:rFonts w:ascii="Arial" w:hAnsi="Arial" w:cs="Arial"/>
          <w:noProof/>
          <w:sz w:val="20"/>
          <w:szCs w:val="20"/>
        </w:rPr>
        <w:drawing>
          <wp:inline distT="0" distB="0" distL="0" distR="0" wp14:anchorId="5D62E231" wp14:editId="32CB1B1C">
            <wp:extent cx="3724275" cy="23336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2AA051" w14:textId="2D243798" w:rsidR="000D1AA5" w:rsidRPr="004A4551" w:rsidRDefault="002C20A0" w:rsidP="007F7216">
      <w:pPr>
        <w:spacing w:after="0" w:line="480" w:lineRule="auto"/>
        <w:rPr>
          <w:rFonts w:ascii="Arial" w:eastAsia="Times New Roman" w:hAnsi="Arial" w:cs="Arial"/>
          <w:b/>
          <w:bCs/>
          <w:color w:val="000000"/>
          <w:sz w:val="20"/>
          <w:szCs w:val="20"/>
        </w:rPr>
      </w:pPr>
      <w:r w:rsidRPr="004A4551">
        <w:rPr>
          <w:rFonts w:ascii="Arial" w:hAnsi="Arial" w:cs="Arial"/>
          <w:b/>
          <w:bCs/>
          <w:sz w:val="20"/>
          <w:szCs w:val="20"/>
        </w:rPr>
        <w:t xml:space="preserve">Fig 8: Total Titratable Acidity (TTA) </w:t>
      </w:r>
      <w:r w:rsidRPr="004A4551">
        <w:rPr>
          <w:rFonts w:ascii="Arial" w:eastAsia="Times New Roman" w:hAnsi="Arial" w:cs="Arial"/>
          <w:b/>
          <w:bCs/>
          <w:color w:val="000000"/>
          <w:sz w:val="20"/>
          <w:szCs w:val="20"/>
        </w:rPr>
        <w:t>of Pasteurized Mint-</w:t>
      </w:r>
      <w:r w:rsidR="00272984">
        <w:rPr>
          <w:rFonts w:ascii="Arial" w:eastAsia="Times New Roman" w:hAnsi="Arial" w:cs="Arial"/>
          <w:b/>
          <w:bCs/>
          <w:color w:val="000000"/>
          <w:sz w:val="20"/>
          <w:szCs w:val="20"/>
        </w:rPr>
        <w:t xml:space="preserve">Flavored and </w:t>
      </w:r>
      <w:r w:rsidRPr="004A4551">
        <w:rPr>
          <w:rFonts w:ascii="Arial" w:eastAsia="Times New Roman" w:hAnsi="Arial" w:cs="Arial"/>
          <w:b/>
          <w:bCs/>
          <w:color w:val="000000"/>
          <w:sz w:val="20"/>
          <w:szCs w:val="20"/>
        </w:rPr>
        <w:t xml:space="preserve">Bitter </w:t>
      </w:r>
      <w:proofErr w:type="gramStart"/>
      <w:r w:rsidRPr="004A4551">
        <w:rPr>
          <w:rFonts w:ascii="Arial" w:eastAsia="Times New Roman" w:hAnsi="Arial" w:cs="Arial"/>
          <w:b/>
          <w:bCs/>
          <w:color w:val="000000"/>
          <w:sz w:val="20"/>
          <w:szCs w:val="20"/>
        </w:rPr>
        <w:t>leaf</w:t>
      </w:r>
      <w:proofErr w:type="gramEnd"/>
      <w:r w:rsidRPr="004A4551">
        <w:rPr>
          <w:rFonts w:ascii="Arial" w:eastAsia="Times New Roman" w:hAnsi="Arial" w:cs="Arial"/>
          <w:b/>
          <w:bCs/>
          <w:color w:val="000000"/>
          <w:sz w:val="20"/>
          <w:szCs w:val="20"/>
        </w:rPr>
        <w:t>-Flavored Pineapple</w:t>
      </w:r>
      <w:r w:rsidR="00272984">
        <w:rPr>
          <w:rFonts w:ascii="Arial" w:eastAsia="Times New Roman" w:hAnsi="Arial" w:cs="Arial"/>
          <w:b/>
          <w:bCs/>
          <w:color w:val="000000"/>
          <w:sz w:val="20"/>
          <w:szCs w:val="20"/>
        </w:rPr>
        <w:t>-Cucumber</w:t>
      </w:r>
      <w:r w:rsidRPr="004A4551">
        <w:rPr>
          <w:rFonts w:ascii="Arial" w:eastAsia="Times New Roman" w:hAnsi="Arial" w:cs="Arial"/>
          <w:b/>
          <w:bCs/>
          <w:color w:val="000000"/>
          <w:sz w:val="20"/>
          <w:szCs w:val="20"/>
        </w:rPr>
        <w:t xml:space="preserve"> Juice during 21 Days Storage (28</w:t>
      </w:r>
      <w:r w:rsidRPr="004A4551">
        <w:rPr>
          <w:rFonts w:ascii="Arial" w:eastAsia="Times New Roman" w:hAnsi="Arial" w:cs="Arial"/>
          <w:b/>
          <w:bCs/>
          <w:color w:val="000000"/>
          <w:sz w:val="20"/>
          <w:szCs w:val="20"/>
          <w:vertAlign w:val="superscript"/>
        </w:rPr>
        <w:t>0</w:t>
      </w:r>
      <w:r w:rsidRPr="004A4551">
        <w:rPr>
          <w:rFonts w:ascii="Arial" w:eastAsia="Times New Roman" w:hAnsi="Arial" w:cs="Arial"/>
          <w:b/>
          <w:bCs/>
          <w:color w:val="000000"/>
          <w:sz w:val="20"/>
          <w:szCs w:val="20"/>
        </w:rPr>
        <w:t>C).</w:t>
      </w:r>
    </w:p>
    <w:p w14:paraId="749CD273" w14:textId="77777777" w:rsidR="00563042" w:rsidRPr="004A4551" w:rsidRDefault="002C20A0" w:rsidP="007F7216">
      <w:pPr>
        <w:spacing w:after="0" w:line="480" w:lineRule="auto"/>
        <w:ind w:firstLine="720"/>
        <w:rPr>
          <w:rFonts w:ascii="Arial" w:hAnsi="Arial" w:cs="Arial"/>
          <w:i/>
          <w:iCs/>
          <w:sz w:val="20"/>
          <w:szCs w:val="20"/>
          <w:vertAlign w:val="superscript"/>
        </w:rPr>
      </w:pPr>
      <w:bookmarkStart w:id="1" w:name="_Hlk225605559"/>
      <w:r w:rsidRPr="004A4551">
        <w:rPr>
          <w:rFonts w:ascii="Arial" w:hAnsi="Arial" w:cs="Arial"/>
          <w:i/>
          <w:iCs/>
          <w:sz w:val="20"/>
          <w:szCs w:val="20"/>
          <w:vertAlign w:val="superscript"/>
        </w:rPr>
        <w:t>Control (100% pineapple-cucumber juice), Sample B (95% pineapple-cucumber juice and 5% bitter leaf extract), Sample C (95% pineapple-cucumber</w:t>
      </w:r>
    </w:p>
    <w:p w14:paraId="29821738" w14:textId="4A92964D" w:rsidR="000D1AA5" w:rsidRPr="004A4551" w:rsidRDefault="002C20A0" w:rsidP="007F7216">
      <w:pPr>
        <w:spacing w:after="0" w:line="480" w:lineRule="auto"/>
        <w:ind w:firstLine="720"/>
        <w:rPr>
          <w:rFonts w:ascii="Arial" w:hAnsi="Arial" w:cs="Arial"/>
          <w:i/>
          <w:iCs/>
          <w:sz w:val="20"/>
          <w:szCs w:val="20"/>
          <w:vertAlign w:val="superscript"/>
        </w:rPr>
      </w:pPr>
      <w:r w:rsidRPr="004A4551">
        <w:rPr>
          <w:rFonts w:ascii="Arial" w:hAnsi="Arial" w:cs="Arial"/>
          <w:i/>
          <w:iCs/>
          <w:sz w:val="20"/>
          <w:szCs w:val="20"/>
          <w:vertAlign w:val="superscript"/>
        </w:rPr>
        <w:t xml:space="preserve">juice and 2.5% of mint and </w:t>
      </w:r>
      <w:r w:rsidRPr="004A4551">
        <w:rPr>
          <w:rFonts w:ascii="Arial" w:hAnsi="Arial" w:cs="Arial"/>
          <w:b/>
          <w:bCs/>
          <w:i/>
          <w:iCs/>
          <w:sz w:val="20"/>
          <w:szCs w:val="20"/>
          <w:vertAlign w:val="superscript"/>
        </w:rPr>
        <w:t>bitter</w:t>
      </w:r>
      <w:r w:rsidRPr="004A4551">
        <w:rPr>
          <w:rFonts w:ascii="Arial" w:hAnsi="Arial" w:cs="Arial"/>
          <w:i/>
          <w:iCs/>
          <w:sz w:val="20"/>
          <w:szCs w:val="20"/>
          <w:vertAlign w:val="superscript"/>
        </w:rPr>
        <w:t xml:space="preserve"> leaf extracts), and Sample D (95% pineapple-cucumber juice and 5% mint leaf extract). </w:t>
      </w:r>
      <w:bookmarkEnd w:id="1"/>
    </w:p>
    <w:p w14:paraId="7EC18253" w14:textId="61A3DC0C" w:rsidR="000D1AA5" w:rsidRPr="00703274" w:rsidRDefault="004C42B6" w:rsidP="007F7216">
      <w:pPr>
        <w:spacing w:after="0" w:line="480" w:lineRule="auto"/>
        <w:jc w:val="both"/>
        <w:rPr>
          <w:rFonts w:ascii="Arial" w:hAnsi="Arial" w:cs="Arial"/>
          <w:b/>
          <w:bCs/>
        </w:rPr>
      </w:pPr>
      <w:r w:rsidRPr="00703274">
        <w:rPr>
          <w:rFonts w:ascii="Arial" w:hAnsi="Arial" w:cs="Arial"/>
          <w:b/>
          <w:bCs/>
        </w:rPr>
        <w:t>4. CONCLUSION</w:t>
      </w:r>
    </w:p>
    <w:p w14:paraId="1D1A5D34" w14:textId="0EA16EA8" w:rsidR="000D1AA5" w:rsidRDefault="00382F7F" w:rsidP="007F7216">
      <w:pPr>
        <w:spacing w:after="0" w:line="480" w:lineRule="auto"/>
        <w:jc w:val="both"/>
        <w:rPr>
          <w:rFonts w:ascii="Arial" w:hAnsi="Arial" w:cs="Arial"/>
          <w:sz w:val="20"/>
          <w:szCs w:val="20"/>
        </w:rPr>
      </w:pPr>
      <w:r w:rsidRPr="004A4551">
        <w:rPr>
          <w:rFonts w:ascii="Arial" w:hAnsi="Arial" w:cs="Arial"/>
          <w:sz w:val="20"/>
          <w:szCs w:val="20"/>
        </w:rPr>
        <w:t>Across all three domains assessed, microbiological safety, antioxidant capacity</w:t>
      </w:r>
      <w:r w:rsidR="00452A25">
        <w:rPr>
          <w:rFonts w:ascii="Arial" w:hAnsi="Arial" w:cs="Arial"/>
          <w:sz w:val="20"/>
          <w:szCs w:val="20"/>
        </w:rPr>
        <w:t>,</w:t>
      </w:r>
      <w:r w:rsidRPr="004A4551">
        <w:rPr>
          <w:rFonts w:ascii="Arial" w:hAnsi="Arial" w:cs="Arial"/>
          <w:sz w:val="20"/>
          <w:szCs w:val="20"/>
        </w:rPr>
        <w:t xml:space="preserve"> and physicochemical stability, </w:t>
      </w:r>
      <w:r w:rsidR="002C20A0" w:rsidRPr="004A4551">
        <w:rPr>
          <w:rFonts w:ascii="Arial" w:hAnsi="Arial" w:cs="Arial"/>
          <w:sz w:val="20"/>
          <w:szCs w:val="20"/>
        </w:rPr>
        <w:t xml:space="preserve">the four pasteurized juice blends presented distinct </w:t>
      </w:r>
      <w:r w:rsidRPr="004A4551">
        <w:rPr>
          <w:rFonts w:ascii="Arial" w:hAnsi="Arial" w:cs="Arial"/>
          <w:sz w:val="20"/>
          <w:szCs w:val="20"/>
        </w:rPr>
        <w:t xml:space="preserve">and internally coherent </w:t>
      </w:r>
      <w:r w:rsidR="002C20A0" w:rsidRPr="004A4551">
        <w:rPr>
          <w:rFonts w:ascii="Arial" w:hAnsi="Arial" w:cs="Arial"/>
          <w:sz w:val="20"/>
          <w:szCs w:val="20"/>
        </w:rPr>
        <w:t>quality profiles during the 21-day ambient storage. The control demonstrated the weakest microbiological stability, surpassing the TBC spoilage threshold (10</w:t>
      </w:r>
      <w:r w:rsidR="002C20A0" w:rsidRPr="004A4551">
        <w:rPr>
          <w:rFonts w:ascii="Arial" w:hAnsi="Arial" w:cs="Arial"/>
          <w:sz w:val="20"/>
          <w:szCs w:val="20"/>
          <w:vertAlign w:val="superscript"/>
        </w:rPr>
        <w:t xml:space="preserve">5 </w:t>
      </w:r>
      <w:r w:rsidR="002C20A0" w:rsidRPr="004A4551">
        <w:rPr>
          <w:rFonts w:ascii="Arial" w:hAnsi="Arial" w:cs="Arial"/>
          <w:sz w:val="20"/>
          <w:szCs w:val="20"/>
        </w:rPr>
        <w:t xml:space="preserve">CFU/ml) within six days of storage, </w:t>
      </w:r>
      <w:r w:rsidR="00741B1F" w:rsidRPr="004A4551">
        <w:rPr>
          <w:rFonts w:ascii="Arial" w:hAnsi="Arial" w:cs="Arial"/>
          <w:sz w:val="20"/>
          <w:szCs w:val="20"/>
        </w:rPr>
        <w:t xml:space="preserve">with the highest accumulated </w:t>
      </w:r>
      <w:r w:rsidR="002C20A0" w:rsidRPr="004A4551">
        <w:rPr>
          <w:rFonts w:ascii="Arial" w:hAnsi="Arial" w:cs="Arial"/>
          <w:sz w:val="20"/>
          <w:szCs w:val="20"/>
        </w:rPr>
        <w:t xml:space="preserve">counts across all four microbiological indicators by day 21. Its coliform count of 1000 CFU/ml by day 21 represents a substantial violation of the NAFDAC zero-coliform standard. This confirms that unfortified pasteurized pineapple-cucumber juice is unsuitable for ambient distribution beyond approximately one week without additional preservation intervention. Sample B emerged as the most optimal formulation across all the integrated quality assessments. It recorded the lowest TPC (250 CFU/ml), TYC (220 CFU/ml), TCC (220 CFU/ml), and the most extended microbiologically safe storage window across all four microbiological </w:t>
      </w:r>
      <w:r w:rsidR="002C20A0" w:rsidRPr="004A4551">
        <w:rPr>
          <w:rFonts w:ascii="Arial" w:hAnsi="Arial" w:cs="Arial"/>
          <w:sz w:val="20"/>
          <w:szCs w:val="20"/>
        </w:rPr>
        <w:lastRenderedPageBreak/>
        <w:t>indicators, and also, the highest DPPH and FRAP antioxidant activity on day 1 and the greatest antioxidant retention between day 1 and day 15. Although sample B showed the steepest TTA decline during storage, the absolute TTA values remained within a range that was common with an acidic fruit-based beverage throughout the storage period. Its coliform count (220 CFU/ml) by day 21 is a regulatory concern under the NAFDAC zero-coliform standard. However, its markedly lower coliform accumulation relative to the control confirms that bitter leaf extract conferred a meaningful delay in coliform proliferation during ambient storage. These findings collectively establish sample B as the most functionally robust formulation and the most promising for further pilot-scale development, sensory optimization, and shelf-life validation studies. Further research should also evaluate the in vivo bioavailability of the phytochemical antioxidants in sample B</w:t>
      </w:r>
      <w:r w:rsidR="00741B1F" w:rsidRPr="004A4551">
        <w:rPr>
          <w:rFonts w:ascii="Arial" w:hAnsi="Arial" w:cs="Arial"/>
          <w:sz w:val="20"/>
          <w:szCs w:val="20"/>
        </w:rPr>
        <w:t xml:space="preserve">, </w:t>
      </w:r>
      <w:r w:rsidR="002C20A0" w:rsidRPr="004A4551">
        <w:rPr>
          <w:rFonts w:ascii="Arial" w:hAnsi="Arial" w:cs="Arial"/>
          <w:sz w:val="20"/>
          <w:szCs w:val="20"/>
        </w:rPr>
        <w:t>organoleptic acceptability</w:t>
      </w:r>
      <w:r w:rsidR="00741B1F" w:rsidRPr="004A4551">
        <w:rPr>
          <w:rFonts w:ascii="Arial" w:hAnsi="Arial" w:cs="Arial"/>
          <w:sz w:val="20"/>
          <w:szCs w:val="20"/>
        </w:rPr>
        <w:t xml:space="preserve">, </w:t>
      </w:r>
      <w:r w:rsidR="002C20A0" w:rsidRPr="004A4551">
        <w:rPr>
          <w:rFonts w:ascii="Arial" w:hAnsi="Arial" w:cs="Arial"/>
          <w:sz w:val="20"/>
          <w:szCs w:val="20"/>
        </w:rPr>
        <w:t xml:space="preserve">the use of </w:t>
      </w:r>
      <w:r w:rsidR="00452A25">
        <w:rPr>
          <w:rFonts w:ascii="Arial" w:hAnsi="Arial" w:cs="Arial"/>
          <w:sz w:val="20"/>
          <w:szCs w:val="20"/>
        </w:rPr>
        <w:t>modified-atmosphere packaging, and</w:t>
      </w:r>
      <w:r w:rsidR="002C20A0" w:rsidRPr="004A4551">
        <w:rPr>
          <w:rFonts w:ascii="Arial" w:hAnsi="Arial" w:cs="Arial"/>
          <w:sz w:val="20"/>
          <w:szCs w:val="20"/>
        </w:rPr>
        <w:t xml:space="preserve"> the addition of food-grade antioxidant stabilizers for extended storage. </w:t>
      </w:r>
    </w:p>
    <w:p w14:paraId="1A6BE167" w14:textId="2BA1C412" w:rsidR="00A26968" w:rsidRDefault="00A26968" w:rsidP="007F7216">
      <w:pPr>
        <w:spacing w:after="0" w:line="480" w:lineRule="auto"/>
        <w:jc w:val="both"/>
        <w:rPr>
          <w:rFonts w:ascii="Arial" w:hAnsi="Arial" w:cs="Arial"/>
          <w:b/>
          <w:bCs/>
          <w:sz w:val="20"/>
          <w:szCs w:val="20"/>
        </w:rPr>
      </w:pPr>
      <w:r>
        <w:rPr>
          <w:rFonts w:ascii="Arial" w:hAnsi="Arial" w:cs="Arial"/>
          <w:b/>
          <w:bCs/>
          <w:sz w:val="20"/>
          <w:szCs w:val="20"/>
        </w:rPr>
        <w:t>Disclaimer (Artificial Intelligence)</w:t>
      </w:r>
    </w:p>
    <w:p w14:paraId="683D5C57" w14:textId="6F99C203" w:rsidR="007C5F42" w:rsidRPr="00452A25" w:rsidRDefault="00A26968" w:rsidP="00452A25">
      <w:pPr>
        <w:spacing w:after="0" w:line="480" w:lineRule="auto"/>
        <w:jc w:val="both"/>
        <w:rPr>
          <w:rFonts w:ascii="Arial" w:hAnsi="Arial" w:cs="Arial"/>
          <w:sz w:val="20"/>
          <w:szCs w:val="20"/>
        </w:rPr>
      </w:pPr>
      <w:r w:rsidRPr="00452A25">
        <w:rPr>
          <w:rFonts w:ascii="Arial" w:hAnsi="Arial" w:cs="Arial"/>
          <w:sz w:val="20"/>
          <w:szCs w:val="20"/>
        </w:rPr>
        <w:t>Author(s) hereby declare that NO generative AI technologies such as Large Language Models (</w:t>
      </w:r>
      <w:proofErr w:type="spellStart"/>
      <w:r w:rsidRPr="00452A25">
        <w:rPr>
          <w:rFonts w:ascii="Arial" w:hAnsi="Arial" w:cs="Arial"/>
          <w:sz w:val="20"/>
          <w:szCs w:val="20"/>
        </w:rPr>
        <w:t>ChatGPT</w:t>
      </w:r>
      <w:proofErr w:type="spellEnd"/>
      <w:r w:rsidR="00452A25" w:rsidRPr="00452A25">
        <w:rPr>
          <w:rFonts w:ascii="Arial" w:hAnsi="Arial" w:cs="Arial"/>
          <w:sz w:val="20"/>
          <w:szCs w:val="20"/>
        </w:rPr>
        <w:t>,</w:t>
      </w:r>
      <w:r w:rsidRPr="00452A25">
        <w:rPr>
          <w:rFonts w:ascii="Arial" w:hAnsi="Arial" w:cs="Arial"/>
          <w:sz w:val="20"/>
          <w:szCs w:val="20"/>
        </w:rPr>
        <w:t xml:space="preserve"> COPILOT, </w:t>
      </w:r>
      <w:proofErr w:type="spellStart"/>
      <w:r w:rsidRPr="00452A25">
        <w:rPr>
          <w:rFonts w:ascii="Arial" w:hAnsi="Arial" w:cs="Arial"/>
          <w:sz w:val="20"/>
          <w:szCs w:val="20"/>
        </w:rPr>
        <w:t>etc</w:t>
      </w:r>
      <w:proofErr w:type="spellEnd"/>
      <w:r w:rsidRPr="00452A25">
        <w:rPr>
          <w:rFonts w:ascii="Arial" w:hAnsi="Arial" w:cs="Arial"/>
          <w:sz w:val="20"/>
          <w:szCs w:val="20"/>
        </w:rPr>
        <w:t>) and text-to-image generators have been used during the writing or editing of this manuscript.</w:t>
      </w:r>
    </w:p>
    <w:p w14:paraId="056D4AC5" w14:textId="4F0E075D" w:rsidR="00C22E28" w:rsidRPr="002D4C4F" w:rsidRDefault="004C42B6" w:rsidP="002D4C4F">
      <w:pPr>
        <w:spacing w:after="0" w:line="480" w:lineRule="auto"/>
        <w:rPr>
          <w:rFonts w:ascii="Arial" w:hAnsi="Arial" w:cs="Arial"/>
          <w:b/>
          <w:bCs/>
          <w:color w:val="0C0C0C"/>
        </w:rPr>
      </w:pPr>
      <w:r w:rsidRPr="004A4551">
        <w:rPr>
          <w:rFonts w:ascii="Arial" w:hAnsi="Arial" w:cs="Arial"/>
          <w:b/>
          <w:bCs/>
          <w:color w:val="0C0C0C"/>
        </w:rPr>
        <w:t>REFERENCES</w:t>
      </w:r>
      <w:bookmarkStart w:id="2" w:name="_Hlk226226914"/>
    </w:p>
    <w:p w14:paraId="647BC28E"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Adegoke, G. O., </w:t>
      </w:r>
      <w:proofErr w:type="spellStart"/>
      <w:r w:rsidRPr="00C22E28">
        <w:rPr>
          <w:rFonts w:ascii="Arial" w:hAnsi="Arial" w:cs="Arial"/>
          <w:sz w:val="20"/>
          <w:szCs w:val="20"/>
        </w:rPr>
        <w:t>Falade</w:t>
      </w:r>
      <w:proofErr w:type="spellEnd"/>
      <w:r w:rsidRPr="00C22E28">
        <w:rPr>
          <w:rFonts w:ascii="Arial" w:hAnsi="Arial" w:cs="Arial"/>
          <w:sz w:val="20"/>
          <w:szCs w:val="20"/>
        </w:rPr>
        <w:t xml:space="preserve">, K. O., &amp; Babalola, O. C. (2016). Control of </w:t>
      </w:r>
      <w:proofErr w:type="spellStart"/>
      <w:r w:rsidRPr="00C22E28">
        <w:rPr>
          <w:rFonts w:ascii="Arial" w:hAnsi="Arial" w:cs="Arial"/>
          <w:sz w:val="20"/>
          <w:szCs w:val="20"/>
        </w:rPr>
        <w:t>Aframomum</w:t>
      </w:r>
      <w:proofErr w:type="spellEnd"/>
      <w:r w:rsidRPr="00C22E28">
        <w:rPr>
          <w:rFonts w:ascii="Arial" w:hAnsi="Arial" w:cs="Arial"/>
          <w:sz w:val="20"/>
          <w:szCs w:val="20"/>
        </w:rPr>
        <w:t xml:space="preserve"> </w:t>
      </w:r>
      <w:proofErr w:type="spellStart"/>
      <w:r w:rsidRPr="00C22E28">
        <w:rPr>
          <w:rFonts w:ascii="Arial" w:hAnsi="Arial" w:cs="Arial"/>
          <w:sz w:val="20"/>
          <w:szCs w:val="20"/>
        </w:rPr>
        <w:t>danielli</w:t>
      </w:r>
      <w:proofErr w:type="spellEnd"/>
      <w:r w:rsidRPr="00C22E28">
        <w:rPr>
          <w:rFonts w:ascii="Arial" w:hAnsi="Arial" w:cs="Arial"/>
          <w:sz w:val="20"/>
          <w:szCs w:val="20"/>
        </w:rPr>
        <w:t xml:space="preserve"> spice in the preservation of orange juice. </w:t>
      </w:r>
      <w:r w:rsidRPr="00C22E28">
        <w:rPr>
          <w:rStyle w:val="Emphasis"/>
          <w:rFonts w:ascii="Arial" w:hAnsi="Arial" w:cs="Arial"/>
          <w:sz w:val="20"/>
          <w:szCs w:val="20"/>
        </w:rPr>
        <w:t>Food Chemistry, 198</w:t>
      </w:r>
      <w:r w:rsidRPr="00C22E28">
        <w:rPr>
          <w:rFonts w:ascii="Arial" w:hAnsi="Arial" w:cs="Arial"/>
          <w:sz w:val="20"/>
          <w:szCs w:val="20"/>
        </w:rPr>
        <w:t xml:space="preserve">, 124–130. </w:t>
      </w:r>
      <w:hyperlink r:id="rId17" w:history="1">
        <w:r w:rsidRPr="00C22E28">
          <w:rPr>
            <w:rStyle w:val="Hyperlink"/>
            <w:rFonts w:ascii="Arial" w:hAnsi="Arial" w:cs="Arial"/>
            <w:sz w:val="20"/>
            <w:szCs w:val="20"/>
          </w:rPr>
          <w:t>https://doi.org/10.1016/j.foodchem.2015.11.089</w:t>
        </w:r>
      </w:hyperlink>
    </w:p>
    <w:p w14:paraId="75B106B3"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Adekunle, A. A., &amp; </w:t>
      </w:r>
      <w:proofErr w:type="spellStart"/>
      <w:r w:rsidRPr="00C22E28">
        <w:rPr>
          <w:rFonts w:ascii="Arial" w:hAnsi="Arial" w:cs="Arial"/>
          <w:sz w:val="20"/>
          <w:szCs w:val="20"/>
        </w:rPr>
        <w:t>Oyewole</w:t>
      </w:r>
      <w:proofErr w:type="spellEnd"/>
      <w:r w:rsidRPr="00C22E28">
        <w:rPr>
          <w:rFonts w:ascii="Arial" w:hAnsi="Arial" w:cs="Arial"/>
          <w:sz w:val="20"/>
          <w:szCs w:val="20"/>
        </w:rPr>
        <w:t xml:space="preserve">, O. B. (2020). Microbiological and physicochemical evaluation of fresh fruit juices sold in Lagos markets. </w:t>
      </w:r>
      <w:r w:rsidRPr="00C22E28">
        <w:rPr>
          <w:rStyle w:val="Emphasis"/>
          <w:rFonts w:ascii="Arial" w:hAnsi="Arial" w:cs="Arial"/>
          <w:sz w:val="20"/>
          <w:szCs w:val="20"/>
        </w:rPr>
        <w:t>African Journal of Food Science, 14</w:t>
      </w:r>
      <w:r w:rsidRPr="00C22E28">
        <w:rPr>
          <w:rFonts w:ascii="Arial" w:hAnsi="Arial" w:cs="Arial"/>
          <w:sz w:val="20"/>
          <w:szCs w:val="20"/>
        </w:rPr>
        <w:t xml:space="preserve">(3), 78–86. </w:t>
      </w:r>
      <w:hyperlink r:id="rId18" w:history="1">
        <w:r w:rsidRPr="00C22E28">
          <w:rPr>
            <w:rStyle w:val="Hyperlink"/>
            <w:rFonts w:ascii="Arial" w:hAnsi="Arial" w:cs="Arial"/>
            <w:sz w:val="20"/>
            <w:szCs w:val="20"/>
          </w:rPr>
          <w:t>https://doi.org/10.5897/AJFS2020.1923</w:t>
        </w:r>
      </w:hyperlink>
    </w:p>
    <w:p w14:paraId="4B23CF89"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Ajayi, O. B., &amp; </w:t>
      </w:r>
      <w:proofErr w:type="spellStart"/>
      <w:r w:rsidRPr="00C22E28">
        <w:rPr>
          <w:rFonts w:ascii="Arial" w:hAnsi="Arial" w:cs="Arial"/>
          <w:sz w:val="20"/>
          <w:szCs w:val="20"/>
        </w:rPr>
        <w:t>Falegan</w:t>
      </w:r>
      <w:proofErr w:type="spellEnd"/>
      <w:r w:rsidRPr="00C22E28">
        <w:rPr>
          <w:rFonts w:ascii="Arial" w:hAnsi="Arial" w:cs="Arial"/>
          <w:sz w:val="20"/>
          <w:szCs w:val="20"/>
        </w:rPr>
        <w:t xml:space="preserve">, C. R. (2021). Effect of herbal additives on the physicochemical properties of tropical fruit juice blends during storage. </w:t>
      </w:r>
      <w:r w:rsidRPr="00C22E28">
        <w:rPr>
          <w:rStyle w:val="Emphasis"/>
          <w:rFonts w:ascii="Arial" w:hAnsi="Arial" w:cs="Arial"/>
          <w:sz w:val="20"/>
          <w:szCs w:val="20"/>
        </w:rPr>
        <w:t>Nigerian Journal of Nutritional Sciences, 42</w:t>
      </w:r>
      <w:r w:rsidRPr="00C22E28">
        <w:rPr>
          <w:rFonts w:ascii="Arial" w:hAnsi="Arial" w:cs="Arial"/>
          <w:sz w:val="20"/>
          <w:szCs w:val="20"/>
        </w:rPr>
        <w:t>(1), 12–20.</w:t>
      </w:r>
    </w:p>
    <w:p w14:paraId="5369AD2C" w14:textId="77777777" w:rsidR="00C22E28" w:rsidRDefault="00A97ED2" w:rsidP="00C22E28">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Akinwale</w:t>
      </w:r>
      <w:proofErr w:type="spellEnd"/>
      <w:r w:rsidRPr="00C22E28">
        <w:rPr>
          <w:rFonts w:ascii="Arial" w:hAnsi="Arial" w:cs="Arial"/>
          <w:sz w:val="20"/>
          <w:szCs w:val="20"/>
        </w:rPr>
        <w:t xml:space="preserve">, T. O., </w:t>
      </w:r>
      <w:proofErr w:type="spellStart"/>
      <w:r w:rsidRPr="00C22E28">
        <w:rPr>
          <w:rFonts w:ascii="Arial" w:hAnsi="Arial" w:cs="Arial"/>
          <w:sz w:val="20"/>
          <w:szCs w:val="20"/>
        </w:rPr>
        <w:t>Oke</w:t>
      </w:r>
      <w:proofErr w:type="spellEnd"/>
      <w:r w:rsidRPr="00C22E28">
        <w:rPr>
          <w:rFonts w:ascii="Arial" w:hAnsi="Arial" w:cs="Arial"/>
          <w:sz w:val="20"/>
          <w:szCs w:val="20"/>
        </w:rPr>
        <w:t xml:space="preserve">, O. V., &amp; Essien, E. U. (2017). Titratable acidity changes in herbal-fortified juice blends during ambient storage. </w:t>
      </w:r>
      <w:r w:rsidRPr="00C22E28">
        <w:rPr>
          <w:rStyle w:val="Emphasis"/>
          <w:rFonts w:ascii="Arial" w:hAnsi="Arial" w:cs="Arial"/>
          <w:sz w:val="20"/>
          <w:szCs w:val="20"/>
        </w:rPr>
        <w:t>Journal of Food Technology Research, 4</w:t>
      </w:r>
      <w:r w:rsidRPr="00C22E28">
        <w:rPr>
          <w:rFonts w:ascii="Arial" w:hAnsi="Arial" w:cs="Arial"/>
          <w:sz w:val="20"/>
          <w:szCs w:val="20"/>
        </w:rPr>
        <w:t>(2), 88–96.</w:t>
      </w:r>
    </w:p>
    <w:p w14:paraId="14A6538F"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American Public Health Association (APHA). (2001). </w:t>
      </w:r>
      <w:r w:rsidRPr="00C22E28">
        <w:rPr>
          <w:rStyle w:val="Emphasis"/>
          <w:rFonts w:ascii="Arial" w:hAnsi="Arial" w:cs="Arial"/>
          <w:sz w:val="20"/>
          <w:szCs w:val="20"/>
        </w:rPr>
        <w:t>Compendium of methods for the microbiological examination of foods</w:t>
      </w:r>
      <w:r w:rsidRPr="00C22E28">
        <w:rPr>
          <w:rFonts w:ascii="Arial" w:hAnsi="Arial" w:cs="Arial"/>
          <w:sz w:val="20"/>
          <w:szCs w:val="20"/>
        </w:rPr>
        <w:t xml:space="preserve"> (4th ed.). APHA Press.</w:t>
      </w:r>
    </w:p>
    <w:p w14:paraId="7B46CE7D" w14:textId="77777777" w:rsidR="00C22E28" w:rsidRDefault="00A97ED2" w:rsidP="00C22E28">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lastRenderedPageBreak/>
        <w:t>Bchir</w:t>
      </w:r>
      <w:proofErr w:type="spellEnd"/>
      <w:r w:rsidRPr="00C22E28">
        <w:rPr>
          <w:rFonts w:ascii="Arial" w:hAnsi="Arial" w:cs="Arial"/>
          <w:sz w:val="20"/>
          <w:szCs w:val="20"/>
        </w:rPr>
        <w:t xml:space="preserve">, B., </w:t>
      </w:r>
      <w:proofErr w:type="spellStart"/>
      <w:r w:rsidRPr="00C22E28">
        <w:rPr>
          <w:rFonts w:ascii="Arial" w:hAnsi="Arial" w:cs="Arial"/>
          <w:sz w:val="20"/>
          <w:szCs w:val="20"/>
        </w:rPr>
        <w:t>Besbes</w:t>
      </w:r>
      <w:proofErr w:type="spellEnd"/>
      <w:r w:rsidRPr="00C22E28">
        <w:rPr>
          <w:rFonts w:ascii="Arial" w:hAnsi="Arial" w:cs="Arial"/>
          <w:sz w:val="20"/>
          <w:szCs w:val="20"/>
        </w:rPr>
        <w:t xml:space="preserve">, S., Attia, H., &amp; </w:t>
      </w:r>
      <w:proofErr w:type="spellStart"/>
      <w:r w:rsidRPr="00C22E28">
        <w:rPr>
          <w:rFonts w:ascii="Arial" w:hAnsi="Arial" w:cs="Arial"/>
          <w:sz w:val="20"/>
          <w:szCs w:val="20"/>
        </w:rPr>
        <w:t>Blecker</w:t>
      </w:r>
      <w:proofErr w:type="spellEnd"/>
      <w:r w:rsidRPr="00C22E28">
        <w:rPr>
          <w:rFonts w:ascii="Arial" w:hAnsi="Arial" w:cs="Arial"/>
          <w:sz w:val="20"/>
          <w:szCs w:val="20"/>
        </w:rPr>
        <w:t xml:space="preserve">, C. (2012). Effect of osmotic dehydration on </w:t>
      </w:r>
      <w:proofErr w:type="spellStart"/>
      <w:r w:rsidRPr="00C22E28">
        <w:rPr>
          <w:rFonts w:ascii="Arial" w:hAnsi="Arial" w:cs="Arial"/>
          <w:sz w:val="20"/>
          <w:szCs w:val="20"/>
        </w:rPr>
        <w:t>physico</w:t>
      </w:r>
      <w:proofErr w:type="spellEnd"/>
      <w:r w:rsidRPr="00C22E28">
        <w:rPr>
          <w:rFonts w:ascii="Arial" w:hAnsi="Arial" w:cs="Arial"/>
          <w:sz w:val="20"/>
          <w:szCs w:val="20"/>
        </w:rPr>
        <w:t xml:space="preserve">-chemical characteristics of pomegranate seeds. </w:t>
      </w:r>
      <w:r w:rsidRPr="00C22E28">
        <w:rPr>
          <w:rStyle w:val="Emphasis"/>
          <w:rFonts w:ascii="Arial" w:hAnsi="Arial" w:cs="Arial"/>
          <w:sz w:val="20"/>
          <w:szCs w:val="20"/>
        </w:rPr>
        <w:t>Food and Bioprocess Technology, 5</w:t>
      </w:r>
      <w:r w:rsidRPr="00C22E28">
        <w:rPr>
          <w:rFonts w:ascii="Arial" w:hAnsi="Arial" w:cs="Arial"/>
          <w:sz w:val="20"/>
          <w:szCs w:val="20"/>
        </w:rPr>
        <w:t xml:space="preserve">(3), 1037–1047. </w:t>
      </w:r>
      <w:hyperlink r:id="rId19" w:history="1">
        <w:r w:rsidRPr="00C22E28">
          <w:rPr>
            <w:rStyle w:val="Hyperlink"/>
            <w:rFonts w:ascii="Arial" w:hAnsi="Arial" w:cs="Arial"/>
            <w:sz w:val="20"/>
            <w:szCs w:val="20"/>
          </w:rPr>
          <w:t>https://doi.org/10.1007/s11947-010-0365-3</w:t>
        </w:r>
      </w:hyperlink>
    </w:p>
    <w:p w14:paraId="574FC601"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Benzie, I. F. F., &amp; Strain, J. J. (1996). The ferric reducing ability of plasma (FRAP) as a measure of 'antioxidant power': The FRAP assay. </w:t>
      </w:r>
      <w:r w:rsidRPr="00C22E28">
        <w:rPr>
          <w:rStyle w:val="Emphasis"/>
          <w:rFonts w:ascii="Arial" w:hAnsi="Arial" w:cs="Arial"/>
          <w:sz w:val="20"/>
          <w:szCs w:val="20"/>
        </w:rPr>
        <w:t>Analytical Biochemistry, 239</w:t>
      </w:r>
      <w:r w:rsidRPr="00C22E28">
        <w:rPr>
          <w:rFonts w:ascii="Arial" w:hAnsi="Arial" w:cs="Arial"/>
          <w:sz w:val="20"/>
          <w:szCs w:val="20"/>
        </w:rPr>
        <w:t xml:space="preserve">(1), 70–76. </w:t>
      </w:r>
      <w:hyperlink r:id="rId20" w:history="1">
        <w:r w:rsidRPr="00C22E28">
          <w:rPr>
            <w:rStyle w:val="Hyperlink"/>
            <w:rFonts w:ascii="Arial" w:hAnsi="Arial" w:cs="Arial"/>
            <w:sz w:val="20"/>
            <w:szCs w:val="20"/>
          </w:rPr>
          <w:t>https://doi.org/10.1006/abio.1996.0292</w:t>
        </w:r>
      </w:hyperlink>
    </w:p>
    <w:p w14:paraId="3D6ED274" w14:textId="463F5F28" w:rsidR="00C22E28" w:rsidRDefault="00A97ED2" w:rsidP="00C22E28">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Beuchat</w:t>
      </w:r>
      <w:proofErr w:type="spellEnd"/>
      <w:r w:rsidRPr="00C22E28">
        <w:rPr>
          <w:rFonts w:ascii="Arial" w:hAnsi="Arial" w:cs="Arial"/>
          <w:sz w:val="20"/>
          <w:szCs w:val="20"/>
        </w:rPr>
        <w:t xml:space="preserve">, L. R. (2002). Ecological factors influencing </w:t>
      </w:r>
      <w:r w:rsidR="00452A25">
        <w:rPr>
          <w:rFonts w:ascii="Arial" w:hAnsi="Arial" w:cs="Arial"/>
          <w:sz w:val="20"/>
          <w:szCs w:val="20"/>
        </w:rPr>
        <w:t xml:space="preserve">the </w:t>
      </w:r>
      <w:r w:rsidRPr="00C22E28">
        <w:rPr>
          <w:rFonts w:ascii="Arial" w:hAnsi="Arial" w:cs="Arial"/>
          <w:sz w:val="20"/>
          <w:szCs w:val="20"/>
        </w:rPr>
        <w:t xml:space="preserve">survival and growth of human pathogens on raw fruits and vegetables. </w:t>
      </w:r>
      <w:r w:rsidRPr="00C22E28">
        <w:rPr>
          <w:rStyle w:val="Emphasis"/>
          <w:rFonts w:ascii="Arial" w:hAnsi="Arial" w:cs="Arial"/>
          <w:sz w:val="20"/>
          <w:szCs w:val="20"/>
        </w:rPr>
        <w:t>Microbes and Infection, 4</w:t>
      </w:r>
      <w:r w:rsidRPr="00C22E28">
        <w:rPr>
          <w:rFonts w:ascii="Arial" w:hAnsi="Arial" w:cs="Arial"/>
          <w:sz w:val="20"/>
          <w:szCs w:val="20"/>
        </w:rPr>
        <w:t xml:space="preserve">(4), 413–423. </w:t>
      </w:r>
      <w:hyperlink r:id="rId21" w:history="1">
        <w:r w:rsidRPr="00C22E28">
          <w:rPr>
            <w:rStyle w:val="Hyperlink"/>
            <w:rFonts w:ascii="Arial" w:hAnsi="Arial" w:cs="Arial"/>
            <w:sz w:val="20"/>
            <w:szCs w:val="20"/>
          </w:rPr>
          <w:t>https://doi.org/10.1016/S1286-4579(02)01555-1</w:t>
        </w:r>
      </w:hyperlink>
    </w:p>
    <w:p w14:paraId="14BA36A8"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Brand-Williams, W., </w:t>
      </w:r>
      <w:proofErr w:type="spellStart"/>
      <w:r w:rsidRPr="00C22E28">
        <w:rPr>
          <w:rFonts w:ascii="Arial" w:hAnsi="Arial" w:cs="Arial"/>
          <w:sz w:val="20"/>
          <w:szCs w:val="20"/>
        </w:rPr>
        <w:t>Cuvelier</w:t>
      </w:r>
      <w:proofErr w:type="spellEnd"/>
      <w:r w:rsidRPr="00C22E28">
        <w:rPr>
          <w:rFonts w:ascii="Arial" w:hAnsi="Arial" w:cs="Arial"/>
          <w:sz w:val="20"/>
          <w:szCs w:val="20"/>
        </w:rPr>
        <w:t xml:space="preserve">, M. E., &amp; </w:t>
      </w:r>
      <w:proofErr w:type="spellStart"/>
      <w:r w:rsidRPr="00C22E28">
        <w:rPr>
          <w:rFonts w:ascii="Arial" w:hAnsi="Arial" w:cs="Arial"/>
          <w:sz w:val="20"/>
          <w:szCs w:val="20"/>
        </w:rPr>
        <w:t>Berset</w:t>
      </w:r>
      <w:proofErr w:type="spellEnd"/>
      <w:r w:rsidRPr="00C22E28">
        <w:rPr>
          <w:rFonts w:ascii="Arial" w:hAnsi="Arial" w:cs="Arial"/>
          <w:sz w:val="20"/>
          <w:szCs w:val="20"/>
        </w:rPr>
        <w:t xml:space="preserve">, C. (1995). Use of a free radical method to evaluate antioxidant activity. </w:t>
      </w:r>
      <w:r w:rsidRPr="00C22E28">
        <w:rPr>
          <w:rStyle w:val="Emphasis"/>
          <w:rFonts w:ascii="Arial" w:hAnsi="Arial" w:cs="Arial"/>
          <w:sz w:val="20"/>
          <w:szCs w:val="20"/>
        </w:rPr>
        <w:t>LWT – Food Science and Technology, 28</w:t>
      </w:r>
      <w:r w:rsidRPr="00C22E28">
        <w:rPr>
          <w:rFonts w:ascii="Arial" w:hAnsi="Arial" w:cs="Arial"/>
          <w:sz w:val="20"/>
          <w:szCs w:val="20"/>
        </w:rPr>
        <w:t xml:space="preserve">(1), 25–30. </w:t>
      </w:r>
      <w:hyperlink r:id="rId22" w:history="1">
        <w:r w:rsidRPr="00C22E28">
          <w:rPr>
            <w:rStyle w:val="Hyperlink"/>
            <w:rFonts w:ascii="Arial" w:hAnsi="Arial" w:cs="Arial"/>
            <w:sz w:val="20"/>
            <w:szCs w:val="20"/>
          </w:rPr>
          <w:t>https://doi.org/10.1016/S0023-6438(95)80008-5</w:t>
        </w:r>
      </w:hyperlink>
    </w:p>
    <w:p w14:paraId="5A66896C" w14:textId="77777777" w:rsidR="00C22E28" w:rsidRDefault="00A97ED2" w:rsidP="00C22E28">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Burdurlu</w:t>
      </w:r>
      <w:proofErr w:type="spellEnd"/>
      <w:r w:rsidRPr="00C22E28">
        <w:rPr>
          <w:rFonts w:ascii="Arial" w:hAnsi="Arial" w:cs="Arial"/>
          <w:sz w:val="20"/>
          <w:szCs w:val="20"/>
        </w:rPr>
        <w:t xml:space="preserve">, H. S., </w:t>
      </w:r>
      <w:proofErr w:type="spellStart"/>
      <w:r w:rsidRPr="00C22E28">
        <w:rPr>
          <w:rFonts w:ascii="Arial" w:hAnsi="Arial" w:cs="Arial"/>
          <w:sz w:val="20"/>
          <w:szCs w:val="20"/>
        </w:rPr>
        <w:t>Koca</w:t>
      </w:r>
      <w:proofErr w:type="spellEnd"/>
      <w:r w:rsidRPr="00C22E28">
        <w:rPr>
          <w:rFonts w:ascii="Arial" w:hAnsi="Arial" w:cs="Arial"/>
          <w:sz w:val="20"/>
          <w:szCs w:val="20"/>
        </w:rPr>
        <w:t xml:space="preserve">, N., &amp; Karadeniz, F. (2006). Degradation of vitamin C in citrus juice concentrates during storage. </w:t>
      </w:r>
      <w:r w:rsidRPr="00C22E28">
        <w:rPr>
          <w:rStyle w:val="Emphasis"/>
          <w:rFonts w:ascii="Arial" w:hAnsi="Arial" w:cs="Arial"/>
          <w:sz w:val="20"/>
          <w:szCs w:val="20"/>
        </w:rPr>
        <w:t>Journal of Food Engineering, 74</w:t>
      </w:r>
      <w:r w:rsidRPr="00C22E28">
        <w:rPr>
          <w:rFonts w:ascii="Arial" w:hAnsi="Arial" w:cs="Arial"/>
          <w:sz w:val="20"/>
          <w:szCs w:val="20"/>
        </w:rPr>
        <w:t xml:space="preserve">(2), 211–216. </w:t>
      </w:r>
      <w:hyperlink r:id="rId23" w:history="1">
        <w:r w:rsidRPr="00C22E28">
          <w:rPr>
            <w:rStyle w:val="Hyperlink"/>
            <w:rFonts w:ascii="Arial" w:hAnsi="Arial" w:cs="Arial"/>
            <w:sz w:val="20"/>
            <w:szCs w:val="20"/>
          </w:rPr>
          <w:t>https://doi.org/10.1016/j.jfoodeng.2005.03.026</w:t>
        </w:r>
      </w:hyperlink>
    </w:p>
    <w:p w14:paraId="26921C19" w14:textId="77777777" w:rsidR="00C22E28" w:rsidRDefault="00A97ED2" w:rsidP="00C22E28">
      <w:pPr>
        <w:spacing w:after="0" w:line="480" w:lineRule="auto"/>
        <w:ind w:left="720" w:hanging="720"/>
        <w:jc w:val="both"/>
        <w:rPr>
          <w:rFonts w:ascii="Arial" w:hAnsi="Arial" w:cs="Arial"/>
          <w:sz w:val="20"/>
          <w:szCs w:val="20"/>
        </w:rPr>
      </w:pPr>
      <w:r w:rsidRPr="00C22E28">
        <w:rPr>
          <w:rFonts w:ascii="Arial" w:hAnsi="Arial" w:cs="Arial"/>
          <w:sz w:val="20"/>
          <w:szCs w:val="20"/>
        </w:rPr>
        <w:t xml:space="preserve">Burt, S. (2004). Essential oils: Their antibacterial properties and potential applications in foods — A review. </w:t>
      </w:r>
      <w:r w:rsidRPr="00C22E28">
        <w:rPr>
          <w:rStyle w:val="Emphasis"/>
          <w:rFonts w:ascii="Arial" w:hAnsi="Arial" w:cs="Arial"/>
          <w:sz w:val="20"/>
          <w:szCs w:val="20"/>
        </w:rPr>
        <w:t>International Journal of Food Microbiology, 94</w:t>
      </w:r>
      <w:r w:rsidRPr="00C22E28">
        <w:rPr>
          <w:rFonts w:ascii="Arial" w:hAnsi="Arial" w:cs="Arial"/>
          <w:sz w:val="20"/>
          <w:szCs w:val="20"/>
        </w:rPr>
        <w:t xml:space="preserve">(3), 223–253. </w:t>
      </w:r>
      <w:hyperlink r:id="rId24" w:history="1">
        <w:r w:rsidRPr="00C22E28">
          <w:rPr>
            <w:rStyle w:val="Hyperlink"/>
            <w:rFonts w:ascii="Arial" w:hAnsi="Arial" w:cs="Arial"/>
            <w:sz w:val="20"/>
            <w:szCs w:val="20"/>
          </w:rPr>
          <w:t>https://doi.org/10.1016/j.ijfoodmicro.2004.03.022</w:t>
        </w:r>
      </w:hyperlink>
    </w:p>
    <w:p w14:paraId="75FA009F"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Chude</w:t>
      </w:r>
      <w:proofErr w:type="spellEnd"/>
      <w:r w:rsidRPr="00C22E28">
        <w:rPr>
          <w:rFonts w:ascii="Arial" w:hAnsi="Arial" w:cs="Arial"/>
          <w:sz w:val="20"/>
          <w:szCs w:val="20"/>
        </w:rPr>
        <w:t xml:space="preserve">, C. O., </w:t>
      </w:r>
      <w:proofErr w:type="spellStart"/>
      <w:r w:rsidRPr="00C22E28">
        <w:rPr>
          <w:rFonts w:ascii="Arial" w:hAnsi="Arial" w:cs="Arial"/>
          <w:sz w:val="20"/>
          <w:szCs w:val="20"/>
        </w:rPr>
        <w:t>Nwagbo</w:t>
      </w:r>
      <w:proofErr w:type="spellEnd"/>
      <w:r w:rsidRPr="00C22E28">
        <w:rPr>
          <w:rFonts w:ascii="Arial" w:hAnsi="Arial" w:cs="Arial"/>
          <w:sz w:val="20"/>
          <w:szCs w:val="20"/>
        </w:rPr>
        <w:t xml:space="preserve">, C. C., </w:t>
      </w:r>
      <w:proofErr w:type="spellStart"/>
      <w:r w:rsidRPr="00C22E28">
        <w:rPr>
          <w:rFonts w:ascii="Arial" w:hAnsi="Arial" w:cs="Arial"/>
          <w:sz w:val="20"/>
          <w:szCs w:val="20"/>
        </w:rPr>
        <w:t>Okpalanma</w:t>
      </w:r>
      <w:proofErr w:type="spellEnd"/>
      <w:r w:rsidRPr="00C22E28">
        <w:rPr>
          <w:rFonts w:ascii="Arial" w:hAnsi="Arial" w:cs="Arial"/>
          <w:sz w:val="20"/>
          <w:szCs w:val="20"/>
        </w:rPr>
        <w:t>, E. F., &amp; Uba, B. O. (2021). Functional and rheological profile of LAB-fermented Bambara groundnut (</w:t>
      </w:r>
      <w:r w:rsidRPr="00C22E28">
        <w:rPr>
          <w:rStyle w:val="Emphasis"/>
          <w:rFonts w:ascii="Arial" w:hAnsi="Arial" w:cs="Arial"/>
          <w:sz w:val="20"/>
          <w:szCs w:val="20"/>
        </w:rPr>
        <w:t xml:space="preserve">Vigna </w:t>
      </w:r>
      <w:proofErr w:type="spellStart"/>
      <w:r w:rsidRPr="00C22E28">
        <w:rPr>
          <w:rStyle w:val="Emphasis"/>
          <w:rFonts w:ascii="Arial" w:hAnsi="Arial" w:cs="Arial"/>
          <w:sz w:val="20"/>
          <w:szCs w:val="20"/>
        </w:rPr>
        <w:t>subterranea</w:t>
      </w:r>
      <w:proofErr w:type="spellEnd"/>
      <w:r w:rsidRPr="00C22E28">
        <w:rPr>
          <w:rFonts w:ascii="Arial" w:hAnsi="Arial" w:cs="Arial"/>
          <w:sz w:val="20"/>
          <w:szCs w:val="20"/>
        </w:rPr>
        <w:t xml:space="preserve"> L.) flour. </w:t>
      </w:r>
      <w:r w:rsidRPr="00C22E28">
        <w:rPr>
          <w:rStyle w:val="Emphasis"/>
          <w:rFonts w:ascii="Arial" w:hAnsi="Arial" w:cs="Arial"/>
          <w:sz w:val="20"/>
          <w:szCs w:val="20"/>
        </w:rPr>
        <w:t>Journal of Advances in Microbiology, 10</w:t>
      </w:r>
      <w:r w:rsidRPr="00C22E28">
        <w:rPr>
          <w:rFonts w:ascii="Arial" w:hAnsi="Arial" w:cs="Arial"/>
          <w:sz w:val="20"/>
          <w:szCs w:val="20"/>
        </w:rPr>
        <w:t>, 1–9.</w:t>
      </w:r>
    </w:p>
    <w:p w14:paraId="05FAB564"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Ejoh</w:t>
      </w:r>
      <w:proofErr w:type="spellEnd"/>
      <w:r w:rsidRPr="00C22E28">
        <w:rPr>
          <w:rFonts w:ascii="Arial" w:hAnsi="Arial" w:cs="Arial"/>
          <w:sz w:val="20"/>
          <w:szCs w:val="20"/>
        </w:rPr>
        <w:t xml:space="preserve">, A. R., </w:t>
      </w:r>
      <w:proofErr w:type="spellStart"/>
      <w:r w:rsidRPr="00C22E28">
        <w:rPr>
          <w:rFonts w:ascii="Arial" w:hAnsi="Arial" w:cs="Arial"/>
          <w:sz w:val="20"/>
          <w:szCs w:val="20"/>
        </w:rPr>
        <w:t>Dever</w:t>
      </w:r>
      <w:proofErr w:type="spellEnd"/>
      <w:r w:rsidRPr="00C22E28">
        <w:rPr>
          <w:rFonts w:ascii="Arial" w:hAnsi="Arial" w:cs="Arial"/>
          <w:sz w:val="20"/>
          <w:szCs w:val="20"/>
        </w:rPr>
        <w:t xml:space="preserve">, J. T., Mills, J. P., &amp; </w:t>
      </w:r>
      <w:proofErr w:type="spellStart"/>
      <w:r w:rsidRPr="00C22E28">
        <w:rPr>
          <w:rFonts w:ascii="Arial" w:hAnsi="Arial" w:cs="Arial"/>
          <w:sz w:val="20"/>
          <w:szCs w:val="20"/>
        </w:rPr>
        <w:t>Tanumihardjo</w:t>
      </w:r>
      <w:proofErr w:type="spellEnd"/>
      <w:r w:rsidRPr="00C22E28">
        <w:rPr>
          <w:rFonts w:ascii="Arial" w:hAnsi="Arial" w:cs="Arial"/>
          <w:sz w:val="20"/>
          <w:szCs w:val="20"/>
        </w:rPr>
        <w:t xml:space="preserve">, S. A. (2005). Low carotenoid intakes are associated with a high prevalence of subclinical vitamin A deficiency in children aged 12 to 59 months in </w:t>
      </w:r>
      <w:proofErr w:type="spellStart"/>
      <w:r w:rsidRPr="00C22E28">
        <w:rPr>
          <w:rFonts w:ascii="Arial" w:hAnsi="Arial" w:cs="Arial"/>
          <w:sz w:val="20"/>
          <w:szCs w:val="20"/>
        </w:rPr>
        <w:t>Muyuka</w:t>
      </w:r>
      <w:proofErr w:type="spellEnd"/>
      <w:r w:rsidRPr="00C22E28">
        <w:rPr>
          <w:rFonts w:ascii="Arial" w:hAnsi="Arial" w:cs="Arial"/>
          <w:sz w:val="20"/>
          <w:szCs w:val="20"/>
        </w:rPr>
        <w:t xml:space="preserve">, Southwest Province, Cameroon. </w:t>
      </w:r>
      <w:r w:rsidRPr="00C22E28">
        <w:rPr>
          <w:rStyle w:val="Emphasis"/>
          <w:rFonts w:ascii="Arial" w:hAnsi="Arial" w:cs="Arial"/>
          <w:sz w:val="20"/>
          <w:szCs w:val="20"/>
        </w:rPr>
        <w:t>Journal of Nutrition, 135</w:t>
      </w:r>
      <w:r w:rsidRPr="00C22E28">
        <w:rPr>
          <w:rFonts w:ascii="Arial" w:hAnsi="Arial" w:cs="Arial"/>
          <w:sz w:val="20"/>
          <w:szCs w:val="20"/>
        </w:rPr>
        <w:t>(12), 2739–2744.</w:t>
      </w:r>
    </w:p>
    <w:p w14:paraId="259AFA75"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Farombi</w:t>
      </w:r>
      <w:proofErr w:type="spellEnd"/>
      <w:r w:rsidRPr="00C22E28">
        <w:rPr>
          <w:rFonts w:ascii="Arial" w:hAnsi="Arial" w:cs="Arial"/>
          <w:sz w:val="20"/>
          <w:szCs w:val="20"/>
        </w:rPr>
        <w:t xml:space="preserve">, E. O., &amp; </w:t>
      </w:r>
      <w:proofErr w:type="spellStart"/>
      <w:r w:rsidRPr="00C22E28">
        <w:rPr>
          <w:rFonts w:ascii="Arial" w:hAnsi="Arial" w:cs="Arial"/>
          <w:sz w:val="20"/>
          <w:szCs w:val="20"/>
        </w:rPr>
        <w:t>Owoeye</w:t>
      </w:r>
      <w:proofErr w:type="spellEnd"/>
      <w:r w:rsidRPr="00C22E28">
        <w:rPr>
          <w:rFonts w:ascii="Arial" w:hAnsi="Arial" w:cs="Arial"/>
          <w:sz w:val="20"/>
          <w:szCs w:val="20"/>
        </w:rPr>
        <w:t xml:space="preserve">, O. (2011). Antigenotoxic and </w:t>
      </w:r>
      <w:proofErr w:type="spellStart"/>
      <w:r w:rsidRPr="00C22E28">
        <w:rPr>
          <w:rFonts w:ascii="Arial" w:hAnsi="Arial" w:cs="Arial"/>
          <w:sz w:val="20"/>
          <w:szCs w:val="20"/>
        </w:rPr>
        <w:t>chemopreventive</w:t>
      </w:r>
      <w:proofErr w:type="spellEnd"/>
      <w:r w:rsidRPr="00C22E28">
        <w:rPr>
          <w:rFonts w:ascii="Arial" w:hAnsi="Arial" w:cs="Arial"/>
          <w:sz w:val="20"/>
          <w:szCs w:val="20"/>
        </w:rPr>
        <w:t xml:space="preserve"> activities of </w:t>
      </w:r>
      <w:r w:rsidRPr="00C22E28">
        <w:rPr>
          <w:rStyle w:val="Emphasis"/>
          <w:rFonts w:ascii="Arial" w:hAnsi="Arial" w:cs="Arial"/>
          <w:sz w:val="20"/>
          <w:szCs w:val="20"/>
        </w:rPr>
        <w:t>Vernonia amygdalina</w:t>
      </w:r>
      <w:r w:rsidRPr="00C22E28">
        <w:rPr>
          <w:rFonts w:ascii="Arial" w:hAnsi="Arial" w:cs="Arial"/>
          <w:sz w:val="20"/>
          <w:szCs w:val="20"/>
        </w:rPr>
        <w:t xml:space="preserve"> in aflatoxin B1-treated rats. </w:t>
      </w:r>
      <w:r w:rsidRPr="00C22E28">
        <w:rPr>
          <w:rStyle w:val="Emphasis"/>
          <w:rFonts w:ascii="Arial" w:hAnsi="Arial" w:cs="Arial"/>
          <w:sz w:val="20"/>
          <w:szCs w:val="20"/>
        </w:rPr>
        <w:t>International Journal of Environmental Research and Public Health, 8</w:t>
      </w:r>
      <w:r w:rsidRPr="00C22E28">
        <w:rPr>
          <w:rFonts w:ascii="Arial" w:hAnsi="Arial" w:cs="Arial"/>
          <w:sz w:val="20"/>
          <w:szCs w:val="20"/>
        </w:rPr>
        <w:t xml:space="preserve">(6), 2123–2134. </w:t>
      </w:r>
      <w:hyperlink r:id="rId25" w:history="1">
        <w:r w:rsidRPr="00C22E28">
          <w:rPr>
            <w:rStyle w:val="Hyperlink"/>
            <w:rFonts w:ascii="Arial" w:hAnsi="Arial" w:cs="Arial"/>
            <w:sz w:val="20"/>
            <w:szCs w:val="20"/>
          </w:rPr>
          <w:t>https://doi.org/10.3390/ijerph8062123</w:t>
        </w:r>
      </w:hyperlink>
    </w:p>
    <w:p w14:paraId="74B52622"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Fellows, P. J. (2019). </w:t>
      </w:r>
      <w:r w:rsidRPr="00C22E28">
        <w:rPr>
          <w:rStyle w:val="Emphasis"/>
          <w:rFonts w:ascii="Arial" w:hAnsi="Arial" w:cs="Arial"/>
          <w:sz w:val="20"/>
          <w:szCs w:val="20"/>
        </w:rPr>
        <w:t>Food processing technology: Principles and practice</w:t>
      </w:r>
      <w:r w:rsidRPr="00C22E28">
        <w:rPr>
          <w:rFonts w:ascii="Arial" w:hAnsi="Arial" w:cs="Arial"/>
          <w:sz w:val="20"/>
          <w:szCs w:val="20"/>
        </w:rPr>
        <w:t xml:space="preserve"> (4th ed.). Woodhead Publishing.</w:t>
      </w:r>
    </w:p>
    <w:p w14:paraId="24A49C0C"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lastRenderedPageBreak/>
        <w:t>Granato</w:t>
      </w:r>
      <w:proofErr w:type="spellEnd"/>
      <w:r w:rsidRPr="00C22E28">
        <w:rPr>
          <w:rFonts w:ascii="Arial" w:hAnsi="Arial" w:cs="Arial"/>
          <w:sz w:val="20"/>
          <w:szCs w:val="20"/>
        </w:rPr>
        <w:t xml:space="preserve">, D., Barba, F. J., </w:t>
      </w:r>
      <w:proofErr w:type="spellStart"/>
      <w:r w:rsidRPr="00C22E28">
        <w:rPr>
          <w:rFonts w:ascii="Arial" w:hAnsi="Arial" w:cs="Arial"/>
          <w:sz w:val="20"/>
          <w:szCs w:val="20"/>
        </w:rPr>
        <w:t>Bursać</w:t>
      </w:r>
      <w:proofErr w:type="spellEnd"/>
      <w:r w:rsidRPr="00C22E28">
        <w:rPr>
          <w:rFonts w:ascii="Arial" w:hAnsi="Arial" w:cs="Arial"/>
          <w:sz w:val="20"/>
          <w:szCs w:val="20"/>
        </w:rPr>
        <w:t xml:space="preserve"> </w:t>
      </w:r>
      <w:proofErr w:type="spellStart"/>
      <w:r w:rsidRPr="00C22E28">
        <w:rPr>
          <w:rFonts w:ascii="Arial" w:hAnsi="Arial" w:cs="Arial"/>
          <w:sz w:val="20"/>
          <w:szCs w:val="20"/>
        </w:rPr>
        <w:t>Kovačević</w:t>
      </w:r>
      <w:proofErr w:type="spellEnd"/>
      <w:r w:rsidRPr="00C22E28">
        <w:rPr>
          <w:rFonts w:ascii="Arial" w:hAnsi="Arial" w:cs="Arial"/>
          <w:sz w:val="20"/>
          <w:szCs w:val="20"/>
        </w:rPr>
        <w:t xml:space="preserve">, D., Lorenzo, J. M., Cruz, A. G., &amp; </w:t>
      </w:r>
      <w:proofErr w:type="spellStart"/>
      <w:r w:rsidRPr="00C22E28">
        <w:rPr>
          <w:rFonts w:ascii="Arial" w:hAnsi="Arial" w:cs="Arial"/>
          <w:sz w:val="20"/>
          <w:szCs w:val="20"/>
        </w:rPr>
        <w:t>Putnik</w:t>
      </w:r>
      <w:proofErr w:type="spellEnd"/>
      <w:r w:rsidRPr="00C22E28">
        <w:rPr>
          <w:rFonts w:ascii="Arial" w:hAnsi="Arial" w:cs="Arial"/>
          <w:sz w:val="20"/>
          <w:szCs w:val="20"/>
        </w:rPr>
        <w:t xml:space="preserve">, P. (2020). Functional foods: Product development, technological trends, efficacy testing, and safety. </w:t>
      </w:r>
      <w:r w:rsidRPr="00C22E28">
        <w:rPr>
          <w:rStyle w:val="Emphasis"/>
          <w:rFonts w:ascii="Arial" w:hAnsi="Arial" w:cs="Arial"/>
          <w:sz w:val="20"/>
          <w:szCs w:val="20"/>
        </w:rPr>
        <w:t>Annual Review of Food Science and Technology, 11</w:t>
      </w:r>
      <w:r w:rsidRPr="00C22E28">
        <w:rPr>
          <w:rFonts w:ascii="Arial" w:hAnsi="Arial" w:cs="Arial"/>
          <w:sz w:val="20"/>
          <w:szCs w:val="20"/>
        </w:rPr>
        <w:t xml:space="preserve">, 93–118. </w:t>
      </w:r>
      <w:hyperlink r:id="rId26" w:history="1">
        <w:r w:rsidRPr="00C22E28">
          <w:rPr>
            <w:rStyle w:val="Hyperlink"/>
            <w:rFonts w:ascii="Arial" w:hAnsi="Arial" w:cs="Arial"/>
            <w:sz w:val="20"/>
            <w:szCs w:val="20"/>
          </w:rPr>
          <w:t>https://doi.org/10.1146/annurev-food-032519-051708</w:t>
        </w:r>
      </w:hyperlink>
    </w:p>
    <w:p w14:paraId="43B64BF0" w14:textId="477B69EC"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Hossain, M. F., Akhtar, S., &amp; Anwar, M. (201</w:t>
      </w:r>
      <w:r w:rsidR="003B0588">
        <w:rPr>
          <w:rFonts w:ascii="Arial" w:hAnsi="Arial" w:cs="Arial"/>
          <w:sz w:val="20"/>
          <w:szCs w:val="20"/>
        </w:rPr>
        <w:t>5</w:t>
      </w:r>
      <w:r w:rsidRPr="00C22E28">
        <w:rPr>
          <w:rFonts w:ascii="Arial" w:hAnsi="Arial" w:cs="Arial"/>
          <w:sz w:val="20"/>
          <w:szCs w:val="20"/>
        </w:rPr>
        <w:t xml:space="preserve">). Nutritional value and medicinal benefits of pineapple. </w:t>
      </w:r>
      <w:r w:rsidRPr="00C22E28">
        <w:rPr>
          <w:rStyle w:val="Emphasis"/>
          <w:rFonts w:ascii="Arial" w:hAnsi="Arial" w:cs="Arial"/>
          <w:sz w:val="20"/>
          <w:szCs w:val="20"/>
        </w:rPr>
        <w:t>International Journal of Nutrition and Food Sciences, 4</w:t>
      </w:r>
      <w:r w:rsidRPr="00C22E28">
        <w:rPr>
          <w:rFonts w:ascii="Arial" w:hAnsi="Arial" w:cs="Arial"/>
          <w:sz w:val="20"/>
          <w:szCs w:val="20"/>
        </w:rPr>
        <w:t>(1), 84–88.</w:t>
      </w:r>
    </w:p>
    <w:p w14:paraId="4091AB4B"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International Commission on Microbiological Specifications for Foods (ICMSF). (2002). </w:t>
      </w:r>
      <w:r w:rsidRPr="00C22E28">
        <w:rPr>
          <w:rStyle w:val="Emphasis"/>
          <w:rFonts w:ascii="Arial" w:hAnsi="Arial" w:cs="Arial"/>
          <w:sz w:val="20"/>
          <w:szCs w:val="20"/>
        </w:rPr>
        <w:t>Microorganisms in foods 7: Microbiological testing in food safety management</w:t>
      </w:r>
      <w:r w:rsidRPr="00C22E28">
        <w:rPr>
          <w:rFonts w:ascii="Arial" w:hAnsi="Arial" w:cs="Arial"/>
          <w:sz w:val="20"/>
          <w:szCs w:val="20"/>
        </w:rPr>
        <w:t>. Kluwer Academic/Plenum Publishers.</w:t>
      </w:r>
    </w:p>
    <w:p w14:paraId="48C3EAE1"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Igile</w:t>
      </w:r>
      <w:proofErr w:type="spellEnd"/>
      <w:r w:rsidRPr="00C22E28">
        <w:rPr>
          <w:rFonts w:ascii="Arial" w:hAnsi="Arial" w:cs="Arial"/>
          <w:sz w:val="20"/>
          <w:szCs w:val="20"/>
        </w:rPr>
        <w:t xml:space="preserve">, G. O., </w:t>
      </w:r>
      <w:proofErr w:type="spellStart"/>
      <w:r w:rsidRPr="00C22E28">
        <w:rPr>
          <w:rFonts w:ascii="Arial" w:hAnsi="Arial" w:cs="Arial"/>
          <w:sz w:val="20"/>
          <w:szCs w:val="20"/>
        </w:rPr>
        <w:t>Oleszek</w:t>
      </w:r>
      <w:proofErr w:type="spellEnd"/>
      <w:r w:rsidRPr="00C22E28">
        <w:rPr>
          <w:rFonts w:ascii="Arial" w:hAnsi="Arial" w:cs="Arial"/>
          <w:sz w:val="20"/>
          <w:szCs w:val="20"/>
        </w:rPr>
        <w:t xml:space="preserve">, W., </w:t>
      </w:r>
      <w:proofErr w:type="spellStart"/>
      <w:r w:rsidRPr="00C22E28">
        <w:rPr>
          <w:rFonts w:ascii="Arial" w:hAnsi="Arial" w:cs="Arial"/>
          <w:sz w:val="20"/>
          <w:szCs w:val="20"/>
        </w:rPr>
        <w:t>Jurzysta</w:t>
      </w:r>
      <w:proofErr w:type="spellEnd"/>
      <w:r w:rsidRPr="00C22E28">
        <w:rPr>
          <w:rFonts w:ascii="Arial" w:hAnsi="Arial" w:cs="Arial"/>
          <w:sz w:val="20"/>
          <w:szCs w:val="20"/>
        </w:rPr>
        <w:t xml:space="preserve">, M., </w:t>
      </w:r>
      <w:proofErr w:type="spellStart"/>
      <w:r w:rsidRPr="00C22E28">
        <w:rPr>
          <w:rFonts w:ascii="Arial" w:hAnsi="Arial" w:cs="Arial"/>
          <w:sz w:val="20"/>
          <w:szCs w:val="20"/>
        </w:rPr>
        <w:t>Burda</w:t>
      </w:r>
      <w:proofErr w:type="spellEnd"/>
      <w:r w:rsidRPr="00C22E28">
        <w:rPr>
          <w:rFonts w:ascii="Arial" w:hAnsi="Arial" w:cs="Arial"/>
          <w:sz w:val="20"/>
          <w:szCs w:val="20"/>
        </w:rPr>
        <w:t xml:space="preserve">, S., </w:t>
      </w:r>
      <w:proofErr w:type="spellStart"/>
      <w:r w:rsidRPr="00C22E28">
        <w:rPr>
          <w:rFonts w:ascii="Arial" w:hAnsi="Arial" w:cs="Arial"/>
          <w:sz w:val="20"/>
          <w:szCs w:val="20"/>
        </w:rPr>
        <w:t>Fafunso</w:t>
      </w:r>
      <w:proofErr w:type="spellEnd"/>
      <w:r w:rsidRPr="00C22E28">
        <w:rPr>
          <w:rFonts w:ascii="Arial" w:hAnsi="Arial" w:cs="Arial"/>
          <w:sz w:val="20"/>
          <w:szCs w:val="20"/>
        </w:rPr>
        <w:t xml:space="preserve">, M., &amp; </w:t>
      </w:r>
      <w:proofErr w:type="spellStart"/>
      <w:r w:rsidRPr="00C22E28">
        <w:rPr>
          <w:rFonts w:ascii="Arial" w:hAnsi="Arial" w:cs="Arial"/>
          <w:sz w:val="20"/>
          <w:szCs w:val="20"/>
        </w:rPr>
        <w:t>Fasanmade</w:t>
      </w:r>
      <w:proofErr w:type="spellEnd"/>
      <w:r w:rsidRPr="00C22E28">
        <w:rPr>
          <w:rFonts w:ascii="Arial" w:hAnsi="Arial" w:cs="Arial"/>
          <w:sz w:val="20"/>
          <w:szCs w:val="20"/>
        </w:rPr>
        <w:t xml:space="preserve">, A. A. (1994). Flavonoids from </w:t>
      </w:r>
      <w:r w:rsidRPr="00C22E28">
        <w:rPr>
          <w:rStyle w:val="Emphasis"/>
          <w:rFonts w:ascii="Arial" w:hAnsi="Arial" w:cs="Arial"/>
          <w:sz w:val="20"/>
          <w:szCs w:val="20"/>
        </w:rPr>
        <w:t>Vernonia amygdalina</w:t>
      </w:r>
      <w:r w:rsidRPr="00C22E28">
        <w:rPr>
          <w:rFonts w:ascii="Arial" w:hAnsi="Arial" w:cs="Arial"/>
          <w:sz w:val="20"/>
          <w:szCs w:val="20"/>
        </w:rPr>
        <w:t xml:space="preserve"> and their antioxidant activities. </w:t>
      </w:r>
      <w:r w:rsidRPr="00C22E28">
        <w:rPr>
          <w:rStyle w:val="Emphasis"/>
          <w:rFonts w:ascii="Arial" w:hAnsi="Arial" w:cs="Arial"/>
          <w:sz w:val="20"/>
          <w:szCs w:val="20"/>
        </w:rPr>
        <w:t>Journal of Agricultural and Food Chemistry, 42</w:t>
      </w:r>
      <w:r w:rsidRPr="00C22E28">
        <w:rPr>
          <w:rFonts w:ascii="Arial" w:hAnsi="Arial" w:cs="Arial"/>
          <w:sz w:val="20"/>
          <w:szCs w:val="20"/>
        </w:rPr>
        <w:t xml:space="preserve">(11), 2445–2448. </w:t>
      </w:r>
      <w:hyperlink r:id="rId27" w:history="1">
        <w:r w:rsidRPr="00C22E28">
          <w:rPr>
            <w:rStyle w:val="Hyperlink"/>
            <w:rFonts w:ascii="Arial" w:hAnsi="Arial" w:cs="Arial"/>
            <w:sz w:val="20"/>
            <w:szCs w:val="20"/>
          </w:rPr>
          <w:t>https://doi.org/10.1021/jf00047a019</w:t>
        </w:r>
      </w:hyperlink>
    </w:p>
    <w:p w14:paraId="58BEA6B6"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Leistner</w:t>
      </w:r>
      <w:proofErr w:type="spellEnd"/>
      <w:r w:rsidRPr="00C22E28">
        <w:rPr>
          <w:rFonts w:ascii="Arial" w:hAnsi="Arial" w:cs="Arial"/>
          <w:sz w:val="20"/>
          <w:szCs w:val="20"/>
        </w:rPr>
        <w:t xml:space="preserve">, L. (2000). Basic aspects of food preservation by hurdle technology. </w:t>
      </w:r>
      <w:r w:rsidRPr="00C22E28">
        <w:rPr>
          <w:rStyle w:val="Emphasis"/>
          <w:rFonts w:ascii="Arial" w:hAnsi="Arial" w:cs="Arial"/>
          <w:sz w:val="20"/>
          <w:szCs w:val="20"/>
        </w:rPr>
        <w:t>International Journal of Food Microbiology, 55</w:t>
      </w:r>
      <w:r w:rsidRPr="00C22E28">
        <w:rPr>
          <w:rFonts w:ascii="Arial" w:hAnsi="Arial" w:cs="Arial"/>
          <w:sz w:val="20"/>
          <w:szCs w:val="20"/>
        </w:rPr>
        <w:t xml:space="preserve">(1–2), 181–186. </w:t>
      </w:r>
      <w:hyperlink r:id="rId28" w:history="1">
        <w:r w:rsidRPr="00C22E28">
          <w:rPr>
            <w:rStyle w:val="Hyperlink"/>
            <w:rFonts w:ascii="Arial" w:hAnsi="Arial" w:cs="Arial"/>
            <w:sz w:val="20"/>
            <w:szCs w:val="20"/>
          </w:rPr>
          <w:t>https://doi.org/10.1016/S0168-1605(00)00161-6</w:t>
        </w:r>
      </w:hyperlink>
    </w:p>
    <w:p w14:paraId="38E7E751"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Lim, T. K. (2012). </w:t>
      </w:r>
      <w:r w:rsidRPr="00C22E28">
        <w:rPr>
          <w:rStyle w:val="Emphasis"/>
          <w:rFonts w:ascii="Arial" w:hAnsi="Arial" w:cs="Arial"/>
          <w:sz w:val="20"/>
          <w:szCs w:val="20"/>
        </w:rPr>
        <w:t>Ananas comosus</w:t>
      </w:r>
      <w:r w:rsidRPr="00C22E28">
        <w:rPr>
          <w:rFonts w:ascii="Arial" w:hAnsi="Arial" w:cs="Arial"/>
          <w:sz w:val="20"/>
          <w:szCs w:val="20"/>
        </w:rPr>
        <w:t xml:space="preserve">. In </w:t>
      </w:r>
      <w:r w:rsidRPr="00C22E28">
        <w:rPr>
          <w:rStyle w:val="Emphasis"/>
          <w:rFonts w:ascii="Arial" w:hAnsi="Arial" w:cs="Arial"/>
          <w:sz w:val="20"/>
          <w:szCs w:val="20"/>
        </w:rPr>
        <w:t>Edible medicinal and non-medicinal plants</w:t>
      </w:r>
      <w:r w:rsidRPr="00C22E28">
        <w:rPr>
          <w:rFonts w:ascii="Arial" w:hAnsi="Arial" w:cs="Arial"/>
          <w:sz w:val="20"/>
          <w:szCs w:val="20"/>
        </w:rPr>
        <w:t xml:space="preserve"> (Vol. 1, pp. 84–98). Springer. </w:t>
      </w:r>
      <w:hyperlink r:id="rId29" w:history="1">
        <w:r w:rsidRPr="00C22E28">
          <w:rPr>
            <w:rStyle w:val="Hyperlink"/>
            <w:rFonts w:ascii="Arial" w:hAnsi="Arial" w:cs="Arial"/>
            <w:sz w:val="20"/>
            <w:szCs w:val="20"/>
          </w:rPr>
          <w:t>https://doi.org/10.1007/978-90-481-8661-7</w:t>
        </w:r>
      </w:hyperlink>
    </w:p>
    <w:p w14:paraId="5666B599"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Mahendran, G., </w:t>
      </w:r>
      <w:proofErr w:type="spellStart"/>
      <w:r w:rsidRPr="00C22E28">
        <w:rPr>
          <w:rFonts w:ascii="Arial" w:hAnsi="Arial" w:cs="Arial"/>
          <w:sz w:val="20"/>
          <w:szCs w:val="20"/>
        </w:rPr>
        <w:t>Owokotomo</w:t>
      </w:r>
      <w:proofErr w:type="spellEnd"/>
      <w:r w:rsidRPr="00C22E28">
        <w:rPr>
          <w:rFonts w:ascii="Arial" w:hAnsi="Arial" w:cs="Arial"/>
          <w:sz w:val="20"/>
          <w:szCs w:val="20"/>
        </w:rPr>
        <w:t xml:space="preserve">, I. A., &amp; </w:t>
      </w:r>
      <w:proofErr w:type="spellStart"/>
      <w:r w:rsidRPr="00C22E28">
        <w:rPr>
          <w:rFonts w:ascii="Arial" w:hAnsi="Arial" w:cs="Arial"/>
          <w:sz w:val="20"/>
          <w:szCs w:val="20"/>
        </w:rPr>
        <w:t>Nandagopalan</w:t>
      </w:r>
      <w:proofErr w:type="spellEnd"/>
      <w:r w:rsidRPr="00C22E28">
        <w:rPr>
          <w:rFonts w:ascii="Arial" w:hAnsi="Arial" w:cs="Arial"/>
          <w:sz w:val="20"/>
          <w:szCs w:val="20"/>
        </w:rPr>
        <w:t xml:space="preserve">, V. (2021). Biological activities and phytochemical analysis of </w:t>
      </w:r>
      <w:r w:rsidRPr="00C22E28">
        <w:rPr>
          <w:rStyle w:val="Emphasis"/>
          <w:rFonts w:ascii="Arial" w:hAnsi="Arial" w:cs="Arial"/>
          <w:sz w:val="20"/>
          <w:szCs w:val="20"/>
        </w:rPr>
        <w:t>Mentha</w:t>
      </w:r>
      <w:r w:rsidRPr="00C22E28">
        <w:rPr>
          <w:rFonts w:ascii="Arial" w:hAnsi="Arial" w:cs="Arial"/>
          <w:sz w:val="20"/>
          <w:szCs w:val="20"/>
        </w:rPr>
        <w:t xml:space="preserve"> species. </w:t>
      </w:r>
      <w:r w:rsidRPr="00C22E28">
        <w:rPr>
          <w:rStyle w:val="Emphasis"/>
          <w:rFonts w:ascii="Arial" w:hAnsi="Arial" w:cs="Arial"/>
          <w:sz w:val="20"/>
          <w:szCs w:val="20"/>
        </w:rPr>
        <w:t>Journal of Ethnopharmacology, 271</w:t>
      </w:r>
      <w:r w:rsidRPr="00C22E28">
        <w:rPr>
          <w:rFonts w:ascii="Arial" w:hAnsi="Arial" w:cs="Arial"/>
          <w:sz w:val="20"/>
          <w:szCs w:val="20"/>
        </w:rPr>
        <w:t xml:space="preserve">, 113880. </w:t>
      </w:r>
      <w:hyperlink r:id="rId30" w:history="1">
        <w:r w:rsidRPr="00C22E28">
          <w:rPr>
            <w:rStyle w:val="Hyperlink"/>
            <w:rFonts w:ascii="Arial" w:hAnsi="Arial" w:cs="Arial"/>
            <w:sz w:val="20"/>
            <w:szCs w:val="20"/>
          </w:rPr>
          <w:t>https://doi.org/10.1016/j.jep.2021.113880</w:t>
        </w:r>
      </w:hyperlink>
    </w:p>
    <w:p w14:paraId="7F2C9558"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McKay, D. L., &amp; Blumberg, J. B. (2006). A review of the bioactivity and potential health benefits of peppermint tea (</w:t>
      </w:r>
      <w:r w:rsidRPr="00C22E28">
        <w:rPr>
          <w:rStyle w:val="Emphasis"/>
          <w:rFonts w:ascii="Arial" w:hAnsi="Arial" w:cs="Arial"/>
          <w:sz w:val="20"/>
          <w:szCs w:val="20"/>
        </w:rPr>
        <w:t>Mentha piperita</w:t>
      </w:r>
      <w:r w:rsidRPr="00C22E28">
        <w:rPr>
          <w:rFonts w:ascii="Arial" w:hAnsi="Arial" w:cs="Arial"/>
          <w:sz w:val="20"/>
          <w:szCs w:val="20"/>
        </w:rPr>
        <w:t xml:space="preserve"> L.). </w:t>
      </w:r>
      <w:r w:rsidRPr="00C22E28">
        <w:rPr>
          <w:rStyle w:val="Emphasis"/>
          <w:rFonts w:ascii="Arial" w:hAnsi="Arial" w:cs="Arial"/>
          <w:sz w:val="20"/>
          <w:szCs w:val="20"/>
        </w:rPr>
        <w:t>Phytotherapy Research, 20</w:t>
      </w:r>
      <w:r w:rsidRPr="00C22E28">
        <w:rPr>
          <w:rFonts w:ascii="Arial" w:hAnsi="Arial" w:cs="Arial"/>
          <w:sz w:val="20"/>
          <w:szCs w:val="20"/>
        </w:rPr>
        <w:t xml:space="preserve">(8), 619–633. </w:t>
      </w:r>
      <w:hyperlink r:id="rId31" w:history="1">
        <w:r w:rsidRPr="00C22E28">
          <w:rPr>
            <w:rStyle w:val="Hyperlink"/>
            <w:rFonts w:ascii="Arial" w:hAnsi="Arial" w:cs="Arial"/>
            <w:sz w:val="20"/>
            <w:szCs w:val="20"/>
          </w:rPr>
          <w:t>https://doi.org/10.1002/ptr.1936</w:t>
        </w:r>
      </w:hyperlink>
    </w:p>
    <w:p w14:paraId="33C5ADAE" w14:textId="660837F4"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Mensor</w:t>
      </w:r>
      <w:proofErr w:type="spellEnd"/>
      <w:r w:rsidRPr="00C22E28">
        <w:rPr>
          <w:rFonts w:ascii="Arial" w:hAnsi="Arial" w:cs="Arial"/>
          <w:sz w:val="20"/>
          <w:szCs w:val="20"/>
        </w:rPr>
        <w:t xml:space="preserve">, L. L., Menezes, F. S., </w:t>
      </w:r>
      <w:proofErr w:type="spellStart"/>
      <w:r w:rsidRPr="00C22E28">
        <w:rPr>
          <w:rFonts w:ascii="Arial" w:hAnsi="Arial" w:cs="Arial"/>
          <w:sz w:val="20"/>
          <w:szCs w:val="20"/>
        </w:rPr>
        <w:t>Leitão</w:t>
      </w:r>
      <w:proofErr w:type="spellEnd"/>
      <w:r w:rsidRPr="00C22E28">
        <w:rPr>
          <w:rFonts w:ascii="Arial" w:hAnsi="Arial" w:cs="Arial"/>
          <w:sz w:val="20"/>
          <w:szCs w:val="20"/>
        </w:rPr>
        <w:t xml:space="preserve">, G. G., Reis, A. S., dos Santos, T. C., </w:t>
      </w:r>
      <w:proofErr w:type="spellStart"/>
      <w:r w:rsidRPr="00C22E28">
        <w:rPr>
          <w:rFonts w:ascii="Arial" w:hAnsi="Arial" w:cs="Arial"/>
          <w:sz w:val="20"/>
          <w:szCs w:val="20"/>
        </w:rPr>
        <w:t>Coube</w:t>
      </w:r>
      <w:proofErr w:type="spellEnd"/>
      <w:r w:rsidRPr="00C22E28">
        <w:rPr>
          <w:rFonts w:ascii="Arial" w:hAnsi="Arial" w:cs="Arial"/>
          <w:sz w:val="20"/>
          <w:szCs w:val="20"/>
        </w:rPr>
        <w:t xml:space="preserve">, C. S., &amp; </w:t>
      </w:r>
      <w:proofErr w:type="spellStart"/>
      <w:r w:rsidRPr="00C22E28">
        <w:rPr>
          <w:rFonts w:ascii="Arial" w:hAnsi="Arial" w:cs="Arial"/>
          <w:sz w:val="20"/>
          <w:szCs w:val="20"/>
        </w:rPr>
        <w:t>Leitão</w:t>
      </w:r>
      <w:proofErr w:type="spellEnd"/>
      <w:r w:rsidRPr="00C22E28">
        <w:rPr>
          <w:rFonts w:ascii="Arial" w:hAnsi="Arial" w:cs="Arial"/>
          <w:sz w:val="20"/>
          <w:szCs w:val="20"/>
        </w:rPr>
        <w:t xml:space="preserve">, S. G. (2001). Screening of Brazilian plant extracts for antioxidant activity by the use of </w:t>
      </w:r>
      <w:r w:rsidR="00452A25">
        <w:rPr>
          <w:rFonts w:ascii="Arial" w:hAnsi="Arial" w:cs="Arial"/>
          <w:sz w:val="20"/>
          <w:szCs w:val="20"/>
        </w:rPr>
        <w:t xml:space="preserve">the </w:t>
      </w:r>
      <w:r w:rsidRPr="00C22E28">
        <w:rPr>
          <w:rFonts w:ascii="Arial" w:hAnsi="Arial" w:cs="Arial"/>
          <w:sz w:val="20"/>
          <w:szCs w:val="20"/>
        </w:rPr>
        <w:t xml:space="preserve">DPPH free radical method. </w:t>
      </w:r>
      <w:r w:rsidRPr="00C22E28">
        <w:rPr>
          <w:rStyle w:val="Emphasis"/>
          <w:rFonts w:ascii="Arial" w:hAnsi="Arial" w:cs="Arial"/>
          <w:sz w:val="20"/>
          <w:szCs w:val="20"/>
        </w:rPr>
        <w:t>Phytotherapy Research, 15</w:t>
      </w:r>
      <w:r w:rsidRPr="00C22E28">
        <w:rPr>
          <w:rFonts w:ascii="Arial" w:hAnsi="Arial" w:cs="Arial"/>
          <w:sz w:val="20"/>
          <w:szCs w:val="20"/>
        </w:rPr>
        <w:t xml:space="preserve">(2), 127–130. </w:t>
      </w:r>
      <w:hyperlink r:id="rId32" w:history="1">
        <w:r w:rsidRPr="00C22E28">
          <w:rPr>
            <w:rStyle w:val="Hyperlink"/>
            <w:rFonts w:ascii="Arial" w:hAnsi="Arial" w:cs="Arial"/>
            <w:sz w:val="20"/>
            <w:szCs w:val="20"/>
          </w:rPr>
          <w:t>https://doi.org/10.1002/ptr.687</w:t>
        </w:r>
      </w:hyperlink>
    </w:p>
    <w:p w14:paraId="4C6F6F6F"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Musa, K. Y., Hassan, S. W., Aliyu, U., </w:t>
      </w:r>
      <w:proofErr w:type="spellStart"/>
      <w:r w:rsidRPr="00C22E28">
        <w:rPr>
          <w:rFonts w:ascii="Arial" w:hAnsi="Arial" w:cs="Arial"/>
          <w:sz w:val="20"/>
          <w:szCs w:val="20"/>
        </w:rPr>
        <w:t>Bilbis</w:t>
      </w:r>
      <w:proofErr w:type="spellEnd"/>
      <w:r w:rsidRPr="00C22E28">
        <w:rPr>
          <w:rFonts w:ascii="Arial" w:hAnsi="Arial" w:cs="Arial"/>
          <w:sz w:val="20"/>
          <w:szCs w:val="20"/>
        </w:rPr>
        <w:t xml:space="preserve">, L. S., &amp; Muhammad, S. A. (2011). Determination of vitamins and phytochemical constituents of leaves and seeds of </w:t>
      </w:r>
      <w:r w:rsidRPr="00C22E28">
        <w:rPr>
          <w:rStyle w:val="Emphasis"/>
          <w:rFonts w:ascii="Arial" w:hAnsi="Arial" w:cs="Arial"/>
          <w:sz w:val="20"/>
          <w:szCs w:val="20"/>
        </w:rPr>
        <w:t>Vernonia amygdalina</w:t>
      </w:r>
      <w:r w:rsidRPr="00C22E28">
        <w:rPr>
          <w:rFonts w:ascii="Arial" w:hAnsi="Arial" w:cs="Arial"/>
          <w:sz w:val="20"/>
          <w:szCs w:val="20"/>
        </w:rPr>
        <w:t xml:space="preserve"> (bitter leaf). </w:t>
      </w:r>
      <w:r w:rsidRPr="00C22E28">
        <w:rPr>
          <w:rStyle w:val="Emphasis"/>
          <w:rFonts w:ascii="Arial" w:hAnsi="Arial" w:cs="Arial"/>
          <w:sz w:val="20"/>
          <w:szCs w:val="20"/>
        </w:rPr>
        <w:t>African Journal of Food Science, 5</w:t>
      </w:r>
      <w:r w:rsidRPr="00C22E28">
        <w:rPr>
          <w:rFonts w:ascii="Arial" w:hAnsi="Arial" w:cs="Arial"/>
          <w:sz w:val="20"/>
          <w:szCs w:val="20"/>
        </w:rPr>
        <w:t>(16), 826–830.</w:t>
      </w:r>
    </w:p>
    <w:p w14:paraId="7F7A9899"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National Agency for Food and Drug Administration and Control (NAFDAC). (2023). </w:t>
      </w:r>
      <w:r w:rsidRPr="00C22E28">
        <w:rPr>
          <w:rStyle w:val="Emphasis"/>
          <w:rFonts w:ascii="Arial" w:hAnsi="Arial" w:cs="Arial"/>
          <w:sz w:val="20"/>
          <w:szCs w:val="20"/>
        </w:rPr>
        <w:t>Guidelines for the registration of food products in Nigeria</w:t>
      </w:r>
      <w:r w:rsidRPr="00C22E28">
        <w:rPr>
          <w:rFonts w:ascii="Arial" w:hAnsi="Arial" w:cs="Arial"/>
          <w:sz w:val="20"/>
          <w:szCs w:val="20"/>
        </w:rPr>
        <w:t>. NAFDAC.</w:t>
      </w:r>
    </w:p>
    <w:p w14:paraId="4159B225"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lastRenderedPageBreak/>
        <w:t xml:space="preserve">Nayak, B., Liu, R. H., &amp; Tang, J. (2015). Effect of processing on phenolic antioxidants of fruits, vegetables, and grains. </w:t>
      </w:r>
      <w:r w:rsidRPr="00C22E28">
        <w:rPr>
          <w:rStyle w:val="Emphasis"/>
          <w:rFonts w:ascii="Arial" w:hAnsi="Arial" w:cs="Arial"/>
          <w:sz w:val="20"/>
          <w:szCs w:val="20"/>
        </w:rPr>
        <w:t>Critical Reviews in Food Science and Nutrition, 55</w:t>
      </w:r>
      <w:r w:rsidRPr="00C22E28">
        <w:rPr>
          <w:rFonts w:ascii="Arial" w:hAnsi="Arial" w:cs="Arial"/>
          <w:sz w:val="20"/>
          <w:szCs w:val="20"/>
        </w:rPr>
        <w:t xml:space="preserve">(7), 887–919. </w:t>
      </w:r>
      <w:hyperlink r:id="rId33" w:history="1">
        <w:r w:rsidRPr="00C22E28">
          <w:rPr>
            <w:rStyle w:val="Hyperlink"/>
            <w:rFonts w:ascii="Arial" w:hAnsi="Arial" w:cs="Arial"/>
            <w:sz w:val="20"/>
            <w:szCs w:val="20"/>
          </w:rPr>
          <w:t>https://doi.org/10.1080/10408398.2012.697986</w:t>
        </w:r>
      </w:hyperlink>
    </w:p>
    <w:p w14:paraId="677D3B59"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Nwachukwu, E., </w:t>
      </w:r>
      <w:proofErr w:type="spellStart"/>
      <w:r w:rsidRPr="00C22E28">
        <w:rPr>
          <w:rFonts w:ascii="Arial" w:hAnsi="Arial" w:cs="Arial"/>
          <w:sz w:val="20"/>
          <w:szCs w:val="20"/>
        </w:rPr>
        <w:t>Nwaru</w:t>
      </w:r>
      <w:proofErr w:type="spellEnd"/>
      <w:r w:rsidRPr="00C22E28">
        <w:rPr>
          <w:rFonts w:ascii="Arial" w:hAnsi="Arial" w:cs="Arial"/>
          <w:sz w:val="20"/>
          <w:szCs w:val="20"/>
        </w:rPr>
        <w:t xml:space="preserve">, C. A., &amp; Onuoha, C. C. (2023). Phenolic content and antioxidant activity of plant-based beverages during storage: A systematic review. </w:t>
      </w:r>
      <w:r w:rsidRPr="00C22E28">
        <w:rPr>
          <w:rStyle w:val="Emphasis"/>
          <w:rFonts w:ascii="Arial" w:hAnsi="Arial" w:cs="Arial"/>
          <w:sz w:val="20"/>
          <w:szCs w:val="20"/>
        </w:rPr>
        <w:t>Journal of Food Quality, 2023</w:t>
      </w:r>
      <w:r w:rsidRPr="00C22E28">
        <w:rPr>
          <w:rFonts w:ascii="Arial" w:hAnsi="Arial" w:cs="Arial"/>
          <w:sz w:val="20"/>
          <w:szCs w:val="20"/>
        </w:rPr>
        <w:t>, 1–14.</w:t>
      </w:r>
    </w:p>
    <w:p w14:paraId="6967C010"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Nwagbo</w:t>
      </w:r>
      <w:proofErr w:type="spellEnd"/>
      <w:r w:rsidRPr="00C22E28">
        <w:rPr>
          <w:rFonts w:ascii="Arial" w:hAnsi="Arial" w:cs="Arial"/>
          <w:sz w:val="20"/>
          <w:szCs w:val="20"/>
        </w:rPr>
        <w:t xml:space="preserve">, C. C., </w:t>
      </w:r>
      <w:proofErr w:type="spellStart"/>
      <w:r w:rsidRPr="00C22E28">
        <w:rPr>
          <w:rFonts w:ascii="Arial" w:hAnsi="Arial" w:cs="Arial"/>
          <w:sz w:val="20"/>
          <w:szCs w:val="20"/>
        </w:rPr>
        <w:t>Uzomah</w:t>
      </w:r>
      <w:proofErr w:type="spellEnd"/>
      <w:r w:rsidRPr="00C22E28">
        <w:rPr>
          <w:rFonts w:ascii="Arial" w:hAnsi="Arial" w:cs="Arial"/>
          <w:sz w:val="20"/>
          <w:szCs w:val="20"/>
        </w:rPr>
        <w:t xml:space="preserve">, A., </w:t>
      </w:r>
      <w:proofErr w:type="spellStart"/>
      <w:r w:rsidRPr="00C22E28">
        <w:rPr>
          <w:rFonts w:ascii="Arial" w:hAnsi="Arial" w:cs="Arial"/>
          <w:sz w:val="20"/>
          <w:szCs w:val="20"/>
        </w:rPr>
        <w:t>Olawuni</w:t>
      </w:r>
      <w:proofErr w:type="spellEnd"/>
      <w:r w:rsidRPr="00C22E28">
        <w:rPr>
          <w:rFonts w:ascii="Arial" w:hAnsi="Arial" w:cs="Arial"/>
          <w:sz w:val="20"/>
          <w:szCs w:val="20"/>
        </w:rPr>
        <w:t xml:space="preserve">, I. A., &amp; </w:t>
      </w:r>
      <w:proofErr w:type="spellStart"/>
      <w:r w:rsidRPr="00C22E28">
        <w:rPr>
          <w:rFonts w:ascii="Arial" w:hAnsi="Arial" w:cs="Arial"/>
          <w:sz w:val="20"/>
          <w:szCs w:val="20"/>
        </w:rPr>
        <w:t>Chude</w:t>
      </w:r>
      <w:proofErr w:type="spellEnd"/>
      <w:r w:rsidRPr="00C22E28">
        <w:rPr>
          <w:rFonts w:ascii="Arial" w:hAnsi="Arial" w:cs="Arial"/>
          <w:sz w:val="20"/>
          <w:szCs w:val="20"/>
        </w:rPr>
        <w:t xml:space="preserve">, C. O. (2020). Comparison of α-tocopherol with some Nigerian spices as natural antioxidants in stored crude groundnut oil. </w:t>
      </w:r>
      <w:r w:rsidRPr="00C22E28">
        <w:rPr>
          <w:rStyle w:val="Emphasis"/>
          <w:rFonts w:ascii="Arial" w:hAnsi="Arial" w:cs="Arial"/>
          <w:sz w:val="20"/>
          <w:szCs w:val="20"/>
        </w:rPr>
        <w:t>European Journal of Food Science and Technology, 8</w:t>
      </w:r>
      <w:r w:rsidRPr="00C22E28">
        <w:rPr>
          <w:rFonts w:ascii="Arial" w:hAnsi="Arial" w:cs="Arial"/>
          <w:sz w:val="20"/>
          <w:szCs w:val="20"/>
        </w:rPr>
        <w:t>(4), 1–17.</w:t>
      </w:r>
    </w:p>
    <w:p w14:paraId="1131292C"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Nwagbo</w:t>
      </w:r>
      <w:proofErr w:type="spellEnd"/>
      <w:r w:rsidRPr="00C22E28">
        <w:rPr>
          <w:rFonts w:ascii="Arial" w:hAnsi="Arial" w:cs="Arial"/>
          <w:sz w:val="20"/>
          <w:szCs w:val="20"/>
        </w:rPr>
        <w:t xml:space="preserve">, C. C., </w:t>
      </w:r>
      <w:proofErr w:type="spellStart"/>
      <w:r w:rsidRPr="00C22E28">
        <w:rPr>
          <w:rFonts w:ascii="Arial" w:hAnsi="Arial" w:cs="Arial"/>
          <w:sz w:val="20"/>
          <w:szCs w:val="20"/>
        </w:rPr>
        <w:t>Ugwu</w:t>
      </w:r>
      <w:proofErr w:type="spellEnd"/>
      <w:r w:rsidRPr="00C22E28">
        <w:rPr>
          <w:rFonts w:ascii="Arial" w:hAnsi="Arial" w:cs="Arial"/>
          <w:sz w:val="20"/>
          <w:szCs w:val="20"/>
        </w:rPr>
        <w:t xml:space="preserve">, I. A., </w:t>
      </w:r>
      <w:proofErr w:type="spellStart"/>
      <w:r w:rsidRPr="00C22E28">
        <w:rPr>
          <w:rFonts w:ascii="Arial" w:hAnsi="Arial" w:cs="Arial"/>
          <w:sz w:val="20"/>
          <w:szCs w:val="20"/>
        </w:rPr>
        <w:t>Anyadioha</w:t>
      </w:r>
      <w:proofErr w:type="spellEnd"/>
      <w:r w:rsidRPr="00C22E28">
        <w:rPr>
          <w:rFonts w:ascii="Arial" w:hAnsi="Arial" w:cs="Arial"/>
          <w:sz w:val="20"/>
          <w:szCs w:val="20"/>
        </w:rPr>
        <w:t xml:space="preserve">, J. I., Okeke, M. N., &amp; </w:t>
      </w:r>
      <w:proofErr w:type="spellStart"/>
      <w:r w:rsidRPr="00C22E28">
        <w:rPr>
          <w:rFonts w:ascii="Arial" w:hAnsi="Arial" w:cs="Arial"/>
          <w:sz w:val="20"/>
          <w:szCs w:val="20"/>
        </w:rPr>
        <w:t>Nwafor</w:t>
      </w:r>
      <w:proofErr w:type="spellEnd"/>
      <w:r w:rsidRPr="00C22E28">
        <w:rPr>
          <w:rFonts w:ascii="Arial" w:hAnsi="Arial" w:cs="Arial"/>
          <w:sz w:val="20"/>
          <w:szCs w:val="20"/>
        </w:rPr>
        <w:t xml:space="preserve">, P. M. (2025). Cultivating and promoting functional foods to address micro-nutrient deficiencies in Nigeria: A review of agricultural and dietary strategies. </w:t>
      </w:r>
      <w:r w:rsidRPr="00C22E28">
        <w:rPr>
          <w:rStyle w:val="Emphasis"/>
          <w:rFonts w:ascii="Arial" w:hAnsi="Arial" w:cs="Arial"/>
          <w:sz w:val="20"/>
          <w:szCs w:val="20"/>
        </w:rPr>
        <w:t>African Journal of Education, Science and Technology, 8</w:t>
      </w:r>
      <w:r w:rsidRPr="00C22E28">
        <w:rPr>
          <w:rFonts w:ascii="Arial" w:hAnsi="Arial" w:cs="Arial"/>
          <w:sz w:val="20"/>
          <w:szCs w:val="20"/>
        </w:rPr>
        <w:t>(2), 1–10.</w:t>
      </w:r>
    </w:p>
    <w:p w14:paraId="12A36E41"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Nwan</w:t>
      </w:r>
      <w:r w:rsidR="00C22E28">
        <w:rPr>
          <w:rFonts w:ascii="Arial" w:hAnsi="Arial" w:cs="Arial"/>
          <w:sz w:val="20"/>
          <w:szCs w:val="20"/>
        </w:rPr>
        <w:t>i</w:t>
      </w:r>
      <w:r w:rsidRPr="00C22E28">
        <w:rPr>
          <w:rFonts w:ascii="Arial" w:hAnsi="Arial" w:cs="Arial"/>
          <w:sz w:val="20"/>
          <w:szCs w:val="20"/>
        </w:rPr>
        <w:t>o</w:t>
      </w:r>
      <w:proofErr w:type="spellEnd"/>
      <w:r w:rsidRPr="00C22E28">
        <w:rPr>
          <w:rFonts w:ascii="Arial" w:hAnsi="Arial" w:cs="Arial"/>
          <w:sz w:val="20"/>
          <w:szCs w:val="20"/>
        </w:rPr>
        <w:t xml:space="preserve">, H. U. (2005). Efficacy of aqueous leaf extract of </w:t>
      </w:r>
      <w:r w:rsidRPr="00C22E28">
        <w:rPr>
          <w:rStyle w:val="Emphasis"/>
          <w:rFonts w:ascii="Arial" w:hAnsi="Arial" w:cs="Arial"/>
          <w:sz w:val="20"/>
          <w:szCs w:val="20"/>
        </w:rPr>
        <w:t>Vernonia amygdalina</w:t>
      </w:r>
      <w:r w:rsidRPr="00C22E28">
        <w:rPr>
          <w:rFonts w:ascii="Arial" w:hAnsi="Arial" w:cs="Arial"/>
          <w:sz w:val="20"/>
          <w:szCs w:val="20"/>
        </w:rPr>
        <w:t xml:space="preserve"> on plasma lipoprotein and oxidative status in diabetic rat models. </w:t>
      </w:r>
      <w:r w:rsidRPr="00C22E28">
        <w:rPr>
          <w:rStyle w:val="Emphasis"/>
          <w:rFonts w:ascii="Arial" w:hAnsi="Arial" w:cs="Arial"/>
          <w:sz w:val="20"/>
          <w:szCs w:val="20"/>
        </w:rPr>
        <w:t>Nigerian Journal of Physiological Sciences, 20</w:t>
      </w:r>
      <w:r w:rsidRPr="00C22E28">
        <w:rPr>
          <w:rFonts w:ascii="Arial" w:hAnsi="Arial" w:cs="Arial"/>
          <w:sz w:val="20"/>
          <w:szCs w:val="20"/>
        </w:rPr>
        <w:t>(1–2), 39–42.</w:t>
      </w:r>
    </w:p>
    <w:p w14:paraId="00D67D91"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Nweze</w:t>
      </w:r>
      <w:proofErr w:type="spellEnd"/>
      <w:r w:rsidRPr="00C22E28">
        <w:rPr>
          <w:rFonts w:ascii="Arial" w:hAnsi="Arial" w:cs="Arial"/>
          <w:sz w:val="20"/>
          <w:szCs w:val="20"/>
        </w:rPr>
        <w:t xml:space="preserve">, E. I., &amp; Eze, E. E. (2009). Justification for the use of </w:t>
      </w:r>
      <w:proofErr w:type="spellStart"/>
      <w:r w:rsidRPr="00C22E28">
        <w:rPr>
          <w:rStyle w:val="Emphasis"/>
          <w:rFonts w:ascii="Arial" w:hAnsi="Arial" w:cs="Arial"/>
          <w:sz w:val="20"/>
          <w:szCs w:val="20"/>
        </w:rPr>
        <w:t>Ocimum</w:t>
      </w:r>
      <w:proofErr w:type="spellEnd"/>
      <w:r w:rsidRPr="00C22E28">
        <w:rPr>
          <w:rStyle w:val="Emphasis"/>
          <w:rFonts w:ascii="Arial" w:hAnsi="Arial" w:cs="Arial"/>
          <w:sz w:val="20"/>
          <w:szCs w:val="20"/>
        </w:rPr>
        <w:t xml:space="preserve"> </w:t>
      </w:r>
      <w:proofErr w:type="spellStart"/>
      <w:r w:rsidRPr="00C22E28">
        <w:rPr>
          <w:rStyle w:val="Emphasis"/>
          <w:rFonts w:ascii="Arial" w:hAnsi="Arial" w:cs="Arial"/>
          <w:sz w:val="20"/>
          <w:szCs w:val="20"/>
        </w:rPr>
        <w:t>gratissimum</w:t>
      </w:r>
      <w:proofErr w:type="spellEnd"/>
      <w:r w:rsidRPr="00C22E28">
        <w:rPr>
          <w:rFonts w:ascii="Arial" w:hAnsi="Arial" w:cs="Arial"/>
          <w:sz w:val="20"/>
          <w:szCs w:val="20"/>
        </w:rPr>
        <w:t xml:space="preserve"> L in herbal medicine and its interaction with disc antibiotics. </w:t>
      </w:r>
      <w:r w:rsidRPr="00C22E28">
        <w:rPr>
          <w:rStyle w:val="Emphasis"/>
          <w:rFonts w:ascii="Arial" w:hAnsi="Arial" w:cs="Arial"/>
          <w:sz w:val="20"/>
          <w:szCs w:val="20"/>
        </w:rPr>
        <w:t>BMC Complementary and Alternative Medicine, 9</w:t>
      </w:r>
      <w:r w:rsidRPr="00C22E28">
        <w:rPr>
          <w:rFonts w:ascii="Arial" w:hAnsi="Arial" w:cs="Arial"/>
          <w:sz w:val="20"/>
          <w:szCs w:val="20"/>
        </w:rPr>
        <w:t xml:space="preserve">(1), 37. </w:t>
      </w:r>
      <w:hyperlink r:id="rId34" w:history="1">
        <w:r w:rsidRPr="00C22E28">
          <w:rPr>
            <w:rStyle w:val="Hyperlink"/>
            <w:rFonts w:ascii="Arial" w:hAnsi="Arial" w:cs="Arial"/>
            <w:sz w:val="20"/>
            <w:szCs w:val="20"/>
          </w:rPr>
          <w:t>https://doi.org/10.1186/1472-6882-9-37</w:t>
        </w:r>
      </w:hyperlink>
    </w:p>
    <w:p w14:paraId="4BB28308"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Ogundele</w:t>
      </w:r>
      <w:proofErr w:type="spellEnd"/>
      <w:r w:rsidRPr="00C22E28">
        <w:rPr>
          <w:rFonts w:ascii="Arial" w:hAnsi="Arial" w:cs="Arial"/>
          <w:sz w:val="20"/>
          <w:szCs w:val="20"/>
        </w:rPr>
        <w:t xml:space="preserve">, O. M., Oluwole, O. B., &amp; </w:t>
      </w:r>
      <w:proofErr w:type="spellStart"/>
      <w:r w:rsidRPr="00C22E28">
        <w:rPr>
          <w:rFonts w:ascii="Arial" w:hAnsi="Arial" w:cs="Arial"/>
          <w:sz w:val="20"/>
          <w:szCs w:val="20"/>
        </w:rPr>
        <w:t>Makinde</w:t>
      </w:r>
      <w:proofErr w:type="spellEnd"/>
      <w:r w:rsidRPr="00C22E28">
        <w:rPr>
          <w:rFonts w:ascii="Arial" w:hAnsi="Arial" w:cs="Arial"/>
          <w:sz w:val="20"/>
          <w:szCs w:val="20"/>
        </w:rPr>
        <w:t xml:space="preserve">, O. M. (2019). Indigenous fermented foods and beverages of Nigeria: Prospects and challenges. </w:t>
      </w:r>
      <w:r w:rsidRPr="00C22E28">
        <w:rPr>
          <w:rStyle w:val="Emphasis"/>
          <w:rFonts w:ascii="Arial" w:hAnsi="Arial" w:cs="Arial"/>
          <w:sz w:val="20"/>
          <w:szCs w:val="20"/>
        </w:rPr>
        <w:t>Journal of Ethnic Foods, 6</w:t>
      </w:r>
      <w:r w:rsidRPr="00C22E28">
        <w:rPr>
          <w:rFonts w:ascii="Arial" w:hAnsi="Arial" w:cs="Arial"/>
          <w:sz w:val="20"/>
          <w:szCs w:val="20"/>
        </w:rPr>
        <w:t>(1), 1–10.</w:t>
      </w:r>
    </w:p>
    <w:p w14:paraId="3C084BE3"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Okafor, J. N. C., Okafor, G. I., </w:t>
      </w:r>
      <w:proofErr w:type="spellStart"/>
      <w:r w:rsidRPr="00C22E28">
        <w:rPr>
          <w:rFonts w:ascii="Arial" w:hAnsi="Arial" w:cs="Arial"/>
          <w:sz w:val="20"/>
          <w:szCs w:val="20"/>
        </w:rPr>
        <w:t>Ozumba</w:t>
      </w:r>
      <w:proofErr w:type="spellEnd"/>
      <w:r w:rsidRPr="00C22E28">
        <w:rPr>
          <w:rFonts w:ascii="Arial" w:hAnsi="Arial" w:cs="Arial"/>
          <w:sz w:val="20"/>
          <w:szCs w:val="20"/>
        </w:rPr>
        <w:t xml:space="preserve">, A. U., &amp; </w:t>
      </w:r>
      <w:proofErr w:type="spellStart"/>
      <w:r w:rsidRPr="00C22E28">
        <w:rPr>
          <w:rFonts w:ascii="Arial" w:hAnsi="Arial" w:cs="Arial"/>
          <w:sz w:val="20"/>
          <w:szCs w:val="20"/>
        </w:rPr>
        <w:t>Elemo</w:t>
      </w:r>
      <w:proofErr w:type="spellEnd"/>
      <w:r w:rsidRPr="00C22E28">
        <w:rPr>
          <w:rFonts w:ascii="Arial" w:hAnsi="Arial" w:cs="Arial"/>
          <w:sz w:val="20"/>
          <w:szCs w:val="20"/>
        </w:rPr>
        <w:t>, G. N. (2021). Quality characteristics of bread made from wheat and Nigerian breadfruit (</w:t>
      </w:r>
      <w:proofErr w:type="spellStart"/>
      <w:r w:rsidRPr="00C22E28">
        <w:rPr>
          <w:rStyle w:val="Emphasis"/>
          <w:rFonts w:ascii="Arial" w:hAnsi="Arial" w:cs="Arial"/>
          <w:sz w:val="20"/>
          <w:szCs w:val="20"/>
        </w:rPr>
        <w:t>Treculia</w:t>
      </w:r>
      <w:proofErr w:type="spellEnd"/>
      <w:r w:rsidRPr="00C22E28">
        <w:rPr>
          <w:rStyle w:val="Emphasis"/>
          <w:rFonts w:ascii="Arial" w:hAnsi="Arial" w:cs="Arial"/>
          <w:sz w:val="20"/>
          <w:szCs w:val="20"/>
        </w:rPr>
        <w:t xml:space="preserve"> </w:t>
      </w:r>
      <w:proofErr w:type="spellStart"/>
      <w:r w:rsidRPr="00C22E28">
        <w:rPr>
          <w:rStyle w:val="Emphasis"/>
          <w:rFonts w:ascii="Arial" w:hAnsi="Arial" w:cs="Arial"/>
          <w:sz w:val="20"/>
          <w:szCs w:val="20"/>
        </w:rPr>
        <w:t>africana</w:t>
      </w:r>
      <w:proofErr w:type="spellEnd"/>
      <w:r w:rsidRPr="00C22E28">
        <w:rPr>
          <w:rFonts w:ascii="Arial" w:hAnsi="Arial" w:cs="Arial"/>
          <w:sz w:val="20"/>
          <w:szCs w:val="20"/>
        </w:rPr>
        <w:t xml:space="preserve">) flours. </w:t>
      </w:r>
      <w:r w:rsidRPr="00C22E28">
        <w:rPr>
          <w:rStyle w:val="Emphasis"/>
          <w:rFonts w:ascii="Arial" w:hAnsi="Arial" w:cs="Arial"/>
          <w:sz w:val="20"/>
          <w:szCs w:val="20"/>
        </w:rPr>
        <w:t>Pakistan Journal of Nutrition, 11</w:t>
      </w:r>
      <w:r w:rsidRPr="00C22E28">
        <w:rPr>
          <w:rFonts w:ascii="Arial" w:hAnsi="Arial" w:cs="Arial"/>
          <w:sz w:val="20"/>
          <w:szCs w:val="20"/>
        </w:rPr>
        <w:t>, 15–19.</w:t>
      </w:r>
    </w:p>
    <w:p w14:paraId="0433DF4F"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Okpalanma</w:t>
      </w:r>
      <w:proofErr w:type="spellEnd"/>
      <w:r w:rsidRPr="00C22E28">
        <w:rPr>
          <w:rFonts w:ascii="Arial" w:hAnsi="Arial" w:cs="Arial"/>
          <w:sz w:val="20"/>
          <w:szCs w:val="20"/>
        </w:rPr>
        <w:t xml:space="preserve">, E. F., </w:t>
      </w:r>
      <w:proofErr w:type="spellStart"/>
      <w:r w:rsidRPr="00C22E28">
        <w:rPr>
          <w:rFonts w:ascii="Arial" w:hAnsi="Arial" w:cs="Arial"/>
          <w:sz w:val="20"/>
          <w:szCs w:val="20"/>
        </w:rPr>
        <w:t>Ukpong</w:t>
      </w:r>
      <w:proofErr w:type="spellEnd"/>
      <w:r w:rsidRPr="00C22E28">
        <w:rPr>
          <w:rFonts w:ascii="Arial" w:hAnsi="Arial" w:cs="Arial"/>
          <w:sz w:val="20"/>
          <w:szCs w:val="20"/>
        </w:rPr>
        <w:t xml:space="preserve">, E. S., </w:t>
      </w:r>
      <w:proofErr w:type="spellStart"/>
      <w:r w:rsidRPr="00C22E28">
        <w:rPr>
          <w:rFonts w:ascii="Arial" w:hAnsi="Arial" w:cs="Arial"/>
          <w:sz w:val="20"/>
          <w:szCs w:val="20"/>
        </w:rPr>
        <w:t>Ezegbe</w:t>
      </w:r>
      <w:proofErr w:type="spellEnd"/>
      <w:r w:rsidRPr="00C22E28">
        <w:rPr>
          <w:rFonts w:ascii="Arial" w:hAnsi="Arial" w:cs="Arial"/>
          <w:sz w:val="20"/>
          <w:szCs w:val="20"/>
        </w:rPr>
        <w:t xml:space="preserve">, C. C., </w:t>
      </w:r>
      <w:proofErr w:type="spellStart"/>
      <w:r w:rsidRPr="00C22E28">
        <w:rPr>
          <w:rFonts w:ascii="Arial" w:hAnsi="Arial" w:cs="Arial"/>
          <w:sz w:val="20"/>
          <w:szCs w:val="20"/>
        </w:rPr>
        <w:t>Chude</w:t>
      </w:r>
      <w:proofErr w:type="spellEnd"/>
      <w:r w:rsidRPr="00C22E28">
        <w:rPr>
          <w:rFonts w:ascii="Arial" w:hAnsi="Arial" w:cs="Arial"/>
          <w:sz w:val="20"/>
          <w:szCs w:val="20"/>
        </w:rPr>
        <w:t xml:space="preserve">, C. O., &amp; </w:t>
      </w:r>
      <w:proofErr w:type="spellStart"/>
      <w:r w:rsidRPr="00C22E28">
        <w:rPr>
          <w:rFonts w:ascii="Arial" w:hAnsi="Arial" w:cs="Arial"/>
          <w:sz w:val="20"/>
          <w:szCs w:val="20"/>
        </w:rPr>
        <w:t>Nwagbo</w:t>
      </w:r>
      <w:proofErr w:type="spellEnd"/>
      <w:r w:rsidRPr="00C22E28">
        <w:rPr>
          <w:rFonts w:ascii="Arial" w:hAnsi="Arial" w:cs="Arial"/>
          <w:sz w:val="20"/>
          <w:szCs w:val="20"/>
        </w:rPr>
        <w:t>, C. C. (2025). Effect of modified traditional cooking methods on nutritional quality of African yam beans (</w:t>
      </w:r>
      <w:proofErr w:type="spellStart"/>
      <w:r w:rsidRPr="00C22E28">
        <w:rPr>
          <w:rStyle w:val="Emphasis"/>
          <w:rFonts w:ascii="Arial" w:hAnsi="Arial" w:cs="Arial"/>
          <w:sz w:val="20"/>
          <w:szCs w:val="20"/>
        </w:rPr>
        <w:t>Sphenostylis</w:t>
      </w:r>
      <w:proofErr w:type="spellEnd"/>
      <w:r w:rsidRPr="00C22E28">
        <w:rPr>
          <w:rStyle w:val="Emphasis"/>
          <w:rFonts w:ascii="Arial" w:hAnsi="Arial" w:cs="Arial"/>
          <w:sz w:val="20"/>
          <w:szCs w:val="20"/>
        </w:rPr>
        <w:t xml:space="preserve"> </w:t>
      </w:r>
      <w:proofErr w:type="spellStart"/>
      <w:r w:rsidRPr="00C22E28">
        <w:rPr>
          <w:rStyle w:val="Emphasis"/>
          <w:rFonts w:ascii="Arial" w:hAnsi="Arial" w:cs="Arial"/>
          <w:sz w:val="20"/>
          <w:szCs w:val="20"/>
        </w:rPr>
        <w:t>stenocarpa</w:t>
      </w:r>
      <w:proofErr w:type="spellEnd"/>
      <w:r w:rsidRPr="00C22E28">
        <w:rPr>
          <w:rFonts w:ascii="Arial" w:hAnsi="Arial" w:cs="Arial"/>
          <w:sz w:val="20"/>
          <w:szCs w:val="20"/>
        </w:rPr>
        <w:t xml:space="preserve">). </w:t>
      </w:r>
      <w:r w:rsidRPr="00C22E28">
        <w:rPr>
          <w:rStyle w:val="Emphasis"/>
          <w:rFonts w:ascii="Arial" w:hAnsi="Arial" w:cs="Arial"/>
          <w:sz w:val="20"/>
          <w:szCs w:val="20"/>
        </w:rPr>
        <w:t>Nigerian Journal of Nutritional Sciences, 46</w:t>
      </w:r>
      <w:r w:rsidRPr="00C22E28">
        <w:rPr>
          <w:rFonts w:ascii="Arial" w:hAnsi="Arial" w:cs="Arial"/>
          <w:sz w:val="20"/>
          <w:szCs w:val="20"/>
        </w:rPr>
        <w:t>(2).</w:t>
      </w:r>
    </w:p>
    <w:p w14:paraId="42C72416" w14:textId="47C87659"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Okwu</w:t>
      </w:r>
      <w:proofErr w:type="spellEnd"/>
      <w:r w:rsidRPr="00C22E28">
        <w:rPr>
          <w:rFonts w:ascii="Arial" w:hAnsi="Arial" w:cs="Arial"/>
          <w:sz w:val="20"/>
          <w:szCs w:val="20"/>
        </w:rPr>
        <w:t xml:space="preserve">, D. E., &amp; </w:t>
      </w:r>
      <w:proofErr w:type="spellStart"/>
      <w:r w:rsidRPr="00C22E28">
        <w:rPr>
          <w:rFonts w:ascii="Arial" w:hAnsi="Arial" w:cs="Arial"/>
          <w:sz w:val="20"/>
          <w:szCs w:val="20"/>
        </w:rPr>
        <w:t>Emenike</w:t>
      </w:r>
      <w:proofErr w:type="spellEnd"/>
      <w:r w:rsidRPr="00C22E28">
        <w:rPr>
          <w:rFonts w:ascii="Arial" w:hAnsi="Arial" w:cs="Arial"/>
          <w:sz w:val="20"/>
          <w:szCs w:val="20"/>
        </w:rPr>
        <w:t xml:space="preserve">, I. N. (2006). Evaluation of the phytonutrients and vitamin contents of citrus fruits. </w:t>
      </w:r>
      <w:r w:rsidRPr="00C22E28">
        <w:rPr>
          <w:rStyle w:val="Emphasis"/>
          <w:rFonts w:ascii="Arial" w:hAnsi="Arial" w:cs="Arial"/>
          <w:sz w:val="20"/>
          <w:szCs w:val="20"/>
        </w:rPr>
        <w:t xml:space="preserve">International Journal of Molecular Medicine and </w:t>
      </w:r>
      <w:r w:rsidR="00452A25">
        <w:rPr>
          <w:rStyle w:val="Emphasis"/>
          <w:rFonts w:ascii="Arial" w:hAnsi="Arial" w:cs="Arial"/>
          <w:sz w:val="20"/>
          <w:szCs w:val="20"/>
        </w:rPr>
        <w:t>Advanced</w:t>
      </w:r>
      <w:r w:rsidRPr="00C22E28">
        <w:rPr>
          <w:rStyle w:val="Emphasis"/>
          <w:rFonts w:ascii="Arial" w:hAnsi="Arial" w:cs="Arial"/>
          <w:sz w:val="20"/>
          <w:szCs w:val="20"/>
        </w:rPr>
        <w:t xml:space="preserve"> Sciences, 2</w:t>
      </w:r>
      <w:r w:rsidRPr="00C22E28">
        <w:rPr>
          <w:rFonts w:ascii="Arial" w:hAnsi="Arial" w:cs="Arial"/>
          <w:sz w:val="20"/>
          <w:szCs w:val="20"/>
        </w:rPr>
        <w:t>(1), 1–6.</w:t>
      </w:r>
    </w:p>
    <w:p w14:paraId="1B870E86" w14:textId="77777777" w:rsid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lastRenderedPageBreak/>
        <w:t>Olasupo</w:t>
      </w:r>
      <w:proofErr w:type="spellEnd"/>
      <w:r w:rsidRPr="00C22E28">
        <w:rPr>
          <w:rFonts w:ascii="Arial" w:hAnsi="Arial" w:cs="Arial"/>
          <w:sz w:val="20"/>
          <w:szCs w:val="20"/>
        </w:rPr>
        <w:t xml:space="preserve">, N. A., Oladele, D. C., &amp; </w:t>
      </w:r>
      <w:proofErr w:type="spellStart"/>
      <w:r w:rsidRPr="00C22E28">
        <w:rPr>
          <w:rFonts w:ascii="Arial" w:hAnsi="Arial" w:cs="Arial"/>
          <w:sz w:val="20"/>
          <w:szCs w:val="20"/>
        </w:rPr>
        <w:t>Odeniyi</w:t>
      </w:r>
      <w:proofErr w:type="spellEnd"/>
      <w:r w:rsidRPr="00C22E28">
        <w:rPr>
          <w:rFonts w:ascii="Arial" w:hAnsi="Arial" w:cs="Arial"/>
          <w:sz w:val="20"/>
          <w:szCs w:val="20"/>
        </w:rPr>
        <w:t xml:space="preserve">, O. A. (2020). Acid stability of fruit-vegetable blends enriched with herbal extracts during ambient storage. </w:t>
      </w:r>
      <w:r w:rsidRPr="00C22E28">
        <w:rPr>
          <w:rStyle w:val="Emphasis"/>
          <w:rFonts w:ascii="Arial" w:hAnsi="Arial" w:cs="Arial"/>
          <w:sz w:val="20"/>
          <w:szCs w:val="20"/>
        </w:rPr>
        <w:t>African Journal of Food Science and Technology, 11</w:t>
      </w:r>
      <w:r w:rsidRPr="00C22E28">
        <w:rPr>
          <w:rFonts w:ascii="Arial" w:hAnsi="Arial" w:cs="Arial"/>
          <w:sz w:val="20"/>
          <w:szCs w:val="20"/>
        </w:rPr>
        <w:t>(3), 44–51.</w:t>
      </w:r>
    </w:p>
    <w:p w14:paraId="13E79F48"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Pitt, J. I., &amp; Hocking, A. D. (2009). </w:t>
      </w:r>
      <w:r w:rsidRPr="00C22E28">
        <w:rPr>
          <w:rStyle w:val="Emphasis"/>
          <w:rFonts w:ascii="Arial" w:hAnsi="Arial" w:cs="Arial"/>
          <w:sz w:val="20"/>
          <w:szCs w:val="20"/>
        </w:rPr>
        <w:t>Fungi and food spoilage</w:t>
      </w:r>
      <w:r w:rsidRPr="00C22E28">
        <w:rPr>
          <w:rFonts w:ascii="Arial" w:hAnsi="Arial" w:cs="Arial"/>
          <w:sz w:val="20"/>
          <w:szCs w:val="20"/>
        </w:rPr>
        <w:t xml:space="preserve"> (3rd ed.). Springer.</w:t>
      </w:r>
    </w:p>
    <w:p w14:paraId="003F01F5" w14:textId="407CFE2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Rathore, S., Salvi, D., &amp; </w:t>
      </w:r>
      <w:proofErr w:type="spellStart"/>
      <w:r w:rsidRPr="00C22E28">
        <w:rPr>
          <w:rFonts w:ascii="Arial" w:hAnsi="Arial" w:cs="Arial"/>
          <w:sz w:val="20"/>
          <w:szCs w:val="20"/>
        </w:rPr>
        <w:t>Karwe</w:t>
      </w:r>
      <w:proofErr w:type="spellEnd"/>
      <w:r w:rsidRPr="00C22E28">
        <w:rPr>
          <w:rFonts w:ascii="Arial" w:hAnsi="Arial" w:cs="Arial"/>
          <w:sz w:val="20"/>
          <w:szCs w:val="20"/>
        </w:rPr>
        <w:t>, M. (2018). Influence of ultraviolet-C light treatment on physicochemical quality, antioxidant capacity, and polyphenol content of pineapple juice</w:t>
      </w:r>
      <w:r w:rsidR="00452A25">
        <w:rPr>
          <w:rFonts w:ascii="Arial" w:hAnsi="Arial" w:cs="Arial"/>
          <w:sz w:val="20"/>
          <w:szCs w:val="20"/>
        </w:rPr>
        <w:t>—Journal</w:t>
      </w:r>
      <w:r w:rsidRPr="00C22E28">
        <w:rPr>
          <w:rStyle w:val="Emphasis"/>
          <w:rFonts w:ascii="Arial" w:hAnsi="Arial" w:cs="Arial"/>
          <w:sz w:val="20"/>
          <w:szCs w:val="20"/>
        </w:rPr>
        <w:t xml:space="preserve"> of Food Processing and Preservation, 42</w:t>
      </w:r>
      <w:r w:rsidRPr="00C22E28">
        <w:rPr>
          <w:rFonts w:ascii="Arial" w:hAnsi="Arial" w:cs="Arial"/>
          <w:sz w:val="20"/>
          <w:szCs w:val="20"/>
        </w:rPr>
        <w:t>(1), e13367.</w:t>
      </w:r>
    </w:p>
    <w:p w14:paraId="7FC8E824"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Rawson, A., Patras, A., Tiwari, B. K., </w:t>
      </w:r>
      <w:proofErr w:type="spellStart"/>
      <w:r w:rsidRPr="00C22E28">
        <w:rPr>
          <w:rFonts w:ascii="Arial" w:hAnsi="Arial" w:cs="Arial"/>
          <w:sz w:val="20"/>
          <w:szCs w:val="20"/>
        </w:rPr>
        <w:t>Noci</w:t>
      </w:r>
      <w:proofErr w:type="spellEnd"/>
      <w:r w:rsidRPr="00C22E28">
        <w:rPr>
          <w:rFonts w:ascii="Arial" w:hAnsi="Arial" w:cs="Arial"/>
          <w:sz w:val="20"/>
          <w:szCs w:val="20"/>
        </w:rPr>
        <w:t xml:space="preserve">, F., </w:t>
      </w:r>
      <w:proofErr w:type="spellStart"/>
      <w:r w:rsidRPr="00C22E28">
        <w:rPr>
          <w:rFonts w:ascii="Arial" w:hAnsi="Arial" w:cs="Arial"/>
          <w:sz w:val="20"/>
          <w:szCs w:val="20"/>
        </w:rPr>
        <w:t>Koutchma</w:t>
      </w:r>
      <w:proofErr w:type="spellEnd"/>
      <w:r w:rsidRPr="00C22E28">
        <w:rPr>
          <w:rFonts w:ascii="Arial" w:hAnsi="Arial" w:cs="Arial"/>
          <w:sz w:val="20"/>
          <w:szCs w:val="20"/>
        </w:rPr>
        <w:t xml:space="preserve">, T., &amp; Brunton, N. (2011). Effect of thermal and non-thermal processing technologies on the bioactive content of exotic fruit and vegetable juices: A review of recent advances. </w:t>
      </w:r>
      <w:r w:rsidRPr="00C22E28">
        <w:rPr>
          <w:rStyle w:val="Emphasis"/>
          <w:rFonts w:ascii="Arial" w:hAnsi="Arial" w:cs="Arial"/>
          <w:sz w:val="20"/>
          <w:szCs w:val="20"/>
        </w:rPr>
        <w:t>Food Research International, 44</w:t>
      </w:r>
      <w:r w:rsidRPr="00C22E28">
        <w:rPr>
          <w:rFonts w:ascii="Arial" w:hAnsi="Arial" w:cs="Arial"/>
          <w:sz w:val="20"/>
          <w:szCs w:val="20"/>
        </w:rPr>
        <w:t>(7), 1875–1887.</w:t>
      </w:r>
    </w:p>
    <w:p w14:paraId="6AE45A2C" w14:textId="6561ADE3"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Sánchez-Moreno, C., Cano, M. P., de </w:t>
      </w:r>
      <w:proofErr w:type="spellStart"/>
      <w:r w:rsidRPr="00C22E28">
        <w:rPr>
          <w:rFonts w:ascii="Arial" w:hAnsi="Arial" w:cs="Arial"/>
          <w:sz w:val="20"/>
          <w:szCs w:val="20"/>
        </w:rPr>
        <w:t>Ancos</w:t>
      </w:r>
      <w:proofErr w:type="spellEnd"/>
      <w:r w:rsidRPr="00C22E28">
        <w:rPr>
          <w:rFonts w:ascii="Arial" w:hAnsi="Arial" w:cs="Arial"/>
          <w:sz w:val="20"/>
          <w:szCs w:val="20"/>
        </w:rPr>
        <w:t xml:space="preserve">, B., Plaza, L., </w:t>
      </w:r>
      <w:proofErr w:type="spellStart"/>
      <w:r w:rsidRPr="00C22E28">
        <w:rPr>
          <w:rFonts w:ascii="Arial" w:hAnsi="Arial" w:cs="Arial"/>
          <w:sz w:val="20"/>
          <w:szCs w:val="20"/>
        </w:rPr>
        <w:t>Olmedilla</w:t>
      </w:r>
      <w:proofErr w:type="spellEnd"/>
      <w:r w:rsidRPr="00C22E28">
        <w:rPr>
          <w:rFonts w:ascii="Arial" w:hAnsi="Arial" w:cs="Arial"/>
          <w:sz w:val="20"/>
          <w:szCs w:val="20"/>
        </w:rPr>
        <w:t xml:space="preserve">, B., </w:t>
      </w:r>
      <w:proofErr w:type="spellStart"/>
      <w:r w:rsidRPr="00C22E28">
        <w:rPr>
          <w:rFonts w:ascii="Arial" w:hAnsi="Arial" w:cs="Arial"/>
          <w:sz w:val="20"/>
          <w:szCs w:val="20"/>
        </w:rPr>
        <w:t>Granado</w:t>
      </w:r>
      <w:proofErr w:type="spellEnd"/>
      <w:r w:rsidRPr="00C22E28">
        <w:rPr>
          <w:rFonts w:ascii="Arial" w:hAnsi="Arial" w:cs="Arial"/>
          <w:sz w:val="20"/>
          <w:szCs w:val="20"/>
        </w:rPr>
        <w:t xml:space="preserve">, F., &amp; Martín, A. (2003). </w:t>
      </w:r>
      <w:r w:rsidR="00452A25">
        <w:rPr>
          <w:rFonts w:ascii="Arial" w:hAnsi="Arial" w:cs="Arial"/>
          <w:sz w:val="20"/>
          <w:szCs w:val="20"/>
        </w:rPr>
        <w:t>High-pressure</w:t>
      </w:r>
      <w:r w:rsidRPr="00C22E28">
        <w:rPr>
          <w:rFonts w:ascii="Arial" w:hAnsi="Arial" w:cs="Arial"/>
          <w:sz w:val="20"/>
          <w:szCs w:val="20"/>
        </w:rPr>
        <w:t xml:space="preserve"> orange juice consumption affects plasma vitamin C, antioxidative status, and inflammatory markers in healthy humans. </w:t>
      </w:r>
      <w:r w:rsidRPr="00C22E28">
        <w:rPr>
          <w:rStyle w:val="Emphasis"/>
          <w:rFonts w:ascii="Arial" w:hAnsi="Arial" w:cs="Arial"/>
          <w:sz w:val="20"/>
          <w:szCs w:val="20"/>
        </w:rPr>
        <w:t>Journal of Nutrition, 133</w:t>
      </w:r>
      <w:r w:rsidRPr="00C22E28">
        <w:rPr>
          <w:rFonts w:ascii="Arial" w:hAnsi="Arial" w:cs="Arial"/>
          <w:sz w:val="20"/>
          <w:szCs w:val="20"/>
        </w:rPr>
        <w:t>(7), 2204–2209.</w:t>
      </w:r>
    </w:p>
    <w:p w14:paraId="5BC366ED" w14:textId="77777777" w:rsidR="002D4C4F" w:rsidRDefault="00A97ED2" w:rsidP="002D4C4F">
      <w:pPr>
        <w:spacing w:after="0" w:line="480" w:lineRule="auto"/>
        <w:ind w:left="720" w:hanging="720"/>
        <w:jc w:val="both"/>
        <w:rPr>
          <w:rFonts w:ascii="Arial" w:hAnsi="Arial" w:cs="Arial"/>
          <w:sz w:val="20"/>
          <w:szCs w:val="20"/>
        </w:rPr>
      </w:pPr>
      <w:r w:rsidRPr="00C22E28">
        <w:rPr>
          <w:rFonts w:ascii="Arial" w:hAnsi="Arial" w:cs="Arial"/>
          <w:sz w:val="20"/>
          <w:szCs w:val="20"/>
        </w:rPr>
        <w:t xml:space="preserve">Sharma, O. P., &amp; Bhat, T. K. (2009). DPPH antioxidant assay revisited. </w:t>
      </w:r>
      <w:r w:rsidRPr="00C22E28">
        <w:rPr>
          <w:rStyle w:val="Emphasis"/>
          <w:rFonts w:ascii="Arial" w:hAnsi="Arial" w:cs="Arial"/>
          <w:sz w:val="20"/>
          <w:szCs w:val="20"/>
        </w:rPr>
        <w:t>Food Chemistry, 113</w:t>
      </w:r>
      <w:r w:rsidRPr="00C22E28">
        <w:rPr>
          <w:rFonts w:ascii="Arial" w:hAnsi="Arial" w:cs="Arial"/>
          <w:sz w:val="20"/>
          <w:szCs w:val="20"/>
        </w:rPr>
        <w:t xml:space="preserve">(4), 1202–1205. </w:t>
      </w:r>
      <w:hyperlink r:id="rId35" w:history="1">
        <w:r w:rsidRPr="00C22E28">
          <w:rPr>
            <w:rStyle w:val="Hyperlink"/>
            <w:rFonts w:ascii="Arial" w:hAnsi="Arial" w:cs="Arial"/>
            <w:sz w:val="20"/>
            <w:szCs w:val="20"/>
          </w:rPr>
          <w:t>https://doi.org/10.1016/j.foodchem.2008.08.008</w:t>
        </w:r>
      </w:hyperlink>
    </w:p>
    <w:p w14:paraId="19AA3FE0" w14:textId="79CE036D" w:rsidR="007D520A" w:rsidRPr="002D4C4F" w:rsidRDefault="00A97ED2" w:rsidP="002D4C4F">
      <w:pPr>
        <w:spacing w:after="0" w:line="480" w:lineRule="auto"/>
        <w:ind w:left="720" w:hanging="720"/>
        <w:jc w:val="both"/>
        <w:rPr>
          <w:rFonts w:ascii="Arial" w:hAnsi="Arial" w:cs="Arial"/>
          <w:sz w:val="20"/>
          <w:szCs w:val="20"/>
        </w:rPr>
      </w:pPr>
      <w:proofErr w:type="spellStart"/>
      <w:r w:rsidRPr="00C22E28">
        <w:rPr>
          <w:rFonts w:ascii="Arial" w:hAnsi="Arial" w:cs="Arial"/>
          <w:sz w:val="20"/>
          <w:szCs w:val="20"/>
        </w:rPr>
        <w:t>Zulueta</w:t>
      </w:r>
      <w:proofErr w:type="spellEnd"/>
      <w:r w:rsidRPr="00C22E28">
        <w:rPr>
          <w:rFonts w:ascii="Arial" w:hAnsi="Arial" w:cs="Arial"/>
          <w:sz w:val="20"/>
          <w:szCs w:val="20"/>
        </w:rPr>
        <w:t xml:space="preserve">, A., </w:t>
      </w:r>
      <w:proofErr w:type="spellStart"/>
      <w:r w:rsidRPr="00C22E28">
        <w:rPr>
          <w:rFonts w:ascii="Arial" w:hAnsi="Arial" w:cs="Arial"/>
          <w:sz w:val="20"/>
          <w:szCs w:val="20"/>
        </w:rPr>
        <w:t>Esteve</w:t>
      </w:r>
      <w:proofErr w:type="spellEnd"/>
      <w:r w:rsidRPr="00C22E28">
        <w:rPr>
          <w:rFonts w:ascii="Arial" w:hAnsi="Arial" w:cs="Arial"/>
          <w:sz w:val="20"/>
          <w:szCs w:val="20"/>
        </w:rPr>
        <w:t xml:space="preserve">, M. J., </w:t>
      </w:r>
      <w:proofErr w:type="spellStart"/>
      <w:r w:rsidRPr="00C22E28">
        <w:rPr>
          <w:rFonts w:ascii="Arial" w:hAnsi="Arial" w:cs="Arial"/>
          <w:sz w:val="20"/>
          <w:szCs w:val="20"/>
        </w:rPr>
        <w:t>Frasquet</w:t>
      </w:r>
      <w:proofErr w:type="spellEnd"/>
      <w:r w:rsidRPr="00C22E28">
        <w:rPr>
          <w:rFonts w:ascii="Arial" w:hAnsi="Arial" w:cs="Arial"/>
          <w:sz w:val="20"/>
          <w:szCs w:val="20"/>
        </w:rPr>
        <w:t xml:space="preserve">, I., &amp; </w:t>
      </w:r>
      <w:proofErr w:type="spellStart"/>
      <w:r w:rsidRPr="00C22E28">
        <w:rPr>
          <w:rFonts w:ascii="Arial" w:hAnsi="Arial" w:cs="Arial"/>
          <w:sz w:val="20"/>
          <w:szCs w:val="20"/>
        </w:rPr>
        <w:t>Frigola</w:t>
      </w:r>
      <w:proofErr w:type="spellEnd"/>
      <w:r w:rsidRPr="00C22E28">
        <w:rPr>
          <w:rFonts w:ascii="Arial" w:hAnsi="Arial" w:cs="Arial"/>
          <w:sz w:val="20"/>
          <w:szCs w:val="20"/>
        </w:rPr>
        <w:t xml:space="preserve">, A. (2007). Vitamin C, vitamin A, phenolic compounds, and total antioxidant capacity of new fruit juice and skim milk mixture beverages marketed in Spain. </w:t>
      </w:r>
      <w:r w:rsidRPr="00C22E28">
        <w:rPr>
          <w:rStyle w:val="Emphasis"/>
          <w:rFonts w:ascii="Arial" w:hAnsi="Arial" w:cs="Arial"/>
          <w:sz w:val="20"/>
          <w:szCs w:val="20"/>
        </w:rPr>
        <w:t>Food Chemistry, 103</w:t>
      </w:r>
      <w:r w:rsidRPr="00C22E28">
        <w:rPr>
          <w:rFonts w:ascii="Arial" w:hAnsi="Arial" w:cs="Arial"/>
          <w:sz w:val="20"/>
          <w:szCs w:val="20"/>
        </w:rPr>
        <w:t>(4), 1365–1374.</w:t>
      </w:r>
      <w:bookmarkEnd w:id="2"/>
    </w:p>
    <w:sectPr w:rsidR="007D520A" w:rsidRPr="002D4C4F">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1AD2" w14:textId="77777777" w:rsidR="0065303C" w:rsidRDefault="0065303C" w:rsidP="003C10D2">
      <w:pPr>
        <w:spacing w:after="0" w:line="240" w:lineRule="auto"/>
      </w:pPr>
      <w:r>
        <w:separator/>
      </w:r>
    </w:p>
  </w:endnote>
  <w:endnote w:type="continuationSeparator" w:id="0">
    <w:p w14:paraId="3D0339FD" w14:textId="77777777" w:rsidR="0065303C" w:rsidRDefault="0065303C" w:rsidP="003C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9BDB" w14:textId="77777777" w:rsidR="007C5F42" w:rsidRDefault="007C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DC1E" w14:textId="77777777" w:rsidR="007C5F42" w:rsidRDefault="007C5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E3C4" w14:textId="77777777" w:rsidR="007C5F42" w:rsidRDefault="007C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75EA" w14:textId="77777777" w:rsidR="0065303C" w:rsidRDefault="0065303C" w:rsidP="003C10D2">
      <w:pPr>
        <w:spacing w:after="0" w:line="240" w:lineRule="auto"/>
      </w:pPr>
      <w:r>
        <w:separator/>
      </w:r>
    </w:p>
  </w:footnote>
  <w:footnote w:type="continuationSeparator" w:id="0">
    <w:p w14:paraId="5694E3A8" w14:textId="77777777" w:rsidR="0065303C" w:rsidRDefault="0065303C" w:rsidP="003C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B93D" w14:textId="7C1D9398" w:rsidR="007C5F42" w:rsidRDefault="0065303C">
    <w:pPr>
      <w:pStyle w:val="Header"/>
    </w:pPr>
    <w:r>
      <w:rPr>
        <w:noProof/>
      </w:rPr>
      <w:pict w14:anchorId="4AFD8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6C54" w14:textId="74B1F5CB" w:rsidR="007C5F42" w:rsidRDefault="0065303C">
    <w:pPr>
      <w:pStyle w:val="Header"/>
    </w:pPr>
    <w:r>
      <w:rPr>
        <w:noProof/>
      </w:rPr>
      <w:pict w14:anchorId="7F9AE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6756" w14:textId="41F59B1D" w:rsidR="007C5F42" w:rsidRDefault="0065303C">
    <w:pPr>
      <w:pStyle w:val="Header"/>
    </w:pPr>
    <w:r>
      <w:rPr>
        <w:noProof/>
      </w:rPr>
      <w:pict w14:anchorId="3F051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B1D19"/>
    <w:multiLevelType w:val="hybridMultilevel"/>
    <w:tmpl w:val="D99CBDF6"/>
    <w:lvl w:ilvl="0" w:tplc="E9EC963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5145236"/>
    <w:multiLevelType w:val="hybridMultilevel"/>
    <w:tmpl w:val="F47CE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0E2148"/>
    <w:multiLevelType w:val="multilevel"/>
    <w:tmpl w:val="0624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2D4"/>
    <w:rsid w:val="00033492"/>
    <w:rsid w:val="00042ABC"/>
    <w:rsid w:val="000439E7"/>
    <w:rsid w:val="00051371"/>
    <w:rsid w:val="000534B2"/>
    <w:rsid w:val="000632D3"/>
    <w:rsid w:val="000830CD"/>
    <w:rsid w:val="00083933"/>
    <w:rsid w:val="00084188"/>
    <w:rsid w:val="00090DAA"/>
    <w:rsid w:val="00091BA2"/>
    <w:rsid w:val="000938E0"/>
    <w:rsid w:val="00095193"/>
    <w:rsid w:val="000A3596"/>
    <w:rsid w:val="000A5E56"/>
    <w:rsid w:val="000B5F81"/>
    <w:rsid w:val="000B79F1"/>
    <w:rsid w:val="000C35D7"/>
    <w:rsid w:val="000D1AA5"/>
    <w:rsid w:val="000E7E8F"/>
    <w:rsid w:val="000F6B5F"/>
    <w:rsid w:val="00156F54"/>
    <w:rsid w:val="00166542"/>
    <w:rsid w:val="00190AC6"/>
    <w:rsid w:val="00192F77"/>
    <w:rsid w:val="001A5AE2"/>
    <w:rsid w:val="001B11C5"/>
    <w:rsid w:val="001C21C5"/>
    <w:rsid w:val="001C7986"/>
    <w:rsid w:val="001D43EE"/>
    <w:rsid w:val="001D6988"/>
    <w:rsid w:val="001D7765"/>
    <w:rsid w:val="001E200A"/>
    <w:rsid w:val="001F0AA9"/>
    <w:rsid w:val="001F0D39"/>
    <w:rsid w:val="001F693D"/>
    <w:rsid w:val="00212C71"/>
    <w:rsid w:val="00217128"/>
    <w:rsid w:val="00226661"/>
    <w:rsid w:val="00227068"/>
    <w:rsid w:val="002532B9"/>
    <w:rsid w:val="002571AD"/>
    <w:rsid w:val="00266366"/>
    <w:rsid w:val="00272984"/>
    <w:rsid w:val="00282A73"/>
    <w:rsid w:val="00284F4E"/>
    <w:rsid w:val="00294514"/>
    <w:rsid w:val="0029743E"/>
    <w:rsid w:val="002C20A0"/>
    <w:rsid w:val="002D45FE"/>
    <w:rsid w:val="002D4C4F"/>
    <w:rsid w:val="002E590B"/>
    <w:rsid w:val="003061F3"/>
    <w:rsid w:val="00313D12"/>
    <w:rsid w:val="00316D84"/>
    <w:rsid w:val="00341BEC"/>
    <w:rsid w:val="00372C38"/>
    <w:rsid w:val="00382F7F"/>
    <w:rsid w:val="003912B5"/>
    <w:rsid w:val="00395130"/>
    <w:rsid w:val="003A5EC1"/>
    <w:rsid w:val="003B0588"/>
    <w:rsid w:val="003C10D2"/>
    <w:rsid w:val="003D5084"/>
    <w:rsid w:val="003E6C59"/>
    <w:rsid w:val="00403A14"/>
    <w:rsid w:val="00407864"/>
    <w:rsid w:val="00421C4C"/>
    <w:rsid w:val="004420EB"/>
    <w:rsid w:val="004457EC"/>
    <w:rsid w:val="00446719"/>
    <w:rsid w:val="004508D8"/>
    <w:rsid w:val="00452A25"/>
    <w:rsid w:val="004640CC"/>
    <w:rsid w:val="00477E14"/>
    <w:rsid w:val="004A4551"/>
    <w:rsid w:val="004B4938"/>
    <w:rsid w:val="004C057B"/>
    <w:rsid w:val="004C42B6"/>
    <w:rsid w:val="004D080E"/>
    <w:rsid w:val="004E7AEB"/>
    <w:rsid w:val="00500D57"/>
    <w:rsid w:val="00511863"/>
    <w:rsid w:val="00524356"/>
    <w:rsid w:val="005331FF"/>
    <w:rsid w:val="00563042"/>
    <w:rsid w:val="00566CC1"/>
    <w:rsid w:val="00576361"/>
    <w:rsid w:val="00590050"/>
    <w:rsid w:val="00594B5F"/>
    <w:rsid w:val="005D0F39"/>
    <w:rsid w:val="005D6056"/>
    <w:rsid w:val="005E4A3D"/>
    <w:rsid w:val="00601F03"/>
    <w:rsid w:val="00626C87"/>
    <w:rsid w:val="0065303C"/>
    <w:rsid w:val="00691986"/>
    <w:rsid w:val="006A0A87"/>
    <w:rsid w:val="006B77FA"/>
    <w:rsid w:val="006C4C8E"/>
    <w:rsid w:val="006C4F1A"/>
    <w:rsid w:val="006D76A9"/>
    <w:rsid w:val="006F477B"/>
    <w:rsid w:val="00703274"/>
    <w:rsid w:val="00714C8F"/>
    <w:rsid w:val="007374B3"/>
    <w:rsid w:val="00741B1F"/>
    <w:rsid w:val="00767DC8"/>
    <w:rsid w:val="0077704E"/>
    <w:rsid w:val="007927FA"/>
    <w:rsid w:val="00795735"/>
    <w:rsid w:val="007A2814"/>
    <w:rsid w:val="007B6C12"/>
    <w:rsid w:val="007C31BE"/>
    <w:rsid w:val="007C5F42"/>
    <w:rsid w:val="007D4E11"/>
    <w:rsid w:val="007D520A"/>
    <w:rsid w:val="007E5664"/>
    <w:rsid w:val="007F7216"/>
    <w:rsid w:val="00833A8C"/>
    <w:rsid w:val="008348C4"/>
    <w:rsid w:val="008361A2"/>
    <w:rsid w:val="008376E1"/>
    <w:rsid w:val="00850837"/>
    <w:rsid w:val="0086455B"/>
    <w:rsid w:val="00884CD7"/>
    <w:rsid w:val="00893DDA"/>
    <w:rsid w:val="008A1968"/>
    <w:rsid w:val="008B6BBD"/>
    <w:rsid w:val="008E2BD3"/>
    <w:rsid w:val="008E433C"/>
    <w:rsid w:val="008F6E63"/>
    <w:rsid w:val="00912418"/>
    <w:rsid w:val="00912DF4"/>
    <w:rsid w:val="0092385E"/>
    <w:rsid w:val="00936CFF"/>
    <w:rsid w:val="00954EE3"/>
    <w:rsid w:val="00977CF7"/>
    <w:rsid w:val="009A2A6D"/>
    <w:rsid w:val="009B1638"/>
    <w:rsid w:val="00A05DFA"/>
    <w:rsid w:val="00A26968"/>
    <w:rsid w:val="00A4195D"/>
    <w:rsid w:val="00A43908"/>
    <w:rsid w:val="00A44396"/>
    <w:rsid w:val="00A454C6"/>
    <w:rsid w:val="00A674EF"/>
    <w:rsid w:val="00A707F1"/>
    <w:rsid w:val="00A821B6"/>
    <w:rsid w:val="00A97ED2"/>
    <w:rsid w:val="00AA4D9C"/>
    <w:rsid w:val="00AC59D0"/>
    <w:rsid w:val="00AF02EB"/>
    <w:rsid w:val="00B0287B"/>
    <w:rsid w:val="00B55EC6"/>
    <w:rsid w:val="00B56155"/>
    <w:rsid w:val="00B673BC"/>
    <w:rsid w:val="00B772D4"/>
    <w:rsid w:val="00B82B7B"/>
    <w:rsid w:val="00BC22C0"/>
    <w:rsid w:val="00BC247E"/>
    <w:rsid w:val="00BD6C29"/>
    <w:rsid w:val="00BE3DC1"/>
    <w:rsid w:val="00BF11C9"/>
    <w:rsid w:val="00BF16F3"/>
    <w:rsid w:val="00BF2CF0"/>
    <w:rsid w:val="00C04293"/>
    <w:rsid w:val="00C07FF6"/>
    <w:rsid w:val="00C141B0"/>
    <w:rsid w:val="00C219DA"/>
    <w:rsid w:val="00C22E28"/>
    <w:rsid w:val="00C56940"/>
    <w:rsid w:val="00C81D22"/>
    <w:rsid w:val="00C9096D"/>
    <w:rsid w:val="00C9605A"/>
    <w:rsid w:val="00CD4EED"/>
    <w:rsid w:val="00CE5515"/>
    <w:rsid w:val="00CF7B80"/>
    <w:rsid w:val="00D40681"/>
    <w:rsid w:val="00D40D7E"/>
    <w:rsid w:val="00D40F74"/>
    <w:rsid w:val="00D454A9"/>
    <w:rsid w:val="00D4593C"/>
    <w:rsid w:val="00D91865"/>
    <w:rsid w:val="00DB21C9"/>
    <w:rsid w:val="00DB764E"/>
    <w:rsid w:val="00DE4139"/>
    <w:rsid w:val="00E60549"/>
    <w:rsid w:val="00E7444F"/>
    <w:rsid w:val="00E85BAE"/>
    <w:rsid w:val="00E91522"/>
    <w:rsid w:val="00EE2624"/>
    <w:rsid w:val="00EE7E65"/>
    <w:rsid w:val="00EF2C00"/>
    <w:rsid w:val="00F065BD"/>
    <w:rsid w:val="00F11DD1"/>
    <w:rsid w:val="00F32577"/>
    <w:rsid w:val="00F7012F"/>
    <w:rsid w:val="00F90F32"/>
    <w:rsid w:val="00F964BE"/>
    <w:rsid w:val="00FC007D"/>
    <w:rsid w:val="00FC1878"/>
    <w:rsid w:val="00FC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4565"/>
  <w15:chartTrackingRefBased/>
  <w15:docId w15:val="{DA3F508C-DDCE-4B2D-8CF7-F272CC2B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4C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4C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72D4"/>
    <w:rPr>
      <w:i/>
      <w:iCs/>
    </w:rPr>
  </w:style>
  <w:style w:type="paragraph" w:customStyle="1" w:styleId="font-claude-response-body">
    <w:name w:val="font-claude-response-body"/>
    <w:basedOn w:val="Normal"/>
    <w:rsid w:val="00E85B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4C8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4C8F"/>
    <w:rPr>
      <w:rFonts w:ascii="Times New Roman" w:eastAsia="Times New Roman" w:hAnsi="Times New Roman" w:cs="Times New Roman"/>
      <w:b/>
      <w:bCs/>
      <w:sz w:val="24"/>
      <w:szCs w:val="24"/>
    </w:rPr>
  </w:style>
  <w:style w:type="paragraph" w:customStyle="1" w:styleId="whitespace-normal">
    <w:name w:val="whitespace-normal"/>
    <w:basedOn w:val="Normal"/>
    <w:rsid w:val="00714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C8F"/>
    <w:rPr>
      <w:b/>
      <w:bCs/>
    </w:rPr>
  </w:style>
  <w:style w:type="table" w:styleId="TableGrid">
    <w:name w:val="Table Grid"/>
    <w:basedOn w:val="TableNormal"/>
    <w:uiPriority w:val="39"/>
    <w:rsid w:val="0003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D2"/>
  </w:style>
  <w:style w:type="paragraph" w:styleId="Footer">
    <w:name w:val="footer"/>
    <w:basedOn w:val="Normal"/>
    <w:link w:val="FooterChar"/>
    <w:uiPriority w:val="99"/>
    <w:unhideWhenUsed/>
    <w:rsid w:val="003C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D2"/>
  </w:style>
  <w:style w:type="character" w:styleId="Hyperlink">
    <w:name w:val="Hyperlink"/>
    <w:basedOn w:val="DefaultParagraphFont"/>
    <w:uiPriority w:val="99"/>
    <w:unhideWhenUsed/>
    <w:rsid w:val="00EE2624"/>
    <w:rPr>
      <w:color w:val="0563C1" w:themeColor="hyperlink"/>
      <w:u w:val="single"/>
    </w:rPr>
  </w:style>
  <w:style w:type="character" w:customStyle="1" w:styleId="UnresolvedMention1">
    <w:name w:val="Unresolved Mention1"/>
    <w:basedOn w:val="DefaultParagraphFont"/>
    <w:uiPriority w:val="99"/>
    <w:semiHidden/>
    <w:unhideWhenUsed/>
    <w:rsid w:val="00EE2624"/>
    <w:rPr>
      <w:color w:val="605E5C"/>
      <w:shd w:val="clear" w:color="auto" w:fill="E1DFDD"/>
    </w:rPr>
  </w:style>
  <w:style w:type="paragraph" w:styleId="ListParagraph">
    <w:name w:val="List Paragraph"/>
    <w:basedOn w:val="Normal"/>
    <w:uiPriority w:val="34"/>
    <w:qFormat/>
    <w:rsid w:val="004C4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8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5897/AJFS2020.1923" TargetMode="External"/><Relationship Id="rId26" Type="http://schemas.openxmlformats.org/officeDocument/2006/relationships/hyperlink" Target="https://doi.org/10.1146/annurev-food-032519-051708" TargetMode="External"/><Relationship Id="rId39" Type="http://schemas.openxmlformats.org/officeDocument/2006/relationships/footer" Target="footer2.xml"/><Relationship Id="rId21" Type="http://schemas.openxmlformats.org/officeDocument/2006/relationships/hyperlink" Target="https://doi.org/10.1016/S1286-4579(02)01555-1" TargetMode="External"/><Relationship Id="rId34" Type="http://schemas.openxmlformats.org/officeDocument/2006/relationships/hyperlink" Target="https://doi.org/10.1186/1472-6882-9-37"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1006/abio.1996.0292" TargetMode="External"/><Relationship Id="rId29" Type="http://schemas.openxmlformats.org/officeDocument/2006/relationships/hyperlink" Target="https://doi.org/10.1007/978-90-481-8661-7"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016/j.ijfoodmicro.2004.03.022" TargetMode="External"/><Relationship Id="rId32" Type="http://schemas.openxmlformats.org/officeDocument/2006/relationships/hyperlink" Target="https://doi.org/10.1002/ptr.68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1016/j.jfoodeng.2005.03.026" TargetMode="External"/><Relationship Id="rId28" Type="http://schemas.openxmlformats.org/officeDocument/2006/relationships/hyperlink" Target="https://doi.org/10.1016/S0168-1605(00)00161-6" TargetMode="External"/><Relationship Id="rId36"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doi.org/10.1007/s11947-010-0365-3" TargetMode="External"/><Relationship Id="rId31" Type="http://schemas.openxmlformats.org/officeDocument/2006/relationships/hyperlink" Target="https://doi.org/10.1002/ptr.193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016/S0023-6438(95)80008-5" TargetMode="External"/><Relationship Id="rId27" Type="http://schemas.openxmlformats.org/officeDocument/2006/relationships/hyperlink" Target="https://doi.org/10.1021/jf00047a019" TargetMode="External"/><Relationship Id="rId30" Type="http://schemas.openxmlformats.org/officeDocument/2006/relationships/hyperlink" Target="https://doi.org/10.1016/j.jep.2021.113880" TargetMode="External"/><Relationship Id="rId35" Type="http://schemas.openxmlformats.org/officeDocument/2006/relationships/hyperlink" Target="https://doi.org/10.1016/j.foodchem.2008.08.008" TargetMode="External"/><Relationship Id="rId43"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016/j.foodchem.2015.11.089" TargetMode="External"/><Relationship Id="rId25" Type="http://schemas.openxmlformats.org/officeDocument/2006/relationships/hyperlink" Target="https://doi.org/10.3390/ijerph8062123" TargetMode="External"/><Relationship Id="rId33" Type="http://schemas.openxmlformats.org/officeDocument/2006/relationships/hyperlink" Target="https://doi.org/10.1080/10408398.2012.697986"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2025%20research\ngobid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Sheet1!$B$7</c:f>
              <c:strCache>
                <c:ptCount val="1"/>
                <c:pt idx="0">
                  <c:v>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Sheet1!$A$8:$A$15</c:f>
              <c:numCache>
                <c:formatCode>General</c:formatCode>
                <c:ptCount val="8"/>
                <c:pt idx="0">
                  <c:v>0</c:v>
                </c:pt>
                <c:pt idx="1">
                  <c:v>3</c:v>
                </c:pt>
                <c:pt idx="2">
                  <c:v>6</c:v>
                </c:pt>
                <c:pt idx="3">
                  <c:v>9</c:v>
                </c:pt>
                <c:pt idx="4">
                  <c:v>12</c:v>
                </c:pt>
                <c:pt idx="5">
                  <c:v>15</c:v>
                </c:pt>
                <c:pt idx="6">
                  <c:v>18</c:v>
                </c:pt>
                <c:pt idx="7">
                  <c:v>21</c:v>
                </c:pt>
              </c:numCache>
            </c:numRef>
          </c:cat>
          <c:val>
            <c:numRef>
              <c:f>Sheet1!$B$8:$B$15</c:f>
              <c:numCache>
                <c:formatCode>General</c:formatCode>
                <c:ptCount val="8"/>
                <c:pt idx="0">
                  <c:v>0.8</c:v>
                </c:pt>
                <c:pt idx="1">
                  <c:v>18</c:v>
                </c:pt>
                <c:pt idx="2">
                  <c:v>120</c:v>
                </c:pt>
                <c:pt idx="3">
                  <c:v>167</c:v>
                </c:pt>
                <c:pt idx="4">
                  <c:v>180</c:v>
                </c:pt>
                <c:pt idx="5">
                  <c:v>210</c:v>
                </c:pt>
                <c:pt idx="6">
                  <c:v>237</c:v>
                </c:pt>
                <c:pt idx="7">
                  <c:v>250</c:v>
                </c:pt>
              </c:numCache>
            </c:numRef>
          </c:val>
          <c:smooth val="0"/>
          <c:extLst>
            <c:ext xmlns:c16="http://schemas.microsoft.com/office/drawing/2014/chart" uri="{C3380CC4-5D6E-409C-BE32-E72D297353CC}">
              <c16:uniqueId val="{00000000-8F41-4040-8942-48E9444264C0}"/>
            </c:ext>
          </c:extLst>
        </c:ser>
        <c:ser>
          <c:idx val="1"/>
          <c:order val="1"/>
          <c:tx>
            <c:strRef>
              <c:f>Sheet1!$C$7</c:f>
              <c:strCache>
                <c:ptCount val="1"/>
                <c:pt idx="0">
                  <c:v>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Sheet1!$A$8:$A$15</c:f>
              <c:numCache>
                <c:formatCode>General</c:formatCode>
                <c:ptCount val="8"/>
                <c:pt idx="0">
                  <c:v>0</c:v>
                </c:pt>
                <c:pt idx="1">
                  <c:v>3</c:v>
                </c:pt>
                <c:pt idx="2">
                  <c:v>6</c:v>
                </c:pt>
                <c:pt idx="3">
                  <c:v>9</c:v>
                </c:pt>
                <c:pt idx="4">
                  <c:v>12</c:v>
                </c:pt>
                <c:pt idx="5">
                  <c:v>15</c:v>
                </c:pt>
                <c:pt idx="6">
                  <c:v>18</c:v>
                </c:pt>
                <c:pt idx="7">
                  <c:v>21</c:v>
                </c:pt>
              </c:numCache>
            </c:numRef>
          </c:cat>
          <c:val>
            <c:numRef>
              <c:f>Sheet1!$C$8:$C$15</c:f>
              <c:numCache>
                <c:formatCode>General</c:formatCode>
                <c:ptCount val="8"/>
                <c:pt idx="0">
                  <c:v>0.6</c:v>
                </c:pt>
                <c:pt idx="1">
                  <c:v>14.3</c:v>
                </c:pt>
                <c:pt idx="2">
                  <c:v>120</c:v>
                </c:pt>
                <c:pt idx="3">
                  <c:v>183</c:v>
                </c:pt>
                <c:pt idx="4">
                  <c:v>187</c:v>
                </c:pt>
                <c:pt idx="5">
                  <c:v>234</c:v>
                </c:pt>
                <c:pt idx="6">
                  <c:v>243</c:v>
                </c:pt>
                <c:pt idx="7">
                  <c:v>253</c:v>
                </c:pt>
              </c:numCache>
            </c:numRef>
          </c:val>
          <c:smooth val="0"/>
          <c:extLst>
            <c:ext xmlns:c16="http://schemas.microsoft.com/office/drawing/2014/chart" uri="{C3380CC4-5D6E-409C-BE32-E72D297353CC}">
              <c16:uniqueId val="{00000001-8F41-4040-8942-48E9444264C0}"/>
            </c:ext>
          </c:extLst>
        </c:ser>
        <c:ser>
          <c:idx val="2"/>
          <c:order val="2"/>
          <c:tx>
            <c:strRef>
              <c:f>Sheet1!$D$7</c:f>
              <c:strCache>
                <c:ptCount val="1"/>
                <c:pt idx="0">
                  <c:v>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Sheet1!$A$8:$A$15</c:f>
              <c:numCache>
                <c:formatCode>General</c:formatCode>
                <c:ptCount val="8"/>
                <c:pt idx="0">
                  <c:v>0</c:v>
                </c:pt>
                <c:pt idx="1">
                  <c:v>3</c:v>
                </c:pt>
                <c:pt idx="2">
                  <c:v>6</c:v>
                </c:pt>
                <c:pt idx="3">
                  <c:v>9</c:v>
                </c:pt>
                <c:pt idx="4">
                  <c:v>12</c:v>
                </c:pt>
                <c:pt idx="5">
                  <c:v>15</c:v>
                </c:pt>
                <c:pt idx="6">
                  <c:v>18</c:v>
                </c:pt>
                <c:pt idx="7">
                  <c:v>21</c:v>
                </c:pt>
              </c:numCache>
            </c:numRef>
          </c:cat>
          <c:val>
            <c:numRef>
              <c:f>Sheet1!$D$8:$D$15</c:f>
              <c:numCache>
                <c:formatCode>General</c:formatCode>
                <c:ptCount val="8"/>
                <c:pt idx="0">
                  <c:v>0.7</c:v>
                </c:pt>
                <c:pt idx="1">
                  <c:v>13.3</c:v>
                </c:pt>
                <c:pt idx="2">
                  <c:v>123</c:v>
                </c:pt>
                <c:pt idx="3">
                  <c:v>177</c:v>
                </c:pt>
                <c:pt idx="4">
                  <c:v>183</c:v>
                </c:pt>
                <c:pt idx="5">
                  <c:v>247</c:v>
                </c:pt>
                <c:pt idx="6">
                  <c:v>253</c:v>
                </c:pt>
                <c:pt idx="7">
                  <c:v>263</c:v>
                </c:pt>
              </c:numCache>
            </c:numRef>
          </c:val>
          <c:smooth val="0"/>
          <c:extLst>
            <c:ext xmlns:c16="http://schemas.microsoft.com/office/drawing/2014/chart" uri="{C3380CC4-5D6E-409C-BE32-E72D297353CC}">
              <c16:uniqueId val="{00000002-8F41-4040-8942-48E9444264C0}"/>
            </c:ext>
          </c:extLst>
        </c:ser>
        <c:ser>
          <c:idx val="3"/>
          <c:order val="3"/>
          <c:tx>
            <c:strRef>
              <c:f>Sheet1!$E$7</c:f>
              <c:strCache>
                <c:ptCount val="1"/>
                <c:pt idx="0">
                  <c:v>Control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Sheet1!$A$8:$A$15</c:f>
              <c:numCache>
                <c:formatCode>General</c:formatCode>
                <c:ptCount val="8"/>
                <c:pt idx="0">
                  <c:v>0</c:v>
                </c:pt>
                <c:pt idx="1">
                  <c:v>3</c:v>
                </c:pt>
                <c:pt idx="2">
                  <c:v>6</c:v>
                </c:pt>
                <c:pt idx="3">
                  <c:v>9</c:v>
                </c:pt>
                <c:pt idx="4">
                  <c:v>12</c:v>
                </c:pt>
                <c:pt idx="5">
                  <c:v>15</c:v>
                </c:pt>
                <c:pt idx="6">
                  <c:v>18</c:v>
                </c:pt>
                <c:pt idx="7">
                  <c:v>21</c:v>
                </c:pt>
              </c:numCache>
            </c:numRef>
          </c:cat>
          <c:val>
            <c:numRef>
              <c:f>Sheet1!$E$8:$E$15</c:f>
              <c:numCache>
                <c:formatCode>General</c:formatCode>
                <c:ptCount val="8"/>
                <c:pt idx="0">
                  <c:v>0.1</c:v>
                </c:pt>
                <c:pt idx="1">
                  <c:v>14.3</c:v>
                </c:pt>
                <c:pt idx="2">
                  <c:v>140</c:v>
                </c:pt>
                <c:pt idx="3">
                  <c:v>197</c:v>
                </c:pt>
                <c:pt idx="4">
                  <c:v>200</c:v>
                </c:pt>
                <c:pt idx="5">
                  <c:v>260</c:v>
                </c:pt>
                <c:pt idx="6">
                  <c:v>270</c:v>
                </c:pt>
                <c:pt idx="7">
                  <c:v>287</c:v>
                </c:pt>
              </c:numCache>
            </c:numRef>
          </c:val>
          <c:smooth val="0"/>
          <c:extLst>
            <c:ext xmlns:c16="http://schemas.microsoft.com/office/drawing/2014/chart" uri="{C3380CC4-5D6E-409C-BE32-E72D297353CC}">
              <c16:uniqueId val="{00000003-8F41-4040-8942-48E9444264C0}"/>
            </c:ext>
          </c:extLst>
        </c:ser>
        <c:dLbls>
          <c:showLegendKey val="0"/>
          <c:showVal val="0"/>
          <c:showCatName val="0"/>
          <c:showSerName val="0"/>
          <c:showPercent val="0"/>
          <c:showBubbleSize val="0"/>
        </c:dLbls>
        <c:marker val="1"/>
        <c:smooth val="0"/>
        <c:axId val="364442400"/>
        <c:axId val="364451024"/>
      </c:lineChart>
      <c:catAx>
        <c:axId val="36444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1024"/>
        <c:crosses val="autoZero"/>
        <c:auto val="1"/>
        <c:lblAlgn val="ctr"/>
        <c:lblOffset val="100"/>
        <c:noMultiLvlLbl val="0"/>
      </c:catAx>
      <c:valAx>
        <c:axId val="364451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Total Plate Count (CFU/ml)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Sheet1!$B$129</c:f>
              <c:strCache>
                <c:ptCount val="1"/>
                <c:pt idx="0">
                  <c:v>1</c:v>
                </c:pt>
              </c:strCache>
            </c:strRef>
          </c:tx>
          <c:spPr>
            <a:solidFill>
              <a:schemeClr val="accent1"/>
            </a:solidFill>
            <a:ln>
              <a:noFill/>
            </a:ln>
            <a:effectLst/>
          </c:spPr>
          <c:invertIfNegative val="0"/>
          <c:cat>
            <c:strRef>
              <c:f>Sheet1!$A$130:$A$133</c:f>
              <c:strCache>
                <c:ptCount val="4"/>
                <c:pt idx="0">
                  <c:v>B</c:v>
                </c:pt>
                <c:pt idx="1">
                  <c:v>C</c:v>
                </c:pt>
                <c:pt idx="2">
                  <c:v>D</c:v>
                </c:pt>
                <c:pt idx="3">
                  <c:v>Control</c:v>
                </c:pt>
              </c:strCache>
            </c:strRef>
          </c:cat>
          <c:val>
            <c:numRef>
              <c:f>Sheet1!$B$130:$B$133</c:f>
              <c:numCache>
                <c:formatCode>General</c:formatCode>
                <c:ptCount val="4"/>
                <c:pt idx="0">
                  <c:v>1.05</c:v>
                </c:pt>
                <c:pt idx="1">
                  <c:v>1.33</c:v>
                </c:pt>
                <c:pt idx="2">
                  <c:v>1.24</c:v>
                </c:pt>
                <c:pt idx="3">
                  <c:v>1.06</c:v>
                </c:pt>
              </c:numCache>
            </c:numRef>
          </c:val>
          <c:extLst>
            <c:ext xmlns:c16="http://schemas.microsoft.com/office/drawing/2014/chart" uri="{C3380CC4-5D6E-409C-BE32-E72D297353CC}">
              <c16:uniqueId val="{00000000-B693-487D-A6D4-21C3F94CE88D}"/>
            </c:ext>
          </c:extLst>
        </c:ser>
        <c:ser>
          <c:idx val="1"/>
          <c:order val="1"/>
          <c:tx>
            <c:strRef>
              <c:f>Sheet1!$C$129</c:f>
              <c:strCache>
                <c:ptCount val="1"/>
                <c:pt idx="0">
                  <c:v>3</c:v>
                </c:pt>
              </c:strCache>
            </c:strRef>
          </c:tx>
          <c:spPr>
            <a:solidFill>
              <a:schemeClr val="accent2"/>
            </a:solidFill>
            <a:ln>
              <a:noFill/>
            </a:ln>
            <a:effectLst/>
          </c:spPr>
          <c:invertIfNegative val="0"/>
          <c:cat>
            <c:strRef>
              <c:f>Sheet1!$A$130:$A$133</c:f>
              <c:strCache>
                <c:ptCount val="4"/>
                <c:pt idx="0">
                  <c:v>B</c:v>
                </c:pt>
                <c:pt idx="1">
                  <c:v>C</c:v>
                </c:pt>
                <c:pt idx="2">
                  <c:v>D</c:v>
                </c:pt>
                <c:pt idx="3">
                  <c:v>Control</c:v>
                </c:pt>
              </c:strCache>
            </c:strRef>
          </c:cat>
          <c:val>
            <c:numRef>
              <c:f>Sheet1!$C$130:$C$133</c:f>
              <c:numCache>
                <c:formatCode>General</c:formatCode>
                <c:ptCount val="4"/>
                <c:pt idx="0">
                  <c:v>0.95</c:v>
                </c:pt>
                <c:pt idx="1">
                  <c:v>1.17</c:v>
                </c:pt>
                <c:pt idx="2">
                  <c:v>1.06</c:v>
                </c:pt>
                <c:pt idx="3">
                  <c:v>0.95</c:v>
                </c:pt>
              </c:numCache>
            </c:numRef>
          </c:val>
          <c:extLst>
            <c:ext xmlns:c16="http://schemas.microsoft.com/office/drawing/2014/chart" uri="{C3380CC4-5D6E-409C-BE32-E72D297353CC}">
              <c16:uniqueId val="{00000001-B693-487D-A6D4-21C3F94CE88D}"/>
            </c:ext>
          </c:extLst>
        </c:ser>
        <c:ser>
          <c:idx val="2"/>
          <c:order val="2"/>
          <c:tx>
            <c:strRef>
              <c:f>Sheet1!$D$129</c:f>
              <c:strCache>
                <c:ptCount val="1"/>
                <c:pt idx="0">
                  <c:v>15</c:v>
                </c:pt>
              </c:strCache>
            </c:strRef>
          </c:tx>
          <c:spPr>
            <a:solidFill>
              <a:schemeClr val="accent3"/>
            </a:solidFill>
            <a:ln>
              <a:noFill/>
            </a:ln>
            <a:effectLst/>
          </c:spPr>
          <c:invertIfNegative val="0"/>
          <c:cat>
            <c:strRef>
              <c:f>Sheet1!$A$130:$A$133</c:f>
              <c:strCache>
                <c:ptCount val="4"/>
                <c:pt idx="0">
                  <c:v>B</c:v>
                </c:pt>
                <c:pt idx="1">
                  <c:v>C</c:v>
                </c:pt>
                <c:pt idx="2">
                  <c:v>D</c:v>
                </c:pt>
                <c:pt idx="3">
                  <c:v>Control</c:v>
                </c:pt>
              </c:strCache>
            </c:strRef>
          </c:cat>
          <c:val>
            <c:numRef>
              <c:f>Sheet1!$D$130:$D$133</c:f>
              <c:numCache>
                <c:formatCode>General</c:formatCode>
                <c:ptCount val="4"/>
                <c:pt idx="0">
                  <c:v>0.25</c:v>
                </c:pt>
                <c:pt idx="1">
                  <c:v>0.77</c:v>
                </c:pt>
                <c:pt idx="2">
                  <c:v>0.84</c:v>
                </c:pt>
                <c:pt idx="3">
                  <c:v>0.72</c:v>
                </c:pt>
              </c:numCache>
            </c:numRef>
          </c:val>
          <c:extLst>
            <c:ext xmlns:c16="http://schemas.microsoft.com/office/drawing/2014/chart" uri="{C3380CC4-5D6E-409C-BE32-E72D297353CC}">
              <c16:uniqueId val="{00000002-B693-487D-A6D4-21C3F94CE88D}"/>
            </c:ext>
          </c:extLst>
        </c:ser>
        <c:dLbls>
          <c:showLegendKey val="0"/>
          <c:showVal val="0"/>
          <c:showCatName val="0"/>
          <c:showSerName val="0"/>
          <c:showPercent val="0"/>
          <c:showBubbleSize val="0"/>
        </c:dLbls>
        <c:gapWidth val="219"/>
        <c:overlap val="-27"/>
        <c:axId val="373279112"/>
        <c:axId val="373278720"/>
      </c:barChart>
      <c:catAx>
        <c:axId val="37327911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78720"/>
        <c:crosses val="autoZero"/>
        <c:auto val="1"/>
        <c:lblAlgn val="ctr"/>
        <c:lblOffset val="100"/>
        <c:noMultiLvlLbl val="0"/>
      </c:catAx>
      <c:valAx>
        <c:axId val="373278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Titratable Acidity, TTA</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7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Sheet1!$B$26</c:f>
              <c:strCache>
                <c:ptCount val="1"/>
                <c:pt idx="0">
                  <c:v>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Sheet1!$A$27:$A$34</c:f>
              <c:numCache>
                <c:formatCode>General</c:formatCode>
                <c:ptCount val="8"/>
                <c:pt idx="0">
                  <c:v>0</c:v>
                </c:pt>
                <c:pt idx="1">
                  <c:v>3</c:v>
                </c:pt>
                <c:pt idx="2">
                  <c:v>6</c:v>
                </c:pt>
                <c:pt idx="3">
                  <c:v>9</c:v>
                </c:pt>
                <c:pt idx="4">
                  <c:v>12</c:v>
                </c:pt>
                <c:pt idx="5">
                  <c:v>15</c:v>
                </c:pt>
                <c:pt idx="6">
                  <c:v>18</c:v>
                </c:pt>
                <c:pt idx="7">
                  <c:v>21</c:v>
                </c:pt>
              </c:numCache>
            </c:numRef>
          </c:cat>
          <c:val>
            <c:numRef>
              <c:f>Sheet1!$B$27:$B$34</c:f>
              <c:numCache>
                <c:formatCode>General</c:formatCode>
                <c:ptCount val="8"/>
                <c:pt idx="0">
                  <c:v>0.3</c:v>
                </c:pt>
                <c:pt idx="1">
                  <c:v>16</c:v>
                </c:pt>
                <c:pt idx="2">
                  <c:v>143</c:v>
                </c:pt>
                <c:pt idx="3">
                  <c:v>157</c:v>
                </c:pt>
                <c:pt idx="4">
                  <c:v>173</c:v>
                </c:pt>
                <c:pt idx="5">
                  <c:v>187</c:v>
                </c:pt>
                <c:pt idx="6">
                  <c:v>210</c:v>
                </c:pt>
                <c:pt idx="7">
                  <c:v>223</c:v>
                </c:pt>
              </c:numCache>
            </c:numRef>
          </c:val>
          <c:smooth val="0"/>
          <c:extLst>
            <c:ext xmlns:c16="http://schemas.microsoft.com/office/drawing/2014/chart" uri="{C3380CC4-5D6E-409C-BE32-E72D297353CC}">
              <c16:uniqueId val="{00000000-1002-44D0-854C-A94FD9A1B082}"/>
            </c:ext>
          </c:extLst>
        </c:ser>
        <c:ser>
          <c:idx val="1"/>
          <c:order val="1"/>
          <c:tx>
            <c:strRef>
              <c:f>Sheet1!$C$26</c:f>
              <c:strCache>
                <c:ptCount val="1"/>
                <c:pt idx="0">
                  <c:v>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Sheet1!$A$27:$A$34</c:f>
              <c:numCache>
                <c:formatCode>General</c:formatCode>
                <c:ptCount val="8"/>
                <c:pt idx="0">
                  <c:v>0</c:v>
                </c:pt>
                <c:pt idx="1">
                  <c:v>3</c:v>
                </c:pt>
                <c:pt idx="2">
                  <c:v>6</c:v>
                </c:pt>
                <c:pt idx="3">
                  <c:v>9</c:v>
                </c:pt>
                <c:pt idx="4">
                  <c:v>12</c:v>
                </c:pt>
                <c:pt idx="5">
                  <c:v>15</c:v>
                </c:pt>
                <c:pt idx="6">
                  <c:v>18</c:v>
                </c:pt>
                <c:pt idx="7">
                  <c:v>21</c:v>
                </c:pt>
              </c:numCache>
            </c:numRef>
          </c:cat>
          <c:val>
            <c:numRef>
              <c:f>Sheet1!$C$27:$C$34</c:f>
              <c:numCache>
                <c:formatCode>General</c:formatCode>
                <c:ptCount val="8"/>
                <c:pt idx="0">
                  <c:v>0.3</c:v>
                </c:pt>
                <c:pt idx="1">
                  <c:v>16.7</c:v>
                </c:pt>
                <c:pt idx="2">
                  <c:v>147</c:v>
                </c:pt>
                <c:pt idx="3">
                  <c:v>160</c:v>
                </c:pt>
                <c:pt idx="4">
                  <c:v>173</c:v>
                </c:pt>
                <c:pt idx="5">
                  <c:v>183</c:v>
                </c:pt>
                <c:pt idx="6">
                  <c:v>220</c:v>
                </c:pt>
                <c:pt idx="7">
                  <c:v>223</c:v>
                </c:pt>
              </c:numCache>
            </c:numRef>
          </c:val>
          <c:smooth val="0"/>
          <c:extLst>
            <c:ext xmlns:c16="http://schemas.microsoft.com/office/drawing/2014/chart" uri="{C3380CC4-5D6E-409C-BE32-E72D297353CC}">
              <c16:uniqueId val="{00000001-1002-44D0-854C-A94FD9A1B082}"/>
            </c:ext>
          </c:extLst>
        </c:ser>
        <c:ser>
          <c:idx val="2"/>
          <c:order val="2"/>
          <c:tx>
            <c:strRef>
              <c:f>Sheet1!$D$26</c:f>
              <c:strCache>
                <c:ptCount val="1"/>
                <c:pt idx="0">
                  <c:v>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Sheet1!$A$27:$A$34</c:f>
              <c:numCache>
                <c:formatCode>General</c:formatCode>
                <c:ptCount val="8"/>
                <c:pt idx="0">
                  <c:v>0</c:v>
                </c:pt>
                <c:pt idx="1">
                  <c:v>3</c:v>
                </c:pt>
                <c:pt idx="2">
                  <c:v>6</c:v>
                </c:pt>
                <c:pt idx="3">
                  <c:v>9</c:v>
                </c:pt>
                <c:pt idx="4">
                  <c:v>12</c:v>
                </c:pt>
                <c:pt idx="5">
                  <c:v>15</c:v>
                </c:pt>
                <c:pt idx="6">
                  <c:v>18</c:v>
                </c:pt>
                <c:pt idx="7">
                  <c:v>21</c:v>
                </c:pt>
              </c:numCache>
            </c:numRef>
          </c:cat>
          <c:val>
            <c:numRef>
              <c:f>Sheet1!$D$27:$D$34</c:f>
              <c:numCache>
                <c:formatCode>General</c:formatCode>
                <c:ptCount val="8"/>
                <c:pt idx="0">
                  <c:v>0.5</c:v>
                </c:pt>
                <c:pt idx="1">
                  <c:v>17.7</c:v>
                </c:pt>
                <c:pt idx="2">
                  <c:v>147</c:v>
                </c:pt>
                <c:pt idx="3">
                  <c:v>160</c:v>
                </c:pt>
                <c:pt idx="4">
                  <c:v>177</c:v>
                </c:pt>
                <c:pt idx="5">
                  <c:v>193</c:v>
                </c:pt>
                <c:pt idx="6">
                  <c:v>223</c:v>
                </c:pt>
                <c:pt idx="7">
                  <c:v>247</c:v>
                </c:pt>
              </c:numCache>
            </c:numRef>
          </c:val>
          <c:smooth val="0"/>
          <c:extLst>
            <c:ext xmlns:c16="http://schemas.microsoft.com/office/drawing/2014/chart" uri="{C3380CC4-5D6E-409C-BE32-E72D297353CC}">
              <c16:uniqueId val="{00000002-1002-44D0-854C-A94FD9A1B082}"/>
            </c:ext>
          </c:extLst>
        </c:ser>
        <c:ser>
          <c:idx val="3"/>
          <c:order val="3"/>
          <c:tx>
            <c:strRef>
              <c:f>Sheet1!$E$26</c:f>
              <c:strCache>
                <c:ptCount val="1"/>
                <c:pt idx="0">
                  <c:v>Control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Sheet1!$A$27:$A$34</c:f>
              <c:numCache>
                <c:formatCode>General</c:formatCode>
                <c:ptCount val="8"/>
                <c:pt idx="0">
                  <c:v>0</c:v>
                </c:pt>
                <c:pt idx="1">
                  <c:v>3</c:v>
                </c:pt>
                <c:pt idx="2">
                  <c:v>6</c:v>
                </c:pt>
                <c:pt idx="3">
                  <c:v>9</c:v>
                </c:pt>
                <c:pt idx="4">
                  <c:v>12</c:v>
                </c:pt>
                <c:pt idx="5">
                  <c:v>15</c:v>
                </c:pt>
                <c:pt idx="6">
                  <c:v>18</c:v>
                </c:pt>
                <c:pt idx="7">
                  <c:v>21</c:v>
                </c:pt>
              </c:numCache>
            </c:numRef>
          </c:cat>
          <c:val>
            <c:numRef>
              <c:f>Sheet1!$E$27:$E$34</c:f>
              <c:numCache>
                <c:formatCode>General</c:formatCode>
                <c:ptCount val="8"/>
                <c:pt idx="0">
                  <c:v>0.2</c:v>
                </c:pt>
                <c:pt idx="1">
                  <c:v>15.7</c:v>
                </c:pt>
                <c:pt idx="2">
                  <c:v>173</c:v>
                </c:pt>
                <c:pt idx="3">
                  <c:v>187</c:v>
                </c:pt>
                <c:pt idx="4">
                  <c:v>193</c:v>
                </c:pt>
                <c:pt idx="5">
                  <c:v>223</c:v>
                </c:pt>
                <c:pt idx="6">
                  <c:v>250</c:v>
                </c:pt>
                <c:pt idx="7">
                  <c:v>267</c:v>
                </c:pt>
              </c:numCache>
            </c:numRef>
          </c:val>
          <c:smooth val="0"/>
          <c:extLst>
            <c:ext xmlns:c16="http://schemas.microsoft.com/office/drawing/2014/chart" uri="{C3380CC4-5D6E-409C-BE32-E72D297353CC}">
              <c16:uniqueId val="{00000003-1002-44D0-854C-A94FD9A1B082}"/>
            </c:ext>
          </c:extLst>
        </c:ser>
        <c:dLbls>
          <c:showLegendKey val="0"/>
          <c:showVal val="0"/>
          <c:showCatName val="0"/>
          <c:showSerName val="0"/>
          <c:showPercent val="0"/>
          <c:showBubbleSize val="0"/>
        </c:dLbls>
        <c:marker val="1"/>
        <c:smooth val="0"/>
        <c:axId val="364444360"/>
        <c:axId val="364448280"/>
      </c:lineChart>
      <c:catAx>
        <c:axId val="364444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8280"/>
        <c:crosses val="autoZero"/>
        <c:auto val="1"/>
        <c:lblAlgn val="ctr"/>
        <c:lblOffset val="100"/>
        <c:noMultiLvlLbl val="0"/>
      </c:catAx>
      <c:valAx>
        <c:axId val="364448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 Total Yeast Count (CFU/ml)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Sheet1!$B$42</c:f>
              <c:strCache>
                <c:ptCount val="1"/>
                <c:pt idx="0">
                  <c:v>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Sheet1!$A$43:$A$50</c:f>
              <c:numCache>
                <c:formatCode>General</c:formatCode>
                <c:ptCount val="8"/>
                <c:pt idx="0">
                  <c:v>0</c:v>
                </c:pt>
                <c:pt idx="1">
                  <c:v>3</c:v>
                </c:pt>
                <c:pt idx="2">
                  <c:v>6</c:v>
                </c:pt>
                <c:pt idx="3">
                  <c:v>9</c:v>
                </c:pt>
                <c:pt idx="4">
                  <c:v>12</c:v>
                </c:pt>
                <c:pt idx="5">
                  <c:v>15</c:v>
                </c:pt>
                <c:pt idx="6">
                  <c:v>18</c:v>
                </c:pt>
                <c:pt idx="7">
                  <c:v>21</c:v>
                </c:pt>
              </c:numCache>
            </c:numRef>
          </c:cat>
          <c:val>
            <c:numRef>
              <c:f>Sheet1!$B$43:$B$50</c:f>
              <c:numCache>
                <c:formatCode>General</c:formatCode>
                <c:ptCount val="8"/>
                <c:pt idx="0">
                  <c:v>0.2</c:v>
                </c:pt>
                <c:pt idx="1">
                  <c:v>16.3</c:v>
                </c:pt>
                <c:pt idx="2">
                  <c:v>150</c:v>
                </c:pt>
                <c:pt idx="3">
                  <c:v>167</c:v>
                </c:pt>
                <c:pt idx="4">
                  <c:v>173</c:v>
                </c:pt>
                <c:pt idx="5">
                  <c:v>197</c:v>
                </c:pt>
                <c:pt idx="6">
                  <c:v>203</c:v>
                </c:pt>
                <c:pt idx="7">
                  <c:v>230</c:v>
                </c:pt>
              </c:numCache>
            </c:numRef>
          </c:val>
          <c:smooth val="0"/>
          <c:extLst>
            <c:ext xmlns:c16="http://schemas.microsoft.com/office/drawing/2014/chart" uri="{C3380CC4-5D6E-409C-BE32-E72D297353CC}">
              <c16:uniqueId val="{00000000-D7D1-466B-A6FC-D2CDA9366FE1}"/>
            </c:ext>
          </c:extLst>
        </c:ser>
        <c:ser>
          <c:idx val="1"/>
          <c:order val="1"/>
          <c:tx>
            <c:strRef>
              <c:f>Sheet1!$C$42</c:f>
              <c:strCache>
                <c:ptCount val="1"/>
                <c:pt idx="0">
                  <c:v>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Sheet1!$A$43:$A$50</c:f>
              <c:numCache>
                <c:formatCode>General</c:formatCode>
                <c:ptCount val="8"/>
                <c:pt idx="0">
                  <c:v>0</c:v>
                </c:pt>
                <c:pt idx="1">
                  <c:v>3</c:v>
                </c:pt>
                <c:pt idx="2">
                  <c:v>6</c:v>
                </c:pt>
                <c:pt idx="3">
                  <c:v>9</c:v>
                </c:pt>
                <c:pt idx="4">
                  <c:v>12</c:v>
                </c:pt>
                <c:pt idx="5">
                  <c:v>15</c:v>
                </c:pt>
                <c:pt idx="6">
                  <c:v>18</c:v>
                </c:pt>
                <c:pt idx="7">
                  <c:v>21</c:v>
                </c:pt>
              </c:numCache>
            </c:numRef>
          </c:cat>
          <c:val>
            <c:numRef>
              <c:f>Sheet1!$C$43:$C$50</c:f>
              <c:numCache>
                <c:formatCode>General</c:formatCode>
                <c:ptCount val="8"/>
                <c:pt idx="0">
                  <c:v>0.2</c:v>
                </c:pt>
                <c:pt idx="1">
                  <c:v>12.4</c:v>
                </c:pt>
                <c:pt idx="2">
                  <c:v>150</c:v>
                </c:pt>
                <c:pt idx="3">
                  <c:v>160</c:v>
                </c:pt>
                <c:pt idx="4">
                  <c:v>173</c:v>
                </c:pt>
                <c:pt idx="5">
                  <c:v>193</c:v>
                </c:pt>
                <c:pt idx="6">
                  <c:v>210</c:v>
                </c:pt>
                <c:pt idx="7">
                  <c:v>237</c:v>
                </c:pt>
              </c:numCache>
            </c:numRef>
          </c:val>
          <c:smooth val="0"/>
          <c:extLst>
            <c:ext xmlns:c16="http://schemas.microsoft.com/office/drawing/2014/chart" uri="{C3380CC4-5D6E-409C-BE32-E72D297353CC}">
              <c16:uniqueId val="{00000001-D7D1-466B-A6FC-D2CDA9366FE1}"/>
            </c:ext>
          </c:extLst>
        </c:ser>
        <c:ser>
          <c:idx val="2"/>
          <c:order val="2"/>
          <c:tx>
            <c:strRef>
              <c:f>Sheet1!$D$42</c:f>
              <c:strCache>
                <c:ptCount val="1"/>
                <c:pt idx="0">
                  <c:v>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Sheet1!$A$43:$A$50</c:f>
              <c:numCache>
                <c:formatCode>General</c:formatCode>
                <c:ptCount val="8"/>
                <c:pt idx="0">
                  <c:v>0</c:v>
                </c:pt>
                <c:pt idx="1">
                  <c:v>3</c:v>
                </c:pt>
                <c:pt idx="2">
                  <c:v>6</c:v>
                </c:pt>
                <c:pt idx="3">
                  <c:v>9</c:v>
                </c:pt>
                <c:pt idx="4">
                  <c:v>12</c:v>
                </c:pt>
                <c:pt idx="5">
                  <c:v>15</c:v>
                </c:pt>
                <c:pt idx="6">
                  <c:v>18</c:v>
                </c:pt>
                <c:pt idx="7">
                  <c:v>21</c:v>
                </c:pt>
              </c:numCache>
            </c:numRef>
          </c:cat>
          <c:val>
            <c:numRef>
              <c:f>Sheet1!$D$43:$D$50</c:f>
              <c:numCache>
                <c:formatCode>General</c:formatCode>
                <c:ptCount val="8"/>
                <c:pt idx="0">
                  <c:v>0.3</c:v>
                </c:pt>
                <c:pt idx="1">
                  <c:v>12.3</c:v>
                </c:pt>
                <c:pt idx="2">
                  <c:v>150</c:v>
                </c:pt>
                <c:pt idx="3">
                  <c:v>157</c:v>
                </c:pt>
                <c:pt idx="4">
                  <c:v>183</c:v>
                </c:pt>
                <c:pt idx="5">
                  <c:v>200</c:v>
                </c:pt>
                <c:pt idx="6">
                  <c:v>210</c:v>
                </c:pt>
                <c:pt idx="7">
                  <c:v>240</c:v>
                </c:pt>
              </c:numCache>
            </c:numRef>
          </c:val>
          <c:smooth val="0"/>
          <c:extLst>
            <c:ext xmlns:c16="http://schemas.microsoft.com/office/drawing/2014/chart" uri="{C3380CC4-5D6E-409C-BE32-E72D297353CC}">
              <c16:uniqueId val="{00000002-D7D1-466B-A6FC-D2CDA9366FE1}"/>
            </c:ext>
          </c:extLst>
        </c:ser>
        <c:ser>
          <c:idx val="3"/>
          <c:order val="3"/>
          <c:tx>
            <c:strRef>
              <c:f>Sheet1!$E$42</c:f>
              <c:strCache>
                <c:ptCount val="1"/>
                <c:pt idx="0">
                  <c:v>Control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Sheet1!$A$43:$A$50</c:f>
              <c:numCache>
                <c:formatCode>General</c:formatCode>
                <c:ptCount val="8"/>
                <c:pt idx="0">
                  <c:v>0</c:v>
                </c:pt>
                <c:pt idx="1">
                  <c:v>3</c:v>
                </c:pt>
                <c:pt idx="2">
                  <c:v>6</c:v>
                </c:pt>
                <c:pt idx="3">
                  <c:v>9</c:v>
                </c:pt>
                <c:pt idx="4">
                  <c:v>12</c:v>
                </c:pt>
                <c:pt idx="5">
                  <c:v>15</c:v>
                </c:pt>
                <c:pt idx="6">
                  <c:v>18</c:v>
                </c:pt>
                <c:pt idx="7">
                  <c:v>21</c:v>
                </c:pt>
              </c:numCache>
            </c:numRef>
          </c:cat>
          <c:val>
            <c:numRef>
              <c:f>Sheet1!$E$43:$E$50</c:f>
              <c:numCache>
                <c:formatCode>General</c:formatCode>
                <c:ptCount val="8"/>
                <c:pt idx="0">
                  <c:v>0.3</c:v>
                </c:pt>
                <c:pt idx="1">
                  <c:v>18.3</c:v>
                </c:pt>
                <c:pt idx="2">
                  <c:v>170</c:v>
                </c:pt>
                <c:pt idx="3">
                  <c:v>183</c:v>
                </c:pt>
                <c:pt idx="4">
                  <c:v>197</c:v>
                </c:pt>
                <c:pt idx="5">
                  <c:v>223</c:v>
                </c:pt>
                <c:pt idx="6">
                  <c:v>233</c:v>
                </c:pt>
                <c:pt idx="7">
                  <c:v>253</c:v>
                </c:pt>
              </c:numCache>
            </c:numRef>
          </c:val>
          <c:smooth val="0"/>
          <c:extLst>
            <c:ext xmlns:c16="http://schemas.microsoft.com/office/drawing/2014/chart" uri="{C3380CC4-5D6E-409C-BE32-E72D297353CC}">
              <c16:uniqueId val="{00000003-D7D1-466B-A6FC-D2CDA9366FE1}"/>
            </c:ext>
          </c:extLst>
        </c:ser>
        <c:dLbls>
          <c:showLegendKey val="0"/>
          <c:showVal val="0"/>
          <c:showCatName val="0"/>
          <c:showSerName val="0"/>
          <c:showPercent val="0"/>
          <c:showBubbleSize val="0"/>
        </c:dLbls>
        <c:marker val="1"/>
        <c:smooth val="0"/>
        <c:axId val="364445144"/>
        <c:axId val="364446712"/>
      </c:lineChart>
      <c:catAx>
        <c:axId val="364445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6712"/>
        <c:crosses val="autoZero"/>
        <c:auto val="1"/>
        <c:lblAlgn val="ctr"/>
        <c:lblOffset val="100"/>
        <c:noMultiLvlLbl val="0"/>
      </c:catAx>
      <c:valAx>
        <c:axId val="364446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Total Coliform Count (CFU)</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45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Sheet1!$B$64</c:f>
              <c:strCache>
                <c:ptCount val="1"/>
                <c:pt idx="0">
                  <c:v>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Sheet1!$A$65:$A$72</c:f>
              <c:numCache>
                <c:formatCode>General</c:formatCode>
                <c:ptCount val="8"/>
                <c:pt idx="0">
                  <c:v>0</c:v>
                </c:pt>
                <c:pt idx="1">
                  <c:v>3</c:v>
                </c:pt>
                <c:pt idx="2">
                  <c:v>6</c:v>
                </c:pt>
                <c:pt idx="3">
                  <c:v>9</c:v>
                </c:pt>
                <c:pt idx="4">
                  <c:v>12</c:v>
                </c:pt>
                <c:pt idx="5">
                  <c:v>15</c:v>
                </c:pt>
                <c:pt idx="6">
                  <c:v>18</c:v>
                </c:pt>
                <c:pt idx="7">
                  <c:v>21</c:v>
                </c:pt>
              </c:numCache>
            </c:numRef>
          </c:cat>
          <c:val>
            <c:numRef>
              <c:f>Sheet1!$B$65:$B$72</c:f>
              <c:numCache>
                <c:formatCode>General</c:formatCode>
                <c:ptCount val="8"/>
                <c:pt idx="0">
                  <c:v>0.55000000000000004</c:v>
                </c:pt>
                <c:pt idx="1">
                  <c:v>12.6</c:v>
                </c:pt>
                <c:pt idx="2">
                  <c:v>180</c:v>
                </c:pt>
                <c:pt idx="3">
                  <c:v>183</c:v>
                </c:pt>
                <c:pt idx="4">
                  <c:v>200</c:v>
                </c:pt>
                <c:pt idx="5">
                  <c:v>210</c:v>
                </c:pt>
                <c:pt idx="6">
                  <c:v>200</c:v>
                </c:pt>
                <c:pt idx="7">
                  <c:v>213</c:v>
                </c:pt>
              </c:numCache>
            </c:numRef>
          </c:val>
          <c:smooth val="0"/>
          <c:extLst>
            <c:ext xmlns:c16="http://schemas.microsoft.com/office/drawing/2014/chart" uri="{C3380CC4-5D6E-409C-BE32-E72D297353CC}">
              <c16:uniqueId val="{00000000-D819-4EEE-8BA9-D0A7C3E29DDA}"/>
            </c:ext>
          </c:extLst>
        </c:ser>
        <c:ser>
          <c:idx val="1"/>
          <c:order val="1"/>
          <c:tx>
            <c:strRef>
              <c:f>Sheet1!$C$64</c:f>
              <c:strCache>
                <c:ptCount val="1"/>
                <c:pt idx="0">
                  <c:v>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Sheet1!$A$65:$A$72</c:f>
              <c:numCache>
                <c:formatCode>General</c:formatCode>
                <c:ptCount val="8"/>
                <c:pt idx="0">
                  <c:v>0</c:v>
                </c:pt>
                <c:pt idx="1">
                  <c:v>3</c:v>
                </c:pt>
                <c:pt idx="2">
                  <c:v>6</c:v>
                </c:pt>
                <c:pt idx="3">
                  <c:v>9</c:v>
                </c:pt>
                <c:pt idx="4">
                  <c:v>12</c:v>
                </c:pt>
                <c:pt idx="5">
                  <c:v>15</c:v>
                </c:pt>
                <c:pt idx="6">
                  <c:v>18</c:v>
                </c:pt>
                <c:pt idx="7">
                  <c:v>21</c:v>
                </c:pt>
              </c:numCache>
            </c:numRef>
          </c:cat>
          <c:val>
            <c:numRef>
              <c:f>Sheet1!$C$65:$C$72</c:f>
              <c:numCache>
                <c:formatCode>General</c:formatCode>
                <c:ptCount val="8"/>
                <c:pt idx="0">
                  <c:v>0.16</c:v>
                </c:pt>
                <c:pt idx="1">
                  <c:v>13.8</c:v>
                </c:pt>
                <c:pt idx="2">
                  <c:v>160</c:v>
                </c:pt>
                <c:pt idx="3">
                  <c:v>173</c:v>
                </c:pt>
                <c:pt idx="4">
                  <c:v>180</c:v>
                </c:pt>
                <c:pt idx="5">
                  <c:v>200</c:v>
                </c:pt>
                <c:pt idx="6">
                  <c:v>210</c:v>
                </c:pt>
                <c:pt idx="7">
                  <c:v>223</c:v>
                </c:pt>
              </c:numCache>
            </c:numRef>
          </c:val>
          <c:smooth val="0"/>
          <c:extLst>
            <c:ext xmlns:c16="http://schemas.microsoft.com/office/drawing/2014/chart" uri="{C3380CC4-5D6E-409C-BE32-E72D297353CC}">
              <c16:uniqueId val="{00000001-D819-4EEE-8BA9-D0A7C3E29DDA}"/>
            </c:ext>
          </c:extLst>
        </c:ser>
        <c:ser>
          <c:idx val="2"/>
          <c:order val="2"/>
          <c:tx>
            <c:strRef>
              <c:f>Sheet1!$D$64</c:f>
              <c:strCache>
                <c:ptCount val="1"/>
                <c:pt idx="0">
                  <c:v>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Sheet1!$A$65:$A$72</c:f>
              <c:numCache>
                <c:formatCode>General</c:formatCode>
                <c:ptCount val="8"/>
                <c:pt idx="0">
                  <c:v>0</c:v>
                </c:pt>
                <c:pt idx="1">
                  <c:v>3</c:v>
                </c:pt>
                <c:pt idx="2">
                  <c:v>6</c:v>
                </c:pt>
                <c:pt idx="3">
                  <c:v>9</c:v>
                </c:pt>
                <c:pt idx="4">
                  <c:v>12</c:v>
                </c:pt>
                <c:pt idx="5">
                  <c:v>15</c:v>
                </c:pt>
                <c:pt idx="6">
                  <c:v>18</c:v>
                </c:pt>
                <c:pt idx="7">
                  <c:v>21</c:v>
                </c:pt>
              </c:numCache>
            </c:numRef>
          </c:cat>
          <c:val>
            <c:numRef>
              <c:f>Sheet1!$D$65:$D$72</c:f>
              <c:numCache>
                <c:formatCode>General</c:formatCode>
                <c:ptCount val="8"/>
                <c:pt idx="0">
                  <c:v>0.36</c:v>
                </c:pt>
                <c:pt idx="1">
                  <c:v>11.4</c:v>
                </c:pt>
                <c:pt idx="2">
                  <c:v>157</c:v>
                </c:pt>
                <c:pt idx="3">
                  <c:v>170</c:v>
                </c:pt>
                <c:pt idx="4">
                  <c:v>183</c:v>
                </c:pt>
                <c:pt idx="5">
                  <c:v>190</c:v>
                </c:pt>
                <c:pt idx="6">
                  <c:v>213</c:v>
                </c:pt>
                <c:pt idx="7">
                  <c:v>230</c:v>
                </c:pt>
              </c:numCache>
            </c:numRef>
          </c:val>
          <c:smooth val="0"/>
          <c:extLst>
            <c:ext xmlns:c16="http://schemas.microsoft.com/office/drawing/2014/chart" uri="{C3380CC4-5D6E-409C-BE32-E72D297353CC}">
              <c16:uniqueId val="{00000002-D819-4EEE-8BA9-D0A7C3E29DDA}"/>
            </c:ext>
          </c:extLst>
        </c:ser>
        <c:ser>
          <c:idx val="3"/>
          <c:order val="3"/>
          <c:tx>
            <c:strRef>
              <c:f>Sheet1!$E$64</c:f>
              <c:strCache>
                <c:ptCount val="1"/>
                <c:pt idx="0">
                  <c:v>Control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Sheet1!$A$65:$A$72</c:f>
              <c:numCache>
                <c:formatCode>General</c:formatCode>
                <c:ptCount val="8"/>
                <c:pt idx="0">
                  <c:v>0</c:v>
                </c:pt>
                <c:pt idx="1">
                  <c:v>3</c:v>
                </c:pt>
                <c:pt idx="2">
                  <c:v>6</c:v>
                </c:pt>
                <c:pt idx="3">
                  <c:v>9</c:v>
                </c:pt>
                <c:pt idx="4">
                  <c:v>12</c:v>
                </c:pt>
                <c:pt idx="5">
                  <c:v>15</c:v>
                </c:pt>
                <c:pt idx="6">
                  <c:v>18</c:v>
                </c:pt>
                <c:pt idx="7">
                  <c:v>21</c:v>
                </c:pt>
              </c:numCache>
            </c:numRef>
          </c:cat>
          <c:val>
            <c:numRef>
              <c:f>Sheet1!$E$65:$E$72</c:f>
              <c:numCache>
                <c:formatCode>General</c:formatCode>
                <c:ptCount val="8"/>
                <c:pt idx="0">
                  <c:v>0.25</c:v>
                </c:pt>
                <c:pt idx="1">
                  <c:v>17.5</c:v>
                </c:pt>
                <c:pt idx="2">
                  <c:v>147</c:v>
                </c:pt>
                <c:pt idx="3">
                  <c:v>157</c:v>
                </c:pt>
                <c:pt idx="4">
                  <c:v>160</c:v>
                </c:pt>
                <c:pt idx="5">
                  <c:v>183</c:v>
                </c:pt>
                <c:pt idx="6">
                  <c:v>233</c:v>
                </c:pt>
                <c:pt idx="7">
                  <c:v>257</c:v>
                </c:pt>
              </c:numCache>
            </c:numRef>
          </c:val>
          <c:smooth val="0"/>
          <c:extLst>
            <c:ext xmlns:c16="http://schemas.microsoft.com/office/drawing/2014/chart" uri="{C3380CC4-5D6E-409C-BE32-E72D297353CC}">
              <c16:uniqueId val="{00000003-D819-4EEE-8BA9-D0A7C3E29DDA}"/>
            </c:ext>
          </c:extLst>
        </c:ser>
        <c:dLbls>
          <c:showLegendKey val="0"/>
          <c:showVal val="0"/>
          <c:showCatName val="0"/>
          <c:showSerName val="0"/>
          <c:showPercent val="0"/>
          <c:showBubbleSize val="0"/>
        </c:dLbls>
        <c:marker val="1"/>
        <c:smooth val="0"/>
        <c:axId val="364452592"/>
        <c:axId val="364451808"/>
      </c:lineChart>
      <c:catAx>
        <c:axId val="364452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1808"/>
        <c:crosses val="autoZero"/>
        <c:auto val="1"/>
        <c:lblAlgn val="ctr"/>
        <c:lblOffset val="100"/>
        <c:noMultiLvlLbl val="0"/>
      </c:catAx>
      <c:valAx>
        <c:axId val="364451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Bacteria Count, CFU/ml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a:t>
            </a:r>
            <a:r>
              <a:rPr lang="en-US" baseline="0"/>
              <a:t> 1</a:t>
            </a:r>
            <a:endParaRPr lang="en-US"/>
          </a:p>
        </c:rich>
      </c:tx>
      <c:layout>
        <c:manualLayout>
          <c:xMode val="edge"/>
          <c:yMode val="edge"/>
          <c:x val="0.41504855643044625"/>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Sheet1!$A$64</c:f>
              <c:strCache>
                <c:ptCount val="1"/>
                <c:pt idx="0">
                  <c:v>B</c:v>
                </c:pt>
              </c:strCache>
            </c:strRef>
          </c:tx>
          <c:spPr>
            <a:solidFill>
              <a:schemeClr val="accent1"/>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Sheet1!$B$64:$G$64</c:f>
              <c:numCache>
                <c:formatCode>General</c:formatCode>
                <c:ptCount val="6"/>
                <c:pt idx="0">
                  <c:v>31.46</c:v>
                </c:pt>
                <c:pt idx="1">
                  <c:v>34.19</c:v>
                </c:pt>
                <c:pt idx="2">
                  <c:v>37.409999999999997</c:v>
                </c:pt>
                <c:pt idx="3">
                  <c:v>45.01</c:v>
                </c:pt>
                <c:pt idx="4">
                  <c:v>48.1</c:v>
                </c:pt>
                <c:pt idx="5">
                  <c:v>58.95</c:v>
                </c:pt>
              </c:numCache>
            </c:numRef>
          </c:val>
          <c:extLst>
            <c:ext xmlns:c16="http://schemas.microsoft.com/office/drawing/2014/chart" uri="{C3380CC4-5D6E-409C-BE32-E72D297353CC}">
              <c16:uniqueId val="{00000000-4E7D-4CEA-88CB-6138075BB68E}"/>
            </c:ext>
          </c:extLst>
        </c:ser>
        <c:ser>
          <c:idx val="1"/>
          <c:order val="1"/>
          <c:tx>
            <c:strRef>
              <c:f>Sheet1!$A$65</c:f>
              <c:strCache>
                <c:ptCount val="1"/>
                <c:pt idx="0">
                  <c:v>C</c:v>
                </c:pt>
              </c:strCache>
            </c:strRef>
          </c:tx>
          <c:spPr>
            <a:solidFill>
              <a:schemeClr val="accent2"/>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Sheet1!$B$65:$G$65</c:f>
              <c:numCache>
                <c:formatCode>General</c:formatCode>
                <c:ptCount val="6"/>
                <c:pt idx="0">
                  <c:v>32.58</c:v>
                </c:pt>
                <c:pt idx="1">
                  <c:v>37.61</c:v>
                </c:pt>
                <c:pt idx="2">
                  <c:v>39.119999999999997</c:v>
                </c:pt>
                <c:pt idx="3">
                  <c:v>46.83</c:v>
                </c:pt>
                <c:pt idx="4">
                  <c:v>48.92</c:v>
                </c:pt>
                <c:pt idx="5">
                  <c:v>58.33</c:v>
                </c:pt>
              </c:numCache>
            </c:numRef>
          </c:val>
          <c:extLst>
            <c:ext xmlns:c16="http://schemas.microsoft.com/office/drawing/2014/chart" uri="{C3380CC4-5D6E-409C-BE32-E72D297353CC}">
              <c16:uniqueId val="{00000001-4E7D-4CEA-88CB-6138075BB68E}"/>
            </c:ext>
          </c:extLst>
        </c:ser>
        <c:ser>
          <c:idx val="2"/>
          <c:order val="2"/>
          <c:tx>
            <c:strRef>
              <c:f>Sheet1!$A$66</c:f>
              <c:strCache>
                <c:ptCount val="1"/>
                <c:pt idx="0">
                  <c:v>D</c:v>
                </c:pt>
              </c:strCache>
            </c:strRef>
          </c:tx>
          <c:spPr>
            <a:solidFill>
              <a:schemeClr val="accent3"/>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Sheet1!$B$66:$G$66</c:f>
              <c:numCache>
                <c:formatCode>General</c:formatCode>
                <c:ptCount val="6"/>
                <c:pt idx="0">
                  <c:v>34.83</c:v>
                </c:pt>
                <c:pt idx="1">
                  <c:v>39.74</c:v>
                </c:pt>
                <c:pt idx="2">
                  <c:v>42.18</c:v>
                </c:pt>
                <c:pt idx="3">
                  <c:v>48.64</c:v>
                </c:pt>
                <c:pt idx="4">
                  <c:v>50.27</c:v>
                </c:pt>
                <c:pt idx="5">
                  <c:v>61.25</c:v>
                </c:pt>
              </c:numCache>
            </c:numRef>
          </c:val>
          <c:extLst>
            <c:ext xmlns:c16="http://schemas.microsoft.com/office/drawing/2014/chart" uri="{C3380CC4-5D6E-409C-BE32-E72D297353CC}">
              <c16:uniqueId val="{00000002-4E7D-4CEA-88CB-6138075BB68E}"/>
            </c:ext>
          </c:extLst>
        </c:ser>
        <c:ser>
          <c:idx val="3"/>
          <c:order val="3"/>
          <c:tx>
            <c:strRef>
              <c:f>Sheet1!$A$67</c:f>
              <c:strCache>
                <c:ptCount val="1"/>
                <c:pt idx="0">
                  <c:v>Control</c:v>
                </c:pt>
              </c:strCache>
            </c:strRef>
          </c:tx>
          <c:spPr>
            <a:solidFill>
              <a:schemeClr val="accent4"/>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Sheet1!$B$67:$G$67</c:f>
              <c:numCache>
                <c:formatCode>General</c:formatCode>
                <c:ptCount val="6"/>
                <c:pt idx="0">
                  <c:v>19.66</c:v>
                </c:pt>
                <c:pt idx="1">
                  <c:v>26.49</c:v>
                </c:pt>
                <c:pt idx="2">
                  <c:v>29.93</c:v>
                </c:pt>
                <c:pt idx="3">
                  <c:v>37.159999999999997</c:v>
                </c:pt>
                <c:pt idx="4">
                  <c:v>39.19</c:v>
                </c:pt>
                <c:pt idx="5">
                  <c:v>50.83</c:v>
                </c:pt>
              </c:numCache>
            </c:numRef>
          </c:val>
          <c:extLst>
            <c:ext xmlns:c16="http://schemas.microsoft.com/office/drawing/2014/chart" uri="{C3380CC4-5D6E-409C-BE32-E72D297353CC}">
              <c16:uniqueId val="{00000003-4E7D-4CEA-88CB-6138075BB68E}"/>
            </c:ext>
          </c:extLst>
        </c:ser>
        <c:ser>
          <c:idx val="4"/>
          <c:order val="4"/>
          <c:tx>
            <c:strRef>
              <c:f>Sheet1!$A$68</c:f>
              <c:strCache>
                <c:ptCount val="1"/>
                <c:pt idx="0">
                  <c:v>PositiveControl</c:v>
                </c:pt>
              </c:strCache>
            </c:strRef>
          </c:tx>
          <c:spPr>
            <a:solidFill>
              <a:schemeClr val="accent5"/>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Sheet1!$B$68:$G$68</c:f>
              <c:numCache>
                <c:formatCode>General</c:formatCode>
                <c:ptCount val="6"/>
                <c:pt idx="0">
                  <c:v>0.18</c:v>
                </c:pt>
                <c:pt idx="1">
                  <c:v>0.23</c:v>
                </c:pt>
                <c:pt idx="2">
                  <c:v>0.28999999999999998</c:v>
                </c:pt>
                <c:pt idx="3">
                  <c:v>0.33</c:v>
                </c:pt>
                <c:pt idx="4">
                  <c:v>0.37</c:v>
                </c:pt>
                <c:pt idx="5">
                  <c:v>0.48</c:v>
                </c:pt>
              </c:numCache>
            </c:numRef>
          </c:val>
          <c:extLst>
            <c:ext xmlns:c16="http://schemas.microsoft.com/office/drawing/2014/chart" uri="{C3380CC4-5D6E-409C-BE32-E72D297353CC}">
              <c16:uniqueId val="{00000004-4E7D-4CEA-88CB-6138075BB68E}"/>
            </c:ext>
          </c:extLst>
        </c:ser>
        <c:ser>
          <c:idx val="5"/>
          <c:order val="5"/>
          <c:tx>
            <c:strRef>
              <c:f>Sheet1!$A$69</c:f>
              <c:strCache>
                <c:ptCount val="1"/>
                <c:pt idx="0">
                  <c:v>NegativeControl</c:v>
                </c:pt>
              </c:strCache>
            </c:strRef>
          </c:tx>
          <c:spPr>
            <a:solidFill>
              <a:schemeClr val="accent6"/>
            </a:solidFill>
            <a:ln>
              <a:noFill/>
            </a:ln>
            <a:effectLst/>
          </c:spPr>
          <c:invertIfNegative val="0"/>
          <c:cat>
            <c:numRef>
              <c:f>Sheet1!$B$63:$G$63</c:f>
              <c:numCache>
                <c:formatCode>General</c:formatCode>
                <c:ptCount val="6"/>
                <c:pt idx="0">
                  <c:v>5</c:v>
                </c:pt>
                <c:pt idx="1">
                  <c:v>10</c:v>
                </c:pt>
                <c:pt idx="2">
                  <c:v>20</c:v>
                </c:pt>
                <c:pt idx="3">
                  <c:v>40</c:v>
                </c:pt>
                <c:pt idx="4">
                  <c:v>50</c:v>
                </c:pt>
                <c:pt idx="5">
                  <c:v>100</c:v>
                </c:pt>
              </c:numCache>
            </c:numRef>
          </c:cat>
          <c:val>
            <c:numRef>
              <c:f>Sheet1!$B$69:$G$69</c:f>
              <c:numCache>
                <c:formatCode>General</c:formatCode>
                <c:ptCount val="6"/>
                <c:pt idx="0">
                  <c:v>0.5</c:v>
                </c:pt>
                <c:pt idx="1">
                  <c:v>0.46</c:v>
                </c:pt>
                <c:pt idx="2">
                  <c:v>0.42</c:v>
                </c:pt>
                <c:pt idx="3">
                  <c:v>0.41</c:v>
                </c:pt>
                <c:pt idx="4">
                  <c:v>0.39</c:v>
                </c:pt>
                <c:pt idx="5">
                  <c:v>0.37</c:v>
                </c:pt>
              </c:numCache>
            </c:numRef>
          </c:val>
          <c:extLst>
            <c:ext xmlns:c16="http://schemas.microsoft.com/office/drawing/2014/chart" uri="{C3380CC4-5D6E-409C-BE32-E72D297353CC}">
              <c16:uniqueId val="{00000005-4E7D-4CEA-88CB-6138075BB68E}"/>
            </c:ext>
          </c:extLst>
        </c:ser>
        <c:dLbls>
          <c:showLegendKey val="0"/>
          <c:showVal val="0"/>
          <c:showCatName val="0"/>
          <c:showSerName val="0"/>
          <c:showPercent val="0"/>
          <c:showBubbleSize val="0"/>
        </c:dLbls>
        <c:gapWidth val="219"/>
        <c:overlap val="-27"/>
        <c:axId val="364454160"/>
        <c:axId val="364452984"/>
      </c:barChart>
      <c:catAx>
        <c:axId val="364454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2984"/>
        <c:crosses val="autoZero"/>
        <c:auto val="1"/>
        <c:lblAlgn val="ctr"/>
        <c:lblOffset val="100"/>
        <c:noMultiLvlLbl val="0"/>
      </c:catAx>
      <c:valAx>
        <c:axId val="364452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  </a:t>
                </a:r>
                <a:r>
                  <a:rPr lang="en-US" sz="1000" b="0" i="0" u="none" strike="noStrike" baseline="0">
                    <a:effectLst/>
                  </a:rPr>
                  <a:t>scavenging   activity</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a:t>
            </a:r>
            <a:r>
              <a:rPr lang="en-US" baseline="0"/>
              <a:t> 15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Sheet1!$A$85</c:f>
              <c:strCache>
                <c:ptCount val="1"/>
                <c:pt idx="0">
                  <c:v>B</c:v>
                </c:pt>
              </c:strCache>
            </c:strRef>
          </c:tx>
          <c:spPr>
            <a:solidFill>
              <a:schemeClr val="accent1"/>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Sheet1!$B$85:$G$85</c:f>
              <c:numCache>
                <c:formatCode>General</c:formatCode>
                <c:ptCount val="6"/>
                <c:pt idx="0">
                  <c:v>23.59</c:v>
                </c:pt>
                <c:pt idx="1">
                  <c:v>32.909999999999997</c:v>
                </c:pt>
                <c:pt idx="2">
                  <c:v>34.35</c:v>
                </c:pt>
                <c:pt idx="3">
                  <c:v>38.909999999999997</c:v>
                </c:pt>
                <c:pt idx="4">
                  <c:v>45.67</c:v>
                </c:pt>
                <c:pt idx="5">
                  <c:v>56.67</c:v>
                </c:pt>
              </c:numCache>
            </c:numRef>
          </c:val>
          <c:extLst>
            <c:ext xmlns:c16="http://schemas.microsoft.com/office/drawing/2014/chart" uri="{C3380CC4-5D6E-409C-BE32-E72D297353CC}">
              <c16:uniqueId val="{00000000-FECD-40DC-BD04-ADD6BB0646D7}"/>
            </c:ext>
          </c:extLst>
        </c:ser>
        <c:ser>
          <c:idx val="1"/>
          <c:order val="1"/>
          <c:tx>
            <c:strRef>
              <c:f>Sheet1!$A$86</c:f>
              <c:strCache>
                <c:ptCount val="1"/>
                <c:pt idx="0">
                  <c:v>C</c:v>
                </c:pt>
              </c:strCache>
            </c:strRef>
          </c:tx>
          <c:spPr>
            <a:solidFill>
              <a:schemeClr val="accent2"/>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Sheet1!$B$86:$G$86</c:f>
              <c:numCache>
                <c:formatCode>General</c:formatCode>
                <c:ptCount val="6"/>
                <c:pt idx="0">
                  <c:v>30.89</c:v>
                </c:pt>
                <c:pt idx="1">
                  <c:v>33.76</c:v>
                </c:pt>
                <c:pt idx="2">
                  <c:v>34.01</c:v>
                </c:pt>
                <c:pt idx="3">
                  <c:v>40.18</c:v>
                </c:pt>
                <c:pt idx="4">
                  <c:v>43.24</c:v>
                </c:pt>
                <c:pt idx="5">
                  <c:v>56.67</c:v>
                </c:pt>
              </c:numCache>
            </c:numRef>
          </c:val>
          <c:extLst>
            <c:ext xmlns:c16="http://schemas.microsoft.com/office/drawing/2014/chart" uri="{C3380CC4-5D6E-409C-BE32-E72D297353CC}">
              <c16:uniqueId val="{00000001-FECD-40DC-BD04-ADD6BB0646D7}"/>
            </c:ext>
          </c:extLst>
        </c:ser>
        <c:ser>
          <c:idx val="2"/>
          <c:order val="2"/>
          <c:tx>
            <c:strRef>
              <c:f>Sheet1!$A$87</c:f>
              <c:strCache>
                <c:ptCount val="1"/>
                <c:pt idx="0">
                  <c:v>D</c:v>
                </c:pt>
              </c:strCache>
            </c:strRef>
          </c:tx>
          <c:spPr>
            <a:solidFill>
              <a:schemeClr val="accent3"/>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Sheet1!$B$87:$G$87</c:f>
              <c:numCache>
                <c:formatCode>General</c:formatCode>
                <c:ptCount val="6"/>
                <c:pt idx="0">
                  <c:v>32.020000000000003</c:v>
                </c:pt>
                <c:pt idx="1">
                  <c:v>35.71</c:v>
                </c:pt>
                <c:pt idx="2">
                  <c:v>35.71</c:v>
                </c:pt>
                <c:pt idx="3">
                  <c:v>41.69</c:v>
                </c:pt>
                <c:pt idx="4">
                  <c:v>43.24</c:v>
                </c:pt>
                <c:pt idx="5">
                  <c:v>54.58</c:v>
                </c:pt>
              </c:numCache>
            </c:numRef>
          </c:val>
          <c:extLst>
            <c:ext xmlns:c16="http://schemas.microsoft.com/office/drawing/2014/chart" uri="{C3380CC4-5D6E-409C-BE32-E72D297353CC}">
              <c16:uniqueId val="{00000002-FECD-40DC-BD04-ADD6BB0646D7}"/>
            </c:ext>
          </c:extLst>
        </c:ser>
        <c:ser>
          <c:idx val="3"/>
          <c:order val="3"/>
          <c:tx>
            <c:strRef>
              <c:f>Sheet1!$A$88</c:f>
              <c:strCache>
                <c:ptCount val="1"/>
                <c:pt idx="0">
                  <c:v>Control</c:v>
                </c:pt>
              </c:strCache>
            </c:strRef>
          </c:tx>
          <c:spPr>
            <a:solidFill>
              <a:schemeClr val="accent4"/>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Sheet1!$B$88:$G$88</c:f>
              <c:numCache>
                <c:formatCode>General</c:formatCode>
                <c:ptCount val="6"/>
                <c:pt idx="0">
                  <c:v>8.99</c:v>
                </c:pt>
                <c:pt idx="1">
                  <c:v>16.670000000000002</c:v>
                </c:pt>
                <c:pt idx="2">
                  <c:v>20.399999999999999</c:v>
                </c:pt>
                <c:pt idx="3">
                  <c:v>28.1</c:v>
                </c:pt>
                <c:pt idx="4">
                  <c:v>30.27</c:v>
                </c:pt>
                <c:pt idx="5">
                  <c:v>43.13</c:v>
                </c:pt>
              </c:numCache>
            </c:numRef>
          </c:val>
          <c:extLst>
            <c:ext xmlns:c16="http://schemas.microsoft.com/office/drawing/2014/chart" uri="{C3380CC4-5D6E-409C-BE32-E72D297353CC}">
              <c16:uniqueId val="{00000003-FECD-40DC-BD04-ADD6BB0646D7}"/>
            </c:ext>
          </c:extLst>
        </c:ser>
        <c:ser>
          <c:idx val="4"/>
          <c:order val="4"/>
          <c:tx>
            <c:strRef>
              <c:f>Sheet1!$A$89</c:f>
              <c:strCache>
                <c:ptCount val="1"/>
                <c:pt idx="0">
                  <c:v>PositiveControl</c:v>
                </c:pt>
              </c:strCache>
            </c:strRef>
          </c:tx>
          <c:spPr>
            <a:solidFill>
              <a:schemeClr val="accent5"/>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Sheet1!$B$89:$G$89</c:f>
              <c:numCache>
                <c:formatCode>General</c:formatCode>
                <c:ptCount val="6"/>
                <c:pt idx="0">
                  <c:v>0.18</c:v>
                </c:pt>
                <c:pt idx="1">
                  <c:v>0.23</c:v>
                </c:pt>
                <c:pt idx="2">
                  <c:v>0.28999999999999998</c:v>
                </c:pt>
                <c:pt idx="3">
                  <c:v>0.33</c:v>
                </c:pt>
                <c:pt idx="4">
                  <c:v>0.37</c:v>
                </c:pt>
                <c:pt idx="5">
                  <c:v>0.48</c:v>
                </c:pt>
              </c:numCache>
            </c:numRef>
          </c:val>
          <c:extLst>
            <c:ext xmlns:c16="http://schemas.microsoft.com/office/drawing/2014/chart" uri="{C3380CC4-5D6E-409C-BE32-E72D297353CC}">
              <c16:uniqueId val="{00000004-FECD-40DC-BD04-ADD6BB0646D7}"/>
            </c:ext>
          </c:extLst>
        </c:ser>
        <c:ser>
          <c:idx val="5"/>
          <c:order val="5"/>
          <c:tx>
            <c:strRef>
              <c:f>Sheet1!$A$90</c:f>
              <c:strCache>
                <c:ptCount val="1"/>
                <c:pt idx="0">
                  <c:v>NegativeControl</c:v>
                </c:pt>
              </c:strCache>
            </c:strRef>
          </c:tx>
          <c:spPr>
            <a:solidFill>
              <a:schemeClr val="accent6"/>
            </a:solidFill>
            <a:ln>
              <a:noFill/>
            </a:ln>
            <a:effectLst/>
          </c:spPr>
          <c:invertIfNegative val="0"/>
          <c:cat>
            <c:numRef>
              <c:f>Sheet1!$B$84:$G$84</c:f>
              <c:numCache>
                <c:formatCode>General</c:formatCode>
                <c:ptCount val="6"/>
                <c:pt idx="0">
                  <c:v>5</c:v>
                </c:pt>
                <c:pt idx="1">
                  <c:v>10</c:v>
                </c:pt>
                <c:pt idx="2">
                  <c:v>20</c:v>
                </c:pt>
                <c:pt idx="3">
                  <c:v>40</c:v>
                </c:pt>
                <c:pt idx="4">
                  <c:v>50</c:v>
                </c:pt>
                <c:pt idx="5">
                  <c:v>100</c:v>
                </c:pt>
              </c:numCache>
            </c:numRef>
          </c:cat>
          <c:val>
            <c:numRef>
              <c:f>Sheet1!$B$90:$G$90</c:f>
              <c:numCache>
                <c:formatCode>General</c:formatCode>
                <c:ptCount val="6"/>
                <c:pt idx="0">
                  <c:v>0.5</c:v>
                </c:pt>
                <c:pt idx="1">
                  <c:v>0.46</c:v>
                </c:pt>
                <c:pt idx="2">
                  <c:v>0.42</c:v>
                </c:pt>
                <c:pt idx="3">
                  <c:v>0.41</c:v>
                </c:pt>
                <c:pt idx="4">
                  <c:v>0.39</c:v>
                </c:pt>
                <c:pt idx="5">
                  <c:v>0.37</c:v>
                </c:pt>
              </c:numCache>
            </c:numRef>
          </c:val>
          <c:extLst>
            <c:ext xmlns:c16="http://schemas.microsoft.com/office/drawing/2014/chart" uri="{C3380CC4-5D6E-409C-BE32-E72D297353CC}">
              <c16:uniqueId val="{00000005-FECD-40DC-BD04-ADD6BB0646D7}"/>
            </c:ext>
          </c:extLst>
        </c:ser>
        <c:dLbls>
          <c:showLegendKey val="0"/>
          <c:showVal val="0"/>
          <c:showCatName val="0"/>
          <c:showSerName val="0"/>
          <c:showPercent val="0"/>
          <c:showBubbleSize val="0"/>
        </c:dLbls>
        <c:gapWidth val="219"/>
        <c:overlap val="-27"/>
        <c:axId val="364454552"/>
        <c:axId val="364453768"/>
      </c:barChart>
      <c:catAx>
        <c:axId val="364454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3768"/>
        <c:crosses val="autoZero"/>
        <c:auto val="1"/>
        <c:lblAlgn val="ctr"/>
        <c:lblOffset val="100"/>
        <c:noMultiLvlLbl val="0"/>
      </c:catAx>
      <c:valAx>
        <c:axId val="364453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  </a:t>
                </a:r>
                <a:r>
                  <a:rPr lang="en-US" sz="1000" b="0" i="0" u="none" strike="noStrike" baseline="0">
                    <a:effectLst/>
                  </a:rPr>
                  <a:t>scavenging   activity</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54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a:t>
            </a:r>
            <a:r>
              <a:rPr lang="en-US" baseline="0"/>
              <a:t> 1</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Sheet1!$A$96</c:f>
              <c:strCache>
                <c:ptCount val="1"/>
                <c:pt idx="0">
                  <c:v>Gallic acid</c:v>
                </c:pt>
              </c:strCache>
            </c:strRef>
          </c:tx>
          <c:spPr>
            <a:solidFill>
              <a:schemeClr val="accent1"/>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Sheet1!$B$96:$F$96</c:f>
              <c:numCache>
                <c:formatCode>General</c:formatCode>
                <c:ptCount val="5"/>
                <c:pt idx="1">
                  <c:v>80.45</c:v>
                </c:pt>
                <c:pt idx="2">
                  <c:v>90.54</c:v>
                </c:pt>
              </c:numCache>
            </c:numRef>
          </c:val>
          <c:extLst>
            <c:ext xmlns:c16="http://schemas.microsoft.com/office/drawing/2014/chart" uri="{C3380CC4-5D6E-409C-BE32-E72D297353CC}">
              <c16:uniqueId val="{00000000-D85B-4B60-B050-104907E79F3D}"/>
            </c:ext>
          </c:extLst>
        </c:ser>
        <c:ser>
          <c:idx val="1"/>
          <c:order val="1"/>
          <c:tx>
            <c:strRef>
              <c:f>Sheet1!$A$97</c:f>
              <c:strCache>
                <c:ptCount val="1"/>
                <c:pt idx="0">
                  <c:v>B</c:v>
                </c:pt>
              </c:strCache>
            </c:strRef>
          </c:tx>
          <c:spPr>
            <a:solidFill>
              <a:schemeClr val="accent2"/>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Sheet1!$B$97:$F$97</c:f>
              <c:numCache>
                <c:formatCode>General</c:formatCode>
                <c:ptCount val="5"/>
                <c:pt idx="0">
                  <c:v>34.72</c:v>
                </c:pt>
                <c:pt idx="1">
                  <c:v>41.31</c:v>
                </c:pt>
                <c:pt idx="2">
                  <c:v>46.89</c:v>
                </c:pt>
                <c:pt idx="3">
                  <c:v>52.81</c:v>
                </c:pt>
                <c:pt idx="4">
                  <c:v>53.85</c:v>
                </c:pt>
              </c:numCache>
            </c:numRef>
          </c:val>
          <c:extLst>
            <c:ext xmlns:c16="http://schemas.microsoft.com/office/drawing/2014/chart" uri="{C3380CC4-5D6E-409C-BE32-E72D297353CC}">
              <c16:uniqueId val="{00000001-D85B-4B60-B050-104907E79F3D}"/>
            </c:ext>
          </c:extLst>
        </c:ser>
        <c:ser>
          <c:idx val="2"/>
          <c:order val="2"/>
          <c:tx>
            <c:strRef>
              <c:f>Sheet1!$A$98</c:f>
              <c:strCache>
                <c:ptCount val="1"/>
                <c:pt idx="0">
                  <c:v>C</c:v>
                </c:pt>
              </c:strCache>
            </c:strRef>
          </c:tx>
          <c:spPr>
            <a:solidFill>
              <a:schemeClr val="accent3"/>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Sheet1!$B$98:$F$98</c:f>
              <c:numCache>
                <c:formatCode>General</c:formatCode>
                <c:ptCount val="5"/>
                <c:pt idx="0">
                  <c:v>45.83</c:v>
                </c:pt>
                <c:pt idx="1">
                  <c:v>47.25</c:v>
                </c:pt>
                <c:pt idx="2">
                  <c:v>48.91</c:v>
                </c:pt>
                <c:pt idx="3">
                  <c:v>54.8</c:v>
                </c:pt>
                <c:pt idx="4">
                  <c:v>59.58</c:v>
                </c:pt>
              </c:numCache>
            </c:numRef>
          </c:val>
          <c:extLst>
            <c:ext xmlns:c16="http://schemas.microsoft.com/office/drawing/2014/chart" uri="{C3380CC4-5D6E-409C-BE32-E72D297353CC}">
              <c16:uniqueId val="{00000002-D85B-4B60-B050-104907E79F3D}"/>
            </c:ext>
          </c:extLst>
        </c:ser>
        <c:ser>
          <c:idx val="3"/>
          <c:order val="3"/>
          <c:tx>
            <c:strRef>
              <c:f>Sheet1!$A$99</c:f>
              <c:strCache>
                <c:ptCount val="1"/>
                <c:pt idx="0">
                  <c:v>D</c:v>
                </c:pt>
              </c:strCache>
            </c:strRef>
          </c:tx>
          <c:spPr>
            <a:solidFill>
              <a:schemeClr val="accent4"/>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Sheet1!$B$99:$F$99</c:f>
              <c:numCache>
                <c:formatCode>General</c:formatCode>
                <c:ptCount val="5"/>
                <c:pt idx="0">
                  <c:v>44.61</c:v>
                </c:pt>
                <c:pt idx="1">
                  <c:v>50</c:v>
                </c:pt>
                <c:pt idx="2">
                  <c:v>54.05</c:v>
                </c:pt>
                <c:pt idx="3">
                  <c:v>58.54</c:v>
                </c:pt>
                <c:pt idx="4">
                  <c:v>62.07</c:v>
                </c:pt>
              </c:numCache>
            </c:numRef>
          </c:val>
          <c:extLst>
            <c:ext xmlns:c16="http://schemas.microsoft.com/office/drawing/2014/chart" uri="{C3380CC4-5D6E-409C-BE32-E72D297353CC}">
              <c16:uniqueId val="{00000003-D85B-4B60-B050-104907E79F3D}"/>
            </c:ext>
          </c:extLst>
        </c:ser>
        <c:ser>
          <c:idx val="4"/>
          <c:order val="4"/>
          <c:tx>
            <c:strRef>
              <c:f>Sheet1!$A$100</c:f>
              <c:strCache>
                <c:ptCount val="1"/>
                <c:pt idx="0">
                  <c:v>Control</c:v>
                </c:pt>
              </c:strCache>
            </c:strRef>
          </c:tx>
          <c:spPr>
            <a:solidFill>
              <a:schemeClr val="accent5"/>
            </a:solidFill>
            <a:ln>
              <a:noFill/>
            </a:ln>
            <a:effectLst/>
          </c:spPr>
          <c:invertIfNegative val="0"/>
          <c:cat>
            <c:numRef>
              <c:f>Sheet1!$B$95:$F$95</c:f>
              <c:numCache>
                <c:formatCode>General</c:formatCode>
                <c:ptCount val="5"/>
                <c:pt idx="0">
                  <c:v>2</c:v>
                </c:pt>
                <c:pt idx="1">
                  <c:v>5</c:v>
                </c:pt>
                <c:pt idx="2">
                  <c:v>10</c:v>
                </c:pt>
                <c:pt idx="3">
                  <c:v>50</c:v>
                </c:pt>
                <c:pt idx="4">
                  <c:v>10</c:v>
                </c:pt>
              </c:numCache>
            </c:numRef>
          </c:cat>
          <c:val>
            <c:numRef>
              <c:f>Sheet1!$B$100:$F$100</c:f>
              <c:numCache>
                <c:formatCode>General</c:formatCode>
                <c:ptCount val="5"/>
                <c:pt idx="0">
                  <c:v>38.18</c:v>
                </c:pt>
                <c:pt idx="1">
                  <c:v>41.15</c:v>
                </c:pt>
                <c:pt idx="2">
                  <c:v>43.91</c:v>
                </c:pt>
                <c:pt idx="3">
                  <c:v>45.9</c:v>
                </c:pt>
                <c:pt idx="4">
                  <c:v>50.46</c:v>
                </c:pt>
              </c:numCache>
            </c:numRef>
          </c:val>
          <c:extLst>
            <c:ext xmlns:c16="http://schemas.microsoft.com/office/drawing/2014/chart" uri="{C3380CC4-5D6E-409C-BE32-E72D297353CC}">
              <c16:uniqueId val="{00000004-D85B-4B60-B050-104907E79F3D}"/>
            </c:ext>
          </c:extLst>
        </c:ser>
        <c:dLbls>
          <c:showLegendKey val="0"/>
          <c:showVal val="0"/>
          <c:showCatName val="0"/>
          <c:showSerName val="0"/>
          <c:showPercent val="0"/>
          <c:showBubbleSize val="0"/>
        </c:dLbls>
        <c:gapWidth val="219"/>
        <c:overlap val="-27"/>
        <c:axId val="373288520"/>
        <c:axId val="373284992"/>
      </c:barChart>
      <c:catAx>
        <c:axId val="373288520"/>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sz="1000" b="0" i="0" u="none" strike="noStrike" kern="120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Concentration, mg/ml</a:t>
                </a:r>
                <a:endParaRPr lang="en-US" sz="1200">
                  <a:effectLst/>
                  <a:latin typeface="Times New Roman" panose="02020603050405020304" pitchFamily="18" charset="0"/>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4992"/>
        <c:crosses val="autoZero"/>
        <c:auto val="1"/>
        <c:lblAlgn val="ctr"/>
        <c:lblOffset val="100"/>
        <c:noMultiLvlLbl val="0"/>
      </c:catAx>
      <c:valAx>
        <c:axId val="373284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u="none" strike="noStrike" baseline="0">
                    <a:effectLst/>
                    <a:latin typeface="Times New Roman" panose="02020603050405020304" pitchFamily="18" charset="0"/>
                    <a:cs typeface="Times New Roman" panose="02020603050405020304" pitchFamily="18" charset="0"/>
                  </a:rPr>
                  <a:t>% Inhibition</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8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Day</a:t>
            </a:r>
            <a:r>
              <a:rPr lang="en-US" baseline="0"/>
              <a:t> 15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Sheet1!$A$109</c:f>
              <c:strCache>
                <c:ptCount val="1"/>
                <c:pt idx="0">
                  <c:v>Gallic acid</c:v>
                </c:pt>
              </c:strCache>
            </c:strRef>
          </c:tx>
          <c:spPr>
            <a:solidFill>
              <a:schemeClr val="accent1"/>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Sheet1!$B$109:$F$109</c:f>
              <c:numCache>
                <c:formatCode>General</c:formatCode>
                <c:ptCount val="5"/>
                <c:pt idx="1">
                  <c:v>80.45</c:v>
                </c:pt>
                <c:pt idx="2">
                  <c:v>90.54</c:v>
                </c:pt>
              </c:numCache>
            </c:numRef>
          </c:val>
          <c:extLst>
            <c:ext xmlns:c16="http://schemas.microsoft.com/office/drawing/2014/chart" uri="{C3380CC4-5D6E-409C-BE32-E72D297353CC}">
              <c16:uniqueId val="{00000000-333D-4B7D-8A45-148B993EFFB1}"/>
            </c:ext>
          </c:extLst>
        </c:ser>
        <c:ser>
          <c:idx val="1"/>
          <c:order val="1"/>
          <c:tx>
            <c:strRef>
              <c:f>Sheet1!$A$110</c:f>
              <c:strCache>
                <c:ptCount val="1"/>
                <c:pt idx="0">
                  <c:v>B</c:v>
                </c:pt>
              </c:strCache>
            </c:strRef>
          </c:tx>
          <c:spPr>
            <a:solidFill>
              <a:schemeClr val="accent2"/>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Sheet1!$B$110:$F$110</c:f>
              <c:numCache>
                <c:formatCode>General</c:formatCode>
                <c:ptCount val="5"/>
                <c:pt idx="0">
                  <c:v>30.73</c:v>
                </c:pt>
                <c:pt idx="1">
                  <c:v>38.71</c:v>
                </c:pt>
                <c:pt idx="2">
                  <c:v>44.45</c:v>
                </c:pt>
                <c:pt idx="3">
                  <c:v>51.05</c:v>
                </c:pt>
                <c:pt idx="4">
                  <c:v>53.85</c:v>
                </c:pt>
              </c:numCache>
            </c:numRef>
          </c:val>
          <c:extLst>
            <c:ext xmlns:c16="http://schemas.microsoft.com/office/drawing/2014/chart" uri="{C3380CC4-5D6E-409C-BE32-E72D297353CC}">
              <c16:uniqueId val="{00000001-333D-4B7D-8A45-148B993EFFB1}"/>
            </c:ext>
          </c:extLst>
        </c:ser>
        <c:ser>
          <c:idx val="2"/>
          <c:order val="2"/>
          <c:tx>
            <c:strRef>
              <c:f>Sheet1!$A$111</c:f>
              <c:strCache>
                <c:ptCount val="1"/>
                <c:pt idx="0">
                  <c:v>C</c:v>
                </c:pt>
              </c:strCache>
            </c:strRef>
          </c:tx>
          <c:spPr>
            <a:solidFill>
              <a:schemeClr val="accent3"/>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Sheet1!$B$111:$F$111</c:f>
              <c:numCache>
                <c:formatCode>General</c:formatCode>
                <c:ptCount val="5"/>
                <c:pt idx="0">
                  <c:v>44.44</c:v>
                </c:pt>
                <c:pt idx="1">
                  <c:v>45.27</c:v>
                </c:pt>
                <c:pt idx="2">
                  <c:v>46.62</c:v>
                </c:pt>
                <c:pt idx="3">
                  <c:v>51.05</c:v>
                </c:pt>
                <c:pt idx="4">
                  <c:v>54.51</c:v>
                </c:pt>
              </c:numCache>
            </c:numRef>
          </c:val>
          <c:extLst>
            <c:ext xmlns:c16="http://schemas.microsoft.com/office/drawing/2014/chart" uri="{C3380CC4-5D6E-409C-BE32-E72D297353CC}">
              <c16:uniqueId val="{00000002-333D-4B7D-8A45-148B993EFFB1}"/>
            </c:ext>
          </c:extLst>
        </c:ser>
        <c:ser>
          <c:idx val="3"/>
          <c:order val="3"/>
          <c:tx>
            <c:strRef>
              <c:f>Sheet1!$A$112</c:f>
              <c:strCache>
                <c:ptCount val="1"/>
                <c:pt idx="0">
                  <c:v>D</c:v>
                </c:pt>
              </c:strCache>
            </c:strRef>
          </c:tx>
          <c:spPr>
            <a:solidFill>
              <a:schemeClr val="accent4"/>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Sheet1!$B$112:$F$112</c:f>
              <c:numCache>
                <c:formatCode>General</c:formatCode>
                <c:ptCount val="5"/>
                <c:pt idx="0">
                  <c:v>42.7</c:v>
                </c:pt>
                <c:pt idx="1">
                  <c:v>48.48</c:v>
                </c:pt>
                <c:pt idx="2">
                  <c:v>53.51</c:v>
                </c:pt>
                <c:pt idx="3">
                  <c:v>57.49</c:v>
                </c:pt>
                <c:pt idx="4">
                  <c:v>61.03</c:v>
                </c:pt>
              </c:numCache>
            </c:numRef>
          </c:val>
          <c:extLst>
            <c:ext xmlns:c16="http://schemas.microsoft.com/office/drawing/2014/chart" uri="{C3380CC4-5D6E-409C-BE32-E72D297353CC}">
              <c16:uniqueId val="{00000003-333D-4B7D-8A45-148B993EFFB1}"/>
            </c:ext>
          </c:extLst>
        </c:ser>
        <c:ser>
          <c:idx val="4"/>
          <c:order val="4"/>
          <c:tx>
            <c:strRef>
              <c:f>Sheet1!$A$113</c:f>
              <c:strCache>
                <c:ptCount val="1"/>
                <c:pt idx="0">
                  <c:v>Control</c:v>
                </c:pt>
              </c:strCache>
            </c:strRef>
          </c:tx>
          <c:spPr>
            <a:solidFill>
              <a:schemeClr val="accent5"/>
            </a:solidFill>
            <a:ln>
              <a:noFill/>
            </a:ln>
            <a:effectLst/>
          </c:spPr>
          <c:invertIfNegative val="0"/>
          <c:cat>
            <c:numRef>
              <c:f>Sheet1!$B$108:$F$108</c:f>
              <c:numCache>
                <c:formatCode>General</c:formatCode>
                <c:ptCount val="5"/>
                <c:pt idx="0">
                  <c:v>2</c:v>
                </c:pt>
                <c:pt idx="1">
                  <c:v>5</c:v>
                </c:pt>
                <c:pt idx="2">
                  <c:v>10</c:v>
                </c:pt>
                <c:pt idx="3">
                  <c:v>50</c:v>
                </c:pt>
                <c:pt idx="4">
                  <c:v>10</c:v>
                </c:pt>
              </c:numCache>
            </c:numRef>
          </c:cat>
          <c:val>
            <c:numRef>
              <c:f>Sheet1!$B$113:$F$113</c:f>
              <c:numCache>
                <c:formatCode>General</c:formatCode>
                <c:ptCount val="5"/>
                <c:pt idx="0">
                  <c:v>16.670000000000002</c:v>
                </c:pt>
                <c:pt idx="1">
                  <c:v>24.7</c:v>
                </c:pt>
                <c:pt idx="2">
                  <c:v>28.92</c:v>
                </c:pt>
                <c:pt idx="3">
                  <c:v>30.91</c:v>
                </c:pt>
                <c:pt idx="4">
                  <c:v>28.08</c:v>
                </c:pt>
              </c:numCache>
            </c:numRef>
          </c:val>
          <c:extLst>
            <c:ext xmlns:c16="http://schemas.microsoft.com/office/drawing/2014/chart" uri="{C3380CC4-5D6E-409C-BE32-E72D297353CC}">
              <c16:uniqueId val="{00000004-333D-4B7D-8A45-148B993EFFB1}"/>
            </c:ext>
          </c:extLst>
        </c:ser>
        <c:dLbls>
          <c:showLegendKey val="0"/>
          <c:showVal val="0"/>
          <c:showCatName val="0"/>
          <c:showSerName val="0"/>
          <c:showPercent val="0"/>
          <c:showBubbleSize val="0"/>
        </c:dLbls>
        <c:gapWidth val="219"/>
        <c:overlap val="-27"/>
        <c:axId val="373290088"/>
        <c:axId val="373282640"/>
      </c:barChart>
      <c:catAx>
        <c:axId val="373290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a:t>
                </a:r>
                <a:r>
                  <a:rPr lang="en-US" sz="1000" b="0" i="0" u="none" strike="noStrike" baseline="0">
                    <a:effectLst/>
                  </a:rPr>
                  <a:t>mg/ml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2640"/>
        <c:crosses val="autoZero"/>
        <c:auto val="1"/>
        <c:lblAlgn val="ctr"/>
        <c:lblOffset val="100"/>
        <c:noMultiLvlLbl val="0"/>
      </c:catAx>
      <c:valAx>
        <c:axId val="373282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 Inhibition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90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Sheet1!$B$119</c:f>
              <c:strCache>
                <c:ptCount val="1"/>
                <c:pt idx="0">
                  <c:v>1</c:v>
                </c:pt>
              </c:strCache>
            </c:strRef>
          </c:tx>
          <c:spPr>
            <a:solidFill>
              <a:schemeClr val="accent1"/>
            </a:solidFill>
            <a:ln>
              <a:noFill/>
            </a:ln>
            <a:effectLst/>
          </c:spPr>
          <c:invertIfNegative val="0"/>
          <c:cat>
            <c:strRef>
              <c:f>Sheet1!$A$120:$A$123</c:f>
              <c:strCache>
                <c:ptCount val="4"/>
                <c:pt idx="0">
                  <c:v>B</c:v>
                </c:pt>
                <c:pt idx="1">
                  <c:v>C</c:v>
                </c:pt>
                <c:pt idx="2">
                  <c:v>D</c:v>
                </c:pt>
                <c:pt idx="3">
                  <c:v>Control</c:v>
                </c:pt>
              </c:strCache>
            </c:strRef>
          </c:cat>
          <c:val>
            <c:numRef>
              <c:f>Sheet1!$B$120:$B$123</c:f>
              <c:numCache>
                <c:formatCode>General</c:formatCode>
                <c:ptCount val="4"/>
                <c:pt idx="0">
                  <c:v>5.66</c:v>
                </c:pt>
                <c:pt idx="1">
                  <c:v>5.36</c:v>
                </c:pt>
                <c:pt idx="2">
                  <c:v>5.77</c:v>
                </c:pt>
                <c:pt idx="3">
                  <c:v>4.9000000000000004</c:v>
                </c:pt>
              </c:numCache>
            </c:numRef>
          </c:val>
          <c:extLst>
            <c:ext xmlns:c16="http://schemas.microsoft.com/office/drawing/2014/chart" uri="{C3380CC4-5D6E-409C-BE32-E72D297353CC}">
              <c16:uniqueId val="{00000000-A660-499B-939A-25E674D997DC}"/>
            </c:ext>
          </c:extLst>
        </c:ser>
        <c:ser>
          <c:idx val="1"/>
          <c:order val="1"/>
          <c:tx>
            <c:strRef>
              <c:f>Sheet1!$C$119</c:f>
              <c:strCache>
                <c:ptCount val="1"/>
                <c:pt idx="0">
                  <c:v>3</c:v>
                </c:pt>
              </c:strCache>
            </c:strRef>
          </c:tx>
          <c:spPr>
            <a:solidFill>
              <a:schemeClr val="accent2"/>
            </a:solidFill>
            <a:ln>
              <a:noFill/>
            </a:ln>
            <a:effectLst/>
          </c:spPr>
          <c:invertIfNegative val="0"/>
          <c:cat>
            <c:strRef>
              <c:f>Sheet1!$A$120:$A$123</c:f>
              <c:strCache>
                <c:ptCount val="4"/>
                <c:pt idx="0">
                  <c:v>B</c:v>
                </c:pt>
                <c:pt idx="1">
                  <c:v>C</c:v>
                </c:pt>
                <c:pt idx="2">
                  <c:v>D</c:v>
                </c:pt>
                <c:pt idx="3">
                  <c:v>Control</c:v>
                </c:pt>
              </c:strCache>
            </c:strRef>
          </c:cat>
          <c:val>
            <c:numRef>
              <c:f>Sheet1!$C$120:$C$123</c:f>
              <c:numCache>
                <c:formatCode>General</c:formatCode>
                <c:ptCount val="4"/>
                <c:pt idx="0">
                  <c:v>4.82</c:v>
                </c:pt>
                <c:pt idx="1">
                  <c:v>4.76</c:v>
                </c:pt>
                <c:pt idx="2">
                  <c:v>4.96</c:v>
                </c:pt>
                <c:pt idx="3">
                  <c:v>4.7300000000000004</c:v>
                </c:pt>
              </c:numCache>
            </c:numRef>
          </c:val>
          <c:extLst>
            <c:ext xmlns:c16="http://schemas.microsoft.com/office/drawing/2014/chart" uri="{C3380CC4-5D6E-409C-BE32-E72D297353CC}">
              <c16:uniqueId val="{00000001-A660-499B-939A-25E674D997DC}"/>
            </c:ext>
          </c:extLst>
        </c:ser>
        <c:ser>
          <c:idx val="2"/>
          <c:order val="2"/>
          <c:tx>
            <c:strRef>
              <c:f>Sheet1!$D$119</c:f>
              <c:strCache>
                <c:ptCount val="1"/>
                <c:pt idx="0">
                  <c:v>15</c:v>
                </c:pt>
              </c:strCache>
            </c:strRef>
          </c:tx>
          <c:spPr>
            <a:solidFill>
              <a:schemeClr val="accent3"/>
            </a:solidFill>
            <a:ln>
              <a:noFill/>
            </a:ln>
            <a:effectLst/>
          </c:spPr>
          <c:invertIfNegative val="0"/>
          <c:cat>
            <c:strRef>
              <c:f>Sheet1!$A$120:$A$123</c:f>
              <c:strCache>
                <c:ptCount val="4"/>
                <c:pt idx="0">
                  <c:v>B</c:v>
                </c:pt>
                <c:pt idx="1">
                  <c:v>C</c:v>
                </c:pt>
                <c:pt idx="2">
                  <c:v>D</c:v>
                </c:pt>
                <c:pt idx="3">
                  <c:v>Control</c:v>
                </c:pt>
              </c:strCache>
            </c:strRef>
          </c:cat>
          <c:val>
            <c:numRef>
              <c:f>Sheet1!$D$120:$D$123</c:f>
              <c:numCache>
                <c:formatCode>General</c:formatCode>
                <c:ptCount val="4"/>
                <c:pt idx="0">
                  <c:v>3.96</c:v>
                </c:pt>
                <c:pt idx="1">
                  <c:v>4.26</c:v>
                </c:pt>
                <c:pt idx="2">
                  <c:v>4.16</c:v>
                </c:pt>
                <c:pt idx="3">
                  <c:v>3.06</c:v>
                </c:pt>
              </c:numCache>
            </c:numRef>
          </c:val>
          <c:extLst>
            <c:ext xmlns:c16="http://schemas.microsoft.com/office/drawing/2014/chart" uri="{C3380CC4-5D6E-409C-BE32-E72D297353CC}">
              <c16:uniqueId val="{00000002-A660-499B-939A-25E674D997DC}"/>
            </c:ext>
          </c:extLst>
        </c:ser>
        <c:dLbls>
          <c:showLegendKey val="0"/>
          <c:showVal val="0"/>
          <c:showCatName val="0"/>
          <c:showSerName val="0"/>
          <c:showPercent val="0"/>
          <c:showBubbleSize val="0"/>
        </c:dLbls>
        <c:gapWidth val="219"/>
        <c:overlap val="-27"/>
        <c:axId val="373285384"/>
        <c:axId val="373285776"/>
      </c:barChart>
      <c:catAx>
        <c:axId val="3732853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5776"/>
        <c:crosses val="autoZero"/>
        <c:auto val="1"/>
        <c:lblAlgn val="ctr"/>
        <c:lblOffset val="100"/>
        <c:noMultiLvlLbl val="0"/>
      </c:catAx>
      <c:valAx>
        <c:axId val="373285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85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6504</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2026-04-08T05:44:00Z</dcterms:created>
  <dcterms:modified xsi:type="dcterms:W3CDTF">2026-04-08T05:56:00Z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a2c9e0ac-4c88-4332-9292-d5a1ad2313be</vt:lpwstr>
  </property>
</Properties>
</file>