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03F29" w14:textId="47DE9D80" w:rsidR="00754C9A" w:rsidRDefault="00813D65" w:rsidP="003F5B1C">
      <w:pPr>
        <w:pStyle w:val="Title"/>
        <w:spacing w:after="0"/>
        <w:jc w:val="both"/>
        <w:rPr>
          <w:rFonts w:ascii="Arial" w:hAnsi="Arial" w:cs="Arial"/>
          <w:u w:val="single"/>
        </w:rPr>
      </w:pPr>
      <w:r w:rsidRPr="00813D65">
        <w:rPr>
          <w:rFonts w:ascii="Arial" w:hAnsi="Arial" w:cs="Arial"/>
          <w:u w:val="single"/>
        </w:rPr>
        <w:t>Original Research Article</w:t>
      </w:r>
    </w:p>
    <w:p w14:paraId="0D939EE9" w14:textId="77777777" w:rsidR="00813D65" w:rsidRPr="00813D65" w:rsidRDefault="00813D65" w:rsidP="003F5B1C">
      <w:pPr>
        <w:pStyle w:val="Title"/>
        <w:spacing w:after="0"/>
        <w:jc w:val="both"/>
        <w:rPr>
          <w:rFonts w:ascii="Arial" w:hAnsi="Arial" w:cs="Arial"/>
          <w:u w:val="single"/>
        </w:rPr>
      </w:pPr>
    </w:p>
    <w:p w14:paraId="54159208" w14:textId="411211C2" w:rsidR="00AD766E" w:rsidRPr="00AD766E" w:rsidRDefault="00AD766E" w:rsidP="00813D65">
      <w:pPr>
        <w:pStyle w:val="Author"/>
        <w:spacing w:line="240" w:lineRule="auto"/>
        <w:rPr>
          <w:rFonts w:ascii="Arial" w:hAnsi="Arial" w:cs="Arial"/>
          <w:bCs/>
          <w:iCs/>
          <w:kern w:val="28"/>
          <w:sz w:val="36"/>
        </w:rPr>
      </w:pPr>
      <w:r w:rsidRPr="00AD766E">
        <w:rPr>
          <w:rFonts w:ascii="Arial" w:hAnsi="Arial" w:cs="Arial"/>
          <w:bCs/>
          <w:iCs/>
          <w:kern w:val="28"/>
          <w:sz w:val="36"/>
        </w:rPr>
        <w:t xml:space="preserve">An Empirical Analysis of Constraints in Off-Season Cabbage Cultivation: </w:t>
      </w:r>
      <w:r w:rsidR="009F002C">
        <w:rPr>
          <w:rFonts w:ascii="Arial" w:hAnsi="Arial" w:cs="Arial"/>
          <w:bCs/>
          <w:iCs/>
          <w:kern w:val="28"/>
          <w:sz w:val="36"/>
        </w:rPr>
        <w:t>Evidence from</w:t>
      </w:r>
      <w:r w:rsidRPr="00AD766E">
        <w:rPr>
          <w:rFonts w:ascii="Arial" w:hAnsi="Arial" w:cs="Arial"/>
          <w:bCs/>
          <w:iCs/>
          <w:kern w:val="28"/>
          <w:sz w:val="36"/>
        </w:rPr>
        <w:t xml:space="preserve"> Senapati</w:t>
      </w:r>
      <w:r w:rsidR="009F002C">
        <w:rPr>
          <w:rFonts w:ascii="Arial" w:hAnsi="Arial" w:cs="Arial"/>
          <w:bCs/>
          <w:iCs/>
          <w:kern w:val="28"/>
          <w:sz w:val="36"/>
        </w:rPr>
        <w:t xml:space="preserve">, </w:t>
      </w:r>
      <w:r w:rsidRPr="00AD766E">
        <w:rPr>
          <w:rFonts w:ascii="Arial" w:hAnsi="Arial" w:cs="Arial"/>
          <w:bCs/>
          <w:iCs/>
          <w:kern w:val="28"/>
          <w:sz w:val="36"/>
        </w:rPr>
        <w:t>Manipur</w:t>
      </w:r>
    </w:p>
    <w:p w14:paraId="6E33DC43" w14:textId="77777777" w:rsidR="00A258C3" w:rsidRPr="00790ADA" w:rsidRDefault="00A258C3" w:rsidP="003F5B1C">
      <w:pPr>
        <w:pStyle w:val="Author"/>
        <w:spacing w:line="240" w:lineRule="auto"/>
        <w:jc w:val="both"/>
        <w:rPr>
          <w:rFonts w:ascii="Arial" w:hAnsi="Arial" w:cs="Arial"/>
          <w:sz w:val="36"/>
        </w:rPr>
      </w:pPr>
    </w:p>
    <w:p w14:paraId="5BA6282F" w14:textId="32CF9053" w:rsidR="007B4384" w:rsidRPr="00AD766E" w:rsidRDefault="007B4384" w:rsidP="003F5B1C">
      <w:pPr>
        <w:pStyle w:val="Author"/>
        <w:spacing w:line="240" w:lineRule="auto"/>
        <w:jc w:val="both"/>
        <w:rPr>
          <w:rFonts w:ascii="Arial" w:hAnsi="Arial" w:cs="Arial"/>
          <w:b w:val="0"/>
          <w:i/>
          <w:sz w:val="16"/>
        </w:rPr>
      </w:pPr>
      <w:r>
        <w:rPr>
          <w:rFonts w:ascii="Arial" w:hAnsi="Arial" w:cs="Arial"/>
          <w:b w:val="0"/>
          <w:i/>
          <w:sz w:val="16"/>
        </w:rPr>
        <w:t xml:space="preserve"> </w:t>
      </w:r>
    </w:p>
    <w:p w14:paraId="398BAC77" w14:textId="77777777" w:rsidR="002C57D2" w:rsidRPr="00FB3A86" w:rsidRDefault="002C57D2" w:rsidP="003F5B1C">
      <w:pPr>
        <w:pStyle w:val="Affiliation"/>
        <w:spacing w:after="0" w:line="240" w:lineRule="auto"/>
        <w:jc w:val="both"/>
        <w:rPr>
          <w:rFonts w:ascii="Arial" w:hAnsi="Arial" w:cs="Arial"/>
        </w:rPr>
      </w:pPr>
    </w:p>
    <w:p w14:paraId="3E642C6B" w14:textId="332EAFA1" w:rsidR="00B01FCD" w:rsidRPr="00FB3A86" w:rsidRDefault="00ED642D" w:rsidP="003F5B1C">
      <w:pPr>
        <w:pStyle w:val="Copyright"/>
        <w:spacing w:after="0" w:line="240" w:lineRule="auto"/>
        <w:jc w:val="both"/>
        <w:rPr>
          <w:rFonts w:ascii="Arial" w:hAnsi="Arial" w:cs="Arial"/>
        </w:rPr>
        <w:sectPr w:rsidR="00B01FCD" w:rsidRPr="00FB3A86" w:rsidSect="00B37D7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4E5C398" wp14:editId="4BE1DED7">
                <wp:extent cx="5303520" cy="635"/>
                <wp:effectExtent l="17145" t="18415" r="13335" b="10160"/>
                <wp:docPr id="26480784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E0CB87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408E0E3" w14:textId="5227A13A" w:rsidR="00B01FCD" w:rsidRDefault="00B01FCD" w:rsidP="003F5B1C">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3A81A0B" w14:textId="77777777" w:rsidR="00790ADA" w:rsidRPr="00FB3A86" w:rsidRDefault="00790ADA" w:rsidP="003F5B1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2FE453A" w14:textId="77777777" w:rsidTr="001E44FE">
        <w:tc>
          <w:tcPr>
            <w:tcW w:w="9576" w:type="dxa"/>
            <w:shd w:val="clear" w:color="auto" w:fill="F2F2F2"/>
          </w:tcPr>
          <w:p w14:paraId="05D20923" w14:textId="77777777" w:rsidR="00AD766E" w:rsidRPr="00AD766E" w:rsidRDefault="00AD766E" w:rsidP="003F5B1C">
            <w:pPr>
              <w:pStyle w:val="Body"/>
              <w:spacing w:after="0"/>
              <w:rPr>
                <w:rFonts w:ascii="Arial" w:eastAsia="Calibri" w:hAnsi="Arial" w:cs="Arial"/>
                <w:szCs w:val="22"/>
              </w:rPr>
            </w:pPr>
            <w:r w:rsidRPr="00AD766E">
              <w:rPr>
                <w:rFonts w:ascii="Arial" w:eastAsia="Calibri" w:hAnsi="Arial" w:cs="Arial"/>
                <w:b/>
                <w:bCs/>
                <w:szCs w:val="22"/>
              </w:rPr>
              <w:t>Aims</w:t>
            </w:r>
            <w:r w:rsidRPr="00AD766E">
              <w:rPr>
                <w:rFonts w:ascii="Arial" w:eastAsia="Calibri" w:hAnsi="Arial" w:cs="Arial"/>
                <w:szCs w:val="22"/>
              </w:rPr>
              <w:t>: The study was undertaken to analyze the constraints faced by farmers in off-season cabbage cultivation in Senapati district of Manipur.</w:t>
            </w:r>
          </w:p>
          <w:p w14:paraId="65B5279B" w14:textId="77777777" w:rsidR="00AD766E" w:rsidRPr="00AD766E" w:rsidRDefault="00AD766E" w:rsidP="003F5B1C">
            <w:pPr>
              <w:pStyle w:val="Body"/>
              <w:spacing w:after="0"/>
              <w:rPr>
                <w:rFonts w:ascii="Arial" w:eastAsia="Calibri" w:hAnsi="Arial" w:cs="Arial"/>
                <w:szCs w:val="22"/>
              </w:rPr>
            </w:pPr>
            <w:r w:rsidRPr="00AD766E">
              <w:rPr>
                <w:rFonts w:ascii="Arial" w:eastAsia="Calibri" w:hAnsi="Arial" w:cs="Arial"/>
                <w:b/>
                <w:bCs/>
                <w:szCs w:val="22"/>
              </w:rPr>
              <w:t>Study Design</w:t>
            </w:r>
            <w:r w:rsidRPr="00AD766E">
              <w:rPr>
                <w:rFonts w:ascii="Arial" w:eastAsia="Calibri" w:hAnsi="Arial" w:cs="Arial"/>
                <w:szCs w:val="22"/>
              </w:rPr>
              <w:t>: Simple random sampling with proportional allocation was employed in this study. One district and two blocks were selected purposively on the basis of highest contribution to area and production of off-season cabbage further respondents were selected through simple random sampling using proportional allocation.</w:t>
            </w:r>
          </w:p>
          <w:p w14:paraId="71BD3F5F" w14:textId="436D5EB4" w:rsidR="00AD766E" w:rsidRPr="00AD766E" w:rsidRDefault="00AD766E" w:rsidP="003F5B1C">
            <w:pPr>
              <w:pStyle w:val="Body"/>
              <w:spacing w:after="0"/>
              <w:rPr>
                <w:rFonts w:ascii="Arial" w:eastAsia="Calibri" w:hAnsi="Arial" w:cs="Arial"/>
                <w:szCs w:val="22"/>
              </w:rPr>
            </w:pPr>
            <w:r w:rsidRPr="00AD766E">
              <w:rPr>
                <w:rFonts w:ascii="Arial" w:eastAsia="Calibri" w:hAnsi="Arial" w:cs="Arial"/>
                <w:b/>
                <w:bCs/>
                <w:szCs w:val="22"/>
              </w:rPr>
              <w:t>Place and Duration of Study</w:t>
            </w:r>
            <w:r w:rsidRPr="00AD766E">
              <w:rPr>
                <w:rFonts w:ascii="Arial" w:eastAsia="Calibri" w:hAnsi="Arial" w:cs="Arial"/>
                <w:szCs w:val="22"/>
              </w:rPr>
              <w:t xml:space="preserve">:  The study was conducted in Mao-Maram block and </w:t>
            </w:r>
            <w:proofErr w:type="spellStart"/>
            <w:r w:rsidRPr="00AD766E">
              <w:rPr>
                <w:rFonts w:ascii="Arial" w:eastAsia="Calibri" w:hAnsi="Arial" w:cs="Arial"/>
                <w:szCs w:val="22"/>
              </w:rPr>
              <w:t>Paomata</w:t>
            </w:r>
            <w:proofErr w:type="spellEnd"/>
            <w:r w:rsidRPr="00AD766E">
              <w:rPr>
                <w:rFonts w:ascii="Arial" w:eastAsia="Calibri" w:hAnsi="Arial" w:cs="Arial"/>
                <w:szCs w:val="22"/>
              </w:rPr>
              <w:t xml:space="preserve"> block of Senapati district of Manipur. </w:t>
            </w:r>
            <w:r w:rsidR="009F002C" w:rsidRPr="009F002C">
              <w:rPr>
                <w:rFonts w:ascii="Arial" w:eastAsia="Calibri" w:hAnsi="Arial" w:cs="Arial"/>
                <w:szCs w:val="22"/>
              </w:rPr>
              <w:t xml:space="preserve">Four villages, namely Makuilongdi, </w:t>
            </w:r>
            <w:proofErr w:type="spellStart"/>
            <w:r w:rsidR="009F002C" w:rsidRPr="009F002C">
              <w:rPr>
                <w:rFonts w:ascii="Arial" w:eastAsia="Calibri" w:hAnsi="Arial" w:cs="Arial"/>
                <w:szCs w:val="22"/>
              </w:rPr>
              <w:t>Punanamei</w:t>
            </w:r>
            <w:proofErr w:type="spellEnd"/>
            <w:r w:rsidR="009F002C" w:rsidRPr="009F002C">
              <w:rPr>
                <w:rFonts w:ascii="Arial" w:eastAsia="Calibri" w:hAnsi="Arial" w:cs="Arial"/>
                <w:szCs w:val="22"/>
              </w:rPr>
              <w:t xml:space="preserve">, </w:t>
            </w:r>
            <w:proofErr w:type="spellStart"/>
            <w:r w:rsidR="009F002C" w:rsidRPr="009F002C">
              <w:rPr>
                <w:rFonts w:ascii="Arial" w:eastAsia="Calibri" w:hAnsi="Arial" w:cs="Arial"/>
                <w:szCs w:val="22"/>
              </w:rPr>
              <w:t>Laii</w:t>
            </w:r>
            <w:proofErr w:type="spellEnd"/>
            <w:r w:rsidR="009F002C" w:rsidRPr="009F002C">
              <w:rPr>
                <w:rFonts w:ascii="Arial" w:eastAsia="Calibri" w:hAnsi="Arial" w:cs="Arial"/>
                <w:szCs w:val="22"/>
              </w:rPr>
              <w:t xml:space="preserve">, and </w:t>
            </w:r>
            <w:proofErr w:type="spellStart"/>
            <w:r w:rsidR="009F002C" w:rsidRPr="009F002C">
              <w:rPr>
                <w:rFonts w:ascii="Arial" w:eastAsia="Calibri" w:hAnsi="Arial" w:cs="Arial"/>
                <w:szCs w:val="22"/>
              </w:rPr>
              <w:t>Tungjoy</w:t>
            </w:r>
            <w:proofErr w:type="spellEnd"/>
            <w:r w:rsidR="009F002C" w:rsidRPr="009F002C">
              <w:rPr>
                <w:rFonts w:ascii="Arial" w:eastAsia="Calibri" w:hAnsi="Arial" w:cs="Arial"/>
                <w:szCs w:val="22"/>
              </w:rPr>
              <w:t>, were selected for the study, and a total of</w:t>
            </w:r>
            <w:r w:rsidR="009F002C">
              <w:rPr>
                <w:rFonts w:ascii="Arial" w:eastAsia="Calibri" w:hAnsi="Arial" w:cs="Arial"/>
                <w:szCs w:val="22"/>
              </w:rPr>
              <w:t xml:space="preserve"> </w:t>
            </w:r>
            <w:r w:rsidR="009F002C" w:rsidRPr="009F002C">
              <w:rPr>
                <w:rFonts w:ascii="Arial" w:eastAsia="Calibri" w:hAnsi="Arial" w:cs="Arial"/>
                <w:b/>
                <w:bCs/>
                <w:szCs w:val="22"/>
              </w:rPr>
              <w:t>(n = 80)</w:t>
            </w:r>
            <w:r w:rsidR="009F002C" w:rsidRPr="009F002C">
              <w:rPr>
                <w:rFonts w:ascii="Arial" w:eastAsia="Calibri" w:hAnsi="Arial" w:cs="Arial"/>
                <w:szCs w:val="22"/>
              </w:rPr>
              <w:t xml:space="preserve"> off-season cabbage growers were included as respondents</w:t>
            </w:r>
            <w:r w:rsidR="009F002C">
              <w:rPr>
                <w:rFonts w:ascii="Arial" w:eastAsia="Calibri" w:hAnsi="Arial" w:cs="Arial"/>
                <w:szCs w:val="22"/>
              </w:rPr>
              <w:t xml:space="preserve">. </w:t>
            </w:r>
            <w:r w:rsidRPr="00AD766E">
              <w:rPr>
                <w:rFonts w:ascii="Arial" w:eastAsia="Calibri" w:hAnsi="Arial" w:cs="Arial"/>
                <w:szCs w:val="22"/>
              </w:rPr>
              <w:t>The data was collected for the period 2022-23.</w:t>
            </w:r>
          </w:p>
          <w:p w14:paraId="04350618" w14:textId="77777777" w:rsidR="00AD766E" w:rsidRPr="00AD766E" w:rsidRDefault="00AD766E" w:rsidP="003F5B1C">
            <w:pPr>
              <w:pStyle w:val="Body"/>
              <w:spacing w:after="0"/>
              <w:rPr>
                <w:rFonts w:ascii="Arial" w:eastAsia="Calibri" w:hAnsi="Arial" w:cs="Arial"/>
                <w:szCs w:val="22"/>
              </w:rPr>
            </w:pPr>
            <w:r w:rsidRPr="00AD766E">
              <w:rPr>
                <w:rFonts w:ascii="Arial" w:eastAsia="Calibri" w:hAnsi="Arial" w:cs="Arial"/>
                <w:b/>
                <w:bCs/>
                <w:szCs w:val="22"/>
              </w:rPr>
              <w:t>Methodology:</w:t>
            </w:r>
            <w:r w:rsidRPr="00AD766E">
              <w:rPr>
                <w:rFonts w:ascii="Arial" w:eastAsia="Calibri" w:hAnsi="Arial" w:cs="Arial"/>
                <w:szCs w:val="22"/>
              </w:rPr>
              <w:t xml:space="preserve"> Garrett ranking technique and Constraint Severity Index (CSI) were used for analysis of constraints.  The results revealed that resource constraints were the most severe (0.96), followed by technical constraints (0.93) and economic constraints (0.91). </w:t>
            </w:r>
            <w:proofErr w:type="spellStart"/>
            <w:r w:rsidRPr="00AD766E">
              <w:rPr>
                <w:rFonts w:ascii="Arial" w:eastAsia="Calibri" w:hAnsi="Arial" w:cs="Arial"/>
                <w:szCs w:val="22"/>
              </w:rPr>
              <w:t>Labour</w:t>
            </w:r>
            <w:proofErr w:type="spellEnd"/>
            <w:r w:rsidRPr="00AD766E">
              <w:rPr>
                <w:rFonts w:ascii="Arial" w:eastAsia="Calibri" w:hAnsi="Arial" w:cs="Arial"/>
                <w:szCs w:val="22"/>
              </w:rPr>
              <w:t xml:space="preserve"> scarcity, pest infestation, and inadequate institutional support emerged as the most critical constraints. </w:t>
            </w:r>
          </w:p>
          <w:p w14:paraId="4EADAA84" w14:textId="666D4F13" w:rsidR="00A16063" w:rsidRPr="00A16063" w:rsidRDefault="00AD766E" w:rsidP="00A16063">
            <w:pPr>
              <w:pStyle w:val="Body"/>
              <w:spacing w:after="0"/>
              <w:rPr>
                <w:rFonts w:ascii="Arial" w:eastAsia="Calibri" w:hAnsi="Arial" w:cs="Arial"/>
                <w:szCs w:val="22"/>
                <w:lang w:val="en-IN"/>
              </w:rPr>
            </w:pPr>
            <w:r w:rsidRPr="00AD766E">
              <w:rPr>
                <w:rFonts w:ascii="Arial" w:eastAsia="Calibri" w:hAnsi="Arial" w:cs="Arial"/>
                <w:b/>
                <w:bCs/>
                <w:szCs w:val="22"/>
              </w:rPr>
              <w:t>Concluding remarks</w:t>
            </w:r>
            <w:r w:rsidRPr="00AD766E">
              <w:rPr>
                <w:rFonts w:ascii="Arial" w:eastAsia="Calibri" w:hAnsi="Arial" w:cs="Arial"/>
                <w:szCs w:val="22"/>
              </w:rPr>
              <w:t>: The study suggests strengthening institutional support, improving irrigation facilities, and enhancing technical knowledge to improve productivity and profitability</w:t>
            </w:r>
            <w:r w:rsidR="00A16063" w:rsidRPr="00A16063">
              <w:rPr>
                <w:rFonts w:ascii="Arial" w:eastAsia="Calibri" w:hAnsi="Arial" w:cs="Arial"/>
                <w:szCs w:val="22"/>
                <w:lang w:val="en-IN"/>
              </w:rPr>
              <w:t>.</w:t>
            </w:r>
            <w:r w:rsidR="00C8393B" w:rsidRPr="00C8393B">
              <w:t xml:space="preserve"> </w:t>
            </w:r>
            <w:r w:rsidR="00C8393B" w:rsidRPr="00C8393B">
              <w:rPr>
                <w:rFonts w:ascii="Arial" w:eastAsia="Calibri" w:hAnsi="Arial" w:cs="Arial"/>
                <w:szCs w:val="22"/>
              </w:rPr>
              <w:t>The results indicate</w:t>
            </w:r>
            <w:r w:rsidR="00C8393B">
              <w:rPr>
                <w:rFonts w:ascii="Arial" w:eastAsia="Calibri" w:hAnsi="Arial" w:cs="Arial"/>
                <w:szCs w:val="22"/>
              </w:rPr>
              <w:t>d</w:t>
            </w:r>
            <w:r w:rsidR="00C8393B" w:rsidRPr="00C8393B">
              <w:rPr>
                <w:rFonts w:ascii="Arial" w:eastAsia="Calibri" w:hAnsi="Arial" w:cs="Arial"/>
                <w:szCs w:val="22"/>
              </w:rPr>
              <w:t xml:space="preserve"> the necessity</w:t>
            </w:r>
            <w:r w:rsidR="00C8393B">
              <w:rPr>
                <w:rFonts w:ascii="Arial" w:eastAsia="Calibri" w:hAnsi="Arial" w:cs="Arial"/>
                <w:szCs w:val="22"/>
              </w:rPr>
              <w:t xml:space="preserve"> </w:t>
            </w:r>
            <w:r w:rsidR="00C8393B" w:rsidRPr="00C8393B">
              <w:rPr>
                <w:rFonts w:ascii="Arial" w:eastAsia="Calibri" w:hAnsi="Arial" w:cs="Arial"/>
                <w:szCs w:val="22"/>
              </w:rPr>
              <w:t xml:space="preserve">for coordinated policy efforts to address structural bottlenecks in </w:t>
            </w:r>
            <w:proofErr w:type="spellStart"/>
            <w:r w:rsidR="00C8393B" w:rsidRPr="00C8393B">
              <w:rPr>
                <w:rFonts w:ascii="Arial" w:eastAsia="Calibri" w:hAnsi="Arial" w:cs="Arial"/>
                <w:szCs w:val="22"/>
              </w:rPr>
              <w:t>labour</w:t>
            </w:r>
            <w:proofErr w:type="spellEnd"/>
            <w:r w:rsidR="00C8393B" w:rsidRPr="00C8393B">
              <w:rPr>
                <w:rFonts w:ascii="Arial" w:eastAsia="Calibri" w:hAnsi="Arial" w:cs="Arial"/>
                <w:szCs w:val="22"/>
              </w:rPr>
              <w:t xml:space="preserve"> availability, pest management, and institutional support systems</w:t>
            </w:r>
            <w:r w:rsidR="00C8393B">
              <w:rPr>
                <w:rFonts w:ascii="Arial" w:eastAsia="Calibri" w:hAnsi="Arial" w:cs="Arial"/>
                <w:szCs w:val="22"/>
              </w:rPr>
              <w:t xml:space="preserve"> </w:t>
            </w:r>
            <w:r w:rsidR="00C8393B" w:rsidRPr="00C8393B">
              <w:rPr>
                <w:rFonts w:ascii="Arial" w:eastAsia="Calibri" w:hAnsi="Arial" w:cs="Arial"/>
                <w:szCs w:val="22"/>
              </w:rPr>
              <w:t>to enhance farm-level efficiency and income stability.</w:t>
            </w:r>
          </w:p>
          <w:p w14:paraId="01376D76" w14:textId="77737B3E" w:rsidR="00AD766E" w:rsidRPr="00AD766E" w:rsidRDefault="00AD766E" w:rsidP="003F5B1C">
            <w:pPr>
              <w:pStyle w:val="Body"/>
              <w:spacing w:after="0"/>
              <w:rPr>
                <w:rFonts w:ascii="Arial" w:eastAsia="Calibri" w:hAnsi="Arial" w:cs="Arial"/>
                <w:szCs w:val="22"/>
              </w:rPr>
            </w:pPr>
          </w:p>
          <w:p w14:paraId="5D21C137" w14:textId="3787E78D" w:rsidR="00505F06" w:rsidRPr="00BA1B01" w:rsidRDefault="00505F06" w:rsidP="003F5B1C">
            <w:pPr>
              <w:pStyle w:val="Body"/>
              <w:spacing w:after="0"/>
              <w:rPr>
                <w:rFonts w:ascii="Arial" w:eastAsia="Calibri" w:hAnsi="Arial" w:cs="Arial"/>
                <w:szCs w:val="22"/>
              </w:rPr>
            </w:pPr>
          </w:p>
        </w:tc>
      </w:tr>
    </w:tbl>
    <w:p w14:paraId="1FB2B1A4" w14:textId="77777777" w:rsidR="00636EB2" w:rsidRDefault="00636EB2" w:rsidP="003F5B1C">
      <w:pPr>
        <w:pStyle w:val="Body"/>
        <w:spacing w:after="0"/>
        <w:rPr>
          <w:rFonts w:ascii="Arial" w:hAnsi="Arial" w:cs="Arial"/>
          <w:i/>
        </w:rPr>
      </w:pPr>
    </w:p>
    <w:p w14:paraId="206BA5DA" w14:textId="0520EB5F" w:rsidR="00AD766E" w:rsidRPr="00AD766E" w:rsidRDefault="00A24E7E" w:rsidP="003F5B1C">
      <w:pPr>
        <w:pStyle w:val="Body"/>
        <w:rPr>
          <w:rFonts w:ascii="Arial" w:hAnsi="Arial" w:cs="Arial"/>
          <w:i/>
        </w:rPr>
      </w:pPr>
      <w:r>
        <w:rPr>
          <w:rFonts w:ascii="Arial" w:hAnsi="Arial" w:cs="Arial"/>
          <w:i/>
        </w:rPr>
        <w:t>Keywords:</w:t>
      </w:r>
      <w:r w:rsidR="00AD766E">
        <w:rPr>
          <w:rFonts w:ascii="Arial" w:hAnsi="Arial" w:cs="Arial"/>
          <w:i/>
        </w:rPr>
        <w:t xml:space="preserve"> </w:t>
      </w:r>
      <w:r w:rsidR="00AD766E" w:rsidRPr="00AD766E">
        <w:rPr>
          <w:rFonts w:ascii="Arial" w:hAnsi="Arial" w:cs="Arial"/>
          <w:i/>
        </w:rPr>
        <w:t>Off-season cabbage, Constraints severity index, Constraints, Vegetables.</w:t>
      </w:r>
    </w:p>
    <w:p w14:paraId="2555A5E4" w14:textId="302A7859" w:rsidR="00A24E7E" w:rsidRDefault="00AD766E" w:rsidP="003F5B1C">
      <w:pPr>
        <w:pStyle w:val="Body"/>
        <w:spacing w:after="0"/>
        <w:rPr>
          <w:rFonts w:ascii="Arial" w:hAnsi="Arial" w:cs="Arial"/>
          <w:i/>
        </w:rPr>
      </w:pPr>
      <w:r w:rsidRPr="00AD766E">
        <w:rPr>
          <w:rFonts w:ascii="Arial" w:hAnsi="Arial" w:cs="Arial"/>
          <w:i/>
        </w:rPr>
        <w:t xml:space="preserve">. </w:t>
      </w:r>
    </w:p>
    <w:p w14:paraId="61C9CFFA" w14:textId="77777777" w:rsidR="00790ADA" w:rsidRDefault="00790ADA" w:rsidP="003F5B1C">
      <w:pPr>
        <w:pStyle w:val="Body"/>
        <w:spacing w:after="0"/>
        <w:rPr>
          <w:rFonts w:ascii="Arial" w:hAnsi="Arial" w:cs="Arial"/>
          <w:i/>
        </w:rPr>
      </w:pPr>
    </w:p>
    <w:p w14:paraId="187359B2" w14:textId="77777777" w:rsidR="00AD766E" w:rsidRDefault="00AD766E" w:rsidP="003F5B1C">
      <w:pPr>
        <w:pStyle w:val="AbstHead"/>
        <w:spacing w:after="0"/>
        <w:jc w:val="both"/>
        <w:rPr>
          <w:rFonts w:ascii="Arial" w:hAnsi="Arial" w:cs="Arial"/>
        </w:rPr>
      </w:pPr>
    </w:p>
    <w:p w14:paraId="52901840" w14:textId="77777777" w:rsidR="00AD766E" w:rsidRDefault="00AD766E" w:rsidP="003F5B1C">
      <w:pPr>
        <w:pStyle w:val="AbstHead"/>
        <w:spacing w:after="0"/>
        <w:jc w:val="both"/>
        <w:rPr>
          <w:rFonts w:ascii="Arial" w:hAnsi="Arial" w:cs="Arial"/>
        </w:rPr>
      </w:pPr>
    </w:p>
    <w:p w14:paraId="394E859F" w14:textId="77777777" w:rsidR="00AD766E" w:rsidRDefault="00AD766E" w:rsidP="003F5B1C">
      <w:pPr>
        <w:pStyle w:val="AbstHead"/>
        <w:spacing w:after="0"/>
        <w:jc w:val="both"/>
        <w:rPr>
          <w:rFonts w:ascii="Arial" w:hAnsi="Arial" w:cs="Arial"/>
        </w:rPr>
      </w:pPr>
    </w:p>
    <w:p w14:paraId="432D994C" w14:textId="77777777" w:rsidR="00AD766E" w:rsidRDefault="00AD766E" w:rsidP="003F5B1C">
      <w:pPr>
        <w:pStyle w:val="AbstHead"/>
        <w:spacing w:after="0"/>
        <w:jc w:val="both"/>
        <w:rPr>
          <w:rFonts w:ascii="Arial" w:hAnsi="Arial" w:cs="Arial"/>
        </w:rPr>
      </w:pPr>
    </w:p>
    <w:p w14:paraId="60386840" w14:textId="71C4B369" w:rsidR="007F7B32" w:rsidRDefault="00902823" w:rsidP="003F5B1C">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F04551C" w14:textId="77777777" w:rsidR="00790ADA" w:rsidRPr="00FB3A86" w:rsidRDefault="00790ADA" w:rsidP="003F5B1C">
      <w:pPr>
        <w:pStyle w:val="AbstHead"/>
        <w:spacing w:after="0"/>
        <w:jc w:val="both"/>
        <w:rPr>
          <w:rFonts w:ascii="Arial" w:hAnsi="Arial" w:cs="Arial"/>
        </w:rPr>
      </w:pPr>
    </w:p>
    <w:p w14:paraId="0C8CC2AB" w14:textId="5D53D2A0" w:rsidR="00471FE5" w:rsidRPr="00712852" w:rsidRDefault="00920306" w:rsidP="003F5B1C">
      <w:pPr>
        <w:pStyle w:val="Body"/>
        <w:spacing w:after="0"/>
        <w:rPr>
          <w:rFonts w:ascii="Arial" w:hAnsi="Arial" w:cs="Arial"/>
          <w:color w:val="EE0000"/>
        </w:rPr>
      </w:pPr>
      <w:r w:rsidRPr="00920306">
        <w:rPr>
          <w:rFonts w:ascii="Arial" w:hAnsi="Arial" w:cs="Arial"/>
          <w:lang w:val="en-IN"/>
        </w:rPr>
        <w:t xml:space="preserve">Agriculture remains a central pillar of the Indian economy, with the horticulture sector emerging as a key driver of agricultural diversification, income enhancement, and nutritional security. </w:t>
      </w:r>
      <w:r w:rsidRPr="00920306">
        <w:rPr>
          <w:rFonts w:ascii="Arial" w:hAnsi="Arial" w:cs="Arial"/>
          <w:lang w:val="en-IN"/>
        </w:rPr>
        <w:lastRenderedPageBreak/>
        <w:t>Over recent decades, Indian agriculture has witnessed a structural shift from cereal-based systems to high-value horticultural crops, driven by changing consumption patterns, urbanization, and rising incomes</w:t>
      </w:r>
      <w:r w:rsidR="00456238">
        <w:rPr>
          <w:rFonts w:ascii="Arial" w:hAnsi="Arial" w:cs="Arial"/>
          <w:lang w:val="en-IN"/>
        </w:rPr>
        <w:t xml:space="preserve">. [1] </w:t>
      </w:r>
      <w:r w:rsidRPr="00920306">
        <w:rPr>
          <w:rFonts w:ascii="Arial" w:hAnsi="Arial" w:cs="Arial"/>
          <w:lang w:val="en-IN"/>
        </w:rPr>
        <w:t>Horticulture contributes substantially to agricultural Gross Value Added (GVA) despite utilizing a relatively smaller share of cultivated land, reflecting its higher economic efficiency</w:t>
      </w:r>
      <w:r w:rsidR="00456238">
        <w:rPr>
          <w:rFonts w:ascii="Arial" w:hAnsi="Arial" w:cs="Arial"/>
          <w:lang w:val="en-IN"/>
        </w:rPr>
        <w:t>. [2]</w:t>
      </w:r>
      <w:r w:rsidRPr="00920306">
        <w:rPr>
          <w:rFonts w:ascii="Arial" w:hAnsi="Arial" w:cs="Arial"/>
          <w:lang w:val="en-IN"/>
        </w:rPr>
        <w:t xml:space="preserve"> At the global level, diversification towards fruits and vegetables is widely recognized as essential for sustainable agricultural development and improved nutritional security</w:t>
      </w:r>
      <w:r w:rsidR="00456238">
        <w:rPr>
          <w:rFonts w:ascii="Arial" w:hAnsi="Arial" w:cs="Arial"/>
          <w:lang w:val="en-IN"/>
        </w:rPr>
        <w:t xml:space="preserve"> [3]. </w:t>
      </w:r>
      <w:r w:rsidRPr="00920306">
        <w:rPr>
          <w:rFonts w:ascii="Arial" w:hAnsi="Arial" w:cs="Arial"/>
          <w:lang w:val="en-IN"/>
        </w:rPr>
        <w:t xml:space="preserve">However, the growth of the horticulture sector is characterized by significant regional disparities in productivity, infrastructure, and market access. These challenges are particularly evident in the North-Eastern region of India, especially in Manipur, where </w:t>
      </w:r>
      <w:proofErr w:type="spellStart"/>
      <w:r w:rsidRPr="00920306">
        <w:rPr>
          <w:rFonts w:ascii="Arial" w:hAnsi="Arial" w:cs="Arial"/>
          <w:lang w:val="en-IN"/>
        </w:rPr>
        <w:t>favorable</w:t>
      </w:r>
      <w:proofErr w:type="spellEnd"/>
      <w:r w:rsidRPr="00920306">
        <w:rPr>
          <w:rFonts w:ascii="Arial" w:hAnsi="Arial" w:cs="Arial"/>
          <w:lang w:val="en-IN"/>
        </w:rPr>
        <w:t xml:space="preserve"> </w:t>
      </w:r>
      <w:proofErr w:type="spellStart"/>
      <w:r w:rsidRPr="00920306">
        <w:rPr>
          <w:rFonts w:ascii="Arial" w:hAnsi="Arial" w:cs="Arial"/>
          <w:lang w:val="en-IN"/>
        </w:rPr>
        <w:t>agro</w:t>
      </w:r>
      <w:proofErr w:type="spellEnd"/>
      <w:r w:rsidRPr="00920306">
        <w:rPr>
          <w:rFonts w:ascii="Arial" w:hAnsi="Arial" w:cs="Arial"/>
          <w:lang w:val="en-IN"/>
        </w:rPr>
        <w:t>-climatic conditions and rich natural resource endowments remain underutilized due to technological, institutional, and infrastructural limitations</w:t>
      </w:r>
      <w:r w:rsidR="00456238">
        <w:rPr>
          <w:rFonts w:ascii="Arial" w:hAnsi="Arial" w:cs="Arial"/>
          <w:lang w:val="en-IN"/>
        </w:rPr>
        <w:t xml:space="preserve">. [4]. </w:t>
      </w:r>
      <w:r w:rsidRPr="00920306">
        <w:rPr>
          <w:rFonts w:ascii="Arial" w:hAnsi="Arial" w:cs="Arial"/>
          <w:lang w:val="en-IN"/>
        </w:rPr>
        <w:t>Vegetable cultivation, owing to its short duration and high economic returns, holds considerable potential for improving farm incomes; nevertheless, productivity remains suboptimal due to limited adoption of improved technologies and inefficient input utilization (National Horticulture Board, 2022).</w:t>
      </w:r>
      <w:r>
        <w:rPr>
          <w:rFonts w:ascii="Arial" w:hAnsi="Arial" w:cs="Arial"/>
          <w:lang w:val="en-IN"/>
        </w:rPr>
        <w:t xml:space="preserve"> </w:t>
      </w:r>
      <w:r w:rsidRPr="00920306">
        <w:rPr>
          <w:rFonts w:ascii="Arial" w:hAnsi="Arial" w:cs="Arial"/>
          <w:lang w:val="en-IN"/>
        </w:rPr>
        <w:t>Off-season vegetable cultivation has emerged as an important strategy to enhance farmers’ income by enabling production during periods of limited supply and higher market prices</w:t>
      </w:r>
      <w:r w:rsidR="00456238">
        <w:rPr>
          <w:rFonts w:ascii="Arial" w:hAnsi="Arial" w:cs="Arial"/>
          <w:lang w:val="en-IN"/>
        </w:rPr>
        <w:t>.[5]</w:t>
      </w:r>
      <w:r w:rsidRPr="00920306">
        <w:rPr>
          <w:rFonts w:ascii="Arial" w:hAnsi="Arial" w:cs="Arial"/>
          <w:lang w:val="en-IN"/>
        </w:rPr>
        <w:t xml:space="preserve">. </w:t>
      </w:r>
      <w:r w:rsidR="00955413" w:rsidRPr="00712852">
        <w:rPr>
          <w:rFonts w:ascii="Arial" w:hAnsi="Arial" w:cs="Arial"/>
          <w:color w:val="000000" w:themeColor="text1"/>
        </w:rPr>
        <w:t>Off</w:t>
      </w:r>
      <w:r w:rsidR="00955413" w:rsidRPr="00712852">
        <w:rPr>
          <w:rFonts w:ascii="Arial" w:hAnsi="Arial" w:cs="Arial"/>
          <w:color w:val="000000" w:themeColor="text1"/>
        </w:rPr>
        <w:noBreakHyphen/>
        <w:t>season vegetable cultivation enhances year</w:t>
      </w:r>
      <w:r w:rsidR="00955413" w:rsidRPr="00712852">
        <w:rPr>
          <w:rFonts w:ascii="Arial" w:hAnsi="Arial" w:cs="Arial"/>
          <w:color w:val="000000" w:themeColor="text1"/>
        </w:rPr>
        <w:noBreakHyphen/>
        <w:t xml:space="preserve">round supply, improves farmers’ income, and helps meet increasing consumer demand by allowing vegetables to be grown outside their normal climatic season.[6] </w:t>
      </w:r>
      <w:r w:rsidRPr="00920306">
        <w:rPr>
          <w:rFonts w:ascii="Arial" w:hAnsi="Arial" w:cs="Arial"/>
          <w:lang w:val="en-IN"/>
        </w:rPr>
        <w:t>Among vegetable crops, cabbage (</w:t>
      </w:r>
      <w:r w:rsidRPr="00920306">
        <w:rPr>
          <w:rFonts w:ascii="Arial" w:hAnsi="Arial" w:cs="Arial"/>
          <w:i/>
          <w:iCs/>
          <w:lang w:val="en-IN"/>
        </w:rPr>
        <w:t>Brassica oleracea</w:t>
      </w:r>
      <w:r w:rsidRPr="00920306">
        <w:rPr>
          <w:rFonts w:ascii="Arial" w:hAnsi="Arial" w:cs="Arial"/>
          <w:lang w:val="en-IN"/>
        </w:rPr>
        <w:t xml:space="preserve"> var. </w:t>
      </w:r>
      <w:r w:rsidRPr="00920306">
        <w:rPr>
          <w:rFonts w:ascii="Arial" w:hAnsi="Arial" w:cs="Arial"/>
          <w:i/>
          <w:iCs/>
          <w:lang w:val="en-IN"/>
        </w:rPr>
        <w:t>capitata</w:t>
      </w:r>
      <w:r w:rsidRPr="00920306">
        <w:rPr>
          <w:rFonts w:ascii="Arial" w:hAnsi="Arial" w:cs="Arial"/>
          <w:lang w:val="en-IN"/>
        </w:rPr>
        <w:t>) occupies a prominent position due to its wide adaptability, high yield potential, and consistent market demand. In Manipur, off-season cabbage cultivation has expanded considerably; however, its economic viability is constrained by multiple production and marketing challenges, including high input costs, pest infestation, inadequate infrastructure, and price fluctuations.</w:t>
      </w:r>
      <w:r>
        <w:rPr>
          <w:rFonts w:ascii="Arial" w:hAnsi="Arial" w:cs="Arial"/>
          <w:lang w:val="en-IN"/>
        </w:rPr>
        <w:t xml:space="preserve"> </w:t>
      </w:r>
      <w:r w:rsidR="00F721AD" w:rsidRPr="00712852">
        <w:rPr>
          <w:rFonts w:ascii="Arial" w:hAnsi="Arial" w:cs="Arial"/>
          <w:color w:val="000000" w:themeColor="text1"/>
        </w:rPr>
        <w:t>C</w:t>
      </w:r>
      <w:r w:rsidR="00955413" w:rsidRPr="00712852">
        <w:rPr>
          <w:rFonts w:ascii="Arial" w:hAnsi="Arial" w:cs="Arial"/>
          <w:color w:val="000000" w:themeColor="text1"/>
        </w:rPr>
        <w:t>onstraints such as high input costs, limited access to information, and insufficient training significantly limit farmers’ adoption of improved practices and reduce overall productivity. [</w:t>
      </w:r>
      <w:r w:rsidR="00F721AD" w:rsidRPr="00712852">
        <w:rPr>
          <w:rFonts w:ascii="Arial" w:hAnsi="Arial" w:cs="Arial"/>
          <w:color w:val="000000" w:themeColor="text1"/>
        </w:rPr>
        <w:t>7]</w:t>
      </w:r>
      <w:r w:rsidR="00712852">
        <w:rPr>
          <w:rFonts w:ascii="Arial" w:hAnsi="Arial" w:cs="Arial"/>
          <w:color w:val="EE0000"/>
        </w:rPr>
        <w:t xml:space="preserve"> </w:t>
      </w:r>
      <w:r w:rsidRPr="00920306">
        <w:rPr>
          <w:rFonts w:ascii="Arial" w:hAnsi="Arial" w:cs="Arial"/>
          <w:lang w:val="en-IN"/>
        </w:rPr>
        <w:t>Although existing studies have examined various aspects of vegetable production, limited attention has been given to a systematic and quantitative assessment of constraints affecting farmers in off-season cultivation systems. The absence of such empirical analysis restricts the identification of critical bottlenecks and the formulation of targeted policy interventions.</w:t>
      </w:r>
      <w:r>
        <w:rPr>
          <w:rFonts w:ascii="Arial" w:hAnsi="Arial" w:cs="Arial"/>
          <w:lang w:val="en-IN"/>
        </w:rPr>
        <w:t xml:space="preserve"> </w:t>
      </w:r>
      <w:r w:rsidRPr="00920306">
        <w:rPr>
          <w:rFonts w:ascii="Arial" w:hAnsi="Arial" w:cs="Arial"/>
          <w:lang w:val="en-IN"/>
        </w:rPr>
        <w:t xml:space="preserve">Therefore, the present study aimed to </w:t>
      </w:r>
      <w:proofErr w:type="spellStart"/>
      <w:r w:rsidRPr="00920306">
        <w:rPr>
          <w:rFonts w:ascii="Arial" w:hAnsi="Arial" w:cs="Arial"/>
          <w:lang w:val="en-IN"/>
        </w:rPr>
        <w:t>analyze</w:t>
      </w:r>
      <w:proofErr w:type="spellEnd"/>
      <w:r w:rsidRPr="00920306">
        <w:rPr>
          <w:rFonts w:ascii="Arial" w:hAnsi="Arial" w:cs="Arial"/>
          <w:lang w:val="en-IN"/>
        </w:rPr>
        <w:t xml:space="preserve"> and prioritize the constraints faced by farmers in off-season cabbage cultivation. To achieve this, the study employed </w:t>
      </w:r>
      <w:r w:rsidRPr="00920306">
        <w:rPr>
          <w:rFonts w:ascii="Arial" w:hAnsi="Arial" w:cs="Arial"/>
          <w:b/>
          <w:bCs/>
          <w:i/>
          <w:iCs/>
          <w:lang w:val="en-IN"/>
        </w:rPr>
        <w:t>Garrett’s Ranking Technique</w:t>
      </w:r>
      <w:r w:rsidRPr="00920306">
        <w:rPr>
          <w:rFonts w:ascii="Arial" w:hAnsi="Arial" w:cs="Arial"/>
          <w:lang w:val="en-IN"/>
        </w:rPr>
        <w:t xml:space="preserve"> to capture farmers’ perceptions and convert ordinal rankings into quantitative scores, followed by the construction of a </w:t>
      </w:r>
      <w:r w:rsidRPr="00920306">
        <w:rPr>
          <w:rFonts w:ascii="Arial" w:hAnsi="Arial" w:cs="Arial"/>
          <w:b/>
          <w:bCs/>
          <w:i/>
          <w:iCs/>
          <w:lang w:val="en-IN"/>
        </w:rPr>
        <w:t>Constraint</w:t>
      </w:r>
      <w:r w:rsidR="009F002C">
        <w:rPr>
          <w:rFonts w:ascii="Arial" w:hAnsi="Arial" w:cs="Arial"/>
          <w:b/>
          <w:bCs/>
          <w:i/>
          <w:iCs/>
          <w:lang w:val="en-IN"/>
        </w:rPr>
        <w:t xml:space="preserve"> </w:t>
      </w:r>
      <w:proofErr w:type="gramStart"/>
      <w:r w:rsidR="009F002C">
        <w:rPr>
          <w:rFonts w:ascii="Arial" w:hAnsi="Arial" w:cs="Arial"/>
          <w:b/>
          <w:bCs/>
          <w:i/>
          <w:iCs/>
          <w:lang w:val="en-IN"/>
        </w:rPr>
        <w:t xml:space="preserve">Severity </w:t>
      </w:r>
      <w:r w:rsidRPr="00920306">
        <w:rPr>
          <w:rFonts w:ascii="Arial" w:hAnsi="Arial" w:cs="Arial"/>
          <w:b/>
          <w:bCs/>
          <w:i/>
          <w:iCs/>
          <w:lang w:val="en-IN"/>
        </w:rPr>
        <w:t xml:space="preserve"> Index</w:t>
      </w:r>
      <w:proofErr w:type="gramEnd"/>
      <w:r w:rsidRPr="00920306">
        <w:rPr>
          <w:rFonts w:ascii="Arial" w:hAnsi="Arial" w:cs="Arial"/>
          <w:b/>
          <w:bCs/>
          <w:i/>
          <w:iCs/>
          <w:lang w:val="en-IN"/>
        </w:rPr>
        <w:t xml:space="preserve"> (C</w:t>
      </w:r>
      <w:r w:rsidR="009F002C">
        <w:rPr>
          <w:rFonts w:ascii="Arial" w:hAnsi="Arial" w:cs="Arial"/>
          <w:b/>
          <w:bCs/>
          <w:i/>
          <w:iCs/>
          <w:lang w:val="en-IN"/>
        </w:rPr>
        <w:t>S</w:t>
      </w:r>
      <w:r w:rsidRPr="00920306">
        <w:rPr>
          <w:rFonts w:ascii="Arial" w:hAnsi="Arial" w:cs="Arial"/>
          <w:b/>
          <w:bCs/>
          <w:i/>
          <w:iCs/>
          <w:lang w:val="en-IN"/>
        </w:rPr>
        <w:t>I)</w:t>
      </w:r>
      <w:r w:rsidRPr="00920306">
        <w:rPr>
          <w:rFonts w:ascii="Arial" w:hAnsi="Arial" w:cs="Arial"/>
          <w:lang w:val="en-IN"/>
        </w:rPr>
        <w:t xml:space="preserve"> to standardize and compare the severity of constraints across categories. This integrated analytical approach enabled a comprehensive and robust assessment of constraints, thereby facilitating evidence-based recommendations for improving the efficiency and sustainability of off-season vegetable production systems.</w:t>
      </w:r>
    </w:p>
    <w:p w14:paraId="1CB3349F" w14:textId="77777777" w:rsidR="00920306" w:rsidRDefault="00920306" w:rsidP="003F5B1C">
      <w:pPr>
        <w:pStyle w:val="Body"/>
        <w:spacing w:after="0"/>
        <w:rPr>
          <w:rFonts w:ascii="Arial" w:hAnsi="Arial" w:cs="Arial"/>
        </w:rPr>
      </w:pPr>
    </w:p>
    <w:p w14:paraId="7B19CF7A" w14:textId="77777777" w:rsidR="00790ADA" w:rsidRPr="00FB3A86" w:rsidRDefault="00790ADA" w:rsidP="003F5B1C">
      <w:pPr>
        <w:pStyle w:val="Body"/>
        <w:spacing w:after="0"/>
        <w:rPr>
          <w:rFonts w:ascii="Arial" w:hAnsi="Arial" w:cs="Arial"/>
        </w:rPr>
      </w:pPr>
    </w:p>
    <w:p w14:paraId="3EE30542" w14:textId="09C1D160" w:rsidR="00790ADA" w:rsidRDefault="00902823" w:rsidP="003F5B1C">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765F68C" w14:textId="77777777" w:rsidR="00471FE5" w:rsidRPr="00FB3A86" w:rsidRDefault="00471FE5" w:rsidP="003F5B1C">
      <w:pPr>
        <w:pStyle w:val="AbstHead"/>
        <w:spacing w:after="0"/>
        <w:jc w:val="both"/>
        <w:rPr>
          <w:rFonts w:ascii="Arial" w:hAnsi="Arial" w:cs="Arial"/>
        </w:rPr>
      </w:pPr>
    </w:p>
    <w:p w14:paraId="315262C2" w14:textId="0B10737D" w:rsidR="00920306" w:rsidRDefault="00920306" w:rsidP="003F5B1C">
      <w:pPr>
        <w:pStyle w:val="Body"/>
        <w:spacing w:after="0"/>
        <w:rPr>
          <w:rFonts w:ascii="Arial" w:hAnsi="Arial" w:cs="Arial"/>
          <w:lang w:val="en-IN"/>
        </w:rPr>
      </w:pPr>
      <w:r w:rsidRPr="00920306">
        <w:rPr>
          <w:rFonts w:ascii="Arial" w:hAnsi="Arial" w:cs="Arial"/>
          <w:lang w:val="en-IN"/>
        </w:rPr>
        <w:t>The present study was conducted in Manipur, a geographically unique and agriculturally important state located in the north-eastern region of India. The state lies between 92°58′23.422″ to 94°43′35.553″ East longitudes and 23°49′45.530″ to 25°42′1.456″ North latitudes. It is distinguished by its characteristic topography, comprising a centrally located oval-shaped valley surrounded by an extensive network of hill ranges. This distinctive physiography plays a crucial role in shaping the climatic conditions, cropping patterns, and overall agricultural practices of the region. Manipur shares an international border of about 352 kilometres with Myanmar to the south-east and is bounded by Nagaland to the north, Assam to the west, and Mizoram and parts of Myanmar to the south and south-west. The total geographical area of Manipur is approximately 22,327 square kilometres, accounting for nearly 0.7 percent of the country’s land area</w:t>
      </w:r>
      <w:r w:rsidR="00456238">
        <w:rPr>
          <w:rFonts w:ascii="Arial" w:hAnsi="Arial" w:cs="Arial"/>
          <w:lang w:val="en-IN"/>
        </w:rPr>
        <w:t xml:space="preserve">. </w:t>
      </w:r>
      <w:r w:rsidRPr="00920306">
        <w:rPr>
          <w:rFonts w:ascii="Arial" w:hAnsi="Arial" w:cs="Arial"/>
          <w:lang w:val="en-IN"/>
        </w:rPr>
        <w:t xml:space="preserve">A notable feature of the state is the predominance of hilly terrain, which constitutes nearly 90 percent of the total area, while the </w:t>
      </w:r>
      <w:r w:rsidRPr="00920306">
        <w:rPr>
          <w:rFonts w:ascii="Arial" w:hAnsi="Arial" w:cs="Arial"/>
          <w:lang w:val="en-IN"/>
        </w:rPr>
        <w:lastRenderedPageBreak/>
        <w:t xml:space="preserve">valley region occupies only about 10 percent. This uneven distribution of landforms significantly influences the agricultural systems practiced across the state. The climate is predominantly tropical to sub-tropical, with average annual rainfall of about 1137.1 mm as reported by ICAR, </w:t>
      </w:r>
      <w:proofErr w:type="spellStart"/>
      <w:r w:rsidRPr="00920306">
        <w:rPr>
          <w:rFonts w:ascii="Arial" w:hAnsi="Arial" w:cs="Arial"/>
          <w:lang w:val="en-IN"/>
        </w:rPr>
        <w:t>Lamphelpat</w:t>
      </w:r>
      <w:proofErr w:type="spellEnd"/>
      <w:r w:rsidRPr="00920306">
        <w:rPr>
          <w:rFonts w:ascii="Arial" w:hAnsi="Arial" w:cs="Arial"/>
          <w:lang w:val="en-IN"/>
        </w:rPr>
        <w:t>, which supports the cultivation of a wide variety of crops</w:t>
      </w:r>
      <w:r w:rsidR="00456238">
        <w:rPr>
          <w:rFonts w:ascii="Arial" w:hAnsi="Arial" w:cs="Arial"/>
          <w:lang w:val="en-IN"/>
        </w:rPr>
        <w:t xml:space="preserve">. </w:t>
      </w:r>
      <w:r w:rsidRPr="00920306">
        <w:rPr>
          <w:rFonts w:ascii="Arial" w:hAnsi="Arial" w:cs="Arial"/>
          <w:lang w:val="en-IN"/>
        </w:rPr>
        <w:t xml:space="preserve">Major crops grown in the region include rice, maize, cabbage, cauliflower, peas, potato, beans, tomato, mustard, and several fruit crops such as orange, lemon, passion fruit, and banana. In recent years, vegetable cultivation, particularly in the hill regions, has gained increasing importance due to </w:t>
      </w:r>
      <w:proofErr w:type="spellStart"/>
      <w:r w:rsidRPr="00920306">
        <w:rPr>
          <w:rFonts w:ascii="Arial" w:hAnsi="Arial" w:cs="Arial"/>
          <w:lang w:val="en-IN"/>
        </w:rPr>
        <w:t>favorable</w:t>
      </w:r>
      <w:proofErr w:type="spellEnd"/>
      <w:r w:rsidRPr="00920306">
        <w:rPr>
          <w:rFonts w:ascii="Arial" w:hAnsi="Arial" w:cs="Arial"/>
          <w:lang w:val="en-IN"/>
        </w:rPr>
        <w:t xml:space="preserve"> climatic conditions and rising market demand.</w:t>
      </w:r>
      <w:r>
        <w:rPr>
          <w:rFonts w:ascii="Arial" w:hAnsi="Arial" w:cs="Arial"/>
          <w:lang w:val="en-IN"/>
        </w:rPr>
        <w:t xml:space="preserve"> </w:t>
      </w:r>
      <w:r w:rsidRPr="00920306">
        <w:rPr>
          <w:rFonts w:ascii="Arial" w:hAnsi="Arial" w:cs="Arial"/>
          <w:lang w:val="en-IN"/>
        </w:rPr>
        <w:t xml:space="preserve">Administratively, Manipur is divided into nine districts, broadly categorized into valley and hill districts. The valley districts include Imphal East, Imphal West, Bishnupur, and </w:t>
      </w:r>
      <w:proofErr w:type="spellStart"/>
      <w:r w:rsidRPr="00920306">
        <w:rPr>
          <w:rFonts w:ascii="Arial" w:hAnsi="Arial" w:cs="Arial"/>
          <w:lang w:val="en-IN"/>
        </w:rPr>
        <w:t>Thoubal</w:t>
      </w:r>
      <w:proofErr w:type="spellEnd"/>
      <w:r w:rsidRPr="00920306">
        <w:rPr>
          <w:rFonts w:ascii="Arial" w:hAnsi="Arial" w:cs="Arial"/>
          <w:lang w:val="en-IN"/>
        </w:rPr>
        <w:t xml:space="preserve">, while the hill districts comprise Senapati, </w:t>
      </w:r>
      <w:proofErr w:type="spellStart"/>
      <w:r w:rsidRPr="00920306">
        <w:rPr>
          <w:rFonts w:ascii="Arial" w:hAnsi="Arial" w:cs="Arial"/>
          <w:lang w:val="en-IN"/>
        </w:rPr>
        <w:t>Tamenglong</w:t>
      </w:r>
      <w:proofErr w:type="spellEnd"/>
      <w:r w:rsidRPr="00920306">
        <w:rPr>
          <w:rFonts w:ascii="Arial" w:hAnsi="Arial" w:cs="Arial"/>
          <w:lang w:val="en-IN"/>
        </w:rPr>
        <w:t xml:space="preserve">, Churachandpur, Chandel, and </w:t>
      </w:r>
      <w:proofErr w:type="spellStart"/>
      <w:r w:rsidRPr="00920306">
        <w:rPr>
          <w:rFonts w:ascii="Arial" w:hAnsi="Arial" w:cs="Arial"/>
          <w:lang w:val="en-IN"/>
        </w:rPr>
        <w:t>Ukhrul</w:t>
      </w:r>
      <w:proofErr w:type="spellEnd"/>
      <w:r w:rsidRPr="00920306">
        <w:rPr>
          <w:rFonts w:ascii="Arial" w:hAnsi="Arial" w:cs="Arial"/>
          <w:lang w:val="en-IN"/>
        </w:rPr>
        <w:t xml:space="preserve">. The hill districts are particularly suited for off-season vegetable cultivation due to their relatively cooler climate and </w:t>
      </w:r>
      <w:proofErr w:type="spellStart"/>
      <w:r w:rsidRPr="00920306">
        <w:rPr>
          <w:rFonts w:ascii="Arial" w:hAnsi="Arial" w:cs="Arial"/>
          <w:lang w:val="en-IN"/>
        </w:rPr>
        <w:t>agro</w:t>
      </w:r>
      <w:proofErr w:type="spellEnd"/>
      <w:r w:rsidRPr="00920306">
        <w:rPr>
          <w:rFonts w:ascii="Arial" w:hAnsi="Arial" w:cs="Arial"/>
          <w:lang w:val="en-IN"/>
        </w:rPr>
        <w:t>-ecological advantages, which allow farmers to cultivate crops such as cabbage during periods when production in the plains is limited</w:t>
      </w:r>
      <w:r w:rsidR="00456238">
        <w:rPr>
          <w:rFonts w:ascii="Arial" w:hAnsi="Arial" w:cs="Arial"/>
          <w:lang w:val="en-IN"/>
        </w:rPr>
        <w:t xml:space="preserve">. </w:t>
      </w:r>
      <w:r w:rsidRPr="00920306">
        <w:rPr>
          <w:rFonts w:ascii="Arial" w:hAnsi="Arial" w:cs="Arial"/>
          <w:lang w:val="en-IN"/>
        </w:rPr>
        <w:t xml:space="preserve">Given this context, the study was carried out in the hill region of Manipur, where off-season cabbage cultivation is predominantly concentrated. Among the hill districts, Senapati district was purposively selected owing to its prominence in off-season cabbage production and its relatively larger geographical area. The district exhibits suitable </w:t>
      </w:r>
      <w:proofErr w:type="spellStart"/>
      <w:r w:rsidRPr="00920306">
        <w:rPr>
          <w:rFonts w:ascii="Arial" w:hAnsi="Arial" w:cs="Arial"/>
          <w:lang w:val="en-IN"/>
        </w:rPr>
        <w:t>agro</w:t>
      </w:r>
      <w:proofErr w:type="spellEnd"/>
      <w:r w:rsidRPr="00920306">
        <w:rPr>
          <w:rFonts w:ascii="Arial" w:hAnsi="Arial" w:cs="Arial"/>
          <w:lang w:val="en-IN"/>
        </w:rPr>
        <w:t xml:space="preserve">-climatic conditions that support the cultivation of cabbage during the off-season, making it an appropriate location for examining the constraints faced by farmers. Senapati district is administratively divided into several blocks, including Mao-Maram, </w:t>
      </w:r>
      <w:proofErr w:type="spellStart"/>
      <w:r w:rsidRPr="00920306">
        <w:rPr>
          <w:rFonts w:ascii="Arial" w:hAnsi="Arial" w:cs="Arial"/>
          <w:lang w:val="en-IN"/>
        </w:rPr>
        <w:t>Paomata</w:t>
      </w:r>
      <w:proofErr w:type="spellEnd"/>
      <w:r w:rsidRPr="00920306">
        <w:rPr>
          <w:rFonts w:ascii="Arial" w:hAnsi="Arial" w:cs="Arial"/>
          <w:lang w:val="en-IN"/>
        </w:rPr>
        <w:t xml:space="preserve">, </w:t>
      </w:r>
      <w:proofErr w:type="spellStart"/>
      <w:r w:rsidRPr="00920306">
        <w:rPr>
          <w:rFonts w:ascii="Arial" w:hAnsi="Arial" w:cs="Arial"/>
          <w:lang w:val="en-IN"/>
        </w:rPr>
        <w:t>Purul</w:t>
      </w:r>
      <w:proofErr w:type="spellEnd"/>
      <w:r w:rsidRPr="00920306">
        <w:rPr>
          <w:rFonts w:ascii="Arial" w:hAnsi="Arial" w:cs="Arial"/>
          <w:lang w:val="en-IN"/>
        </w:rPr>
        <w:t xml:space="preserve">, </w:t>
      </w:r>
      <w:proofErr w:type="spellStart"/>
      <w:r w:rsidRPr="00920306">
        <w:rPr>
          <w:rFonts w:ascii="Arial" w:hAnsi="Arial" w:cs="Arial"/>
          <w:lang w:val="en-IN"/>
        </w:rPr>
        <w:t>Willong</w:t>
      </w:r>
      <w:proofErr w:type="spellEnd"/>
      <w:r w:rsidRPr="00920306">
        <w:rPr>
          <w:rFonts w:ascii="Arial" w:hAnsi="Arial" w:cs="Arial"/>
          <w:lang w:val="en-IN"/>
        </w:rPr>
        <w:t xml:space="preserve">, </w:t>
      </w:r>
      <w:proofErr w:type="spellStart"/>
      <w:r w:rsidRPr="00920306">
        <w:rPr>
          <w:rFonts w:ascii="Arial" w:hAnsi="Arial" w:cs="Arial"/>
          <w:lang w:val="en-IN"/>
        </w:rPr>
        <w:t>Chilivai-Phaibung</w:t>
      </w:r>
      <w:proofErr w:type="spellEnd"/>
      <w:r w:rsidRPr="00920306">
        <w:rPr>
          <w:rFonts w:ascii="Arial" w:hAnsi="Arial" w:cs="Arial"/>
          <w:lang w:val="en-IN"/>
        </w:rPr>
        <w:t xml:space="preserve">, Song-Song, and </w:t>
      </w:r>
      <w:proofErr w:type="spellStart"/>
      <w:r w:rsidRPr="00920306">
        <w:rPr>
          <w:rFonts w:ascii="Arial" w:hAnsi="Arial" w:cs="Arial"/>
          <w:lang w:val="en-IN"/>
        </w:rPr>
        <w:t>Lairouching</w:t>
      </w:r>
      <w:proofErr w:type="spellEnd"/>
      <w:r w:rsidRPr="00920306">
        <w:rPr>
          <w:rFonts w:ascii="Arial" w:hAnsi="Arial" w:cs="Arial"/>
          <w:lang w:val="en-IN"/>
        </w:rPr>
        <w:t xml:space="preserve">. In the first stage of sampling, Mao-Maram and </w:t>
      </w:r>
      <w:proofErr w:type="spellStart"/>
      <w:r w:rsidRPr="00920306">
        <w:rPr>
          <w:rFonts w:ascii="Arial" w:hAnsi="Arial" w:cs="Arial"/>
          <w:lang w:val="en-IN"/>
        </w:rPr>
        <w:t>Paomata</w:t>
      </w:r>
      <w:proofErr w:type="spellEnd"/>
      <w:r w:rsidRPr="00920306">
        <w:rPr>
          <w:rFonts w:ascii="Arial" w:hAnsi="Arial" w:cs="Arial"/>
          <w:lang w:val="en-IN"/>
        </w:rPr>
        <w:t xml:space="preserve"> blocks were purposively selected based on the concentration and extent of off-season cabbage cultivation. These blocks are known for their active engagement in vegetable production and provide a representative setting for the study. In the subsequent stage, villages were selected from the identified blocks based on the presence of a substantial number of off-season cabbage growers. A list of such villages was obtained from the Krishi Vigyan Kendra (KVK), </w:t>
      </w:r>
      <w:proofErr w:type="spellStart"/>
      <w:r w:rsidRPr="00920306">
        <w:rPr>
          <w:rFonts w:ascii="Arial" w:hAnsi="Arial" w:cs="Arial"/>
          <w:lang w:val="en-IN"/>
        </w:rPr>
        <w:t>Hengbung</w:t>
      </w:r>
      <w:proofErr w:type="spellEnd"/>
      <w:r w:rsidRPr="00920306">
        <w:rPr>
          <w:rFonts w:ascii="Arial" w:hAnsi="Arial" w:cs="Arial"/>
          <w:lang w:val="en-IN"/>
        </w:rPr>
        <w:t xml:space="preserve">, Senapati. Accordingly, </w:t>
      </w:r>
      <w:proofErr w:type="spellStart"/>
      <w:r w:rsidRPr="00920306">
        <w:rPr>
          <w:rFonts w:ascii="Arial" w:hAnsi="Arial" w:cs="Arial"/>
          <w:lang w:val="en-IN"/>
        </w:rPr>
        <w:t>Makuilongdi</w:t>
      </w:r>
      <w:proofErr w:type="spellEnd"/>
      <w:r w:rsidRPr="00920306">
        <w:rPr>
          <w:rFonts w:ascii="Arial" w:hAnsi="Arial" w:cs="Arial"/>
          <w:lang w:val="en-IN"/>
        </w:rPr>
        <w:t xml:space="preserve"> and </w:t>
      </w:r>
      <w:proofErr w:type="spellStart"/>
      <w:r w:rsidRPr="00920306">
        <w:rPr>
          <w:rFonts w:ascii="Arial" w:hAnsi="Arial" w:cs="Arial"/>
          <w:lang w:val="en-IN"/>
        </w:rPr>
        <w:t>Punanamei</w:t>
      </w:r>
      <w:proofErr w:type="spellEnd"/>
      <w:r w:rsidRPr="00920306">
        <w:rPr>
          <w:rFonts w:ascii="Arial" w:hAnsi="Arial" w:cs="Arial"/>
          <w:lang w:val="en-IN"/>
        </w:rPr>
        <w:t xml:space="preserve"> villages were selected from Mao-Maram block, while </w:t>
      </w:r>
      <w:proofErr w:type="spellStart"/>
      <w:r w:rsidRPr="00920306">
        <w:rPr>
          <w:rFonts w:ascii="Arial" w:hAnsi="Arial" w:cs="Arial"/>
          <w:lang w:val="en-IN"/>
        </w:rPr>
        <w:t>Laii</w:t>
      </w:r>
      <w:proofErr w:type="spellEnd"/>
      <w:r w:rsidRPr="00920306">
        <w:rPr>
          <w:rFonts w:ascii="Arial" w:hAnsi="Arial" w:cs="Arial"/>
          <w:lang w:val="en-IN"/>
        </w:rPr>
        <w:t xml:space="preserve"> and </w:t>
      </w:r>
      <w:proofErr w:type="spellStart"/>
      <w:r w:rsidRPr="00920306">
        <w:rPr>
          <w:rFonts w:ascii="Arial" w:hAnsi="Arial" w:cs="Arial"/>
          <w:lang w:val="en-IN"/>
        </w:rPr>
        <w:t>Tungjoy</w:t>
      </w:r>
      <w:proofErr w:type="spellEnd"/>
      <w:r w:rsidRPr="00920306">
        <w:rPr>
          <w:rFonts w:ascii="Arial" w:hAnsi="Arial" w:cs="Arial"/>
          <w:lang w:val="en-IN"/>
        </w:rPr>
        <w:t xml:space="preserve"> villages were selected from </w:t>
      </w:r>
      <w:proofErr w:type="spellStart"/>
      <w:r w:rsidRPr="00920306">
        <w:rPr>
          <w:rFonts w:ascii="Arial" w:hAnsi="Arial" w:cs="Arial"/>
          <w:lang w:val="en-IN"/>
        </w:rPr>
        <w:t>Paomata</w:t>
      </w:r>
      <w:proofErr w:type="spellEnd"/>
      <w:r w:rsidRPr="00920306">
        <w:rPr>
          <w:rFonts w:ascii="Arial" w:hAnsi="Arial" w:cs="Arial"/>
          <w:lang w:val="en-IN"/>
        </w:rPr>
        <w:t xml:space="preserve"> block. The selection ensured that the sample adequately captured the variation in farming practices and constraints across locations. Finally, a list of farmers engaged in off-season cabbage cultivation was compiled for each selected village using records from KVK, Senapati. From this sampling frame, respondents were selected using a simple random sampling technique with proportional allocation. The total sample size was fixed at 80 respondents, considering the feasibility of the study while ensuring adequate representation. Proportional allocation was employed to ensure that the number of respondents selected from each village reflected the relative population of cabbage growers, thereby enhancing the reliability of the findings. The multi-stage sampling design adopted in this study provides a systematic and representative framework for </w:t>
      </w:r>
      <w:proofErr w:type="spellStart"/>
      <w:r w:rsidRPr="00920306">
        <w:rPr>
          <w:rFonts w:ascii="Arial" w:hAnsi="Arial" w:cs="Arial"/>
          <w:lang w:val="en-IN"/>
        </w:rPr>
        <w:t>analyzing</w:t>
      </w:r>
      <w:proofErr w:type="spellEnd"/>
      <w:r w:rsidRPr="00920306">
        <w:rPr>
          <w:rFonts w:ascii="Arial" w:hAnsi="Arial" w:cs="Arial"/>
          <w:lang w:val="en-IN"/>
        </w:rPr>
        <w:t xml:space="preserve"> the constraints faced by farmers. It ensures that the findings are grounded in the actual field conditions prevailing in the hill regions of Manipur, thereby offering meaningful insights for policy formulation and agricultural development.</w:t>
      </w:r>
    </w:p>
    <w:p w14:paraId="147C8976" w14:textId="77777777" w:rsidR="00471FE5" w:rsidRPr="00920306" w:rsidRDefault="00471FE5" w:rsidP="003F5B1C">
      <w:pPr>
        <w:pStyle w:val="Body"/>
        <w:spacing w:after="0"/>
        <w:rPr>
          <w:rFonts w:ascii="Arial" w:hAnsi="Arial" w:cs="Arial"/>
          <w:lang w:val="en-IN"/>
        </w:rPr>
      </w:pPr>
    </w:p>
    <w:p w14:paraId="40A38B43" w14:textId="3FA08899" w:rsidR="00920306" w:rsidRPr="00B37D7E" w:rsidRDefault="00920306" w:rsidP="003F5B1C">
      <w:pPr>
        <w:pStyle w:val="Body"/>
        <w:spacing w:after="0"/>
        <w:rPr>
          <w:rFonts w:ascii="Arial" w:hAnsi="Arial" w:cs="Arial"/>
          <w:b/>
          <w:bCs/>
          <w:sz w:val="22"/>
          <w:szCs w:val="22"/>
        </w:rPr>
      </w:pPr>
      <w:r w:rsidRPr="00920306">
        <w:rPr>
          <w:rFonts w:ascii="Arial" w:hAnsi="Arial" w:cs="Arial"/>
          <w:b/>
          <w:bCs/>
          <w:sz w:val="22"/>
          <w:szCs w:val="22"/>
        </w:rPr>
        <w:t xml:space="preserve">2.1 </w:t>
      </w:r>
      <w:r w:rsidR="00456238" w:rsidRPr="00B37D7E">
        <w:rPr>
          <w:rFonts w:ascii="Arial" w:hAnsi="Arial" w:cs="Arial"/>
          <w:b/>
          <w:bCs/>
          <w:sz w:val="22"/>
          <w:szCs w:val="22"/>
        </w:rPr>
        <w:t>ANALYTICAL TOOLS</w:t>
      </w:r>
    </w:p>
    <w:p w14:paraId="64A06482" w14:textId="77777777" w:rsidR="00471FE5" w:rsidRPr="00920306" w:rsidRDefault="00471FE5" w:rsidP="003F5B1C">
      <w:pPr>
        <w:pStyle w:val="Body"/>
        <w:spacing w:after="0"/>
        <w:rPr>
          <w:rFonts w:ascii="Arial" w:hAnsi="Arial" w:cs="Arial"/>
          <w:b/>
          <w:bCs/>
          <w:sz w:val="22"/>
          <w:szCs w:val="22"/>
        </w:rPr>
      </w:pPr>
    </w:p>
    <w:p w14:paraId="5D225A90" w14:textId="795CF780" w:rsidR="00920306" w:rsidRPr="00B37D7E" w:rsidRDefault="00920306" w:rsidP="003F5B1C">
      <w:pPr>
        <w:pStyle w:val="Body"/>
        <w:spacing w:after="0"/>
        <w:rPr>
          <w:rFonts w:ascii="Arial" w:hAnsi="Arial" w:cs="Arial"/>
          <w:b/>
          <w:bCs/>
          <w:sz w:val="22"/>
          <w:szCs w:val="22"/>
        </w:rPr>
      </w:pPr>
      <w:r w:rsidRPr="00920306">
        <w:rPr>
          <w:rFonts w:ascii="Arial" w:hAnsi="Arial" w:cs="Arial"/>
          <w:b/>
          <w:bCs/>
          <w:sz w:val="22"/>
          <w:szCs w:val="22"/>
        </w:rPr>
        <w:t xml:space="preserve">2.1.1 </w:t>
      </w:r>
      <w:r w:rsidR="00456238" w:rsidRPr="00B37D7E">
        <w:rPr>
          <w:rFonts w:ascii="Arial" w:hAnsi="Arial" w:cs="Arial"/>
          <w:b/>
          <w:bCs/>
          <w:sz w:val="22"/>
          <w:szCs w:val="22"/>
        </w:rPr>
        <w:t>GARRETT’S RANKING TECHNIQUE FOR CONSTRAINT ANALYSIS</w:t>
      </w:r>
    </w:p>
    <w:p w14:paraId="1F2D520B" w14:textId="77777777" w:rsidR="00456238" w:rsidRPr="00920306" w:rsidRDefault="00456238" w:rsidP="003F5B1C">
      <w:pPr>
        <w:pStyle w:val="Body"/>
        <w:spacing w:after="0"/>
        <w:rPr>
          <w:rFonts w:ascii="Arial" w:hAnsi="Arial" w:cs="Arial"/>
          <w:b/>
          <w:bCs/>
        </w:rPr>
      </w:pPr>
    </w:p>
    <w:p w14:paraId="34BDD091" w14:textId="62AB7CBD" w:rsidR="00920306" w:rsidRPr="009D0894" w:rsidRDefault="00F721AD" w:rsidP="003F5B1C">
      <w:pPr>
        <w:pStyle w:val="Body"/>
        <w:spacing w:after="0"/>
        <w:rPr>
          <w:rFonts w:ascii="Arial" w:hAnsi="Arial" w:cs="Arial"/>
          <w:color w:val="000000" w:themeColor="text1"/>
        </w:rPr>
      </w:pPr>
      <w:r w:rsidRPr="00712852">
        <w:rPr>
          <w:rFonts w:ascii="Arial" w:hAnsi="Arial" w:cs="Arial"/>
          <w:color w:val="000000" w:themeColor="text1"/>
        </w:rPr>
        <w:t>Garrett’s ranking technique was used in empirical studies to quantify farmers’ constraints in vegetable and horticulture cultivation, highlighting structural barriers such as lack of credit, inadequate market access, and institutional gaps. [8]</w:t>
      </w:r>
      <w:r w:rsidR="009D0894">
        <w:rPr>
          <w:rFonts w:ascii="Arial" w:hAnsi="Arial" w:cs="Arial"/>
          <w:color w:val="000000" w:themeColor="text1"/>
        </w:rPr>
        <w:t xml:space="preserve"> </w:t>
      </w:r>
      <w:r w:rsidR="00920306" w:rsidRPr="00920306">
        <w:rPr>
          <w:rFonts w:ascii="Arial" w:hAnsi="Arial" w:cs="Arial"/>
          <w:lang w:val="en-IN"/>
        </w:rPr>
        <w:t xml:space="preserve">Garrett’s Ranking Technique was employed to </w:t>
      </w:r>
      <w:proofErr w:type="spellStart"/>
      <w:r w:rsidR="00920306" w:rsidRPr="00920306">
        <w:rPr>
          <w:rFonts w:ascii="Arial" w:hAnsi="Arial" w:cs="Arial"/>
          <w:lang w:val="en-IN"/>
        </w:rPr>
        <w:t>analyze</w:t>
      </w:r>
      <w:proofErr w:type="spellEnd"/>
      <w:r w:rsidR="00920306" w:rsidRPr="00920306">
        <w:rPr>
          <w:rFonts w:ascii="Arial" w:hAnsi="Arial" w:cs="Arial"/>
          <w:lang w:val="en-IN"/>
        </w:rPr>
        <w:t xml:space="preserve"> and prioritize the constraints faced by farmers in off-season cabbage cultivation. This method is widely used in agricultural research to convert qualitative rankings into quantitative scores, thereby facilitating a more precise comparison of different constraints. Under this approach, respondents were asked to rank the identified constraints based on their </w:t>
      </w:r>
      <w:r w:rsidR="00920306" w:rsidRPr="00920306">
        <w:rPr>
          <w:rFonts w:ascii="Arial" w:hAnsi="Arial" w:cs="Arial"/>
          <w:lang w:val="en-IN"/>
        </w:rPr>
        <w:lastRenderedPageBreak/>
        <w:t>perceived severity. These ranks were then transformed into percent positions to standardize the responses across individuals.</w:t>
      </w:r>
      <w:r w:rsidR="009D0894">
        <w:rPr>
          <w:rFonts w:ascii="Arial" w:hAnsi="Arial" w:cs="Arial"/>
          <w:color w:val="000000" w:themeColor="text1"/>
        </w:rPr>
        <w:t xml:space="preserve"> </w:t>
      </w:r>
      <w:r w:rsidR="00920306" w:rsidRPr="00920306">
        <w:rPr>
          <w:rFonts w:ascii="Arial" w:hAnsi="Arial" w:cs="Arial"/>
          <w:lang w:val="en-IN"/>
        </w:rPr>
        <w:t>The percent position for each rank was calculated using Garrett’s formula, which is expressed as:</w:t>
      </w:r>
    </w:p>
    <w:p w14:paraId="70F7142E" w14:textId="2D6C4866" w:rsidR="00920306" w:rsidRPr="00920306" w:rsidRDefault="00920306" w:rsidP="003F5B1C">
      <w:pPr>
        <w:pStyle w:val="Body"/>
        <w:spacing w:after="0"/>
        <w:rPr>
          <w:rFonts w:ascii="Arial" w:hAnsi="Arial" w:cs="Arial"/>
          <w:b/>
          <w:bCs/>
          <w:lang w:val="en-IN"/>
        </w:rPr>
      </w:pPr>
      <m:oMathPara>
        <m:oMath>
          <m:r>
            <m:rPr>
              <m:nor/>
            </m:rPr>
            <w:rPr>
              <w:rFonts w:ascii="Arial" w:hAnsi="Arial" w:cs="Arial"/>
              <w:b/>
              <w:bCs/>
              <w:lang w:val="en-IN"/>
            </w:rPr>
            <m:t>Percent Position</m:t>
          </m:r>
          <m:r>
            <m:rPr>
              <m:sty m:val="bi"/>
            </m:rPr>
            <w:rPr>
              <w:rFonts w:ascii="Cambria Math" w:hAnsi="Cambria Math" w:cs="Arial"/>
            </w:rPr>
            <m:t>=</m:t>
          </m:r>
          <m:f>
            <m:fPr>
              <m:ctrlPr>
                <w:rPr>
                  <w:rFonts w:ascii="Cambria Math" w:hAnsi="Cambria Math" w:cs="Arial"/>
                  <w:b/>
                  <w:bCs/>
                  <w:lang w:val="en-IN"/>
                </w:rPr>
              </m:ctrlPr>
            </m:fPr>
            <m:num>
              <m:sSub>
                <m:sSubPr>
                  <m:ctrlPr>
                    <w:rPr>
                      <w:rFonts w:ascii="Cambria Math" w:hAnsi="Cambria Math" w:cs="Arial"/>
                      <w:b/>
                      <w:bCs/>
                      <w:lang w:val="en-IN"/>
                    </w:rPr>
                  </m:ctrlPr>
                </m:sSubPr>
                <m:e>
                  <m:r>
                    <m:rPr>
                      <m:sty m:val="bi"/>
                    </m:rPr>
                    <w:rPr>
                      <w:rFonts w:ascii="Cambria Math" w:hAnsi="Cambria Math" w:cs="Arial"/>
                    </w:rPr>
                    <m:t>R</m:t>
                  </m:r>
                </m:e>
                <m:sub>
                  <m:r>
                    <m:rPr>
                      <m:sty m:val="bi"/>
                    </m:rPr>
                    <w:rPr>
                      <w:rFonts w:ascii="Cambria Math" w:hAnsi="Cambria Math" w:cs="Arial"/>
                    </w:rPr>
                    <m:t>ij</m:t>
                  </m:r>
                </m:sub>
              </m:sSub>
              <m:r>
                <m:rPr>
                  <m:sty m:val="bi"/>
                </m:rPr>
                <w:rPr>
                  <w:rFonts w:ascii="Cambria Math" w:hAnsi="Cambria Math" w:cs="Arial"/>
                </w:rPr>
                <m:t>-0.5</m:t>
              </m:r>
            </m:num>
            <m:den>
              <m:sSub>
                <m:sSubPr>
                  <m:ctrlPr>
                    <w:rPr>
                      <w:rFonts w:ascii="Cambria Math" w:hAnsi="Cambria Math" w:cs="Arial"/>
                      <w:b/>
                      <w:bCs/>
                      <w:lang w:val="en-IN"/>
                    </w:rPr>
                  </m:ctrlPr>
                </m:sSubPr>
                <m:e>
                  <m:r>
                    <m:rPr>
                      <m:sty m:val="bi"/>
                    </m:rPr>
                    <w:rPr>
                      <w:rFonts w:ascii="Cambria Math" w:hAnsi="Cambria Math" w:cs="Arial"/>
                    </w:rPr>
                    <m:t>N</m:t>
                  </m:r>
                </m:e>
                <m:sub>
                  <m:r>
                    <m:rPr>
                      <m:sty m:val="bi"/>
                    </m:rPr>
                    <w:rPr>
                      <w:rFonts w:ascii="Cambria Math" w:hAnsi="Cambria Math" w:cs="Arial"/>
                    </w:rPr>
                    <m:t>j</m:t>
                  </m:r>
                </m:sub>
              </m:sSub>
            </m:den>
          </m:f>
          <m:r>
            <m:rPr>
              <m:sty m:val="bi"/>
            </m:rPr>
            <w:rPr>
              <w:rFonts w:ascii="Cambria Math" w:hAnsi="Cambria Math" w:cs="Arial"/>
            </w:rPr>
            <m:t>×100</m:t>
          </m:r>
          <m:r>
            <m:rPr>
              <m:sty m:val="p"/>
            </m:rPr>
            <w:rPr>
              <w:rFonts w:ascii="Arial" w:hAnsi="Arial" w:cs="Arial"/>
              <w:lang w:val="en-IN"/>
            </w:rPr>
            <w:br/>
          </m:r>
        </m:oMath>
      </m:oMathPara>
    </w:p>
    <w:p w14:paraId="51CE09D1" w14:textId="77777777" w:rsidR="00920306" w:rsidRPr="00920306" w:rsidRDefault="00920306" w:rsidP="003F5B1C">
      <w:pPr>
        <w:pStyle w:val="Body"/>
        <w:spacing w:after="0"/>
        <w:rPr>
          <w:rFonts w:ascii="Arial" w:hAnsi="Arial" w:cs="Arial"/>
          <w:lang w:val="en-IN"/>
        </w:rPr>
      </w:pPr>
      <w:r w:rsidRPr="00920306">
        <w:rPr>
          <w:rFonts w:ascii="Arial" w:hAnsi="Arial" w:cs="Arial"/>
          <w:lang w:val="en-IN"/>
        </w:rPr>
        <w:t>Where,</w:t>
      </w:r>
    </w:p>
    <w:p w14:paraId="685B8059" w14:textId="7DD2704D" w:rsidR="00920306" w:rsidRPr="00920306" w:rsidRDefault="00000000" w:rsidP="003F5B1C">
      <w:pPr>
        <w:pStyle w:val="Body"/>
        <w:spacing w:after="0"/>
        <w:rPr>
          <w:rFonts w:ascii="Arial" w:hAnsi="Arial" w:cs="Arial"/>
          <w:lang w:val="en-IN"/>
        </w:rPr>
      </w:pPr>
      <m:oMath>
        <m:sSub>
          <m:sSubPr>
            <m:ctrlPr>
              <w:rPr>
                <w:rFonts w:ascii="Cambria Math" w:hAnsi="Cambria Math" w:cs="Arial"/>
                <w:lang w:val="en-IN"/>
              </w:rPr>
            </m:ctrlPr>
          </m:sSubPr>
          <m:e>
            <m:r>
              <w:rPr>
                <w:rFonts w:ascii="Cambria Math" w:hAnsi="Cambria Math" w:cs="Arial"/>
              </w:rPr>
              <m:t>R</m:t>
            </m:r>
          </m:e>
          <m:sub>
            <m:r>
              <w:rPr>
                <w:rFonts w:ascii="Cambria Math" w:hAnsi="Cambria Math" w:cs="Arial"/>
              </w:rPr>
              <m:t>ij</m:t>
            </m:r>
          </m:sub>
        </m:sSub>
      </m:oMath>
      <w:r w:rsidR="00920306" w:rsidRPr="00920306">
        <w:rPr>
          <w:rFonts w:ascii="Arial" w:hAnsi="Arial" w:cs="Arial"/>
          <w:lang w:val="en-IN"/>
        </w:rPr>
        <w:t xml:space="preserve">represents the rank given for the </w:t>
      </w:r>
      <m:oMath>
        <m:sSup>
          <m:sSupPr>
            <m:ctrlPr>
              <w:rPr>
                <w:rFonts w:ascii="Cambria Math" w:hAnsi="Cambria Math" w:cs="Arial"/>
                <w:lang w:val="en-IN"/>
              </w:rPr>
            </m:ctrlPr>
          </m:sSupPr>
          <m:e>
            <m:r>
              <w:rPr>
                <w:rFonts w:ascii="Cambria Math" w:hAnsi="Cambria Math" w:cs="Arial"/>
              </w:rPr>
              <m:t>i</m:t>
            </m:r>
          </m:e>
          <m:sup>
            <m:r>
              <w:rPr>
                <w:rFonts w:ascii="Cambria Math" w:hAnsi="Cambria Math" w:cs="Arial"/>
              </w:rPr>
              <m:t>th</m:t>
            </m:r>
          </m:sup>
        </m:sSup>
      </m:oMath>
      <w:r w:rsidR="00920306" w:rsidRPr="00920306">
        <w:rPr>
          <w:rFonts w:ascii="Arial" w:hAnsi="Arial" w:cs="Arial"/>
          <w:lang w:val="en-IN"/>
        </w:rPr>
        <w:t xml:space="preserve">constraint by the </w:t>
      </w:r>
      <m:oMath>
        <m:sSup>
          <m:sSupPr>
            <m:ctrlPr>
              <w:rPr>
                <w:rFonts w:ascii="Cambria Math" w:hAnsi="Cambria Math" w:cs="Arial"/>
                <w:lang w:val="en-IN"/>
              </w:rPr>
            </m:ctrlPr>
          </m:sSupPr>
          <m:e>
            <m:r>
              <w:rPr>
                <w:rFonts w:ascii="Cambria Math" w:hAnsi="Cambria Math" w:cs="Arial"/>
              </w:rPr>
              <m:t>j</m:t>
            </m:r>
          </m:e>
          <m:sup>
            <m:r>
              <w:rPr>
                <w:rFonts w:ascii="Cambria Math" w:hAnsi="Cambria Math" w:cs="Arial"/>
              </w:rPr>
              <m:t>th</m:t>
            </m:r>
          </m:sup>
        </m:sSup>
      </m:oMath>
      <w:r w:rsidR="00920306" w:rsidRPr="00920306">
        <w:rPr>
          <w:rFonts w:ascii="Arial" w:hAnsi="Arial" w:cs="Arial"/>
          <w:lang w:val="en-IN"/>
        </w:rPr>
        <w:t xml:space="preserve">respondent, </w:t>
      </w:r>
    </w:p>
    <w:p w14:paraId="1957C5FA" w14:textId="3BA5D1EF" w:rsidR="00920306" w:rsidRDefault="00000000" w:rsidP="003F5B1C">
      <w:pPr>
        <w:pStyle w:val="Body"/>
        <w:spacing w:after="0"/>
        <w:rPr>
          <w:rFonts w:ascii="Arial" w:hAnsi="Arial" w:cs="Arial"/>
          <w:lang w:val="en-IN"/>
        </w:rPr>
      </w:pPr>
      <m:oMath>
        <m:sSub>
          <m:sSubPr>
            <m:ctrlPr>
              <w:rPr>
                <w:rFonts w:ascii="Cambria Math" w:hAnsi="Cambria Math" w:cs="Arial"/>
                <w:lang w:val="en-IN"/>
              </w:rPr>
            </m:ctrlPr>
          </m:sSubPr>
          <m:e>
            <m:r>
              <w:rPr>
                <w:rFonts w:ascii="Cambria Math" w:hAnsi="Cambria Math" w:cs="Arial"/>
              </w:rPr>
              <m:t>N</m:t>
            </m:r>
          </m:e>
          <m:sub>
            <m:r>
              <w:rPr>
                <w:rFonts w:ascii="Cambria Math" w:hAnsi="Cambria Math" w:cs="Arial"/>
              </w:rPr>
              <m:t>j</m:t>
            </m:r>
          </m:sub>
        </m:sSub>
      </m:oMath>
      <w:r w:rsidR="00920306" w:rsidRPr="00920306">
        <w:rPr>
          <w:rFonts w:ascii="Arial" w:hAnsi="Arial" w:cs="Arial"/>
          <w:lang w:val="en-IN"/>
        </w:rPr>
        <w:t xml:space="preserve">denotes the total number of constraints ranked by the </w:t>
      </w:r>
      <m:oMath>
        <m:sSup>
          <m:sSupPr>
            <m:ctrlPr>
              <w:rPr>
                <w:rFonts w:ascii="Cambria Math" w:hAnsi="Cambria Math" w:cs="Arial"/>
                <w:lang w:val="en-IN"/>
              </w:rPr>
            </m:ctrlPr>
          </m:sSupPr>
          <m:e>
            <m:r>
              <w:rPr>
                <w:rFonts w:ascii="Cambria Math" w:hAnsi="Cambria Math" w:cs="Arial"/>
              </w:rPr>
              <m:t>j</m:t>
            </m:r>
          </m:e>
          <m:sup>
            <m:r>
              <w:rPr>
                <w:rFonts w:ascii="Cambria Math" w:hAnsi="Cambria Math" w:cs="Arial"/>
              </w:rPr>
              <m:t>th</m:t>
            </m:r>
          </m:sup>
        </m:sSup>
      </m:oMath>
      <w:r w:rsidR="00920306" w:rsidRPr="00920306">
        <w:rPr>
          <w:rFonts w:ascii="Arial" w:hAnsi="Arial" w:cs="Arial"/>
          <w:lang w:val="en-IN"/>
        </w:rPr>
        <w:t xml:space="preserve">respondent. </w:t>
      </w:r>
    </w:p>
    <w:p w14:paraId="24A8A415" w14:textId="77777777" w:rsidR="00456238" w:rsidRPr="00920306" w:rsidRDefault="00456238" w:rsidP="003F5B1C">
      <w:pPr>
        <w:pStyle w:val="Body"/>
        <w:spacing w:after="0"/>
        <w:rPr>
          <w:rFonts w:ascii="Arial" w:hAnsi="Arial" w:cs="Arial"/>
          <w:lang w:val="en-IN"/>
        </w:rPr>
      </w:pPr>
    </w:p>
    <w:p w14:paraId="5752D405" w14:textId="77777777" w:rsidR="00920306" w:rsidRPr="00920306" w:rsidRDefault="00920306" w:rsidP="003F5B1C">
      <w:pPr>
        <w:pStyle w:val="Body"/>
        <w:spacing w:after="0"/>
        <w:rPr>
          <w:rFonts w:ascii="Arial" w:hAnsi="Arial" w:cs="Arial"/>
          <w:lang w:val="en-IN"/>
        </w:rPr>
      </w:pPr>
      <w:r w:rsidRPr="00920306">
        <w:rPr>
          <w:rFonts w:ascii="Arial" w:hAnsi="Arial" w:cs="Arial"/>
          <w:lang w:val="en-IN"/>
        </w:rPr>
        <w:t>The calculated percent positions were subsequently converted into corresponding Garrett scores by referring to the conversion table developed by Woodworth (1969).</w:t>
      </w:r>
    </w:p>
    <w:p w14:paraId="1F9CB99B" w14:textId="77777777" w:rsidR="00920306" w:rsidRDefault="00920306" w:rsidP="003F5B1C">
      <w:pPr>
        <w:pStyle w:val="Body"/>
        <w:spacing w:after="0"/>
        <w:rPr>
          <w:rFonts w:ascii="Arial" w:hAnsi="Arial" w:cs="Arial"/>
        </w:rPr>
      </w:pPr>
      <w:r w:rsidRPr="00920306">
        <w:rPr>
          <w:rFonts w:ascii="Arial" w:hAnsi="Arial" w:cs="Arial"/>
          <w:lang w:val="en-IN"/>
        </w:rPr>
        <w:t xml:space="preserve">For each constraint, the Garrett scores obtained from all respondents were summed and then averaged by dividing the total score by the number of respondents. The constraint with the highest mean score was considered the most severe, and the ranking was assigned accordingly. This technique provides a systematic and reliable means of identifying and prioritizing constraints based on farmers’ perceptions, ensuring a more objective </w:t>
      </w:r>
      <w:r w:rsidRPr="00920306">
        <w:rPr>
          <w:rFonts w:ascii="Arial" w:hAnsi="Arial" w:cs="Arial"/>
        </w:rPr>
        <w:t>and quantifiable assessment of the relative severity of problems encountered in off-season cabbage cultivation. By converting ordinal ranks into numerical scores, it minimizes individual bias and facilitates comparability across respondents, thereby enhancing the robustness of the analysis. The aggregation of Garrett scores enables the derivation of mean scores for each constraint, which reflect their overall importance at the sample level. This structured approach not only aids in ranking the constraints in order of severity but also supports evidence-based decision-making for policy formulation and intervention strategies. Furthermore, the technique is particularly suitable for studies involving multiple respondents and diverse constraint categories, as it simplifies complex qualitative responses into statistically interpretable measures, thereby strengthening the analytical rigor of the study.</w:t>
      </w:r>
    </w:p>
    <w:p w14:paraId="30F59F50" w14:textId="77777777" w:rsidR="00920306" w:rsidRPr="00920306" w:rsidRDefault="00920306" w:rsidP="003F5B1C">
      <w:pPr>
        <w:pStyle w:val="Body"/>
        <w:spacing w:after="0"/>
        <w:rPr>
          <w:rFonts w:ascii="Arial" w:hAnsi="Arial" w:cs="Arial"/>
        </w:rPr>
      </w:pPr>
    </w:p>
    <w:p w14:paraId="5A893777" w14:textId="16204FFB" w:rsidR="00920306" w:rsidRDefault="00B37D7E" w:rsidP="003F5B1C">
      <w:pPr>
        <w:pStyle w:val="Body"/>
        <w:spacing w:after="0"/>
        <w:rPr>
          <w:rFonts w:ascii="Arial" w:hAnsi="Arial" w:cs="Arial"/>
          <w:b/>
          <w:bCs/>
        </w:rPr>
      </w:pPr>
      <w:r w:rsidRPr="00920306">
        <w:rPr>
          <w:rFonts w:ascii="Arial" w:hAnsi="Arial" w:cs="Arial"/>
          <w:b/>
          <w:bCs/>
        </w:rPr>
        <w:t>CHART1: GARRETT SCORE CALCULATION BASED ON RESPONDENTS’ RANK AND PERCENT POSITION</w:t>
      </w:r>
    </w:p>
    <w:p w14:paraId="12EF71C8" w14:textId="77777777" w:rsidR="00471FE5" w:rsidRPr="00920306" w:rsidRDefault="00471FE5" w:rsidP="003F5B1C">
      <w:pPr>
        <w:pStyle w:val="Body"/>
        <w:spacing w:after="0"/>
        <w:rPr>
          <w:rFonts w:ascii="Arial" w:hAnsi="Arial" w:cs="Arial"/>
          <w:b/>
          <w:bCs/>
        </w:rPr>
      </w:pPr>
    </w:p>
    <w:tbl>
      <w:tblPr>
        <w:tblStyle w:val="TableGrid"/>
        <w:tblW w:w="0" w:type="auto"/>
        <w:tblLook w:val="04A0" w:firstRow="1" w:lastRow="0" w:firstColumn="1" w:lastColumn="0" w:noHBand="0" w:noVBand="1"/>
      </w:tblPr>
      <w:tblGrid>
        <w:gridCol w:w="2025"/>
        <w:gridCol w:w="2063"/>
        <w:gridCol w:w="2063"/>
        <w:gridCol w:w="2047"/>
      </w:tblGrid>
      <w:tr w:rsidR="00920306" w:rsidRPr="00920306" w14:paraId="1FBAE744" w14:textId="77777777" w:rsidTr="007E672F">
        <w:tc>
          <w:tcPr>
            <w:tcW w:w="2214" w:type="dxa"/>
          </w:tcPr>
          <w:p w14:paraId="5D21A6FF" w14:textId="77777777" w:rsidR="00920306" w:rsidRPr="00920306" w:rsidRDefault="00920306" w:rsidP="003F5B1C">
            <w:pPr>
              <w:pStyle w:val="Body"/>
              <w:spacing w:after="0"/>
              <w:rPr>
                <w:rFonts w:ascii="Arial" w:hAnsi="Arial" w:cs="Arial"/>
                <w:b/>
                <w:bCs/>
                <w:sz w:val="20"/>
                <w:szCs w:val="20"/>
              </w:rPr>
            </w:pPr>
            <w:r w:rsidRPr="00920306">
              <w:rPr>
                <w:rFonts w:ascii="Arial" w:hAnsi="Arial" w:cs="Arial"/>
                <w:b/>
                <w:bCs/>
                <w:sz w:val="20"/>
                <w:szCs w:val="20"/>
              </w:rPr>
              <w:t>Rank</w:t>
            </w:r>
          </w:p>
        </w:tc>
        <w:tc>
          <w:tcPr>
            <w:tcW w:w="2214" w:type="dxa"/>
          </w:tcPr>
          <w:p w14:paraId="6F106B83" w14:textId="77777777" w:rsidR="00920306" w:rsidRPr="00920306" w:rsidRDefault="00920306" w:rsidP="003F5B1C">
            <w:pPr>
              <w:pStyle w:val="Body"/>
              <w:spacing w:after="0"/>
              <w:rPr>
                <w:rFonts w:ascii="Arial" w:hAnsi="Arial" w:cs="Arial"/>
                <w:b/>
                <w:bCs/>
                <w:sz w:val="20"/>
                <w:szCs w:val="20"/>
              </w:rPr>
            </w:pPr>
            <w:r w:rsidRPr="00920306">
              <w:rPr>
                <w:rFonts w:ascii="Arial" w:hAnsi="Arial" w:cs="Arial"/>
                <w:b/>
                <w:bCs/>
                <w:sz w:val="20"/>
                <w:szCs w:val="20"/>
              </w:rPr>
              <w:t>Percent Position Formula</w:t>
            </w:r>
          </w:p>
        </w:tc>
        <w:tc>
          <w:tcPr>
            <w:tcW w:w="2214" w:type="dxa"/>
          </w:tcPr>
          <w:p w14:paraId="63F9697D" w14:textId="77777777" w:rsidR="00920306" w:rsidRPr="00920306" w:rsidRDefault="00920306" w:rsidP="003F5B1C">
            <w:pPr>
              <w:pStyle w:val="Body"/>
              <w:spacing w:after="0"/>
              <w:rPr>
                <w:rFonts w:ascii="Arial" w:hAnsi="Arial" w:cs="Arial"/>
                <w:b/>
                <w:bCs/>
                <w:sz w:val="20"/>
                <w:szCs w:val="20"/>
              </w:rPr>
            </w:pPr>
            <w:r w:rsidRPr="00920306">
              <w:rPr>
                <w:rFonts w:ascii="Arial" w:hAnsi="Arial" w:cs="Arial"/>
                <w:b/>
                <w:bCs/>
                <w:sz w:val="20"/>
                <w:szCs w:val="20"/>
              </w:rPr>
              <w:t>Percent Position</w:t>
            </w:r>
          </w:p>
        </w:tc>
        <w:tc>
          <w:tcPr>
            <w:tcW w:w="2214" w:type="dxa"/>
          </w:tcPr>
          <w:p w14:paraId="7250C5A3" w14:textId="77777777" w:rsidR="00920306" w:rsidRPr="00920306" w:rsidRDefault="00920306" w:rsidP="003F5B1C">
            <w:pPr>
              <w:pStyle w:val="Body"/>
              <w:spacing w:after="0"/>
              <w:rPr>
                <w:rFonts w:ascii="Arial" w:hAnsi="Arial" w:cs="Arial"/>
                <w:b/>
                <w:bCs/>
                <w:sz w:val="20"/>
                <w:szCs w:val="20"/>
              </w:rPr>
            </w:pPr>
            <w:r w:rsidRPr="00920306">
              <w:rPr>
                <w:rFonts w:ascii="Arial" w:hAnsi="Arial" w:cs="Arial"/>
                <w:b/>
                <w:bCs/>
                <w:sz w:val="20"/>
                <w:szCs w:val="20"/>
              </w:rPr>
              <w:t>Garrett Score</w:t>
            </w:r>
          </w:p>
        </w:tc>
      </w:tr>
      <w:tr w:rsidR="00920306" w:rsidRPr="00920306" w14:paraId="51DCFEB6" w14:textId="77777777" w:rsidTr="007E672F">
        <w:tc>
          <w:tcPr>
            <w:tcW w:w="2214" w:type="dxa"/>
          </w:tcPr>
          <w:p w14:paraId="6046E8A7"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1</w:t>
            </w:r>
          </w:p>
        </w:tc>
        <w:tc>
          <w:tcPr>
            <w:tcW w:w="2214" w:type="dxa"/>
          </w:tcPr>
          <w:p w14:paraId="1B583D6A"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100(1-0.5)/10</w:t>
            </w:r>
          </w:p>
        </w:tc>
        <w:tc>
          <w:tcPr>
            <w:tcW w:w="2214" w:type="dxa"/>
          </w:tcPr>
          <w:p w14:paraId="2338D0D2"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5</w:t>
            </w:r>
          </w:p>
        </w:tc>
        <w:tc>
          <w:tcPr>
            <w:tcW w:w="2214" w:type="dxa"/>
          </w:tcPr>
          <w:p w14:paraId="55AFBC70"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82</w:t>
            </w:r>
          </w:p>
        </w:tc>
      </w:tr>
      <w:tr w:rsidR="00920306" w:rsidRPr="00920306" w14:paraId="631A5FC6" w14:textId="77777777" w:rsidTr="007E672F">
        <w:tc>
          <w:tcPr>
            <w:tcW w:w="2214" w:type="dxa"/>
          </w:tcPr>
          <w:p w14:paraId="262466C8"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2</w:t>
            </w:r>
          </w:p>
        </w:tc>
        <w:tc>
          <w:tcPr>
            <w:tcW w:w="2214" w:type="dxa"/>
          </w:tcPr>
          <w:p w14:paraId="5D87D840"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100(2-0.5)/10</w:t>
            </w:r>
          </w:p>
        </w:tc>
        <w:tc>
          <w:tcPr>
            <w:tcW w:w="2214" w:type="dxa"/>
          </w:tcPr>
          <w:p w14:paraId="3F800809"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15</w:t>
            </w:r>
          </w:p>
        </w:tc>
        <w:tc>
          <w:tcPr>
            <w:tcW w:w="2214" w:type="dxa"/>
          </w:tcPr>
          <w:p w14:paraId="2DC1139E"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70</w:t>
            </w:r>
          </w:p>
        </w:tc>
      </w:tr>
      <w:tr w:rsidR="00920306" w:rsidRPr="00920306" w14:paraId="5B293E67" w14:textId="77777777" w:rsidTr="007E672F">
        <w:tc>
          <w:tcPr>
            <w:tcW w:w="2214" w:type="dxa"/>
          </w:tcPr>
          <w:p w14:paraId="05D924CC"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3</w:t>
            </w:r>
          </w:p>
        </w:tc>
        <w:tc>
          <w:tcPr>
            <w:tcW w:w="2214" w:type="dxa"/>
          </w:tcPr>
          <w:p w14:paraId="76654EDE"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100(3-0.5)/10</w:t>
            </w:r>
          </w:p>
        </w:tc>
        <w:tc>
          <w:tcPr>
            <w:tcW w:w="2214" w:type="dxa"/>
          </w:tcPr>
          <w:p w14:paraId="278F93A9"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25</w:t>
            </w:r>
          </w:p>
        </w:tc>
        <w:tc>
          <w:tcPr>
            <w:tcW w:w="2214" w:type="dxa"/>
          </w:tcPr>
          <w:p w14:paraId="4A207B5B"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63</w:t>
            </w:r>
          </w:p>
        </w:tc>
      </w:tr>
      <w:tr w:rsidR="00920306" w:rsidRPr="00920306" w14:paraId="15B7EEC6" w14:textId="77777777" w:rsidTr="007E672F">
        <w:tc>
          <w:tcPr>
            <w:tcW w:w="2214" w:type="dxa"/>
          </w:tcPr>
          <w:p w14:paraId="584BE848"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4</w:t>
            </w:r>
          </w:p>
        </w:tc>
        <w:tc>
          <w:tcPr>
            <w:tcW w:w="2214" w:type="dxa"/>
          </w:tcPr>
          <w:p w14:paraId="731AFD73"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100(4-0.5)/10</w:t>
            </w:r>
          </w:p>
        </w:tc>
        <w:tc>
          <w:tcPr>
            <w:tcW w:w="2214" w:type="dxa"/>
          </w:tcPr>
          <w:p w14:paraId="6D7A292C"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35</w:t>
            </w:r>
          </w:p>
        </w:tc>
        <w:tc>
          <w:tcPr>
            <w:tcW w:w="2214" w:type="dxa"/>
          </w:tcPr>
          <w:p w14:paraId="028A7BB1"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58</w:t>
            </w:r>
          </w:p>
        </w:tc>
      </w:tr>
      <w:tr w:rsidR="00920306" w:rsidRPr="00920306" w14:paraId="5A4BB000" w14:textId="77777777" w:rsidTr="007E672F">
        <w:tc>
          <w:tcPr>
            <w:tcW w:w="2214" w:type="dxa"/>
          </w:tcPr>
          <w:p w14:paraId="4C4FE19F"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5</w:t>
            </w:r>
          </w:p>
        </w:tc>
        <w:tc>
          <w:tcPr>
            <w:tcW w:w="2214" w:type="dxa"/>
          </w:tcPr>
          <w:p w14:paraId="2F8F6A61"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100(5-0.5)/10</w:t>
            </w:r>
          </w:p>
        </w:tc>
        <w:tc>
          <w:tcPr>
            <w:tcW w:w="2214" w:type="dxa"/>
          </w:tcPr>
          <w:p w14:paraId="2BF0C802"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45</w:t>
            </w:r>
          </w:p>
        </w:tc>
        <w:tc>
          <w:tcPr>
            <w:tcW w:w="2214" w:type="dxa"/>
          </w:tcPr>
          <w:p w14:paraId="4F35B41E"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52</w:t>
            </w:r>
          </w:p>
        </w:tc>
      </w:tr>
      <w:tr w:rsidR="00920306" w:rsidRPr="00920306" w14:paraId="45A7CDA0" w14:textId="77777777" w:rsidTr="007E672F">
        <w:tc>
          <w:tcPr>
            <w:tcW w:w="2214" w:type="dxa"/>
          </w:tcPr>
          <w:p w14:paraId="24ABC652"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6</w:t>
            </w:r>
          </w:p>
        </w:tc>
        <w:tc>
          <w:tcPr>
            <w:tcW w:w="2214" w:type="dxa"/>
          </w:tcPr>
          <w:p w14:paraId="6CE3F4DA"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100(6-0.5)/10</w:t>
            </w:r>
          </w:p>
        </w:tc>
        <w:tc>
          <w:tcPr>
            <w:tcW w:w="2214" w:type="dxa"/>
          </w:tcPr>
          <w:p w14:paraId="003550D3"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55</w:t>
            </w:r>
          </w:p>
        </w:tc>
        <w:tc>
          <w:tcPr>
            <w:tcW w:w="2214" w:type="dxa"/>
          </w:tcPr>
          <w:p w14:paraId="186A6B6C"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49</w:t>
            </w:r>
          </w:p>
        </w:tc>
      </w:tr>
      <w:tr w:rsidR="00920306" w:rsidRPr="00920306" w14:paraId="3AEFE5AD" w14:textId="77777777" w:rsidTr="007E672F">
        <w:tc>
          <w:tcPr>
            <w:tcW w:w="2214" w:type="dxa"/>
          </w:tcPr>
          <w:p w14:paraId="51884E98"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7</w:t>
            </w:r>
          </w:p>
        </w:tc>
        <w:tc>
          <w:tcPr>
            <w:tcW w:w="2214" w:type="dxa"/>
          </w:tcPr>
          <w:p w14:paraId="753BF69B"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100(7-0.5)/10</w:t>
            </w:r>
          </w:p>
        </w:tc>
        <w:tc>
          <w:tcPr>
            <w:tcW w:w="2214" w:type="dxa"/>
          </w:tcPr>
          <w:p w14:paraId="18708CE6"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65</w:t>
            </w:r>
          </w:p>
        </w:tc>
        <w:tc>
          <w:tcPr>
            <w:tcW w:w="2214" w:type="dxa"/>
          </w:tcPr>
          <w:p w14:paraId="30DA1F4F"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46</w:t>
            </w:r>
          </w:p>
        </w:tc>
      </w:tr>
      <w:tr w:rsidR="00920306" w:rsidRPr="00920306" w14:paraId="644249F1" w14:textId="77777777" w:rsidTr="007E672F">
        <w:tc>
          <w:tcPr>
            <w:tcW w:w="2214" w:type="dxa"/>
          </w:tcPr>
          <w:p w14:paraId="204AFEBB"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8</w:t>
            </w:r>
          </w:p>
        </w:tc>
        <w:tc>
          <w:tcPr>
            <w:tcW w:w="2214" w:type="dxa"/>
          </w:tcPr>
          <w:p w14:paraId="781B2073"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100(8-0.5)/10</w:t>
            </w:r>
          </w:p>
        </w:tc>
        <w:tc>
          <w:tcPr>
            <w:tcW w:w="2214" w:type="dxa"/>
          </w:tcPr>
          <w:p w14:paraId="43B8D7C9"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75</w:t>
            </w:r>
          </w:p>
        </w:tc>
        <w:tc>
          <w:tcPr>
            <w:tcW w:w="2214" w:type="dxa"/>
          </w:tcPr>
          <w:p w14:paraId="253B052D"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43</w:t>
            </w:r>
          </w:p>
        </w:tc>
      </w:tr>
      <w:tr w:rsidR="00920306" w:rsidRPr="00920306" w14:paraId="34239A75" w14:textId="77777777" w:rsidTr="007E672F">
        <w:tc>
          <w:tcPr>
            <w:tcW w:w="2214" w:type="dxa"/>
          </w:tcPr>
          <w:p w14:paraId="5E1B7E09"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9</w:t>
            </w:r>
          </w:p>
        </w:tc>
        <w:tc>
          <w:tcPr>
            <w:tcW w:w="2214" w:type="dxa"/>
          </w:tcPr>
          <w:p w14:paraId="5FBF1727"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100(9-0.5)/10</w:t>
            </w:r>
          </w:p>
        </w:tc>
        <w:tc>
          <w:tcPr>
            <w:tcW w:w="2214" w:type="dxa"/>
          </w:tcPr>
          <w:p w14:paraId="40E824FC"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85</w:t>
            </w:r>
          </w:p>
        </w:tc>
        <w:tc>
          <w:tcPr>
            <w:tcW w:w="2214" w:type="dxa"/>
          </w:tcPr>
          <w:p w14:paraId="24DFAE04"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41</w:t>
            </w:r>
          </w:p>
        </w:tc>
      </w:tr>
      <w:tr w:rsidR="00920306" w:rsidRPr="00920306" w14:paraId="6F9503F6" w14:textId="77777777" w:rsidTr="007E672F">
        <w:tc>
          <w:tcPr>
            <w:tcW w:w="2214" w:type="dxa"/>
          </w:tcPr>
          <w:p w14:paraId="54E94D86"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10</w:t>
            </w:r>
          </w:p>
        </w:tc>
        <w:tc>
          <w:tcPr>
            <w:tcW w:w="2214" w:type="dxa"/>
          </w:tcPr>
          <w:p w14:paraId="154FF16A"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100(10-0.5)/10</w:t>
            </w:r>
          </w:p>
        </w:tc>
        <w:tc>
          <w:tcPr>
            <w:tcW w:w="2214" w:type="dxa"/>
          </w:tcPr>
          <w:p w14:paraId="36ED19EB"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95</w:t>
            </w:r>
          </w:p>
        </w:tc>
        <w:tc>
          <w:tcPr>
            <w:tcW w:w="2214" w:type="dxa"/>
          </w:tcPr>
          <w:p w14:paraId="41081EDE"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38</w:t>
            </w:r>
          </w:p>
        </w:tc>
      </w:tr>
    </w:tbl>
    <w:p w14:paraId="42C5E1FD" w14:textId="77777777" w:rsidR="00920306" w:rsidRPr="00920306" w:rsidRDefault="00920306" w:rsidP="003F5B1C">
      <w:pPr>
        <w:pStyle w:val="Body"/>
        <w:spacing w:after="0"/>
        <w:rPr>
          <w:rFonts w:ascii="Arial" w:hAnsi="Arial" w:cs="Arial"/>
        </w:rPr>
      </w:pPr>
    </w:p>
    <w:p w14:paraId="3C7B76DC" w14:textId="4C5516BA" w:rsidR="00920306" w:rsidRDefault="00920306" w:rsidP="003F5B1C">
      <w:pPr>
        <w:pStyle w:val="Body"/>
        <w:spacing w:after="0"/>
        <w:rPr>
          <w:rFonts w:ascii="Arial" w:hAnsi="Arial" w:cs="Arial"/>
          <w:b/>
          <w:bCs/>
        </w:rPr>
      </w:pPr>
      <w:r w:rsidRPr="00920306">
        <w:rPr>
          <w:rFonts w:ascii="Arial" w:hAnsi="Arial" w:cs="Arial"/>
          <w:b/>
          <w:bCs/>
        </w:rPr>
        <w:t xml:space="preserve">2.1.2 </w:t>
      </w:r>
      <w:r w:rsidR="00456238" w:rsidRPr="00920306">
        <w:rPr>
          <w:rFonts w:ascii="Arial" w:hAnsi="Arial" w:cs="Arial"/>
          <w:b/>
          <w:bCs/>
        </w:rPr>
        <w:t>CONSTRAINT INDEX METHOD FOR CONSTRAINT ANALYSIS</w:t>
      </w:r>
    </w:p>
    <w:p w14:paraId="2F5D4F01" w14:textId="77777777" w:rsidR="00471FE5" w:rsidRPr="00920306" w:rsidRDefault="00471FE5" w:rsidP="003F5B1C">
      <w:pPr>
        <w:pStyle w:val="Body"/>
        <w:spacing w:after="0"/>
        <w:rPr>
          <w:rFonts w:ascii="Arial" w:hAnsi="Arial" w:cs="Arial"/>
          <w:b/>
          <w:bCs/>
        </w:rPr>
      </w:pPr>
    </w:p>
    <w:p w14:paraId="73CBCA0E" w14:textId="41BBFB33" w:rsidR="00920306" w:rsidRPr="00920306" w:rsidRDefault="00920306" w:rsidP="003F5B1C">
      <w:pPr>
        <w:pStyle w:val="Body"/>
        <w:spacing w:after="0"/>
        <w:rPr>
          <w:rFonts w:ascii="Arial" w:hAnsi="Arial" w:cs="Arial"/>
          <w:lang w:val="en-IN"/>
        </w:rPr>
      </w:pPr>
      <w:r w:rsidRPr="00920306">
        <w:rPr>
          <w:rFonts w:ascii="Arial" w:hAnsi="Arial" w:cs="Arial"/>
        </w:rPr>
        <w:t xml:space="preserve">To </w:t>
      </w:r>
      <w:r w:rsidRPr="00920306">
        <w:rPr>
          <w:rFonts w:ascii="Arial" w:hAnsi="Arial" w:cs="Arial"/>
          <w:lang w:val="en-IN"/>
        </w:rPr>
        <w:t>quantify and prioritize the severity of constraints faced by farmers in off-season cabbage cultivation, the study employed a two-stage analytical approach combining Garrett’s Ranking Technique and the Constraint</w:t>
      </w:r>
      <w:r w:rsidR="009F002C">
        <w:rPr>
          <w:rFonts w:ascii="Arial" w:hAnsi="Arial" w:cs="Arial"/>
          <w:lang w:val="en-IN"/>
        </w:rPr>
        <w:t xml:space="preserve"> Severity</w:t>
      </w:r>
      <w:r w:rsidRPr="00920306">
        <w:rPr>
          <w:rFonts w:ascii="Arial" w:hAnsi="Arial" w:cs="Arial"/>
          <w:lang w:val="en-IN"/>
        </w:rPr>
        <w:t xml:space="preserve"> Index (C</w:t>
      </w:r>
      <w:r w:rsidR="009F002C">
        <w:rPr>
          <w:rFonts w:ascii="Arial" w:hAnsi="Arial" w:cs="Arial"/>
          <w:lang w:val="en-IN"/>
        </w:rPr>
        <w:t>S</w:t>
      </w:r>
      <w:r w:rsidRPr="00920306">
        <w:rPr>
          <w:rFonts w:ascii="Arial" w:hAnsi="Arial" w:cs="Arial"/>
          <w:lang w:val="en-IN"/>
        </w:rPr>
        <w:t xml:space="preserve">I). Initially, Garrett’s Ranking Technique was used to convert the ordinal ranks assigned by respondents into quantitative scores, enabling a meaningful comparison of constraints. The ranks provided by the farmers were transformed into percent positions using Garrett’s formula, and the corresponding Garrett scores were </w:t>
      </w:r>
      <w:r w:rsidRPr="00920306">
        <w:rPr>
          <w:rFonts w:ascii="Arial" w:hAnsi="Arial" w:cs="Arial"/>
          <w:lang w:val="en-IN"/>
        </w:rPr>
        <w:lastRenderedPageBreak/>
        <w:t>obtained from the conversion table developed by Woodworth</w:t>
      </w:r>
      <w:r w:rsidR="00AE2FD9">
        <w:rPr>
          <w:rFonts w:ascii="Arial" w:hAnsi="Arial" w:cs="Arial"/>
          <w:lang w:val="en-IN"/>
        </w:rPr>
        <w:t>.</w:t>
      </w:r>
      <w:r w:rsidRPr="00920306">
        <w:rPr>
          <w:rFonts w:ascii="Arial" w:hAnsi="Arial" w:cs="Arial"/>
          <w:lang w:val="en-IN"/>
        </w:rPr>
        <w:t xml:space="preserve"> </w:t>
      </w:r>
      <w:r w:rsidR="00AE2FD9">
        <w:rPr>
          <w:rFonts w:ascii="Arial" w:hAnsi="Arial" w:cs="Arial"/>
          <w:lang w:val="en-IN"/>
        </w:rPr>
        <w:t>[10]</w:t>
      </w:r>
      <w:r w:rsidRPr="00920306">
        <w:rPr>
          <w:rFonts w:ascii="Arial" w:hAnsi="Arial" w:cs="Arial"/>
          <w:lang w:val="en-IN"/>
        </w:rPr>
        <w:t xml:space="preserve"> The scores for each constraint were then aggregated and averaged to derive mean Garrett scores, which served as the basis for further analysis</w:t>
      </w:r>
      <w:r w:rsidR="00072426">
        <w:rPr>
          <w:rFonts w:ascii="Arial" w:hAnsi="Arial" w:cs="Arial"/>
          <w:lang w:val="en-IN"/>
        </w:rPr>
        <w:t xml:space="preserve">. </w:t>
      </w:r>
      <w:r w:rsidRPr="00920306">
        <w:rPr>
          <w:rFonts w:ascii="Arial" w:hAnsi="Arial" w:cs="Arial"/>
          <w:lang w:val="en-IN"/>
        </w:rPr>
        <w:t>Subsequently, to standardize the severity of constraints and facilitate relative comparison across categories, the mean Garrett scores were normalized to construct a Constraint</w:t>
      </w:r>
      <w:r w:rsidR="009F002C">
        <w:rPr>
          <w:rFonts w:ascii="Arial" w:hAnsi="Arial" w:cs="Arial"/>
          <w:lang w:val="en-IN"/>
        </w:rPr>
        <w:t xml:space="preserve"> Severity</w:t>
      </w:r>
      <w:r w:rsidRPr="00920306">
        <w:rPr>
          <w:rFonts w:ascii="Arial" w:hAnsi="Arial" w:cs="Arial"/>
          <w:lang w:val="en-IN"/>
        </w:rPr>
        <w:t xml:space="preserve"> Index (C</w:t>
      </w:r>
      <w:r w:rsidR="009F002C">
        <w:rPr>
          <w:rFonts w:ascii="Arial" w:hAnsi="Arial" w:cs="Arial"/>
          <w:lang w:val="en-IN"/>
        </w:rPr>
        <w:t>S</w:t>
      </w:r>
      <w:r w:rsidRPr="00920306">
        <w:rPr>
          <w:rFonts w:ascii="Arial" w:hAnsi="Arial" w:cs="Arial"/>
          <w:lang w:val="en-IN"/>
        </w:rPr>
        <w:t>I). The C</w:t>
      </w:r>
      <w:r w:rsidR="009F002C">
        <w:rPr>
          <w:rFonts w:ascii="Arial" w:hAnsi="Arial" w:cs="Arial"/>
          <w:lang w:val="en-IN"/>
        </w:rPr>
        <w:t>S</w:t>
      </w:r>
      <w:r w:rsidRPr="00920306">
        <w:rPr>
          <w:rFonts w:ascii="Arial" w:hAnsi="Arial" w:cs="Arial"/>
          <w:lang w:val="en-IN"/>
        </w:rPr>
        <w:t>I was computed using the following formula:</w:t>
      </w:r>
    </w:p>
    <w:p w14:paraId="6C136495" w14:textId="76155E22" w:rsidR="00920306" w:rsidRPr="00920306" w:rsidRDefault="00920306" w:rsidP="003F5B1C">
      <w:pPr>
        <w:pStyle w:val="Body"/>
        <w:spacing w:after="0"/>
        <w:rPr>
          <w:rFonts w:ascii="Arial" w:hAnsi="Arial" w:cs="Arial"/>
          <w:b/>
          <w:bCs/>
          <w:lang w:val="en-IN"/>
        </w:rPr>
      </w:pPr>
      <m:oMathPara>
        <m:oMath>
          <m:r>
            <m:rPr>
              <m:sty m:val="bi"/>
            </m:rPr>
            <w:rPr>
              <w:rFonts w:ascii="Cambria Math" w:hAnsi="Cambria Math" w:cs="Arial"/>
            </w:rPr>
            <m:t>CI=</m:t>
          </m:r>
          <m:f>
            <m:fPr>
              <m:ctrlPr>
                <w:rPr>
                  <w:rFonts w:ascii="Cambria Math" w:hAnsi="Cambria Math" w:cs="Arial"/>
                  <w:b/>
                  <w:bCs/>
                  <w:lang w:val="en-IN"/>
                </w:rPr>
              </m:ctrlPr>
            </m:fPr>
            <m:num>
              <m:r>
                <m:rPr>
                  <m:nor/>
                </m:rPr>
                <w:rPr>
                  <w:rFonts w:ascii="Arial" w:hAnsi="Arial" w:cs="Arial"/>
                  <w:b/>
                  <w:bCs/>
                  <w:lang w:val="en-IN"/>
                </w:rPr>
                <m:t>Mean Score</m:t>
              </m:r>
            </m:num>
            <m:den>
              <m:r>
                <m:rPr>
                  <m:nor/>
                </m:rPr>
                <w:rPr>
                  <w:rFonts w:ascii="Arial" w:hAnsi="Arial" w:cs="Arial"/>
                  <w:b/>
                  <w:bCs/>
                  <w:lang w:val="en-IN"/>
                </w:rPr>
                <m:t>Maximum Mean Score</m:t>
              </m:r>
            </m:den>
          </m:f>
          <m:r>
            <m:rPr>
              <m:sty m:val="p"/>
            </m:rPr>
            <w:rPr>
              <w:rFonts w:ascii="Arial" w:hAnsi="Arial" w:cs="Arial"/>
              <w:lang w:val="en-IN"/>
            </w:rPr>
            <w:br/>
          </m:r>
        </m:oMath>
      </m:oMathPara>
    </w:p>
    <w:p w14:paraId="3F069EBE" w14:textId="63F9317A" w:rsidR="00920306" w:rsidRPr="009D0894" w:rsidRDefault="009D0894" w:rsidP="003F5B1C">
      <w:pPr>
        <w:pStyle w:val="Body"/>
        <w:spacing w:after="0"/>
        <w:rPr>
          <w:rFonts w:ascii="Arial" w:hAnsi="Arial" w:cs="Arial"/>
        </w:rPr>
      </w:pPr>
      <w:r w:rsidRPr="009D0894">
        <w:rPr>
          <w:rFonts w:ascii="Arial" w:hAnsi="Arial" w:cs="Arial"/>
        </w:rPr>
        <w:t>Based on the computed C</w:t>
      </w:r>
      <w:r w:rsidR="009F002C">
        <w:rPr>
          <w:rFonts w:ascii="Arial" w:hAnsi="Arial" w:cs="Arial"/>
        </w:rPr>
        <w:t>S</w:t>
      </w:r>
      <w:r w:rsidRPr="009D0894">
        <w:rPr>
          <w:rFonts w:ascii="Arial" w:hAnsi="Arial" w:cs="Arial"/>
        </w:rPr>
        <w:t>I values, the constraints were classified into severity categories (high, medium, and low) using predefined threshold ranges, a practice commonly followed in composite index construction to improve interpretability and decision-making</w:t>
      </w:r>
      <w:r>
        <w:rPr>
          <w:rFonts w:ascii="Arial" w:hAnsi="Arial" w:cs="Arial"/>
        </w:rPr>
        <w:t xml:space="preserve">.[11] </w:t>
      </w:r>
      <w:r w:rsidR="00920306" w:rsidRPr="00920306">
        <w:rPr>
          <w:rFonts w:ascii="Arial" w:hAnsi="Arial" w:cs="Arial"/>
          <w:lang w:val="en-IN"/>
        </w:rPr>
        <w:t xml:space="preserve">This normalization process transforms the mean scores into a scale ranging from 0 to 1, where values closer to 1 indicate greater severity of the constraint. </w:t>
      </w:r>
      <w:r w:rsidR="00AE2FD9" w:rsidRPr="00AE2FD9">
        <w:rPr>
          <w:rFonts w:ascii="Arial" w:hAnsi="Arial" w:cs="Arial"/>
        </w:rPr>
        <w:t>Such composite indexing approaches have been widely employed in agricultural and socio-economic research to prioritize constraints and support evidence-based policy formulation</w:t>
      </w:r>
      <w:r w:rsidR="00072426">
        <w:rPr>
          <w:rFonts w:ascii="Arial" w:hAnsi="Arial" w:cs="Arial"/>
          <w:lang w:val="en-IN"/>
        </w:rPr>
        <w:t xml:space="preserve">. </w:t>
      </w:r>
      <w:r w:rsidR="00920306" w:rsidRPr="00920306">
        <w:rPr>
          <w:rFonts w:ascii="Arial" w:hAnsi="Arial" w:cs="Arial"/>
          <w:lang w:val="en-IN"/>
        </w:rPr>
        <w:t>Based on the computed C</w:t>
      </w:r>
      <w:r w:rsidR="009F002C">
        <w:rPr>
          <w:rFonts w:ascii="Arial" w:hAnsi="Arial" w:cs="Arial"/>
          <w:lang w:val="en-IN"/>
        </w:rPr>
        <w:t>S</w:t>
      </w:r>
      <w:r w:rsidR="00920306" w:rsidRPr="00920306">
        <w:rPr>
          <w:rFonts w:ascii="Arial" w:hAnsi="Arial" w:cs="Arial"/>
          <w:lang w:val="en-IN"/>
        </w:rPr>
        <w:t>I values, the constraints were classified into three categories to facilitate interpretation: highly severe (C</w:t>
      </w:r>
      <w:r w:rsidR="009F002C">
        <w:rPr>
          <w:rFonts w:ascii="Arial" w:hAnsi="Arial" w:cs="Arial"/>
          <w:lang w:val="en-IN"/>
        </w:rPr>
        <w:t>S</w:t>
      </w:r>
      <w:r w:rsidR="00920306" w:rsidRPr="00920306">
        <w:rPr>
          <w:rFonts w:ascii="Arial" w:hAnsi="Arial" w:cs="Arial"/>
          <w:lang w:val="en-IN"/>
        </w:rPr>
        <w:t>I ranging from 0.75 to 1.00), moderately severe (0.50 to 0.75), and less severe (0.25 to 0.50). This classification provides a structured framework for identifying priority areas requiring intervention and policy support. The combined use of Garrett’s Ranking Technique and Constraint Index enhances the robustness of the analysis by integrating both respondent perception and quantitative standardization, thereby ensuring a comprehensive assessment of constraints.</w:t>
      </w:r>
    </w:p>
    <w:p w14:paraId="6AEBBADF" w14:textId="77777777" w:rsidR="00920306" w:rsidRDefault="00920306" w:rsidP="003F5B1C">
      <w:pPr>
        <w:pStyle w:val="Body"/>
        <w:spacing w:after="0"/>
        <w:rPr>
          <w:rFonts w:ascii="Arial" w:hAnsi="Arial" w:cs="Arial"/>
        </w:rPr>
      </w:pPr>
    </w:p>
    <w:p w14:paraId="154DE4C3" w14:textId="77777777" w:rsidR="00790ADA" w:rsidRPr="00FB3A86" w:rsidRDefault="00790ADA" w:rsidP="003F5B1C">
      <w:pPr>
        <w:pStyle w:val="Body"/>
        <w:spacing w:after="0"/>
        <w:rPr>
          <w:rFonts w:ascii="Arial" w:hAnsi="Arial" w:cs="Arial"/>
        </w:rPr>
      </w:pPr>
    </w:p>
    <w:p w14:paraId="684DCCD4" w14:textId="77777777" w:rsidR="00902823" w:rsidRDefault="00000F8F" w:rsidP="003F5B1C">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FFD4517" w14:textId="77777777" w:rsidR="00471FE5" w:rsidRDefault="00471FE5" w:rsidP="003F5B1C">
      <w:pPr>
        <w:pStyle w:val="Head1"/>
        <w:spacing w:after="0"/>
        <w:jc w:val="both"/>
        <w:rPr>
          <w:rFonts w:ascii="Arial" w:hAnsi="Arial" w:cs="Arial"/>
        </w:rPr>
      </w:pPr>
    </w:p>
    <w:p w14:paraId="1F71EFD2" w14:textId="55B39120" w:rsidR="00920306" w:rsidRPr="00072426" w:rsidRDefault="00072426" w:rsidP="003F5B1C">
      <w:pPr>
        <w:jc w:val="both"/>
        <w:rPr>
          <w:rFonts w:ascii="Arial" w:hAnsi="Arial" w:cs="Arial"/>
          <w:b/>
          <w:bCs/>
          <w:sz w:val="22"/>
          <w:szCs w:val="22"/>
        </w:rPr>
      </w:pPr>
      <w:r w:rsidRPr="00072426">
        <w:rPr>
          <w:rFonts w:ascii="Arial" w:hAnsi="Arial" w:cs="Arial"/>
          <w:b/>
          <w:bCs/>
          <w:sz w:val="22"/>
          <w:szCs w:val="22"/>
        </w:rPr>
        <w:t xml:space="preserve">3.1 ECONOMIC CONSTRAINTS </w:t>
      </w:r>
    </w:p>
    <w:p w14:paraId="7F7D05DD" w14:textId="77777777" w:rsidR="00471FE5" w:rsidRDefault="00471FE5" w:rsidP="003F5B1C">
      <w:pPr>
        <w:jc w:val="both"/>
        <w:rPr>
          <w:b/>
          <w:bCs/>
        </w:rPr>
      </w:pPr>
    </w:p>
    <w:p w14:paraId="710A0D13" w14:textId="0245FCB7" w:rsidR="00920306" w:rsidRPr="00A213ED" w:rsidRDefault="00072426" w:rsidP="003F5B1C">
      <w:pPr>
        <w:jc w:val="both"/>
        <w:rPr>
          <w:b/>
          <w:bCs/>
          <w:sz w:val="22"/>
          <w:szCs w:val="22"/>
        </w:rPr>
      </w:pPr>
      <w:r w:rsidRPr="00A213ED">
        <w:rPr>
          <w:b/>
          <w:bCs/>
          <w:sz w:val="22"/>
          <w:szCs w:val="22"/>
        </w:rPr>
        <w:t>3.1.1 ECONOMIC CONSTRAINTS ANALYSIS USING GARETTE’S RANKING</w:t>
      </w:r>
    </w:p>
    <w:p w14:paraId="00E13131" w14:textId="77777777" w:rsidR="00471FE5" w:rsidRDefault="00471FE5" w:rsidP="003F5B1C">
      <w:pPr>
        <w:jc w:val="both"/>
        <w:rPr>
          <w:b/>
          <w:bCs/>
        </w:rPr>
      </w:pPr>
    </w:p>
    <w:p w14:paraId="29A47E2D" w14:textId="77777777" w:rsidR="00920306" w:rsidRDefault="00920306" w:rsidP="003F5B1C">
      <w:pPr>
        <w:jc w:val="both"/>
      </w:pPr>
      <w:r w:rsidRPr="00A65B86">
        <w:t>The analysis of economic constraints in off-season cabbage cultivation highlights major structural and financial challenges impacting farmers’ production decisions and profitability. Inadequate institutional support facilities emerged as the most critical constraint (Mean Score = 61.65, Rank I), reflecting difficulties in accessing timely credit, extension services, and technical guidance. Absence of market infrastructure was the second highest (Mean Score = 59.45, Rank II), indicating insufficient storage facilities and poor market linkages that often force farmers into distress sales. High transportation expenditure ranked third (Mean Score = 57.10, Rank III), showing the additional cost burden of moving produce to distant markets. Elevated seed procurement costs (Mean Score = 53.75, Rank IV) and absence of minimum support prices (Mean Score = 49.30, Rank V) were comparatively less severe but remain important economic concerns. Overall, these findings suggest that weak institutional support, inadequate market access, and high operational costs are the predominant economic constraints in off-season cabbage cultivation.</w:t>
      </w:r>
    </w:p>
    <w:p w14:paraId="0F1F79AB" w14:textId="77777777" w:rsidR="00072426" w:rsidRPr="00A65B86" w:rsidRDefault="00072426" w:rsidP="003F5B1C">
      <w:pPr>
        <w:jc w:val="both"/>
      </w:pPr>
    </w:p>
    <w:p w14:paraId="268949F5" w14:textId="24433F46" w:rsidR="00920306" w:rsidRPr="00072426" w:rsidRDefault="00072426" w:rsidP="003F5B1C">
      <w:pPr>
        <w:jc w:val="both"/>
        <w:rPr>
          <w:rFonts w:ascii="Arial" w:hAnsi="Arial" w:cs="Arial"/>
          <w:b/>
          <w:bCs/>
        </w:rPr>
      </w:pPr>
      <w:r w:rsidRPr="00072426">
        <w:rPr>
          <w:rFonts w:ascii="Arial" w:hAnsi="Arial" w:cs="Arial"/>
          <w:b/>
          <w:bCs/>
          <w:lang w:val="en-IN"/>
        </w:rPr>
        <w:t>TABLE 1 ECONOMIC</w:t>
      </w:r>
      <w:r w:rsidRPr="00072426">
        <w:rPr>
          <w:rFonts w:ascii="Arial" w:hAnsi="Arial" w:cs="Arial"/>
          <w:b/>
          <w:bCs/>
        </w:rPr>
        <w:t xml:space="preserve"> CONSTRAINTS ANALYZED USING GARRETT’S RANKING TECHNIQUE</w:t>
      </w:r>
    </w:p>
    <w:p w14:paraId="59AEC357" w14:textId="77777777" w:rsidR="00072426" w:rsidRPr="008D4F6D" w:rsidRDefault="00072426" w:rsidP="003F5B1C">
      <w:pPr>
        <w:jc w:val="both"/>
        <w:rPr>
          <w:b/>
          <w:bCs/>
          <w:lang w:val="en-IN"/>
        </w:rPr>
      </w:pPr>
    </w:p>
    <w:tbl>
      <w:tblPr>
        <w:tblStyle w:val="TableGrid"/>
        <w:tblW w:w="0" w:type="auto"/>
        <w:jc w:val="center"/>
        <w:tblLook w:val="04A0" w:firstRow="1" w:lastRow="0" w:firstColumn="1" w:lastColumn="0" w:noHBand="0" w:noVBand="1"/>
      </w:tblPr>
      <w:tblGrid>
        <w:gridCol w:w="1506"/>
        <w:gridCol w:w="795"/>
        <w:gridCol w:w="796"/>
        <w:gridCol w:w="796"/>
        <w:gridCol w:w="796"/>
        <w:gridCol w:w="796"/>
        <w:gridCol w:w="913"/>
        <w:gridCol w:w="913"/>
        <w:gridCol w:w="887"/>
      </w:tblGrid>
      <w:tr w:rsidR="00920306" w:rsidRPr="00513197" w14:paraId="2D10B3AE" w14:textId="77777777" w:rsidTr="007E672F">
        <w:trPr>
          <w:jc w:val="center"/>
        </w:trPr>
        <w:tc>
          <w:tcPr>
            <w:tcW w:w="1001" w:type="dxa"/>
          </w:tcPr>
          <w:p w14:paraId="7BE70C06"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Economic Constraints</w:t>
            </w:r>
          </w:p>
        </w:tc>
        <w:tc>
          <w:tcPr>
            <w:tcW w:w="1001" w:type="dxa"/>
          </w:tcPr>
          <w:p w14:paraId="69C54214"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R1</w:t>
            </w:r>
          </w:p>
        </w:tc>
        <w:tc>
          <w:tcPr>
            <w:tcW w:w="1002" w:type="dxa"/>
          </w:tcPr>
          <w:p w14:paraId="4F84FBDD"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R2</w:t>
            </w:r>
          </w:p>
        </w:tc>
        <w:tc>
          <w:tcPr>
            <w:tcW w:w="1002" w:type="dxa"/>
          </w:tcPr>
          <w:p w14:paraId="3BBF3E21"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R3</w:t>
            </w:r>
          </w:p>
        </w:tc>
        <w:tc>
          <w:tcPr>
            <w:tcW w:w="1002" w:type="dxa"/>
          </w:tcPr>
          <w:p w14:paraId="32BF4098"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R4</w:t>
            </w:r>
          </w:p>
        </w:tc>
        <w:tc>
          <w:tcPr>
            <w:tcW w:w="1002" w:type="dxa"/>
          </w:tcPr>
          <w:p w14:paraId="6E1DE16E"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R5</w:t>
            </w:r>
          </w:p>
        </w:tc>
        <w:tc>
          <w:tcPr>
            <w:tcW w:w="1002" w:type="dxa"/>
          </w:tcPr>
          <w:p w14:paraId="0B5E2D7A"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Total Score</w:t>
            </w:r>
          </w:p>
        </w:tc>
        <w:tc>
          <w:tcPr>
            <w:tcW w:w="1002" w:type="dxa"/>
          </w:tcPr>
          <w:p w14:paraId="3703662E"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Mean Score</w:t>
            </w:r>
          </w:p>
        </w:tc>
        <w:tc>
          <w:tcPr>
            <w:tcW w:w="1002" w:type="dxa"/>
          </w:tcPr>
          <w:p w14:paraId="1873C9C8"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Final Rank</w:t>
            </w:r>
          </w:p>
        </w:tc>
      </w:tr>
      <w:tr w:rsidR="00920306" w:rsidRPr="00513197" w14:paraId="00A50324" w14:textId="77777777" w:rsidTr="007E672F">
        <w:trPr>
          <w:jc w:val="center"/>
        </w:trPr>
        <w:tc>
          <w:tcPr>
            <w:tcW w:w="1001" w:type="dxa"/>
          </w:tcPr>
          <w:p w14:paraId="74C9F2A0"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 xml:space="preserve">Inadequate Institutional Support </w:t>
            </w:r>
          </w:p>
        </w:tc>
        <w:tc>
          <w:tcPr>
            <w:tcW w:w="1001" w:type="dxa"/>
          </w:tcPr>
          <w:p w14:paraId="026DCADB"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28</w:t>
            </w:r>
          </w:p>
        </w:tc>
        <w:tc>
          <w:tcPr>
            <w:tcW w:w="1002" w:type="dxa"/>
          </w:tcPr>
          <w:p w14:paraId="490BE83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19</w:t>
            </w:r>
          </w:p>
        </w:tc>
        <w:tc>
          <w:tcPr>
            <w:tcW w:w="1002" w:type="dxa"/>
          </w:tcPr>
          <w:p w14:paraId="68D913DF"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14</w:t>
            </w:r>
          </w:p>
        </w:tc>
        <w:tc>
          <w:tcPr>
            <w:tcW w:w="1002" w:type="dxa"/>
          </w:tcPr>
          <w:p w14:paraId="6ADC4D31"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11</w:t>
            </w:r>
          </w:p>
        </w:tc>
        <w:tc>
          <w:tcPr>
            <w:tcW w:w="1002" w:type="dxa"/>
          </w:tcPr>
          <w:p w14:paraId="208A4252"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8</w:t>
            </w:r>
          </w:p>
        </w:tc>
        <w:tc>
          <w:tcPr>
            <w:tcW w:w="1002" w:type="dxa"/>
          </w:tcPr>
          <w:p w14:paraId="731EFE75"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4932</w:t>
            </w:r>
          </w:p>
        </w:tc>
        <w:tc>
          <w:tcPr>
            <w:tcW w:w="1002" w:type="dxa"/>
          </w:tcPr>
          <w:p w14:paraId="0714B0F7"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61.65</w:t>
            </w:r>
          </w:p>
        </w:tc>
        <w:tc>
          <w:tcPr>
            <w:tcW w:w="1002" w:type="dxa"/>
          </w:tcPr>
          <w:p w14:paraId="3FD59AEB"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I</w:t>
            </w:r>
          </w:p>
        </w:tc>
      </w:tr>
      <w:tr w:rsidR="00920306" w:rsidRPr="00513197" w14:paraId="30458B03" w14:textId="77777777" w:rsidTr="007E672F">
        <w:trPr>
          <w:jc w:val="center"/>
        </w:trPr>
        <w:tc>
          <w:tcPr>
            <w:tcW w:w="1001" w:type="dxa"/>
          </w:tcPr>
          <w:p w14:paraId="5576206B"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lastRenderedPageBreak/>
              <w:t>Absence of Market Infrastructure</w:t>
            </w:r>
          </w:p>
        </w:tc>
        <w:tc>
          <w:tcPr>
            <w:tcW w:w="1001" w:type="dxa"/>
          </w:tcPr>
          <w:p w14:paraId="2FC68662"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18</w:t>
            </w:r>
          </w:p>
        </w:tc>
        <w:tc>
          <w:tcPr>
            <w:tcW w:w="1002" w:type="dxa"/>
          </w:tcPr>
          <w:p w14:paraId="6E1E36EA"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27</w:t>
            </w:r>
          </w:p>
        </w:tc>
        <w:tc>
          <w:tcPr>
            <w:tcW w:w="1002" w:type="dxa"/>
          </w:tcPr>
          <w:p w14:paraId="182D9CA1"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13</w:t>
            </w:r>
          </w:p>
        </w:tc>
        <w:tc>
          <w:tcPr>
            <w:tcW w:w="1002" w:type="dxa"/>
          </w:tcPr>
          <w:p w14:paraId="28DE9C70"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12</w:t>
            </w:r>
          </w:p>
        </w:tc>
        <w:tc>
          <w:tcPr>
            <w:tcW w:w="1002" w:type="dxa"/>
          </w:tcPr>
          <w:p w14:paraId="7F244741"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10</w:t>
            </w:r>
          </w:p>
        </w:tc>
        <w:tc>
          <w:tcPr>
            <w:tcW w:w="1002" w:type="dxa"/>
          </w:tcPr>
          <w:p w14:paraId="2DCE8F43"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4756</w:t>
            </w:r>
          </w:p>
        </w:tc>
        <w:tc>
          <w:tcPr>
            <w:tcW w:w="1002" w:type="dxa"/>
          </w:tcPr>
          <w:p w14:paraId="685AC08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59.45</w:t>
            </w:r>
          </w:p>
        </w:tc>
        <w:tc>
          <w:tcPr>
            <w:tcW w:w="1002" w:type="dxa"/>
          </w:tcPr>
          <w:p w14:paraId="7C99B870"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II</w:t>
            </w:r>
          </w:p>
        </w:tc>
      </w:tr>
      <w:tr w:rsidR="00920306" w:rsidRPr="00513197" w14:paraId="4E552C40" w14:textId="77777777" w:rsidTr="007E672F">
        <w:trPr>
          <w:jc w:val="center"/>
        </w:trPr>
        <w:tc>
          <w:tcPr>
            <w:tcW w:w="1001" w:type="dxa"/>
          </w:tcPr>
          <w:p w14:paraId="76F2C256"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High Transportation Expenditure</w:t>
            </w:r>
          </w:p>
        </w:tc>
        <w:tc>
          <w:tcPr>
            <w:tcW w:w="1001" w:type="dxa"/>
          </w:tcPr>
          <w:p w14:paraId="5A164BAF"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14</w:t>
            </w:r>
          </w:p>
        </w:tc>
        <w:tc>
          <w:tcPr>
            <w:tcW w:w="1002" w:type="dxa"/>
          </w:tcPr>
          <w:p w14:paraId="24626EE3"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16</w:t>
            </w:r>
          </w:p>
        </w:tc>
        <w:tc>
          <w:tcPr>
            <w:tcW w:w="1002" w:type="dxa"/>
          </w:tcPr>
          <w:p w14:paraId="6F44CD09"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26</w:t>
            </w:r>
          </w:p>
        </w:tc>
        <w:tc>
          <w:tcPr>
            <w:tcW w:w="1002" w:type="dxa"/>
          </w:tcPr>
          <w:p w14:paraId="3D7AB28E"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13</w:t>
            </w:r>
          </w:p>
        </w:tc>
        <w:tc>
          <w:tcPr>
            <w:tcW w:w="1002" w:type="dxa"/>
          </w:tcPr>
          <w:p w14:paraId="2720B4C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11</w:t>
            </w:r>
          </w:p>
        </w:tc>
        <w:tc>
          <w:tcPr>
            <w:tcW w:w="1002" w:type="dxa"/>
          </w:tcPr>
          <w:p w14:paraId="2CC4CD54"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4568</w:t>
            </w:r>
          </w:p>
        </w:tc>
        <w:tc>
          <w:tcPr>
            <w:tcW w:w="1002" w:type="dxa"/>
          </w:tcPr>
          <w:p w14:paraId="1505D37B"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57.10</w:t>
            </w:r>
          </w:p>
        </w:tc>
        <w:tc>
          <w:tcPr>
            <w:tcW w:w="1002" w:type="dxa"/>
          </w:tcPr>
          <w:p w14:paraId="1B8EBF7F"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III</w:t>
            </w:r>
          </w:p>
        </w:tc>
      </w:tr>
      <w:tr w:rsidR="00920306" w:rsidRPr="00513197" w14:paraId="067EA7A9" w14:textId="77777777" w:rsidTr="007E672F">
        <w:trPr>
          <w:jc w:val="center"/>
        </w:trPr>
        <w:tc>
          <w:tcPr>
            <w:tcW w:w="1001" w:type="dxa"/>
          </w:tcPr>
          <w:p w14:paraId="348F672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Elevated Seed Procurement Costs</w:t>
            </w:r>
          </w:p>
        </w:tc>
        <w:tc>
          <w:tcPr>
            <w:tcW w:w="1001" w:type="dxa"/>
          </w:tcPr>
          <w:p w14:paraId="7C75C73E"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11</w:t>
            </w:r>
          </w:p>
        </w:tc>
        <w:tc>
          <w:tcPr>
            <w:tcW w:w="1002" w:type="dxa"/>
          </w:tcPr>
          <w:p w14:paraId="4D698192"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9</w:t>
            </w:r>
          </w:p>
        </w:tc>
        <w:tc>
          <w:tcPr>
            <w:tcW w:w="1002" w:type="dxa"/>
          </w:tcPr>
          <w:p w14:paraId="639C952E"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17</w:t>
            </w:r>
          </w:p>
        </w:tc>
        <w:tc>
          <w:tcPr>
            <w:tcW w:w="1002" w:type="dxa"/>
          </w:tcPr>
          <w:p w14:paraId="0913E912"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28</w:t>
            </w:r>
          </w:p>
        </w:tc>
        <w:tc>
          <w:tcPr>
            <w:tcW w:w="1002" w:type="dxa"/>
          </w:tcPr>
          <w:p w14:paraId="5BE10578"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15</w:t>
            </w:r>
          </w:p>
        </w:tc>
        <w:tc>
          <w:tcPr>
            <w:tcW w:w="1002" w:type="dxa"/>
          </w:tcPr>
          <w:p w14:paraId="629BB3B1"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4300</w:t>
            </w:r>
          </w:p>
        </w:tc>
        <w:tc>
          <w:tcPr>
            <w:tcW w:w="1002" w:type="dxa"/>
          </w:tcPr>
          <w:p w14:paraId="0A498B1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53.75</w:t>
            </w:r>
          </w:p>
        </w:tc>
        <w:tc>
          <w:tcPr>
            <w:tcW w:w="1002" w:type="dxa"/>
          </w:tcPr>
          <w:p w14:paraId="426A63A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IV</w:t>
            </w:r>
          </w:p>
        </w:tc>
      </w:tr>
      <w:tr w:rsidR="00920306" w:rsidRPr="00513197" w14:paraId="4381406C" w14:textId="77777777" w:rsidTr="007E672F">
        <w:trPr>
          <w:jc w:val="center"/>
        </w:trPr>
        <w:tc>
          <w:tcPr>
            <w:tcW w:w="1001" w:type="dxa"/>
          </w:tcPr>
          <w:p w14:paraId="43F2C0A2"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Absence of Minimum Support Prices</w:t>
            </w:r>
          </w:p>
        </w:tc>
        <w:tc>
          <w:tcPr>
            <w:tcW w:w="1001" w:type="dxa"/>
          </w:tcPr>
          <w:p w14:paraId="52D4D035"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9</w:t>
            </w:r>
          </w:p>
        </w:tc>
        <w:tc>
          <w:tcPr>
            <w:tcW w:w="1002" w:type="dxa"/>
          </w:tcPr>
          <w:p w14:paraId="4944546D"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9</w:t>
            </w:r>
          </w:p>
        </w:tc>
        <w:tc>
          <w:tcPr>
            <w:tcW w:w="1002" w:type="dxa"/>
          </w:tcPr>
          <w:p w14:paraId="5D67A4E6"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10</w:t>
            </w:r>
          </w:p>
        </w:tc>
        <w:tc>
          <w:tcPr>
            <w:tcW w:w="1002" w:type="dxa"/>
          </w:tcPr>
          <w:p w14:paraId="6C2DFA72"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16</w:t>
            </w:r>
          </w:p>
        </w:tc>
        <w:tc>
          <w:tcPr>
            <w:tcW w:w="1002" w:type="dxa"/>
          </w:tcPr>
          <w:p w14:paraId="3AEDE106"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36</w:t>
            </w:r>
          </w:p>
        </w:tc>
        <w:tc>
          <w:tcPr>
            <w:tcW w:w="1002" w:type="dxa"/>
          </w:tcPr>
          <w:p w14:paraId="52DE7586"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3944</w:t>
            </w:r>
          </w:p>
        </w:tc>
        <w:tc>
          <w:tcPr>
            <w:tcW w:w="1002" w:type="dxa"/>
          </w:tcPr>
          <w:p w14:paraId="3B4F876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49.30</w:t>
            </w:r>
          </w:p>
        </w:tc>
        <w:tc>
          <w:tcPr>
            <w:tcW w:w="1002" w:type="dxa"/>
          </w:tcPr>
          <w:p w14:paraId="750B09BB"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V</w:t>
            </w:r>
          </w:p>
        </w:tc>
      </w:tr>
    </w:tbl>
    <w:p w14:paraId="509141E1" w14:textId="77777777" w:rsidR="00920306" w:rsidRDefault="00920306" w:rsidP="003F5B1C">
      <w:pPr>
        <w:jc w:val="both"/>
        <w:rPr>
          <w:lang w:val="en-IN"/>
        </w:rPr>
      </w:pPr>
    </w:p>
    <w:p w14:paraId="6F993BFD" w14:textId="517DDD08" w:rsidR="00920306" w:rsidRPr="00072426" w:rsidRDefault="00072426" w:rsidP="003F5B1C">
      <w:pPr>
        <w:jc w:val="both"/>
        <w:rPr>
          <w:rFonts w:ascii="Arial" w:hAnsi="Arial" w:cs="Arial"/>
          <w:b/>
          <w:bCs/>
          <w:sz w:val="22"/>
          <w:szCs w:val="22"/>
          <w:lang w:val="en-IN"/>
        </w:rPr>
      </w:pPr>
      <w:r w:rsidRPr="00072426">
        <w:rPr>
          <w:rFonts w:ascii="Arial" w:hAnsi="Arial" w:cs="Arial"/>
          <w:b/>
          <w:bCs/>
          <w:sz w:val="22"/>
          <w:szCs w:val="22"/>
          <w:lang w:val="en-IN"/>
        </w:rPr>
        <w:t>3.1.2</w:t>
      </w:r>
      <w:r w:rsidRPr="00072426">
        <w:rPr>
          <w:rFonts w:ascii="Arial" w:hAnsi="Arial" w:cs="Arial"/>
          <w:sz w:val="22"/>
          <w:szCs w:val="22"/>
          <w:lang w:val="en-IN"/>
        </w:rPr>
        <w:t xml:space="preserve"> </w:t>
      </w:r>
      <w:r w:rsidRPr="00072426">
        <w:rPr>
          <w:rFonts w:ascii="Arial" w:hAnsi="Arial" w:cs="Arial"/>
          <w:b/>
          <w:bCs/>
          <w:sz w:val="22"/>
          <w:szCs w:val="22"/>
          <w:lang w:val="en-IN"/>
        </w:rPr>
        <w:t>ECONOMIC ANALYSIS USING CONSTRAINTS INDEX METHOD</w:t>
      </w:r>
    </w:p>
    <w:p w14:paraId="44170DC0" w14:textId="77777777" w:rsidR="00471FE5" w:rsidRDefault="00471FE5" w:rsidP="003F5B1C">
      <w:pPr>
        <w:jc w:val="both"/>
        <w:rPr>
          <w:b/>
          <w:bCs/>
          <w:lang w:val="en-IN"/>
        </w:rPr>
      </w:pPr>
    </w:p>
    <w:p w14:paraId="649F3E49" w14:textId="07A88D6C" w:rsidR="00920306" w:rsidRDefault="00920306" w:rsidP="003F5B1C">
      <w:pPr>
        <w:jc w:val="both"/>
        <w:rPr>
          <w:lang w:val="en-IN"/>
        </w:rPr>
      </w:pPr>
      <w:r w:rsidRPr="006F71C4">
        <w:rPr>
          <w:lang w:val="en-IN"/>
        </w:rPr>
        <w:t>The Constraint</w:t>
      </w:r>
      <w:r w:rsidR="009F002C">
        <w:rPr>
          <w:lang w:val="en-IN"/>
        </w:rPr>
        <w:t xml:space="preserve"> Severity</w:t>
      </w:r>
      <w:r w:rsidRPr="006F71C4">
        <w:rPr>
          <w:lang w:val="en-IN"/>
        </w:rPr>
        <w:t xml:space="preserve"> Index (C</w:t>
      </w:r>
      <w:r w:rsidR="009F002C">
        <w:rPr>
          <w:lang w:val="en-IN"/>
        </w:rPr>
        <w:t>S</w:t>
      </w:r>
      <w:r w:rsidRPr="006F71C4">
        <w:rPr>
          <w:lang w:val="en-IN"/>
        </w:rPr>
        <w:t>I) values for the identified economic constraints were derived by normalizing the mean scores of each constraint with respect to the highest mean score observed in the category. This method enables a relative comparison of constraints by converting them into a standardized scale ranging from 0 to 1. In the present study, the maximum mean score of 61.65, corresponding to inadequate institutional support facilities, was taken as the base value. Accordingly, the C</w:t>
      </w:r>
      <w:r w:rsidR="009F002C">
        <w:rPr>
          <w:lang w:val="en-IN"/>
        </w:rPr>
        <w:t>S</w:t>
      </w:r>
      <w:r w:rsidRPr="006F71C4">
        <w:rPr>
          <w:lang w:val="en-IN"/>
        </w:rPr>
        <w:t>I for each constraint was computed by dividing its respective mean score by this maximum value. For instance, the C</w:t>
      </w:r>
      <w:r w:rsidR="009F002C">
        <w:rPr>
          <w:lang w:val="en-IN"/>
        </w:rPr>
        <w:t>S</w:t>
      </w:r>
      <w:r w:rsidRPr="006F71C4">
        <w:rPr>
          <w:lang w:val="en-IN"/>
        </w:rPr>
        <w:t>I for absence of market infrastructure was calculated as 59.45 divided by 61.65, resulting in a value of 0.96, while high transportation expenditure yielded a C</w:t>
      </w:r>
      <w:r w:rsidR="009F002C">
        <w:rPr>
          <w:lang w:val="en-IN"/>
        </w:rPr>
        <w:t>S</w:t>
      </w:r>
      <w:r w:rsidRPr="006F71C4">
        <w:rPr>
          <w:lang w:val="en-IN"/>
        </w:rPr>
        <w:t>I of 0.93. Similarly, elevated seed procurement costs and absence of minimum support prices recorded C</w:t>
      </w:r>
      <w:r w:rsidR="009F002C">
        <w:rPr>
          <w:lang w:val="en-IN"/>
        </w:rPr>
        <w:t>S</w:t>
      </w:r>
      <w:r w:rsidRPr="006F71C4">
        <w:rPr>
          <w:lang w:val="en-IN"/>
        </w:rPr>
        <w:t>I values of 0.87 and 0.80, respectively.</w:t>
      </w:r>
    </w:p>
    <w:p w14:paraId="1D3DF775" w14:textId="77777777" w:rsidR="00072426" w:rsidRDefault="00072426" w:rsidP="003F5B1C">
      <w:pPr>
        <w:jc w:val="both"/>
        <w:rPr>
          <w:lang w:val="en-IN"/>
        </w:rPr>
      </w:pPr>
    </w:p>
    <w:p w14:paraId="4C256D95" w14:textId="226DE69F" w:rsidR="00920306" w:rsidRPr="00072426" w:rsidRDefault="00072426" w:rsidP="003F5B1C">
      <w:pPr>
        <w:jc w:val="both"/>
        <w:rPr>
          <w:rFonts w:ascii="Arial" w:hAnsi="Arial" w:cs="Arial"/>
          <w:b/>
          <w:bCs/>
          <w:sz w:val="22"/>
          <w:szCs w:val="22"/>
          <w:lang w:val="en-IN"/>
        </w:rPr>
      </w:pPr>
      <w:r w:rsidRPr="00072426">
        <w:rPr>
          <w:rFonts w:ascii="Arial" w:hAnsi="Arial" w:cs="Arial"/>
          <w:b/>
          <w:bCs/>
          <w:sz w:val="22"/>
          <w:szCs w:val="22"/>
          <w:lang w:val="en-IN"/>
        </w:rPr>
        <w:t>TABLE 2 ECONOMIC</w:t>
      </w:r>
      <w:r w:rsidRPr="00072426">
        <w:rPr>
          <w:rFonts w:ascii="Arial" w:hAnsi="Arial" w:cs="Arial"/>
          <w:b/>
          <w:bCs/>
          <w:sz w:val="22"/>
          <w:szCs w:val="22"/>
        </w:rPr>
        <w:t xml:space="preserve"> CONSTRAINTS ANALYZED USING </w:t>
      </w:r>
      <w:r w:rsidRPr="00072426">
        <w:rPr>
          <w:rFonts w:ascii="Arial" w:hAnsi="Arial" w:cs="Arial"/>
          <w:b/>
          <w:bCs/>
          <w:sz w:val="22"/>
          <w:szCs w:val="22"/>
          <w:lang w:val="en-IN"/>
        </w:rPr>
        <w:t>CONSTRAINTS INDEX METHOD</w:t>
      </w:r>
    </w:p>
    <w:p w14:paraId="60CF1AC0" w14:textId="77777777" w:rsidR="00471FE5" w:rsidRPr="000E780B" w:rsidRDefault="00471FE5" w:rsidP="003F5B1C">
      <w:pPr>
        <w:jc w:val="both"/>
        <w:rPr>
          <w:b/>
          <w:bCs/>
          <w:lang w:val="en-IN"/>
        </w:rPr>
      </w:pPr>
    </w:p>
    <w:tbl>
      <w:tblPr>
        <w:tblStyle w:val="TableGrid"/>
        <w:tblW w:w="0" w:type="auto"/>
        <w:tblLook w:val="04A0" w:firstRow="1" w:lastRow="0" w:firstColumn="1" w:lastColumn="0" w:noHBand="0" w:noVBand="1"/>
      </w:tblPr>
      <w:tblGrid>
        <w:gridCol w:w="1569"/>
        <w:gridCol w:w="1727"/>
        <w:gridCol w:w="1606"/>
        <w:gridCol w:w="1692"/>
        <w:gridCol w:w="1604"/>
      </w:tblGrid>
      <w:tr w:rsidR="00920306" w:rsidRPr="008D4F6D" w14:paraId="5AB83140" w14:textId="77777777" w:rsidTr="007E672F">
        <w:tc>
          <w:tcPr>
            <w:tcW w:w="1771" w:type="dxa"/>
          </w:tcPr>
          <w:p w14:paraId="52E9B8A8"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S. No.</w:t>
            </w:r>
          </w:p>
        </w:tc>
        <w:tc>
          <w:tcPr>
            <w:tcW w:w="1771" w:type="dxa"/>
          </w:tcPr>
          <w:p w14:paraId="6B5DE277"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Economic Constraint</w:t>
            </w:r>
          </w:p>
        </w:tc>
        <w:tc>
          <w:tcPr>
            <w:tcW w:w="1771" w:type="dxa"/>
          </w:tcPr>
          <w:p w14:paraId="0BC5DC7B"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Mean Score</w:t>
            </w:r>
          </w:p>
        </w:tc>
        <w:tc>
          <w:tcPr>
            <w:tcW w:w="1771" w:type="dxa"/>
          </w:tcPr>
          <w:p w14:paraId="40A807DE" w14:textId="66CCADD4"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C</w:t>
            </w:r>
            <w:r w:rsidR="009F002C">
              <w:rPr>
                <w:rFonts w:ascii="Arial" w:hAnsi="Arial" w:cs="Arial"/>
                <w:b/>
                <w:bCs/>
                <w:sz w:val="20"/>
                <w:szCs w:val="20"/>
                <w:lang w:val="en-IN"/>
              </w:rPr>
              <w:t>S</w:t>
            </w:r>
            <w:r w:rsidRPr="00072426">
              <w:rPr>
                <w:rFonts w:ascii="Arial" w:hAnsi="Arial" w:cs="Arial"/>
                <w:b/>
                <w:bCs/>
                <w:sz w:val="20"/>
                <w:szCs w:val="20"/>
                <w:lang w:val="en-IN"/>
              </w:rPr>
              <w:t>I Calculation</w:t>
            </w:r>
          </w:p>
        </w:tc>
        <w:tc>
          <w:tcPr>
            <w:tcW w:w="1772" w:type="dxa"/>
          </w:tcPr>
          <w:p w14:paraId="0942976F" w14:textId="00BC6D4B"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C</w:t>
            </w:r>
            <w:r w:rsidR="009F002C">
              <w:rPr>
                <w:rFonts w:ascii="Arial" w:hAnsi="Arial" w:cs="Arial"/>
                <w:b/>
                <w:bCs/>
                <w:sz w:val="20"/>
                <w:szCs w:val="20"/>
                <w:lang w:val="en-IN"/>
              </w:rPr>
              <w:t>S</w:t>
            </w:r>
            <w:r w:rsidRPr="00072426">
              <w:rPr>
                <w:rFonts w:ascii="Arial" w:hAnsi="Arial" w:cs="Arial"/>
                <w:b/>
                <w:bCs/>
                <w:sz w:val="20"/>
                <w:szCs w:val="20"/>
                <w:lang w:val="en-IN"/>
              </w:rPr>
              <w:t>I Value</w:t>
            </w:r>
          </w:p>
        </w:tc>
      </w:tr>
      <w:tr w:rsidR="00920306" w:rsidRPr="008D4F6D" w14:paraId="4873DD31" w14:textId="77777777" w:rsidTr="007E672F">
        <w:tc>
          <w:tcPr>
            <w:tcW w:w="1771" w:type="dxa"/>
          </w:tcPr>
          <w:p w14:paraId="6746395E"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1</w:t>
            </w:r>
          </w:p>
        </w:tc>
        <w:tc>
          <w:tcPr>
            <w:tcW w:w="1771" w:type="dxa"/>
          </w:tcPr>
          <w:p w14:paraId="0C13B22E"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Inadequate Institutional Support Facilities</w:t>
            </w:r>
          </w:p>
        </w:tc>
        <w:tc>
          <w:tcPr>
            <w:tcW w:w="1771" w:type="dxa"/>
          </w:tcPr>
          <w:p w14:paraId="6AA738D2"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61.65</w:t>
            </w:r>
          </w:p>
        </w:tc>
        <w:tc>
          <w:tcPr>
            <w:tcW w:w="1771" w:type="dxa"/>
          </w:tcPr>
          <w:p w14:paraId="2C3BAD47"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61.65 / 61.65</w:t>
            </w:r>
          </w:p>
        </w:tc>
        <w:tc>
          <w:tcPr>
            <w:tcW w:w="1772" w:type="dxa"/>
          </w:tcPr>
          <w:p w14:paraId="0873403B"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1.00</w:t>
            </w:r>
          </w:p>
        </w:tc>
      </w:tr>
      <w:tr w:rsidR="00920306" w:rsidRPr="008D4F6D" w14:paraId="3AD34EB0" w14:textId="77777777" w:rsidTr="007E672F">
        <w:tc>
          <w:tcPr>
            <w:tcW w:w="1771" w:type="dxa"/>
          </w:tcPr>
          <w:p w14:paraId="1FF97EC3"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2</w:t>
            </w:r>
          </w:p>
        </w:tc>
        <w:tc>
          <w:tcPr>
            <w:tcW w:w="1771" w:type="dxa"/>
          </w:tcPr>
          <w:p w14:paraId="1327F043" w14:textId="77777777" w:rsidR="00072426" w:rsidRDefault="00920306" w:rsidP="003F5B1C">
            <w:pPr>
              <w:jc w:val="both"/>
              <w:rPr>
                <w:rFonts w:ascii="Arial" w:hAnsi="Arial" w:cs="Arial"/>
                <w:sz w:val="20"/>
                <w:szCs w:val="20"/>
                <w:lang w:val="en-IN"/>
              </w:rPr>
            </w:pPr>
            <w:r w:rsidRPr="00072426">
              <w:rPr>
                <w:rFonts w:ascii="Arial" w:hAnsi="Arial" w:cs="Arial"/>
                <w:sz w:val="20"/>
                <w:szCs w:val="20"/>
                <w:lang w:val="en-IN"/>
              </w:rPr>
              <w:t xml:space="preserve">Absence of </w:t>
            </w:r>
          </w:p>
          <w:p w14:paraId="4180D023" w14:textId="446FE16D"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Market Infrastructure</w:t>
            </w:r>
          </w:p>
        </w:tc>
        <w:tc>
          <w:tcPr>
            <w:tcW w:w="1771" w:type="dxa"/>
          </w:tcPr>
          <w:p w14:paraId="05BDABA1"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59.45</w:t>
            </w:r>
          </w:p>
        </w:tc>
        <w:tc>
          <w:tcPr>
            <w:tcW w:w="1771" w:type="dxa"/>
          </w:tcPr>
          <w:p w14:paraId="586DFBF4"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59.45 / 61.65</w:t>
            </w:r>
          </w:p>
        </w:tc>
        <w:tc>
          <w:tcPr>
            <w:tcW w:w="1772" w:type="dxa"/>
          </w:tcPr>
          <w:p w14:paraId="0E67AFE3"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0.96</w:t>
            </w:r>
          </w:p>
        </w:tc>
      </w:tr>
      <w:tr w:rsidR="00920306" w:rsidRPr="008D4F6D" w14:paraId="1C9BB182" w14:textId="77777777" w:rsidTr="007E672F">
        <w:tc>
          <w:tcPr>
            <w:tcW w:w="1771" w:type="dxa"/>
          </w:tcPr>
          <w:p w14:paraId="577E8AC1"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3</w:t>
            </w:r>
          </w:p>
        </w:tc>
        <w:tc>
          <w:tcPr>
            <w:tcW w:w="1771" w:type="dxa"/>
          </w:tcPr>
          <w:p w14:paraId="2C9DFFA2"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High Transportation Expenditure</w:t>
            </w:r>
          </w:p>
        </w:tc>
        <w:tc>
          <w:tcPr>
            <w:tcW w:w="1771" w:type="dxa"/>
          </w:tcPr>
          <w:p w14:paraId="4464A472"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57.10</w:t>
            </w:r>
          </w:p>
        </w:tc>
        <w:tc>
          <w:tcPr>
            <w:tcW w:w="1771" w:type="dxa"/>
          </w:tcPr>
          <w:p w14:paraId="640584E6"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57.10 / 61.65</w:t>
            </w:r>
          </w:p>
        </w:tc>
        <w:tc>
          <w:tcPr>
            <w:tcW w:w="1772" w:type="dxa"/>
          </w:tcPr>
          <w:p w14:paraId="42C86371"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0.93</w:t>
            </w:r>
          </w:p>
        </w:tc>
      </w:tr>
      <w:tr w:rsidR="00920306" w:rsidRPr="008D4F6D" w14:paraId="14D8C7CE" w14:textId="77777777" w:rsidTr="007E672F">
        <w:tc>
          <w:tcPr>
            <w:tcW w:w="1771" w:type="dxa"/>
          </w:tcPr>
          <w:p w14:paraId="1BF57855"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4</w:t>
            </w:r>
          </w:p>
        </w:tc>
        <w:tc>
          <w:tcPr>
            <w:tcW w:w="1771" w:type="dxa"/>
          </w:tcPr>
          <w:p w14:paraId="33161FE2"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Elevated Seed Procurement Costs</w:t>
            </w:r>
          </w:p>
        </w:tc>
        <w:tc>
          <w:tcPr>
            <w:tcW w:w="1771" w:type="dxa"/>
          </w:tcPr>
          <w:p w14:paraId="72D1F41F"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53.75</w:t>
            </w:r>
          </w:p>
        </w:tc>
        <w:tc>
          <w:tcPr>
            <w:tcW w:w="1771" w:type="dxa"/>
          </w:tcPr>
          <w:p w14:paraId="7B8F2CFD"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53.75 / 61.65</w:t>
            </w:r>
          </w:p>
        </w:tc>
        <w:tc>
          <w:tcPr>
            <w:tcW w:w="1772" w:type="dxa"/>
          </w:tcPr>
          <w:p w14:paraId="3EBDDD1F"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0.87</w:t>
            </w:r>
          </w:p>
        </w:tc>
      </w:tr>
      <w:tr w:rsidR="00920306" w:rsidRPr="008D4F6D" w14:paraId="18C2B22B" w14:textId="77777777" w:rsidTr="007E672F">
        <w:tc>
          <w:tcPr>
            <w:tcW w:w="1771" w:type="dxa"/>
          </w:tcPr>
          <w:p w14:paraId="5B75DFA2"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w:t>
            </w:r>
          </w:p>
        </w:tc>
        <w:tc>
          <w:tcPr>
            <w:tcW w:w="1771" w:type="dxa"/>
          </w:tcPr>
          <w:p w14:paraId="541133B9"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Absence of Minimum Support Prices</w:t>
            </w:r>
          </w:p>
        </w:tc>
        <w:tc>
          <w:tcPr>
            <w:tcW w:w="1771" w:type="dxa"/>
          </w:tcPr>
          <w:p w14:paraId="32FA334C"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49.30</w:t>
            </w:r>
          </w:p>
        </w:tc>
        <w:tc>
          <w:tcPr>
            <w:tcW w:w="1771" w:type="dxa"/>
          </w:tcPr>
          <w:p w14:paraId="438EC473"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49.30 / 61.65</w:t>
            </w:r>
          </w:p>
        </w:tc>
        <w:tc>
          <w:tcPr>
            <w:tcW w:w="1772" w:type="dxa"/>
          </w:tcPr>
          <w:p w14:paraId="57134173"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0.80</w:t>
            </w:r>
          </w:p>
        </w:tc>
      </w:tr>
    </w:tbl>
    <w:p w14:paraId="0039E9DA" w14:textId="77777777" w:rsidR="00920306" w:rsidRPr="00513197" w:rsidRDefault="00920306" w:rsidP="003F5B1C">
      <w:pPr>
        <w:jc w:val="both"/>
      </w:pPr>
    </w:p>
    <w:p w14:paraId="48CCF596" w14:textId="53F14B07" w:rsidR="00920306" w:rsidRPr="00C8393B" w:rsidRDefault="00920306" w:rsidP="003F5B1C">
      <w:pPr>
        <w:jc w:val="both"/>
        <w:rPr>
          <w:rFonts w:ascii="Arial" w:hAnsi="Arial" w:cs="Arial"/>
          <w:b/>
          <w:bCs/>
        </w:rPr>
      </w:pPr>
      <m:oMathPara>
        <m:oMath>
          <m:r>
            <m:rPr>
              <m:nor/>
            </m:rPr>
            <w:rPr>
              <w:rFonts w:ascii="Arial" w:hAnsi="Arial" w:cs="Arial"/>
              <w:b/>
              <w:bCs/>
            </w:rPr>
            <m:t>Average CSI</m:t>
          </m:r>
          <m:r>
            <m:rPr>
              <m:sty m:val="bi"/>
            </m:rPr>
            <w:rPr>
              <w:rFonts w:ascii="Cambria Math" w:hAnsi="Cambria Math" w:cs="Arial"/>
            </w:rPr>
            <m:t>=</m:t>
          </m:r>
          <m:f>
            <m:fPr>
              <m:ctrlPr>
                <w:rPr>
                  <w:rFonts w:ascii="Cambria Math" w:hAnsi="Cambria Math" w:cs="Arial"/>
                  <w:b/>
                  <w:bCs/>
                </w:rPr>
              </m:ctrlPr>
            </m:fPr>
            <m:num>
              <m:r>
                <m:rPr>
                  <m:sty m:val="bi"/>
                </m:rPr>
                <w:rPr>
                  <w:rFonts w:ascii="Cambria Math" w:hAnsi="Cambria Math" w:cs="Arial"/>
                </w:rPr>
                <m:t>1.00+0.96+0.93+0.87+0.80</m:t>
              </m:r>
            </m:num>
            <m:den>
              <m:r>
                <m:rPr>
                  <m:sty m:val="bi"/>
                </m:rPr>
                <w:rPr>
                  <w:rFonts w:ascii="Cambria Math" w:hAnsi="Cambria Math" w:cs="Arial"/>
                </w:rPr>
                <m:t>5</m:t>
              </m:r>
            </m:den>
          </m:f>
          <m:r>
            <m:rPr>
              <m:sty m:val="bi"/>
            </m:rPr>
            <w:rPr>
              <w:rFonts w:ascii="Cambria Math" w:hAnsi="Cambria Math" w:cs="Arial"/>
            </w:rPr>
            <m:t>=0.912</m:t>
          </m:r>
          <m:r>
            <m:rPr>
              <m:sty m:val="p"/>
            </m:rPr>
            <w:rPr>
              <w:rFonts w:ascii="Cambria Math" w:hAnsi="Cambria Math" w:cs="Arial"/>
            </w:rPr>
            <w:br/>
          </m:r>
        </m:oMath>
      </m:oMathPara>
    </w:p>
    <w:p w14:paraId="79F64778" w14:textId="2CDBC130" w:rsidR="00920306" w:rsidRDefault="00920306" w:rsidP="003F5B1C">
      <w:pPr>
        <w:jc w:val="both"/>
      </w:pPr>
      <w:r w:rsidRPr="006F71C4">
        <w:rPr>
          <w:lang w:val="en-IN"/>
        </w:rPr>
        <w:lastRenderedPageBreak/>
        <w:t>This normalization technique facilitates a clear understanding of the relative severity of each constraint, eliminating the limitations associated with direct comparison of raw scores. A C</w:t>
      </w:r>
      <w:r w:rsidR="009F002C">
        <w:rPr>
          <w:lang w:val="en-IN"/>
        </w:rPr>
        <w:t>S</w:t>
      </w:r>
      <w:r w:rsidRPr="006F71C4">
        <w:rPr>
          <w:lang w:val="en-IN"/>
        </w:rPr>
        <w:t>I value closer to 1 indicates a more severe constraint, whereas lower values represent relatively lesser intensity. The average Constraint Index for the economic category was computed as 0.912, indicating that economic constraints, as a whole, exert a high level of influence on off-season cabbage cultivation. The use of this index not only simplifies interpretation but also enhances the analytical robustness of the study by providing a uniform basis for ranking and prioritizing constraints.</w:t>
      </w:r>
      <w:r>
        <w:rPr>
          <w:lang w:val="en-IN"/>
        </w:rPr>
        <w:t xml:space="preserve"> </w:t>
      </w:r>
      <w:r w:rsidRPr="00513197">
        <w:t>The analysis revealed that inadequate institutional support facilities ranked first with a mean score of 61.65 and C</w:t>
      </w:r>
      <w:r w:rsidR="009F002C">
        <w:t>S</w:t>
      </w:r>
      <w:r w:rsidRPr="00513197">
        <w:t>I of 1.00, indicating it as the most severe economic constraint. This was followed by absence of market infrastructure (C</w:t>
      </w:r>
      <w:r w:rsidR="009F002C">
        <w:t>S</w:t>
      </w:r>
      <w:r w:rsidRPr="00513197">
        <w:t>I = 0.96) and high transportation expenditure (C</w:t>
      </w:r>
      <w:r w:rsidR="009F002C">
        <w:t>S</w:t>
      </w:r>
      <w:r w:rsidRPr="00513197">
        <w:t>I = 0.93). Elevated seed procurement costs and absence of minimum support prices were also significant constraints.</w:t>
      </w:r>
    </w:p>
    <w:p w14:paraId="2F305421" w14:textId="77777777" w:rsidR="00072426" w:rsidRDefault="00072426" w:rsidP="003F5B1C">
      <w:pPr>
        <w:jc w:val="both"/>
      </w:pPr>
    </w:p>
    <w:p w14:paraId="7820B5DC" w14:textId="410588BD" w:rsidR="00920306" w:rsidRPr="00072426" w:rsidRDefault="00072426" w:rsidP="003F5B1C">
      <w:pPr>
        <w:jc w:val="both"/>
        <w:rPr>
          <w:rFonts w:ascii="Arial" w:hAnsi="Arial" w:cs="Arial"/>
          <w:b/>
          <w:bCs/>
        </w:rPr>
      </w:pPr>
      <w:r w:rsidRPr="00072426">
        <w:rPr>
          <w:rFonts w:ascii="Arial" w:hAnsi="Arial" w:cs="Arial"/>
          <w:b/>
          <w:bCs/>
        </w:rPr>
        <w:t xml:space="preserve">3.2 RESOURCE CONSTRAINTS </w:t>
      </w:r>
    </w:p>
    <w:p w14:paraId="68CA731D" w14:textId="77777777" w:rsidR="00471FE5" w:rsidRPr="00072426" w:rsidRDefault="00471FE5" w:rsidP="003F5B1C">
      <w:pPr>
        <w:jc w:val="both"/>
        <w:rPr>
          <w:rFonts w:ascii="Arial" w:hAnsi="Arial" w:cs="Arial"/>
          <w:b/>
          <w:bCs/>
        </w:rPr>
      </w:pPr>
    </w:p>
    <w:p w14:paraId="19EDAF16" w14:textId="68E9AC18" w:rsidR="00920306" w:rsidRPr="00072426" w:rsidRDefault="00072426" w:rsidP="003F5B1C">
      <w:pPr>
        <w:jc w:val="both"/>
        <w:rPr>
          <w:rFonts w:ascii="Arial" w:hAnsi="Arial" w:cs="Arial"/>
          <w:b/>
          <w:bCs/>
        </w:rPr>
      </w:pPr>
      <w:r w:rsidRPr="00072426">
        <w:rPr>
          <w:rFonts w:ascii="Arial" w:hAnsi="Arial" w:cs="Arial"/>
          <w:b/>
          <w:bCs/>
        </w:rPr>
        <w:t>3.2.1 RESOURCE CONSTRAINTS ANALYSIS USING GARETTE’S RANKING</w:t>
      </w:r>
    </w:p>
    <w:p w14:paraId="39D18F4E" w14:textId="77777777" w:rsidR="00471FE5" w:rsidRPr="00072426" w:rsidRDefault="00471FE5" w:rsidP="003F5B1C">
      <w:pPr>
        <w:jc w:val="both"/>
        <w:rPr>
          <w:rFonts w:ascii="Arial" w:hAnsi="Arial" w:cs="Arial"/>
          <w:b/>
          <w:bCs/>
        </w:rPr>
      </w:pPr>
    </w:p>
    <w:p w14:paraId="4E62A3B3" w14:textId="6B6A3309" w:rsidR="00920306" w:rsidRDefault="00920306" w:rsidP="003F5B1C">
      <w:pPr>
        <w:jc w:val="both"/>
        <w:rPr>
          <w:lang w:val="en-IN"/>
        </w:rPr>
      </w:pPr>
      <w:r w:rsidRPr="006F71C4">
        <w:rPr>
          <w:lang w:val="en-IN"/>
        </w:rPr>
        <w:t xml:space="preserve">The analysis of resource-related constraints in off-season cabbage cultivation highlights the critical limitations in the availability and accessibility of essential production resources. Among the identified constraints, </w:t>
      </w:r>
      <w:proofErr w:type="spellStart"/>
      <w:r w:rsidRPr="006F71C4">
        <w:rPr>
          <w:lang w:val="en-IN"/>
        </w:rPr>
        <w:t>labor</w:t>
      </w:r>
      <w:proofErr w:type="spellEnd"/>
      <w:r w:rsidRPr="006F71C4">
        <w:rPr>
          <w:lang w:val="en-IN"/>
        </w:rPr>
        <w:t xml:space="preserve"> scarcity emerged as the most severe constraint, securing the first rank with the highest mean score of 59.33 and a Constraint Index (C</w:t>
      </w:r>
      <w:r w:rsidR="009F002C">
        <w:rPr>
          <w:lang w:val="en-IN"/>
        </w:rPr>
        <w:t>S</w:t>
      </w:r>
      <w:r w:rsidRPr="006F71C4">
        <w:rPr>
          <w:lang w:val="en-IN"/>
        </w:rPr>
        <w:t xml:space="preserve">I) of 1.00. This indicates that the shortage of </w:t>
      </w:r>
      <w:proofErr w:type="spellStart"/>
      <w:r w:rsidRPr="006F71C4">
        <w:rPr>
          <w:lang w:val="en-IN"/>
        </w:rPr>
        <w:t>labor</w:t>
      </w:r>
      <w:proofErr w:type="spellEnd"/>
      <w:r w:rsidRPr="006F71C4">
        <w:rPr>
          <w:lang w:val="en-IN"/>
        </w:rPr>
        <w:t>, particularly during peak agricultural operations such as transplanting and harvesting, poses a significant challenge to farmers and adversely affects timely farm activities.</w:t>
      </w:r>
      <w:r>
        <w:rPr>
          <w:lang w:val="en-IN"/>
        </w:rPr>
        <w:t xml:space="preserve"> </w:t>
      </w:r>
      <w:r w:rsidRPr="006F71C4">
        <w:rPr>
          <w:lang w:val="en-IN"/>
        </w:rPr>
        <w:t>Insufficient irrigation facilities were ranked second with a mean score of 57.56 and a C</w:t>
      </w:r>
      <w:r w:rsidR="009F002C">
        <w:rPr>
          <w:lang w:val="en-IN"/>
        </w:rPr>
        <w:t>S</w:t>
      </w:r>
      <w:r w:rsidRPr="006F71C4">
        <w:rPr>
          <w:lang w:val="en-IN"/>
        </w:rPr>
        <w:t>I value of 0.97, reflecting the dependence of off-season cultivation on reliable water sources. Despite the presence of some irrigation infrastructure, inconsistencies in water availability and high irrigation costs limit efficient crop management. This constraint is particularly crucial in off-season cultivation, where water control directly influences crop growth and yield.</w:t>
      </w:r>
      <w:r>
        <w:rPr>
          <w:lang w:val="en-IN"/>
        </w:rPr>
        <w:t xml:space="preserve"> </w:t>
      </w:r>
      <w:r w:rsidRPr="006F71C4">
        <w:rPr>
          <w:lang w:val="en-IN"/>
        </w:rPr>
        <w:t>Further, limited fertilizer accessibility was ranked third with a mean score of 53.83 and a C</w:t>
      </w:r>
      <w:r w:rsidR="009F002C">
        <w:rPr>
          <w:lang w:val="en-IN"/>
        </w:rPr>
        <w:t>S</w:t>
      </w:r>
      <w:r w:rsidRPr="006F71C4">
        <w:rPr>
          <w:lang w:val="en-IN"/>
        </w:rPr>
        <w:t>I value of 0.91. This suggests that farmers face difficulties in obtaining adequate quantities of fertilizers at the right time, which may be due to supply chain inefficiencies, rising input costs, or lack of timely availability in local markets. Such limitations can lead to sub-optimal nutrient application, ultimately affecting crop productivity.</w:t>
      </w:r>
      <w:r w:rsidRPr="000E780B">
        <w:rPr>
          <w:lang w:val="en-IN"/>
        </w:rPr>
        <w:t xml:space="preserve"> </w:t>
      </w:r>
      <w:r w:rsidRPr="006F71C4">
        <w:rPr>
          <w:lang w:val="en-IN"/>
        </w:rPr>
        <w:t xml:space="preserve">Overall, the findings indicate that resource constraints, particularly </w:t>
      </w:r>
      <w:proofErr w:type="spellStart"/>
      <w:r w:rsidRPr="006F71C4">
        <w:rPr>
          <w:lang w:val="en-IN"/>
        </w:rPr>
        <w:t>labor</w:t>
      </w:r>
      <w:proofErr w:type="spellEnd"/>
      <w:r w:rsidRPr="006F71C4">
        <w:rPr>
          <w:lang w:val="en-IN"/>
        </w:rPr>
        <w:t xml:space="preserve"> and irrigation-related issues, play a vital role in shaping the production environment of off-season cabbage cultivation. Addressing these constraints through improved resource management, infrastructure development, and policy support can significantly enhance the efficiency and sustainability of the farming system.</w:t>
      </w:r>
    </w:p>
    <w:p w14:paraId="72826A49" w14:textId="77777777" w:rsidR="00072426" w:rsidRDefault="00072426" w:rsidP="003F5B1C">
      <w:pPr>
        <w:jc w:val="both"/>
        <w:rPr>
          <w:lang w:val="en-IN"/>
        </w:rPr>
      </w:pPr>
    </w:p>
    <w:p w14:paraId="43728FF2" w14:textId="2CA1DC3F" w:rsidR="00471FE5" w:rsidRPr="00072426" w:rsidRDefault="00072426" w:rsidP="003F5B1C">
      <w:pPr>
        <w:jc w:val="both"/>
        <w:rPr>
          <w:rFonts w:ascii="Arial" w:hAnsi="Arial" w:cs="Arial"/>
          <w:b/>
          <w:bCs/>
          <w:sz w:val="22"/>
          <w:szCs w:val="22"/>
          <w:lang w:val="en-IN"/>
        </w:rPr>
      </w:pPr>
      <w:r w:rsidRPr="00072426">
        <w:rPr>
          <w:rFonts w:ascii="Arial" w:hAnsi="Arial" w:cs="Arial"/>
          <w:b/>
          <w:bCs/>
          <w:sz w:val="22"/>
          <w:szCs w:val="22"/>
          <w:lang w:val="en-IN"/>
        </w:rPr>
        <w:t>TABLE 3 RESOURCE CONSTRAINTS ANALYZED USING GARETTE’S RANKING TECHNIQUE</w:t>
      </w:r>
    </w:p>
    <w:p w14:paraId="100B66D4" w14:textId="74540E87" w:rsidR="00072426" w:rsidRDefault="00920306" w:rsidP="003F5B1C">
      <w:pPr>
        <w:jc w:val="both"/>
        <w:rPr>
          <w:b/>
          <w:bCs/>
          <w:lang w:val="en-IN"/>
        </w:rPr>
      </w:pPr>
      <w:r w:rsidRPr="000F3174">
        <w:rPr>
          <w:b/>
          <w:bCs/>
          <w:lang w:val="en-IN"/>
        </w:rPr>
        <w:t xml:space="preserve"> </w:t>
      </w:r>
    </w:p>
    <w:p w14:paraId="7ED91B27" w14:textId="77777777" w:rsidR="00072426" w:rsidRPr="000F3174" w:rsidRDefault="00072426" w:rsidP="003F5B1C">
      <w:pPr>
        <w:jc w:val="both"/>
        <w:rPr>
          <w:b/>
          <w:bCs/>
          <w:lang w:val="en-IN"/>
        </w:rPr>
      </w:pPr>
    </w:p>
    <w:tbl>
      <w:tblPr>
        <w:tblStyle w:val="TableGrid"/>
        <w:tblW w:w="0" w:type="auto"/>
        <w:tblLook w:val="04A0" w:firstRow="1" w:lastRow="0" w:firstColumn="1" w:lastColumn="0" w:noHBand="0" w:noVBand="1"/>
      </w:tblPr>
      <w:tblGrid>
        <w:gridCol w:w="1306"/>
        <w:gridCol w:w="1124"/>
        <w:gridCol w:w="1124"/>
        <w:gridCol w:w="1124"/>
        <w:gridCol w:w="1177"/>
        <w:gridCol w:w="1177"/>
        <w:gridCol w:w="1166"/>
      </w:tblGrid>
      <w:tr w:rsidR="00920306" w:rsidRPr="00072426" w14:paraId="0FD8CE9E" w14:textId="77777777" w:rsidTr="007E672F">
        <w:tc>
          <w:tcPr>
            <w:tcW w:w="1265" w:type="dxa"/>
          </w:tcPr>
          <w:p w14:paraId="5A2747F2"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Resource Constraint</w:t>
            </w:r>
          </w:p>
        </w:tc>
        <w:tc>
          <w:tcPr>
            <w:tcW w:w="1265" w:type="dxa"/>
          </w:tcPr>
          <w:p w14:paraId="2FFFE695"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R1</w:t>
            </w:r>
          </w:p>
        </w:tc>
        <w:tc>
          <w:tcPr>
            <w:tcW w:w="1265" w:type="dxa"/>
          </w:tcPr>
          <w:p w14:paraId="073DA98A"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R2</w:t>
            </w:r>
          </w:p>
        </w:tc>
        <w:tc>
          <w:tcPr>
            <w:tcW w:w="1265" w:type="dxa"/>
          </w:tcPr>
          <w:p w14:paraId="639DCA94"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R3</w:t>
            </w:r>
          </w:p>
        </w:tc>
        <w:tc>
          <w:tcPr>
            <w:tcW w:w="1265" w:type="dxa"/>
          </w:tcPr>
          <w:p w14:paraId="3771797E"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Total Score</w:t>
            </w:r>
          </w:p>
        </w:tc>
        <w:tc>
          <w:tcPr>
            <w:tcW w:w="1265" w:type="dxa"/>
          </w:tcPr>
          <w:p w14:paraId="174E9591"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Mean Score</w:t>
            </w:r>
          </w:p>
        </w:tc>
        <w:tc>
          <w:tcPr>
            <w:tcW w:w="1266" w:type="dxa"/>
          </w:tcPr>
          <w:p w14:paraId="3CCC9765"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Final Rank</w:t>
            </w:r>
          </w:p>
        </w:tc>
      </w:tr>
      <w:tr w:rsidR="00920306" w:rsidRPr="00072426" w14:paraId="6E5E3F03" w14:textId="77777777" w:rsidTr="007E672F">
        <w:tc>
          <w:tcPr>
            <w:tcW w:w="1265" w:type="dxa"/>
          </w:tcPr>
          <w:p w14:paraId="0B7B3D79"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Labor Scarcity</w:t>
            </w:r>
          </w:p>
        </w:tc>
        <w:tc>
          <w:tcPr>
            <w:tcW w:w="1265" w:type="dxa"/>
          </w:tcPr>
          <w:p w14:paraId="11F1F5AB"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34</w:t>
            </w:r>
          </w:p>
        </w:tc>
        <w:tc>
          <w:tcPr>
            <w:tcW w:w="1265" w:type="dxa"/>
          </w:tcPr>
          <w:p w14:paraId="0A6A6921"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26</w:t>
            </w:r>
          </w:p>
        </w:tc>
        <w:tc>
          <w:tcPr>
            <w:tcW w:w="1265" w:type="dxa"/>
          </w:tcPr>
          <w:p w14:paraId="2F4FDFD2"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20</w:t>
            </w:r>
          </w:p>
        </w:tc>
        <w:tc>
          <w:tcPr>
            <w:tcW w:w="1265" w:type="dxa"/>
          </w:tcPr>
          <w:p w14:paraId="264A440C"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4746</w:t>
            </w:r>
          </w:p>
        </w:tc>
        <w:tc>
          <w:tcPr>
            <w:tcW w:w="1265" w:type="dxa"/>
          </w:tcPr>
          <w:p w14:paraId="0A214226"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59.33</w:t>
            </w:r>
          </w:p>
        </w:tc>
        <w:tc>
          <w:tcPr>
            <w:tcW w:w="1266" w:type="dxa"/>
          </w:tcPr>
          <w:p w14:paraId="38F371B7"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I</w:t>
            </w:r>
          </w:p>
        </w:tc>
      </w:tr>
      <w:tr w:rsidR="00920306" w:rsidRPr="00072426" w14:paraId="03E9D817" w14:textId="77777777" w:rsidTr="007E672F">
        <w:tc>
          <w:tcPr>
            <w:tcW w:w="1265" w:type="dxa"/>
          </w:tcPr>
          <w:p w14:paraId="30A44582"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Insufficient Irrigation Facilities</w:t>
            </w:r>
          </w:p>
        </w:tc>
        <w:tc>
          <w:tcPr>
            <w:tcW w:w="1265" w:type="dxa"/>
          </w:tcPr>
          <w:p w14:paraId="290B69F7"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25</w:t>
            </w:r>
          </w:p>
        </w:tc>
        <w:tc>
          <w:tcPr>
            <w:tcW w:w="1265" w:type="dxa"/>
          </w:tcPr>
          <w:p w14:paraId="35ECE520"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30</w:t>
            </w:r>
          </w:p>
        </w:tc>
        <w:tc>
          <w:tcPr>
            <w:tcW w:w="1265" w:type="dxa"/>
          </w:tcPr>
          <w:p w14:paraId="5C1EBF89"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25</w:t>
            </w:r>
          </w:p>
        </w:tc>
        <w:tc>
          <w:tcPr>
            <w:tcW w:w="1265" w:type="dxa"/>
          </w:tcPr>
          <w:p w14:paraId="22A6CC7A"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4605</w:t>
            </w:r>
          </w:p>
        </w:tc>
        <w:tc>
          <w:tcPr>
            <w:tcW w:w="1265" w:type="dxa"/>
          </w:tcPr>
          <w:p w14:paraId="73FF38C3"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57.56</w:t>
            </w:r>
          </w:p>
        </w:tc>
        <w:tc>
          <w:tcPr>
            <w:tcW w:w="1266" w:type="dxa"/>
          </w:tcPr>
          <w:p w14:paraId="213185E1"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II</w:t>
            </w:r>
          </w:p>
        </w:tc>
      </w:tr>
      <w:tr w:rsidR="00920306" w:rsidRPr="00072426" w14:paraId="19F577CF" w14:textId="77777777" w:rsidTr="007E672F">
        <w:tc>
          <w:tcPr>
            <w:tcW w:w="1265" w:type="dxa"/>
          </w:tcPr>
          <w:p w14:paraId="3D13AB8B"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Limited Fertilizer Accessibility</w:t>
            </w:r>
          </w:p>
        </w:tc>
        <w:tc>
          <w:tcPr>
            <w:tcW w:w="1265" w:type="dxa"/>
          </w:tcPr>
          <w:p w14:paraId="36A8CE63"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21</w:t>
            </w:r>
          </w:p>
        </w:tc>
        <w:tc>
          <w:tcPr>
            <w:tcW w:w="1265" w:type="dxa"/>
          </w:tcPr>
          <w:p w14:paraId="05026C1B"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24</w:t>
            </w:r>
          </w:p>
        </w:tc>
        <w:tc>
          <w:tcPr>
            <w:tcW w:w="1265" w:type="dxa"/>
          </w:tcPr>
          <w:p w14:paraId="48FA0DDE"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35</w:t>
            </w:r>
          </w:p>
        </w:tc>
        <w:tc>
          <w:tcPr>
            <w:tcW w:w="1265" w:type="dxa"/>
          </w:tcPr>
          <w:p w14:paraId="3BF2D11E"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4306</w:t>
            </w:r>
          </w:p>
        </w:tc>
        <w:tc>
          <w:tcPr>
            <w:tcW w:w="1265" w:type="dxa"/>
          </w:tcPr>
          <w:p w14:paraId="6D4D5312"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53.83</w:t>
            </w:r>
          </w:p>
        </w:tc>
        <w:tc>
          <w:tcPr>
            <w:tcW w:w="1266" w:type="dxa"/>
          </w:tcPr>
          <w:p w14:paraId="4A78DE50"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III</w:t>
            </w:r>
          </w:p>
        </w:tc>
      </w:tr>
    </w:tbl>
    <w:p w14:paraId="114B4498" w14:textId="77777777" w:rsidR="00471FE5" w:rsidRPr="00072426" w:rsidRDefault="00471FE5" w:rsidP="003F5B1C">
      <w:pPr>
        <w:jc w:val="both"/>
        <w:rPr>
          <w:rFonts w:ascii="Arial" w:hAnsi="Arial" w:cs="Arial"/>
          <w:b/>
          <w:bCs/>
          <w:lang w:val="en-IN"/>
        </w:rPr>
      </w:pPr>
    </w:p>
    <w:p w14:paraId="3B03526D" w14:textId="77777777" w:rsidR="00083057" w:rsidRDefault="00083057" w:rsidP="003F5B1C">
      <w:pPr>
        <w:jc w:val="both"/>
        <w:rPr>
          <w:rFonts w:ascii="Arial" w:hAnsi="Arial" w:cs="Arial"/>
          <w:b/>
          <w:bCs/>
          <w:sz w:val="22"/>
          <w:szCs w:val="22"/>
          <w:lang w:val="en-IN"/>
        </w:rPr>
      </w:pPr>
    </w:p>
    <w:p w14:paraId="3E95495B" w14:textId="77777777" w:rsidR="00083057" w:rsidRDefault="00083057" w:rsidP="003F5B1C">
      <w:pPr>
        <w:jc w:val="both"/>
        <w:rPr>
          <w:rFonts w:ascii="Arial" w:hAnsi="Arial" w:cs="Arial"/>
          <w:b/>
          <w:bCs/>
          <w:sz w:val="22"/>
          <w:szCs w:val="22"/>
          <w:lang w:val="en-IN"/>
        </w:rPr>
      </w:pPr>
    </w:p>
    <w:p w14:paraId="30E7A208" w14:textId="77777777" w:rsidR="00083057" w:rsidRDefault="00083057" w:rsidP="003F5B1C">
      <w:pPr>
        <w:jc w:val="both"/>
        <w:rPr>
          <w:rFonts w:ascii="Arial" w:hAnsi="Arial" w:cs="Arial"/>
          <w:b/>
          <w:bCs/>
          <w:sz w:val="22"/>
          <w:szCs w:val="22"/>
          <w:lang w:val="en-IN"/>
        </w:rPr>
      </w:pPr>
    </w:p>
    <w:p w14:paraId="79020461" w14:textId="002BF1CB" w:rsidR="00920306" w:rsidRPr="00072426" w:rsidRDefault="00072426" w:rsidP="003F5B1C">
      <w:pPr>
        <w:jc w:val="both"/>
        <w:rPr>
          <w:rFonts w:ascii="Arial" w:hAnsi="Arial" w:cs="Arial"/>
          <w:b/>
          <w:bCs/>
          <w:sz w:val="22"/>
          <w:szCs w:val="22"/>
          <w:lang w:val="en-IN"/>
        </w:rPr>
      </w:pPr>
      <w:r w:rsidRPr="00072426">
        <w:rPr>
          <w:rFonts w:ascii="Arial" w:hAnsi="Arial" w:cs="Arial"/>
          <w:b/>
          <w:bCs/>
          <w:sz w:val="22"/>
          <w:szCs w:val="22"/>
          <w:lang w:val="en-IN"/>
        </w:rPr>
        <w:t>3.2.2</w:t>
      </w:r>
      <w:r w:rsidRPr="00072426">
        <w:rPr>
          <w:rFonts w:ascii="Arial" w:hAnsi="Arial" w:cs="Arial"/>
          <w:sz w:val="22"/>
          <w:szCs w:val="22"/>
          <w:lang w:val="en-IN"/>
        </w:rPr>
        <w:t xml:space="preserve"> </w:t>
      </w:r>
      <w:r w:rsidRPr="00072426">
        <w:rPr>
          <w:rFonts w:ascii="Arial" w:hAnsi="Arial" w:cs="Arial"/>
          <w:b/>
          <w:bCs/>
          <w:sz w:val="22"/>
          <w:szCs w:val="22"/>
          <w:lang w:val="en-IN"/>
        </w:rPr>
        <w:t>RESOURCE CONSTRAINTS ANALYSIS USING CONSTRAINTS INDEX METHOD</w:t>
      </w:r>
    </w:p>
    <w:p w14:paraId="76E0DD6C" w14:textId="77777777" w:rsidR="00471FE5" w:rsidRPr="00072426" w:rsidRDefault="00471FE5" w:rsidP="003F5B1C">
      <w:pPr>
        <w:jc w:val="both"/>
        <w:rPr>
          <w:rFonts w:ascii="Arial" w:hAnsi="Arial" w:cs="Arial"/>
          <w:b/>
          <w:bCs/>
          <w:sz w:val="22"/>
          <w:szCs w:val="22"/>
          <w:lang w:val="en-IN"/>
        </w:rPr>
      </w:pPr>
    </w:p>
    <w:p w14:paraId="5D6F08AE" w14:textId="1F132E10" w:rsidR="00920306" w:rsidRDefault="00920306" w:rsidP="003F5B1C">
      <w:pPr>
        <w:jc w:val="both"/>
      </w:pPr>
      <w:r w:rsidRPr="009E2BF8">
        <w:rPr>
          <w:lang w:val="en-IN"/>
        </w:rPr>
        <w:t>The Constraint Index (C</w:t>
      </w:r>
      <w:r w:rsidR="00A16063">
        <w:rPr>
          <w:lang w:val="en-IN"/>
        </w:rPr>
        <w:t>S</w:t>
      </w:r>
      <w:r w:rsidRPr="009E2BF8">
        <w:rPr>
          <w:lang w:val="en-IN"/>
        </w:rPr>
        <w:t xml:space="preserve">I) values for resource-related constraints were derived by normalizing the mean scores of each constraint with respect to the highest mean score observed within the category. In this case, the maximum mean score of 59.33, corresponding to </w:t>
      </w:r>
      <w:proofErr w:type="spellStart"/>
      <w:r w:rsidRPr="009E2BF8">
        <w:rPr>
          <w:lang w:val="en-IN"/>
        </w:rPr>
        <w:t>labor</w:t>
      </w:r>
      <w:proofErr w:type="spellEnd"/>
      <w:r w:rsidRPr="009E2BF8">
        <w:rPr>
          <w:lang w:val="en-IN"/>
        </w:rPr>
        <w:t xml:space="preserve"> scarcity, was taken as the base for standardization. Accordingly, the C</w:t>
      </w:r>
      <w:r w:rsidR="00A16063">
        <w:rPr>
          <w:lang w:val="en-IN"/>
        </w:rPr>
        <w:t>S</w:t>
      </w:r>
      <w:r w:rsidRPr="009E2BF8">
        <w:rPr>
          <w:lang w:val="en-IN"/>
        </w:rPr>
        <w:t xml:space="preserve">I for each constraint was calculated by dividing its mean score by this maximum value. As a result, </w:t>
      </w:r>
      <w:proofErr w:type="spellStart"/>
      <w:r w:rsidRPr="009E2BF8">
        <w:rPr>
          <w:lang w:val="en-IN"/>
        </w:rPr>
        <w:t>labor</w:t>
      </w:r>
      <w:proofErr w:type="spellEnd"/>
      <w:r w:rsidRPr="009E2BF8">
        <w:rPr>
          <w:lang w:val="en-IN"/>
        </w:rPr>
        <w:t xml:space="preserve"> scarcity recorded a C</w:t>
      </w:r>
      <w:r w:rsidR="00A16063">
        <w:rPr>
          <w:lang w:val="en-IN"/>
        </w:rPr>
        <w:t>S</w:t>
      </w:r>
      <w:r w:rsidRPr="009E2BF8">
        <w:rPr>
          <w:lang w:val="en-IN"/>
        </w:rPr>
        <w:t>I of 1.00, indicating it as the most severe constraint. Insufficient irrigation facilities and limited fertilizer accessibility registered C</w:t>
      </w:r>
      <w:r w:rsidR="00A16063">
        <w:rPr>
          <w:lang w:val="en-IN"/>
        </w:rPr>
        <w:t>S</w:t>
      </w:r>
      <w:r w:rsidRPr="009E2BF8">
        <w:rPr>
          <w:lang w:val="en-IN"/>
        </w:rPr>
        <w:t xml:space="preserve">I values of 0.97 and 0.91, respectively, reflecting their relatively high but slightly lower intensity compared to </w:t>
      </w:r>
      <w:proofErr w:type="spellStart"/>
      <w:r w:rsidRPr="009E2BF8">
        <w:rPr>
          <w:lang w:val="en-IN"/>
        </w:rPr>
        <w:t>labor</w:t>
      </w:r>
      <w:proofErr w:type="spellEnd"/>
      <w:r w:rsidRPr="009E2BF8">
        <w:rPr>
          <w:lang w:val="en-IN"/>
        </w:rPr>
        <w:t xml:space="preserve"> scarcity.</w:t>
      </w:r>
      <w:r>
        <w:rPr>
          <w:lang w:val="en-IN"/>
        </w:rPr>
        <w:t xml:space="preserve"> </w:t>
      </w:r>
      <w:r w:rsidRPr="009E2BF8">
        <w:rPr>
          <w:lang w:val="en-IN"/>
        </w:rPr>
        <w:t xml:space="preserve">This normalization approach allows for meaningful comparison among constraints by expressing them on a common scale ranging from 0 to 1, where values closer to 1 indicate greater severity. The average Constraint Index for the resource category was computed as 0.96, suggesting that resource-related issues pose a very high level of constraint in off-season cabbage cultivation. The findings clearly indicate that limitations in </w:t>
      </w:r>
      <w:proofErr w:type="spellStart"/>
      <w:r w:rsidRPr="009E2BF8">
        <w:rPr>
          <w:lang w:val="en-IN"/>
        </w:rPr>
        <w:t>labor</w:t>
      </w:r>
      <w:proofErr w:type="spellEnd"/>
      <w:r w:rsidRPr="009E2BF8">
        <w:rPr>
          <w:lang w:val="en-IN"/>
        </w:rPr>
        <w:t xml:space="preserve"> availability, irrigation infrastructure, and timely access to fertilizers significantly affect the efficiency of production operations. Thus, addressing these constraints through improved resource management, infrastructural development, and institutional support is essential for enhancing productivity and ensuring the sustainability of off-season cabbage farming.</w:t>
      </w:r>
      <w:r>
        <w:rPr>
          <w:lang w:val="en-IN"/>
        </w:rPr>
        <w:t xml:space="preserve"> </w:t>
      </w:r>
      <w:r w:rsidRPr="00513197">
        <w:t>Resource constraints were found to be the most severe category. Labor scarcity emerged as the most critical constraint with a C</w:t>
      </w:r>
      <w:r w:rsidR="00A16063">
        <w:t>S</w:t>
      </w:r>
      <w:r w:rsidRPr="00513197">
        <w:t>I of 1.00. Insufficient irrigation facilities (C</w:t>
      </w:r>
      <w:r w:rsidR="00A16063">
        <w:t>S</w:t>
      </w:r>
      <w:r w:rsidRPr="00513197">
        <w:t>I = 0.97) and limited fertilizer accessibility (C</w:t>
      </w:r>
      <w:r w:rsidR="00A16063">
        <w:t>S</w:t>
      </w:r>
      <w:r w:rsidRPr="00513197">
        <w:t>I = 0.91) were also major issues affecting production.</w:t>
      </w:r>
    </w:p>
    <w:p w14:paraId="3C3AF1DF" w14:textId="77777777" w:rsidR="00471FE5" w:rsidRPr="00072426" w:rsidRDefault="00471FE5" w:rsidP="003F5B1C">
      <w:pPr>
        <w:jc w:val="both"/>
        <w:rPr>
          <w:sz w:val="22"/>
          <w:szCs w:val="22"/>
        </w:rPr>
      </w:pPr>
    </w:p>
    <w:p w14:paraId="07ACD667" w14:textId="4E4B2937" w:rsidR="00920306" w:rsidRPr="00072426" w:rsidRDefault="00072426" w:rsidP="003F5B1C">
      <w:pPr>
        <w:jc w:val="both"/>
        <w:rPr>
          <w:rFonts w:ascii="Arial" w:hAnsi="Arial" w:cs="Arial"/>
          <w:b/>
          <w:bCs/>
          <w:sz w:val="22"/>
          <w:szCs w:val="22"/>
          <w:lang w:val="en-IN"/>
        </w:rPr>
      </w:pPr>
      <w:r w:rsidRPr="00072426">
        <w:rPr>
          <w:rFonts w:ascii="Arial" w:hAnsi="Arial" w:cs="Arial"/>
          <w:b/>
          <w:bCs/>
          <w:sz w:val="22"/>
          <w:szCs w:val="22"/>
          <w:lang w:val="en-IN"/>
        </w:rPr>
        <w:t xml:space="preserve">TABLE 4 RESOURCE </w:t>
      </w:r>
      <w:r w:rsidRPr="00072426">
        <w:rPr>
          <w:rFonts w:ascii="Arial" w:hAnsi="Arial" w:cs="Arial"/>
          <w:b/>
          <w:bCs/>
          <w:sz w:val="22"/>
          <w:szCs w:val="22"/>
        </w:rPr>
        <w:t xml:space="preserve">CONSTRAINTS ANALYZED USING </w:t>
      </w:r>
      <w:r w:rsidRPr="00072426">
        <w:rPr>
          <w:rFonts w:ascii="Arial" w:hAnsi="Arial" w:cs="Arial"/>
          <w:b/>
          <w:bCs/>
          <w:sz w:val="22"/>
          <w:szCs w:val="22"/>
          <w:lang w:val="en-IN"/>
        </w:rPr>
        <w:t>CONSTRAINTS INDEX METHOD</w:t>
      </w:r>
    </w:p>
    <w:p w14:paraId="714C4EFB" w14:textId="77777777" w:rsidR="00471FE5" w:rsidRPr="00072426" w:rsidRDefault="00471FE5" w:rsidP="003F5B1C">
      <w:pPr>
        <w:jc w:val="both"/>
        <w:rPr>
          <w:rFonts w:ascii="Arial" w:hAnsi="Arial" w:cs="Arial"/>
          <w:b/>
          <w:bCs/>
          <w:lang w:val="en-IN"/>
        </w:rPr>
      </w:pPr>
    </w:p>
    <w:tbl>
      <w:tblPr>
        <w:tblStyle w:val="TableGrid"/>
        <w:tblW w:w="0" w:type="auto"/>
        <w:tblLook w:val="04A0" w:firstRow="1" w:lastRow="0" w:firstColumn="1" w:lastColumn="0" w:noHBand="0" w:noVBand="1"/>
      </w:tblPr>
      <w:tblGrid>
        <w:gridCol w:w="1299"/>
        <w:gridCol w:w="1444"/>
        <w:gridCol w:w="1343"/>
        <w:gridCol w:w="1442"/>
        <w:gridCol w:w="1339"/>
        <w:gridCol w:w="1331"/>
      </w:tblGrid>
      <w:tr w:rsidR="00920306" w:rsidRPr="00072426" w14:paraId="2855DD63" w14:textId="77777777" w:rsidTr="007E672F">
        <w:tc>
          <w:tcPr>
            <w:tcW w:w="1476" w:type="dxa"/>
          </w:tcPr>
          <w:p w14:paraId="0CA9E312"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S. No.</w:t>
            </w:r>
          </w:p>
        </w:tc>
        <w:tc>
          <w:tcPr>
            <w:tcW w:w="1476" w:type="dxa"/>
          </w:tcPr>
          <w:p w14:paraId="6C78DF1C"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Resource Constraint</w:t>
            </w:r>
          </w:p>
        </w:tc>
        <w:tc>
          <w:tcPr>
            <w:tcW w:w="1476" w:type="dxa"/>
          </w:tcPr>
          <w:p w14:paraId="74143080"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Mean Score</w:t>
            </w:r>
          </w:p>
        </w:tc>
        <w:tc>
          <w:tcPr>
            <w:tcW w:w="1476" w:type="dxa"/>
          </w:tcPr>
          <w:p w14:paraId="45959E1A" w14:textId="6FBC8F06"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C</w:t>
            </w:r>
            <w:r w:rsidR="00A16063">
              <w:rPr>
                <w:rFonts w:ascii="Arial" w:hAnsi="Arial" w:cs="Arial"/>
                <w:b/>
                <w:bCs/>
                <w:sz w:val="20"/>
                <w:szCs w:val="20"/>
              </w:rPr>
              <w:t>S</w:t>
            </w:r>
            <w:r w:rsidRPr="00072426">
              <w:rPr>
                <w:rFonts w:ascii="Arial" w:hAnsi="Arial" w:cs="Arial"/>
                <w:b/>
                <w:bCs/>
                <w:sz w:val="20"/>
                <w:szCs w:val="20"/>
              </w:rPr>
              <w:t>I Calculation</w:t>
            </w:r>
          </w:p>
        </w:tc>
        <w:tc>
          <w:tcPr>
            <w:tcW w:w="1476" w:type="dxa"/>
          </w:tcPr>
          <w:p w14:paraId="17DF322D" w14:textId="20F6D5D5"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C</w:t>
            </w:r>
            <w:r w:rsidR="00A16063">
              <w:rPr>
                <w:rFonts w:ascii="Arial" w:hAnsi="Arial" w:cs="Arial"/>
                <w:b/>
                <w:bCs/>
                <w:sz w:val="20"/>
                <w:szCs w:val="20"/>
              </w:rPr>
              <w:t>S</w:t>
            </w:r>
            <w:r w:rsidRPr="00072426">
              <w:rPr>
                <w:rFonts w:ascii="Arial" w:hAnsi="Arial" w:cs="Arial"/>
                <w:b/>
                <w:bCs/>
                <w:sz w:val="20"/>
                <w:szCs w:val="20"/>
              </w:rPr>
              <w:t>I Value</w:t>
            </w:r>
          </w:p>
        </w:tc>
        <w:tc>
          <w:tcPr>
            <w:tcW w:w="1476" w:type="dxa"/>
          </w:tcPr>
          <w:p w14:paraId="68949CF2"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Rank</w:t>
            </w:r>
          </w:p>
        </w:tc>
      </w:tr>
      <w:tr w:rsidR="00920306" w:rsidRPr="00072426" w14:paraId="39AF8265" w14:textId="77777777" w:rsidTr="007E672F">
        <w:tc>
          <w:tcPr>
            <w:tcW w:w="1476" w:type="dxa"/>
          </w:tcPr>
          <w:p w14:paraId="011AE0E8"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w:t>
            </w:r>
          </w:p>
        </w:tc>
        <w:tc>
          <w:tcPr>
            <w:tcW w:w="1476" w:type="dxa"/>
          </w:tcPr>
          <w:p w14:paraId="7F32D1C2"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Labor Scarcity</w:t>
            </w:r>
          </w:p>
        </w:tc>
        <w:tc>
          <w:tcPr>
            <w:tcW w:w="1476" w:type="dxa"/>
          </w:tcPr>
          <w:p w14:paraId="5BA6097F"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59.33</w:t>
            </w:r>
          </w:p>
        </w:tc>
        <w:tc>
          <w:tcPr>
            <w:tcW w:w="1476" w:type="dxa"/>
          </w:tcPr>
          <w:p w14:paraId="0BC7227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59.33 / 59.33</w:t>
            </w:r>
          </w:p>
        </w:tc>
        <w:tc>
          <w:tcPr>
            <w:tcW w:w="1476" w:type="dxa"/>
          </w:tcPr>
          <w:p w14:paraId="71829E40"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1.00</w:t>
            </w:r>
          </w:p>
        </w:tc>
        <w:tc>
          <w:tcPr>
            <w:tcW w:w="1476" w:type="dxa"/>
          </w:tcPr>
          <w:p w14:paraId="3AFDE7B9"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I</w:t>
            </w:r>
          </w:p>
        </w:tc>
      </w:tr>
      <w:tr w:rsidR="00920306" w:rsidRPr="00072426" w14:paraId="37610656" w14:textId="77777777" w:rsidTr="007E672F">
        <w:tc>
          <w:tcPr>
            <w:tcW w:w="1476" w:type="dxa"/>
          </w:tcPr>
          <w:p w14:paraId="1D2A1C88"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2</w:t>
            </w:r>
          </w:p>
        </w:tc>
        <w:tc>
          <w:tcPr>
            <w:tcW w:w="1476" w:type="dxa"/>
          </w:tcPr>
          <w:p w14:paraId="73955DF4"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Insufficient Irrigation Facilities</w:t>
            </w:r>
          </w:p>
        </w:tc>
        <w:tc>
          <w:tcPr>
            <w:tcW w:w="1476" w:type="dxa"/>
          </w:tcPr>
          <w:p w14:paraId="44423D98"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57.56</w:t>
            </w:r>
          </w:p>
        </w:tc>
        <w:tc>
          <w:tcPr>
            <w:tcW w:w="1476" w:type="dxa"/>
          </w:tcPr>
          <w:p w14:paraId="3C41D60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57.56 / 59.33</w:t>
            </w:r>
          </w:p>
        </w:tc>
        <w:tc>
          <w:tcPr>
            <w:tcW w:w="1476" w:type="dxa"/>
          </w:tcPr>
          <w:p w14:paraId="44BD5E6E"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0.97</w:t>
            </w:r>
          </w:p>
        </w:tc>
        <w:tc>
          <w:tcPr>
            <w:tcW w:w="1476" w:type="dxa"/>
          </w:tcPr>
          <w:p w14:paraId="2FDC7429"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II</w:t>
            </w:r>
          </w:p>
        </w:tc>
      </w:tr>
      <w:tr w:rsidR="00920306" w:rsidRPr="00072426" w14:paraId="386DE8D8" w14:textId="77777777" w:rsidTr="007E672F">
        <w:tc>
          <w:tcPr>
            <w:tcW w:w="1476" w:type="dxa"/>
          </w:tcPr>
          <w:p w14:paraId="203CE8F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3</w:t>
            </w:r>
          </w:p>
        </w:tc>
        <w:tc>
          <w:tcPr>
            <w:tcW w:w="1476" w:type="dxa"/>
          </w:tcPr>
          <w:p w14:paraId="5BC2D9E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Limited Fertilizer Accessibility</w:t>
            </w:r>
          </w:p>
        </w:tc>
        <w:tc>
          <w:tcPr>
            <w:tcW w:w="1476" w:type="dxa"/>
          </w:tcPr>
          <w:p w14:paraId="5D2F0C6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53.83</w:t>
            </w:r>
          </w:p>
        </w:tc>
        <w:tc>
          <w:tcPr>
            <w:tcW w:w="1476" w:type="dxa"/>
          </w:tcPr>
          <w:p w14:paraId="70FC7555"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53.83 / 59.33</w:t>
            </w:r>
          </w:p>
        </w:tc>
        <w:tc>
          <w:tcPr>
            <w:tcW w:w="1476" w:type="dxa"/>
          </w:tcPr>
          <w:p w14:paraId="202E1F83"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0.91</w:t>
            </w:r>
          </w:p>
        </w:tc>
        <w:tc>
          <w:tcPr>
            <w:tcW w:w="1476" w:type="dxa"/>
          </w:tcPr>
          <w:p w14:paraId="247BB225"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III</w:t>
            </w:r>
          </w:p>
        </w:tc>
      </w:tr>
    </w:tbl>
    <w:p w14:paraId="6B8A712C" w14:textId="77777777" w:rsidR="00920306" w:rsidRPr="00513197" w:rsidRDefault="00920306" w:rsidP="003F5B1C">
      <w:pPr>
        <w:jc w:val="both"/>
      </w:pPr>
    </w:p>
    <w:p w14:paraId="3924827F" w14:textId="2626B538" w:rsidR="00920306" w:rsidRPr="00072426" w:rsidRDefault="00920306" w:rsidP="003F5B1C">
      <w:pPr>
        <w:jc w:val="both"/>
        <w:rPr>
          <w:rFonts w:ascii="Arial" w:hAnsi="Arial" w:cs="Arial"/>
          <w:b/>
          <w:bCs/>
          <w:sz w:val="22"/>
          <w:szCs w:val="22"/>
        </w:rPr>
      </w:pPr>
      <m:oMathPara>
        <m:oMath>
          <m:r>
            <m:rPr>
              <m:nor/>
            </m:rPr>
            <w:rPr>
              <w:rFonts w:ascii="Arial" w:hAnsi="Arial" w:cs="Arial"/>
              <w:b/>
              <w:bCs/>
            </w:rPr>
            <m:t>Average CSI</m:t>
          </m:r>
          <m:r>
            <m:rPr>
              <m:sty m:val="bi"/>
            </m:rPr>
            <w:rPr>
              <w:rFonts w:ascii="Cambria Math" w:hAnsi="Cambria Math" w:cs="Arial"/>
            </w:rPr>
            <m:t>=</m:t>
          </m:r>
          <m:f>
            <m:fPr>
              <m:ctrlPr>
                <w:rPr>
                  <w:rFonts w:ascii="Cambria Math" w:hAnsi="Cambria Math" w:cs="Arial"/>
                  <w:b/>
                  <w:bCs/>
                </w:rPr>
              </m:ctrlPr>
            </m:fPr>
            <m:num>
              <m:r>
                <m:rPr>
                  <m:sty m:val="bi"/>
                </m:rPr>
                <w:rPr>
                  <w:rFonts w:ascii="Cambria Math" w:hAnsi="Cambria Math" w:cs="Arial"/>
                </w:rPr>
                <m:t>1.00+0.97+0.91</m:t>
              </m:r>
            </m:num>
            <m:den>
              <m:r>
                <m:rPr>
                  <m:sty m:val="bi"/>
                </m:rPr>
                <w:rPr>
                  <w:rFonts w:ascii="Cambria Math" w:hAnsi="Cambria Math" w:cs="Arial"/>
                </w:rPr>
                <m:t>3</m:t>
              </m:r>
            </m:den>
          </m:f>
          <m:r>
            <m:rPr>
              <m:sty m:val="bi"/>
            </m:rPr>
            <w:rPr>
              <w:rFonts w:ascii="Cambria Math" w:hAnsi="Cambria Math" w:cs="Arial"/>
            </w:rPr>
            <m:t>=0.96</m:t>
          </m:r>
          <m:r>
            <m:rPr>
              <m:sty m:val="p"/>
            </m:rPr>
            <w:rPr>
              <w:rFonts w:ascii="Cambria Math" w:hAnsi="Cambria Math" w:cs="Arial"/>
            </w:rPr>
            <w:br/>
          </m:r>
        </m:oMath>
        <m:oMath>
          <m:r>
            <m:rPr>
              <m:sty m:val="p"/>
            </m:rPr>
            <w:br/>
          </m:r>
        </m:oMath>
      </m:oMathPara>
      <w:r w:rsidR="00072426" w:rsidRPr="00072426">
        <w:rPr>
          <w:rFonts w:ascii="Arial" w:hAnsi="Arial" w:cs="Arial"/>
          <w:b/>
          <w:bCs/>
          <w:sz w:val="22"/>
          <w:szCs w:val="22"/>
        </w:rPr>
        <w:t>3.3 TECHNICAL AND INFORMATION CONSTRAINTS</w:t>
      </w:r>
    </w:p>
    <w:p w14:paraId="48AF0FFD" w14:textId="300ABB33" w:rsidR="00920306" w:rsidRPr="00072426" w:rsidRDefault="00072426" w:rsidP="003F5B1C">
      <w:pPr>
        <w:jc w:val="both"/>
        <w:rPr>
          <w:rFonts w:ascii="Arial" w:hAnsi="Arial" w:cs="Arial"/>
          <w:b/>
          <w:bCs/>
          <w:sz w:val="22"/>
          <w:szCs w:val="22"/>
        </w:rPr>
      </w:pPr>
      <w:r w:rsidRPr="00072426">
        <w:rPr>
          <w:rFonts w:ascii="Arial" w:hAnsi="Arial" w:cs="Arial"/>
          <w:b/>
          <w:bCs/>
          <w:sz w:val="22"/>
          <w:szCs w:val="22"/>
        </w:rPr>
        <w:br/>
        <w:t>3.3.1 TECHNICAL AND INFORMATION CONSTRAINTS ANALYSIS USING GARETTE’S RANKING</w:t>
      </w:r>
    </w:p>
    <w:p w14:paraId="2E412389" w14:textId="77777777" w:rsidR="00471FE5" w:rsidRDefault="00471FE5" w:rsidP="003F5B1C">
      <w:pPr>
        <w:jc w:val="both"/>
        <w:rPr>
          <w:b/>
          <w:bCs/>
        </w:rPr>
      </w:pPr>
    </w:p>
    <w:p w14:paraId="7F052C2E" w14:textId="6A9EB851" w:rsidR="00920306" w:rsidRDefault="00920306" w:rsidP="003F5B1C">
      <w:pPr>
        <w:jc w:val="both"/>
        <w:rPr>
          <w:lang w:val="en-IN"/>
        </w:rPr>
      </w:pPr>
      <w:r w:rsidRPr="009E2BF8">
        <w:rPr>
          <w:lang w:val="en-IN"/>
        </w:rPr>
        <w:t xml:space="preserve">The analysis of technical and information-related constraints reveals critical gaps in knowledge dissemination, infrastructure, and post-harvest management affecting off-season cabbage cultivation. Among the identified constraints, pest infestation incidence emerged as the most </w:t>
      </w:r>
      <w:r w:rsidRPr="009E2BF8">
        <w:rPr>
          <w:lang w:val="en-IN"/>
        </w:rPr>
        <w:lastRenderedPageBreak/>
        <w:t>severe, securing the first rank with the highest mean score of 59.15 and a Constraint Index (C</w:t>
      </w:r>
      <w:r w:rsidR="00A16063">
        <w:rPr>
          <w:lang w:val="en-IN"/>
        </w:rPr>
        <w:t>S</w:t>
      </w:r>
      <w:r w:rsidRPr="009E2BF8">
        <w:rPr>
          <w:lang w:val="en-IN"/>
        </w:rPr>
        <w:t xml:space="preserve">I) of 1.00. This highlights the significant impact of pest attacks on crop productivity, particularly in off-season conditions where climatic variations may </w:t>
      </w:r>
      <w:proofErr w:type="spellStart"/>
      <w:r w:rsidRPr="009E2BF8">
        <w:rPr>
          <w:lang w:val="en-IN"/>
        </w:rPr>
        <w:t>favor</w:t>
      </w:r>
      <w:proofErr w:type="spellEnd"/>
      <w:r w:rsidRPr="009E2BF8">
        <w:rPr>
          <w:lang w:val="en-IN"/>
        </w:rPr>
        <w:t xml:space="preserve"> pest proliferation and increase crop vulnerability.</w:t>
      </w:r>
      <w:r>
        <w:rPr>
          <w:lang w:val="en-IN"/>
        </w:rPr>
        <w:t xml:space="preserve"> </w:t>
      </w:r>
      <w:r w:rsidRPr="009E2BF8">
        <w:rPr>
          <w:lang w:val="en-IN"/>
        </w:rPr>
        <w:t>Deficient weighing mechanisms were ranked second with a mean score of 57.95 and a C</w:t>
      </w:r>
      <w:r w:rsidR="00A16063">
        <w:rPr>
          <w:lang w:val="en-IN"/>
        </w:rPr>
        <w:t>S</w:t>
      </w:r>
      <w:r w:rsidRPr="009E2BF8">
        <w:rPr>
          <w:lang w:val="en-IN"/>
        </w:rPr>
        <w:t>I value of 0.98, indicating the presence of inefficiencies and possible malpractices in measurement systems at the market level. Such issues can lead to economic losses for farmers by affecting the accuracy and fairness of transactions. Similarly, inadequate storage infrastructure was ranked third with a mean score of 55.65 and a C</w:t>
      </w:r>
      <w:r w:rsidR="00A16063">
        <w:rPr>
          <w:lang w:val="en-IN"/>
        </w:rPr>
        <w:t>S</w:t>
      </w:r>
      <w:r w:rsidRPr="009E2BF8">
        <w:rPr>
          <w:lang w:val="en-IN"/>
        </w:rPr>
        <w:t xml:space="preserve">I value of 0.94, reflecting the lack of proper facilities for preserving perishable produce. This constraint often forces farmers to sell their produce immediately after harvest, frequently at </w:t>
      </w:r>
      <w:proofErr w:type="spellStart"/>
      <w:r w:rsidRPr="009E2BF8">
        <w:rPr>
          <w:lang w:val="en-IN"/>
        </w:rPr>
        <w:t>unfavorable</w:t>
      </w:r>
      <w:proofErr w:type="spellEnd"/>
      <w:r w:rsidRPr="009E2BF8">
        <w:rPr>
          <w:lang w:val="en-IN"/>
        </w:rPr>
        <w:t xml:space="preserve"> prices.</w:t>
      </w:r>
      <w:r>
        <w:rPr>
          <w:lang w:val="en-IN"/>
        </w:rPr>
        <w:t xml:space="preserve"> </w:t>
      </w:r>
      <w:r w:rsidRPr="009E2BF8">
        <w:rPr>
          <w:lang w:val="en-IN"/>
        </w:rPr>
        <w:t>Further, limited awareness levels among farmers were ranked fourth with a mean score of 52.60 and a C</w:t>
      </w:r>
      <w:r w:rsidR="00A16063">
        <w:rPr>
          <w:lang w:val="en-IN"/>
        </w:rPr>
        <w:t>S</w:t>
      </w:r>
      <w:r w:rsidRPr="009E2BF8">
        <w:rPr>
          <w:lang w:val="en-IN"/>
        </w:rPr>
        <w:t>I value of 0.89, suggesting gaps in knowledge regarding improved cultivation practices, pest management, and market opportunities. This lack of awareness restricts the adoption of advanced technologies and efficient farming methods. Lastly, insufficient market intelligence was ranked fifth with a mean score of 50.20 and a C</w:t>
      </w:r>
      <w:r w:rsidR="00A16063">
        <w:rPr>
          <w:lang w:val="en-IN"/>
        </w:rPr>
        <w:t>S</w:t>
      </w:r>
      <w:r w:rsidRPr="009E2BF8">
        <w:rPr>
          <w:lang w:val="en-IN"/>
        </w:rPr>
        <w:t>I value of 0.85, indicating that farmers have limited access to timely and reliable information on prices, demand trends, and market conditions, which affects their decision-making and bargaining power.</w:t>
      </w:r>
      <w:r>
        <w:rPr>
          <w:lang w:val="en-IN"/>
        </w:rPr>
        <w:t xml:space="preserve"> </w:t>
      </w:r>
      <w:r w:rsidRPr="009E2BF8">
        <w:rPr>
          <w:lang w:val="en-IN"/>
        </w:rPr>
        <w:t>Overall, the results suggest that technical and informational constraints significantly influence both production efficiency and marketing outcomes in off-season cabbage cultivation. Addressing these issues through strengthened extension services, improved infrastructure, and enhanced information dissemination systems is essential for improving farmer performance and ensuring better market integration.</w:t>
      </w:r>
    </w:p>
    <w:p w14:paraId="1B0DE820" w14:textId="77777777" w:rsidR="00471FE5" w:rsidRDefault="00471FE5" w:rsidP="003F5B1C">
      <w:pPr>
        <w:jc w:val="both"/>
        <w:rPr>
          <w:lang w:val="en-IN"/>
        </w:rPr>
      </w:pPr>
    </w:p>
    <w:p w14:paraId="047CE7A9" w14:textId="07DF46A1" w:rsidR="00920306" w:rsidRPr="00072426" w:rsidRDefault="00072426" w:rsidP="003F5B1C">
      <w:pPr>
        <w:jc w:val="both"/>
        <w:rPr>
          <w:rFonts w:ascii="Arial" w:hAnsi="Arial" w:cs="Arial"/>
          <w:b/>
          <w:bCs/>
        </w:rPr>
      </w:pPr>
      <w:r w:rsidRPr="00072426">
        <w:rPr>
          <w:rFonts w:ascii="Arial" w:hAnsi="Arial" w:cs="Arial"/>
          <w:b/>
          <w:bCs/>
          <w:lang w:val="en-IN"/>
        </w:rPr>
        <w:t>TABLE 5</w:t>
      </w:r>
      <w:r w:rsidRPr="00072426">
        <w:rPr>
          <w:rFonts w:ascii="Arial" w:hAnsi="Arial" w:cs="Arial"/>
          <w:lang w:val="en-IN"/>
        </w:rPr>
        <w:t xml:space="preserve"> </w:t>
      </w:r>
      <w:r w:rsidRPr="00072426">
        <w:rPr>
          <w:rFonts w:ascii="Arial" w:hAnsi="Arial" w:cs="Arial"/>
          <w:b/>
          <w:bCs/>
        </w:rPr>
        <w:t>TECHNICAL AND INFORMATION CONSTRAINTS ANALYZED USING GARETTE’S RANKING</w:t>
      </w:r>
    </w:p>
    <w:p w14:paraId="7FFB630D" w14:textId="77777777" w:rsidR="00471FE5" w:rsidRPr="00072426" w:rsidRDefault="00471FE5" w:rsidP="003F5B1C">
      <w:pPr>
        <w:jc w:val="both"/>
        <w:rPr>
          <w:rFonts w:ascii="Arial" w:hAnsi="Arial" w:cs="Arial"/>
          <w:lang w:val="en-IN"/>
        </w:rPr>
      </w:pPr>
    </w:p>
    <w:tbl>
      <w:tblPr>
        <w:tblStyle w:val="TableGrid"/>
        <w:tblW w:w="0" w:type="auto"/>
        <w:tblLook w:val="04A0" w:firstRow="1" w:lastRow="0" w:firstColumn="1" w:lastColumn="0" w:noHBand="0" w:noVBand="1"/>
      </w:tblPr>
      <w:tblGrid>
        <w:gridCol w:w="1395"/>
        <w:gridCol w:w="816"/>
        <w:gridCol w:w="816"/>
        <w:gridCol w:w="816"/>
        <w:gridCol w:w="816"/>
        <w:gridCol w:w="816"/>
        <w:gridCol w:w="915"/>
        <w:gridCol w:w="915"/>
        <w:gridCol w:w="893"/>
      </w:tblGrid>
      <w:tr w:rsidR="00920306" w:rsidRPr="00072426" w14:paraId="7FE12FD1" w14:textId="77777777" w:rsidTr="007E672F">
        <w:tc>
          <w:tcPr>
            <w:tcW w:w="984" w:type="dxa"/>
          </w:tcPr>
          <w:p w14:paraId="46CFF71D"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Technical &amp; Information Constraints</w:t>
            </w:r>
          </w:p>
        </w:tc>
        <w:tc>
          <w:tcPr>
            <w:tcW w:w="984" w:type="dxa"/>
          </w:tcPr>
          <w:p w14:paraId="334800A2"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R1</w:t>
            </w:r>
          </w:p>
        </w:tc>
        <w:tc>
          <w:tcPr>
            <w:tcW w:w="984" w:type="dxa"/>
          </w:tcPr>
          <w:p w14:paraId="6C4D0C4F"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R2</w:t>
            </w:r>
          </w:p>
        </w:tc>
        <w:tc>
          <w:tcPr>
            <w:tcW w:w="984" w:type="dxa"/>
          </w:tcPr>
          <w:p w14:paraId="62DE1B26"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R3</w:t>
            </w:r>
          </w:p>
        </w:tc>
        <w:tc>
          <w:tcPr>
            <w:tcW w:w="984" w:type="dxa"/>
          </w:tcPr>
          <w:p w14:paraId="7DC462BC"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R4</w:t>
            </w:r>
          </w:p>
        </w:tc>
        <w:tc>
          <w:tcPr>
            <w:tcW w:w="984" w:type="dxa"/>
          </w:tcPr>
          <w:p w14:paraId="720CAFA5"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R5</w:t>
            </w:r>
          </w:p>
        </w:tc>
        <w:tc>
          <w:tcPr>
            <w:tcW w:w="984" w:type="dxa"/>
          </w:tcPr>
          <w:p w14:paraId="6BBB35C4"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Total Score</w:t>
            </w:r>
          </w:p>
        </w:tc>
        <w:tc>
          <w:tcPr>
            <w:tcW w:w="984" w:type="dxa"/>
          </w:tcPr>
          <w:p w14:paraId="080A7E8B"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Mean Score</w:t>
            </w:r>
          </w:p>
        </w:tc>
        <w:tc>
          <w:tcPr>
            <w:tcW w:w="984" w:type="dxa"/>
          </w:tcPr>
          <w:p w14:paraId="15A541FC"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Final Rank</w:t>
            </w:r>
          </w:p>
        </w:tc>
      </w:tr>
      <w:tr w:rsidR="00920306" w:rsidRPr="00072426" w14:paraId="565CC34C" w14:textId="77777777" w:rsidTr="007E672F">
        <w:tc>
          <w:tcPr>
            <w:tcW w:w="984" w:type="dxa"/>
          </w:tcPr>
          <w:p w14:paraId="7CF46BDE"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Pest Infestation Incidence</w:t>
            </w:r>
          </w:p>
        </w:tc>
        <w:tc>
          <w:tcPr>
            <w:tcW w:w="984" w:type="dxa"/>
          </w:tcPr>
          <w:p w14:paraId="47DB2918"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26</w:t>
            </w:r>
          </w:p>
        </w:tc>
        <w:tc>
          <w:tcPr>
            <w:tcW w:w="984" w:type="dxa"/>
          </w:tcPr>
          <w:p w14:paraId="3DC46AE4"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17</w:t>
            </w:r>
          </w:p>
        </w:tc>
        <w:tc>
          <w:tcPr>
            <w:tcW w:w="984" w:type="dxa"/>
          </w:tcPr>
          <w:p w14:paraId="33457942"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15</w:t>
            </w:r>
          </w:p>
        </w:tc>
        <w:tc>
          <w:tcPr>
            <w:tcW w:w="984" w:type="dxa"/>
          </w:tcPr>
          <w:p w14:paraId="0B4996F2"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12</w:t>
            </w:r>
          </w:p>
        </w:tc>
        <w:tc>
          <w:tcPr>
            <w:tcW w:w="984" w:type="dxa"/>
          </w:tcPr>
          <w:p w14:paraId="21307DB6"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10</w:t>
            </w:r>
          </w:p>
        </w:tc>
        <w:tc>
          <w:tcPr>
            <w:tcW w:w="984" w:type="dxa"/>
          </w:tcPr>
          <w:p w14:paraId="5C5360A5"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4732</w:t>
            </w:r>
          </w:p>
        </w:tc>
        <w:tc>
          <w:tcPr>
            <w:tcW w:w="984" w:type="dxa"/>
          </w:tcPr>
          <w:p w14:paraId="05AF7642"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59.15</w:t>
            </w:r>
          </w:p>
        </w:tc>
        <w:tc>
          <w:tcPr>
            <w:tcW w:w="984" w:type="dxa"/>
          </w:tcPr>
          <w:p w14:paraId="37586D10"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I</w:t>
            </w:r>
          </w:p>
        </w:tc>
      </w:tr>
      <w:tr w:rsidR="00920306" w:rsidRPr="00072426" w14:paraId="4A5C9595" w14:textId="77777777" w:rsidTr="007E672F">
        <w:tc>
          <w:tcPr>
            <w:tcW w:w="984" w:type="dxa"/>
          </w:tcPr>
          <w:p w14:paraId="3FBD1533"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Deficient Weighing Mechanisms</w:t>
            </w:r>
          </w:p>
        </w:tc>
        <w:tc>
          <w:tcPr>
            <w:tcW w:w="984" w:type="dxa"/>
          </w:tcPr>
          <w:p w14:paraId="53E31028"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18</w:t>
            </w:r>
          </w:p>
        </w:tc>
        <w:tc>
          <w:tcPr>
            <w:tcW w:w="984" w:type="dxa"/>
          </w:tcPr>
          <w:p w14:paraId="48EFA513"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25</w:t>
            </w:r>
          </w:p>
        </w:tc>
        <w:tc>
          <w:tcPr>
            <w:tcW w:w="984" w:type="dxa"/>
          </w:tcPr>
          <w:p w14:paraId="2C9C9BE0"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14</w:t>
            </w:r>
          </w:p>
        </w:tc>
        <w:tc>
          <w:tcPr>
            <w:tcW w:w="984" w:type="dxa"/>
          </w:tcPr>
          <w:p w14:paraId="0F14AF47"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13</w:t>
            </w:r>
          </w:p>
        </w:tc>
        <w:tc>
          <w:tcPr>
            <w:tcW w:w="984" w:type="dxa"/>
          </w:tcPr>
          <w:p w14:paraId="2794F489"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10</w:t>
            </w:r>
          </w:p>
        </w:tc>
        <w:tc>
          <w:tcPr>
            <w:tcW w:w="984" w:type="dxa"/>
          </w:tcPr>
          <w:p w14:paraId="1875F906"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4636</w:t>
            </w:r>
          </w:p>
        </w:tc>
        <w:tc>
          <w:tcPr>
            <w:tcW w:w="984" w:type="dxa"/>
          </w:tcPr>
          <w:p w14:paraId="00DF1913"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57.95</w:t>
            </w:r>
          </w:p>
        </w:tc>
        <w:tc>
          <w:tcPr>
            <w:tcW w:w="984" w:type="dxa"/>
          </w:tcPr>
          <w:p w14:paraId="09D1A2BB"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II</w:t>
            </w:r>
          </w:p>
        </w:tc>
      </w:tr>
      <w:tr w:rsidR="00920306" w:rsidRPr="00072426" w14:paraId="15C96F1B" w14:textId="77777777" w:rsidTr="007E672F">
        <w:tc>
          <w:tcPr>
            <w:tcW w:w="984" w:type="dxa"/>
          </w:tcPr>
          <w:p w14:paraId="5CE35C91"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Inadequate Storage Infrastructure</w:t>
            </w:r>
          </w:p>
        </w:tc>
        <w:tc>
          <w:tcPr>
            <w:tcW w:w="984" w:type="dxa"/>
          </w:tcPr>
          <w:p w14:paraId="19630A55"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13</w:t>
            </w:r>
          </w:p>
        </w:tc>
        <w:tc>
          <w:tcPr>
            <w:tcW w:w="984" w:type="dxa"/>
          </w:tcPr>
          <w:p w14:paraId="079028B0"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16</w:t>
            </w:r>
          </w:p>
        </w:tc>
        <w:tc>
          <w:tcPr>
            <w:tcW w:w="984" w:type="dxa"/>
          </w:tcPr>
          <w:p w14:paraId="40759831"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24</w:t>
            </w:r>
          </w:p>
        </w:tc>
        <w:tc>
          <w:tcPr>
            <w:tcW w:w="984" w:type="dxa"/>
          </w:tcPr>
          <w:p w14:paraId="7A5C68BD"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15</w:t>
            </w:r>
          </w:p>
        </w:tc>
        <w:tc>
          <w:tcPr>
            <w:tcW w:w="984" w:type="dxa"/>
          </w:tcPr>
          <w:p w14:paraId="462B0BCD"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12</w:t>
            </w:r>
          </w:p>
        </w:tc>
        <w:tc>
          <w:tcPr>
            <w:tcW w:w="984" w:type="dxa"/>
          </w:tcPr>
          <w:p w14:paraId="7C709C19"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4452</w:t>
            </w:r>
          </w:p>
        </w:tc>
        <w:tc>
          <w:tcPr>
            <w:tcW w:w="984" w:type="dxa"/>
          </w:tcPr>
          <w:p w14:paraId="0721691D"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55.65</w:t>
            </w:r>
          </w:p>
        </w:tc>
        <w:tc>
          <w:tcPr>
            <w:tcW w:w="984" w:type="dxa"/>
          </w:tcPr>
          <w:p w14:paraId="27CA4518"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III</w:t>
            </w:r>
          </w:p>
        </w:tc>
      </w:tr>
      <w:tr w:rsidR="00920306" w:rsidRPr="00072426" w14:paraId="1C56D28E" w14:textId="77777777" w:rsidTr="007E672F">
        <w:tc>
          <w:tcPr>
            <w:tcW w:w="984" w:type="dxa"/>
          </w:tcPr>
          <w:p w14:paraId="6BB819ED"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Limited Awareness Levels among Farmers</w:t>
            </w:r>
          </w:p>
        </w:tc>
        <w:tc>
          <w:tcPr>
            <w:tcW w:w="984" w:type="dxa"/>
          </w:tcPr>
          <w:p w14:paraId="10C77F01"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12</w:t>
            </w:r>
          </w:p>
        </w:tc>
        <w:tc>
          <w:tcPr>
            <w:tcW w:w="984" w:type="dxa"/>
          </w:tcPr>
          <w:p w14:paraId="505FFE0A"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11</w:t>
            </w:r>
          </w:p>
        </w:tc>
        <w:tc>
          <w:tcPr>
            <w:tcW w:w="984" w:type="dxa"/>
          </w:tcPr>
          <w:p w14:paraId="0DA193B6"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15</w:t>
            </w:r>
          </w:p>
        </w:tc>
        <w:tc>
          <w:tcPr>
            <w:tcW w:w="984" w:type="dxa"/>
          </w:tcPr>
          <w:p w14:paraId="0AAC6AF0"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24</w:t>
            </w:r>
          </w:p>
        </w:tc>
        <w:tc>
          <w:tcPr>
            <w:tcW w:w="984" w:type="dxa"/>
          </w:tcPr>
          <w:p w14:paraId="138F270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18</w:t>
            </w:r>
          </w:p>
        </w:tc>
        <w:tc>
          <w:tcPr>
            <w:tcW w:w="984" w:type="dxa"/>
          </w:tcPr>
          <w:p w14:paraId="75D9B120"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4208</w:t>
            </w:r>
          </w:p>
        </w:tc>
        <w:tc>
          <w:tcPr>
            <w:tcW w:w="984" w:type="dxa"/>
          </w:tcPr>
          <w:p w14:paraId="3B6D1A8D"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52.60</w:t>
            </w:r>
          </w:p>
        </w:tc>
        <w:tc>
          <w:tcPr>
            <w:tcW w:w="984" w:type="dxa"/>
          </w:tcPr>
          <w:p w14:paraId="63A06BD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IV</w:t>
            </w:r>
          </w:p>
        </w:tc>
      </w:tr>
      <w:tr w:rsidR="00920306" w:rsidRPr="00072426" w14:paraId="1C7F1B7B" w14:textId="77777777" w:rsidTr="007E672F">
        <w:tc>
          <w:tcPr>
            <w:tcW w:w="984" w:type="dxa"/>
          </w:tcPr>
          <w:p w14:paraId="49D8602F"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Insufficient Market Intelligence</w:t>
            </w:r>
          </w:p>
        </w:tc>
        <w:tc>
          <w:tcPr>
            <w:tcW w:w="984" w:type="dxa"/>
          </w:tcPr>
          <w:p w14:paraId="0CEED9A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11</w:t>
            </w:r>
          </w:p>
        </w:tc>
        <w:tc>
          <w:tcPr>
            <w:tcW w:w="984" w:type="dxa"/>
          </w:tcPr>
          <w:p w14:paraId="422152DB"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11</w:t>
            </w:r>
          </w:p>
        </w:tc>
        <w:tc>
          <w:tcPr>
            <w:tcW w:w="984" w:type="dxa"/>
          </w:tcPr>
          <w:p w14:paraId="13747E51"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12</w:t>
            </w:r>
          </w:p>
        </w:tc>
        <w:tc>
          <w:tcPr>
            <w:tcW w:w="984" w:type="dxa"/>
          </w:tcPr>
          <w:p w14:paraId="771EAC55"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16</w:t>
            </w:r>
          </w:p>
        </w:tc>
        <w:tc>
          <w:tcPr>
            <w:tcW w:w="984" w:type="dxa"/>
          </w:tcPr>
          <w:p w14:paraId="6EC640F2"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30</w:t>
            </w:r>
          </w:p>
        </w:tc>
        <w:tc>
          <w:tcPr>
            <w:tcW w:w="984" w:type="dxa"/>
          </w:tcPr>
          <w:p w14:paraId="46B67EB9"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4016</w:t>
            </w:r>
          </w:p>
        </w:tc>
        <w:tc>
          <w:tcPr>
            <w:tcW w:w="984" w:type="dxa"/>
          </w:tcPr>
          <w:p w14:paraId="62284DF4"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50.20</w:t>
            </w:r>
          </w:p>
        </w:tc>
        <w:tc>
          <w:tcPr>
            <w:tcW w:w="984" w:type="dxa"/>
          </w:tcPr>
          <w:p w14:paraId="3F43862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V</w:t>
            </w:r>
          </w:p>
        </w:tc>
      </w:tr>
    </w:tbl>
    <w:p w14:paraId="534DFAD3" w14:textId="77777777" w:rsidR="00920306" w:rsidRPr="00072426" w:rsidRDefault="00920306" w:rsidP="003F5B1C">
      <w:pPr>
        <w:jc w:val="both"/>
        <w:rPr>
          <w:rFonts w:ascii="Arial" w:hAnsi="Arial" w:cs="Arial"/>
          <w:lang w:val="en-IN"/>
        </w:rPr>
      </w:pPr>
    </w:p>
    <w:p w14:paraId="719C52E1" w14:textId="207573E7" w:rsidR="00920306" w:rsidRPr="00072426" w:rsidRDefault="00072426" w:rsidP="003F5B1C">
      <w:pPr>
        <w:jc w:val="both"/>
        <w:rPr>
          <w:rFonts w:ascii="Arial" w:hAnsi="Arial" w:cs="Arial"/>
          <w:b/>
          <w:bCs/>
          <w:lang w:val="en-IN"/>
        </w:rPr>
      </w:pPr>
      <w:r w:rsidRPr="00072426">
        <w:rPr>
          <w:rFonts w:ascii="Arial" w:hAnsi="Arial" w:cs="Arial"/>
          <w:b/>
          <w:bCs/>
        </w:rPr>
        <w:t xml:space="preserve">3.3.2 TECHNICAL AND INFORMATION CONSTRAINTS ANALYSIS USING </w:t>
      </w:r>
      <w:r w:rsidRPr="00072426">
        <w:rPr>
          <w:rFonts w:ascii="Arial" w:hAnsi="Arial" w:cs="Arial"/>
          <w:b/>
          <w:bCs/>
          <w:lang w:val="en-IN"/>
        </w:rPr>
        <w:t>CONSTRAINTS INDEX METHOD</w:t>
      </w:r>
    </w:p>
    <w:p w14:paraId="2D7DF412" w14:textId="77777777" w:rsidR="00471FE5" w:rsidRPr="006148C9" w:rsidRDefault="00471FE5" w:rsidP="003F5B1C">
      <w:pPr>
        <w:jc w:val="both"/>
        <w:rPr>
          <w:b/>
          <w:bCs/>
        </w:rPr>
      </w:pPr>
    </w:p>
    <w:p w14:paraId="152486F7" w14:textId="5F97E377" w:rsidR="00920306" w:rsidRDefault="00920306" w:rsidP="003F5B1C">
      <w:pPr>
        <w:jc w:val="both"/>
      </w:pPr>
      <w:r w:rsidRPr="009E2BF8">
        <w:rPr>
          <w:lang w:val="en-IN"/>
        </w:rPr>
        <w:t>The Constraint Index (C</w:t>
      </w:r>
      <w:r w:rsidR="00A16063">
        <w:rPr>
          <w:lang w:val="en-IN"/>
        </w:rPr>
        <w:t>S</w:t>
      </w:r>
      <w:r w:rsidRPr="009E2BF8">
        <w:rPr>
          <w:lang w:val="en-IN"/>
        </w:rPr>
        <w:t xml:space="preserve">I) values for technical and information-related constraints were computed by normalizing the mean scores of individual constraints with respect to the highest observed mean score within the category, which was 59.15 for pest infestation incidence. This </w:t>
      </w:r>
      <w:r w:rsidRPr="009E2BF8">
        <w:rPr>
          <w:lang w:val="en-IN"/>
        </w:rPr>
        <w:lastRenderedPageBreak/>
        <w:t>normalization enables comparison across constraints by expressing them on a uniform scale ranging from 0 to 1. Accordingly, pest infestation incidence recorded the highest C</w:t>
      </w:r>
      <w:r w:rsidR="00A16063">
        <w:rPr>
          <w:lang w:val="en-IN"/>
        </w:rPr>
        <w:t>S</w:t>
      </w:r>
      <w:r w:rsidRPr="009E2BF8">
        <w:rPr>
          <w:lang w:val="en-IN"/>
        </w:rPr>
        <w:t>I value of 1.00, followed by deficient weighing mechanisms (0.98), inadequate storage infrastructure (0.94), limited awareness levels among farmers (0.89), and insufficient market intelligence (0.85).</w:t>
      </w:r>
      <w:r>
        <w:rPr>
          <w:lang w:val="en-IN"/>
        </w:rPr>
        <w:t xml:space="preserve"> </w:t>
      </w:r>
      <w:r w:rsidRPr="009E2BF8">
        <w:rPr>
          <w:lang w:val="en-IN"/>
        </w:rPr>
        <w:t>The average Constraint Index for this category was calculated as 0.932, indicating a high overall severity of technical and informational challenges in off-season cabbage cultivation. The results suggest that biological risks such as pest infestation, coupled with infrastructural deficiencies and limited access to reliable information, significantly hinder both production efficiency and marketing outcomes. The relatively high C</w:t>
      </w:r>
      <w:r w:rsidR="00A16063">
        <w:rPr>
          <w:lang w:val="en-IN"/>
        </w:rPr>
        <w:t>S</w:t>
      </w:r>
      <w:r w:rsidRPr="009E2BF8">
        <w:rPr>
          <w:lang w:val="en-IN"/>
        </w:rPr>
        <w:t>I values across all constraints reflect the pervasive nature of these issues, emphasizing the need for strengthened extension services, improved post-harvest infrastructure, and better dissemination of market and technical knowledge to farmers.</w:t>
      </w:r>
      <w:r>
        <w:rPr>
          <w:lang w:val="en-IN"/>
        </w:rPr>
        <w:t xml:space="preserve"> </w:t>
      </w:r>
      <w:r w:rsidRPr="00513197">
        <w:t>Among technical constraints, pest infestation incidence ranked first (C</w:t>
      </w:r>
      <w:r w:rsidR="00A16063">
        <w:t>S</w:t>
      </w:r>
      <w:r w:rsidRPr="00513197">
        <w:t>I = 1.00), followed by deficient weighing mechanisms (C</w:t>
      </w:r>
      <w:r w:rsidR="00A16063">
        <w:t>S</w:t>
      </w:r>
      <w:r w:rsidRPr="00513197">
        <w:t>I = 0.98) and inadequate storage infrastructure (C</w:t>
      </w:r>
      <w:r w:rsidR="00A16063">
        <w:t>S</w:t>
      </w:r>
      <w:r w:rsidRPr="00513197">
        <w:t>I = 0.94). Limited awareness among farmers and insufficient market intelligence were also constraints.</w:t>
      </w:r>
    </w:p>
    <w:p w14:paraId="7DE7C08E" w14:textId="77777777" w:rsidR="00471FE5" w:rsidRDefault="00471FE5" w:rsidP="003F5B1C">
      <w:pPr>
        <w:jc w:val="both"/>
      </w:pPr>
    </w:p>
    <w:p w14:paraId="355A63B5" w14:textId="556E1F04" w:rsidR="00920306" w:rsidRPr="00072426" w:rsidRDefault="00072426" w:rsidP="003F5B1C">
      <w:pPr>
        <w:jc w:val="both"/>
        <w:rPr>
          <w:rFonts w:ascii="Arial" w:hAnsi="Arial" w:cs="Arial"/>
          <w:b/>
          <w:bCs/>
          <w:sz w:val="22"/>
          <w:szCs w:val="22"/>
          <w:lang w:val="en-IN"/>
        </w:rPr>
      </w:pPr>
      <w:r w:rsidRPr="00072426">
        <w:rPr>
          <w:rFonts w:ascii="Arial" w:hAnsi="Arial" w:cs="Arial"/>
          <w:b/>
          <w:bCs/>
          <w:sz w:val="22"/>
          <w:szCs w:val="22"/>
        </w:rPr>
        <w:t>TABLE 6</w:t>
      </w:r>
      <w:r w:rsidRPr="00072426">
        <w:rPr>
          <w:rFonts w:ascii="Arial" w:hAnsi="Arial" w:cs="Arial"/>
          <w:sz w:val="22"/>
          <w:szCs w:val="22"/>
        </w:rPr>
        <w:t xml:space="preserve"> </w:t>
      </w:r>
      <w:r w:rsidRPr="00072426">
        <w:rPr>
          <w:rFonts w:ascii="Arial" w:hAnsi="Arial" w:cs="Arial"/>
          <w:b/>
          <w:bCs/>
          <w:sz w:val="22"/>
          <w:szCs w:val="22"/>
        </w:rPr>
        <w:t xml:space="preserve">TECHNICAL AND INFORMATION CONSTRAINTS ANALYZED USING </w:t>
      </w:r>
      <w:r w:rsidRPr="00072426">
        <w:rPr>
          <w:rFonts w:ascii="Arial" w:hAnsi="Arial" w:cs="Arial"/>
          <w:b/>
          <w:bCs/>
          <w:sz w:val="22"/>
          <w:szCs w:val="22"/>
          <w:lang w:val="en-IN"/>
        </w:rPr>
        <w:t>CONSTRAINTS INDEX METHOD</w:t>
      </w:r>
    </w:p>
    <w:p w14:paraId="342F93B5" w14:textId="77777777" w:rsidR="00471FE5" w:rsidRPr="00072426" w:rsidRDefault="00471FE5" w:rsidP="003F5B1C">
      <w:pPr>
        <w:jc w:val="both"/>
        <w:rPr>
          <w:rFonts w:ascii="Arial" w:hAnsi="Arial" w:cs="Arial"/>
        </w:rPr>
      </w:pPr>
    </w:p>
    <w:tbl>
      <w:tblPr>
        <w:tblStyle w:val="TableGrid"/>
        <w:tblW w:w="0" w:type="auto"/>
        <w:tblLook w:val="04A0" w:firstRow="1" w:lastRow="0" w:firstColumn="1" w:lastColumn="0" w:noHBand="0" w:noVBand="1"/>
      </w:tblPr>
      <w:tblGrid>
        <w:gridCol w:w="1279"/>
        <w:gridCol w:w="1518"/>
        <w:gridCol w:w="1327"/>
        <w:gridCol w:w="1438"/>
        <w:gridCol w:w="1323"/>
        <w:gridCol w:w="1313"/>
      </w:tblGrid>
      <w:tr w:rsidR="00920306" w:rsidRPr="00072426" w14:paraId="59DC534A" w14:textId="77777777" w:rsidTr="007E672F">
        <w:tc>
          <w:tcPr>
            <w:tcW w:w="1456" w:type="dxa"/>
          </w:tcPr>
          <w:p w14:paraId="67AFF683"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S. No.</w:t>
            </w:r>
          </w:p>
        </w:tc>
        <w:tc>
          <w:tcPr>
            <w:tcW w:w="1548" w:type="dxa"/>
          </w:tcPr>
          <w:p w14:paraId="6490DEAC"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Constraint</w:t>
            </w:r>
          </w:p>
        </w:tc>
        <w:tc>
          <w:tcPr>
            <w:tcW w:w="1460" w:type="dxa"/>
          </w:tcPr>
          <w:p w14:paraId="24BB5995"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Mean Score</w:t>
            </w:r>
          </w:p>
        </w:tc>
        <w:tc>
          <w:tcPr>
            <w:tcW w:w="1473" w:type="dxa"/>
          </w:tcPr>
          <w:p w14:paraId="42686E96" w14:textId="13A23436"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C</w:t>
            </w:r>
            <w:r w:rsidR="00A16063">
              <w:rPr>
                <w:rFonts w:ascii="Arial" w:hAnsi="Arial" w:cs="Arial"/>
                <w:b/>
                <w:bCs/>
                <w:sz w:val="20"/>
                <w:szCs w:val="20"/>
                <w:lang w:val="en-IN"/>
              </w:rPr>
              <w:t>S</w:t>
            </w:r>
            <w:r w:rsidRPr="00072426">
              <w:rPr>
                <w:rFonts w:ascii="Arial" w:hAnsi="Arial" w:cs="Arial"/>
                <w:b/>
                <w:bCs/>
                <w:sz w:val="20"/>
                <w:szCs w:val="20"/>
                <w:lang w:val="en-IN"/>
              </w:rPr>
              <w:t>I Calculation</w:t>
            </w:r>
          </w:p>
        </w:tc>
        <w:tc>
          <w:tcPr>
            <w:tcW w:w="1460" w:type="dxa"/>
          </w:tcPr>
          <w:p w14:paraId="3B6758F1" w14:textId="50B9B1A4"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C</w:t>
            </w:r>
            <w:r w:rsidR="00A16063">
              <w:rPr>
                <w:rFonts w:ascii="Arial" w:hAnsi="Arial" w:cs="Arial"/>
                <w:b/>
                <w:bCs/>
                <w:sz w:val="20"/>
                <w:szCs w:val="20"/>
                <w:lang w:val="en-IN"/>
              </w:rPr>
              <w:t>S</w:t>
            </w:r>
            <w:r w:rsidRPr="00072426">
              <w:rPr>
                <w:rFonts w:ascii="Arial" w:hAnsi="Arial" w:cs="Arial"/>
                <w:b/>
                <w:bCs/>
                <w:sz w:val="20"/>
                <w:szCs w:val="20"/>
                <w:lang w:val="en-IN"/>
              </w:rPr>
              <w:t>I Value</w:t>
            </w:r>
          </w:p>
        </w:tc>
        <w:tc>
          <w:tcPr>
            <w:tcW w:w="1459" w:type="dxa"/>
          </w:tcPr>
          <w:p w14:paraId="06CBF756"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Rank</w:t>
            </w:r>
          </w:p>
        </w:tc>
      </w:tr>
      <w:tr w:rsidR="00920306" w:rsidRPr="00072426" w14:paraId="1C5269CB" w14:textId="77777777" w:rsidTr="007E672F">
        <w:tc>
          <w:tcPr>
            <w:tcW w:w="1456" w:type="dxa"/>
          </w:tcPr>
          <w:p w14:paraId="74742ECC"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1</w:t>
            </w:r>
          </w:p>
        </w:tc>
        <w:tc>
          <w:tcPr>
            <w:tcW w:w="1548" w:type="dxa"/>
          </w:tcPr>
          <w:p w14:paraId="28343E0C"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Pest Infestation Incidence</w:t>
            </w:r>
          </w:p>
        </w:tc>
        <w:tc>
          <w:tcPr>
            <w:tcW w:w="1460" w:type="dxa"/>
          </w:tcPr>
          <w:p w14:paraId="773D2899"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59.15</w:t>
            </w:r>
          </w:p>
        </w:tc>
        <w:tc>
          <w:tcPr>
            <w:tcW w:w="1473" w:type="dxa"/>
          </w:tcPr>
          <w:p w14:paraId="004B7869"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59.15 / 59.15</w:t>
            </w:r>
          </w:p>
        </w:tc>
        <w:tc>
          <w:tcPr>
            <w:tcW w:w="1460" w:type="dxa"/>
          </w:tcPr>
          <w:p w14:paraId="6A570D50"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1.00</w:t>
            </w:r>
          </w:p>
        </w:tc>
        <w:tc>
          <w:tcPr>
            <w:tcW w:w="1459" w:type="dxa"/>
          </w:tcPr>
          <w:p w14:paraId="28A6A69C"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I</w:t>
            </w:r>
          </w:p>
        </w:tc>
      </w:tr>
      <w:tr w:rsidR="00920306" w:rsidRPr="00072426" w14:paraId="2A3ADAAE" w14:textId="77777777" w:rsidTr="007E672F">
        <w:tc>
          <w:tcPr>
            <w:tcW w:w="1456" w:type="dxa"/>
          </w:tcPr>
          <w:p w14:paraId="20B1504A"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2</w:t>
            </w:r>
          </w:p>
        </w:tc>
        <w:tc>
          <w:tcPr>
            <w:tcW w:w="1548" w:type="dxa"/>
          </w:tcPr>
          <w:p w14:paraId="4D61DB8F"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Deficient Weighing Mechanisms</w:t>
            </w:r>
          </w:p>
        </w:tc>
        <w:tc>
          <w:tcPr>
            <w:tcW w:w="1460" w:type="dxa"/>
          </w:tcPr>
          <w:p w14:paraId="3E30CB06"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57.95</w:t>
            </w:r>
          </w:p>
        </w:tc>
        <w:tc>
          <w:tcPr>
            <w:tcW w:w="1473" w:type="dxa"/>
          </w:tcPr>
          <w:p w14:paraId="70E9895B"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57.95 / 59.15</w:t>
            </w:r>
          </w:p>
        </w:tc>
        <w:tc>
          <w:tcPr>
            <w:tcW w:w="1460" w:type="dxa"/>
          </w:tcPr>
          <w:p w14:paraId="4A4762A4"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0.98</w:t>
            </w:r>
          </w:p>
        </w:tc>
        <w:tc>
          <w:tcPr>
            <w:tcW w:w="1459" w:type="dxa"/>
          </w:tcPr>
          <w:p w14:paraId="2FA00DB6"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II</w:t>
            </w:r>
          </w:p>
        </w:tc>
      </w:tr>
      <w:tr w:rsidR="00920306" w:rsidRPr="00072426" w14:paraId="2472689D" w14:textId="77777777" w:rsidTr="007E672F">
        <w:tc>
          <w:tcPr>
            <w:tcW w:w="1456" w:type="dxa"/>
          </w:tcPr>
          <w:p w14:paraId="2EE41DB4"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3</w:t>
            </w:r>
          </w:p>
        </w:tc>
        <w:tc>
          <w:tcPr>
            <w:tcW w:w="1548" w:type="dxa"/>
          </w:tcPr>
          <w:p w14:paraId="005449BA"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Inadequate Storage Infrastructure</w:t>
            </w:r>
          </w:p>
        </w:tc>
        <w:tc>
          <w:tcPr>
            <w:tcW w:w="1460" w:type="dxa"/>
          </w:tcPr>
          <w:p w14:paraId="3C9D150D"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55.65</w:t>
            </w:r>
          </w:p>
        </w:tc>
        <w:tc>
          <w:tcPr>
            <w:tcW w:w="1473" w:type="dxa"/>
          </w:tcPr>
          <w:p w14:paraId="713D5B34"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55.65 / 59.15</w:t>
            </w:r>
          </w:p>
        </w:tc>
        <w:tc>
          <w:tcPr>
            <w:tcW w:w="1460" w:type="dxa"/>
          </w:tcPr>
          <w:p w14:paraId="59E0CD0E"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0.94</w:t>
            </w:r>
          </w:p>
        </w:tc>
        <w:tc>
          <w:tcPr>
            <w:tcW w:w="1459" w:type="dxa"/>
          </w:tcPr>
          <w:p w14:paraId="202772F8"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III</w:t>
            </w:r>
          </w:p>
        </w:tc>
      </w:tr>
      <w:tr w:rsidR="00920306" w:rsidRPr="00072426" w14:paraId="1466FDA0" w14:textId="77777777" w:rsidTr="007E672F">
        <w:tc>
          <w:tcPr>
            <w:tcW w:w="1456" w:type="dxa"/>
          </w:tcPr>
          <w:p w14:paraId="542424AD"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4</w:t>
            </w:r>
          </w:p>
        </w:tc>
        <w:tc>
          <w:tcPr>
            <w:tcW w:w="1548" w:type="dxa"/>
          </w:tcPr>
          <w:p w14:paraId="099FF24B"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Limited Awareness Levels among Farmers</w:t>
            </w:r>
          </w:p>
        </w:tc>
        <w:tc>
          <w:tcPr>
            <w:tcW w:w="1460" w:type="dxa"/>
          </w:tcPr>
          <w:p w14:paraId="581EDADF"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52.60</w:t>
            </w:r>
          </w:p>
        </w:tc>
        <w:tc>
          <w:tcPr>
            <w:tcW w:w="1473" w:type="dxa"/>
          </w:tcPr>
          <w:p w14:paraId="32BF7C9F"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52.60 / 59.15</w:t>
            </w:r>
          </w:p>
        </w:tc>
        <w:tc>
          <w:tcPr>
            <w:tcW w:w="1460" w:type="dxa"/>
          </w:tcPr>
          <w:p w14:paraId="771CB0E8"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0.89</w:t>
            </w:r>
          </w:p>
        </w:tc>
        <w:tc>
          <w:tcPr>
            <w:tcW w:w="1459" w:type="dxa"/>
          </w:tcPr>
          <w:p w14:paraId="22BBA99F"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IV</w:t>
            </w:r>
          </w:p>
        </w:tc>
      </w:tr>
      <w:tr w:rsidR="00920306" w:rsidRPr="00072426" w14:paraId="32FD1792" w14:textId="77777777" w:rsidTr="007E672F">
        <w:tc>
          <w:tcPr>
            <w:tcW w:w="1456" w:type="dxa"/>
          </w:tcPr>
          <w:p w14:paraId="4E1C93D4"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w:t>
            </w:r>
          </w:p>
        </w:tc>
        <w:tc>
          <w:tcPr>
            <w:tcW w:w="1548" w:type="dxa"/>
          </w:tcPr>
          <w:p w14:paraId="39600867"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Insufficient Market Intelligence</w:t>
            </w:r>
          </w:p>
        </w:tc>
        <w:tc>
          <w:tcPr>
            <w:tcW w:w="1460" w:type="dxa"/>
          </w:tcPr>
          <w:p w14:paraId="342F2FD6"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50.20</w:t>
            </w:r>
          </w:p>
        </w:tc>
        <w:tc>
          <w:tcPr>
            <w:tcW w:w="1473" w:type="dxa"/>
          </w:tcPr>
          <w:p w14:paraId="114AE51C"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50.20 / 59.15</w:t>
            </w:r>
          </w:p>
        </w:tc>
        <w:tc>
          <w:tcPr>
            <w:tcW w:w="1460" w:type="dxa"/>
          </w:tcPr>
          <w:p w14:paraId="014417C7"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0.85</w:t>
            </w:r>
          </w:p>
        </w:tc>
        <w:tc>
          <w:tcPr>
            <w:tcW w:w="1459" w:type="dxa"/>
          </w:tcPr>
          <w:p w14:paraId="2C50CE0A"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V</w:t>
            </w:r>
          </w:p>
        </w:tc>
      </w:tr>
    </w:tbl>
    <w:p w14:paraId="327E1B63" w14:textId="77777777" w:rsidR="00920306" w:rsidRPr="00072426" w:rsidRDefault="00920306" w:rsidP="003F5B1C">
      <w:pPr>
        <w:jc w:val="both"/>
        <w:rPr>
          <w:rFonts w:ascii="Arial" w:hAnsi="Arial" w:cs="Arial"/>
        </w:rPr>
      </w:pPr>
    </w:p>
    <w:p w14:paraId="2AED70E8" w14:textId="0E25CF01" w:rsidR="00920306" w:rsidRPr="00C8393B" w:rsidRDefault="00920306" w:rsidP="003F5B1C">
      <w:pPr>
        <w:jc w:val="both"/>
        <w:rPr>
          <w:rFonts w:ascii="Arial" w:hAnsi="Arial" w:cs="Arial"/>
          <w:b/>
          <w:bCs/>
        </w:rPr>
      </w:pPr>
      <m:oMathPara>
        <m:oMath>
          <m:r>
            <m:rPr>
              <m:nor/>
            </m:rPr>
            <w:rPr>
              <w:rFonts w:ascii="Arial" w:hAnsi="Arial" w:cs="Arial"/>
              <w:b/>
              <w:bCs/>
            </w:rPr>
            <m:t>Average CSI</m:t>
          </m:r>
          <m:r>
            <m:rPr>
              <m:sty m:val="bi"/>
            </m:rPr>
            <w:rPr>
              <w:rFonts w:ascii="Cambria Math" w:hAnsi="Cambria Math" w:cs="Arial"/>
            </w:rPr>
            <m:t>=</m:t>
          </m:r>
          <m:f>
            <m:fPr>
              <m:ctrlPr>
                <w:rPr>
                  <w:rFonts w:ascii="Cambria Math" w:hAnsi="Cambria Math" w:cs="Arial"/>
                  <w:b/>
                  <w:bCs/>
                </w:rPr>
              </m:ctrlPr>
            </m:fPr>
            <m:num>
              <m:r>
                <m:rPr>
                  <m:sty m:val="bi"/>
                </m:rPr>
                <w:rPr>
                  <w:rFonts w:ascii="Cambria Math" w:hAnsi="Cambria Math" w:cs="Arial"/>
                </w:rPr>
                <m:t>1.00+0.98+0.94+0.89+0.85</m:t>
              </m:r>
            </m:num>
            <m:den>
              <m:r>
                <m:rPr>
                  <m:sty m:val="bi"/>
                </m:rPr>
                <w:rPr>
                  <w:rFonts w:ascii="Cambria Math" w:hAnsi="Cambria Math" w:cs="Arial"/>
                </w:rPr>
                <m:t>5</m:t>
              </m:r>
            </m:den>
          </m:f>
          <m:r>
            <m:rPr>
              <m:sty m:val="bi"/>
            </m:rPr>
            <w:rPr>
              <w:rFonts w:ascii="Cambria Math" w:hAnsi="Cambria Math" w:cs="Arial"/>
            </w:rPr>
            <m:t>=0.932</m:t>
          </m:r>
          <m:r>
            <m:rPr>
              <m:sty m:val="p"/>
            </m:rPr>
            <w:rPr>
              <w:rFonts w:ascii="Cambria Math" w:hAnsi="Cambria Math" w:cs="Arial"/>
            </w:rPr>
            <w:br/>
          </m:r>
        </m:oMath>
      </m:oMathPara>
    </w:p>
    <w:p w14:paraId="72113E7F" w14:textId="415AAC82" w:rsidR="00920306" w:rsidRDefault="00072426" w:rsidP="003F5B1C">
      <w:pPr>
        <w:jc w:val="both"/>
        <w:rPr>
          <w:rFonts w:ascii="Arial" w:hAnsi="Arial" w:cs="Arial"/>
          <w:b/>
          <w:bCs/>
          <w:sz w:val="22"/>
          <w:szCs w:val="22"/>
        </w:rPr>
      </w:pPr>
      <w:r w:rsidRPr="00072426">
        <w:rPr>
          <w:rFonts w:ascii="Arial" w:hAnsi="Arial" w:cs="Arial"/>
          <w:b/>
          <w:bCs/>
          <w:sz w:val="22"/>
          <w:szCs w:val="22"/>
        </w:rPr>
        <w:t>3.4 OVERALL CONSTRAINT ANALYSIS</w:t>
      </w:r>
    </w:p>
    <w:p w14:paraId="508E4E3F" w14:textId="77777777" w:rsidR="00487E50" w:rsidRDefault="00487E50" w:rsidP="003F5B1C">
      <w:pPr>
        <w:jc w:val="both"/>
        <w:rPr>
          <w:rFonts w:ascii="Arial" w:hAnsi="Arial" w:cs="Arial"/>
          <w:b/>
          <w:bCs/>
          <w:sz w:val="22"/>
          <w:szCs w:val="22"/>
        </w:rPr>
      </w:pPr>
    </w:p>
    <w:p w14:paraId="462987BA" w14:textId="32E1C269" w:rsidR="00487E50" w:rsidRDefault="00487E50" w:rsidP="003F5B1C">
      <w:pPr>
        <w:jc w:val="both"/>
        <w:rPr>
          <w:rFonts w:ascii="Arial" w:hAnsi="Arial" w:cs="Arial"/>
          <w:b/>
          <w:bCs/>
          <w:sz w:val="22"/>
          <w:szCs w:val="22"/>
        </w:rPr>
      </w:pPr>
      <w:r>
        <w:rPr>
          <w:rFonts w:ascii="Arial" w:hAnsi="Arial" w:cs="Arial"/>
          <w:b/>
          <w:bCs/>
          <w:sz w:val="22"/>
          <w:szCs w:val="22"/>
        </w:rPr>
        <w:t xml:space="preserve">3.4.1 </w:t>
      </w:r>
      <w:r w:rsidRPr="00487E50">
        <w:rPr>
          <w:rFonts w:ascii="Arial" w:hAnsi="Arial" w:cs="Arial"/>
          <w:b/>
          <w:bCs/>
          <w:sz w:val="22"/>
          <w:szCs w:val="22"/>
        </w:rPr>
        <w:t>CONSTRAINT SEVERITY INDEX (CSI) OF MAJOR CONSTRAINTS IN OFF-SEASON CABBAGE CULTIVATION</w:t>
      </w:r>
    </w:p>
    <w:p w14:paraId="0C489519" w14:textId="77777777" w:rsidR="00487E50" w:rsidRDefault="00487E50" w:rsidP="003F5B1C">
      <w:pPr>
        <w:jc w:val="both"/>
        <w:rPr>
          <w:rFonts w:ascii="Arial" w:hAnsi="Arial" w:cs="Arial"/>
          <w:b/>
          <w:bCs/>
          <w:sz w:val="22"/>
          <w:szCs w:val="22"/>
        </w:rPr>
      </w:pPr>
    </w:p>
    <w:p w14:paraId="34981B7B" w14:textId="4B2BD451" w:rsidR="00487E50" w:rsidRDefault="00487E50" w:rsidP="00487E50">
      <w:pPr>
        <w:jc w:val="both"/>
        <w:rPr>
          <w:rFonts w:ascii="Arial" w:hAnsi="Arial" w:cs="Arial"/>
          <w:lang w:val="en-IN"/>
        </w:rPr>
      </w:pPr>
      <w:r>
        <w:rPr>
          <w:rFonts w:ascii="Arial" w:hAnsi="Arial" w:cs="Arial"/>
          <w:lang w:val="en-IN"/>
        </w:rPr>
        <w:t>T</w:t>
      </w:r>
      <w:r w:rsidRPr="00487E50">
        <w:rPr>
          <w:rFonts w:ascii="Arial" w:hAnsi="Arial" w:cs="Arial"/>
          <w:lang w:val="en-IN"/>
        </w:rPr>
        <w:t xml:space="preserve">o provide a clearer understanding of the relative severity of constraints, the Constraint Severity Index (CSI) values were </w:t>
      </w:r>
      <w:r w:rsidRPr="00487E50">
        <w:rPr>
          <w:rFonts w:ascii="Arial" w:hAnsi="Arial" w:cs="Arial"/>
        </w:rPr>
        <w:t>graphica</w:t>
      </w:r>
      <w:r>
        <w:rPr>
          <w:rFonts w:ascii="Arial" w:hAnsi="Arial" w:cs="Arial"/>
        </w:rPr>
        <w:t xml:space="preserve">lly </w:t>
      </w:r>
      <w:r w:rsidRPr="00487E50">
        <w:rPr>
          <w:rFonts w:ascii="Arial" w:hAnsi="Arial" w:cs="Arial"/>
          <w:lang w:val="en-IN"/>
        </w:rPr>
        <w:t>represented using a bar chart</w:t>
      </w:r>
      <w:r>
        <w:rPr>
          <w:rFonts w:ascii="Arial" w:hAnsi="Arial" w:cs="Arial"/>
          <w:lang w:val="en-IN"/>
        </w:rPr>
        <w:t xml:space="preserve"> through </w:t>
      </w:r>
      <w:r w:rsidRPr="00487E50">
        <w:rPr>
          <w:rFonts w:ascii="Arial" w:hAnsi="Arial" w:cs="Arial"/>
        </w:rPr>
        <w:t>CSI values</w:t>
      </w:r>
      <w:r w:rsidR="0001210B">
        <w:rPr>
          <w:rFonts w:ascii="Arial" w:hAnsi="Arial" w:cs="Arial"/>
        </w:rPr>
        <w:t xml:space="preserve"> in Figure 1 below.</w:t>
      </w:r>
      <w:r>
        <w:rPr>
          <w:rFonts w:ascii="Arial" w:hAnsi="Arial" w:cs="Arial"/>
          <w:lang w:val="en-IN"/>
        </w:rPr>
        <w:t xml:space="preserve"> </w:t>
      </w:r>
      <w:r w:rsidRPr="00487E50">
        <w:rPr>
          <w:rFonts w:ascii="Arial" w:hAnsi="Arial" w:cs="Arial"/>
          <w:lang w:val="en-IN"/>
        </w:rPr>
        <w:t xml:space="preserve">The bar chart depicting the Constraint Severity Index (CSI) provides a comparative visualization of the severity of constraints faced by farmers in off-season cabbage cultivation. The results indicate that labour scarcity, pest infestation incidence, and inadequate institutional support emerged as the most severe constraints, each recording the highest CSI </w:t>
      </w:r>
      <w:r w:rsidRPr="00487E50">
        <w:rPr>
          <w:rFonts w:ascii="Arial" w:hAnsi="Arial" w:cs="Arial"/>
          <w:lang w:val="en-IN"/>
        </w:rPr>
        <w:lastRenderedPageBreak/>
        <w:t>value of 1.00. This highlights the critical challenges associated with labour availability, biological risks, and institutional limitations affecting farm operations.</w:t>
      </w:r>
      <w:r>
        <w:rPr>
          <w:rFonts w:ascii="Arial" w:hAnsi="Arial" w:cs="Arial"/>
          <w:lang w:val="en-IN"/>
        </w:rPr>
        <w:t xml:space="preserve"> </w:t>
      </w:r>
      <w:r w:rsidRPr="00487E50">
        <w:rPr>
          <w:rFonts w:ascii="Arial" w:hAnsi="Arial" w:cs="Arial"/>
          <w:lang w:val="en-IN"/>
        </w:rPr>
        <w:t>Among the other constraints, deficient weighing mechanisms (0.98) and insufficient irrigation facilities (0.97) were also found to be highly severe, indicating the presence of infrastructural and resource-related bottlenecks. Economic constraints such as absence of market infrastructure (0.96) and high transportation expenditure (0.93) further emphasize the difficulties faced by farmers in accessing efficient markets.</w:t>
      </w:r>
      <w:r>
        <w:rPr>
          <w:rFonts w:ascii="Arial" w:hAnsi="Arial" w:cs="Arial"/>
          <w:lang w:val="en-IN"/>
        </w:rPr>
        <w:t xml:space="preserve"> </w:t>
      </w:r>
      <w:r w:rsidRPr="00487E50">
        <w:rPr>
          <w:rFonts w:ascii="Arial" w:hAnsi="Arial" w:cs="Arial"/>
          <w:lang w:val="en-IN"/>
        </w:rPr>
        <w:t>Relatively lower CSI values were observed for constraints such as limited awareness levels (0.89), elevated seed procurement costs (0.87), and insufficient market intelligence (0.85), although these remain important factors influencing productivity and decision-making. The least severe constraint identified was absence of minimum support prices (0.80); however, its value still indicates a considerable level of concern.</w:t>
      </w:r>
      <w:r>
        <w:rPr>
          <w:rFonts w:ascii="Arial" w:hAnsi="Arial" w:cs="Arial"/>
          <w:lang w:val="en-IN"/>
        </w:rPr>
        <w:t xml:space="preserve"> </w:t>
      </w:r>
      <w:r w:rsidRPr="00487E50">
        <w:rPr>
          <w:rFonts w:ascii="Arial" w:hAnsi="Arial" w:cs="Arial"/>
          <w:lang w:val="en-IN"/>
        </w:rPr>
        <w:t>Overall, the graphical representation clearly demonstrates that constraints are multidimensional, with resource, technical, and economic factors collectively influencing off-season cabbage cultivation.</w:t>
      </w:r>
    </w:p>
    <w:p w14:paraId="3777AC51" w14:textId="77777777" w:rsidR="00487E50" w:rsidRDefault="00487E50" w:rsidP="00487E50">
      <w:pPr>
        <w:jc w:val="both"/>
        <w:rPr>
          <w:rFonts w:ascii="Arial" w:hAnsi="Arial" w:cs="Arial"/>
          <w:lang w:val="en-IN"/>
        </w:rPr>
      </w:pPr>
    </w:p>
    <w:p w14:paraId="4D405242" w14:textId="77777777" w:rsidR="00487E50" w:rsidRPr="00487E50" w:rsidRDefault="00487E50" w:rsidP="00487E50">
      <w:pPr>
        <w:jc w:val="both"/>
        <w:rPr>
          <w:rFonts w:ascii="Arial" w:hAnsi="Arial" w:cs="Arial"/>
          <w:lang w:val="en-IN"/>
        </w:rPr>
      </w:pPr>
    </w:p>
    <w:p w14:paraId="4889B529" w14:textId="77777777" w:rsidR="00487E50" w:rsidRDefault="00487E50" w:rsidP="003F5B1C">
      <w:pPr>
        <w:jc w:val="both"/>
        <w:rPr>
          <w:rFonts w:ascii="Arial" w:hAnsi="Arial" w:cs="Arial"/>
          <w:sz w:val="22"/>
          <w:szCs w:val="22"/>
        </w:rPr>
      </w:pPr>
    </w:p>
    <w:p w14:paraId="31F121C3" w14:textId="77B8E42C" w:rsidR="00487E50" w:rsidRPr="00487E50" w:rsidRDefault="0060728D" w:rsidP="003F5B1C">
      <w:pPr>
        <w:jc w:val="both"/>
        <w:rPr>
          <w:rFonts w:ascii="Arial" w:hAnsi="Arial" w:cs="Arial"/>
          <w:sz w:val="22"/>
          <w:szCs w:val="22"/>
        </w:rPr>
      </w:pPr>
      <w:r>
        <w:rPr>
          <w:noProof/>
        </w:rPr>
        <w:drawing>
          <wp:inline distT="0" distB="0" distL="0" distR="0" wp14:anchorId="14B3BAD4" wp14:editId="7955BBE6">
            <wp:extent cx="5212080" cy="3975100"/>
            <wp:effectExtent l="0" t="0" r="7620" b="6350"/>
            <wp:docPr id="15661220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3975100"/>
                    </a:xfrm>
                    <a:prstGeom prst="rect">
                      <a:avLst/>
                    </a:prstGeom>
                    <a:noFill/>
                    <a:ln>
                      <a:noFill/>
                    </a:ln>
                  </pic:spPr>
                </pic:pic>
              </a:graphicData>
            </a:graphic>
          </wp:inline>
        </w:drawing>
      </w:r>
    </w:p>
    <w:p w14:paraId="7F8F2030" w14:textId="77777777" w:rsidR="00487E50" w:rsidRDefault="00487E50" w:rsidP="003F5B1C">
      <w:pPr>
        <w:jc w:val="both"/>
        <w:rPr>
          <w:rFonts w:ascii="Arial" w:hAnsi="Arial" w:cs="Arial"/>
          <w:b/>
          <w:bCs/>
          <w:sz w:val="22"/>
          <w:szCs w:val="22"/>
        </w:rPr>
      </w:pPr>
    </w:p>
    <w:p w14:paraId="23178E72" w14:textId="73AD3C7A" w:rsidR="00487E50" w:rsidRDefault="00487E50" w:rsidP="00EA5923">
      <w:pPr>
        <w:jc w:val="center"/>
        <w:rPr>
          <w:rFonts w:ascii="Arial" w:hAnsi="Arial" w:cs="Arial"/>
          <w:b/>
          <w:bCs/>
          <w:sz w:val="22"/>
          <w:szCs w:val="22"/>
        </w:rPr>
      </w:pPr>
      <w:r>
        <w:rPr>
          <w:rFonts w:ascii="Arial" w:hAnsi="Arial" w:cs="Arial"/>
          <w:b/>
          <w:bCs/>
          <w:sz w:val="22"/>
          <w:szCs w:val="22"/>
        </w:rPr>
        <w:t xml:space="preserve">Figure 1- </w:t>
      </w:r>
      <w:r w:rsidRPr="00487E50">
        <w:rPr>
          <w:rFonts w:ascii="Arial" w:hAnsi="Arial" w:cs="Arial"/>
          <w:b/>
          <w:bCs/>
          <w:sz w:val="22"/>
          <w:szCs w:val="22"/>
        </w:rPr>
        <w:t>Graphical Illustration of Constraint Severity Index (CSI) for Major Constraints</w:t>
      </w:r>
    </w:p>
    <w:p w14:paraId="497743C7" w14:textId="77777777" w:rsidR="00487E50" w:rsidRPr="00072426" w:rsidRDefault="00487E50" w:rsidP="003F5B1C">
      <w:pPr>
        <w:jc w:val="both"/>
        <w:rPr>
          <w:rFonts w:ascii="Arial" w:hAnsi="Arial" w:cs="Arial"/>
          <w:b/>
          <w:bCs/>
          <w:sz w:val="22"/>
          <w:szCs w:val="22"/>
        </w:rPr>
      </w:pPr>
    </w:p>
    <w:p w14:paraId="065F70A1" w14:textId="77777777" w:rsidR="00471FE5" w:rsidRDefault="00471FE5" w:rsidP="003F5B1C">
      <w:pPr>
        <w:jc w:val="both"/>
        <w:rPr>
          <w:b/>
          <w:bCs/>
        </w:rPr>
      </w:pPr>
    </w:p>
    <w:p w14:paraId="1A9777E7" w14:textId="2DBCDA90" w:rsidR="00920306" w:rsidRDefault="00920306" w:rsidP="003F5B1C">
      <w:pPr>
        <w:jc w:val="both"/>
      </w:pPr>
      <w:r w:rsidRPr="009E2BF8">
        <w:rPr>
          <w:lang w:val="en-IN"/>
        </w:rPr>
        <w:t>The overall analysis of constraints in off-season cabbage cultivation reveals that farmers are confronted with a combination of economic, resource, and technical as well as information-related challenges, all of which significantly influence the efficiency and sustainability of production. Based on the computed average Constraint Index (C</w:t>
      </w:r>
      <w:r w:rsidR="00A16063">
        <w:rPr>
          <w:lang w:val="en-IN"/>
        </w:rPr>
        <w:t>S</w:t>
      </w:r>
      <w:r w:rsidRPr="009E2BF8">
        <w:rPr>
          <w:lang w:val="en-IN"/>
        </w:rPr>
        <w:t xml:space="preserve">I) values, resource </w:t>
      </w:r>
      <w:r w:rsidRPr="009E2BF8">
        <w:rPr>
          <w:lang w:val="en-IN"/>
        </w:rPr>
        <w:lastRenderedPageBreak/>
        <w:t>constraints emerged as the most severe category with an average C</w:t>
      </w:r>
      <w:r w:rsidR="00A16063">
        <w:rPr>
          <w:lang w:val="en-IN"/>
        </w:rPr>
        <w:t>S</w:t>
      </w:r>
      <w:r w:rsidRPr="009E2BF8">
        <w:rPr>
          <w:lang w:val="en-IN"/>
        </w:rPr>
        <w:t>I of 0.96, followed by technical and information constraints (0.932), and economic constraints (0.912). The consistently high C</w:t>
      </w:r>
      <w:r w:rsidR="00A16063">
        <w:rPr>
          <w:lang w:val="en-IN"/>
        </w:rPr>
        <w:t>S</w:t>
      </w:r>
      <w:r w:rsidRPr="009E2BF8">
        <w:rPr>
          <w:lang w:val="en-IN"/>
        </w:rPr>
        <w:t>I values across all categories indicate that constraints are not isolated but rather interconnected, collectively creating a challenging production environment for farmers.</w:t>
      </w:r>
      <w:r>
        <w:rPr>
          <w:b/>
          <w:bCs/>
        </w:rPr>
        <w:t xml:space="preserve"> </w:t>
      </w:r>
      <w:r w:rsidRPr="009E2BF8">
        <w:rPr>
          <w:lang w:val="en-IN"/>
        </w:rPr>
        <w:t xml:space="preserve">Among economic constraints, inadequate institutional support and absence of market infrastructure were identified as the most critical issues, reflecting systemic gaps in credit access, extension services, and organized marketing systems. Resource constraints were predominantly driven by </w:t>
      </w:r>
      <w:proofErr w:type="spellStart"/>
      <w:r w:rsidRPr="009E2BF8">
        <w:rPr>
          <w:lang w:val="en-IN"/>
        </w:rPr>
        <w:t>labor</w:t>
      </w:r>
      <w:proofErr w:type="spellEnd"/>
      <w:r w:rsidRPr="009E2BF8">
        <w:rPr>
          <w:lang w:val="en-IN"/>
        </w:rPr>
        <w:t xml:space="preserve"> scarcity and insufficient irrigation facilities, which directly affect the timely execution of agricultural operations and crop management practices. These limitations highlight the dependence of off-season cultivation on both human and physical resources, which are often inadequate or inconsistently available. Technical and information constraints further compound these challenges, with pest infestation incidence, deficient weighing mechanisms, and inadequate storage infrastructure emerging as major concerns. Additionally, limited awareness and insufficient access to market intelligence restrict farmers’ ability to adopt improved technologies and make informed marketing decisions.</w:t>
      </w:r>
      <w:r>
        <w:rPr>
          <w:b/>
          <w:bCs/>
        </w:rPr>
        <w:t xml:space="preserve"> </w:t>
      </w:r>
      <w:r w:rsidRPr="009E2BF8">
        <w:rPr>
          <w:lang w:val="en-IN"/>
        </w:rPr>
        <w:t>The comparative analysis of C</w:t>
      </w:r>
      <w:r w:rsidR="00A16063">
        <w:rPr>
          <w:lang w:val="en-IN"/>
        </w:rPr>
        <w:t>S</w:t>
      </w:r>
      <w:r w:rsidRPr="009E2BF8">
        <w:rPr>
          <w:lang w:val="en-IN"/>
        </w:rPr>
        <w:t>I values suggests that while all categories of constraints are significant, resource-related issues have the most immediate and direct impact on farm operations, followed closely by technical and informational barriers that influence both production and post-harvest management. Economic constraints, though slightly lower in relative severity, play a crucial role in shaping the overall farming environment by affecting access to inputs, services, and markets. The findings underscore the need for an integrated approach to address these constraints through improved institutional support, development of infrastructure, strengthening of extension services, and enhanced dissemination of technical and market information. Such interventions are essential to improve productivity, reduce risks, and ensure the long-term viability of off-season cabbage cultivation.</w:t>
      </w:r>
      <w:r>
        <w:rPr>
          <w:b/>
          <w:bCs/>
        </w:rPr>
        <w:t xml:space="preserve"> </w:t>
      </w:r>
      <w:r w:rsidRPr="00513197">
        <w:t>The average C</w:t>
      </w:r>
      <w:r w:rsidR="00A16063">
        <w:t>S</w:t>
      </w:r>
      <w:r w:rsidRPr="00513197">
        <w:t>I values indicate that resource constraints (0.96) are the most severe, followed by technical constraints (0.93) and economic constraints (0.91). This suggests that improving resource availability should be the top priority for enhancing off-season cabbage production.</w:t>
      </w:r>
    </w:p>
    <w:p w14:paraId="258947A4" w14:textId="77777777" w:rsidR="00471FE5" w:rsidRDefault="00471FE5" w:rsidP="003F5B1C">
      <w:pPr>
        <w:jc w:val="both"/>
      </w:pPr>
    </w:p>
    <w:p w14:paraId="0C5DEF9A" w14:textId="27BD08B1" w:rsidR="00EA5923" w:rsidRDefault="00EA5923" w:rsidP="003F5B1C">
      <w:pPr>
        <w:jc w:val="both"/>
        <w:rPr>
          <w:rFonts w:ascii="Arial" w:hAnsi="Arial" w:cs="Arial"/>
          <w:b/>
          <w:bCs/>
          <w:sz w:val="22"/>
          <w:szCs w:val="22"/>
        </w:rPr>
      </w:pPr>
      <w:r>
        <w:rPr>
          <w:rFonts w:ascii="Arial" w:hAnsi="Arial" w:cs="Arial"/>
          <w:b/>
          <w:bCs/>
          <w:sz w:val="22"/>
          <w:szCs w:val="22"/>
        </w:rPr>
        <w:t xml:space="preserve">3.4.2 </w:t>
      </w:r>
      <w:r w:rsidRPr="00EA5923">
        <w:rPr>
          <w:rFonts w:ascii="Arial" w:hAnsi="Arial" w:cs="Arial"/>
          <w:b/>
          <w:bCs/>
          <w:sz w:val="22"/>
          <w:szCs w:val="22"/>
        </w:rPr>
        <w:t>ASSESSMENT OF OVERALL CONSTRAINTS BASED ON THE CONSTRAINT SEVERITY INDEX (CSI)</w:t>
      </w:r>
    </w:p>
    <w:p w14:paraId="784BD837" w14:textId="77777777" w:rsidR="00471FE5" w:rsidRDefault="00471FE5" w:rsidP="003F5B1C">
      <w:pPr>
        <w:jc w:val="both"/>
        <w:rPr>
          <w:b/>
          <w:bCs/>
        </w:rPr>
      </w:pPr>
    </w:p>
    <w:p w14:paraId="7E0DD2EF" w14:textId="3AA3FDBE" w:rsidR="00EA5923" w:rsidRPr="00EA5923" w:rsidRDefault="00EA5923" w:rsidP="00EA5923">
      <w:pPr>
        <w:jc w:val="both"/>
        <w:rPr>
          <w:lang w:val="en-IN"/>
        </w:rPr>
      </w:pPr>
      <w:r w:rsidRPr="00EA5923">
        <w:rPr>
          <w:lang w:val="en-IN"/>
        </w:rPr>
        <w:t>To provide a clear and concise comparison of the overall severity of different categories of constraints, the mean Constraint Severity Index (CSI) values are presented using a dot plot</w:t>
      </w:r>
      <w:r>
        <w:rPr>
          <w:lang w:val="en-IN"/>
        </w:rPr>
        <w:t xml:space="preserve"> in Figure 2. </w:t>
      </w:r>
      <w:r w:rsidRPr="00EA5923">
        <w:t>The dot plot illustrates the relative severity of constraint categories based on their mean CSI values. The results indicate that resource constraints are the most severe, followed by technical and economic constraints. The visual representation highlights the marginal differences among categories while clearly emphasizing the dominance of resource-related constraints in off-season cabbage cultivation. The use of a dot plot enables precise comparison and improves interpretability by avoiding visual clutter associated with conventional bar charts.</w:t>
      </w:r>
    </w:p>
    <w:p w14:paraId="316B929D" w14:textId="77777777" w:rsidR="00FC6B93" w:rsidRPr="00EA5923" w:rsidRDefault="00FC6B93" w:rsidP="003F5B1C">
      <w:pPr>
        <w:jc w:val="both"/>
      </w:pPr>
    </w:p>
    <w:p w14:paraId="022A38F8" w14:textId="77777777" w:rsidR="00FC6B93" w:rsidRDefault="00FC6B93" w:rsidP="003F5B1C">
      <w:pPr>
        <w:jc w:val="both"/>
        <w:rPr>
          <w:b/>
          <w:bCs/>
        </w:rPr>
      </w:pPr>
    </w:p>
    <w:p w14:paraId="06DA12C1" w14:textId="7264D7C1" w:rsidR="00FC6B93" w:rsidRDefault="00EA5923" w:rsidP="003F5B1C">
      <w:pPr>
        <w:jc w:val="both"/>
        <w:rPr>
          <w:b/>
          <w:bCs/>
        </w:rPr>
      </w:pPr>
      <w:r>
        <w:rPr>
          <w:noProof/>
        </w:rPr>
        <w:lastRenderedPageBreak/>
        <w:drawing>
          <wp:inline distT="0" distB="0" distL="0" distR="0" wp14:anchorId="54588784" wp14:editId="4F7775CC">
            <wp:extent cx="5212080" cy="3975100"/>
            <wp:effectExtent l="0" t="0" r="7620" b="6350"/>
            <wp:docPr id="8742224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3975100"/>
                    </a:xfrm>
                    <a:prstGeom prst="rect">
                      <a:avLst/>
                    </a:prstGeom>
                    <a:noFill/>
                    <a:ln>
                      <a:noFill/>
                    </a:ln>
                  </pic:spPr>
                </pic:pic>
              </a:graphicData>
            </a:graphic>
          </wp:inline>
        </w:drawing>
      </w:r>
    </w:p>
    <w:p w14:paraId="777D9F15" w14:textId="6E848371" w:rsidR="00FC6B93" w:rsidRDefault="00EA5923" w:rsidP="00EA5923">
      <w:pPr>
        <w:jc w:val="center"/>
        <w:rPr>
          <w:b/>
          <w:bCs/>
        </w:rPr>
      </w:pPr>
      <w:r>
        <w:rPr>
          <w:b/>
          <w:bCs/>
        </w:rPr>
        <w:t>Figure 2- Graphical Illustration of Categorical CSI Values</w:t>
      </w:r>
    </w:p>
    <w:p w14:paraId="4038C3AF" w14:textId="77777777" w:rsidR="00EA5923" w:rsidRDefault="00EA5923" w:rsidP="00EA5923">
      <w:pPr>
        <w:jc w:val="center"/>
        <w:rPr>
          <w:b/>
          <w:bCs/>
        </w:rPr>
      </w:pPr>
    </w:p>
    <w:p w14:paraId="18215C3E" w14:textId="77777777" w:rsidR="00EA5923" w:rsidRDefault="00EA5923" w:rsidP="00EA5923">
      <w:pPr>
        <w:jc w:val="center"/>
        <w:rPr>
          <w:b/>
          <w:bCs/>
        </w:rPr>
      </w:pPr>
    </w:p>
    <w:p w14:paraId="70C3A6AA" w14:textId="77777777" w:rsidR="00EA5923" w:rsidRDefault="00EA5923" w:rsidP="00EA5923">
      <w:pPr>
        <w:jc w:val="center"/>
        <w:rPr>
          <w:b/>
          <w:bCs/>
        </w:rPr>
      </w:pPr>
    </w:p>
    <w:p w14:paraId="123928B8" w14:textId="77777777" w:rsidR="00EA5923" w:rsidRPr="00AE3DB7" w:rsidRDefault="00EA5923" w:rsidP="00EA5923">
      <w:pPr>
        <w:jc w:val="both"/>
        <w:rPr>
          <w:rFonts w:ascii="Arial" w:hAnsi="Arial" w:cs="Arial"/>
          <w:b/>
          <w:bCs/>
          <w:sz w:val="22"/>
          <w:szCs w:val="22"/>
        </w:rPr>
      </w:pPr>
      <w:r w:rsidRPr="00AE3DB7">
        <w:rPr>
          <w:rFonts w:ascii="Arial" w:hAnsi="Arial" w:cs="Arial"/>
          <w:b/>
          <w:bCs/>
          <w:sz w:val="22"/>
          <w:szCs w:val="22"/>
        </w:rPr>
        <w:t>TABLE 7 OVERALL CONSTRAINTS ANLAYZED USING CONSTRAINTS ANALYSIS METHOD</w:t>
      </w:r>
    </w:p>
    <w:p w14:paraId="0ED5B0B1" w14:textId="77777777" w:rsidR="00FC6B93" w:rsidRDefault="00FC6B93" w:rsidP="003F5B1C">
      <w:pPr>
        <w:jc w:val="both"/>
        <w:rPr>
          <w:b/>
          <w:bCs/>
        </w:rPr>
      </w:pPr>
    </w:p>
    <w:p w14:paraId="0349EC76" w14:textId="77777777" w:rsidR="00FC6B93" w:rsidRPr="001660CE" w:rsidRDefault="00FC6B93" w:rsidP="003F5B1C">
      <w:pPr>
        <w:jc w:val="both"/>
        <w:rPr>
          <w:b/>
          <w:bCs/>
        </w:rPr>
      </w:pPr>
    </w:p>
    <w:tbl>
      <w:tblPr>
        <w:tblStyle w:val="TableGrid"/>
        <w:tblW w:w="0" w:type="auto"/>
        <w:tblLook w:val="04A0" w:firstRow="1" w:lastRow="0" w:firstColumn="1" w:lastColumn="0" w:noHBand="0" w:noVBand="1"/>
      </w:tblPr>
      <w:tblGrid>
        <w:gridCol w:w="2691"/>
        <w:gridCol w:w="2765"/>
        <w:gridCol w:w="2742"/>
      </w:tblGrid>
      <w:tr w:rsidR="00920306" w:rsidRPr="006148C9" w14:paraId="6E04A49F" w14:textId="77777777" w:rsidTr="007E672F">
        <w:tc>
          <w:tcPr>
            <w:tcW w:w="2952" w:type="dxa"/>
          </w:tcPr>
          <w:p w14:paraId="7D7317DC" w14:textId="77777777" w:rsidR="00920306" w:rsidRPr="00B37D7E" w:rsidRDefault="00920306" w:rsidP="003F5B1C">
            <w:pPr>
              <w:jc w:val="both"/>
              <w:rPr>
                <w:rFonts w:ascii="Arial" w:hAnsi="Arial" w:cs="Arial"/>
                <w:b/>
                <w:bCs/>
                <w:sz w:val="20"/>
                <w:szCs w:val="20"/>
              </w:rPr>
            </w:pPr>
            <w:r w:rsidRPr="00B37D7E">
              <w:rPr>
                <w:rFonts w:ascii="Arial" w:hAnsi="Arial" w:cs="Arial"/>
                <w:b/>
                <w:bCs/>
                <w:sz w:val="20"/>
                <w:szCs w:val="20"/>
              </w:rPr>
              <w:t>S. No.</w:t>
            </w:r>
          </w:p>
        </w:tc>
        <w:tc>
          <w:tcPr>
            <w:tcW w:w="2952" w:type="dxa"/>
          </w:tcPr>
          <w:p w14:paraId="43675B84" w14:textId="77777777" w:rsidR="00920306" w:rsidRPr="00B37D7E" w:rsidRDefault="00920306" w:rsidP="003F5B1C">
            <w:pPr>
              <w:jc w:val="both"/>
              <w:rPr>
                <w:rFonts w:ascii="Arial" w:hAnsi="Arial" w:cs="Arial"/>
                <w:b/>
                <w:bCs/>
                <w:sz w:val="20"/>
                <w:szCs w:val="20"/>
              </w:rPr>
            </w:pPr>
            <w:r w:rsidRPr="00B37D7E">
              <w:rPr>
                <w:rFonts w:ascii="Arial" w:hAnsi="Arial" w:cs="Arial"/>
                <w:b/>
                <w:bCs/>
                <w:sz w:val="20"/>
                <w:szCs w:val="20"/>
              </w:rPr>
              <w:t>Constraint Category</w:t>
            </w:r>
          </w:p>
        </w:tc>
        <w:tc>
          <w:tcPr>
            <w:tcW w:w="2952" w:type="dxa"/>
          </w:tcPr>
          <w:p w14:paraId="6F2EB5E2" w14:textId="61DE1B3B" w:rsidR="00920306" w:rsidRPr="00B37D7E" w:rsidRDefault="00920306" w:rsidP="003F5B1C">
            <w:pPr>
              <w:jc w:val="both"/>
              <w:rPr>
                <w:rFonts w:ascii="Arial" w:hAnsi="Arial" w:cs="Arial"/>
                <w:b/>
                <w:bCs/>
                <w:sz w:val="20"/>
                <w:szCs w:val="20"/>
              </w:rPr>
            </w:pPr>
            <w:r w:rsidRPr="00B37D7E">
              <w:rPr>
                <w:rFonts w:ascii="Arial" w:hAnsi="Arial" w:cs="Arial"/>
                <w:b/>
                <w:bCs/>
                <w:sz w:val="20"/>
                <w:szCs w:val="20"/>
              </w:rPr>
              <w:t>Average C</w:t>
            </w:r>
            <w:r w:rsidR="00A16063">
              <w:rPr>
                <w:rFonts w:ascii="Arial" w:hAnsi="Arial" w:cs="Arial"/>
                <w:b/>
                <w:bCs/>
                <w:sz w:val="20"/>
                <w:szCs w:val="20"/>
              </w:rPr>
              <w:t>S</w:t>
            </w:r>
            <w:r w:rsidRPr="00B37D7E">
              <w:rPr>
                <w:rFonts w:ascii="Arial" w:hAnsi="Arial" w:cs="Arial"/>
                <w:b/>
                <w:bCs/>
                <w:sz w:val="20"/>
                <w:szCs w:val="20"/>
              </w:rPr>
              <w:t>I</w:t>
            </w:r>
          </w:p>
        </w:tc>
      </w:tr>
      <w:tr w:rsidR="00920306" w:rsidRPr="006148C9" w14:paraId="7A6D84DF" w14:textId="77777777" w:rsidTr="007E672F">
        <w:tc>
          <w:tcPr>
            <w:tcW w:w="2952" w:type="dxa"/>
          </w:tcPr>
          <w:p w14:paraId="432C5BFA" w14:textId="77777777" w:rsidR="00920306" w:rsidRPr="00B37D7E" w:rsidRDefault="00920306" w:rsidP="003F5B1C">
            <w:pPr>
              <w:jc w:val="both"/>
              <w:rPr>
                <w:rFonts w:ascii="Arial" w:hAnsi="Arial" w:cs="Arial"/>
                <w:b/>
                <w:bCs/>
                <w:sz w:val="20"/>
                <w:szCs w:val="20"/>
              </w:rPr>
            </w:pPr>
            <w:r w:rsidRPr="00B37D7E">
              <w:rPr>
                <w:rFonts w:ascii="Arial" w:hAnsi="Arial" w:cs="Arial"/>
                <w:b/>
                <w:bCs/>
                <w:sz w:val="20"/>
                <w:szCs w:val="20"/>
              </w:rPr>
              <w:t>1</w:t>
            </w:r>
          </w:p>
        </w:tc>
        <w:tc>
          <w:tcPr>
            <w:tcW w:w="2952" w:type="dxa"/>
          </w:tcPr>
          <w:p w14:paraId="17D1552C" w14:textId="77777777" w:rsidR="00920306" w:rsidRPr="00B37D7E" w:rsidRDefault="00920306" w:rsidP="003F5B1C">
            <w:pPr>
              <w:jc w:val="both"/>
              <w:rPr>
                <w:rFonts w:ascii="Arial" w:hAnsi="Arial" w:cs="Arial"/>
                <w:b/>
                <w:bCs/>
                <w:sz w:val="20"/>
                <w:szCs w:val="20"/>
              </w:rPr>
            </w:pPr>
            <w:r w:rsidRPr="00B37D7E">
              <w:rPr>
                <w:rFonts w:ascii="Arial" w:hAnsi="Arial" w:cs="Arial"/>
                <w:b/>
                <w:bCs/>
                <w:sz w:val="20"/>
                <w:szCs w:val="20"/>
              </w:rPr>
              <w:t>Economic</w:t>
            </w:r>
          </w:p>
        </w:tc>
        <w:tc>
          <w:tcPr>
            <w:tcW w:w="2952" w:type="dxa"/>
          </w:tcPr>
          <w:p w14:paraId="54BD3A2C" w14:textId="77777777" w:rsidR="00920306" w:rsidRPr="00B37D7E" w:rsidRDefault="00920306" w:rsidP="003F5B1C">
            <w:pPr>
              <w:jc w:val="both"/>
              <w:rPr>
                <w:rFonts w:ascii="Arial" w:hAnsi="Arial" w:cs="Arial"/>
                <w:b/>
                <w:bCs/>
                <w:sz w:val="20"/>
                <w:szCs w:val="20"/>
              </w:rPr>
            </w:pPr>
            <w:r w:rsidRPr="00B37D7E">
              <w:rPr>
                <w:rFonts w:ascii="Arial" w:hAnsi="Arial" w:cs="Arial"/>
                <w:b/>
                <w:bCs/>
                <w:sz w:val="20"/>
                <w:szCs w:val="20"/>
              </w:rPr>
              <w:t>0.91</w:t>
            </w:r>
          </w:p>
        </w:tc>
      </w:tr>
      <w:tr w:rsidR="00920306" w:rsidRPr="006148C9" w14:paraId="2C729A21" w14:textId="77777777" w:rsidTr="007E672F">
        <w:tc>
          <w:tcPr>
            <w:tcW w:w="2952" w:type="dxa"/>
          </w:tcPr>
          <w:p w14:paraId="568F4583" w14:textId="77777777" w:rsidR="00920306" w:rsidRPr="00B37D7E" w:rsidRDefault="00920306" w:rsidP="003F5B1C">
            <w:pPr>
              <w:jc w:val="both"/>
              <w:rPr>
                <w:rFonts w:ascii="Arial" w:hAnsi="Arial" w:cs="Arial"/>
                <w:b/>
                <w:bCs/>
                <w:sz w:val="20"/>
                <w:szCs w:val="20"/>
              </w:rPr>
            </w:pPr>
            <w:r w:rsidRPr="00B37D7E">
              <w:rPr>
                <w:rFonts w:ascii="Arial" w:hAnsi="Arial" w:cs="Arial"/>
                <w:b/>
                <w:bCs/>
                <w:sz w:val="20"/>
                <w:szCs w:val="20"/>
              </w:rPr>
              <w:t>2</w:t>
            </w:r>
          </w:p>
        </w:tc>
        <w:tc>
          <w:tcPr>
            <w:tcW w:w="2952" w:type="dxa"/>
          </w:tcPr>
          <w:p w14:paraId="516A9F03" w14:textId="77777777" w:rsidR="00920306" w:rsidRPr="00B37D7E" w:rsidRDefault="00920306" w:rsidP="003F5B1C">
            <w:pPr>
              <w:jc w:val="both"/>
              <w:rPr>
                <w:rFonts w:ascii="Arial" w:hAnsi="Arial" w:cs="Arial"/>
                <w:b/>
                <w:bCs/>
                <w:sz w:val="20"/>
                <w:szCs w:val="20"/>
              </w:rPr>
            </w:pPr>
            <w:r w:rsidRPr="00B37D7E">
              <w:rPr>
                <w:rFonts w:ascii="Arial" w:hAnsi="Arial" w:cs="Arial"/>
                <w:b/>
                <w:bCs/>
                <w:sz w:val="20"/>
                <w:szCs w:val="20"/>
              </w:rPr>
              <w:t>Resource</w:t>
            </w:r>
          </w:p>
        </w:tc>
        <w:tc>
          <w:tcPr>
            <w:tcW w:w="2952" w:type="dxa"/>
          </w:tcPr>
          <w:p w14:paraId="02630990" w14:textId="77777777" w:rsidR="00920306" w:rsidRPr="00B37D7E" w:rsidRDefault="00920306" w:rsidP="003F5B1C">
            <w:pPr>
              <w:jc w:val="both"/>
              <w:rPr>
                <w:rFonts w:ascii="Arial" w:hAnsi="Arial" w:cs="Arial"/>
                <w:b/>
                <w:bCs/>
                <w:sz w:val="20"/>
                <w:szCs w:val="20"/>
              </w:rPr>
            </w:pPr>
            <w:r w:rsidRPr="00B37D7E">
              <w:rPr>
                <w:rFonts w:ascii="Arial" w:hAnsi="Arial" w:cs="Arial"/>
                <w:b/>
                <w:bCs/>
                <w:sz w:val="20"/>
                <w:szCs w:val="20"/>
              </w:rPr>
              <w:t>0.96</w:t>
            </w:r>
          </w:p>
        </w:tc>
      </w:tr>
      <w:tr w:rsidR="00920306" w:rsidRPr="006148C9" w14:paraId="490541CD" w14:textId="77777777" w:rsidTr="007E672F">
        <w:tc>
          <w:tcPr>
            <w:tcW w:w="2952" w:type="dxa"/>
          </w:tcPr>
          <w:p w14:paraId="438F9C09" w14:textId="77777777" w:rsidR="00920306" w:rsidRPr="00B37D7E" w:rsidRDefault="00920306" w:rsidP="003F5B1C">
            <w:pPr>
              <w:jc w:val="both"/>
              <w:rPr>
                <w:rFonts w:ascii="Arial" w:hAnsi="Arial" w:cs="Arial"/>
                <w:b/>
                <w:bCs/>
                <w:sz w:val="20"/>
                <w:szCs w:val="20"/>
              </w:rPr>
            </w:pPr>
            <w:r w:rsidRPr="00B37D7E">
              <w:rPr>
                <w:rFonts w:ascii="Arial" w:hAnsi="Arial" w:cs="Arial"/>
                <w:b/>
                <w:bCs/>
                <w:sz w:val="20"/>
                <w:szCs w:val="20"/>
              </w:rPr>
              <w:t>3</w:t>
            </w:r>
          </w:p>
        </w:tc>
        <w:tc>
          <w:tcPr>
            <w:tcW w:w="2952" w:type="dxa"/>
          </w:tcPr>
          <w:p w14:paraId="7761F103" w14:textId="77777777" w:rsidR="00920306" w:rsidRPr="00B37D7E" w:rsidRDefault="00920306" w:rsidP="003F5B1C">
            <w:pPr>
              <w:jc w:val="both"/>
              <w:rPr>
                <w:rFonts w:ascii="Arial" w:hAnsi="Arial" w:cs="Arial"/>
                <w:b/>
                <w:bCs/>
                <w:sz w:val="20"/>
                <w:szCs w:val="20"/>
              </w:rPr>
            </w:pPr>
            <w:r w:rsidRPr="00B37D7E">
              <w:rPr>
                <w:rFonts w:ascii="Arial" w:hAnsi="Arial" w:cs="Arial"/>
                <w:b/>
                <w:bCs/>
                <w:sz w:val="20"/>
                <w:szCs w:val="20"/>
              </w:rPr>
              <w:t>Technical</w:t>
            </w:r>
          </w:p>
        </w:tc>
        <w:tc>
          <w:tcPr>
            <w:tcW w:w="2952" w:type="dxa"/>
          </w:tcPr>
          <w:p w14:paraId="036807F0" w14:textId="77777777" w:rsidR="00920306" w:rsidRPr="00B37D7E" w:rsidRDefault="00920306" w:rsidP="003F5B1C">
            <w:pPr>
              <w:jc w:val="both"/>
              <w:rPr>
                <w:rFonts w:ascii="Arial" w:hAnsi="Arial" w:cs="Arial"/>
                <w:b/>
                <w:bCs/>
                <w:sz w:val="20"/>
                <w:szCs w:val="20"/>
              </w:rPr>
            </w:pPr>
            <w:r w:rsidRPr="00B37D7E">
              <w:rPr>
                <w:rFonts w:ascii="Arial" w:hAnsi="Arial" w:cs="Arial"/>
                <w:b/>
                <w:bCs/>
                <w:sz w:val="20"/>
                <w:szCs w:val="20"/>
              </w:rPr>
              <w:t>0.93</w:t>
            </w:r>
          </w:p>
        </w:tc>
      </w:tr>
    </w:tbl>
    <w:p w14:paraId="04FAF552" w14:textId="77777777" w:rsidR="00083057" w:rsidRDefault="00083057" w:rsidP="003F5B1C">
      <w:pPr>
        <w:spacing w:after="200" w:line="276" w:lineRule="auto"/>
        <w:jc w:val="both"/>
      </w:pPr>
    </w:p>
    <w:p w14:paraId="52F285D6" w14:textId="2C8E36B3" w:rsidR="00AE69CD" w:rsidRPr="00AE69CD" w:rsidRDefault="00AE69CD" w:rsidP="00AE69CD">
      <w:pPr>
        <w:spacing w:after="200" w:line="276" w:lineRule="auto"/>
        <w:jc w:val="both"/>
        <w:rPr>
          <w:lang w:val="en-IN"/>
        </w:rPr>
      </w:pPr>
      <w:r w:rsidRPr="00AE69CD">
        <w:rPr>
          <w:lang w:val="en-IN"/>
        </w:rPr>
        <w:t>The findings indicated that economic constraints in off-season cabbage cultivation were largely driven by weak institutional support, inadequate market infrastructure, and high operational costs. Inadequate institutional support emerged as the most severe constraint, reflecting limited access to credit, extension services, and technical guidance.[</w:t>
      </w:r>
      <w:r w:rsidR="009D0894">
        <w:rPr>
          <w:lang w:val="en-IN"/>
        </w:rPr>
        <w:t>12</w:t>
      </w:r>
      <w:r w:rsidRPr="00AE69CD">
        <w:rPr>
          <w:lang w:val="en-IN"/>
        </w:rPr>
        <w:t>] Inadequate institutional support reflects limited access to credit, extension services are peculiar constraints noticed. Similarly, deficiencies in market infrastructure and high transportation costs highlighted gaps in storage facilities and market linkages, which adversely affected farmers’ profitability.[</w:t>
      </w:r>
      <w:r w:rsidR="009D0894">
        <w:rPr>
          <w:lang w:val="en-IN"/>
        </w:rPr>
        <w:t>13</w:t>
      </w:r>
      <w:r w:rsidRPr="00AE69CD">
        <w:rPr>
          <w:lang w:val="en-IN"/>
        </w:rPr>
        <w:t>] Farmers also face constraints due to inadequate technical knowledge and weak institutional support systems.[</w:t>
      </w:r>
      <w:r w:rsidR="009D0894">
        <w:rPr>
          <w:lang w:val="en-IN"/>
        </w:rPr>
        <w:t>14</w:t>
      </w:r>
      <w:r w:rsidRPr="00AE69CD">
        <w:rPr>
          <w:lang w:val="en-IN"/>
        </w:rPr>
        <w:t>] High transportation costs and inadequate market infrastructure significantly affect farmers’ access to efficient markets.[</w:t>
      </w:r>
      <w:r w:rsidR="009D0894">
        <w:rPr>
          <w:lang w:val="en-IN"/>
        </w:rPr>
        <w:t>15</w:t>
      </w:r>
      <w:r w:rsidRPr="00AE69CD">
        <w:rPr>
          <w:lang w:val="en-IN"/>
        </w:rPr>
        <w:t xml:space="preserve">] Weak market </w:t>
      </w:r>
      <w:r w:rsidRPr="00AE69CD">
        <w:rPr>
          <w:lang w:val="en-IN"/>
        </w:rPr>
        <w:lastRenderedPageBreak/>
        <w:t>linkages and inefficient marketing channels reduce farmers’ profitability.[1</w:t>
      </w:r>
      <w:r w:rsidR="009D0894">
        <w:rPr>
          <w:lang w:val="en-IN"/>
        </w:rPr>
        <w:t>6</w:t>
      </w:r>
      <w:r w:rsidRPr="00AE69CD">
        <w:rPr>
          <w:lang w:val="en-IN"/>
        </w:rPr>
        <w:t>] High commission charges and lack of organized markets further constrain farmers’ income realization.[1</w:t>
      </w:r>
      <w:r w:rsidR="009D0894">
        <w:rPr>
          <w:lang w:val="en-IN"/>
        </w:rPr>
        <w:t>7</w:t>
      </w:r>
      <w:r w:rsidRPr="00AE69CD">
        <w:rPr>
          <w:lang w:val="en-IN"/>
        </w:rPr>
        <w:t>]</w:t>
      </w:r>
      <w:r w:rsidR="002C74CA" w:rsidRPr="002C74CA">
        <w:t xml:space="preserve"> while limited access to market information and poor marketing practices act as additional barriers.</w:t>
      </w:r>
      <w:r w:rsidRPr="00AE69CD">
        <w:rPr>
          <w:lang w:val="en-IN"/>
        </w:rPr>
        <w:t xml:space="preserve"> The Constraint Index results further reinforced the dominance of these structural barriers, indicating their significant impact on production efficiency and income stability.</w:t>
      </w:r>
    </w:p>
    <w:p w14:paraId="2B42E6F0" w14:textId="1A50A8C4" w:rsidR="00790ADA" w:rsidRPr="00FB3A86" w:rsidRDefault="00790ADA" w:rsidP="003F5B1C">
      <w:pPr>
        <w:pStyle w:val="Body"/>
        <w:spacing w:after="0"/>
        <w:rPr>
          <w:rFonts w:ascii="Arial" w:hAnsi="Arial" w:cs="Arial"/>
        </w:rPr>
      </w:pPr>
    </w:p>
    <w:p w14:paraId="40A249BF" w14:textId="77777777" w:rsidR="00B01FCD" w:rsidRDefault="00000F8F" w:rsidP="003F5B1C">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CF405F2" w14:textId="77777777" w:rsidR="00790ADA" w:rsidRPr="00FB3A86" w:rsidRDefault="00790ADA" w:rsidP="003F5B1C">
      <w:pPr>
        <w:pStyle w:val="ConcHead"/>
        <w:spacing w:after="0"/>
        <w:jc w:val="both"/>
        <w:rPr>
          <w:rFonts w:ascii="Arial" w:hAnsi="Arial" w:cs="Arial"/>
        </w:rPr>
      </w:pPr>
    </w:p>
    <w:p w14:paraId="17277C78" w14:textId="77777777" w:rsidR="006661A6" w:rsidRDefault="006661A6" w:rsidP="003F5B1C">
      <w:pPr>
        <w:jc w:val="both"/>
        <w:rPr>
          <w:lang w:val="en-IN"/>
        </w:rPr>
      </w:pPr>
      <w:r w:rsidRPr="00EB07A2">
        <w:rPr>
          <w:lang w:val="en-IN"/>
        </w:rPr>
        <w:t>The findings of the study clearly indicate that farmers engaged in off-season cabbage cultivation encounter a complex set of interrelated constraints, with resource-related limitations emerging as the most severe. Among these, labour scarcity, inadequate irrigation facilities, and high incidence of pest infestation were identified as the most critical factors adversely affecting productivity and operational efficiency.</w:t>
      </w:r>
      <w:r>
        <w:rPr>
          <w:lang w:val="en-IN"/>
        </w:rPr>
        <w:t xml:space="preserve"> </w:t>
      </w:r>
      <w:r w:rsidRPr="00EB07A2">
        <w:rPr>
          <w:lang w:val="en-IN"/>
        </w:rPr>
        <w:t>In addition to production constraints, economic and institutional challenges—including limited access to formal credit, inadequate institutional support, and underdeveloped market infrastructure—were found to significantly restrict farmers’ profitability and market participation. Technical and informational gaps further compound these issues, reducing the ability of farmers to adopt improved cultivation and post-harvest practices.</w:t>
      </w:r>
      <w:r>
        <w:rPr>
          <w:lang w:val="en-IN"/>
        </w:rPr>
        <w:t xml:space="preserve"> </w:t>
      </w:r>
      <w:r w:rsidRPr="00EB07A2">
        <w:rPr>
          <w:lang w:val="en-IN"/>
        </w:rPr>
        <w:t>Overall, the study highlights that these constraints are not isolated but structurally interconnected, thereby necessitating a comprehensive and integrated approach for effective resolution. Addressing these challenges is essential for improving both the productivity and sustainability of off-season cabbage cultivation in the region.</w:t>
      </w:r>
    </w:p>
    <w:p w14:paraId="2A8C4275" w14:textId="77777777" w:rsidR="006661A6" w:rsidRDefault="006661A6" w:rsidP="003F5B1C">
      <w:pPr>
        <w:jc w:val="both"/>
        <w:rPr>
          <w:lang w:val="en-IN"/>
        </w:rPr>
      </w:pPr>
    </w:p>
    <w:p w14:paraId="24776895" w14:textId="77777777" w:rsidR="006661A6" w:rsidRPr="00083057" w:rsidRDefault="006661A6" w:rsidP="003F5B1C">
      <w:pPr>
        <w:jc w:val="both"/>
        <w:rPr>
          <w:sz w:val="22"/>
          <w:szCs w:val="22"/>
          <w:lang w:val="en-IN"/>
        </w:rPr>
      </w:pPr>
    </w:p>
    <w:p w14:paraId="6E55BB3B" w14:textId="774DCA6C" w:rsidR="006661A6" w:rsidRPr="00083057" w:rsidRDefault="006661A6" w:rsidP="003F5B1C">
      <w:pPr>
        <w:jc w:val="both"/>
        <w:rPr>
          <w:b/>
          <w:bCs/>
          <w:sz w:val="22"/>
          <w:szCs w:val="22"/>
        </w:rPr>
      </w:pPr>
      <w:r w:rsidRPr="00083057">
        <w:rPr>
          <w:b/>
          <w:bCs/>
          <w:sz w:val="22"/>
          <w:szCs w:val="22"/>
        </w:rPr>
        <w:t>5. RECOMMENDATION</w:t>
      </w:r>
    </w:p>
    <w:p w14:paraId="7D3D7C2C" w14:textId="77777777" w:rsidR="006661A6" w:rsidRDefault="006661A6" w:rsidP="003F5B1C">
      <w:pPr>
        <w:jc w:val="both"/>
        <w:rPr>
          <w:b/>
          <w:bCs/>
        </w:rPr>
      </w:pPr>
    </w:p>
    <w:p w14:paraId="321DB9CD" w14:textId="38D0454E" w:rsidR="00FE74A6" w:rsidRDefault="00FE74A6" w:rsidP="003F5B1C">
      <w:pPr>
        <w:jc w:val="both"/>
      </w:pPr>
      <w:r w:rsidRPr="00FE74A6">
        <w:t>The study suggests that improving the viability of off-season cabbage cultivation requires a comprehensive and coordinated approach addressing institutional, infrastructural, resource, and technical constraints. Strengthening institutional support through improved access to timely credit, effective extension services, and technical guidance is essential to enhance farmers’ decision-making and adoption of improved practices. Simultaneously, the development of rural market infrastructure, including cold storage, grading, and organized marketing systems, is crucial to reduce post-harvest losses and improve price realization. Efforts should also focus on reducing transportation and transaction costs by promoting better rural connectivity and collective marketing through farmer organizations. Ensuring the timely availability and affordability of quality inputs such as seeds and fertilizers, along with promoting micro-irrigation and farm mechanization, can help overcome resource-related limitations. Furthermore, strengthening pest and disease management through integrated approaches, improving storage and post-harvest handling practices, and enhancing access to reliable market intelligence systems will support efficient production and marketing decisions. Finally, appropriate policy measures, including price stabilization mechanisms and risk management tools, are necessary to protect farmers from market uncertainties and ensure sustainable income generation.</w:t>
      </w:r>
    </w:p>
    <w:p w14:paraId="0532E250" w14:textId="77777777" w:rsidR="00AA78DE" w:rsidRDefault="00AA78DE" w:rsidP="003F5B1C">
      <w:pPr>
        <w:jc w:val="both"/>
      </w:pPr>
    </w:p>
    <w:p w14:paraId="61575E2F" w14:textId="77777777" w:rsidR="00AA78DE" w:rsidRDefault="00AA78DE" w:rsidP="003F5B1C">
      <w:pPr>
        <w:jc w:val="both"/>
      </w:pPr>
    </w:p>
    <w:p w14:paraId="7523C5F8" w14:textId="2E6ADCB8" w:rsidR="00AA78DE" w:rsidRDefault="00AA78DE" w:rsidP="003F5B1C">
      <w:pPr>
        <w:jc w:val="both"/>
        <w:rPr>
          <w:b/>
          <w:bCs/>
        </w:rPr>
      </w:pPr>
      <w:r w:rsidRPr="00AA78DE">
        <w:rPr>
          <w:b/>
          <w:bCs/>
        </w:rPr>
        <w:t>6. LIMITATIONS</w:t>
      </w:r>
    </w:p>
    <w:p w14:paraId="39A9A9DA" w14:textId="77777777" w:rsidR="00AA78DE" w:rsidRDefault="00AA78DE" w:rsidP="003F5B1C">
      <w:pPr>
        <w:jc w:val="both"/>
        <w:rPr>
          <w:b/>
          <w:bCs/>
        </w:rPr>
      </w:pPr>
    </w:p>
    <w:p w14:paraId="6F42F082" w14:textId="77777777" w:rsidR="00AA78DE" w:rsidRDefault="00AA78DE" w:rsidP="003F5B1C">
      <w:pPr>
        <w:jc w:val="both"/>
        <w:rPr>
          <w:b/>
          <w:bCs/>
        </w:rPr>
      </w:pPr>
    </w:p>
    <w:p w14:paraId="1C890821" w14:textId="35D30D09" w:rsidR="00AA78DE" w:rsidRPr="00AA78DE" w:rsidRDefault="00AA78DE" w:rsidP="003F5B1C">
      <w:pPr>
        <w:jc w:val="both"/>
      </w:pPr>
      <w:r w:rsidRPr="00AA78DE">
        <w:t xml:space="preserve">The study is confined to a specific geographical area of Senapati district with a limited sample size (n = 80), which may restrict the generalizability of the findings. The analysis is based on cross-sectional data for the period 2022–23 and relies on farmers’ perceptions, which may be </w:t>
      </w:r>
      <w:r w:rsidRPr="00AA78DE">
        <w:lastRenderedPageBreak/>
        <w:t>subject to recall bias. Furthermore, the use of ranking and index-based approaches captures the relative severity of constraints but does not quantify their direct economic impact. Future research could extend this analysis by incorporating larger and more diverse samples across regions, along with longitudinal data to capture temporal variations in constraints. Integrating econometric approaches to quantify the impact of identified constraints on productivity and income would provide deeper policy insights, while value chain and market integration analyses could further strengthen understanding of structural bottlenecks in off-season vegetable cultivation.</w:t>
      </w:r>
    </w:p>
    <w:p w14:paraId="52B19633" w14:textId="5AA57624" w:rsidR="009167A7" w:rsidRDefault="009167A7" w:rsidP="003F5B1C">
      <w:pPr>
        <w:pStyle w:val="ReferHead"/>
        <w:spacing w:after="0"/>
        <w:jc w:val="both"/>
        <w:rPr>
          <w:rFonts w:ascii="Arial" w:hAnsi="Arial" w:cs="Arial"/>
          <w:b w:val="0"/>
          <w:caps w:val="0"/>
          <w:sz w:val="20"/>
        </w:rPr>
      </w:pPr>
    </w:p>
    <w:p w14:paraId="18B2290F" w14:textId="77777777" w:rsidR="00137766" w:rsidRDefault="00137766" w:rsidP="003F5B1C">
      <w:pPr>
        <w:pStyle w:val="ReferHead"/>
        <w:spacing w:after="0"/>
        <w:jc w:val="both"/>
        <w:rPr>
          <w:rFonts w:ascii="Arial" w:hAnsi="Arial" w:cs="Arial"/>
          <w:b w:val="0"/>
          <w:caps w:val="0"/>
          <w:sz w:val="20"/>
        </w:rPr>
      </w:pPr>
    </w:p>
    <w:p w14:paraId="70BAE4D1" w14:textId="77777777" w:rsidR="009167A7" w:rsidRDefault="009167A7" w:rsidP="003F5B1C">
      <w:pPr>
        <w:pStyle w:val="ReferHead"/>
        <w:spacing w:after="0"/>
        <w:jc w:val="both"/>
        <w:rPr>
          <w:rFonts w:ascii="Arial" w:hAnsi="Arial" w:cs="Arial"/>
          <w:b w:val="0"/>
          <w:caps w:val="0"/>
          <w:sz w:val="20"/>
        </w:rPr>
      </w:pPr>
    </w:p>
    <w:p w14:paraId="099F30FF" w14:textId="77777777" w:rsidR="009167A7" w:rsidRPr="009167A7" w:rsidRDefault="009167A7" w:rsidP="009167A7">
      <w:pPr>
        <w:spacing w:after="200" w:line="276" w:lineRule="auto"/>
        <w:rPr>
          <w:rFonts w:ascii="Arial" w:eastAsiaTheme="minorEastAsia" w:hAnsi="Arial" w:cs="Arial"/>
          <w:b/>
          <w:bCs/>
          <w:sz w:val="22"/>
          <w:szCs w:val="22"/>
          <w:lang w:val="en-GB" w:eastAsia="en-GB"/>
        </w:rPr>
      </w:pPr>
      <w:r w:rsidRPr="009167A7">
        <w:rPr>
          <w:rFonts w:ascii="Arial" w:eastAsiaTheme="minorEastAsia" w:hAnsi="Arial" w:cs="Arial"/>
          <w:b/>
          <w:bCs/>
          <w:sz w:val="22"/>
          <w:szCs w:val="22"/>
          <w:lang w:val="en-GB" w:eastAsia="en-GB"/>
        </w:rPr>
        <w:t>COMPETING INTERESTS DISCLAIMER:</w:t>
      </w:r>
    </w:p>
    <w:p w14:paraId="3B276EB8" w14:textId="77777777" w:rsidR="009167A7" w:rsidRPr="009167A7" w:rsidRDefault="009167A7" w:rsidP="009167A7">
      <w:pPr>
        <w:spacing w:after="200" w:line="276" w:lineRule="auto"/>
        <w:rPr>
          <w:rFonts w:asciiTheme="minorHAnsi" w:eastAsiaTheme="minorEastAsia" w:hAnsiTheme="minorHAnsi" w:cstheme="minorBidi"/>
          <w:sz w:val="22"/>
          <w:szCs w:val="22"/>
          <w:lang w:val="en-GB" w:eastAsia="en-GB"/>
        </w:rPr>
      </w:pPr>
      <w:r w:rsidRPr="009167A7">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4B107F6" w14:textId="77777777" w:rsidR="009167A7" w:rsidRDefault="009167A7" w:rsidP="003F5B1C">
      <w:pPr>
        <w:pStyle w:val="ReferHead"/>
        <w:spacing w:after="0"/>
        <w:jc w:val="both"/>
        <w:rPr>
          <w:rFonts w:ascii="Arial" w:hAnsi="Arial" w:cs="Arial"/>
          <w:b w:val="0"/>
          <w:caps w:val="0"/>
          <w:sz w:val="20"/>
        </w:rPr>
      </w:pPr>
    </w:p>
    <w:p w14:paraId="672B22D8" w14:textId="77777777" w:rsidR="006661A6" w:rsidRDefault="006661A6" w:rsidP="003F5B1C">
      <w:pPr>
        <w:pStyle w:val="ReferHead"/>
        <w:spacing w:after="0"/>
        <w:jc w:val="both"/>
        <w:rPr>
          <w:rFonts w:ascii="Arial" w:hAnsi="Arial" w:cs="Arial"/>
          <w:b w:val="0"/>
          <w:caps w:val="0"/>
          <w:sz w:val="20"/>
        </w:rPr>
      </w:pPr>
    </w:p>
    <w:p w14:paraId="347E16AF" w14:textId="77777777" w:rsidR="008D1790" w:rsidRPr="00005ED1" w:rsidRDefault="008D1790" w:rsidP="008D1790">
      <w:pPr>
        <w:pStyle w:val="NoSpacing"/>
        <w:rPr>
          <w:rFonts w:ascii="Arial" w:hAnsi="Arial" w:cs="Arial"/>
          <w:highlight w:val="yellow"/>
        </w:rPr>
      </w:pPr>
      <w:bookmarkStart w:id="0" w:name="_Hlk219284361"/>
      <w:bookmarkStart w:id="1" w:name="_Hlk225937769"/>
      <w:bookmarkStart w:id="2" w:name="_Hlk198031404"/>
      <w:r w:rsidRPr="00005ED1">
        <w:rPr>
          <w:rFonts w:ascii="Arial" w:hAnsi="Arial" w:cs="Arial"/>
          <w:highlight w:val="yellow"/>
        </w:rPr>
        <w:t>Disclaimer (Artificial intelligence)</w:t>
      </w:r>
    </w:p>
    <w:p w14:paraId="64390340" w14:textId="77777777" w:rsidR="008D1790" w:rsidRPr="00005ED1" w:rsidRDefault="008D1790" w:rsidP="008D1790">
      <w:pPr>
        <w:pStyle w:val="NoSpacing"/>
        <w:rPr>
          <w:rFonts w:ascii="Arial" w:hAnsi="Arial" w:cs="Arial"/>
          <w:highlight w:val="yellow"/>
        </w:rPr>
      </w:pPr>
    </w:p>
    <w:p w14:paraId="7A3E999E" w14:textId="77777777" w:rsidR="008D1790" w:rsidRPr="00005ED1" w:rsidRDefault="008D1790" w:rsidP="008D179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0"/>
      <w:r w:rsidRPr="00005ED1">
        <w:rPr>
          <w:rFonts w:ascii="Arial" w:hAnsi="Arial" w:cs="Arial"/>
          <w:highlight w:val="yellow"/>
        </w:rPr>
        <w:t xml:space="preserve">. </w:t>
      </w:r>
      <w:bookmarkEnd w:id="1"/>
    </w:p>
    <w:bookmarkEnd w:id="2"/>
    <w:p w14:paraId="01594A05" w14:textId="77777777" w:rsidR="00CD6856" w:rsidRDefault="00CD6856" w:rsidP="003F5B1C">
      <w:pPr>
        <w:pStyle w:val="ReferHead"/>
        <w:spacing w:after="0"/>
        <w:jc w:val="both"/>
        <w:rPr>
          <w:rFonts w:ascii="Arial" w:hAnsi="Arial" w:cs="Arial"/>
          <w:b w:val="0"/>
          <w:caps w:val="0"/>
          <w:sz w:val="20"/>
        </w:rPr>
      </w:pPr>
    </w:p>
    <w:p w14:paraId="5A74865F" w14:textId="38351718" w:rsidR="00456238" w:rsidRDefault="00B01FCD" w:rsidP="003F5B1C">
      <w:pPr>
        <w:pStyle w:val="ReferHead"/>
        <w:spacing w:after="0"/>
        <w:jc w:val="both"/>
        <w:rPr>
          <w:rFonts w:ascii="Arial" w:hAnsi="Arial" w:cs="Arial"/>
        </w:rPr>
      </w:pPr>
      <w:r w:rsidRPr="00FB3A86">
        <w:rPr>
          <w:rFonts w:ascii="Arial" w:hAnsi="Arial" w:cs="Arial"/>
        </w:rPr>
        <w:t>References</w:t>
      </w:r>
    </w:p>
    <w:p w14:paraId="74D310C8" w14:textId="77777777" w:rsidR="00456238" w:rsidRDefault="00456238" w:rsidP="003F5B1C">
      <w:pPr>
        <w:pStyle w:val="Body"/>
        <w:spacing w:after="0"/>
        <w:rPr>
          <w:rFonts w:ascii="Arial" w:hAnsi="Arial" w:cs="Arial"/>
        </w:rPr>
      </w:pPr>
    </w:p>
    <w:p w14:paraId="314BD4D0" w14:textId="0CB40DC5" w:rsidR="00456238" w:rsidRPr="00AE69CD" w:rsidRDefault="00456238" w:rsidP="00CE1B9F">
      <w:pPr>
        <w:pStyle w:val="ListParagraph"/>
        <w:numPr>
          <w:ilvl w:val="0"/>
          <w:numId w:val="31"/>
        </w:numPr>
        <w:jc w:val="both"/>
        <w:rPr>
          <w:lang w:val="en-IN"/>
        </w:rPr>
      </w:pPr>
      <w:r w:rsidRPr="00456238">
        <w:rPr>
          <w:lang w:val="en-IN"/>
        </w:rPr>
        <w:t>Government of India. (2023). Agricultural Statistics at a Glance 2023. Ministry of Agriculture &amp; Farmers Welfare, New Delhi.</w:t>
      </w:r>
    </w:p>
    <w:p w14:paraId="5E2D8E5D" w14:textId="726CFC27" w:rsidR="00456238" w:rsidRPr="00AE69CD" w:rsidRDefault="00456238" w:rsidP="00CE1B9F">
      <w:pPr>
        <w:pStyle w:val="ListParagraph"/>
        <w:numPr>
          <w:ilvl w:val="0"/>
          <w:numId w:val="31"/>
        </w:numPr>
        <w:jc w:val="both"/>
        <w:rPr>
          <w:lang w:val="en-IN"/>
        </w:rPr>
      </w:pPr>
      <w:r w:rsidRPr="00456238">
        <w:rPr>
          <w:lang w:val="en-IN"/>
        </w:rPr>
        <w:t>National Horticulture Board. (2022). Horticultural Statistics at a Glance 2022. Ministry of Agriculture &amp; Farmers Welfare.</w:t>
      </w:r>
    </w:p>
    <w:p w14:paraId="507E952C" w14:textId="560F7177" w:rsidR="00456238" w:rsidRPr="00AE69CD" w:rsidRDefault="00456238" w:rsidP="00CE1B9F">
      <w:pPr>
        <w:pStyle w:val="ListParagraph"/>
        <w:numPr>
          <w:ilvl w:val="0"/>
          <w:numId w:val="31"/>
        </w:numPr>
        <w:jc w:val="both"/>
        <w:rPr>
          <w:lang w:val="en-IN"/>
        </w:rPr>
      </w:pPr>
      <w:r w:rsidRPr="00456238">
        <w:rPr>
          <w:lang w:val="en-IN"/>
        </w:rPr>
        <w:t xml:space="preserve"> Food and Agriculture Organization (FAO). (2022). The State of Food and Agriculture 2022. FAO, Rome.</w:t>
      </w:r>
    </w:p>
    <w:p w14:paraId="1A85BA8F" w14:textId="5DDF9580" w:rsidR="00196413" w:rsidRPr="00AE69CD" w:rsidRDefault="00456238" w:rsidP="00AE69CD">
      <w:pPr>
        <w:pStyle w:val="ListParagraph"/>
        <w:numPr>
          <w:ilvl w:val="0"/>
          <w:numId w:val="31"/>
        </w:numPr>
        <w:jc w:val="both"/>
        <w:rPr>
          <w:rFonts w:ascii="Arial" w:hAnsi="Arial" w:cs="Arial"/>
          <w:shd w:val="clear" w:color="auto" w:fill="FFFFFF"/>
        </w:rPr>
      </w:pPr>
      <w:r w:rsidRPr="00456238">
        <w:rPr>
          <w:rFonts w:ascii="Arial" w:hAnsi="Arial" w:cs="Arial"/>
          <w:shd w:val="clear" w:color="auto" w:fill="FFFFFF"/>
        </w:rPr>
        <w:t xml:space="preserve"> </w:t>
      </w:r>
      <w:r w:rsidR="00196413" w:rsidRPr="00196413">
        <w:rPr>
          <w:rFonts w:ascii="Arial" w:hAnsi="Arial" w:cs="Arial"/>
          <w:shd w:val="clear" w:color="auto" w:fill="FFFFFF"/>
        </w:rPr>
        <w:t xml:space="preserve">Government of Manipur. (2021). </w:t>
      </w:r>
      <w:r w:rsidR="00196413" w:rsidRPr="00196413">
        <w:rPr>
          <w:rFonts w:ascii="Arial" w:hAnsi="Arial" w:cs="Arial"/>
          <w:i/>
          <w:iCs/>
          <w:shd w:val="clear" w:color="auto" w:fill="FFFFFF"/>
        </w:rPr>
        <w:t>Annual Administrative Report 2020–21</w:t>
      </w:r>
      <w:r w:rsidR="00196413" w:rsidRPr="00196413">
        <w:rPr>
          <w:rFonts w:ascii="Arial" w:hAnsi="Arial" w:cs="Arial"/>
          <w:shd w:val="clear" w:color="auto" w:fill="FFFFFF"/>
        </w:rPr>
        <w:t>. Department of Agriculture, Government of Manipur.</w:t>
      </w:r>
      <w:r w:rsidR="00196413">
        <w:rPr>
          <w:rFonts w:ascii="Arial" w:hAnsi="Arial" w:cs="Arial"/>
          <w:shd w:val="clear" w:color="auto" w:fill="FFFFFF"/>
        </w:rPr>
        <w:t xml:space="preserve"> </w:t>
      </w:r>
      <w:hyperlink r:id="rId16" w:history="1">
        <w:r w:rsidR="006B434B" w:rsidRPr="00945E96">
          <w:rPr>
            <w:rStyle w:val="Hyperlink"/>
            <w:rFonts w:ascii="Arial" w:hAnsi="Arial" w:cs="Arial"/>
            <w:shd w:val="clear" w:color="auto" w:fill="FFFFFF"/>
          </w:rPr>
          <w:t>https://agrimanipur.mn.gov.in/annual-administration-report</w:t>
        </w:r>
      </w:hyperlink>
    </w:p>
    <w:p w14:paraId="67DFECD2" w14:textId="77777777" w:rsidR="00712852" w:rsidRDefault="00456238" w:rsidP="00712852">
      <w:pPr>
        <w:pStyle w:val="ListParagraph"/>
        <w:numPr>
          <w:ilvl w:val="0"/>
          <w:numId w:val="31"/>
        </w:numPr>
        <w:spacing w:before="120" w:after="120"/>
        <w:jc w:val="both"/>
        <w:rPr>
          <w:rFonts w:ascii="Arial" w:hAnsi="Arial" w:cs="Arial"/>
          <w:u w:val="single"/>
          <w:shd w:val="clear" w:color="auto" w:fill="FFFFFF"/>
        </w:rPr>
      </w:pPr>
      <w:r w:rsidRPr="00456238">
        <w:rPr>
          <w:rFonts w:ascii="Arial" w:hAnsi="Arial" w:cs="Arial"/>
          <w:shd w:val="clear" w:color="auto" w:fill="FFFFFF"/>
        </w:rPr>
        <w:t xml:space="preserve"> Deshmukh, J.M., </w:t>
      </w:r>
      <w:proofErr w:type="spellStart"/>
      <w:r w:rsidRPr="00456238">
        <w:rPr>
          <w:rFonts w:ascii="Arial" w:hAnsi="Arial" w:cs="Arial"/>
          <w:shd w:val="clear" w:color="auto" w:fill="FFFFFF"/>
        </w:rPr>
        <w:t>Dhulgand</w:t>
      </w:r>
      <w:proofErr w:type="spellEnd"/>
      <w:r w:rsidRPr="00456238">
        <w:rPr>
          <w:rFonts w:ascii="Arial" w:hAnsi="Arial" w:cs="Arial"/>
          <w:shd w:val="clear" w:color="auto" w:fill="FFFFFF"/>
        </w:rPr>
        <w:t>, V.G., and Kanade, V.S. (2019). Off- season vegetable production.</w:t>
      </w:r>
      <w:r w:rsidR="00196413">
        <w:rPr>
          <w:rFonts w:ascii="Arial" w:hAnsi="Arial" w:cs="Arial"/>
          <w:shd w:val="clear" w:color="auto" w:fill="FFFFFF"/>
        </w:rPr>
        <w:t xml:space="preserve"> </w:t>
      </w:r>
      <w:r w:rsidRPr="00456238">
        <w:rPr>
          <w:rFonts w:ascii="Arial" w:hAnsi="Arial" w:cs="Arial"/>
          <w:u w:val="single"/>
          <w:shd w:val="clear" w:color="auto" w:fill="FFFFFF"/>
        </w:rPr>
        <w:t xml:space="preserve">https://krishijagran.com/featured/off-season-vegetable-production/. </w:t>
      </w:r>
      <w:r>
        <w:rPr>
          <w:rFonts w:ascii="Arial" w:hAnsi="Arial" w:cs="Arial"/>
          <w:u w:val="single"/>
          <w:shd w:val="clear" w:color="auto" w:fill="FFFFFF"/>
        </w:rPr>
        <w:t xml:space="preserve"> </w:t>
      </w:r>
      <w:r w:rsidRPr="00456238">
        <w:rPr>
          <w:rFonts w:ascii="Arial" w:hAnsi="Arial" w:cs="Arial"/>
          <w:u w:val="single"/>
          <w:shd w:val="clear" w:color="auto" w:fill="FFFFFF"/>
        </w:rPr>
        <w:t>Accessed 8 January 2022.</w:t>
      </w:r>
    </w:p>
    <w:p w14:paraId="4995877B" w14:textId="223BB6C8" w:rsidR="00712852" w:rsidRPr="00712852" w:rsidRDefault="00712852" w:rsidP="00712852">
      <w:pPr>
        <w:pStyle w:val="ListParagraph"/>
        <w:numPr>
          <w:ilvl w:val="0"/>
          <w:numId w:val="31"/>
        </w:numPr>
        <w:spacing w:before="120" w:after="120"/>
        <w:jc w:val="both"/>
        <w:rPr>
          <w:rFonts w:ascii="Arial" w:hAnsi="Arial" w:cs="Arial"/>
          <w:u w:val="single"/>
          <w:shd w:val="clear" w:color="auto" w:fill="FFFFFF"/>
        </w:rPr>
      </w:pPr>
      <w:proofErr w:type="spellStart"/>
      <w:r w:rsidRPr="00712852">
        <w:rPr>
          <w:rFonts w:ascii="Arial" w:hAnsi="Arial" w:cs="Arial"/>
          <w:color w:val="000000" w:themeColor="text1"/>
          <w:lang w:val="en-IN"/>
        </w:rPr>
        <w:t>Jalwania</w:t>
      </w:r>
      <w:proofErr w:type="spellEnd"/>
      <w:r w:rsidRPr="00712852">
        <w:rPr>
          <w:rFonts w:ascii="Arial" w:hAnsi="Arial" w:cs="Arial"/>
          <w:color w:val="000000" w:themeColor="text1"/>
          <w:lang w:val="en-IN"/>
        </w:rPr>
        <w:t xml:space="preserve">, R., Kumar, P., Kumar, A., Hansda, S., Pandey, P., </w:t>
      </w:r>
      <w:proofErr w:type="spellStart"/>
      <w:r w:rsidRPr="00712852">
        <w:rPr>
          <w:rFonts w:ascii="Arial" w:hAnsi="Arial" w:cs="Arial"/>
          <w:color w:val="000000" w:themeColor="text1"/>
          <w:lang w:val="en-IN"/>
        </w:rPr>
        <w:t>Jagadala</w:t>
      </w:r>
      <w:proofErr w:type="spellEnd"/>
      <w:r w:rsidRPr="00712852">
        <w:rPr>
          <w:rFonts w:ascii="Arial" w:hAnsi="Arial" w:cs="Arial"/>
          <w:color w:val="000000" w:themeColor="text1"/>
          <w:lang w:val="en-IN"/>
        </w:rPr>
        <w:t xml:space="preserve">, K., Chand, K., &amp; Verma, S. (2025). </w:t>
      </w:r>
      <w:r w:rsidRPr="00712852">
        <w:rPr>
          <w:rFonts w:ascii="Arial" w:hAnsi="Arial" w:cs="Arial"/>
          <w:i/>
          <w:iCs/>
          <w:color w:val="000000" w:themeColor="text1"/>
          <w:lang w:val="en-IN"/>
        </w:rPr>
        <w:t>Protected cultivation technologies for off</w:t>
      </w:r>
      <w:r w:rsidRPr="00712852">
        <w:rPr>
          <w:rFonts w:ascii="Arial" w:hAnsi="Arial" w:cs="Arial"/>
          <w:i/>
          <w:iCs/>
          <w:color w:val="000000" w:themeColor="text1"/>
          <w:lang w:val="en-IN"/>
        </w:rPr>
        <w:noBreakHyphen/>
        <w:t>season vegetable production: A review</w:t>
      </w:r>
      <w:r w:rsidRPr="00712852">
        <w:rPr>
          <w:rFonts w:ascii="Arial" w:hAnsi="Arial" w:cs="Arial"/>
          <w:color w:val="000000" w:themeColor="text1"/>
          <w:lang w:val="en-IN"/>
        </w:rPr>
        <w:t xml:space="preserve">. </w:t>
      </w:r>
      <w:r w:rsidRPr="00712852">
        <w:rPr>
          <w:rFonts w:ascii="Arial" w:hAnsi="Arial" w:cs="Arial"/>
          <w:i/>
          <w:iCs/>
          <w:color w:val="000000" w:themeColor="text1"/>
          <w:lang w:val="en-IN"/>
        </w:rPr>
        <w:t>Journal of Scientific Research and Reports</w:t>
      </w:r>
      <w:r w:rsidRPr="00712852">
        <w:rPr>
          <w:rFonts w:ascii="Arial" w:hAnsi="Arial" w:cs="Arial"/>
          <w:color w:val="000000" w:themeColor="text1"/>
          <w:lang w:val="en-IN"/>
        </w:rPr>
        <w:t xml:space="preserve">, 31(5), 470–489. https://doi.org/10.9734/jsrr/2025/v31i53045  </w:t>
      </w:r>
    </w:p>
    <w:p w14:paraId="618FD653" w14:textId="329EED00" w:rsidR="00712852" w:rsidRPr="00712852" w:rsidRDefault="00712852" w:rsidP="00712852">
      <w:pPr>
        <w:pStyle w:val="Body"/>
        <w:numPr>
          <w:ilvl w:val="0"/>
          <w:numId w:val="31"/>
        </w:numPr>
        <w:spacing w:after="0"/>
        <w:rPr>
          <w:rFonts w:ascii="Arial" w:hAnsi="Arial" w:cs="Arial"/>
          <w:color w:val="000000" w:themeColor="text1"/>
        </w:rPr>
      </w:pPr>
      <w:r w:rsidRPr="00712852">
        <w:rPr>
          <w:rFonts w:ascii="Arial" w:hAnsi="Arial" w:cs="Arial"/>
          <w:color w:val="000000" w:themeColor="text1"/>
        </w:rPr>
        <w:t xml:space="preserve">Rohit, J., Dubey, S. K., Singh, P., Singh, B. K., &amp; Kumbhare, N. V. (2017). </w:t>
      </w:r>
      <w:r w:rsidRPr="00712852">
        <w:rPr>
          <w:rFonts w:ascii="Arial" w:hAnsi="Arial" w:cs="Arial"/>
          <w:i/>
          <w:iCs/>
          <w:color w:val="000000" w:themeColor="text1"/>
        </w:rPr>
        <w:t>An assessment of constraints faced by farmers in peri</w:t>
      </w:r>
      <w:r w:rsidRPr="00712852">
        <w:rPr>
          <w:rFonts w:ascii="Arial" w:hAnsi="Arial" w:cs="Arial"/>
          <w:i/>
          <w:iCs/>
          <w:color w:val="000000" w:themeColor="text1"/>
        </w:rPr>
        <w:noBreakHyphen/>
        <w:t>urban vegetable cultivation</w:t>
      </w:r>
      <w:r w:rsidRPr="00712852">
        <w:rPr>
          <w:rFonts w:ascii="Arial" w:hAnsi="Arial" w:cs="Arial"/>
          <w:color w:val="000000" w:themeColor="text1"/>
        </w:rPr>
        <w:t xml:space="preserve">. </w:t>
      </w:r>
      <w:r w:rsidRPr="00712852">
        <w:rPr>
          <w:rFonts w:ascii="Arial" w:hAnsi="Arial" w:cs="Arial"/>
          <w:i/>
          <w:iCs/>
          <w:color w:val="000000" w:themeColor="text1"/>
        </w:rPr>
        <w:t>International Journal of Current Microbiology and Applied Sciences</w:t>
      </w:r>
      <w:r w:rsidRPr="00712852">
        <w:rPr>
          <w:rFonts w:ascii="Arial" w:hAnsi="Arial" w:cs="Arial"/>
          <w:color w:val="000000" w:themeColor="text1"/>
        </w:rPr>
        <w:t>, 6(10), 2245–2251. https://doi.org/10.20546/ijcmas.2017.610.265</w:t>
      </w:r>
    </w:p>
    <w:p w14:paraId="5C10EAD5" w14:textId="77777777" w:rsidR="00712852" w:rsidRPr="00712852" w:rsidRDefault="00712852" w:rsidP="00712852">
      <w:pPr>
        <w:pStyle w:val="Body"/>
        <w:numPr>
          <w:ilvl w:val="0"/>
          <w:numId w:val="31"/>
        </w:numPr>
        <w:spacing w:after="0"/>
        <w:rPr>
          <w:rFonts w:ascii="Arial" w:hAnsi="Arial" w:cs="Arial"/>
          <w:color w:val="000000" w:themeColor="text1"/>
        </w:rPr>
      </w:pPr>
      <w:r w:rsidRPr="00712852">
        <w:rPr>
          <w:rFonts w:ascii="Arial" w:hAnsi="Arial" w:cs="Arial"/>
          <w:color w:val="000000" w:themeColor="text1"/>
        </w:rPr>
        <w:t xml:space="preserve">Jamir, I. T., &amp; </w:t>
      </w:r>
      <w:proofErr w:type="spellStart"/>
      <w:r w:rsidRPr="00712852">
        <w:rPr>
          <w:rFonts w:ascii="Arial" w:hAnsi="Arial" w:cs="Arial"/>
          <w:color w:val="000000" w:themeColor="text1"/>
        </w:rPr>
        <w:t>Ezung</w:t>
      </w:r>
      <w:proofErr w:type="spellEnd"/>
      <w:r w:rsidRPr="00712852">
        <w:rPr>
          <w:rFonts w:ascii="Arial" w:hAnsi="Arial" w:cs="Arial"/>
          <w:color w:val="000000" w:themeColor="text1"/>
        </w:rPr>
        <w:t xml:space="preserve">, T. Z. (2024). </w:t>
      </w:r>
      <w:r w:rsidRPr="00712852">
        <w:rPr>
          <w:rFonts w:ascii="Arial" w:hAnsi="Arial" w:cs="Arial"/>
          <w:i/>
          <w:iCs/>
          <w:color w:val="000000" w:themeColor="text1"/>
        </w:rPr>
        <w:t>Challenges and opportunities in pineapple and cabbage cultivation in Nagaland: A Garrett ranking analysis</w:t>
      </w:r>
      <w:r w:rsidRPr="00712852">
        <w:rPr>
          <w:rFonts w:ascii="Arial" w:hAnsi="Arial" w:cs="Arial"/>
          <w:color w:val="000000" w:themeColor="text1"/>
        </w:rPr>
        <w:t xml:space="preserve">. </w:t>
      </w:r>
      <w:r w:rsidRPr="00712852">
        <w:rPr>
          <w:rFonts w:ascii="Arial" w:hAnsi="Arial" w:cs="Arial"/>
          <w:i/>
          <w:iCs/>
          <w:color w:val="000000" w:themeColor="text1"/>
        </w:rPr>
        <w:t>Asian Journal of Agricultural Extension, Economics &amp; Sociology, 42</w:t>
      </w:r>
      <w:r w:rsidRPr="00712852">
        <w:rPr>
          <w:rFonts w:ascii="Arial" w:hAnsi="Arial" w:cs="Arial"/>
          <w:color w:val="000000" w:themeColor="text1"/>
        </w:rPr>
        <w:t xml:space="preserve">(12), 193–202. </w:t>
      </w:r>
      <w:hyperlink r:id="rId17" w:history="1">
        <w:r w:rsidRPr="00712852">
          <w:rPr>
            <w:rStyle w:val="Hyperlink"/>
            <w:rFonts w:ascii="Arial" w:hAnsi="Arial" w:cs="Arial"/>
            <w:color w:val="000000" w:themeColor="text1"/>
          </w:rPr>
          <w:t>https://doi.org/10.9734/ajaees/2024/v42i122646</w:t>
        </w:r>
      </w:hyperlink>
    </w:p>
    <w:p w14:paraId="24317308" w14:textId="61D9205C" w:rsidR="003F5B1C" w:rsidRPr="005E675D" w:rsidRDefault="00F16B42" w:rsidP="00CE1B9F">
      <w:pPr>
        <w:pStyle w:val="ListParagraph"/>
        <w:numPr>
          <w:ilvl w:val="0"/>
          <w:numId w:val="31"/>
        </w:numPr>
        <w:spacing w:before="120" w:after="120"/>
        <w:jc w:val="both"/>
        <w:rPr>
          <w:rFonts w:ascii="Arial" w:hAnsi="Arial" w:cs="Arial"/>
          <w:shd w:val="clear" w:color="auto" w:fill="FFFFFF"/>
        </w:rPr>
      </w:pPr>
      <w:r w:rsidRPr="00F16B42">
        <w:rPr>
          <w:rFonts w:ascii="Arial" w:hAnsi="Arial" w:cs="Arial"/>
          <w:shd w:val="clear" w:color="auto" w:fill="FFFFFF"/>
        </w:rPr>
        <w:lastRenderedPageBreak/>
        <w:t xml:space="preserve">Kumar, A., Sumit, S., Yadav, M. K., &amp; Rohila, A. K. (2019). Constraints faced by the farmers in production and marketing of vegetables in Haryana. </w:t>
      </w:r>
      <w:r w:rsidRPr="00F16B42">
        <w:rPr>
          <w:rFonts w:ascii="Arial" w:hAnsi="Arial" w:cs="Arial"/>
          <w:i/>
          <w:iCs/>
          <w:shd w:val="clear" w:color="auto" w:fill="FFFFFF"/>
        </w:rPr>
        <w:t>Indian Journal of Agricultural Sciences</w:t>
      </w:r>
      <w:r w:rsidRPr="00F16B42">
        <w:rPr>
          <w:rFonts w:ascii="Arial" w:hAnsi="Arial" w:cs="Arial"/>
          <w:shd w:val="clear" w:color="auto" w:fill="FFFFFF"/>
        </w:rPr>
        <w:t>, 89(1), 153–160.</w:t>
      </w:r>
      <w:r w:rsidR="005E675D">
        <w:rPr>
          <w:rFonts w:ascii="Arial" w:hAnsi="Arial" w:cs="Arial"/>
          <w:shd w:val="clear" w:color="auto" w:fill="FFFFFF"/>
        </w:rPr>
        <w:t xml:space="preserve">  </w:t>
      </w:r>
      <w:hyperlink r:id="rId18" w:history="1">
        <w:r w:rsidR="005E675D" w:rsidRPr="00945E96">
          <w:rPr>
            <w:rStyle w:val="Hyperlink"/>
            <w:rFonts w:ascii="Arial" w:hAnsi="Arial" w:cs="Arial"/>
            <w:shd w:val="clear" w:color="auto" w:fill="FFFFFF"/>
          </w:rPr>
          <w:t>https://epubs.icar.org.in/ejournal/index.php/IJAgS/article/view/86198</w:t>
        </w:r>
      </w:hyperlink>
      <w:r w:rsidR="005E675D" w:rsidRPr="005E675D">
        <w:rPr>
          <w:rFonts w:ascii="Arial" w:hAnsi="Arial" w:cs="Arial"/>
          <w:shd w:val="clear" w:color="auto" w:fill="FFFFFF"/>
        </w:rPr>
        <w:t>.</w:t>
      </w:r>
      <w:r w:rsidR="005E675D">
        <w:rPr>
          <w:rFonts w:ascii="Arial" w:hAnsi="Arial" w:cs="Arial"/>
          <w:shd w:val="clear" w:color="auto" w:fill="FFFFFF"/>
        </w:rPr>
        <w:t xml:space="preserve"> </w:t>
      </w:r>
      <w:r w:rsidR="005E675D" w:rsidRPr="005E675D">
        <w:rPr>
          <w:rFonts w:ascii="Arial" w:hAnsi="Arial" w:cs="Arial"/>
          <w:shd w:val="clear" w:color="auto" w:fill="FFFFFF"/>
        </w:rPr>
        <w:t>Accessed 20 January,</w:t>
      </w:r>
      <w:r w:rsidR="005E675D">
        <w:rPr>
          <w:rFonts w:ascii="Arial" w:hAnsi="Arial" w:cs="Arial"/>
          <w:shd w:val="clear" w:color="auto" w:fill="FFFFFF"/>
        </w:rPr>
        <w:t xml:space="preserve"> </w:t>
      </w:r>
      <w:r w:rsidR="005E675D" w:rsidRPr="005E675D">
        <w:rPr>
          <w:rFonts w:ascii="Arial" w:hAnsi="Arial" w:cs="Arial"/>
          <w:shd w:val="clear" w:color="auto" w:fill="FFFFFF"/>
        </w:rPr>
        <w:t>2022.</w:t>
      </w:r>
    </w:p>
    <w:p w14:paraId="3D5ED3BD" w14:textId="77777777" w:rsidR="009D0894" w:rsidRDefault="00AE2FD9" w:rsidP="009D0894">
      <w:pPr>
        <w:pStyle w:val="ListParagraph"/>
        <w:numPr>
          <w:ilvl w:val="0"/>
          <w:numId w:val="31"/>
        </w:numPr>
        <w:spacing w:before="120" w:after="120"/>
        <w:jc w:val="both"/>
        <w:rPr>
          <w:rFonts w:ascii="Arial" w:hAnsi="Arial" w:cs="Arial"/>
          <w:color w:val="000000" w:themeColor="text1"/>
          <w:shd w:val="clear" w:color="auto" w:fill="FFFFFF"/>
          <w:lang w:val="en-IN"/>
        </w:rPr>
      </w:pPr>
      <w:r w:rsidRPr="00AE2FD9">
        <w:rPr>
          <w:rFonts w:ascii="Arial" w:hAnsi="Arial" w:cs="Arial"/>
          <w:color w:val="000000" w:themeColor="text1"/>
          <w:shd w:val="clear" w:color="auto" w:fill="FFFFFF"/>
          <w:lang w:val="en-IN"/>
        </w:rPr>
        <w:t xml:space="preserve">Garrett, H. E., &amp; Woodworth, R. S. (1969). </w:t>
      </w:r>
      <w:r w:rsidRPr="00AE2FD9">
        <w:rPr>
          <w:rFonts w:ascii="Arial" w:hAnsi="Arial" w:cs="Arial"/>
          <w:i/>
          <w:iCs/>
          <w:color w:val="000000" w:themeColor="text1"/>
          <w:shd w:val="clear" w:color="auto" w:fill="FFFFFF"/>
          <w:lang w:val="en-IN"/>
        </w:rPr>
        <w:t>Statistics in psychology and education</w:t>
      </w:r>
      <w:r w:rsidRPr="00AE2FD9">
        <w:rPr>
          <w:rFonts w:ascii="Arial" w:hAnsi="Arial" w:cs="Arial"/>
          <w:color w:val="000000" w:themeColor="text1"/>
          <w:shd w:val="clear" w:color="auto" w:fill="FFFFFF"/>
          <w:lang w:val="en-IN"/>
        </w:rPr>
        <w:t>. New York: Vakils, Feffer and Simons.</w:t>
      </w:r>
    </w:p>
    <w:p w14:paraId="52EB5A8C" w14:textId="7482D418" w:rsidR="009D0894" w:rsidRPr="009D0894" w:rsidRDefault="009D0894" w:rsidP="009D0894">
      <w:pPr>
        <w:pStyle w:val="ListParagraph"/>
        <w:numPr>
          <w:ilvl w:val="0"/>
          <w:numId w:val="31"/>
        </w:numPr>
        <w:spacing w:before="120" w:after="120"/>
        <w:jc w:val="both"/>
        <w:rPr>
          <w:rFonts w:ascii="Arial" w:hAnsi="Arial" w:cs="Arial"/>
          <w:color w:val="000000" w:themeColor="text1"/>
          <w:shd w:val="clear" w:color="auto" w:fill="FFFFFF"/>
          <w:lang w:val="en-IN"/>
        </w:rPr>
      </w:pPr>
      <w:r>
        <w:rPr>
          <w:rStyle w:val="whitespace-normal"/>
        </w:rPr>
        <w:t>Nardo Michela</w:t>
      </w:r>
      <w:r>
        <w:t xml:space="preserve">, M., </w:t>
      </w:r>
      <w:proofErr w:type="spellStart"/>
      <w:r>
        <w:t>Saisana</w:t>
      </w:r>
      <w:proofErr w:type="spellEnd"/>
      <w:r>
        <w:t xml:space="preserve">, M., Saltelli, A., &amp; Tarantola, S. (2005). </w:t>
      </w:r>
      <w:r>
        <w:rPr>
          <w:rStyle w:val="Emphasis"/>
        </w:rPr>
        <w:t>Handbook on constructing composite indicators: Methodology and user guide</w:t>
      </w:r>
      <w:r>
        <w:t xml:space="preserve">. European Commission, OECD. </w:t>
      </w:r>
      <w:hyperlink r:id="rId19" w:history="1">
        <w:r w:rsidRPr="00E34602">
          <w:rPr>
            <w:rStyle w:val="Hyperlink"/>
          </w:rPr>
          <w:t>https://doi.org/10.1787/533411815016</w:t>
        </w:r>
      </w:hyperlink>
      <w:r>
        <w:t xml:space="preserve"> </w:t>
      </w:r>
    </w:p>
    <w:p w14:paraId="770A4C67" w14:textId="4365B6CC" w:rsidR="004D4277" w:rsidRPr="00CE1B9F" w:rsidRDefault="00F16B42" w:rsidP="00CE1B9F">
      <w:pPr>
        <w:pStyle w:val="ListParagraph"/>
        <w:numPr>
          <w:ilvl w:val="0"/>
          <w:numId w:val="31"/>
        </w:numPr>
        <w:spacing w:before="120" w:after="120"/>
        <w:jc w:val="both"/>
        <w:rPr>
          <w:rFonts w:ascii="Arial" w:hAnsi="Arial" w:cs="Arial"/>
          <w:shd w:val="clear" w:color="auto" w:fill="FFFFFF"/>
        </w:rPr>
      </w:pPr>
      <w:r w:rsidRPr="00F16B42">
        <w:rPr>
          <w:rFonts w:ascii="Arial" w:hAnsi="Arial" w:cs="Arial"/>
          <w:shd w:val="clear" w:color="auto" w:fill="FFFFFF"/>
        </w:rPr>
        <w:t xml:space="preserve">Kondal Kappa, K., Anuradha, C., &amp; </w:t>
      </w:r>
      <w:r w:rsidRPr="001860DC">
        <w:rPr>
          <w:rFonts w:ascii="Arial" w:hAnsi="Arial" w:cs="Arial"/>
          <w:shd w:val="clear" w:color="auto" w:fill="FFFFFF"/>
        </w:rPr>
        <w:t xml:space="preserve">Praveen Kumar, B. (2022). Marketing cost, channels and constraints: A case study of vegetable marketing in Telangana State. </w:t>
      </w:r>
      <w:r w:rsidRPr="001860DC">
        <w:rPr>
          <w:rFonts w:ascii="Arial" w:hAnsi="Arial" w:cs="Arial"/>
          <w:i/>
          <w:iCs/>
          <w:shd w:val="clear" w:color="auto" w:fill="FFFFFF"/>
        </w:rPr>
        <w:t>Journal of Research ANGRAU</w:t>
      </w:r>
      <w:r w:rsidRPr="001860DC">
        <w:rPr>
          <w:rFonts w:ascii="Arial" w:hAnsi="Arial" w:cs="Arial"/>
          <w:shd w:val="clear" w:color="auto" w:fill="FFFFFF"/>
        </w:rPr>
        <w:t>.</w:t>
      </w:r>
      <w:r w:rsidR="005E675D" w:rsidRPr="001860DC">
        <w:rPr>
          <w:rFonts w:ascii="Arial" w:hAnsi="Arial" w:cs="Arial"/>
          <w:shd w:val="clear" w:color="auto" w:fill="FFFFFF"/>
        </w:rPr>
        <w:t xml:space="preserve"> </w:t>
      </w:r>
      <w:hyperlink r:id="rId20" w:history="1">
        <w:r w:rsidR="005E675D" w:rsidRPr="001860DC">
          <w:rPr>
            <w:rStyle w:val="Hyperlink"/>
            <w:rFonts w:ascii="Arial" w:hAnsi="Arial" w:cs="Arial"/>
            <w:shd w:val="clear" w:color="auto" w:fill="FFFFFF"/>
          </w:rPr>
          <w:t>https://epubs.icar.org.in/index.php/TJRA/article/view/133402</w:t>
        </w:r>
      </w:hyperlink>
      <w:r w:rsidR="005E675D" w:rsidRPr="001860DC">
        <w:rPr>
          <w:rFonts w:ascii="Arial" w:hAnsi="Arial" w:cs="Arial"/>
          <w:shd w:val="clear" w:color="auto" w:fill="FFFFFF"/>
        </w:rPr>
        <w:t>.    Accessed 20 January, 2022.</w:t>
      </w:r>
    </w:p>
    <w:p w14:paraId="1C0F98FB" w14:textId="33AB3EA4" w:rsidR="00CE1B9F" w:rsidRDefault="00CE1B9F" w:rsidP="00AE69CD">
      <w:pPr>
        <w:pStyle w:val="ListParagraph"/>
        <w:numPr>
          <w:ilvl w:val="0"/>
          <w:numId w:val="31"/>
        </w:numPr>
        <w:spacing w:after="200" w:line="276" w:lineRule="auto"/>
        <w:jc w:val="both"/>
      </w:pPr>
      <w:r w:rsidRPr="00CE1B9F">
        <w:t xml:space="preserve">Kumar, A., Sumit, S., Yadav, M. K., &amp; Rohila, A. K. (2019). Constraints faced by the farmers in production and marketing of vegetables in Haryana. </w:t>
      </w:r>
      <w:r w:rsidRPr="00CE1B9F">
        <w:rPr>
          <w:i/>
          <w:iCs/>
        </w:rPr>
        <w:t>Indian Journal of Agricultural Sciences</w:t>
      </w:r>
      <w:r w:rsidRPr="00CE1B9F">
        <w:t>, 89(1), 153–160.</w:t>
      </w:r>
      <w:r w:rsidRPr="00CE1B9F">
        <w:br/>
      </w:r>
      <w:hyperlink r:id="rId21" w:history="1">
        <w:r w:rsidRPr="00945E96">
          <w:rPr>
            <w:rStyle w:val="Hyperlink"/>
          </w:rPr>
          <w:t>https://epubs.icar.org.in/ejournal/index.php/IJAgS/article/view/86198</w:t>
        </w:r>
      </w:hyperlink>
    </w:p>
    <w:p w14:paraId="5FFE656F" w14:textId="1506212C" w:rsidR="00CE1B9F" w:rsidRPr="00CE1B9F" w:rsidRDefault="00CE1B9F" w:rsidP="00CE1B9F">
      <w:pPr>
        <w:pStyle w:val="ListParagraph"/>
        <w:numPr>
          <w:ilvl w:val="0"/>
          <w:numId w:val="31"/>
        </w:numPr>
        <w:spacing w:after="200" w:line="276" w:lineRule="auto"/>
        <w:jc w:val="both"/>
      </w:pPr>
      <w:r w:rsidRPr="00CE1B9F">
        <w:t xml:space="preserve">Chavan, N. N., &amp; </w:t>
      </w:r>
      <w:proofErr w:type="spellStart"/>
      <w:r w:rsidRPr="00CE1B9F">
        <w:t>Koshti</w:t>
      </w:r>
      <w:proofErr w:type="spellEnd"/>
      <w:r w:rsidRPr="00CE1B9F">
        <w:t xml:space="preserve">, N. R. (2023). Constraints analysis in production and marketing of organic vegetables using Garrett’s ranking technique. </w:t>
      </w:r>
      <w:r w:rsidRPr="00CE1B9F">
        <w:rPr>
          <w:i/>
          <w:iCs/>
        </w:rPr>
        <w:t>Asian Journal of Agricultural Extension, Economics &amp; Sociology</w:t>
      </w:r>
      <w:r w:rsidRPr="00CE1B9F">
        <w:t>, 41(8), 229–233.</w:t>
      </w:r>
      <w:r>
        <w:t xml:space="preserve"> </w:t>
      </w:r>
      <w:hyperlink r:id="rId22" w:history="1">
        <w:r w:rsidRPr="00945E96">
          <w:rPr>
            <w:rStyle w:val="Hyperlink"/>
          </w:rPr>
          <w:t>https://doi.org/10.9734/ajaees/2023/v41i82001</w:t>
        </w:r>
      </w:hyperlink>
    </w:p>
    <w:p w14:paraId="7BFF1723" w14:textId="5E7A8876" w:rsidR="00CE1B9F" w:rsidRPr="00CE1B9F" w:rsidRDefault="00CE1B9F" w:rsidP="00CE1B9F">
      <w:pPr>
        <w:pStyle w:val="ListParagraph"/>
        <w:numPr>
          <w:ilvl w:val="0"/>
          <w:numId w:val="31"/>
        </w:numPr>
        <w:spacing w:after="200" w:line="276" w:lineRule="auto"/>
        <w:jc w:val="both"/>
      </w:pPr>
      <w:r w:rsidRPr="00CE1B9F">
        <w:t xml:space="preserve">Thakur, P., Mehta, P., Devi, C., Sharma, P., Singh, K. K., Yadav, S., et al. (2023). Marketing performance and factors influencing farmers’ choice for agricultural output marketing channels in India. </w:t>
      </w:r>
      <w:r w:rsidRPr="00CE1B9F">
        <w:rPr>
          <w:i/>
          <w:iCs/>
        </w:rPr>
        <w:t>Frontiers in Sustainable Food Systems</w:t>
      </w:r>
      <w:r w:rsidRPr="00CE1B9F">
        <w:t>, 7, 1270121.</w:t>
      </w:r>
      <w:r w:rsidRPr="00CE1B9F">
        <w:br/>
        <w:t xml:space="preserve"> </w:t>
      </w:r>
      <w:hyperlink r:id="rId23" w:tgtFrame="_new" w:history="1">
        <w:r w:rsidRPr="00CE1B9F">
          <w:rPr>
            <w:rStyle w:val="Hyperlink"/>
          </w:rPr>
          <w:t>https://doi.org/10.3389/fsufs.2023.1270121</w:t>
        </w:r>
      </w:hyperlink>
    </w:p>
    <w:p w14:paraId="6A9DA64A" w14:textId="48B29042" w:rsidR="00CE1B9F" w:rsidRPr="00CE1B9F" w:rsidRDefault="00CE1B9F" w:rsidP="00CE1B9F">
      <w:pPr>
        <w:pStyle w:val="ListParagraph"/>
        <w:numPr>
          <w:ilvl w:val="0"/>
          <w:numId w:val="31"/>
        </w:numPr>
        <w:spacing w:after="200" w:line="276" w:lineRule="auto"/>
        <w:jc w:val="both"/>
        <w:rPr>
          <w:lang w:val="en-IN"/>
        </w:rPr>
      </w:pPr>
      <w:r w:rsidRPr="00CE1B9F">
        <w:rPr>
          <w:lang w:val="en-IN"/>
        </w:rPr>
        <w:t xml:space="preserve">Saha, S., Sinha, C., &amp; Saha, S. (2023). Agricultural marketing in India: Challenges, policies and politics. </w:t>
      </w:r>
      <w:r w:rsidRPr="00CE1B9F">
        <w:rPr>
          <w:i/>
          <w:iCs/>
          <w:lang w:val="en-IN"/>
        </w:rPr>
        <w:t>Journal of Land and Rural Studies</w:t>
      </w:r>
      <w:r w:rsidRPr="00CE1B9F">
        <w:rPr>
          <w:lang w:val="en-IN"/>
        </w:rPr>
        <w:t>, 13(1).</w:t>
      </w:r>
      <w:r w:rsidRPr="00CE1B9F">
        <w:rPr>
          <w:lang w:val="en-IN"/>
        </w:rPr>
        <w:br/>
      </w:r>
      <w:hyperlink r:id="rId24" w:history="1">
        <w:r w:rsidRPr="00945E96">
          <w:rPr>
            <w:rStyle w:val="Hyperlink"/>
            <w:lang w:val="en-IN"/>
          </w:rPr>
          <w:t>https://doi.org/10.1177/22779787231209169</w:t>
        </w:r>
      </w:hyperlink>
    </w:p>
    <w:p w14:paraId="3EB052CE" w14:textId="11E77F76" w:rsidR="00CE1B9F" w:rsidRPr="00CE1B9F" w:rsidRDefault="00CE1B9F" w:rsidP="00CE1B9F">
      <w:pPr>
        <w:pStyle w:val="ListParagraph"/>
        <w:numPr>
          <w:ilvl w:val="0"/>
          <w:numId w:val="31"/>
        </w:numPr>
        <w:spacing w:after="200" w:line="276" w:lineRule="auto"/>
        <w:jc w:val="both"/>
      </w:pPr>
      <w:proofErr w:type="spellStart"/>
      <w:r w:rsidRPr="00CE1B9F">
        <w:t>Deori</w:t>
      </w:r>
      <w:proofErr w:type="spellEnd"/>
      <w:r w:rsidRPr="00CE1B9F">
        <w:t xml:space="preserve">, S., &amp; Rajalakshmi, S. (2023). Vegetable marketing practices followed by farmers in Assam. </w:t>
      </w:r>
      <w:r w:rsidRPr="00CE1B9F">
        <w:rPr>
          <w:i/>
          <w:iCs/>
        </w:rPr>
        <w:t>Journal of Extension Education</w:t>
      </w:r>
      <w:r w:rsidRPr="00CE1B9F">
        <w:t xml:space="preserve">, 35(2), 7013–7022. </w:t>
      </w:r>
      <w:hyperlink r:id="rId25" w:history="1">
        <w:r w:rsidRPr="00CE1B9F">
          <w:rPr>
            <w:rStyle w:val="Hyperlink"/>
          </w:rPr>
          <w:t>https://doi.org/10.26725/JEE.2023.2.35.7013-7022</w:t>
        </w:r>
      </w:hyperlink>
    </w:p>
    <w:p w14:paraId="42558EBB" w14:textId="77777777" w:rsidR="00CE1B9F" w:rsidRPr="00CE1B9F" w:rsidRDefault="00CE1B9F" w:rsidP="002C74CA">
      <w:pPr>
        <w:pStyle w:val="ListParagraph"/>
        <w:spacing w:after="200" w:line="276" w:lineRule="auto"/>
        <w:ind w:left="420"/>
        <w:jc w:val="both"/>
        <w:rPr>
          <w:lang w:val="en-IN"/>
        </w:rPr>
      </w:pPr>
    </w:p>
    <w:p w14:paraId="01E871A5" w14:textId="77777777" w:rsidR="00CE1B9F" w:rsidRDefault="00CE1B9F" w:rsidP="00CE1B9F">
      <w:pPr>
        <w:spacing w:before="120" w:after="120"/>
        <w:jc w:val="both"/>
        <w:rPr>
          <w:rFonts w:ascii="Arial" w:hAnsi="Arial" w:cs="Arial"/>
          <w:shd w:val="clear" w:color="auto" w:fill="FFFFFF"/>
        </w:rPr>
      </w:pPr>
    </w:p>
    <w:p w14:paraId="495B49BE" w14:textId="77777777" w:rsidR="00CE1B9F" w:rsidRDefault="00CE1B9F" w:rsidP="00CE1B9F">
      <w:pPr>
        <w:spacing w:before="120" w:after="120"/>
        <w:jc w:val="both"/>
        <w:rPr>
          <w:rFonts w:ascii="Arial" w:hAnsi="Arial" w:cs="Arial"/>
          <w:shd w:val="clear" w:color="auto" w:fill="FFFFFF"/>
        </w:rPr>
      </w:pPr>
    </w:p>
    <w:p w14:paraId="08F6814B" w14:textId="037DA65E" w:rsidR="00CE1B9F" w:rsidRPr="00CE1B9F" w:rsidRDefault="00CE1B9F" w:rsidP="00CE1B9F">
      <w:pPr>
        <w:pStyle w:val="ListParagraph"/>
        <w:numPr>
          <w:ilvl w:val="0"/>
          <w:numId w:val="31"/>
        </w:numPr>
        <w:spacing w:before="120" w:after="120"/>
        <w:jc w:val="both"/>
        <w:rPr>
          <w:rFonts w:ascii="Arial" w:hAnsi="Arial" w:cs="Arial"/>
          <w:shd w:val="clear" w:color="auto" w:fill="FFFFFF"/>
        </w:rPr>
        <w:sectPr w:rsidR="00CE1B9F" w:rsidRPr="00CE1B9F" w:rsidSect="005C2345">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p>
    <w:p w14:paraId="73CAC49D" w14:textId="30A6ADD8" w:rsidR="00B01FCD" w:rsidRPr="00FB3A86" w:rsidRDefault="00B01FCD" w:rsidP="003F5B1C">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A0AA2" w14:textId="77777777" w:rsidR="001653EB" w:rsidRDefault="001653EB" w:rsidP="00C37E61">
      <w:r>
        <w:separator/>
      </w:r>
    </w:p>
  </w:endnote>
  <w:endnote w:type="continuationSeparator" w:id="0">
    <w:p w14:paraId="2FEC8E8E" w14:textId="77777777" w:rsidR="001653EB" w:rsidRDefault="001653E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47F39" w14:textId="77777777" w:rsidR="00137766" w:rsidRDefault="00137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2041" w14:textId="77777777" w:rsidR="00137766" w:rsidRDefault="001377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46F6" w14:textId="77777777" w:rsidR="009E048A" w:rsidRDefault="009E048A">
    <w:pPr>
      <w:pStyle w:val="Footer"/>
      <w:rPr>
        <w:rFonts w:ascii="Arial" w:hAnsi="Arial" w:cs="Arial"/>
        <w:sz w:val="16"/>
      </w:rPr>
    </w:pPr>
  </w:p>
  <w:p w14:paraId="17E546D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1DBD9DC" w14:textId="77777777" w:rsidR="009E048A" w:rsidRDefault="009E048A">
    <w:pPr>
      <w:pStyle w:val="Footer"/>
      <w:rPr>
        <w:rFonts w:ascii="Arial" w:hAnsi="Arial" w:cs="Arial"/>
        <w:sz w:val="16"/>
      </w:rPr>
    </w:pPr>
  </w:p>
  <w:p w14:paraId="7A419D6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BEB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A5C0A" w14:textId="77777777" w:rsidR="001653EB" w:rsidRDefault="001653EB" w:rsidP="00C37E61">
      <w:r>
        <w:separator/>
      </w:r>
    </w:p>
  </w:footnote>
  <w:footnote w:type="continuationSeparator" w:id="0">
    <w:p w14:paraId="4200D036" w14:textId="77777777" w:rsidR="001653EB" w:rsidRDefault="001653E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2509" w14:textId="29EA9722" w:rsidR="00137766" w:rsidRDefault="00000000">
    <w:pPr>
      <w:pStyle w:val="Header"/>
    </w:pPr>
    <w:r>
      <w:rPr>
        <w:noProof/>
      </w:rPr>
      <w:pict w14:anchorId="40201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842391"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DA569" w14:textId="15870F94" w:rsidR="00137766" w:rsidRDefault="00000000">
    <w:pPr>
      <w:pStyle w:val="Header"/>
    </w:pPr>
    <w:r>
      <w:rPr>
        <w:noProof/>
      </w:rPr>
      <w:pict w14:anchorId="62B00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842392"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799A" w14:textId="358CE59E" w:rsidR="00296529" w:rsidRPr="00296529" w:rsidRDefault="00000000" w:rsidP="00296529">
    <w:pPr>
      <w:ind w:left="2160"/>
      <w:jc w:val="center"/>
      <w:rPr>
        <w:rFonts w:ascii="Times New Roman" w:eastAsia="Calibri" w:hAnsi="Times New Roman"/>
        <w:i/>
        <w:sz w:val="18"/>
        <w:szCs w:val="22"/>
      </w:rPr>
    </w:pPr>
    <w:r>
      <w:rPr>
        <w:noProof/>
      </w:rPr>
      <w:pict w14:anchorId="062787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842390"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CE1030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F3D132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14BE9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E1B27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88CE8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690E6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29CE" w14:textId="05C96D23" w:rsidR="00137766" w:rsidRDefault="00000000">
    <w:pPr>
      <w:pStyle w:val="Header"/>
    </w:pPr>
    <w:r>
      <w:rPr>
        <w:noProof/>
      </w:rPr>
      <w:pict w14:anchorId="221E77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842394"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4C48" w14:textId="5006AA3F" w:rsidR="00137766" w:rsidRDefault="00000000">
    <w:pPr>
      <w:pStyle w:val="Header"/>
    </w:pPr>
    <w:r>
      <w:rPr>
        <w:noProof/>
      </w:rPr>
      <w:pict w14:anchorId="09B3C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842395"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78CC" w14:textId="35F4CFD6" w:rsidR="00137766" w:rsidRDefault="00000000">
    <w:pPr>
      <w:pStyle w:val="Header"/>
    </w:pPr>
    <w:r>
      <w:rPr>
        <w:noProof/>
      </w:rPr>
      <w:pict w14:anchorId="7C53CD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842393"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09B02A8"/>
    <w:multiLevelType w:val="hybridMultilevel"/>
    <w:tmpl w:val="2664526E"/>
    <w:lvl w:ilvl="0" w:tplc="BA1A2E7E">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4366096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4288928">
    <w:abstractNumId w:val="16"/>
  </w:num>
  <w:num w:numId="3" w16cid:durableId="750008757">
    <w:abstractNumId w:val="24"/>
  </w:num>
  <w:num w:numId="4" w16cid:durableId="94066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77960736">
    <w:abstractNumId w:val="7"/>
  </w:num>
  <w:num w:numId="6" w16cid:durableId="1240679375">
    <w:abstractNumId w:val="6"/>
  </w:num>
  <w:num w:numId="7" w16cid:durableId="2102027162">
    <w:abstractNumId w:val="1"/>
  </w:num>
  <w:num w:numId="8" w16cid:durableId="1314942350">
    <w:abstractNumId w:val="13"/>
  </w:num>
  <w:num w:numId="9" w16cid:durableId="2096441584">
    <w:abstractNumId w:val="26"/>
  </w:num>
  <w:num w:numId="10" w16cid:durableId="621611576">
    <w:abstractNumId w:val="2"/>
  </w:num>
  <w:num w:numId="11" w16cid:durableId="1562905794">
    <w:abstractNumId w:val="19"/>
  </w:num>
  <w:num w:numId="12" w16cid:durableId="1768573280">
    <w:abstractNumId w:val="3"/>
  </w:num>
  <w:num w:numId="13" w16cid:durableId="1966887268">
    <w:abstractNumId w:val="18"/>
  </w:num>
  <w:num w:numId="14" w16cid:durableId="1907757662">
    <w:abstractNumId w:val="8"/>
  </w:num>
  <w:num w:numId="15" w16cid:durableId="1376854334">
    <w:abstractNumId w:val="22"/>
  </w:num>
  <w:num w:numId="16" w16cid:durableId="111215265">
    <w:abstractNumId w:val="5"/>
  </w:num>
  <w:num w:numId="17" w16cid:durableId="337661684">
    <w:abstractNumId w:val="23"/>
  </w:num>
  <w:num w:numId="18" w16cid:durableId="1513373094">
    <w:abstractNumId w:val="15"/>
  </w:num>
  <w:num w:numId="19" w16cid:durableId="1333411652">
    <w:abstractNumId w:val="29"/>
  </w:num>
  <w:num w:numId="20" w16cid:durableId="1408458973">
    <w:abstractNumId w:val="12"/>
  </w:num>
  <w:num w:numId="21" w16cid:durableId="65881932">
    <w:abstractNumId w:val="10"/>
  </w:num>
  <w:num w:numId="22" w16cid:durableId="191000588">
    <w:abstractNumId w:val="14"/>
  </w:num>
  <w:num w:numId="23" w16cid:durableId="1470391292">
    <w:abstractNumId w:val="20"/>
  </w:num>
  <w:num w:numId="24" w16cid:durableId="2098865834">
    <w:abstractNumId w:val="27"/>
  </w:num>
  <w:num w:numId="25" w16cid:durableId="1462457509">
    <w:abstractNumId w:val="4"/>
  </w:num>
  <w:num w:numId="26" w16cid:durableId="1117799237">
    <w:abstractNumId w:val="17"/>
  </w:num>
  <w:num w:numId="27" w16cid:durableId="1012412548">
    <w:abstractNumId w:val="21"/>
  </w:num>
  <w:num w:numId="28" w16cid:durableId="1559903314">
    <w:abstractNumId w:val="28"/>
  </w:num>
  <w:num w:numId="29" w16cid:durableId="2072726742">
    <w:abstractNumId w:val="25"/>
  </w:num>
  <w:num w:numId="30" w16cid:durableId="640694971">
    <w:abstractNumId w:val="11"/>
  </w:num>
  <w:num w:numId="31" w16cid:durableId="1073620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10B"/>
    <w:rsid w:val="00030174"/>
    <w:rsid w:val="0004579C"/>
    <w:rsid w:val="0006380B"/>
    <w:rsid w:val="00072426"/>
    <w:rsid w:val="00083057"/>
    <w:rsid w:val="000A47FA"/>
    <w:rsid w:val="000A65D3"/>
    <w:rsid w:val="000B1E33"/>
    <w:rsid w:val="000D689F"/>
    <w:rsid w:val="000E3A95"/>
    <w:rsid w:val="000E7B7B"/>
    <w:rsid w:val="000E7D62"/>
    <w:rsid w:val="00103357"/>
    <w:rsid w:val="00123C9F"/>
    <w:rsid w:val="00126190"/>
    <w:rsid w:val="00130F17"/>
    <w:rsid w:val="001320BF"/>
    <w:rsid w:val="00137766"/>
    <w:rsid w:val="00163BC4"/>
    <w:rsid w:val="001653EB"/>
    <w:rsid w:val="001860DC"/>
    <w:rsid w:val="00191062"/>
    <w:rsid w:val="00192B72"/>
    <w:rsid w:val="00196413"/>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5EA9"/>
    <w:rsid w:val="002B27FB"/>
    <w:rsid w:val="002B685A"/>
    <w:rsid w:val="002C0281"/>
    <w:rsid w:val="002C57D2"/>
    <w:rsid w:val="002C74CA"/>
    <w:rsid w:val="002E0D56"/>
    <w:rsid w:val="002F5EF9"/>
    <w:rsid w:val="00315186"/>
    <w:rsid w:val="0033343E"/>
    <w:rsid w:val="003512C2"/>
    <w:rsid w:val="00371FB6"/>
    <w:rsid w:val="003763C1"/>
    <w:rsid w:val="00376BBE"/>
    <w:rsid w:val="0039224F"/>
    <w:rsid w:val="00394F3D"/>
    <w:rsid w:val="003A43A4"/>
    <w:rsid w:val="003A7E18"/>
    <w:rsid w:val="003C4C86"/>
    <w:rsid w:val="003C6258"/>
    <w:rsid w:val="003E2904"/>
    <w:rsid w:val="003F5B1C"/>
    <w:rsid w:val="00401927"/>
    <w:rsid w:val="0041027F"/>
    <w:rsid w:val="00412475"/>
    <w:rsid w:val="00423789"/>
    <w:rsid w:val="00440F43"/>
    <w:rsid w:val="00441B6F"/>
    <w:rsid w:val="00446221"/>
    <w:rsid w:val="00450E62"/>
    <w:rsid w:val="004539DB"/>
    <w:rsid w:val="00456238"/>
    <w:rsid w:val="00471A80"/>
    <w:rsid w:val="00471FE5"/>
    <w:rsid w:val="00487E50"/>
    <w:rsid w:val="004B736A"/>
    <w:rsid w:val="004D305E"/>
    <w:rsid w:val="004D4277"/>
    <w:rsid w:val="00502516"/>
    <w:rsid w:val="00505F06"/>
    <w:rsid w:val="00506828"/>
    <w:rsid w:val="0053056E"/>
    <w:rsid w:val="00554FDA"/>
    <w:rsid w:val="005C2345"/>
    <w:rsid w:val="005C784C"/>
    <w:rsid w:val="005D17F6"/>
    <w:rsid w:val="005E5539"/>
    <w:rsid w:val="005E675D"/>
    <w:rsid w:val="00602BF5"/>
    <w:rsid w:val="0060728D"/>
    <w:rsid w:val="00617FDD"/>
    <w:rsid w:val="00633614"/>
    <w:rsid w:val="00633F68"/>
    <w:rsid w:val="00636EB2"/>
    <w:rsid w:val="006375B8"/>
    <w:rsid w:val="0066510A"/>
    <w:rsid w:val="006661A6"/>
    <w:rsid w:val="00673F9F"/>
    <w:rsid w:val="00686953"/>
    <w:rsid w:val="00687DEA"/>
    <w:rsid w:val="00687E67"/>
    <w:rsid w:val="006967F7"/>
    <w:rsid w:val="006A250C"/>
    <w:rsid w:val="006B21D3"/>
    <w:rsid w:val="006B434B"/>
    <w:rsid w:val="006B57D0"/>
    <w:rsid w:val="006D30FF"/>
    <w:rsid w:val="006D6940"/>
    <w:rsid w:val="006F11EC"/>
    <w:rsid w:val="0070082C"/>
    <w:rsid w:val="00712852"/>
    <w:rsid w:val="007369E6"/>
    <w:rsid w:val="00746E59"/>
    <w:rsid w:val="00747E6E"/>
    <w:rsid w:val="00754C9A"/>
    <w:rsid w:val="0075599A"/>
    <w:rsid w:val="00757743"/>
    <w:rsid w:val="00761D52"/>
    <w:rsid w:val="0077749E"/>
    <w:rsid w:val="00790ADA"/>
    <w:rsid w:val="007B4384"/>
    <w:rsid w:val="007D2288"/>
    <w:rsid w:val="007D2869"/>
    <w:rsid w:val="007E088F"/>
    <w:rsid w:val="007F7B32"/>
    <w:rsid w:val="00804BC2"/>
    <w:rsid w:val="00813D65"/>
    <w:rsid w:val="0081431A"/>
    <w:rsid w:val="0083216F"/>
    <w:rsid w:val="00860000"/>
    <w:rsid w:val="00863BD3"/>
    <w:rsid w:val="008641ED"/>
    <w:rsid w:val="00866D66"/>
    <w:rsid w:val="008671C6"/>
    <w:rsid w:val="00875803"/>
    <w:rsid w:val="008B459E"/>
    <w:rsid w:val="008D1790"/>
    <w:rsid w:val="008E13AE"/>
    <w:rsid w:val="008E1506"/>
    <w:rsid w:val="008E710C"/>
    <w:rsid w:val="008F69D6"/>
    <w:rsid w:val="00902823"/>
    <w:rsid w:val="00915CA6"/>
    <w:rsid w:val="009167A7"/>
    <w:rsid w:val="00920306"/>
    <w:rsid w:val="00927834"/>
    <w:rsid w:val="009500A6"/>
    <w:rsid w:val="00955413"/>
    <w:rsid w:val="00957C18"/>
    <w:rsid w:val="009659BA"/>
    <w:rsid w:val="00983040"/>
    <w:rsid w:val="00994849"/>
    <w:rsid w:val="009B3FB9"/>
    <w:rsid w:val="009C2465"/>
    <w:rsid w:val="009C4B97"/>
    <w:rsid w:val="009D0894"/>
    <w:rsid w:val="009D35A0"/>
    <w:rsid w:val="009D7EB7"/>
    <w:rsid w:val="009E048A"/>
    <w:rsid w:val="009E08E9"/>
    <w:rsid w:val="009E3DB9"/>
    <w:rsid w:val="009E6E35"/>
    <w:rsid w:val="009F002C"/>
    <w:rsid w:val="009F0EDA"/>
    <w:rsid w:val="00A03B96"/>
    <w:rsid w:val="00A05B19"/>
    <w:rsid w:val="00A1134E"/>
    <w:rsid w:val="00A16063"/>
    <w:rsid w:val="00A213ED"/>
    <w:rsid w:val="00A24E7E"/>
    <w:rsid w:val="00A258C3"/>
    <w:rsid w:val="00A347C0"/>
    <w:rsid w:val="00A51431"/>
    <w:rsid w:val="00A539AD"/>
    <w:rsid w:val="00A94063"/>
    <w:rsid w:val="00AA6219"/>
    <w:rsid w:val="00AA74E0"/>
    <w:rsid w:val="00AA78DE"/>
    <w:rsid w:val="00AB703F"/>
    <w:rsid w:val="00AC6BB8"/>
    <w:rsid w:val="00AD766E"/>
    <w:rsid w:val="00AE008F"/>
    <w:rsid w:val="00AE2FD9"/>
    <w:rsid w:val="00AE3DB7"/>
    <w:rsid w:val="00AE69CD"/>
    <w:rsid w:val="00AF5F69"/>
    <w:rsid w:val="00B01FCD"/>
    <w:rsid w:val="00B1776C"/>
    <w:rsid w:val="00B37D7E"/>
    <w:rsid w:val="00B52583"/>
    <w:rsid w:val="00B52896"/>
    <w:rsid w:val="00B573E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393B"/>
    <w:rsid w:val="00C85588"/>
    <w:rsid w:val="00CA565C"/>
    <w:rsid w:val="00CB0CA4"/>
    <w:rsid w:val="00CB29C1"/>
    <w:rsid w:val="00CB7575"/>
    <w:rsid w:val="00CD6755"/>
    <w:rsid w:val="00CD6856"/>
    <w:rsid w:val="00CE0089"/>
    <w:rsid w:val="00CE1B9F"/>
    <w:rsid w:val="00CE793C"/>
    <w:rsid w:val="00CF193C"/>
    <w:rsid w:val="00D173F1"/>
    <w:rsid w:val="00D329CE"/>
    <w:rsid w:val="00D61D34"/>
    <w:rsid w:val="00D74CB0"/>
    <w:rsid w:val="00D8295D"/>
    <w:rsid w:val="00DB5391"/>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5923"/>
    <w:rsid w:val="00EC6A55"/>
    <w:rsid w:val="00ED0288"/>
    <w:rsid w:val="00ED642D"/>
    <w:rsid w:val="00EE52CB"/>
    <w:rsid w:val="00EF581D"/>
    <w:rsid w:val="00EF7FD8"/>
    <w:rsid w:val="00F06F59"/>
    <w:rsid w:val="00F1651A"/>
    <w:rsid w:val="00F16B42"/>
    <w:rsid w:val="00F17988"/>
    <w:rsid w:val="00F469F0"/>
    <w:rsid w:val="00F53273"/>
    <w:rsid w:val="00F64FD9"/>
    <w:rsid w:val="00F721AD"/>
    <w:rsid w:val="00F755E4"/>
    <w:rsid w:val="00F77D02"/>
    <w:rsid w:val="00FB3A86"/>
    <w:rsid w:val="00FC6B93"/>
    <w:rsid w:val="00FD36C8"/>
    <w:rsid w:val="00FE005D"/>
    <w:rsid w:val="00FE74A6"/>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BA53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923"/>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D089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56238"/>
    <w:pPr>
      <w:ind w:left="720"/>
      <w:contextualSpacing/>
    </w:pPr>
  </w:style>
  <w:style w:type="paragraph" w:styleId="NoSpacing">
    <w:name w:val="No Spacing"/>
    <w:uiPriority w:val="1"/>
    <w:qFormat/>
    <w:rsid w:val="008D1790"/>
    <w:rPr>
      <w:rFonts w:asciiTheme="minorHAnsi" w:eastAsiaTheme="minorHAnsi" w:hAnsiTheme="minorHAnsi" w:cstheme="minorBidi"/>
      <w:sz w:val="22"/>
      <w:szCs w:val="22"/>
      <w:lang w:val="en-GB"/>
    </w:rPr>
  </w:style>
  <w:style w:type="character" w:customStyle="1" w:styleId="Heading2Char">
    <w:name w:val="Heading 2 Char"/>
    <w:basedOn w:val="DefaultParagraphFont"/>
    <w:link w:val="Heading2"/>
    <w:semiHidden/>
    <w:rsid w:val="009D0894"/>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9D0894"/>
    <w:rPr>
      <w:b/>
      <w:bCs/>
    </w:rPr>
  </w:style>
  <w:style w:type="paragraph" w:styleId="NormalWeb">
    <w:name w:val="Normal (Web)"/>
    <w:basedOn w:val="Normal"/>
    <w:uiPriority w:val="99"/>
    <w:semiHidden/>
    <w:unhideWhenUsed/>
    <w:rsid w:val="009D0894"/>
    <w:pPr>
      <w:spacing w:before="100" w:beforeAutospacing="1" w:after="100" w:afterAutospacing="1"/>
    </w:pPr>
    <w:rPr>
      <w:rFonts w:ascii="Times New Roman" w:hAnsi="Times New Roman"/>
      <w:sz w:val="24"/>
      <w:szCs w:val="24"/>
      <w:lang w:val="en-IN" w:eastAsia="en-IN" w:bidi="te-IN"/>
    </w:rPr>
  </w:style>
  <w:style w:type="character" w:customStyle="1" w:styleId="whitespace-normal">
    <w:name w:val="whitespace-normal"/>
    <w:basedOn w:val="DefaultParagraphFont"/>
    <w:rsid w:val="009D0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pubs.icar.org.in/ejournal/index.php/IJAgS/article/view/86198"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epubs.icar.org.in/ejournal/index.php/IJAgS/article/view/8619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9734/ajaees/2024/v42i122646" TargetMode="External"/><Relationship Id="rId25" Type="http://schemas.openxmlformats.org/officeDocument/2006/relationships/hyperlink" Target="https://doi.org/10.26725/JEE.2023.2.35.7013-7022" TargetMode="External"/><Relationship Id="rId2" Type="http://schemas.openxmlformats.org/officeDocument/2006/relationships/numbering" Target="numbering.xml"/><Relationship Id="rId16" Type="http://schemas.openxmlformats.org/officeDocument/2006/relationships/hyperlink" Target="https://agrimanipur.mn.gov.in/annual-administration-report" TargetMode="External"/><Relationship Id="rId20" Type="http://schemas.openxmlformats.org/officeDocument/2006/relationships/hyperlink" Target="https://epubs.icar.org.in/index.php/TJRA/article/view/133402"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77/22779787231209169"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389/fsufs.2023.1270121"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787/53341181501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9734/ajaees/2023/v41i82001"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2DE37-90C8-4246-BB2A-70F926BF8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134</TotalTime>
  <Pages>16</Pages>
  <Words>6788</Words>
  <Characters>38693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45391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Jahnavi Moturi</cp:lastModifiedBy>
  <cp:revision>5</cp:revision>
  <cp:lastPrinted>1999-07-06T11:00:00Z</cp:lastPrinted>
  <dcterms:created xsi:type="dcterms:W3CDTF">2026-04-09T16:44:00Z</dcterms:created>
  <dcterms:modified xsi:type="dcterms:W3CDTF">2026-04-09T19:15:00Z</dcterms:modified>
</cp:coreProperties>
</file>