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32BE" w14:textId="4A6A00CB" w:rsidR="00CF2BA2" w:rsidRDefault="00E17968" w:rsidP="00126639">
      <w:pPr>
        <w:spacing w:after="0" w:line="360" w:lineRule="auto"/>
        <w:jc w:val="center"/>
        <w:rPr>
          <w:rFonts w:ascii="Arial" w:hAnsi="Arial" w:cs="Arial"/>
          <w:b/>
          <w:bCs/>
          <w:sz w:val="28"/>
          <w:szCs w:val="28"/>
        </w:rPr>
      </w:pPr>
      <w:r w:rsidRPr="00E54597">
        <w:rPr>
          <w:rFonts w:ascii="Arial" w:hAnsi="Arial" w:cs="Arial"/>
          <w:b/>
          <w:bCs/>
          <w:sz w:val="28"/>
          <w:szCs w:val="28"/>
        </w:rPr>
        <w:t>Technical Efficiency Analysis of</w:t>
      </w:r>
      <w:r w:rsidR="00126639">
        <w:rPr>
          <w:rFonts w:ascii="Arial" w:hAnsi="Arial" w:cs="Arial"/>
          <w:b/>
          <w:bCs/>
          <w:sz w:val="28"/>
          <w:szCs w:val="28"/>
        </w:rPr>
        <w:t xml:space="preserve"> </w:t>
      </w:r>
      <w:proofErr w:type="spellStart"/>
      <w:r w:rsidRPr="00E54597">
        <w:rPr>
          <w:rFonts w:ascii="Arial" w:hAnsi="Arial" w:cs="Arial"/>
          <w:b/>
          <w:bCs/>
          <w:sz w:val="28"/>
          <w:szCs w:val="28"/>
        </w:rPr>
        <w:t>Blackgram</w:t>
      </w:r>
      <w:proofErr w:type="spellEnd"/>
      <w:r w:rsidRPr="00E54597">
        <w:rPr>
          <w:rFonts w:ascii="Arial" w:hAnsi="Arial" w:cs="Arial"/>
          <w:b/>
          <w:bCs/>
          <w:sz w:val="28"/>
          <w:szCs w:val="28"/>
        </w:rPr>
        <w:t xml:space="preserve"> </w:t>
      </w:r>
      <w:r w:rsidR="00126639">
        <w:rPr>
          <w:rFonts w:ascii="Arial" w:hAnsi="Arial" w:cs="Arial"/>
          <w:b/>
          <w:bCs/>
          <w:sz w:val="28"/>
          <w:szCs w:val="28"/>
        </w:rPr>
        <w:t xml:space="preserve">Varieties </w:t>
      </w:r>
      <w:r w:rsidRPr="00E54597">
        <w:rPr>
          <w:rFonts w:ascii="Arial" w:hAnsi="Arial" w:cs="Arial"/>
          <w:b/>
          <w:bCs/>
          <w:sz w:val="28"/>
          <w:szCs w:val="28"/>
        </w:rPr>
        <w:t>in the Humid South Eastern Plain Zone of Rajasthan</w:t>
      </w:r>
      <w:r w:rsidR="001F26D9">
        <w:rPr>
          <w:rFonts w:ascii="Arial" w:hAnsi="Arial" w:cs="Arial"/>
          <w:b/>
          <w:bCs/>
          <w:sz w:val="28"/>
          <w:szCs w:val="28"/>
        </w:rPr>
        <w:t>, India</w:t>
      </w:r>
    </w:p>
    <w:p w14:paraId="37BAF0CC" w14:textId="7779960E" w:rsidR="00E17968" w:rsidRPr="00C420D8" w:rsidRDefault="007A58E7" w:rsidP="00BF2EFE">
      <w:pPr>
        <w:spacing w:after="0" w:line="360" w:lineRule="auto"/>
        <w:jc w:val="both"/>
        <w:rPr>
          <w:rFonts w:ascii="Arial" w:hAnsi="Arial" w:cs="Arial"/>
          <w:b/>
          <w:bCs/>
          <w:lang w:val="en-US"/>
        </w:rPr>
      </w:pPr>
      <w:r w:rsidRPr="00C420D8">
        <w:rPr>
          <w:rFonts w:ascii="Arial" w:hAnsi="Arial" w:cs="Arial"/>
          <w:b/>
          <w:bCs/>
          <w:lang w:val="en-US"/>
        </w:rPr>
        <w:t>AB</w:t>
      </w:r>
      <w:r w:rsidR="00CC613E" w:rsidRPr="00C420D8">
        <w:rPr>
          <w:rFonts w:ascii="Arial" w:hAnsi="Arial" w:cs="Arial"/>
          <w:b/>
          <w:bCs/>
          <w:lang w:val="en-US"/>
        </w:rPr>
        <w:t xml:space="preserve">STRACT </w:t>
      </w:r>
    </w:p>
    <w:p w14:paraId="16FCCA07" w14:textId="00A6260A" w:rsidR="001F26D9" w:rsidRDefault="00F660C5" w:rsidP="002F1910">
      <w:pPr>
        <w:spacing w:after="200" w:line="360" w:lineRule="auto"/>
        <w:jc w:val="both"/>
        <w:rPr>
          <w:rFonts w:ascii="Arial" w:eastAsia="Times New Roman" w:hAnsi="Arial" w:cs="Arial"/>
          <w:sz w:val="20"/>
          <w:szCs w:val="20"/>
        </w:rPr>
      </w:pPr>
      <w:r w:rsidRPr="00675C39">
        <w:rPr>
          <w:rFonts w:ascii="Arial" w:hAnsi="Arial" w:cs="Arial"/>
          <w:sz w:val="20"/>
          <w:szCs w:val="20"/>
        </w:rPr>
        <w:t xml:space="preserve">Pulse production is one of the most important segments after oilseeds and cereals </w:t>
      </w:r>
      <w:r w:rsidR="00E3124B">
        <w:rPr>
          <w:rFonts w:ascii="Arial" w:hAnsi="Arial" w:cs="Arial"/>
          <w:sz w:val="20"/>
          <w:szCs w:val="20"/>
        </w:rPr>
        <w:t>in</w:t>
      </w:r>
      <w:r w:rsidRPr="00675C39">
        <w:rPr>
          <w:rFonts w:ascii="Arial" w:hAnsi="Arial" w:cs="Arial"/>
          <w:sz w:val="20"/>
          <w:szCs w:val="20"/>
        </w:rPr>
        <w:t xml:space="preserve"> agriculture</w:t>
      </w:r>
      <w:r w:rsidR="00D40069" w:rsidRPr="00675C39">
        <w:rPr>
          <w:rFonts w:ascii="Arial" w:hAnsi="Arial" w:cs="Arial"/>
          <w:sz w:val="20"/>
          <w:szCs w:val="20"/>
        </w:rPr>
        <w:t xml:space="preserve">. </w:t>
      </w:r>
      <w:r w:rsidR="00AA788A" w:rsidRPr="00AA788A">
        <w:rPr>
          <w:rFonts w:ascii="Arial" w:hAnsi="Arial" w:cs="Arial"/>
          <w:sz w:val="20"/>
          <w:szCs w:val="20"/>
        </w:rPr>
        <w:t xml:space="preserve">Among the diverse pulse crops, </w:t>
      </w:r>
      <w:proofErr w:type="spellStart"/>
      <w:r w:rsidR="00AA788A" w:rsidRPr="00AA788A">
        <w:rPr>
          <w:rFonts w:ascii="Arial" w:hAnsi="Arial" w:cs="Arial"/>
          <w:sz w:val="20"/>
          <w:szCs w:val="20"/>
        </w:rPr>
        <w:t>blackgram</w:t>
      </w:r>
      <w:proofErr w:type="spellEnd"/>
      <w:r w:rsidR="00AA788A" w:rsidRPr="00AA788A">
        <w:rPr>
          <w:rFonts w:ascii="Arial" w:hAnsi="Arial" w:cs="Arial"/>
          <w:sz w:val="20"/>
          <w:szCs w:val="20"/>
        </w:rPr>
        <w:t xml:space="preserve"> or </w:t>
      </w:r>
      <w:proofErr w:type="spellStart"/>
      <w:r w:rsidR="00AA788A" w:rsidRPr="00AA788A">
        <w:rPr>
          <w:rFonts w:ascii="Arial" w:hAnsi="Arial" w:cs="Arial"/>
          <w:sz w:val="20"/>
          <w:szCs w:val="20"/>
        </w:rPr>
        <w:t>urdbean</w:t>
      </w:r>
      <w:proofErr w:type="spellEnd"/>
      <w:r w:rsidR="00AA788A" w:rsidRPr="00AA788A">
        <w:rPr>
          <w:rFonts w:ascii="Arial" w:hAnsi="Arial" w:cs="Arial"/>
          <w:sz w:val="20"/>
          <w:szCs w:val="20"/>
        </w:rPr>
        <w:t xml:space="preserve"> (</w:t>
      </w:r>
      <w:r w:rsidR="00AA788A" w:rsidRPr="00284014">
        <w:rPr>
          <w:rFonts w:ascii="Arial" w:hAnsi="Arial" w:cs="Arial"/>
          <w:i/>
          <w:sz w:val="20"/>
          <w:szCs w:val="20"/>
        </w:rPr>
        <w:t>Vigna mungo</w:t>
      </w:r>
      <w:r w:rsidR="00AA788A" w:rsidRPr="00AA788A">
        <w:rPr>
          <w:rFonts w:ascii="Arial" w:hAnsi="Arial" w:cs="Arial"/>
          <w:sz w:val="20"/>
          <w:szCs w:val="20"/>
        </w:rPr>
        <w:t xml:space="preserve"> L.), a member of the tribe </w:t>
      </w:r>
      <w:proofErr w:type="spellStart"/>
      <w:r w:rsidR="00AA788A" w:rsidRPr="00AA788A">
        <w:rPr>
          <w:rFonts w:ascii="Arial" w:hAnsi="Arial" w:cs="Arial"/>
          <w:sz w:val="20"/>
          <w:szCs w:val="20"/>
        </w:rPr>
        <w:t>Phaseoleae</w:t>
      </w:r>
      <w:proofErr w:type="spellEnd"/>
      <w:r w:rsidR="00AA788A" w:rsidRPr="00AA788A">
        <w:rPr>
          <w:rFonts w:ascii="Arial" w:hAnsi="Arial" w:cs="Arial"/>
          <w:sz w:val="20"/>
          <w:szCs w:val="20"/>
        </w:rPr>
        <w:t xml:space="preserve"> within the family Leguminosae, holds considerable significance due to its high content of protein and phosphoric acid. Greater emphasis should be placed on the adoption of improved pulse varieties, alongside the strengthening of technology transfer related to </w:t>
      </w:r>
      <w:proofErr w:type="spellStart"/>
      <w:r w:rsidR="00AA788A" w:rsidRPr="00AA788A">
        <w:rPr>
          <w:rFonts w:ascii="Arial" w:hAnsi="Arial" w:cs="Arial"/>
          <w:sz w:val="20"/>
          <w:szCs w:val="20"/>
        </w:rPr>
        <w:t>blackgram</w:t>
      </w:r>
      <w:proofErr w:type="spellEnd"/>
      <w:r w:rsidR="00AA788A" w:rsidRPr="00AA788A">
        <w:rPr>
          <w:rFonts w:ascii="Arial" w:hAnsi="Arial" w:cs="Arial"/>
          <w:sz w:val="20"/>
          <w:szCs w:val="20"/>
        </w:rPr>
        <w:t xml:space="preserve"> and other pulses. Such efforts should be implemented through a participatory approach involving farmers, with the active collaboration of a multidisciplinary team of scientists, in order to enhance overall pulse productivity.</w:t>
      </w:r>
      <w:r w:rsidR="00251160" w:rsidRPr="00675C39">
        <w:rPr>
          <w:rFonts w:ascii="Arial" w:hAnsi="Arial" w:cs="Arial"/>
          <w:sz w:val="20"/>
          <w:szCs w:val="20"/>
        </w:rPr>
        <w:t xml:space="preserve"> </w:t>
      </w:r>
      <w:r w:rsidR="00B81FC8" w:rsidRPr="00675C39">
        <w:rPr>
          <w:rFonts w:ascii="Arial" w:hAnsi="Arial" w:cs="Arial"/>
          <w:sz w:val="20"/>
          <w:szCs w:val="20"/>
        </w:rPr>
        <w:t xml:space="preserve">For </w:t>
      </w:r>
      <w:r w:rsidR="006C7F60" w:rsidRPr="00675C39">
        <w:rPr>
          <w:rFonts w:ascii="Arial" w:hAnsi="Arial" w:cs="Arial"/>
          <w:sz w:val="20"/>
          <w:szCs w:val="20"/>
        </w:rPr>
        <w:t>The present investigation was undertaken to measure the technical effic</w:t>
      </w:r>
      <w:r w:rsidR="009D4ACC" w:rsidRPr="00675C39">
        <w:rPr>
          <w:rFonts w:ascii="Arial" w:hAnsi="Arial" w:cs="Arial"/>
          <w:sz w:val="20"/>
          <w:szCs w:val="20"/>
        </w:rPr>
        <w:t>iency</w:t>
      </w:r>
      <w:r w:rsidR="00251160" w:rsidRPr="00675C39">
        <w:rPr>
          <w:rFonts w:ascii="Arial" w:hAnsi="Arial" w:cs="Arial"/>
          <w:sz w:val="20"/>
          <w:szCs w:val="20"/>
        </w:rPr>
        <w:t xml:space="preserve"> levels of improved as well as local varieties of </w:t>
      </w:r>
      <w:proofErr w:type="spellStart"/>
      <w:r w:rsidR="00251160" w:rsidRPr="00675C39">
        <w:rPr>
          <w:rFonts w:ascii="Arial" w:hAnsi="Arial" w:cs="Arial"/>
          <w:sz w:val="20"/>
          <w:szCs w:val="20"/>
        </w:rPr>
        <w:t>blackgram</w:t>
      </w:r>
      <w:proofErr w:type="spellEnd"/>
      <w:r w:rsidR="00251160" w:rsidRPr="00675C39">
        <w:rPr>
          <w:rFonts w:ascii="Arial" w:hAnsi="Arial" w:cs="Arial"/>
          <w:sz w:val="20"/>
          <w:szCs w:val="20"/>
        </w:rPr>
        <w:t xml:space="preserve"> used by farmers</w:t>
      </w:r>
      <w:r w:rsidR="005E67C6" w:rsidRPr="00675C39">
        <w:rPr>
          <w:rFonts w:ascii="Arial" w:hAnsi="Arial" w:cs="Arial"/>
          <w:sz w:val="20"/>
          <w:szCs w:val="20"/>
        </w:rPr>
        <w:t xml:space="preserve"> in terms of area production and productivity and total income generated in comparison to existing varieties</w:t>
      </w:r>
      <w:r w:rsidR="005E67C6" w:rsidRPr="00675C39">
        <w:rPr>
          <w:rFonts w:ascii="Arial" w:hAnsi="Arial" w:cs="Arial"/>
          <w:color w:val="FF0000"/>
          <w:sz w:val="20"/>
          <w:szCs w:val="20"/>
        </w:rPr>
        <w:t xml:space="preserve">. </w:t>
      </w:r>
      <w:r w:rsidR="005E67C6" w:rsidRPr="00675C39">
        <w:rPr>
          <w:rFonts w:ascii="Arial" w:hAnsi="Arial" w:cs="Arial"/>
          <w:sz w:val="20"/>
          <w:szCs w:val="20"/>
        </w:rPr>
        <w:t xml:space="preserve">Kota </w:t>
      </w:r>
      <w:proofErr w:type="spellStart"/>
      <w:r w:rsidR="005E67C6" w:rsidRPr="00675C39">
        <w:rPr>
          <w:rFonts w:ascii="Arial" w:hAnsi="Arial" w:cs="Arial"/>
          <w:sz w:val="20"/>
          <w:szCs w:val="20"/>
        </w:rPr>
        <w:t>Urd</w:t>
      </w:r>
      <w:proofErr w:type="spellEnd"/>
      <w:r w:rsidR="005E67C6" w:rsidRPr="00675C39">
        <w:rPr>
          <w:rFonts w:ascii="Arial" w:hAnsi="Arial" w:cs="Arial"/>
          <w:sz w:val="20"/>
          <w:szCs w:val="20"/>
        </w:rPr>
        <w:t xml:space="preserve"> – 3 (KPU 12-1735) this improved variety of </w:t>
      </w:r>
      <w:proofErr w:type="spellStart"/>
      <w:r w:rsidR="005E67C6" w:rsidRPr="00675C39">
        <w:rPr>
          <w:rFonts w:ascii="Arial" w:hAnsi="Arial" w:cs="Arial"/>
          <w:sz w:val="20"/>
          <w:szCs w:val="20"/>
        </w:rPr>
        <w:t>blackgram</w:t>
      </w:r>
      <w:proofErr w:type="spellEnd"/>
      <w:r w:rsidR="005E67C6" w:rsidRPr="00675C39">
        <w:rPr>
          <w:rFonts w:ascii="Arial" w:hAnsi="Arial" w:cs="Arial"/>
          <w:sz w:val="20"/>
          <w:szCs w:val="20"/>
        </w:rPr>
        <w:t xml:space="preserve"> released from Agriculture University, Kota in the year 2020. </w:t>
      </w:r>
      <w:r w:rsidR="00AA788A" w:rsidRPr="00AA788A">
        <w:rPr>
          <w:rFonts w:ascii="Arial" w:hAnsi="Arial" w:cs="Arial"/>
          <w:sz w:val="20"/>
          <w:szCs w:val="20"/>
        </w:rPr>
        <w:t xml:space="preserve">The </w:t>
      </w:r>
      <w:proofErr w:type="spellStart"/>
      <w:r w:rsidR="00AA788A" w:rsidRPr="00AA788A">
        <w:rPr>
          <w:rFonts w:ascii="Arial" w:hAnsi="Arial" w:cs="Arial"/>
          <w:sz w:val="20"/>
          <w:szCs w:val="20"/>
        </w:rPr>
        <w:t>Bundi</w:t>
      </w:r>
      <w:proofErr w:type="spellEnd"/>
      <w:r w:rsidR="00AA788A" w:rsidRPr="00AA788A">
        <w:rPr>
          <w:rFonts w:ascii="Arial" w:hAnsi="Arial" w:cs="Arial"/>
          <w:sz w:val="20"/>
          <w:szCs w:val="20"/>
        </w:rPr>
        <w:t xml:space="preserve"> district of Rajasthan was purposively selected for the present investigation. A multistage sampling procedure was employed for the selection of respondents. In total, 120 farmers were included in the sample for the study.</w:t>
      </w:r>
      <w:r w:rsidR="00AA788A">
        <w:rPr>
          <w:rFonts w:ascii="Arial" w:hAnsi="Arial" w:cs="Arial"/>
          <w:sz w:val="20"/>
          <w:szCs w:val="20"/>
        </w:rPr>
        <w:t xml:space="preserve"> </w:t>
      </w:r>
      <w:r w:rsidR="00507769" w:rsidRPr="00675C39">
        <w:rPr>
          <w:rFonts w:ascii="Arial" w:hAnsi="Arial" w:cs="Arial"/>
          <w:sz w:val="20"/>
          <w:szCs w:val="20"/>
        </w:rPr>
        <w:t>The</w:t>
      </w:r>
      <w:r w:rsidR="00204622" w:rsidRPr="00675C39">
        <w:rPr>
          <w:rFonts w:ascii="Arial" w:hAnsi="Arial" w:cs="Arial"/>
          <w:sz w:val="20"/>
          <w:szCs w:val="20"/>
          <w:lang w:bidi="hi-IN"/>
        </w:rPr>
        <w:t xml:space="preserve"> results indicated that the </w:t>
      </w:r>
      <w:proofErr w:type="spellStart"/>
      <w:r w:rsidR="00204622" w:rsidRPr="00675C39">
        <w:rPr>
          <w:rFonts w:ascii="Arial" w:hAnsi="Arial" w:cs="Arial"/>
          <w:sz w:val="20"/>
          <w:szCs w:val="20"/>
          <w:lang w:bidi="hi-IN"/>
        </w:rPr>
        <w:t>blackgram</w:t>
      </w:r>
      <w:proofErr w:type="spellEnd"/>
      <w:r w:rsidR="00204622" w:rsidRPr="00675C39">
        <w:rPr>
          <w:rFonts w:ascii="Arial" w:hAnsi="Arial" w:cs="Arial"/>
          <w:sz w:val="20"/>
          <w:szCs w:val="20"/>
          <w:lang w:bidi="hi-IN"/>
        </w:rPr>
        <w:t xml:space="preserve"> farmers of improved variety (Kota Urd-3) grower were better than the existing variety (PU-31)</w:t>
      </w:r>
      <w:r w:rsidR="00531A6F" w:rsidRPr="00675C39">
        <w:rPr>
          <w:rFonts w:ascii="Arial" w:hAnsi="Arial" w:cs="Arial"/>
          <w:sz w:val="20"/>
          <w:szCs w:val="20"/>
          <w:lang w:bidi="hi-IN"/>
        </w:rPr>
        <w:t xml:space="preserve">. </w:t>
      </w:r>
      <w:r w:rsidR="00AA788A" w:rsidRPr="00AA788A">
        <w:rPr>
          <w:rFonts w:ascii="Arial" w:hAnsi="Arial" w:cs="Arial"/>
          <w:bCs/>
          <w:sz w:val="20"/>
          <w:szCs w:val="20"/>
        </w:rPr>
        <w:t xml:space="preserve">The findings further indicated that variables such as age, education, mass media utilisation, social participation, innovativeness, and risk orientation exhibited positive and statistically significant associations with the technical efficiency of </w:t>
      </w:r>
      <w:proofErr w:type="spellStart"/>
      <w:r w:rsidR="00AA788A" w:rsidRPr="00AA788A">
        <w:rPr>
          <w:rFonts w:ascii="Arial" w:hAnsi="Arial" w:cs="Arial"/>
          <w:bCs/>
          <w:sz w:val="20"/>
          <w:szCs w:val="20"/>
        </w:rPr>
        <w:t>blackgram</w:t>
      </w:r>
      <w:proofErr w:type="spellEnd"/>
      <w:r w:rsidR="00AA788A" w:rsidRPr="00AA788A">
        <w:rPr>
          <w:rFonts w:ascii="Arial" w:hAnsi="Arial" w:cs="Arial"/>
          <w:bCs/>
          <w:sz w:val="20"/>
          <w:szCs w:val="20"/>
        </w:rPr>
        <w:t xml:space="preserve"> growers. Additionally, farming experience and extension contact were also found to be positively and significantly associated with the technical efficiency of </w:t>
      </w:r>
      <w:proofErr w:type="spellStart"/>
      <w:r w:rsidR="00AA788A" w:rsidRPr="00AA788A">
        <w:rPr>
          <w:rFonts w:ascii="Arial" w:hAnsi="Arial" w:cs="Arial"/>
          <w:bCs/>
          <w:sz w:val="20"/>
          <w:szCs w:val="20"/>
        </w:rPr>
        <w:t>blackgram</w:t>
      </w:r>
      <w:proofErr w:type="spellEnd"/>
      <w:r w:rsidR="00AA788A" w:rsidRPr="00AA788A">
        <w:rPr>
          <w:rFonts w:ascii="Arial" w:hAnsi="Arial" w:cs="Arial"/>
          <w:bCs/>
          <w:sz w:val="20"/>
          <w:szCs w:val="20"/>
        </w:rPr>
        <w:t xml:space="preserve"> growers</w:t>
      </w:r>
      <w:r w:rsidR="002E0401" w:rsidRPr="00675C39">
        <w:rPr>
          <w:rFonts w:ascii="Arial" w:eastAsia="Times New Roman" w:hAnsi="Arial" w:cs="Arial"/>
          <w:sz w:val="20"/>
          <w:szCs w:val="20"/>
        </w:rPr>
        <w:t>.</w:t>
      </w:r>
    </w:p>
    <w:p w14:paraId="5C643E93" w14:textId="0E99E6F4" w:rsidR="002F1910" w:rsidRDefault="00972817" w:rsidP="002F1910">
      <w:pPr>
        <w:spacing w:after="200" w:line="360" w:lineRule="auto"/>
        <w:jc w:val="both"/>
        <w:rPr>
          <w:rFonts w:ascii="Arial" w:hAnsi="Arial" w:cs="Arial"/>
          <w:sz w:val="20"/>
          <w:szCs w:val="20"/>
        </w:rPr>
      </w:pPr>
      <w:r w:rsidRPr="00675C39">
        <w:rPr>
          <w:rFonts w:ascii="Arial" w:eastAsia="Times New Roman" w:hAnsi="Arial" w:cs="Arial"/>
          <w:sz w:val="20"/>
          <w:szCs w:val="20"/>
        </w:rPr>
        <w:t>Keywords</w:t>
      </w:r>
      <w:r w:rsidR="001F26D9">
        <w:rPr>
          <w:rFonts w:ascii="Arial" w:eastAsia="Times New Roman" w:hAnsi="Arial" w:cs="Arial"/>
          <w:sz w:val="20"/>
          <w:szCs w:val="20"/>
        </w:rPr>
        <w:t xml:space="preserve">: </w:t>
      </w:r>
      <w:r w:rsidR="00D00D46" w:rsidRPr="00675C39">
        <w:rPr>
          <w:rFonts w:ascii="Arial" w:eastAsia="Times New Roman" w:hAnsi="Arial" w:cs="Arial"/>
          <w:sz w:val="20"/>
          <w:szCs w:val="20"/>
        </w:rPr>
        <w:t xml:space="preserve">Pulse, </w:t>
      </w:r>
      <w:proofErr w:type="spellStart"/>
      <w:r w:rsidR="00D00D46" w:rsidRPr="00675C39">
        <w:rPr>
          <w:rFonts w:ascii="Arial" w:eastAsia="Times New Roman" w:hAnsi="Arial" w:cs="Arial"/>
          <w:sz w:val="20"/>
          <w:szCs w:val="20"/>
        </w:rPr>
        <w:t>Blackgram</w:t>
      </w:r>
      <w:proofErr w:type="spellEnd"/>
      <w:r w:rsidRPr="00675C39">
        <w:rPr>
          <w:rFonts w:ascii="Arial" w:eastAsia="Times New Roman" w:hAnsi="Arial" w:cs="Arial"/>
          <w:sz w:val="20"/>
          <w:szCs w:val="20"/>
        </w:rPr>
        <w:t xml:space="preserve">, </w:t>
      </w:r>
      <w:r w:rsidR="00C545CA" w:rsidRPr="00675C39">
        <w:rPr>
          <w:rFonts w:ascii="Arial" w:eastAsia="Times New Roman" w:hAnsi="Arial" w:cs="Arial"/>
          <w:sz w:val="20"/>
          <w:szCs w:val="20"/>
        </w:rPr>
        <w:t xml:space="preserve">improved variety, </w:t>
      </w:r>
      <w:r w:rsidR="00641547" w:rsidRPr="00675C39">
        <w:rPr>
          <w:rFonts w:ascii="Arial" w:eastAsia="Times New Roman" w:hAnsi="Arial" w:cs="Arial"/>
          <w:sz w:val="20"/>
          <w:szCs w:val="20"/>
        </w:rPr>
        <w:t>technical efficiency</w:t>
      </w:r>
      <w:r w:rsidR="00126639" w:rsidRPr="00675C39">
        <w:rPr>
          <w:rFonts w:ascii="Arial" w:eastAsia="Times New Roman" w:hAnsi="Arial" w:cs="Arial"/>
          <w:sz w:val="20"/>
          <w:szCs w:val="20"/>
        </w:rPr>
        <w:t xml:space="preserve">, adoption. </w:t>
      </w:r>
    </w:p>
    <w:p w14:paraId="57928F8C" w14:textId="2FE0C14C" w:rsidR="004F7DFB" w:rsidRPr="002F1910" w:rsidRDefault="004F7DFB" w:rsidP="002F1910">
      <w:pPr>
        <w:spacing w:after="0" w:line="360" w:lineRule="auto"/>
        <w:jc w:val="both"/>
        <w:rPr>
          <w:rFonts w:ascii="Arial" w:hAnsi="Arial" w:cs="Arial"/>
          <w:sz w:val="20"/>
          <w:szCs w:val="20"/>
        </w:rPr>
      </w:pPr>
      <w:r w:rsidRPr="00C420D8">
        <w:rPr>
          <w:rFonts w:ascii="Arial" w:eastAsia="Times New Roman" w:hAnsi="Arial" w:cs="Arial"/>
          <w:b/>
          <w:bCs/>
        </w:rPr>
        <w:t xml:space="preserve">INTRODUCTION </w:t>
      </w:r>
    </w:p>
    <w:p w14:paraId="7B1C9E4A" w14:textId="308C9B6F" w:rsidR="00AA788A" w:rsidRDefault="00AA788A" w:rsidP="00AA788A">
      <w:pPr>
        <w:spacing w:after="0" w:line="360" w:lineRule="auto"/>
        <w:jc w:val="both"/>
        <w:rPr>
          <w:rFonts w:ascii="Arial" w:hAnsi="Arial" w:cs="Arial"/>
          <w:sz w:val="20"/>
          <w:szCs w:val="20"/>
        </w:rPr>
      </w:pPr>
      <w:r w:rsidRPr="00AA788A">
        <w:rPr>
          <w:rFonts w:ascii="Arial" w:hAnsi="Arial" w:cs="Arial"/>
          <w:sz w:val="20"/>
          <w:szCs w:val="20"/>
        </w:rPr>
        <w:t>Agriculture derives its significance from its crucial supply- and demand-side linkages with the manufacturing sector, while also serving as a primary source of livelihood for India’s rural population. It constitutes the backbone of the rural livelihood security system. Pulses are widely regarded as the “poor man’s meat” and the “rich man’s vegetable”, owing to their role as a major source of proteins, vitamins, and minerals, particularly within predominantly vegetarian diets in India. The National Food Security Act, 2013 establishes nutritional security as a legal entitlement, with the government prioritising access to adequate quantities of nutritionally rich and affordable food for all individuals.</w:t>
      </w:r>
      <w:r>
        <w:rPr>
          <w:rFonts w:ascii="Arial" w:hAnsi="Arial" w:cs="Arial"/>
          <w:sz w:val="20"/>
          <w:szCs w:val="20"/>
        </w:rPr>
        <w:t xml:space="preserve"> </w:t>
      </w:r>
      <w:r w:rsidRPr="00AA788A">
        <w:rPr>
          <w:rFonts w:ascii="Arial" w:hAnsi="Arial" w:cs="Arial"/>
          <w:sz w:val="20"/>
          <w:szCs w:val="20"/>
        </w:rPr>
        <w:t>Pulses represent an important crop group due to their high nutritional value. They provide an inexpensive source of protein, are rich in dietary fibre, and supply essential vitamins and minerals. Notably, the protein content of pulses is approximately three times that of cereals. Consequently, pulses contribute significantly to addressing protein deficiency in India, where a large proportion of the population follows vegetarian diets. However, the per capita daily availability of pulses in the country remains considerably below the minimum levels recommended by nutritional experts.</w:t>
      </w:r>
    </w:p>
    <w:p w14:paraId="6713DEF7" w14:textId="3DCEBD58" w:rsidR="007C5049" w:rsidRDefault="00284014" w:rsidP="00AA788A">
      <w:pPr>
        <w:spacing w:after="0" w:line="360" w:lineRule="auto"/>
        <w:jc w:val="both"/>
        <w:rPr>
          <w:rFonts w:ascii="Arial" w:hAnsi="Arial" w:cs="Arial"/>
          <w:sz w:val="20"/>
          <w:szCs w:val="20"/>
        </w:rPr>
      </w:pPr>
      <w:r w:rsidRPr="00284014">
        <w:rPr>
          <w:rFonts w:ascii="Arial" w:hAnsi="Arial" w:cs="Arial"/>
          <w:sz w:val="20"/>
          <w:szCs w:val="20"/>
        </w:rPr>
        <w:lastRenderedPageBreak/>
        <w:t>Pulses contain approximately three times more protein than cereals. Consequently, they help to some extent in addressing protein deficiency in India, where a large proportion of the population follows a vegetarian diet. However, the per capita daily availability of pulses in the country remains significantly below the minimum levels recommended by nutrition experts. The Indian Council of Medical Research (ICMR) has prescribed a daily intake of 65 g of pulses per capita.</w:t>
      </w:r>
      <w:bookmarkStart w:id="0" w:name="_GoBack"/>
      <w:bookmarkEnd w:id="0"/>
      <w:r w:rsidR="00C45F22" w:rsidRPr="00675C39">
        <w:rPr>
          <w:rFonts w:ascii="Arial" w:hAnsi="Arial" w:cs="Arial"/>
          <w:sz w:val="20"/>
          <w:szCs w:val="20"/>
        </w:rPr>
        <w:t xml:space="preserve"> The decreasing per capita availability of pulses from 70.3 gm. in 1956 to 41.6 gm. in 2021 had been a matter of great concern to agricultural scientists and policy makers in the country where substantial proportion around 30 per cent of people are vegetarian (Directorate of Economics and Statistics, 2022). The main reason for </w:t>
      </w:r>
      <w:r w:rsidR="007C13C8">
        <w:rPr>
          <w:rFonts w:ascii="Arial" w:hAnsi="Arial" w:cs="Arial"/>
          <w:sz w:val="20"/>
          <w:szCs w:val="20"/>
        </w:rPr>
        <w:t xml:space="preserve">the </w:t>
      </w:r>
      <w:r w:rsidR="00C45F22" w:rsidRPr="00675C39">
        <w:rPr>
          <w:rFonts w:ascii="Arial" w:hAnsi="Arial" w:cs="Arial"/>
          <w:sz w:val="20"/>
          <w:szCs w:val="20"/>
        </w:rPr>
        <w:t xml:space="preserve">continuous </w:t>
      </w:r>
      <w:r w:rsidR="007C13C8">
        <w:rPr>
          <w:rFonts w:ascii="Arial" w:hAnsi="Arial" w:cs="Arial"/>
          <w:sz w:val="20"/>
          <w:szCs w:val="20"/>
        </w:rPr>
        <w:t>decline</w:t>
      </w:r>
      <w:r w:rsidR="00C45F22" w:rsidRPr="00675C39">
        <w:rPr>
          <w:rFonts w:ascii="Arial" w:hAnsi="Arial" w:cs="Arial"/>
          <w:sz w:val="20"/>
          <w:szCs w:val="20"/>
        </w:rPr>
        <w:t xml:space="preserve"> in per capita availability of pulses was mainly due to stagnation in pulses production around 17 to 18 million tonnes. However, since 2013</w:t>
      </w:r>
      <w:r w:rsidR="007C13C8">
        <w:rPr>
          <w:rFonts w:ascii="Arial" w:hAnsi="Arial" w:cs="Arial"/>
          <w:sz w:val="20"/>
          <w:szCs w:val="20"/>
        </w:rPr>
        <w:t>, per capita availability of pulses has shown an upward</w:t>
      </w:r>
      <w:r w:rsidR="00C45F22" w:rsidRPr="00675C39">
        <w:rPr>
          <w:rFonts w:ascii="Arial" w:hAnsi="Arial" w:cs="Arial"/>
          <w:sz w:val="20"/>
          <w:szCs w:val="20"/>
        </w:rPr>
        <w:t xml:space="preserve"> trend, </w:t>
      </w:r>
      <w:r w:rsidR="009E538D" w:rsidRPr="00675C39">
        <w:rPr>
          <w:rFonts w:ascii="Arial" w:hAnsi="Arial" w:cs="Arial"/>
          <w:sz w:val="20"/>
          <w:szCs w:val="20"/>
        </w:rPr>
        <w:t>increasing</w:t>
      </w:r>
      <w:r w:rsidR="00C45F22" w:rsidRPr="00675C39">
        <w:rPr>
          <w:rFonts w:ascii="Arial" w:hAnsi="Arial" w:cs="Arial"/>
          <w:sz w:val="20"/>
          <w:szCs w:val="20"/>
        </w:rPr>
        <w:t xml:space="preserve"> from 45 gm. per capita per day </w:t>
      </w:r>
      <w:proofErr w:type="gramStart"/>
      <w:r w:rsidR="00C45F22" w:rsidRPr="00675C39">
        <w:rPr>
          <w:rFonts w:ascii="Arial" w:hAnsi="Arial" w:cs="Arial"/>
          <w:sz w:val="20"/>
          <w:szCs w:val="20"/>
        </w:rPr>
        <w:t>in .</w:t>
      </w:r>
      <w:proofErr w:type="gramEnd"/>
      <w:r w:rsidR="00C45F22" w:rsidRPr="00675C39">
        <w:rPr>
          <w:rFonts w:ascii="Arial" w:hAnsi="Arial" w:cs="Arial"/>
          <w:sz w:val="20"/>
          <w:szCs w:val="20"/>
        </w:rPr>
        <w:t xml:space="preserve"> </w:t>
      </w:r>
      <w:r w:rsidR="007D7BF3" w:rsidRPr="00675F3B">
        <w:rPr>
          <w:rFonts w:ascii="Arial" w:hAnsi="Arial" w:cs="Arial"/>
          <w:sz w:val="20"/>
          <w:szCs w:val="20"/>
        </w:rPr>
        <w:t>Contribution</w:t>
      </w:r>
      <w:r w:rsidR="00693E43" w:rsidRPr="00675F3B">
        <w:rPr>
          <w:rFonts w:ascii="Arial" w:hAnsi="Arial" w:cs="Arial"/>
          <w:sz w:val="20"/>
          <w:szCs w:val="20"/>
        </w:rPr>
        <w:t xml:space="preserve"> of different states in India to the total area and production of pulses from 2017-18 to 2021-22. At the all-India level, the total area under pulses was about 292.94 lakh hectares, with a production of 246.56 lakh tonnes and an average yield of 842 kg per hectare.</w:t>
      </w:r>
      <w:r w:rsidR="00F627DE" w:rsidRPr="00675F3B">
        <w:rPr>
          <w:rFonts w:ascii="Arial" w:hAnsi="Arial" w:cs="Arial"/>
          <w:sz w:val="20"/>
          <w:szCs w:val="20"/>
        </w:rPr>
        <w:t xml:space="preserve"> </w:t>
      </w:r>
      <w:r w:rsidR="00693E43" w:rsidRPr="00675F3B">
        <w:rPr>
          <w:rFonts w:ascii="Arial" w:hAnsi="Arial" w:cs="Arial"/>
          <w:sz w:val="20"/>
          <w:szCs w:val="20"/>
        </w:rPr>
        <w:t>Madhya Pradesh is the leading state in pulse cultivation, with an area of 58.10 lakh hectares, which is 20% of the total pulse area in India. Its production was 58.51 lakh tonnes, contributing 24% of the country’s total pulse production. Rajasthan comes next with 60.36 lakh hectares under pulses, contributing 21% to the total pulse area, and producing 39.93 lakh tonnes, which is 16% of India’s total pulse production.</w:t>
      </w:r>
      <w:r w:rsidR="009E538D" w:rsidRPr="00675F3B">
        <w:rPr>
          <w:rFonts w:ascii="Arial" w:hAnsi="Arial" w:cs="Arial"/>
          <w:sz w:val="20"/>
          <w:szCs w:val="20"/>
        </w:rPr>
        <w:t xml:space="preserve"> </w:t>
      </w:r>
      <w:r w:rsidR="007C5049" w:rsidRPr="00675C39">
        <w:rPr>
          <w:rFonts w:ascii="Arial" w:hAnsi="Arial" w:cs="Arial"/>
          <w:sz w:val="20"/>
          <w:szCs w:val="20"/>
        </w:rPr>
        <w:t xml:space="preserve"> </w:t>
      </w:r>
      <w:r w:rsidR="007C5049" w:rsidRPr="00153231">
        <w:rPr>
          <w:rFonts w:ascii="Arial" w:hAnsi="Arial" w:cs="Arial"/>
          <w:b/>
          <w:bCs/>
          <w:sz w:val="20"/>
          <w:szCs w:val="20"/>
        </w:rPr>
        <w:t xml:space="preserve">(Directorate of Economics and Statistics, Min. of Agriculture &amp; FW, </w:t>
      </w:r>
      <w:proofErr w:type="spellStart"/>
      <w:r w:rsidR="007C5049" w:rsidRPr="00153231">
        <w:rPr>
          <w:rFonts w:ascii="Arial" w:hAnsi="Arial" w:cs="Arial"/>
          <w:b/>
          <w:bCs/>
          <w:sz w:val="20"/>
          <w:szCs w:val="20"/>
        </w:rPr>
        <w:t>GoI</w:t>
      </w:r>
      <w:proofErr w:type="spellEnd"/>
      <w:r w:rsidR="007C5049" w:rsidRPr="00153231">
        <w:rPr>
          <w:rFonts w:ascii="Arial" w:hAnsi="Arial" w:cs="Arial"/>
          <w:b/>
          <w:bCs/>
          <w:sz w:val="20"/>
          <w:szCs w:val="20"/>
        </w:rPr>
        <w:t>, (DA&amp;FW, 2022)</w:t>
      </w:r>
    </w:p>
    <w:p w14:paraId="692C654F" w14:textId="50A20F30" w:rsidR="00B4699D" w:rsidRPr="00AA788A" w:rsidRDefault="00AA788A" w:rsidP="00284014">
      <w:pPr>
        <w:spacing w:after="0" w:line="360" w:lineRule="auto"/>
        <w:ind w:firstLine="720"/>
        <w:jc w:val="both"/>
        <w:rPr>
          <w:rFonts w:ascii="Arial" w:hAnsi="Arial" w:cs="Arial"/>
          <w:sz w:val="20"/>
          <w:szCs w:val="20"/>
        </w:rPr>
      </w:pPr>
      <w:r w:rsidRPr="00AA788A">
        <w:rPr>
          <w:rFonts w:ascii="Arial" w:hAnsi="Arial" w:cs="Arial"/>
          <w:sz w:val="20"/>
          <w:szCs w:val="20"/>
        </w:rPr>
        <w:t>The potential of pulses to contribute to global food security, improved nutrition, and environmental sustainability has been formally recognised through the International Year of Pulses 2016 declared by the United Nations. Pulses are often characterised as “smart foods” owing to their critical role in the food basket, their value as a major source of plant-based protein, and their capacity to help mitigate non-communicable diseases such as obesity and diabetes. Furthermore, pulses are highly water-efficient, adaptable to drought-prone environments, and enhance soil fertility through biological nitrogen fixation.</w:t>
      </w:r>
      <w:r>
        <w:rPr>
          <w:rFonts w:ascii="Arial" w:hAnsi="Arial" w:cs="Arial"/>
          <w:sz w:val="20"/>
          <w:szCs w:val="20"/>
        </w:rPr>
        <w:t xml:space="preserve"> </w:t>
      </w:r>
      <w:r w:rsidRPr="00AA788A">
        <w:rPr>
          <w:rFonts w:ascii="Arial" w:hAnsi="Arial" w:cs="Arial"/>
          <w:sz w:val="20"/>
          <w:szCs w:val="20"/>
        </w:rPr>
        <w:t>Pulses constitute an important group of crops that supply high-quality protein, complementing cereal-based diets for the predominantly vegetarian population of India. Despite being the world’s largest producer of pulses, their share in total food grain production in the country remains relatively low, at approximately 7–10 per cent (NABARD Rural Pulse, 2022).</w:t>
      </w:r>
      <w:r>
        <w:rPr>
          <w:rFonts w:ascii="Arial" w:hAnsi="Arial" w:cs="Arial"/>
          <w:sz w:val="20"/>
          <w:szCs w:val="20"/>
        </w:rPr>
        <w:t xml:space="preserve"> </w:t>
      </w:r>
      <w:proofErr w:type="spellStart"/>
      <w:r w:rsidRPr="00AA788A">
        <w:rPr>
          <w:rFonts w:ascii="Arial" w:hAnsi="Arial" w:cs="Arial"/>
          <w:sz w:val="20"/>
          <w:szCs w:val="20"/>
        </w:rPr>
        <w:t>Blackgram</w:t>
      </w:r>
      <w:proofErr w:type="spellEnd"/>
      <w:r w:rsidRPr="00AA788A">
        <w:rPr>
          <w:rFonts w:ascii="Arial" w:hAnsi="Arial" w:cs="Arial"/>
          <w:sz w:val="20"/>
          <w:szCs w:val="20"/>
        </w:rPr>
        <w:t xml:space="preserve"> (</w:t>
      </w:r>
      <w:r w:rsidRPr="00AA788A">
        <w:rPr>
          <w:rFonts w:ascii="Arial" w:hAnsi="Arial" w:cs="Arial"/>
          <w:i/>
          <w:sz w:val="20"/>
          <w:szCs w:val="20"/>
        </w:rPr>
        <w:t>Vigna mungo</w:t>
      </w:r>
      <w:r w:rsidRPr="00AA788A">
        <w:rPr>
          <w:rFonts w:ascii="Arial" w:hAnsi="Arial" w:cs="Arial"/>
          <w:sz w:val="20"/>
          <w:szCs w:val="20"/>
        </w:rPr>
        <w:t xml:space="preserve"> L.), commonly referred to as </w:t>
      </w:r>
      <w:proofErr w:type="spellStart"/>
      <w:r w:rsidRPr="00AA788A">
        <w:rPr>
          <w:rFonts w:ascii="Arial" w:hAnsi="Arial" w:cs="Arial"/>
          <w:sz w:val="20"/>
          <w:szCs w:val="20"/>
        </w:rPr>
        <w:t>urdbean</w:t>
      </w:r>
      <w:proofErr w:type="spellEnd"/>
      <w:r w:rsidRPr="00AA788A">
        <w:rPr>
          <w:rFonts w:ascii="Arial" w:hAnsi="Arial" w:cs="Arial"/>
          <w:sz w:val="20"/>
          <w:szCs w:val="20"/>
        </w:rPr>
        <w:t xml:space="preserve">, is a short-duration pulse crop distinguished by its high protein content, ranging between 25 and 26 per cent. India is the leading producer and consumer of </w:t>
      </w:r>
      <w:proofErr w:type="spellStart"/>
      <w:r w:rsidRPr="00AA788A">
        <w:rPr>
          <w:rFonts w:ascii="Arial" w:hAnsi="Arial" w:cs="Arial"/>
          <w:sz w:val="20"/>
          <w:szCs w:val="20"/>
        </w:rPr>
        <w:t>blackgram</w:t>
      </w:r>
      <w:proofErr w:type="spellEnd"/>
      <w:r w:rsidRPr="00AA788A">
        <w:rPr>
          <w:rFonts w:ascii="Arial" w:hAnsi="Arial" w:cs="Arial"/>
          <w:sz w:val="20"/>
          <w:szCs w:val="20"/>
        </w:rPr>
        <w:t xml:space="preserve">, where it is cultivated as a sole crop, intercrop, and catch crop. The country’s </w:t>
      </w:r>
      <w:proofErr w:type="spellStart"/>
      <w:r w:rsidRPr="00AA788A">
        <w:rPr>
          <w:rFonts w:ascii="Arial" w:hAnsi="Arial" w:cs="Arial"/>
          <w:sz w:val="20"/>
          <w:szCs w:val="20"/>
        </w:rPr>
        <w:t>blackgram</w:t>
      </w:r>
      <w:proofErr w:type="spellEnd"/>
      <w:r w:rsidRPr="00AA788A">
        <w:rPr>
          <w:rFonts w:ascii="Arial" w:hAnsi="Arial" w:cs="Arial"/>
          <w:sz w:val="20"/>
          <w:szCs w:val="20"/>
        </w:rPr>
        <w:t xml:space="preserve"> production has reached approximately 2.78 million tonnes from an area of 4.63 million hectares, with an average productivity of 614 kg per hectare. It accounts for nearly 11 per cent of total pulse production in India (Anonymous, 2022). In addition to its high protein content—approximately double that of cereals—</w:t>
      </w:r>
      <w:proofErr w:type="spellStart"/>
      <w:r w:rsidRPr="00AA788A">
        <w:rPr>
          <w:rFonts w:ascii="Arial" w:hAnsi="Arial" w:cs="Arial"/>
          <w:sz w:val="20"/>
          <w:szCs w:val="20"/>
        </w:rPr>
        <w:t>blackgram</w:t>
      </w:r>
      <w:proofErr w:type="spellEnd"/>
      <w:r w:rsidRPr="00AA788A">
        <w:rPr>
          <w:rFonts w:ascii="Arial" w:hAnsi="Arial" w:cs="Arial"/>
          <w:sz w:val="20"/>
          <w:szCs w:val="20"/>
        </w:rPr>
        <w:t xml:space="preserve"> contains essential protein fractions such as albumin and globulin.</w:t>
      </w:r>
      <w:r>
        <w:rPr>
          <w:rFonts w:ascii="Arial" w:hAnsi="Arial" w:cs="Arial"/>
          <w:sz w:val="20"/>
          <w:szCs w:val="20"/>
        </w:rPr>
        <w:t xml:space="preserve"> </w:t>
      </w:r>
      <w:r w:rsidRPr="00AA788A">
        <w:rPr>
          <w:rFonts w:ascii="Arial" w:hAnsi="Arial" w:cs="Arial"/>
          <w:sz w:val="20"/>
          <w:szCs w:val="20"/>
        </w:rPr>
        <w:t xml:space="preserve">Commonly known as </w:t>
      </w:r>
      <w:proofErr w:type="spellStart"/>
      <w:r w:rsidRPr="00AA788A">
        <w:rPr>
          <w:rFonts w:ascii="Arial" w:hAnsi="Arial" w:cs="Arial"/>
          <w:sz w:val="20"/>
          <w:szCs w:val="20"/>
        </w:rPr>
        <w:t>urd</w:t>
      </w:r>
      <w:proofErr w:type="spellEnd"/>
      <w:r w:rsidRPr="00AA788A">
        <w:rPr>
          <w:rFonts w:ascii="Arial" w:hAnsi="Arial" w:cs="Arial"/>
          <w:sz w:val="20"/>
          <w:szCs w:val="20"/>
        </w:rPr>
        <w:t xml:space="preserve">, </w:t>
      </w:r>
      <w:proofErr w:type="spellStart"/>
      <w:r w:rsidRPr="00AA788A">
        <w:rPr>
          <w:rFonts w:ascii="Arial" w:hAnsi="Arial" w:cs="Arial"/>
          <w:sz w:val="20"/>
          <w:szCs w:val="20"/>
        </w:rPr>
        <w:t>urdbean</w:t>
      </w:r>
      <w:proofErr w:type="spellEnd"/>
      <w:r w:rsidRPr="00AA788A">
        <w:rPr>
          <w:rFonts w:ascii="Arial" w:hAnsi="Arial" w:cs="Arial"/>
          <w:sz w:val="20"/>
          <w:szCs w:val="20"/>
        </w:rPr>
        <w:t xml:space="preserve">, or mash, </w:t>
      </w:r>
      <w:proofErr w:type="spellStart"/>
      <w:r w:rsidRPr="00AA788A">
        <w:rPr>
          <w:rFonts w:ascii="Arial" w:hAnsi="Arial" w:cs="Arial"/>
          <w:sz w:val="20"/>
          <w:szCs w:val="20"/>
        </w:rPr>
        <w:t>blackgram</w:t>
      </w:r>
      <w:proofErr w:type="spellEnd"/>
      <w:r w:rsidRPr="00AA788A">
        <w:rPr>
          <w:rFonts w:ascii="Arial" w:hAnsi="Arial" w:cs="Arial"/>
          <w:sz w:val="20"/>
          <w:szCs w:val="20"/>
        </w:rPr>
        <w:t xml:space="preserve"> is an important pulse crop believed to have originated in India. It is cultivated under rainfed or semi-irrigated conditions during the Kharif as well as spring/summer seasons, and may be grown as a sole, mixed, catch, or sequential crop. Being a tropical species, it requires a hot and humid climate, although it also demonstrates a considerable tolerance to high </w:t>
      </w:r>
      <w:r w:rsidRPr="00AA788A">
        <w:rPr>
          <w:rFonts w:ascii="Arial" w:hAnsi="Arial" w:cs="Arial"/>
          <w:sz w:val="20"/>
          <w:szCs w:val="20"/>
        </w:rPr>
        <w:lastRenderedPageBreak/>
        <w:t>temperatures.</w:t>
      </w:r>
      <w:r>
        <w:rPr>
          <w:rFonts w:ascii="Arial" w:hAnsi="Arial" w:cs="Arial"/>
          <w:sz w:val="20"/>
          <w:szCs w:val="20"/>
        </w:rPr>
        <w:t xml:space="preserve"> </w:t>
      </w:r>
      <w:r w:rsidR="00785B81" w:rsidRPr="00785B81">
        <w:rPr>
          <w:rFonts w:ascii="Arial" w:hAnsi="Arial" w:cs="Arial"/>
          <w:sz w:val="20"/>
          <w:szCs w:val="20"/>
        </w:rPr>
        <w:t xml:space="preserve">As such this is a </w:t>
      </w:r>
      <w:proofErr w:type="gramStart"/>
      <w:r w:rsidR="00785B81" w:rsidRPr="00785B81">
        <w:rPr>
          <w:rFonts w:ascii="Arial" w:hAnsi="Arial" w:cs="Arial"/>
          <w:sz w:val="20"/>
          <w:szCs w:val="20"/>
        </w:rPr>
        <w:t>short day</w:t>
      </w:r>
      <w:proofErr w:type="gramEnd"/>
      <w:r w:rsidR="00785B81" w:rsidRPr="00785B81">
        <w:rPr>
          <w:rFonts w:ascii="Arial" w:hAnsi="Arial" w:cs="Arial"/>
          <w:sz w:val="20"/>
          <w:szCs w:val="20"/>
        </w:rPr>
        <w:t xml:space="preserve"> plant, but in present days, neutral varieties are also available for cultivation in summer. </w:t>
      </w:r>
      <w:r w:rsidR="00284014" w:rsidRPr="00284014">
        <w:rPr>
          <w:rFonts w:ascii="Arial" w:hAnsi="Arial" w:cs="Arial"/>
          <w:sz w:val="20"/>
          <w:szCs w:val="20"/>
        </w:rPr>
        <w:t xml:space="preserve">The yield levels and area expansion of </w:t>
      </w:r>
      <w:proofErr w:type="spellStart"/>
      <w:r w:rsidR="00284014" w:rsidRPr="00284014">
        <w:rPr>
          <w:rFonts w:ascii="Arial" w:hAnsi="Arial" w:cs="Arial"/>
          <w:sz w:val="20"/>
          <w:szCs w:val="20"/>
        </w:rPr>
        <w:t>blackgram</w:t>
      </w:r>
      <w:proofErr w:type="spellEnd"/>
      <w:r w:rsidR="00284014" w:rsidRPr="00284014">
        <w:rPr>
          <w:rFonts w:ascii="Arial" w:hAnsi="Arial" w:cs="Arial"/>
          <w:sz w:val="20"/>
          <w:szCs w:val="20"/>
        </w:rPr>
        <w:t xml:space="preserve"> and </w:t>
      </w:r>
      <w:proofErr w:type="spellStart"/>
      <w:r w:rsidR="00284014" w:rsidRPr="00284014">
        <w:rPr>
          <w:rFonts w:ascii="Arial" w:hAnsi="Arial" w:cs="Arial"/>
          <w:sz w:val="20"/>
          <w:szCs w:val="20"/>
        </w:rPr>
        <w:t>greengram</w:t>
      </w:r>
      <w:proofErr w:type="spellEnd"/>
      <w:r w:rsidR="00284014" w:rsidRPr="00284014">
        <w:rPr>
          <w:rFonts w:ascii="Arial" w:hAnsi="Arial" w:cs="Arial"/>
          <w:sz w:val="20"/>
          <w:szCs w:val="20"/>
        </w:rPr>
        <w:t xml:space="preserve"> are largely constrained by the limited availability of improved seed material and inadequate knowledge of optimal cultivation practices. </w:t>
      </w:r>
      <w:proofErr w:type="spellStart"/>
      <w:r w:rsidR="00284014" w:rsidRPr="00284014">
        <w:rPr>
          <w:rFonts w:ascii="Arial" w:hAnsi="Arial" w:cs="Arial"/>
          <w:sz w:val="20"/>
          <w:szCs w:val="20"/>
        </w:rPr>
        <w:t>Blackgram</w:t>
      </w:r>
      <w:proofErr w:type="spellEnd"/>
      <w:r w:rsidR="00284014" w:rsidRPr="00284014">
        <w:rPr>
          <w:rFonts w:ascii="Arial" w:hAnsi="Arial" w:cs="Arial"/>
          <w:sz w:val="20"/>
          <w:szCs w:val="20"/>
        </w:rPr>
        <w:t xml:space="preserve"> is a highly valued pulse crop, notable for its rich phosphoric acid content. India is the world’s largest producer of </w:t>
      </w:r>
      <w:proofErr w:type="spellStart"/>
      <w:r w:rsidR="00284014" w:rsidRPr="00284014">
        <w:rPr>
          <w:rFonts w:ascii="Arial" w:hAnsi="Arial" w:cs="Arial"/>
          <w:sz w:val="20"/>
          <w:szCs w:val="20"/>
        </w:rPr>
        <w:t>blackgram</w:t>
      </w:r>
      <w:proofErr w:type="spellEnd"/>
      <w:r w:rsidR="00284014" w:rsidRPr="00284014">
        <w:rPr>
          <w:rFonts w:ascii="Arial" w:hAnsi="Arial" w:cs="Arial"/>
          <w:sz w:val="20"/>
          <w:szCs w:val="20"/>
        </w:rPr>
        <w:t>, contributing over 70 per cent of global production, followed by Myanmar and Pakistan.</w:t>
      </w:r>
      <w:r w:rsidR="00284014">
        <w:rPr>
          <w:rFonts w:ascii="Arial" w:hAnsi="Arial" w:cs="Arial"/>
          <w:sz w:val="20"/>
          <w:szCs w:val="20"/>
        </w:rPr>
        <w:t xml:space="preserve"> </w:t>
      </w:r>
      <w:r w:rsidR="00284014" w:rsidRPr="00284014">
        <w:rPr>
          <w:rFonts w:ascii="Arial" w:hAnsi="Arial" w:cs="Arial"/>
          <w:sz w:val="20"/>
          <w:szCs w:val="20"/>
        </w:rPr>
        <w:t xml:space="preserve">In India, during the Rabi season of 2022–23, the area under </w:t>
      </w:r>
      <w:proofErr w:type="spellStart"/>
      <w:r w:rsidR="00284014" w:rsidRPr="00284014">
        <w:rPr>
          <w:rFonts w:ascii="Arial" w:hAnsi="Arial" w:cs="Arial"/>
          <w:sz w:val="20"/>
          <w:szCs w:val="20"/>
        </w:rPr>
        <w:t>blackgram</w:t>
      </w:r>
      <w:proofErr w:type="spellEnd"/>
      <w:r w:rsidR="00284014" w:rsidRPr="00284014">
        <w:rPr>
          <w:rFonts w:ascii="Arial" w:hAnsi="Arial" w:cs="Arial"/>
          <w:sz w:val="20"/>
          <w:szCs w:val="20"/>
        </w:rPr>
        <w:t xml:space="preserve"> cultivation declined by 6.12 per cent, reaching 7.79 lakh hectares (19.25 lakh acres) as of 3 February 2023, compared with 8.28 lakh hectares (20.48 lakh acres) during 2021–22.</w:t>
      </w:r>
      <w:r w:rsidR="00284014">
        <w:rPr>
          <w:rFonts w:ascii="Arial" w:hAnsi="Arial" w:cs="Arial"/>
          <w:sz w:val="20"/>
          <w:szCs w:val="20"/>
        </w:rPr>
        <w:t xml:space="preserve"> </w:t>
      </w:r>
      <w:r w:rsidR="00C97557" w:rsidRPr="00C97557">
        <w:rPr>
          <w:rFonts w:ascii="Arial" w:hAnsi="Arial" w:cs="Arial"/>
          <w:sz w:val="20"/>
          <w:szCs w:val="20"/>
        </w:rPr>
        <w:t xml:space="preserve">The data on </w:t>
      </w:r>
      <w:proofErr w:type="spellStart"/>
      <w:r w:rsidR="00C97557" w:rsidRPr="00C97557">
        <w:rPr>
          <w:rFonts w:ascii="Arial" w:hAnsi="Arial" w:cs="Arial"/>
          <w:sz w:val="20"/>
          <w:szCs w:val="20"/>
        </w:rPr>
        <w:t>blackgram</w:t>
      </w:r>
      <w:proofErr w:type="spellEnd"/>
      <w:r w:rsidR="00C97557" w:rsidRPr="00C97557">
        <w:rPr>
          <w:rFonts w:ascii="Arial" w:hAnsi="Arial" w:cs="Arial"/>
          <w:sz w:val="20"/>
          <w:szCs w:val="20"/>
        </w:rPr>
        <w:t xml:space="preserve"> cultivation in Rajasthan shows a changing trend over time. In 2016–17, the area under </w:t>
      </w:r>
      <w:proofErr w:type="spellStart"/>
      <w:r w:rsidR="00C97557" w:rsidRPr="00C97557">
        <w:rPr>
          <w:rFonts w:ascii="Arial" w:hAnsi="Arial" w:cs="Arial"/>
          <w:sz w:val="20"/>
          <w:szCs w:val="20"/>
        </w:rPr>
        <w:t>blackgram</w:t>
      </w:r>
      <w:proofErr w:type="spellEnd"/>
      <w:r w:rsidR="00C97557" w:rsidRPr="00C97557">
        <w:rPr>
          <w:rFonts w:ascii="Arial" w:hAnsi="Arial" w:cs="Arial"/>
          <w:sz w:val="20"/>
          <w:szCs w:val="20"/>
        </w:rPr>
        <w:t xml:space="preserve"> was 390.0 thousand hectares with a production of 250.0 thousand tonnes, resulting in a relatively higher yield of 641 kg/ha. However, in 2020–21, although the area increased to 411.20 thousand hectares, the production declined to 160.37 thousand tonnes, with a much lower yield of 390 kg/ha. This indicates that despite expansion in cultivated area, productivity has decreased significantly. This situation highlights a research gap in understanding the underlying factors responsible for declining yield, such as low adoption of improved varieties, and poor farm management practices</w:t>
      </w:r>
      <w:r w:rsidR="00C97557" w:rsidRPr="007C5049">
        <w:rPr>
          <w:rFonts w:ascii="Arial" w:hAnsi="Arial" w:cs="Arial"/>
          <w:b/>
          <w:bCs/>
          <w:sz w:val="20"/>
          <w:szCs w:val="20"/>
        </w:rPr>
        <w:t>.</w:t>
      </w:r>
      <w:r w:rsidR="00B4699D" w:rsidRPr="007C5049">
        <w:rPr>
          <w:rFonts w:ascii="Arial" w:hAnsi="Arial" w:cs="Arial"/>
          <w:b/>
          <w:bCs/>
          <w:sz w:val="20"/>
          <w:szCs w:val="20"/>
        </w:rPr>
        <w:t xml:space="preserve"> </w:t>
      </w:r>
      <w:r w:rsidR="007C5049" w:rsidRPr="007C5049">
        <w:rPr>
          <w:rFonts w:ascii="Arial" w:hAnsi="Arial" w:cs="Arial"/>
          <w:b/>
          <w:bCs/>
          <w:sz w:val="20"/>
          <w:szCs w:val="20"/>
        </w:rPr>
        <w:t>(</w:t>
      </w:r>
      <w:r w:rsidR="00B4699D" w:rsidRPr="007C5049">
        <w:rPr>
          <w:rFonts w:ascii="Arial" w:hAnsi="Arial" w:cs="Arial"/>
          <w:b/>
          <w:bCs/>
          <w:sz w:val="20"/>
          <w:szCs w:val="20"/>
        </w:rPr>
        <w:t>Source: Directorate of Economics and Statistics, Krishi Bhavan, New Delhi (</w:t>
      </w:r>
      <w:proofErr w:type="spellStart"/>
      <w:r w:rsidR="00B4699D" w:rsidRPr="007C5049">
        <w:rPr>
          <w:rFonts w:ascii="Arial" w:hAnsi="Arial" w:cs="Arial"/>
          <w:b/>
          <w:bCs/>
          <w:sz w:val="20"/>
          <w:szCs w:val="20"/>
        </w:rPr>
        <w:t>Eands</w:t>
      </w:r>
      <w:proofErr w:type="spellEnd"/>
      <w:r w:rsidR="00B4699D" w:rsidRPr="007C5049">
        <w:rPr>
          <w:rFonts w:ascii="Arial" w:hAnsi="Arial" w:cs="Arial"/>
          <w:b/>
          <w:bCs/>
          <w:sz w:val="20"/>
          <w:szCs w:val="20"/>
        </w:rPr>
        <w:t>. Dacnet.nic.in)</w:t>
      </w:r>
      <w:r w:rsidR="000007A1">
        <w:rPr>
          <w:rFonts w:ascii="Arial" w:hAnsi="Arial" w:cs="Arial"/>
          <w:b/>
          <w:bCs/>
          <w:sz w:val="20"/>
          <w:szCs w:val="20"/>
        </w:rPr>
        <w:t xml:space="preserve"> </w:t>
      </w:r>
    </w:p>
    <w:p w14:paraId="5DD0A00E" w14:textId="6D2B6C9C" w:rsidR="00A357D2" w:rsidRPr="0071676F" w:rsidRDefault="001E1809" w:rsidP="00AA788A">
      <w:pPr>
        <w:spacing w:after="0" w:line="360" w:lineRule="auto"/>
        <w:ind w:firstLine="720"/>
        <w:jc w:val="both"/>
        <w:rPr>
          <w:rFonts w:ascii="Arial" w:hAnsi="Arial" w:cs="Arial"/>
          <w:sz w:val="20"/>
          <w:szCs w:val="20"/>
        </w:rPr>
      </w:pPr>
      <w:r w:rsidRPr="0071676F">
        <w:rPr>
          <w:rFonts w:ascii="Arial" w:hAnsi="Arial" w:cs="Arial"/>
          <w:sz w:val="20"/>
          <w:szCs w:val="20"/>
        </w:rPr>
        <w:t xml:space="preserve">Various studies have highlighted diverse </w:t>
      </w:r>
      <w:r w:rsidR="007937A1" w:rsidRPr="0071676F">
        <w:rPr>
          <w:rFonts w:ascii="Arial" w:hAnsi="Arial" w:cs="Arial"/>
          <w:sz w:val="20"/>
          <w:szCs w:val="20"/>
        </w:rPr>
        <w:t>socioeconomic</w:t>
      </w:r>
      <w:r w:rsidRPr="0071676F">
        <w:rPr>
          <w:rFonts w:ascii="Arial" w:hAnsi="Arial" w:cs="Arial"/>
          <w:sz w:val="20"/>
          <w:szCs w:val="20"/>
        </w:rPr>
        <w:t xml:space="preserve"> factors influencing various </w:t>
      </w:r>
      <w:r w:rsidR="007937A1" w:rsidRPr="0071676F">
        <w:rPr>
          <w:rFonts w:ascii="Arial" w:hAnsi="Arial" w:cs="Arial"/>
          <w:sz w:val="20"/>
          <w:szCs w:val="20"/>
        </w:rPr>
        <w:t>technical efficiency of pulses crops.</w:t>
      </w:r>
      <w:r w:rsidR="00C63BAD" w:rsidRPr="0071676F">
        <w:rPr>
          <w:rFonts w:ascii="Arial" w:hAnsi="Arial" w:cs="Arial"/>
          <w:sz w:val="20"/>
          <w:szCs w:val="20"/>
        </w:rPr>
        <w:t xml:space="preserve"> </w:t>
      </w:r>
      <w:proofErr w:type="spellStart"/>
      <w:r w:rsidR="00AA788A" w:rsidRPr="00AA788A">
        <w:rPr>
          <w:rFonts w:ascii="Arial" w:hAnsi="Arial" w:cs="Arial"/>
          <w:sz w:val="20"/>
          <w:szCs w:val="20"/>
        </w:rPr>
        <w:t>Matin</w:t>
      </w:r>
      <w:proofErr w:type="spellEnd"/>
      <w:r w:rsidR="00AA788A" w:rsidRPr="00AA788A">
        <w:rPr>
          <w:rFonts w:ascii="Arial" w:hAnsi="Arial" w:cs="Arial"/>
          <w:sz w:val="20"/>
          <w:szCs w:val="20"/>
        </w:rPr>
        <w:t xml:space="preserve"> et al. reported that high-yielding lentil varieties are more profitable than local varieties, indicating the potential to increase lentil output by approximately 36 per cent with existing technology and input levels. The study further highlighted that farmers’ education and training significantly influence both yield and production efficiency. </w:t>
      </w:r>
      <w:proofErr w:type="spellStart"/>
      <w:r w:rsidR="00AA788A" w:rsidRPr="00AA788A">
        <w:rPr>
          <w:rFonts w:ascii="Arial" w:hAnsi="Arial" w:cs="Arial"/>
          <w:sz w:val="20"/>
          <w:szCs w:val="20"/>
        </w:rPr>
        <w:t>Shyamsundari</w:t>
      </w:r>
      <w:proofErr w:type="spellEnd"/>
      <w:r w:rsidR="00AA788A" w:rsidRPr="00AA788A">
        <w:rPr>
          <w:rFonts w:ascii="Arial" w:hAnsi="Arial" w:cs="Arial"/>
          <w:sz w:val="20"/>
          <w:szCs w:val="20"/>
        </w:rPr>
        <w:t xml:space="preserve"> et al. observed that the technical efficiency of small farms was 0.84, whereas medium and large farms recorded higher average efficiency scores of 0.93.</w:t>
      </w:r>
      <w:r w:rsidR="00AA788A">
        <w:rPr>
          <w:rFonts w:ascii="Arial" w:hAnsi="Arial" w:cs="Arial"/>
          <w:sz w:val="20"/>
          <w:szCs w:val="20"/>
        </w:rPr>
        <w:t xml:space="preserve"> </w:t>
      </w:r>
      <w:r w:rsidR="00AA788A" w:rsidRPr="00AA788A">
        <w:rPr>
          <w:rFonts w:ascii="Arial" w:hAnsi="Arial" w:cs="Arial"/>
          <w:sz w:val="20"/>
          <w:szCs w:val="20"/>
        </w:rPr>
        <w:t>Similarly, Narcisse et al. found that the mean technical efficiency in bean production across the studied districts was 23 per cent, suggesting substantial scope for increasing output through more efficient utilisation of available resources and existing technologies. Sapkota and Joshi estimated that technical efficiency ranged from 0.25 to 0.92, with a mean value of 0.71, thereby indicating the possibility of enhancing efficiency by 29 per cent. The study further revealed that technical efficiency in the study area is significantly influenced by the age and years of schooling of household heads</w:t>
      </w:r>
      <w:r w:rsidR="003C4E7F" w:rsidRPr="0071676F">
        <w:rPr>
          <w:rFonts w:ascii="Arial" w:hAnsi="Arial" w:cs="Arial"/>
          <w:sz w:val="20"/>
          <w:szCs w:val="20"/>
        </w:rPr>
        <w:t xml:space="preserve">. </w:t>
      </w:r>
    </w:p>
    <w:p w14:paraId="57B3B9E6" w14:textId="6073912D" w:rsidR="0005350A" w:rsidRPr="007C5049" w:rsidRDefault="0005350A" w:rsidP="00972817">
      <w:pPr>
        <w:spacing w:after="0" w:line="360" w:lineRule="auto"/>
        <w:jc w:val="both"/>
        <w:rPr>
          <w:rFonts w:ascii="Arial" w:hAnsi="Arial" w:cs="Arial"/>
          <w:b/>
          <w:bCs/>
        </w:rPr>
      </w:pPr>
      <w:r w:rsidRPr="007C5049">
        <w:rPr>
          <w:rFonts w:ascii="Arial" w:hAnsi="Arial" w:cs="Arial"/>
          <w:b/>
          <w:bCs/>
        </w:rPr>
        <w:t>METHOD</w:t>
      </w:r>
      <w:r w:rsidR="00A32DC2" w:rsidRPr="007C5049">
        <w:rPr>
          <w:rFonts w:ascii="Arial" w:hAnsi="Arial" w:cs="Arial"/>
          <w:b/>
          <w:bCs/>
        </w:rPr>
        <w:t xml:space="preserve">S AND MATERIALS </w:t>
      </w:r>
    </w:p>
    <w:p w14:paraId="5DCA961B" w14:textId="019A024E" w:rsidR="00767E77" w:rsidRPr="00675C39" w:rsidRDefault="00164614" w:rsidP="00972817">
      <w:pPr>
        <w:spacing w:after="0" w:line="360" w:lineRule="auto"/>
        <w:ind w:firstLine="720"/>
        <w:jc w:val="both"/>
        <w:rPr>
          <w:rFonts w:ascii="Arial" w:hAnsi="Arial" w:cs="Arial"/>
          <w:sz w:val="20"/>
          <w:szCs w:val="20"/>
        </w:rPr>
      </w:pPr>
      <w:r w:rsidRPr="00E54597">
        <w:rPr>
          <w:rFonts w:ascii="Arial" w:eastAsia="Calibri" w:hAnsi="Arial" w:cs="Arial"/>
          <w:sz w:val="20"/>
          <w:szCs w:val="20"/>
        </w:rPr>
        <w:t xml:space="preserve">A multi-stage sampling technique was used to select the sample farmers as respondents. </w:t>
      </w:r>
      <w:proofErr w:type="spellStart"/>
      <w:r w:rsidR="00262233" w:rsidRPr="00E54597">
        <w:rPr>
          <w:rFonts w:ascii="Arial" w:hAnsi="Arial" w:cs="Arial"/>
          <w:sz w:val="20"/>
          <w:szCs w:val="20"/>
        </w:rPr>
        <w:t>Bundi</w:t>
      </w:r>
      <w:proofErr w:type="spellEnd"/>
      <w:r w:rsidR="00262233" w:rsidRPr="00E54597">
        <w:rPr>
          <w:rFonts w:ascii="Arial" w:hAnsi="Arial" w:cs="Arial"/>
          <w:sz w:val="20"/>
          <w:szCs w:val="20"/>
        </w:rPr>
        <w:t xml:space="preserve"> district was selected purposively for the study as the district has </w:t>
      </w:r>
      <w:r w:rsidR="000E52C7">
        <w:rPr>
          <w:rFonts w:ascii="Arial" w:hAnsi="Arial" w:cs="Arial"/>
          <w:sz w:val="20"/>
          <w:szCs w:val="20"/>
        </w:rPr>
        <w:t xml:space="preserve">the </w:t>
      </w:r>
      <w:r w:rsidR="00262233" w:rsidRPr="00E54597">
        <w:rPr>
          <w:rFonts w:ascii="Arial" w:hAnsi="Arial" w:cs="Arial"/>
          <w:sz w:val="20"/>
          <w:szCs w:val="20"/>
        </w:rPr>
        <w:t>maximum number of farmers who cultivate black gram.</w:t>
      </w:r>
      <w:r w:rsidR="00CD1CF4" w:rsidRPr="00E54597">
        <w:rPr>
          <w:rFonts w:ascii="Arial" w:hAnsi="Arial" w:cs="Arial"/>
          <w:sz w:val="20"/>
          <w:szCs w:val="20"/>
        </w:rPr>
        <w:t xml:space="preserve">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district comprises of five blocks viz.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Nainwa</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Hindoli</w:t>
      </w:r>
      <w:proofErr w:type="spellEnd"/>
      <w:r w:rsidR="006F19E5" w:rsidRPr="00E54597">
        <w:rPr>
          <w:rFonts w:ascii="Arial" w:eastAsia="Calibri" w:hAnsi="Arial" w:cs="Arial"/>
          <w:bCs/>
          <w:sz w:val="20"/>
          <w:szCs w:val="20"/>
        </w:rPr>
        <w:t xml:space="preserve">, </w:t>
      </w:r>
      <w:proofErr w:type="spellStart"/>
      <w:proofErr w:type="gramStart"/>
      <w:r w:rsidR="006F19E5" w:rsidRPr="00E54597">
        <w:rPr>
          <w:rFonts w:ascii="Arial" w:eastAsia="Calibri" w:hAnsi="Arial" w:cs="Arial"/>
          <w:bCs/>
          <w:sz w:val="20"/>
          <w:szCs w:val="20"/>
        </w:rPr>
        <w:t>Keshoraipatan</w:t>
      </w:r>
      <w:proofErr w:type="spellEnd"/>
      <w:r w:rsidR="006F19E5" w:rsidRPr="00E54597">
        <w:rPr>
          <w:rFonts w:ascii="Arial" w:eastAsia="Calibri" w:hAnsi="Arial" w:cs="Arial"/>
          <w:bCs/>
          <w:sz w:val="20"/>
          <w:szCs w:val="20"/>
        </w:rPr>
        <w:t xml:space="preserve"> </w:t>
      </w:r>
      <w:r w:rsidR="00F627DE">
        <w:rPr>
          <w:rFonts w:ascii="Arial" w:eastAsia="Calibri" w:hAnsi="Arial" w:cs="Arial"/>
          <w:bCs/>
          <w:sz w:val="20"/>
          <w:szCs w:val="20"/>
        </w:rPr>
        <w:t xml:space="preserve"> and</w:t>
      </w:r>
      <w:proofErr w:type="gramEnd"/>
      <w:r w:rsidR="00F627DE">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Talera</w:t>
      </w:r>
      <w:proofErr w:type="spellEnd"/>
      <w:r w:rsidR="006F19E5" w:rsidRPr="00E54597">
        <w:rPr>
          <w:rFonts w:ascii="Arial" w:eastAsia="Calibri" w:hAnsi="Arial" w:cs="Arial"/>
          <w:bCs/>
          <w:sz w:val="20"/>
          <w:szCs w:val="20"/>
        </w:rPr>
        <w:t>. Out of these</w:t>
      </w:r>
      <w:r w:rsidR="00F627DE">
        <w:rPr>
          <w:rFonts w:ascii="Arial" w:eastAsia="Calibri" w:hAnsi="Arial" w:cs="Arial"/>
          <w:bCs/>
          <w:sz w:val="20"/>
          <w:szCs w:val="20"/>
        </w:rPr>
        <w:t>,</w:t>
      </w:r>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Bundi</w:t>
      </w:r>
      <w:proofErr w:type="spellEnd"/>
      <w:r w:rsidR="006F19E5" w:rsidRPr="00E54597">
        <w:rPr>
          <w:rFonts w:ascii="Arial" w:eastAsia="Calibri" w:hAnsi="Arial" w:cs="Arial"/>
          <w:bCs/>
          <w:sz w:val="20"/>
          <w:szCs w:val="20"/>
        </w:rPr>
        <w:t xml:space="preserve">, </w:t>
      </w:r>
      <w:proofErr w:type="spellStart"/>
      <w:r w:rsidR="006F19E5" w:rsidRPr="00E54597">
        <w:rPr>
          <w:rFonts w:ascii="Arial" w:eastAsia="Calibri" w:hAnsi="Arial" w:cs="Arial"/>
          <w:bCs/>
          <w:sz w:val="20"/>
          <w:szCs w:val="20"/>
        </w:rPr>
        <w:t>Nainwa</w:t>
      </w:r>
      <w:proofErr w:type="spellEnd"/>
      <w:r w:rsidR="00F627DE">
        <w:rPr>
          <w:rFonts w:ascii="Arial" w:eastAsia="Calibri" w:hAnsi="Arial" w:cs="Arial"/>
          <w:bCs/>
          <w:sz w:val="20"/>
          <w:szCs w:val="20"/>
        </w:rPr>
        <w:t>,</w:t>
      </w:r>
      <w:r w:rsidR="006F19E5" w:rsidRPr="00E54597">
        <w:rPr>
          <w:rFonts w:ascii="Arial" w:eastAsia="Calibri" w:hAnsi="Arial" w:cs="Arial"/>
          <w:bCs/>
          <w:sz w:val="20"/>
          <w:szCs w:val="20"/>
        </w:rPr>
        <w:t xml:space="preserve"> and </w:t>
      </w:r>
      <w:proofErr w:type="spellStart"/>
      <w:r w:rsidR="006F19E5" w:rsidRPr="00E54597">
        <w:rPr>
          <w:rFonts w:ascii="Arial" w:eastAsia="Calibri" w:hAnsi="Arial" w:cs="Arial"/>
          <w:bCs/>
          <w:sz w:val="20"/>
          <w:szCs w:val="20"/>
        </w:rPr>
        <w:t>Hindoli</w:t>
      </w:r>
      <w:proofErr w:type="spellEnd"/>
      <w:r w:rsidR="006F19E5" w:rsidRPr="00E54597">
        <w:rPr>
          <w:rFonts w:ascii="Arial" w:eastAsia="Calibri" w:hAnsi="Arial" w:cs="Arial"/>
          <w:bCs/>
          <w:sz w:val="20"/>
          <w:szCs w:val="20"/>
        </w:rPr>
        <w:t xml:space="preserve"> blocks </w:t>
      </w:r>
      <w:r w:rsidR="00F627DE">
        <w:rPr>
          <w:rFonts w:ascii="Arial" w:eastAsia="Calibri" w:hAnsi="Arial" w:cs="Arial"/>
          <w:bCs/>
          <w:sz w:val="20"/>
          <w:szCs w:val="20"/>
        </w:rPr>
        <w:t>were</w:t>
      </w:r>
      <w:r w:rsidR="006F19E5" w:rsidRPr="00E54597">
        <w:rPr>
          <w:rFonts w:ascii="Arial" w:eastAsia="Calibri" w:hAnsi="Arial" w:cs="Arial"/>
          <w:bCs/>
          <w:sz w:val="20"/>
          <w:szCs w:val="20"/>
        </w:rPr>
        <w:t xml:space="preserve"> selected purposely as having highest growing farmers of </w:t>
      </w:r>
      <w:proofErr w:type="spellStart"/>
      <w:r w:rsidR="006F19E5" w:rsidRPr="00E54597">
        <w:rPr>
          <w:rFonts w:ascii="Arial" w:eastAsia="Calibri" w:hAnsi="Arial" w:cs="Arial"/>
          <w:bCs/>
          <w:sz w:val="20"/>
          <w:szCs w:val="20"/>
        </w:rPr>
        <w:t>blackgram</w:t>
      </w:r>
      <w:proofErr w:type="spellEnd"/>
      <w:r w:rsidR="00217023" w:rsidRPr="00E54597">
        <w:rPr>
          <w:rFonts w:ascii="Arial" w:eastAsia="Calibri" w:hAnsi="Arial" w:cs="Arial"/>
          <w:b/>
          <w:sz w:val="20"/>
          <w:szCs w:val="20"/>
        </w:rPr>
        <w:t xml:space="preserve">. </w:t>
      </w:r>
      <w:r w:rsidR="00217023" w:rsidRPr="00E54597">
        <w:rPr>
          <w:rFonts w:ascii="Arial" w:eastAsia="Calibri" w:hAnsi="Arial" w:cs="Arial"/>
          <w:bCs/>
          <w:sz w:val="20"/>
          <w:szCs w:val="20"/>
        </w:rPr>
        <w:t>From the</w:t>
      </w:r>
      <w:r w:rsidR="00E64672" w:rsidRPr="00E54597">
        <w:rPr>
          <w:rFonts w:ascii="Arial" w:eastAsia="Calibri" w:hAnsi="Arial" w:cs="Arial"/>
          <w:bCs/>
          <w:sz w:val="20"/>
          <w:szCs w:val="20"/>
        </w:rPr>
        <w:t xml:space="preserve"> t</w:t>
      </w:r>
      <w:r w:rsidR="00CD1CF4" w:rsidRPr="00E54597">
        <w:rPr>
          <w:rFonts w:ascii="Arial" w:eastAsia="Calibri" w:hAnsi="Arial" w:cs="Arial"/>
          <w:bCs/>
          <w:sz w:val="20"/>
          <w:szCs w:val="20"/>
        </w:rPr>
        <w:t>otal</w:t>
      </w:r>
      <w:r w:rsidR="00217023" w:rsidRPr="00E54597">
        <w:rPr>
          <w:rFonts w:ascii="Arial" w:eastAsia="Calibri" w:hAnsi="Arial" w:cs="Arial"/>
          <w:bCs/>
          <w:sz w:val="20"/>
          <w:szCs w:val="20"/>
        </w:rPr>
        <w:t>,</w:t>
      </w:r>
      <w:r w:rsidR="00CD1CF4" w:rsidRPr="00E54597">
        <w:rPr>
          <w:rFonts w:ascii="Arial" w:eastAsia="Calibri" w:hAnsi="Arial" w:cs="Arial"/>
          <w:bCs/>
          <w:sz w:val="20"/>
          <w:szCs w:val="20"/>
        </w:rPr>
        <w:t xml:space="preserve"> seven villages </w:t>
      </w:r>
      <w:r w:rsidR="00010952" w:rsidRPr="00E54597">
        <w:rPr>
          <w:rFonts w:ascii="Arial" w:eastAsia="Calibri" w:hAnsi="Arial" w:cs="Arial"/>
          <w:bCs/>
          <w:sz w:val="20"/>
          <w:szCs w:val="20"/>
        </w:rPr>
        <w:t>were</w:t>
      </w:r>
      <w:r w:rsidR="00BC121C" w:rsidRPr="00E54597">
        <w:rPr>
          <w:rFonts w:ascii="Arial" w:eastAsia="Calibri" w:hAnsi="Arial" w:cs="Arial"/>
          <w:bCs/>
          <w:sz w:val="20"/>
          <w:szCs w:val="20"/>
        </w:rPr>
        <w:t xml:space="preserve"> </w:t>
      </w:r>
      <w:r w:rsidR="00CD1CF4" w:rsidRPr="00E54597">
        <w:rPr>
          <w:rFonts w:ascii="Arial" w:eastAsia="Calibri" w:hAnsi="Arial" w:cs="Arial"/>
          <w:bCs/>
          <w:sz w:val="20"/>
          <w:szCs w:val="20"/>
        </w:rPr>
        <w:t xml:space="preserve">selected as having </w:t>
      </w:r>
      <w:r w:rsidR="00CD1CF4" w:rsidRPr="00E54597">
        <w:rPr>
          <w:rFonts w:ascii="Arial" w:hAnsi="Arial" w:cs="Arial"/>
          <w:bCs/>
          <w:sz w:val="20"/>
          <w:szCs w:val="20"/>
        </w:rPr>
        <w:t>maximum number of farmers who cultivate black gram</w:t>
      </w:r>
      <w:r w:rsidR="00217023" w:rsidRPr="00E54597">
        <w:rPr>
          <w:rFonts w:ascii="Arial" w:hAnsi="Arial" w:cs="Arial"/>
          <w:bCs/>
          <w:sz w:val="20"/>
          <w:szCs w:val="20"/>
        </w:rPr>
        <w:t>,</w:t>
      </w:r>
      <w:r w:rsidR="00CD1CF4" w:rsidRPr="00E54597">
        <w:rPr>
          <w:rFonts w:ascii="Arial" w:hAnsi="Arial" w:cs="Arial"/>
          <w:sz w:val="20"/>
          <w:szCs w:val="20"/>
        </w:rPr>
        <w:t xml:space="preserve"> namely </w:t>
      </w:r>
      <w:proofErr w:type="spellStart"/>
      <w:r w:rsidR="003E7C33" w:rsidRPr="00E54597">
        <w:rPr>
          <w:rFonts w:ascii="Arial" w:eastAsia="Calibri" w:hAnsi="Arial" w:cs="Arial"/>
          <w:bCs/>
          <w:sz w:val="20"/>
          <w:szCs w:val="20"/>
        </w:rPr>
        <w:t>Nainwa</w:t>
      </w:r>
      <w:proofErr w:type="spellEnd"/>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Matunda</w:t>
      </w:r>
      <w:proofErr w:type="spellEnd"/>
      <w:r w:rsidR="003E7C33" w:rsidRPr="00E54597">
        <w:rPr>
          <w:rFonts w:ascii="Arial" w:eastAsia="Calibri" w:hAnsi="Arial" w:cs="Arial"/>
          <w:bCs/>
          <w:sz w:val="20"/>
          <w:szCs w:val="20"/>
        </w:rPr>
        <w:t xml:space="preserve">, </w:t>
      </w:r>
      <w:proofErr w:type="spellStart"/>
      <w:r w:rsidR="00D00D46" w:rsidRPr="00E54597">
        <w:rPr>
          <w:rFonts w:ascii="Arial" w:eastAsia="Calibri" w:hAnsi="Arial" w:cs="Arial"/>
          <w:bCs/>
          <w:sz w:val="20"/>
          <w:szCs w:val="20"/>
        </w:rPr>
        <w:t>Hindoli</w:t>
      </w:r>
      <w:proofErr w:type="spellEnd"/>
      <w:r w:rsidR="00D00D46" w:rsidRPr="00E54597">
        <w:rPr>
          <w:rFonts w:ascii="Arial" w:eastAsia="Calibri" w:hAnsi="Arial" w:cs="Arial"/>
          <w:bCs/>
          <w:sz w:val="20"/>
          <w:szCs w:val="20"/>
        </w:rPr>
        <w:t>,</w:t>
      </w:r>
      <w:r w:rsidR="003E7C33" w:rsidRPr="00E54597">
        <w:rPr>
          <w:rFonts w:ascii="Arial" w:eastAsia="Calibri" w:hAnsi="Arial" w:cs="Arial"/>
          <w:bCs/>
          <w:sz w:val="20"/>
          <w:szCs w:val="20"/>
        </w:rPr>
        <w:t xml:space="preserve"> </w:t>
      </w:r>
      <w:proofErr w:type="spellStart"/>
      <w:proofErr w:type="gramStart"/>
      <w:r w:rsidR="003E7C33" w:rsidRPr="00E54597">
        <w:rPr>
          <w:rFonts w:ascii="Arial" w:eastAsia="Calibri" w:hAnsi="Arial" w:cs="Arial"/>
          <w:bCs/>
          <w:sz w:val="20"/>
          <w:szCs w:val="20"/>
        </w:rPr>
        <w:t>Jhakhana</w:t>
      </w:r>
      <w:proofErr w:type="spellEnd"/>
      <w:r w:rsidR="003E7C33" w:rsidRPr="00E54597">
        <w:rPr>
          <w:rFonts w:ascii="Arial" w:eastAsia="Calibri" w:hAnsi="Arial" w:cs="Arial"/>
          <w:bCs/>
          <w:sz w:val="20"/>
          <w:szCs w:val="20"/>
        </w:rPr>
        <w:t xml:space="preserve"> ,</w:t>
      </w:r>
      <w:proofErr w:type="gramEnd"/>
      <w:r w:rsidR="003E7C33" w:rsidRPr="00E54597">
        <w:rPr>
          <w:rFonts w:ascii="Arial" w:eastAsia="Calibri" w:hAnsi="Arial" w:cs="Arial"/>
          <w:bCs/>
          <w:sz w:val="20"/>
          <w:szCs w:val="20"/>
        </w:rPr>
        <w:t xml:space="preserve"> </w:t>
      </w:r>
      <w:proofErr w:type="spellStart"/>
      <w:r w:rsidR="00D00D46" w:rsidRPr="00E54597">
        <w:rPr>
          <w:rFonts w:ascii="Arial" w:eastAsia="Calibri" w:hAnsi="Arial" w:cs="Arial"/>
          <w:bCs/>
          <w:sz w:val="20"/>
          <w:szCs w:val="20"/>
        </w:rPr>
        <w:t>Arnaya</w:t>
      </w:r>
      <w:proofErr w:type="spellEnd"/>
      <w:r w:rsidR="00D00D46" w:rsidRPr="00E54597">
        <w:rPr>
          <w:rFonts w:ascii="Arial" w:eastAsia="Calibri" w:hAnsi="Arial" w:cs="Arial"/>
          <w:bCs/>
          <w:sz w:val="20"/>
          <w:szCs w:val="20"/>
        </w:rPr>
        <w:t>,</w:t>
      </w:r>
      <w:r w:rsidR="003E7C33" w:rsidRPr="00E54597">
        <w:rPr>
          <w:rFonts w:ascii="Arial" w:eastAsia="Calibri" w:hAnsi="Arial" w:cs="Arial"/>
          <w:bCs/>
          <w:sz w:val="20"/>
          <w:szCs w:val="20"/>
        </w:rPr>
        <w:t xml:space="preserve"> </w:t>
      </w:r>
      <w:proofErr w:type="spellStart"/>
      <w:r w:rsidR="003E7C33" w:rsidRPr="00E54597">
        <w:rPr>
          <w:rFonts w:ascii="Arial" w:eastAsia="Calibri" w:hAnsi="Arial" w:cs="Arial"/>
          <w:bCs/>
          <w:sz w:val="20"/>
          <w:szCs w:val="20"/>
        </w:rPr>
        <w:t>Kishanpura</w:t>
      </w:r>
      <w:proofErr w:type="spellEnd"/>
      <w:r w:rsidR="00472D80">
        <w:rPr>
          <w:rFonts w:ascii="Arial" w:eastAsia="Calibri" w:hAnsi="Arial" w:cs="Arial"/>
          <w:bCs/>
          <w:sz w:val="20"/>
          <w:szCs w:val="20"/>
        </w:rPr>
        <w:t xml:space="preserve"> and </w:t>
      </w:r>
      <w:proofErr w:type="spellStart"/>
      <w:r w:rsidR="003E7C33" w:rsidRPr="00E54597">
        <w:rPr>
          <w:rFonts w:ascii="Arial" w:eastAsia="Calibri" w:hAnsi="Arial" w:cs="Arial"/>
          <w:bCs/>
          <w:sz w:val="20"/>
          <w:szCs w:val="20"/>
        </w:rPr>
        <w:t>Jhopdhaiya</w:t>
      </w:r>
      <w:proofErr w:type="spellEnd"/>
      <w:r w:rsidR="00A77537">
        <w:rPr>
          <w:rFonts w:ascii="Arial" w:eastAsia="Calibri" w:hAnsi="Arial" w:cs="Arial"/>
          <w:bCs/>
          <w:sz w:val="20"/>
          <w:szCs w:val="20"/>
        </w:rPr>
        <w:t>.</w:t>
      </w:r>
      <w:r w:rsidR="008F30B0" w:rsidRPr="00E54597">
        <w:rPr>
          <w:rFonts w:ascii="Arial" w:eastAsia="Calibri" w:hAnsi="Arial" w:cs="Arial"/>
          <w:bCs/>
          <w:sz w:val="20"/>
          <w:szCs w:val="20"/>
        </w:rPr>
        <w:t xml:space="preserve"> </w:t>
      </w:r>
      <w:r w:rsidR="00AE5336" w:rsidRPr="00E54597">
        <w:rPr>
          <w:rFonts w:ascii="Arial" w:eastAsia="Calibri" w:hAnsi="Arial" w:cs="Arial"/>
          <w:bCs/>
          <w:sz w:val="20"/>
          <w:szCs w:val="20"/>
        </w:rPr>
        <w:t xml:space="preserve">For the selection of </w:t>
      </w:r>
      <w:r w:rsidR="00751088" w:rsidRPr="00E54597">
        <w:rPr>
          <w:rFonts w:ascii="Arial" w:eastAsia="Calibri" w:hAnsi="Arial" w:cs="Arial"/>
          <w:bCs/>
          <w:sz w:val="20"/>
          <w:szCs w:val="20"/>
        </w:rPr>
        <w:t>respondents,</w:t>
      </w:r>
      <w:r w:rsidR="00AE5336" w:rsidRPr="00E54597">
        <w:rPr>
          <w:rFonts w:ascii="Arial" w:eastAsia="Calibri" w:hAnsi="Arial" w:cs="Arial"/>
          <w:bCs/>
          <w:sz w:val="20"/>
          <w:szCs w:val="20"/>
        </w:rPr>
        <w:t xml:space="preserve"> a</w:t>
      </w:r>
      <w:r w:rsidR="008F30B0" w:rsidRPr="00E54597">
        <w:rPr>
          <w:rFonts w:ascii="Arial" w:eastAsia="Calibri" w:hAnsi="Arial" w:cs="Arial"/>
          <w:b/>
          <w:sz w:val="20"/>
          <w:szCs w:val="20"/>
        </w:rPr>
        <w:t xml:space="preserve"> </w:t>
      </w:r>
      <w:r w:rsidR="008F30B0" w:rsidRPr="00E54597">
        <w:rPr>
          <w:rFonts w:ascii="Arial" w:eastAsia="Calibri" w:hAnsi="Arial" w:cs="Arial"/>
          <w:bCs/>
          <w:sz w:val="20"/>
          <w:szCs w:val="20"/>
        </w:rPr>
        <w:t xml:space="preserve">list of participative farmers where frontline demonstration </w:t>
      </w:r>
      <w:r w:rsidR="00E54597" w:rsidRPr="00E54597">
        <w:rPr>
          <w:rFonts w:ascii="Arial" w:eastAsia="Calibri" w:hAnsi="Arial" w:cs="Arial"/>
          <w:bCs/>
          <w:sz w:val="20"/>
          <w:szCs w:val="20"/>
        </w:rPr>
        <w:t>w</w:t>
      </w:r>
      <w:r w:rsidR="00E54597">
        <w:rPr>
          <w:rFonts w:ascii="Arial" w:eastAsia="Calibri" w:hAnsi="Arial" w:cs="Arial"/>
          <w:bCs/>
          <w:sz w:val="20"/>
          <w:szCs w:val="20"/>
        </w:rPr>
        <w:t>a</w:t>
      </w:r>
      <w:r w:rsidR="00E54597" w:rsidRPr="00E54597">
        <w:rPr>
          <w:rFonts w:ascii="Arial" w:eastAsia="Calibri" w:hAnsi="Arial" w:cs="Arial"/>
          <w:bCs/>
          <w:sz w:val="20"/>
          <w:szCs w:val="20"/>
        </w:rPr>
        <w:t>s carried</w:t>
      </w:r>
      <w:r w:rsidR="008F30B0" w:rsidRPr="00E54597">
        <w:rPr>
          <w:rFonts w:ascii="Arial" w:eastAsia="Calibri" w:hAnsi="Arial" w:cs="Arial"/>
          <w:bCs/>
          <w:sz w:val="20"/>
          <w:szCs w:val="20"/>
        </w:rPr>
        <w:t xml:space="preserve"> out for two consecutive years from 2021-22 was be taken. </w:t>
      </w:r>
      <w:r w:rsidR="008F30B0" w:rsidRPr="00E54597">
        <w:rPr>
          <w:rFonts w:ascii="Arial" w:hAnsi="Arial" w:cs="Arial"/>
          <w:sz w:val="20"/>
          <w:szCs w:val="20"/>
        </w:rPr>
        <w:t xml:space="preserve">In this study, </w:t>
      </w:r>
      <w:proofErr w:type="spellStart"/>
      <w:r w:rsidR="008F30B0" w:rsidRPr="00E54597">
        <w:rPr>
          <w:rFonts w:ascii="Arial" w:hAnsi="Arial" w:cs="Arial"/>
          <w:sz w:val="20"/>
          <w:szCs w:val="20"/>
        </w:rPr>
        <w:t>blackgram</w:t>
      </w:r>
      <w:proofErr w:type="spellEnd"/>
      <w:r w:rsidR="008F30B0" w:rsidRPr="00E54597">
        <w:rPr>
          <w:rFonts w:ascii="Arial" w:hAnsi="Arial" w:cs="Arial"/>
          <w:sz w:val="20"/>
          <w:szCs w:val="20"/>
        </w:rPr>
        <w:t xml:space="preserve"> variety </w:t>
      </w:r>
      <w:r w:rsidR="008F30B0" w:rsidRPr="00C90FB1">
        <w:rPr>
          <w:rFonts w:ascii="Arial" w:hAnsi="Arial" w:cs="Arial"/>
          <w:color w:val="000000" w:themeColor="text1"/>
          <w:sz w:val="20"/>
          <w:szCs w:val="20"/>
        </w:rPr>
        <w:t>Kota Urd-3 released recently (2021-2022) from Agricultural Research Station, Kota</w:t>
      </w:r>
      <w:r w:rsidR="00472D80">
        <w:rPr>
          <w:rFonts w:ascii="Arial" w:hAnsi="Arial" w:cs="Arial"/>
          <w:color w:val="000000" w:themeColor="text1"/>
          <w:sz w:val="20"/>
          <w:szCs w:val="20"/>
        </w:rPr>
        <w:t>,</w:t>
      </w:r>
      <w:r w:rsidR="008F30B0" w:rsidRPr="00C90FB1">
        <w:rPr>
          <w:rFonts w:ascii="Arial" w:hAnsi="Arial" w:cs="Arial"/>
          <w:color w:val="000000" w:themeColor="text1"/>
          <w:sz w:val="20"/>
          <w:szCs w:val="20"/>
        </w:rPr>
        <w:t xml:space="preserve"> has been considered for the </w:t>
      </w:r>
      <w:r w:rsidR="00C90FB1" w:rsidRPr="00C90FB1">
        <w:rPr>
          <w:rFonts w:ascii="Arial" w:hAnsi="Arial" w:cs="Arial"/>
          <w:color w:val="000000" w:themeColor="text1"/>
          <w:sz w:val="20"/>
          <w:szCs w:val="20"/>
        </w:rPr>
        <w:t>technical efficiency</w:t>
      </w:r>
      <w:r w:rsidR="008F30B0" w:rsidRPr="00C90FB1">
        <w:rPr>
          <w:rFonts w:ascii="Arial" w:hAnsi="Arial" w:cs="Arial"/>
          <w:color w:val="000000" w:themeColor="text1"/>
          <w:sz w:val="20"/>
          <w:szCs w:val="20"/>
        </w:rPr>
        <w:t>.</w:t>
      </w:r>
      <w:r w:rsidR="00675C39">
        <w:rPr>
          <w:rFonts w:ascii="Arial" w:hAnsi="Arial" w:cs="Arial"/>
          <w:color w:val="000000" w:themeColor="text1"/>
          <w:sz w:val="20"/>
          <w:szCs w:val="20"/>
        </w:rPr>
        <w:t xml:space="preserve"> </w:t>
      </w:r>
      <w:r w:rsidR="002F0219" w:rsidRPr="00675C39">
        <w:rPr>
          <w:rFonts w:ascii="Arial" w:hAnsi="Arial" w:cs="Arial"/>
          <w:sz w:val="20"/>
          <w:szCs w:val="20"/>
        </w:rPr>
        <w:t xml:space="preserve">Kota </w:t>
      </w:r>
      <w:proofErr w:type="spellStart"/>
      <w:r w:rsidR="002F0219" w:rsidRPr="00675C39">
        <w:rPr>
          <w:rFonts w:ascii="Arial" w:hAnsi="Arial" w:cs="Arial"/>
          <w:sz w:val="20"/>
          <w:szCs w:val="20"/>
        </w:rPr>
        <w:t>Urd</w:t>
      </w:r>
      <w:proofErr w:type="spellEnd"/>
      <w:r w:rsidR="002F0219" w:rsidRPr="00675C39">
        <w:rPr>
          <w:rFonts w:ascii="Arial" w:hAnsi="Arial" w:cs="Arial"/>
          <w:sz w:val="20"/>
          <w:szCs w:val="20"/>
        </w:rPr>
        <w:t xml:space="preserve"> – 3 (KPU 12-1735) this improved variety of </w:t>
      </w:r>
      <w:proofErr w:type="spellStart"/>
      <w:r w:rsidR="002F0219" w:rsidRPr="00675C39">
        <w:rPr>
          <w:rFonts w:ascii="Arial" w:hAnsi="Arial" w:cs="Arial"/>
          <w:sz w:val="20"/>
          <w:szCs w:val="20"/>
        </w:rPr>
        <w:lastRenderedPageBreak/>
        <w:t>blackgram</w:t>
      </w:r>
      <w:proofErr w:type="spellEnd"/>
      <w:r w:rsidR="002F0219" w:rsidRPr="00675C39">
        <w:rPr>
          <w:rFonts w:ascii="Arial" w:hAnsi="Arial" w:cs="Arial"/>
          <w:sz w:val="20"/>
          <w:szCs w:val="20"/>
        </w:rPr>
        <w:t xml:space="preserve"> released from Agriculture University, Kota in the year 2020. It provides 12-13 q/ha yield and days of maturity 75-80 days. It is suitable to grow in </w:t>
      </w:r>
      <w:r w:rsidR="00675C39">
        <w:rPr>
          <w:rFonts w:ascii="Arial" w:hAnsi="Arial" w:cs="Arial"/>
          <w:sz w:val="20"/>
          <w:szCs w:val="20"/>
        </w:rPr>
        <w:t xml:space="preserve">the </w:t>
      </w:r>
      <w:r w:rsidR="002F0219" w:rsidRPr="00675C39">
        <w:rPr>
          <w:rFonts w:ascii="Arial" w:hAnsi="Arial" w:cs="Arial"/>
          <w:sz w:val="20"/>
          <w:szCs w:val="20"/>
        </w:rPr>
        <w:t xml:space="preserve">spring season in Rajasthan. This variety contain resistant to </w:t>
      </w:r>
      <w:proofErr w:type="spellStart"/>
      <w:r w:rsidR="002F0219" w:rsidRPr="00675C39">
        <w:rPr>
          <w:rFonts w:ascii="Arial" w:hAnsi="Arial" w:cs="Arial"/>
          <w:sz w:val="20"/>
          <w:szCs w:val="20"/>
        </w:rPr>
        <w:t>cercospora</w:t>
      </w:r>
      <w:proofErr w:type="spellEnd"/>
      <w:r w:rsidR="002F0219" w:rsidRPr="00675C39">
        <w:rPr>
          <w:rFonts w:ascii="Arial" w:hAnsi="Arial" w:cs="Arial"/>
          <w:sz w:val="20"/>
          <w:szCs w:val="20"/>
        </w:rPr>
        <w:t xml:space="preserve"> leaf spot (CLS) and is moderately resistant to </w:t>
      </w:r>
      <w:proofErr w:type="spellStart"/>
      <w:r w:rsidR="002F0219" w:rsidRPr="00675C39">
        <w:rPr>
          <w:rFonts w:ascii="Arial" w:hAnsi="Arial" w:cs="Arial"/>
          <w:sz w:val="20"/>
          <w:szCs w:val="20"/>
        </w:rPr>
        <w:t>Mungbean</w:t>
      </w:r>
      <w:proofErr w:type="spellEnd"/>
      <w:r w:rsidR="002F0219" w:rsidRPr="00675C39">
        <w:rPr>
          <w:rFonts w:ascii="Arial" w:hAnsi="Arial" w:cs="Arial"/>
          <w:sz w:val="20"/>
          <w:szCs w:val="20"/>
        </w:rPr>
        <w:t xml:space="preserve"> yellow mosaic virus (MYMV) disease. Fewer incidences of pod borer and </w:t>
      </w:r>
      <w:proofErr w:type="spellStart"/>
      <w:r w:rsidR="002F0219" w:rsidRPr="00675C39">
        <w:rPr>
          <w:rFonts w:ascii="Arial" w:hAnsi="Arial" w:cs="Arial"/>
          <w:sz w:val="20"/>
          <w:szCs w:val="20"/>
        </w:rPr>
        <w:t>maruca</w:t>
      </w:r>
      <w:proofErr w:type="spellEnd"/>
      <w:r w:rsidR="002F0219" w:rsidRPr="00675C39">
        <w:rPr>
          <w:rFonts w:ascii="Arial" w:hAnsi="Arial" w:cs="Arial"/>
          <w:sz w:val="20"/>
          <w:szCs w:val="20"/>
        </w:rPr>
        <w:t xml:space="preserve"> are tolerant to major biotic stresses. </w:t>
      </w:r>
      <w:r w:rsidR="008F30B0" w:rsidRPr="00675C39">
        <w:rPr>
          <w:rFonts w:ascii="Arial" w:hAnsi="Arial" w:cs="Arial"/>
          <w:color w:val="000000" w:themeColor="text1"/>
          <w:sz w:val="20"/>
          <w:szCs w:val="20"/>
        </w:rPr>
        <w:t xml:space="preserve"> </w:t>
      </w:r>
      <w:r w:rsidR="008F30B0" w:rsidRPr="00675C39">
        <w:rPr>
          <w:rFonts w:ascii="Arial" w:hAnsi="Arial" w:cs="Arial"/>
          <w:sz w:val="20"/>
          <w:szCs w:val="20"/>
        </w:rPr>
        <w:t xml:space="preserve">Secondary data is collected from the released proposals of the variety from respective </w:t>
      </w:r>
      <w:r w:rsidR="00E54597" w:rsidRPr="00675C39">
        <w:rPr>
          <w:rFonts w:ascii="Arial" w:hAnsi="Arial" w:cs="Arial"/>
          <w:sz w:val="20"/>
          <w:szCs w:val="20"/>
        </w:rPr>
        <w:t>breeders;</w:t>
      </w:r>
      <w:r w:rsidR="008F30B0" w:rsidRPr="00675C39">
        <w:rPr>
          <w:rFonts w:ascii="Arial" w:hAnsi="Arial" w:cs="Arial"/>
          <w:sz w:val="20"/>
          <w:szCs w:val="20"/>
        </w:rPr>
        <w:t xml:space="preserve"> data is also taken from the performance evaluations done by the extension </w:t>
      </w:r>
      <w:r w:rsidR="00472D80" w:rsidRPr="00675C39">
        <w:rPr>
          <w:rFonts w:ascii="Arial" w:hAnsi="Arial" w:cs="Arial"/>
          <w:sz w:val="20"/>
          <w:szCs w:val="20"/>
        </w:rPr>
        <w:t>stations,</w:t>
      </w:r>
      <w:r w:rsidR="008F30B0" w:rsidRPr="00675C39">
        <w:rPr>
          <w:rFonts w:ascii="Arial" w:hAnsi="Arial" w:cs="Arial"/>
          <w:sz w:val="20"/>
          <w:szCs w:val="20"/>
        </w:rPr>
        <w:t xml:space="preserve"> and the </w:t>
      </w:r>
      <w:r w:rsidR="00472D80" w:rsidRPr="00675C39">
        <w:rPr>
          <w:rFonts w:ascii="Arial" w:hAnsi="Arial" w:cs="Arial"/>
          <w:sz w:val="20"/>
          <w:szCs w:val="20"/>
        </w:rPr>
        <w:t>real-time</w:t>
      </w:r>
      <w:r w:rsidR="008F30B0" w:rsidRPr="00675C39">
        <w:rPr>
          <w:rFonts w:ascii="Arial" w:hAnsi="Arial" w:cs="Arial"/>
          <w:sz w:val="20"/>
          <w:szCs w:val="20"/>
        </w:rPr>
        <w:t xml:space="preserve"> data from the farmers’ fields </w:t>
      </w:r>
      <w:r w:rsidR="006E115C" w:rsidRPr="00675C39">
        <w:rPr>
          <w:rFonts w:ascii="Arial" w:hAnsi="Arial" w:cs="Arial"/>
          <w:sz w:val="20"/>
          <w:szCs w:val="20"/>
        </w:rPr>
        <w:t>about</w:t>
      </w:r>
      <w:r w:rsidR="008F30B0" w:rsidRPr="00675C39">
        <w:rPr>
          <w:rFonts w:ascii="Arial" w:hAnsi="Arial" w:cs="Arial"/>
          <w:sz w:val="20"/>
          <w:szCs w:val="20"/>
        </w:rPr>
        <w:t xml:space="preserve"> the same crop variety is also recorded.</w:t>
      </w:r>
      <w:r w:rsidR="00F90E76" w:rsidRPr="00675C39">
        <w:rPr>
          <w:rFonts w:ascii="Arial" w:hAnsi="Arial" w:cs="Arial"/>
          <w:sz w:val="20"/>
          <w:szCs w:val="20"/>
        </w:rPr>
        <w:t xml:space="preserve"> </w:t>
      </w:r>
      <w:proofErr w:type="gramStart"/>
      <w:r w:rsidR="00F90E76" w:rsidRPr="00675C39">
        <w:rPr>
          <w:rFonts w:ascii="Arial" w:hAnsi="Arial" w:cs="Arial"/>
          <w:sz w:val="20"/>
          <w:szCs w:val="20"/>
        </w:rPr>
        <w:t>Finally</w:t>
      </w:r>
      <w:proofErr w:type="gramEnd"/>
      <w:r w:rsidR="00F90E76" w:rsidRPr="00675C39">
        <w:rPr>
          <w:rFonts w:ascii="Arial" w:hAnsi="Arial" w:cs="Arial"/>
          <w:sz w:val="20"/>
          <w:szCs w:val="20"/>
        </w:rPr>
        <w:t xml:space="preserve"> at last stage,</w:t>
      </w:r>
      <w:r w:rsidR="000D6ED5">
        <w:rPr>
          <w:rFonts w:ascii="Arial" w:hAnsi="Arial" w:cs="Arial"/>
          <w:sz w:val="20"/>
          <w:szCs w:val="20"/>
        </w:rPr>
        <w:t xml:space="preserve"> </w:t>
      </w:r>
      <w:r w:rsidR="00F90E76" w:rsidRPr="00675C39">
        <w:rPr>
          <w:rFonts w:ascii="Arial" w:hAnsi="Arial" w:cs="Arial"/>
          <w:sz w:val="20"/>
          <w:szCs w:val="20"/>
        </w:rPr>
        <w:t xml:space="preserve">120 farmers from seven villages </w:t>
      </w:r>
      <w:r w:rsidR="00B84475" w:rsidRPr="00675C39">
        <w:rPr>
          <w:rFonts w:ascii="Arial" w:hAnsi="Arial" w:cs="Arial"/>
          <w:sz w:val="20"/>
          <w:szCs w:val="20"/>
        </w:rPr>
        <w:t>were</w:t>
      </w:r>
      <w:r w:rsidR="00F90E76" w:rsidRPr="00675C39">
        <w:rPr>
          <w:rFonts w:ascii="Arial" w:hAnsi="Arial" w:cs="Arial"/>
          <w:sz w:val="20"/>
          <w:szCs w:val="20"/>
        </w:rPr>
        <w:t xml:space="preserve"> selected as </w:t>
      </w:r>
      <w:r w:rsidR="008B36F0">
        <w:rPr>
          <w:rFonts w:ascii="Arial" w:hAnsi="Arial" w:cs="Arial"/>
          <w:sz w:val="20"/>
          <w:szCs w:val="20"/>
        </w:rPr>
        <w:t xml:space="preserve">respondents from proportionate random sampling </w:t>
      </w:r>
      <w:r w:rsidR="00F8792F">
        <w:rPr>
          <w:rFonts w:ascii="Arial" w:hAnsi="Arial" w:cs="Arial"/>
          <w:sz w:val="20"/>
          <w:szCs w:val="20"/>
        </w:rPr>
        <w:t xml:space="preserve">in the </w:t>
      </w:r>
      <w:r w:rsidR="00F90E76" w:rsidRPr="00675C39">
        <w:rPr>
          <w:rFonts w:ascii="Arial" w:hAnsi="Arial" w:cs="Arial"/>
          <w:sz w:val="20"/>
          <w:szCs w:val="20"/>
        </w:rPr>
        <w:t>present study.</w:t>
      </w:r>
      <w:r w:rsidR="00C2370E" w:rsidRPr="00675C39">
        <w:rPr>
          <w:rFonts w:ascii="Arial" w:hAnsi="Arial" w:cs="Arial"/>
          <w:sz w:val="20"/>
          <w:szCs w:val="20"/>
        </w:rPr>
        <w:t xml:space="preserve"> For </w:t>
      </w:r>
      <w:r w:rsidR="0078394D" w:rsidRPr="00675C39">
        <w:rPr>
          <w:rFonts w:ascii="Arial" w:hAnsi="Arial" w:cs="Arial"/>
          <w:sz w:val="20"/>
          <w:szCs w:val="20"/>
        </w:rPr>
        <w:t xml:space="preserve">the </w:t>
      </w:r>
      <w:r w:rsidR="00C2370E" w:rsidRPr="00675C39">
        <w:rPr>
          <w:rFonts w:ascii="Arial" w:hAnsi="Arial" w:cs="Arial"/>
          <w:sz w:val="20"/>
          <w:szCs w:val="20"/>
        </w:rPr>
        <w:t>collection of data from the respondents, an interview schedule was prepared.</w:t>
      </w:r>
      <w:r w:rsidR="006D0948" w:rsidRPr="00675C39">
        <w:rPr>
          <w:rFonts w:ascii="Arial" w:eastAsia="Times New Roman" w:hAnsi="Arial" w:cs="Arial"/>
          <w:sz w:val="20"/>
          <w:szCs w:val="20"/>
        </w:rPr>
        <w:t xml:space="preserve"> The personal interview method was used for the collection of the data. The data were analysed critically with the help of different statistical tools like frequency, percentage, standard deviation, arithmetic mean, mean percent score,</w:t>
      </w:r>
      <w:r w:rsidR="00E60565" w:rsidRPr="00675C39">
        <w:rPr>
          <w:rFonts w:ascii="Arial" w:eastAsia="Times New Roman" w:hAnsi="Arial" w:cs="Arial"/>
          <w:sz w:val="20"/>
          <w:szCs w:val="20"/>
        </w:rPr>
        <w:t xml:space="preserve"> </w:t>
      </w:r>
      <w:r w:rsidR="006D0948" w:rsidRPr="00675C39">
        <w:rPr>
          <w:rFonts w:ascii="Arial" w:eastAsia="Times New Roman" w:hAnsi="Arial" w:cs="Arial"/>
          <w:sz w:val="20"/>
          <w:szCs w:val="20"/>
        </w:rPr>
        <w:t>rank correlation (</w:t>
      </w:r>
      <w:proofErr w:type="spellStart"/>
      <w:r w:rsidR="006D0948" w:rsidRPr="00675C39">
        <w:rPr>
          <w:rFonts w:ascii="Arial" w:eastAsia="Times New Roman" w:hAnsi="Arial" w:cs="Arial"/>
          <w:sz w:val="20"/>
          <w:szCs w:val="20"/>
        </w:rPr>
        <w:t>r</w:t>
      </w:r>
      <w:r w:rsidR="006D0948" w:rsidRPr="00675C39">
        <w:rPr>
          <w:rFonts w:ascii="Arial" w:eastAsia="Times New Roman" w:hAnsi="Arial" w:cs="Arial"/>
          <w:sz w:val="20"/>
          <w:szCs w:val="20"/>
          <w:vertAlign w:val="subscript"/>
        </w:rPr>
        <w:t>s</w:t>
      </w:r>
      <w:proofErr w:type="spellEnd"/>
      <w:r w:rsidR="006D0948" w:rsidRPr="00675C39">
        <w:rPr>
          <w:rFonts w:ascii="Arial" w:eastAsia="Times New Roman" w:hAnsi="Arial" w:cs="Arial"/>
          <w:sz w:val="20"/>
          <w:szCs w:val="20"/>
        </w:rPr>
        <w:t>), correlation and regression analysis.</w:t>
      </w:r>
      <w:r w:rsidR="00184E83" w:rsidRPr="00675C39">
        <w:rPr>
          <w:rFonts w:ascii="Arial" w:eastAsia="Times New Roman" w:hAnsi="Arial" w:cs="Arial"/>
          <w:sz w:val="20"/>
          <w:szCs w:val="20"/>
        </w:rPr>
        <w:t xml:space="preserve"> </w:t>
      </w:r>
      <w:bookmarkStart w:id="1" w:name="_Hlk225973804"/>
      <w:r w:rsidR="003145E8" w:rsidRPr="00675C39">
        <w:rPr>
          <w:rFonts w:ascii="Arial" w:eastAsia="Times New Roman" w:hAnsi="Arial" w:cs="Arial"/>
          <w:sz w:val="20"/>
          <w:szCs w:val="20"/>
        </w:rPr>
        <w:t xml:space="preserve">The technical </w:t>
      </w:r>
      <w:r w:rsidR="00E54597" w:rsidRPr="00675C39">
        <w:rPr>
          <w:rFonts w:ascii="Arial" w:eastAsia="Times New Roman" w:hAnsi="Arial" w:cs="Arial"/>
          <w:sz w:val="20"/>
          <w:szCs w:val="20"/>
        </w:rPr>
        <w:t>efficiency</w:t>
      </w:r>
      <w:r w:rsidR="003145E8" w:rsidRPr="00675C39">
        <w:rPr>
          <w:rFonts w:ascii="Arial" w:eastAsia="Times New Roman" w:hAnsi="Arial" w:cs="Arial"/>
          <w:sz w:val="20"/>
          <w:szCs w:val="20"/>
        </w:rPr>
        <w:t xml:space="preserve"> was evaluated:</w:t>
      </w:r>
      <w:bookmarkEnd w:id="1"/>
    </w:p>
    <w:p w14:paraId="3FED6E36" w14:textId="77777777" w:rsidR="00767E77" w:rsidRPr="00675C39" w:rsidRDefault="00767E77" w:rsidP="00972817">
      <w:pPr>
        <w:spacing w:after="0" w:line="360" w:lineRule="auto"/>
        <w:jc w:val="both"/>
        <w:rPr>
          <w:rFonts w:ascii="Arial" w:hAnsi="Arial" w:cs="Arial"/>
          <w:sz w:val="20"/>
          <w:szCs w:val="20"/>
        </w:rPr>
      </w:pPr>
      <w:proofErr w:type="spellStart"/>
      <w:proofErr w:type="gramStart"/>
      <w:r w:rsidRPr="00675C39">
        <w:rPr>
          <w:rFonts w:ascii="Arial" w:hAnsi="Arial" w:cs="Arial"/>
          <w:sz w:val="20"/>
          <w:szCs w:val="20"/>
        </w:rPr>
        <w:t>TE</w:t>
      </w:r>
      <w:r w:rsidRPr="00675C39">
        <w:rPr>
          <w:rFonts w:ascii="Arial" w:hAnsi="Arial" w:cs="Arial"/>
          <w:sz w:val="20"/>
          <w:szCs w:val="20"/>
          <w:vertAlign w:val="subscript"/>
        </w:rPr>
        <w:t>i</w:t>
      </w:r>
      <w:proofErr w:type="spellEnd"/>
      <w:r w:rsidRPr="00675C39">
        <w:rPr>
          <w:rFonts w:ascii="Arial" w:hAnsi="Arial" w:cs="Arial"/>
          <w:sz w:val="20"/>
          <w:szCs w:val="20"/>
        </w:rPr>
        <w:t xml:space="preserve">  =</w:t>
      </w:r>
      <w:proofErr w:type="gramEnd"/>
      <w:r w:rsidRPr="00675C39">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Yi*</m:t>
            </m:r>
          </m:num>
          <m:den>
            <m:r>
              <w:rPr>
                <w:rFonts w:ascii="Cambria Math" w:hAnsi="Cambria Math" w:cs="Arial"/>
                <w:sz w:val="20"/>
                <w:szCs w:val="20"/>
              </w:rPr>
              <m:t>Yi</m:t>
            </m:r>
          </m:den>
        </m:f>
      </m:oMath>
      <w:r w:rsidRPr="00675C39">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θi</m:t>
            </m:r>
          </m:den>
        </m:f>
      </m:oMath>
      <w:r w:rsidRPr="00675C39">
        <w:rPr>
          <w:rFonts w:ascii="Arial" w:hAnsi="Arial" w:cs="Arial"/>
          <w:sz w:val="20"/>
          <w:szCs w:val="20"/>
        </w:rPr>
        <w:t xml:space="preserve"> = 0≤TE≤1</w:t>
      </w:r>
    </w:p>
    <w:p w14:paraId="12A9F6BF" w14:textId="77777777" w:rsidR="00767E77" w:rsidRPr="00675C39" w:rsidRDefault="00767E77" w:rsidP="00972817">
      <w:pPr>
        <w:autoSpaceDE w:val="0"/>
        <w:autoSpaceDN w:val="0"/>
        <w:adjustRightInd w:val="0"/>
        <w:spacing w:after="0" w:line="360" w:lineRule="auto"/>
        <w:jc w:val="both"/>
        <w:rPr>
          <w:rFonts w:ascii="Arial" w:hAnsi="Arial" w:cs="Arial"/>
          <w:sz w:val="20"/>
          <w:szCs w:val="20"/>
        </w:rPr>
      </w:pPr>
      <w:r w:rsidRPr="00675C39">
        <w:rPr>
          <w:rFonts w:ascii="Arial" w:hAnsi="Arial" w:cs="Arial"/>
          <w:sz w:val="20"/>
          <w:szCs w:val="20"/>
        </w:rPr>
        <w:t>Where, Yi is the maximum possible (optimal) output and Y*</w:t>
      </w:r>
      <w:proofErr w:type="spellStart"/>
      <w:r w:rsidRPr="00675C39">
        <w:rPr>
          <w:rFonts w:ascii="Arial" w:hAnsi="Arial" w:cs="Arial"/>
          <w:sz w:val="20"/>
          <w:szCs w:val="20"/>
        </w:rPr>
        <w:t>i</w:t>
      </w:r>
      <w:proofErr w:type="spellEnd"/>
      <w:r w:rsidRPr="00675C39">
        <w:rPr>
          <w:rFonts w:ascii="Arial" w:hAnsi="Arial" w:cs="Arial"/>
          <w:sz w:val="20"/>
          <w:szCs w:val="20"/>
        </w:rPr>
        <w:t xml:space="preserve"> is the observed outputs.</w:t>
      </w:r>
    </w:p>
    <w:p w14:paraId="6C393DF2" w14:textId="2EFEBB57" w:rsidR="00DE0213" w:rsidRPr="00C420D8" w:rsidRDefault="00A32DC2" w:rsidP="00972817">
      <w:pPr>
        <w:spacing w:after="0" w:line="360" w:lineRule="auto"/>
        <w:jc w:val="both"/>
        <w:rPr>
          <w:rFonts w:ascii="Arial" w:hAnsi="Arial" w:cs="Arial"/>
          <w:b/>
          <w:bCs/>
        </w:rPr>
      </w:pPr>
      <w:r>
        <w:rPr>
          <w:rFonts w:ascii="Arial" w:hAnsi="Arial" w:cs="Arial"/>
          <w:b/>
          <w:bCs/>
        </w:rPr>
        <w:t xml:space="preserve">RESULT AND DISCUSION </w:t>
      </w:r>
    </w:p>
    <w:p w14:paraId="20022B40" w14:textId="2DC0F348" w:rsidR="00D27CB2" w:rsidRPr="00F13073" w:rsidRDefault="00AA788A" w:rsidP="00972817">
      <w:pPr>
        <w:autoSpaceDE w:val="0"/>
        <w:autoSpaceDN w:val="0"/>
        <w:adjustRightInd w:val="0"/>
        <w:spacing w:after="0" w:line="360" w:lineRule="auto"/>
        <w:ind w:firstLine="720"/>
        <w:jc w:val="both"/>
        <w:rPr>
          <w:rFonts w:ascii="Arial" w:hAnsi="Arial" w:cs="Arial"/>
          <w:sz w:val="20"/>
          <w:szCs w:val="20"/>
          <w:lang w:bidi="hi-IN"/>
        </w:rPr>
      </w:pPr>
      <w:r w:rsidRPr="00AA788A">
        <w:rPr>
          <w:rFonts w:ascii="Arial" w:hAnsi="Arial" w:cs="Arial"/>
          <w:sz w:val="20"/>
          <w:szCs w:val="20"/>
        </w:rPr>
        <w:t>In order to assess farmers’ capacity to attain the maximum attainable crop output from a given set of inputs under prevailing conditions and existing technological frameworks, a rigorous evaluation of farm-specific technical efficiency is essential. Technical efficiency represents the gap between the actual output achieved by a farm and the optimal output attainable with a given combination of inputs</w:t>
      </w:r>
      <w:r w:rsidR="0038224F" w:rsidRPr="00F13073">
        <w:rPr>
          <w:rFonts w:ascii="Arial" w:hAnsi="Arial" w:cs="Arial"/>
          <w:sz w:val="20"/>
          <w:szCs w:val="20"/>
        </w:rPr>
        <w:t xml:space="preserve">. </w:t>
      </w:r>
      <w:r w:rsidR="00D27CB2" w:rsidRPr="00F13073">
        <w:rPr>
          <w:rFonts w:ascii="Arial" w:hAnsi="Arial" w:cs="Arial"/>
          <w:sz w:val="20"/>
          <w:szCs w:val="20"/>
          <w:lang w:bidi="hi-IN"/>
        </w:rPr>
        <w:t xml:space="preserve">Table 1 shows the distribution of technical efficiency levels of the sample and the comparison of the efficiency between the existing variety (PU-31) and improved variety (Kota Urd-3) of </w:t>
      </w:r>
      <w:proofErr w:type="spellStart"/>
      <w:r w:rsidR="00D27CB2" w:rsidRPr="00F13073">
        <w:rPr>
          <w:rFonts w:ascii="Arial" w:hAnsi="Arial" w:cs="Arial"/>
          <w:sz w:val="20"/>
          <w:szCs w:val="20"/>
          <w:lang w:bidi="hi-IN"/>
        </w:rPr>
        <w:t>blackgram</w:t>
      </w:r>
      <w:proofErr w:type="spellEnd"/>
      <w:r w:rsidR="00D27CB2" w:rsidRPr="00F13073">
        <w:rPr>
          <w:rFonts w:ascii="Arial" w:hAnsi="Arial" w:cs="Arial"/>
          <w:sz w:val="20"/>
          <w:szCs w:val="20"/>
          <w:lang w:bidi="hi-IN"/>
        </w:rPr>
        <w:t>.</w:t>
      </w:r>
    </w:p>
    <w:p w14:paraId="5B9B1AC8" w14:textId="08E69007" w:rsidR="00F30181" w:rsidRPr="00C420D8" w:rsidRDefault="00F30181" w:rsidP="00972817">
      <w:pPr>
        <w:spacing w:after="0" w:line="360" w:lineRule="auto"/>
        <w:jc w:val="both"/>
        <w:rPr>
          <w:rFonts w:ascii="Arial" w:hAnsi="Arial" w:cs="Arial"/>
          <w:b/>
          <w:bCs/>
        </w:rPr>
      </w:pPr>
      <w:r w:rsidRPr="00C420D8">
        <w:rPr>
          <w:rFonts w:ascii="Arial" w:hAnsi="Arial" w:cs="Arial"/>
          <w:b/>
          <w:bCs/>
        </w:rPr>
        <w:t>Table 1. Frequency distribution of technical efficiencies of black gram producer</w:t>
      </w:r>
    </w:p>
    <w:tbl>
      <w:tblPr>
        <w:tblStyle w:val="TableGrid"/>
        <w:tblW w:w="8763" w:type="dxa"/>
        <w:tblInd w:w="108" w:type="dxa"/>
        <w:tblLook w:val="04A0" w:firstRow="1" w:lastRow="0" w:firstColumn="1" w:lastColumn="0" w:noHBand="0" w:noVBand="1"/>
      </w:tblPr>
      <w:tblGrid>
        <w:gridCol w:w="1811"/>
        <w:gridCol w:w="1643"/>
        <w:gridCol w:w="1657"/>
        <w:gridCol w:w="1845"/>
        <w:gridCol w:w="1807"/>
      </w:tblGrid>
      <w:tr w:rsidR="00C420D8" w:rsidRPr="00C420D8" w14:paraId="4DF03368" w14:textId="77777777" w:rsidTr="00F30181">
        <w:trPr>
          <w:trHeight w:val="369"/>
        </w:trPr>
        <w:tc>
          <w:tcPr>
            <w:tcW w:w="1811" w:type="dxa"/>
            <w:vMerge w:val="restart"/>
          </w:tcPr>
          <w:p w14:paraId="685F47F1" w14:textId="1990DB4F" w:rsidR="00F30181" w:rsidRPr="002C6D18" w:rsidRDefault="00F30181" w:rsidP="002C6D18">
            <w:pPr>
              <w:spacing w:line="360" w:lineRule="auto"/>
              <w:jc w:val="center"/>
              <w:rPr>
                <w:rFonts w:ascii="Arial" w:hAnsi="Arial" w:cs="Arial"/>
                <w:b/>
                <w:bCs/>
                <w:sz w:val="20"/>
              </w:rPr>
            </w:pPr>
            <w:r w:rsidRPr="002C6D18">
              <w:rPr>
                <w:rFonts w:ascii="Arial" w:hAnsi="Arial" w:cs="Arial"/>
                <w:b/>
                <w:bCs/>
                <w:sz w:val="20"/>
              </w:rPr>
              <w:t>Levels</w:t>
            </w:r>
          </w:p>
        </w:tc>
        <w:tc>
          <w:tcPr>
            <w:tcW w:w="3300" w:type="dxa"/>
            <w:gridSpan w:val="2"/>
          </w:tcPr>
          <w:p w14:paraId="2A57C7DC" w14:textId="77777777" w:rsidR="00F30181" w:rsidRPr="002C6D18" w:rsidRDefault="00F30181" w:rsidP="002C6D18">
            <w:pPr>
              <w:spacing w:line="360" w:lineRule="auto"/>
              <w:jc w:val="center"/>
              <w:rPr>
                <w:rFonts w:ascii="Arial" w:hAnsi="Arial" w:cs="Arial"/>
                <w:b/>
                <w:bCs/>
                <w:sz w:val="20"/>
              </w:rPr>
            </w:pPr>
            <w:r w:rsidRPr="002C6D18">
              <w:rPr>
                <w:rFonts w:ascii="Arial" w:hAnsi="Arial" w:cs="Arial"/>
                <w:b/>
                <w:bCs/>
                <w:sz w:val="20"/>
              </w:rPr>
              <w:t>Improved variety (Kota Urd-3)</w:t>
            </w:r>
          </w:p>
        </w:tc>
        <w:tc>
          <w:tcPr>
            <w:tcW w:w="3652" w:type="dxa"/>
            <w:gridSpan w:val="2"/>
          </w:tcPr>
          <w:p w14:paraId="049B1E90" w14:textId="056A9488" w:rsidR="00F30181" w:rsidRPr="002C6D18" w:rsidRDefault="00F30181" w:rsidP="002C6D18">
            <w:pPr>
              <w:spacing w:line="360" w:lineRule="auto"/>
              <w:jc w:val="center"/>
              <w:rPr>
                <w:rFonts w:ascii="Arial" w:hAnsi="Arial" w:cs="Arial"/>
                <w:b/>
                <w:bCs/>
                <w:sz w:val="20"/>
              </w:rPr>
            </w:pPr>
            <w:r w:rsidRPr="002C6D18">
              <w:rPr>
                <w:rFonts w:ascii="Arial" w:hAnsi="Arial" w:cs="Arial"/>
                <w:b/>
                <w:bCs/>
                <w:sz w:val="20"/>
              </w:rPr>
              <w:t>Existing variety (PU-</w:t>
            </w:r>
            <w:r w:rsidR="00A32DC2" w:rsidRPr="002C6D18">
              <w:rPr>
                <w:rFonts w:ascii="Arial" w:hAnsi="Arial" w:cs="Arial"/>
                <w:b/>
                <w:bCs/>
                <w:sz w:val="20"/>
              </w:rPr>
              <w:t>31)</w:t>
            </w:r>
          </w:p>
        </w:tc>
      </w:tr>
      <w:tr w:rsidR="00C420D8" w:rsidRPr="00C420D8" w14:paraId="3E81EC8F" w14:textId="77777777" w:rsidTr="00F30181">
        <w:trPr>
          <w:trHeight w:val="382"/>
        </w:trPr>
        <w:tc>
          <w:tcPr>
            <w:tcW w:w="1811" w:type="dxa"/>
            <w:vMerge/>
          </w:tcPr>
          <w:p w14:paraId="12F1065C" w14:textId="77777777" w:rsidR="00F30181" w:rsidRPr="002C6D18" w:rsidRDefault="00F30181" w:rsidP="002C6D18">
            <w:pPr>
              <w:spacing w:line="360" w:lineRule="auto"/>
              <w:jc w:val="center"/>
              <w:rPr>
                <w:rFonts w:ascii="Arial" w:hAnsi="Arial" w:cs="Arial"/>
                <w:sz w:val="20"/>
              </w:rPr>
            </w:pPr>
          </w:p>
        </w:tc>
        <w:tc>
          <w:tcPr>
            <w:tcW w:w="1643" w:type="dxa"/>
          </w:tcPr>
          <w:p w14:paraId="438DA846"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Number</w:t>
            </w:r>
          </w:p>
        </w:tc>
        <w:tc>
          <w:tcPr>
            <w:tcW w:w="1656" w:type="dxa"/>
          </w:tcPr>
          <w:p w14:paraId="2C7D6FC1"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Per cent</w:t>
            </w:r>
          </w:p>
        </w:tc>
        <w:tc>
          <w:tcPr>
            <w:tcW w:w="1845" w:type="dxa"/>
          </w:tcPr>
          <w:p w14:paraId="63350F49"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Number</w:t>
            </w:r>
          </w:p>
        </w:tc>
        <w:tc>
          <w:tcPr>
            <w:tcW w:w="1807" w:type="dxa"/>
          </w:tcPr>
          <w:p w14:paraId="05984B00"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Per cent</w:t>
            </w:r>
          </w:p>
        </w:tc>
      </w:tr>
      <w:tr w:rsidR="00C420D8" w:rsidRPr="00C420D8" w14:paraId="118189F6" w14:textId="77777777" w:rsidTr="00F30181">
        <w:trPr>
          <w:trHeight w:val="382"/>
        </w:trPr>
        <w:tc>
          <w:tcPr>
            <w:tcW w:w="1811" w:type="dxa"/>
          </w:tcPr>
          <w:p w14:paraId="195CEE36"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0.41 - 0.45</w:t>
            </w:r>
          </w:p>
        </w:tc>
        <w:tc>
          <w:tcPr>
            <w:tcW w:w="1643" w:type="dxa"/>
          </w:tcPr>
          <w:p w14:paraId="1D2B534E"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28</w:t>
            </w:r>
          </w:p>
        </w:tc>
        <w:tc>
          <w:tcPr>
            <w:tcW w:w="1656" w:type="dxa"/>
          </w:tcPr>
          <w:p w14:paraId="222787F7"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23.33</w:t>
            </w:r>
          </w:p>
        </w:tc>
        <w:tc>
          <w:tcPr>
            <w:tcW w:w="1845" w:type="dxa"/>
          </w:tcPr>
          <w:p w14:paraId="6197E426"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37</w:t>
            </w:r>
          </w:p>
        </w:tc>
        <w:tc>
          <w:tcPr>
            <w:tcW w:w="1807" w:type="dxa"/>
          </w:tcPr>
          <w:p w14:paraId="1B186258"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30.89</w:t>
            </w:r>
          </w:p>
        </w:tc>
      </w:tr>
      <w:tr w:rsidR="00C420D8" w:rsidRPr="00C420D8" w14:paraId="546EAC36" w14:textId="77777777" w:rsidTr="00F30181">
        <w:trPr>
          <w:trHeight w:val="382"/>
        </w:trPr>
        <w:tc>
          <w:tcPr>
            <w:tcW w:w="1811" w:type="dxa"/>
          </w:tcPr>
          <w:p w14:paraId="31965A7D"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0.46 - 0.50</w:t>
            </w:r>
          </w:p>
        </w:tc>
        <w:tc>
          <w:tcPr>
            <w:tcW w:w="1643" w:type="dxa"/>
          </w:tcPr>
          <w:p w14:paraId="701A491F"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32</w:t>
            </w:r>
          </w:p>
        </w:tc>
        <w:tc>
          <w:tcPr>
            <w:tcW w:w="1656" w:type="dxa"/>
          </w:tcPr>
          <w:p w14:paraId="3B7410B0"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26.66</w:t>
            </w:r>
          </w:p>
        </w:tc>
        <w:tc>
          <w:tcPr>
            <w:tcW w:w="1845" w:type="dxa"/>
          </w:tcPr>
          <w:p w14:paraId="6EB11576"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43</w:t>
            </w:r>
          </w:p>
        </w:tc>
        <w:tc>
          <w:tcPr>
            <w:tcW w:w="1807" w:type="dxa"/>
          </w:tcPr>
          <w:p w14:paraId="1A9154CB"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35.83</w:t>
            </w:r>
          </w:p>
        </w:tc>
      </w:tr>
      <w:tr w:rsidR="00C420D8" w:rsidRPr="00C420D8" w14:paraId="39965B59" w14:textId="77777777" w:rsidTr="00F30181">
        <w:trPr>
          <w:trHeight w:val="382"/>
        </w:trPr>
        <w:tc>
          <w:tcPr>
            <w:tcW w:w="1811" w:type="dxa"/>
          </w:tcPr>
          <w:p w14:paraId="34D183DC"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0.51 - 0. 55</w:t>
            </w:r>
          </w:p>
        </w:tc>
        <w:tc>
          <w:tcPr>
            <w:tcW w:w="1643" w:type="dxa"/>
          </w:tcPr>
          <w:p w14:paraId="64BC6C81"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46</w:t>
            </w:r>
          </w:p>
        </w:tc>
        <w:tc>
          <w:tcPr>
            <w:tcW w:w="1656" w:type="dxa"/>
          </w:tcPr>
          <w:p w14:paraId="2B9B8C0C"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38.33</w:t>
            </w:r>
          </w:p>
        </w:tc>
        <w:tc>
          <w:tcPr>
            <w:tcW w:w="1845" w:type="dxa"/>
          </w:tcPr>
          <w:p w14:paraId="09587384"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33</w:t>
            </w:r>
          </w:p>
        </w:tc>
        <w:tc>
          <w:tcPr>
            <w:tcW w:w="1807" w:type="dxa"/>
          </w:tcPr>
          <w:p w14:paraId="2154498D" w14:textId="653A1653" w:rsidR="00F30181" w:rsidRPr="002C6D18" w:rsidRDefault="00F30181" w:rsidP="002C6D18">
            <w:pPr>
              <w:spacing w:line="360" w:lineRule="auto"/>
              <w:jc w:val="center"/>
              <w:rPr>
                <w:rFonts w:ascii="Arial" w:hAnsi="Arial" w:cs="Arial"/>
                <w:sz w:val="20"/>
              </w:rPr>
            </w:pPr>
            <w:r w:rsidRPr="002C6D18">
              <w:rPr>
                <w:rFonts w:ascii="Arial" w:hAnsi="Arial" w:cs="Arial"/>
                <w:sz w:val="20"/>
              </w:rPr>
              <w:t>27.22</w:t>
            </w:r>
          </w:p>
        </w:tc>
      </w:tr>
      <w:tr w:rsidR="00C420D8" w:rsidRPr="00C420D8" w14:paraId="22B791E8" w14:textId="77777777" w:rsidTr="00F30181">
        <w:trPr>
          <w:trHeight w:val="382"/>
        </w:trPr>
        <w:tc>
          <w:tcPr>
            <w:tcW w:w="1811" w:type="dxa"/>
          </w:tcPr>
          <w:p w14:paraId="583B36DA"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0.56 - 0.60</w:t>
            </w:r>
          </w:p>
        </w:tc>
        <w:tc>
          <w:tcPr>
            <w:tcW w:w="1643" w:type="dxa"/>
          </w:tcPr>
          <w:p w14:paraId="72B43B02"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14</w:t>
            </w:r>
          </w:p>
        </w:tc>
        <w:tc>
          <w:tcPr>
            <w:tcW w:w="1656" w:type="dxa"/>
          </w:tcPr>
          <w:p w14:paraId="0748B890"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11.68</w:t>
            </w:r>
          </w:p>
        </w:tc>
        <w:tc>
          <w:tcPr>
            <w:tcW w:w="1845" w:type="dxa"/>
          </w:tcPr>
          <w:p w14:paraId="0BDD111B"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12</w:t>
            </w:r>
          </w:p>
        </w:tc>
        <w:tc>
          <w:tcPr>
            <w:tcW w:w="1807" w:type="dxa"/>
          </w:tcPr>
          <w:p w14:paraId="3AE5F367"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10.00</w:t>
            </w:r>
          </w:p>
        </w:tc>
      </w:tr>
      <w:tr w:rsidR="00F30181" w:rsidRPr="00C420D8" w14:paraId="59C70A96" w14:textId="77777777" w:rsidTr="00F30181">
        <w:trPr>
          <w:trHeight w:val="396"/>
        </w:trPr>
        <w:tc>
          <w:tcPr>
            <w:tcW w:w="1811" w:type="dxa"/>
          </w:tcPr>
          <w:p w14:paraId="776542CD"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Total</w:t>
            </w:r>
          </w:p>
        </w:tc>
        <w:tc>
          <w:tcPr>
            <w:tcW w:w="1643" w:type="dxa"/>
          </w:tcPr>
          <w:p w14:paraId="02C0A44B"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120</w:t>
            </w:r>
          </w:p>
        </w:tc>
        <w:tc>
          <w:tcPr>
            <w:tcW w:w="1656" w:type="dxa"/>
          </w:tcPr>
          <w:p w14:paraId="336B816D"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100</w:t>
            </w:r>
          </w:p>
        </w:tc>
        <w:tc>
          <w:tcPr>
            <w:tcW w:w="1845" w:type="dxa"/>
          </w:tcPr>
          <w:p w14:paraId="3E510492"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120</w:t>
            </w:r>
          </w:p>
        </w:tc>
        <w:tc>
          <w:tcPr>
            <w:tcW w:w="1807" w:type="dxa"/>
          </w:tcPr>
          <w:p w14:paraId="45293AF1" w14:textId="77777777" w:rsidR="00F30181" w:rsidRPr="002C6D18" w:rsidRDefault="00F30181" w:rsidP="002C6D18">
            <w:pPr>
              <w:spacing w:line="360" w:lineRule="auto"/>
              <w:jc w:val="center"/>
              <w:rPr>
                <w:rFonts w:ascii="Arial" w:hAnsi="Arial" w:cs="Arial"/>
                <w:sz w:val="20"/>
              </w:rPr>
            </w:pPr>
            <w:r w:rsidRPr="002C6D18">
              <w:rPr>
                <w:rFonts w:ascii="Arial" w:hAnsi="Arial" w:cs="Arial"/>
                <w:sz w:val="20"/>
              </w:rPr>
              <w:t>100</w:t>
            </w:r>
          </w:p>
        </w:tc>
      </w:tr>
    </w:tbl>
    <w:p w14:paraId="60914D1E" w14:textId="77777777" w:rsidR="007C13C8" w:rsidRDefault="007C13C8" w:rsidP="007C13C8">
      <w:pPr>
        <w:pStyle w:val="Default"/>
        <w:spacing w:line="360" w:lineRule="auto"/>
        <w:jc w:val="both"/>
        <w:rPr>
          <w:color w:val="auto"/>
          <w:sz w:val="20"/>
          <w:szCs w:val="20"/>
        </w:rPr>
      </w:pPr>
    </w:p>
    <w:p w14:paraId="069FD83D" w14:textId="645FF816" w:rsidR="00D741A2" w:rsidRPr="00F13073" w:rsidRDefault="00A8661D" w:rsidP="007C13C8">
      <w:pPr>
        <w:pStyle w:val="Default"/>
        <w:spacing w:line="360" w:lineRule="auto"/>
        <w:ind w:firstLine="720"/>
        <w:jc w:val="both"/>
        <w:rPr>
          <w:color w:val="auto"/>
          <w:sz w:val="20"/>
          <w:szCs w:val="20"/>
        </w:rPr>
      </w:pPr>
      <w:r w:rsidRPr="00F13073">
        <w:rPr>
          <w:color w:val="auto"/>
          <w:sz w:val="20"/>
          <w:szCs w:val="20"/>
        </w:rPr>
        <w:t xml:space="preserve">The data present in Table 1 revealed that the </w:t>
      </w:r>
      <w:proofErr w:type="gramStart"/>
      <w:r w:rsidRPr="00F13073">
        <w:rPr>
          <w:color w:val="auto"/>
          <w:sz w:val="20"/>
          <w:szCs w:val="20"/>
        </w:rPr>
        <w:t>highest level</w:t>
      </w:r>
      <w:proofErr w:type="gramEnd"/>
      <w:r w:rsidRPr="00F13073">
        <w:rPr>
          <w:color w:val="auto"/>
          <w:sz w:val="20"/>
          <w:szCs w:val="20"/>
        </w:rPr>
        <w:t xml:space="preserve"> yield of </w:t>
      </w:r>
      <w:proofErr w:type="spellStart"/>
      <w:r w:rsidRPr="00F13073">
        <w:rPr>
          <w:color w:val="auto"/>
          <w:sz w:val="20"/>
          <w:szCs w:val="20"/>
        </w:rPr>
        <w:t>blackgram</w:t>
      </w:r>
      <w:proofErr w:type="spellEnd"/>
      <w:r w:rsidRPr="00F13073">
        <w:rPr>
          <w:color w:val="auto"/>
          <w:sz w:val="20"/>
          <w:szCs w:val="20"/>
        </w:rPr>
        <w:t xml:space="preserve"> was obtained by the farmers who had technical efficiency level 0.51-0.55 with 38.33 per cent followed by </w:t>
      </w:r>
      <w:r w:rsidR="00085433">
        <w:rPr>
          <w:color w:val="auto"/>
          <w:sz w:val="20"/>
          <w:szCs w:val="20"/>
        </w:rPr>
        <w:t xml:space="preserve">a </w:t>
      </w:r>
      <w:r w:rsidRPr="00F13073">
        <w:rPr>
          <w:color w:val="auto"/>
          <w:sz w:val="20"/>
          <w:szCs w:val="20"/>
        </w:rPr>
        <w:t>technical efficiency level of 0.46-50 and 0.40-0.45 with 26.66 and 23.33 per cent</w:t>
      </w:r>
      <w:r w:rsidR="00085433">
        <w:rPr>
          <w:color w:val="auto"/>
          <w:sz w:val="20"/>
          <w:szCs w:val="20"/>
        </w:rPr>
        <w:t>,</w:t>
      </w:r>
      <w:r w:rsidRPr="00F13073">
        <w:rPr>
          <w:color w:val="auto"/>
          <w:sz w:val="20"/>
          <w:szCs w:val="20"/>
        </w:rPr>
        <w:t xml:space="preserve"> respectively. The lowest level of yield was obtained by the farmers who had lowest levels of technical efficiency 0.56-0.60 with 11.68 per cent. The maximum number of </w:t>
      </w:r>
      <w:proofErr w:type="spellStart"/>
      <w:r w:rsidRPr="00F13073">
        <w:rPr>
          <w:color w:val="auto"/>
          <w:sz w:val="20"/>
          <w:szCs w:val="20"/>
        </w:rPr>
        <w:t>blackgram</w:t>
      </w:r>
      <w:proofErr w:type="spellEnd"/>
      <w:r w:rsidRPr="00F13073">
        <w:rPr>
          <w:color w:val="auto"/>
          <w:sz w:val="20"/>
          <w:szCs w:val="20"/>
        </w:rPr>
        <w:t xml:space="preserve"> </w:t>
      </w:r>
      <w:r w:rsidR="007F0832">
        <w:rPr>
          <w:color w:val="auto"/>
          <w:sz w:val="20"/>
          <w:szCs w:val="20"/>
        </w:rPr>
        <w:t>growers</w:t>
      </w:r>
      <w:r w:rsidRPr="00F13073">
        <w:rPr>
          <w:color w:val="auto"/>
          <w:sz w:val="20"/>
          <w:szCs w:val="20"/>
        </w:rPr>
        <w:t xml:space="preserve"> of improved </w:t>
      </w:r>
      <w:r w:rsidR="00085433">
        <w:rPr>
          <w:color w:val="auto"/>
          <w:sz w:val="20"/>
          <w:szCs w:val="20"/>
        </w:rPr>
        <w:t xml:space="preserve">varieties </w:t>
      </w:r>
      <w:r w:rsidRPr="00F13073">
        <w:rPr>
          <w:color w:val="auto"/>
          <w:sz w:val="20"/>
          <w:szCs w:val="20"/>
        </w:rPr>
        <w:t>came under the category of 0.51-0.55 technical efficiency</w:t>
      </w:r>
      <w:r w:rsidR="00085433">
        <w:rPr>
          <w:color w:val="auto"/>
          <w:sz w:val="20"/>
          <w:szCs w:val="20"/>
        </w:rPr>
        <w:t>,</w:t>
      </w:r>
      <w:r w:rsidRPr="00F13073">
        <w:rPr>
          <w:color w:val="auto"/>
          <w:sz w:val="20"/>
          <w:szCs w:val="20"/>
        </w:rPr>
        <w:t xml:space="preserve"> and maximum number of existing varieties </w:t>
      </w:r>
      <w:r w:rsidR="007F0832">
        <w:rPr>
          <w:color w:val="auto"/>
          <w:sz w:val="20"/>
          <w:szCs w:val="20"/>
        </w:rPr>
        <w:t>came</w:t>
      </w:r>
      <w:r w:rsidRPr="00F13073">
        <w:rPr>
          <w:color w:val="auto"/>
          <w:sz w:val="20"/>
          <w:szCs w:val="20"/>
        </w:rPr>
        <w:t xml:space="preserve"> under 0.46-0.50</w:t>
      </w:r>
      <w:r w:rsidR="00085433">
        <w:rPr>
          <w:color w:val="auto"/>
          <w:sz w:val="20"/>
          <w:szCs w:val="20"/>
        </w:rPr>
        <w:t>,</w:t>
      </w:r>
      <w:r w:rsidRPr="00F13073">
        <w:rPr>
          <w:color w:val="auto"/>
          <w:sz w:val="20"/>
          <w:szCs w:val="20"/>
        </w:rPr>
        <w:t xml:space="preserve"> with 35.83 per cent.</w:t>
      </w:r>
      <w:r w:rsidR="00C214A6" w:rsidRPr="00F13073">
        <w:rPr>
          <w:color w:val="auto"/>
          <w:sz w:val="20"/>
          <w:szCs w:val="20"/>
        </w:rPr>
        <w:t xml:space="preserve"> </w:t>
      </w:r>
      <w:r w:rsidR="00AA788A" w:rsidRPr="00AA788A">
        <w:rPr>
          <w:color w:val="auto"/>
          <w:sz w:val="20"/>
          <w:szCs w:val="20"/>
        </w:rPr>
        <w:t xml:space="preserve">This suggests that farms cultivating improved varieties exhibit higher levels of technical efficiency compared with those operating under local seed variety systems. This difference may be </w:t>
      </w:r>
      <w:r w:rsidR="00AA788A" w:rsidRPr="00AA788A">
        <w:rPr>
          <w:color w:val="auto"/>
          <w:sz w:val="20"/>
          <w:szCs w:val="20"/>
        </w:rPr>
        <w:lastRenderedPageBreak/>
        <w:t xml:space="preserve">attributed to the appropriate and timely application of recommended fertilisers, as improved </w:t>
      </w:r>
      <w:proofErr w:type="spellStart"/>
      <w:r w:rsidR="00AA788A" w:rsidRPr="00AA788A">
        <w:rPr>
          <w:color w:val="auto"/>
          <w:sz w:val="20"/>
          <w:szCs w:val="20"/>
        </w:rPr>
        <w:t>blackgram</w:t>
      </w:r>
      <w:proofErr w:type="spellEnd"/>
      <w:r w:rsidR="00AA788A" w:rsidRPr="00AA788A">
        <w:rPr>
          <w:color w:val="auto"/>
          <w:sz w:val="20"/>
          <w:szCs w:val="20"/>
        </w:rPr>
        <w:t xml:space="preserve"> varieties are typically disseminated as comprehensive packages encompassing specified input quantities, application schedules, and associated agronomic practices. Consequently, producers relying on existing seed varieties should be encouraged to enhance their knowledge and managerial competencies regarding input use, thereby enabling them to align more closely with the performance of growers adopting improved varieties</w:t>
      </w:r>
      <w:r w:rsidR="00C214A6" w:rsidRPr="00F13073">
        <w:rPr>
          <w:color w:val="auto"/>
          <w:sz w:val="20"/>
          <w:szCs w:val="20"/>
        </w:rPr>
        <w:t>.</w:t>
      </w:r>
      <w:r w:rsidR="00D741A2" w:rsidRPr="00F13073">
        <w:rPr>
          <w:color w:val="auto"/>
          <w:sz w:val="20"/>
          <w:szCs w:val="20"/>
        </w:rPr>
        <w:t xml:space="preserve"> </w:t>
      </w:r>
      <w:r w:rsidR="00284014" w:rsidRPr="00284014">
        <w:rPr>
          <w:color w:val="auto"/>
          <w:sz w:val="20"/>
          <w:szCs w:val="20"/>
        </w:rPr>
        <w:t xml:space="preserve">Swetha et al. (2019) reported that not all </w:t>
      </w:r>
      <w:proofErr w:type="spellStart"/>
      <w:r w:rsidR="00284014" w:rsidRPr="00284014">
        <w:rPr>
          <w:color w:val="auto"/>
          <w:sz w:val="20"/>
          <w:szCs w:val="20"/>
        </w:rPr>
        <w:t>blackgram</w:t>
      </w:r>
      <w:proofErr w:type="spellEnd"/>
      <w:r w:rsidR="00284014" w:rsidRPr="00284014">
        <w:rPr>
          <w:color w:val="auto"/>
          <w:sz w:val="20"/>
          <w:szCs w:val="20"/>
        </w:rPr>
        <w:t xml:space="preserve"> farmers in the study area operated at a technically efficient level. The mean technical efficiency among the sampled farmers was estimated at 67 per cent, indicating a potential efficiency gain of 33 per cent that could be realised through improved resource use and management practices</w:t>
      </w:r>
      <w:r w:rsidR="00D741A2" w:rsidRPr="00F13073">
        <w:rPr>
          <w:rFonts w:eastAsia="TimesNewRomanPSMT"/>
          <w:color w:val="auto"/>
          <w:sz w:val="20"/>
          <w:szCs w:val="20"/>
        </w:rPr>
        <w:t>.</w:t>
      </w:r>
      <w:r w:rsidR="00472D80">
        <w:rPr>
          <w:rFonts w:eastAsia="TimesNewRomanPSMT"/>
          <w:color w:val="auto"/>
          <w:sz w:val="20"/>
          <w:szCs w:val="20"/>
        </w:rPr>
        <w:t xml:space="preserve"> </w:t>
      </w:r>
      <w:r w:rsidR="00D741A2" w:rsidRPr="00F13073">
        <w:rPr>
          <w:rFonts w:eastAsia="TimesNewRomanPSMT"/>
          <w:color w:val="auto"/>
          <w:sz w:val="20"/>
          <w:szCs w:val="20"/>
        </w:rPr>
        <w:t xml:space="preserve">The findings of this study </w:t>
      </w:r>
      <w:r w:rsidR="00472D80">
        <w:rPr>
          <w:rFonts w:eastAsia="TimesNewRomanPSMT"/>
          <w:color w:val="auto"/>
          <w:sz w:val="20"/>
          <w:szCs w:val="20"/>
        </w:rPr>
        <w:t>have</w:t>
      </w:r>
      <w:r w:rsidR="00D741A2" w:rsidRPr="00F13073">
        <w:rPr>
          <w:rFonts w:eastAsia="TimesNewRomanPSMT"/>
          <w:color w:val="auto"/>
          <w:sz w:val="20"/>
          <w:szCs w:val="20"/>
        </w:rPr>
        <w:t xml:space="preserve"> been parallel to the findings of </w:t>
      </w:r>
      <w:proofErr w:type="spellStart"/>
      <w:r w:rsidR="00D741A2" w:rsidRPr="00F13073">
        <w:rPr>
          <w:color w:val="auto"/>
          <w:sz w:val="20"/>
          <w:szCs w:val="20"/>
        </w:rPr>
        <w:t>Shyamsundari</w:t>
      </w:r>
      <w:proofErr w:type="spellEnd"/>
      <w:r w:rsidR="00D741A2" w:rsidRPr="00F13073">
        <w:rPr>
          <w:color w:val="auto"/>
          <w:sz w:val="20"/>
          <w:szCs w:val="20"/>
        </w:rPr>
        <w:t xml:space="preserve"> </w:t>
      </w:r>
      <w:r w:rsidR="00D741A2" w:rsidRPr="00F13073">
        <w:rPr>
          <w:i/>
          <w:iCs/>
          <w:color w:val="auto"/>
          <w:sz w:val="20"/>
          <w:szCs w:val="20"/>
        </w:rPr>
        <w:t>et al</w:t>
      </w:r>
      <w:r w:rsidR="00D741A2" w:rsidRPr="00F13073">
        <w:rPr>
          <w:color w:val="auto"/>
          <w:sz w:val="20"/>
          <w:szCs w:val="20"/>
        </w:rPr>
        <w:t xml:space="preserve">. (2019), </w:t>
      </w:r>
      <w:proofErr w:type="spellStart"/>
      <w:r w:rsidR="00D741A2" w:rsidRPr="00F13073">
        <w:rPr>
          <w:color w:val="auto"/>
          <w:sz w:val="20"/>
          <w:szCs w:val="20"/>
        </w:rPr>
        <w:t>Abera</w:t>
      </w:r>
      <w:proofErr w:type="spellEnd"/>
      <w:r w:rsidR="00D741A2" w:rsidRPr="00F13073">
        <w:rPr>
          <w:color w:val="auto"/>
          <w:sz w:val="20"/>
          <w:szCs w:val="20"/>
        </w:rPr>
        <w:t xml:space="preserve"> (2018), Youssef </w:t>
      </w:r>
      <w:r w:rsidR="00D741A2" w:rsidRPr="00F13073">
        <w:rPr>
          <w:i/>
          <w:iCs/>
          <w:color w:val="auto"/>
          <w:sz w:val="20"/>
          <w:szCs w:val="20"/>
        </w:rPr>
        <w:t>et al.</w:t>
      </w:r>
      <w:r w:rsidR="00D741A2" w:rsidRPr="00F13073">
        <w:rPr>
          <w:color w:val="auto"/>
          <w:sz w:val="20"/>
          <w:szCs w:val="20"/>
        </w:rPr>
        <w:t xml:space="preserve"> (2017), </w:t>
      </w:r>
      <w:r w:rsidR="002E7D2D">
        <w:rPr>
          <w:color w:val="auto"/>
          <w:sz w:val="20"/>
          <w:szCs w:val="20"/>
        </w:rPr>
        <w:t>and</w:t>
      </w:r>
      <w:r w:rsidR="00D741A2" w:rsidRPr="00F13073">
        <w:rPr>
          <w:color w:val="auto"/>
          <w:sz w:val="20"/>
          <w:szCs w:val="20"/>
        </w:rPr>
        <w:t xml:space="preserve"> Faisal (2011).</w:t>
      </w:r>
    </w:p>
    <w:p w14:paraId="7872A2F7" w14:textId="22BF5B10" w:rsidR="0073414D" w:rsidRPr="00C420D8" w:rsidRDefault="0073414D" w:rsidP="00972817">
      <w:pPr>
        <w:autoSpaceDE w:val="0"/>
        <w:autoSpaceDN w:val="0"/>
        <w:adjustRightInd w:val="0"/>
        <w:spacing w:after="0" w:line="360" w:lineRule="auto"/>
        <w:jc w:val="both"/>
        <w:rPr>
          <w:rFonts w:ascii="Arial" w:hAnsi="Arial" w:cs="Arial"/>
          <w:b/>
          <w:bCs/>
          <w:lang w:bidi="hi-IN"/>
        </w:rPr>
      </w:pPr>
      <w:r w:rsidRPr="00C420D8">
        <w:rPr>
          <w:rFonts w:ascii="Arial" w:hAnsi="Arial" w:cs="Arial"/>
          <w:b/>
          <w:bCs/>
          <w:lang w:bidi="hi-IN"/>
        </w:rPr>
        <w:t xml:space="preserve">Table </w:t>
      </w:r>
      <w:r w:rsidR="00AD043C" w:rsidRPr="00C420D8">
        <w:rPr>
          <w:rFonts w:ascii="Arial" w:hAnsi="Arial" w:cs="Arial"/>
          <w:b/>
          <w:bCs/>
          <w:lang w:bidi="hi-IN"/>
        </w:rPr>
        <w:t>2</w:t>
      </w:r>
      <w:r w:rsidRPr="00C420D8">
        <w:rPr>
          <w:rFonts w:ascii="Arial" w:hAnsi="Arial" w:cs="Arial"/>
          <w:b/>
          <w:bCs/>
          <w:lang w:bidi="hi-IN"/>
        </w:rPr>
        <w:t>: Descriptive statistics of respondent farmers.</w:t>
      </w:r>
    </w:p>
    <w:tbl>
      <w:tblPr>
        <w:tblStyle w:val="TableGrid"/>
        <w:tblW w:w="8215" w:type="dxa"/>
        <w:tblInd w:w="108" w:type="dxa"/>
        <w:tblLook w:val="04A0" w:firstRow="1" w:lastRow="0" w:firstColumn="1" w:lastColumn="0" w:noHBand="0" w:noVBand="1"/>
      </w:tblPr>
      <w:tblGrid>
        <w:gridCol w:w="2851"/>
        <w:gridCol w:w="2536"/>
        <w:gridCol w:w="2828"/>
      </w:tblGrid>
      <w:tr w:rsidR="00C420D8" w:rsidRPr="00C420D8" w14:paraId="1CA3252D" w14:textId="77777777" w:rsidTr="00983C05">
        <w:tc>
          <w:tcPr>
            <w:tcW w:w="2851" w:type="dxa"/>
          </w:tcPr>
          <w:p w14:paraId="62FAECE9"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Technical efficiency</w:t>
            </w:r>
          </w:p>
        </w:tc>
        <w:tc>
          <w:tcPr>
            <w:tcW w:w="2536" w:type="dxa"/>
          </w:tcPr>
          <w:p w14:paraId="4F5FA379"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Improved variety</w:t>
            </w:r>
          </w:p>
        </w:tc>
        <w:tc>
          <w:tcPr>
            <w:tcW w:w="2828" w:type="dxa"/>
          </w:tcPr>
          <w:p w14:paraId="230F4A53"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Existing variety</w:t>
            </w:r>
          </w:p>
        </w:tc>
      </w:tr>
      <w:tr w:rsidR="00C420D8" w:rsidRPr="00C420D8" w14:paraId="1BD1DC7D" w14:textId="77777777" w:rsidTr="00983C05">
        <w:tc>
          <w:tcPr>
            <w:tcW w:w="2851" w:type="dxa"/>
          </w:tcPr>
          <w:p w14:paraId="39D5ECB7"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Mean</w:t>
            </w:r>
          </w:p>
        </w:tc>
        <w:tc>
          <w:tcPr>
            <w:tcW w:w="2536" w:type="dxa"/>
          </w:tcPr>
          <w:p w14:paraId="5EE6F940"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0.53</w:t>
            </w:r>
          </w:p>
        </w:tc>
        <w:tc>
          <w:tcPr>
            <w:tcW w:w="2828" w:type="dxa"/>
          </w:tcPr>
          <w:p w14:paraId="5DF5051C"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0.49</w:t>
            </w:r>
          </w:p>
        </w:tc>
      </w:tr>
      <w:tr w:rsidR="00C420D8" w:rsidRPr="00C420D8" w14:paraId="02100F91" w14:textId="77777777" w:rsidTr="00983C05">
        <w:tc>
          <w:tcPr>
            <w:tcW w:w="2851" w:type="dxa"/>
          </w:tcPr>
          <w:p w14:paraId="5D046EAA"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Minimum</w:t>
            </w:r>
          </w:p>
        </w:tc>
        <w:tc>
          <w:tcPr>
            <w:tcW w:w="2536" w:type="dxa"/>
          </w:tcPr>
          <w:p w14:paraId="0E1665FF"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0.37</w:t>
            </w:r>
          </w:p>
        </w:tc>
        <w:tc>
          <w:tcPr>
            <w:tcW w:w="2828" w:type="dxa"/>
          </w:tcPr>
          <w:p w14:paraId="0C53B33E"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0.32</w:t>
            </w:r>
          </w:p>
        </w:tc>
      </w:tr>
      <w:tr w:rsidR="00C420D8" w:rsidRPr="00C420D8" w14:paraId="0B747B07" w14:textId="77777777" w:rsidTr="00983C05">
        <w:trPr>
          <w:trHeight w:val="60"/>
        </w:trPr>
        <w:tc>
          <w:tcPr>
            <w:tcW w:w="2851" w:type="dxa"/>
          </w:tcPr>
          <w:p w14:paraId="3D31F070"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Maximum</w:t>
            </w:r>
          </w:p>
        </w:tc>
        <w:tc>
          <w:tcPr>
            <w:tcW w:w="2536" w:type="dxa"/>
          </w:tcPr>
          <w:p w14:paraId="3FE1CC76"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0.58</w:t>
            </w:r>
          </w:p>
        </w:tc>
        <w:tc>
          <w:tcPr>
            <w:tcW w:w="2828" w:type="dxa"/>
          </w:tcPr>
          <w:p w14:paraId="546D9831"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0.50</w:t>
            </w:r>
          </w:p>
        </w:tc>
      </w:tr>
      <w:tr w:rsidR="00C420D8" w:rsidRPr="00C420D8" w14:paraId="3922B732" w14:textId="77777777" w:rsidTr="00983C05">
        <w:tc>
          <w:tcPr>
            <w:tcW w:w="2851" w:type="dxa"/>
          </w:tcPr>
          <w:p w14:paraId="0EA06C40"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SD±</w:t>
            </w:r>
          </w:p>
        </w:tc>
        <w:tc>
          <w:tcPr>
            <w:tcW w:w="2536" w:type="dxa"/>
          </w:tcPr>
          <w:p w14:paraId="3B658946"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0.8</w:t>
            </w:r>
          </w:p>
        </w:tc>
        <w:tc>
          <w:tcPr>
            <w:tcW w:w="2828" w:type="dxa"/>
          </w:tcPr>
          <w:p w14:paraId="41501AD8" w14:textId="77777777" w:rsidR="004C147E" w:rsidRPr="00C420D8" w:rsidRDefault="004C147E" w:rsidP="0058636D">
            <w:pPr>
              <w:spacing w:line="360" w:lineRule="auto"/>
              <w:jc w:val="center"/>
              <w:rPr>
                <w:rFonts w:ascii="Arial" w:hAnsi="Arial" w:cs="Arial"/>
                <w:szCs w:val="22"/>
              </w:rPr>
            </w:pPr>
            <w:r w:rsidRPr="00C420D8">
              <w:rPr>
                <w:rFonts w:ascii="Arial" w:hAnsi="Arial" w:cs="Arial"/>
                <w:szCs w:val="22"/>
              </w:rPr>
              <w:t>0.05</w:t>
            </w:r>
          </w:p>
        </w:tc>
      </w:tr>
    </w:tbl>
    <w:p w14:paraId="2762FA2E" w14:textId="49CB47FD" w:rsidR="002B0504" w:rsidRPr="00F13073" w:rsidRDefault="00AA788A" w:rsidP="00972817">
      <w:pPr>
        <w:autoSpaceDE w:val="0"/>
        <w:autoSpaceDN w:val="0"/>
        <w:adjustRightInd w:val="0"/>
        <w:spacing w:after="0" w:line="360" w:lineRule="auto"/>
        <w:ind w:firstLine="720"/>
        <w:jc w:val="both"/>
        <w:rPr>
          <w:rFonts w:ascii="Arial" w:hAnsi="Arial" w:cs="Arial"/>
          <w:sz w:val="20"/>
          <w:szCs w:val="20"/>
          <w:lang w:bidi="hi-IN"/>
        </w:rPr>
      </w:pPr>
      <w:r w:rsidRPr="00AA788A">
        <w:rPr>
          <w:rFonts w:ascii="Arial" w:hAnsi="Arial" w:cs="Arial"/>
          <w:sz w:val="20"/>
          <w:szCs w:val="20"/>
        </w:rPr>
        <w:t xml:space="preserve">The mean technical efficiency of growers cultivating improved and existing varieties was estimated at 0.53 and 0.49, respectively. This indicates that, on average, </w:t>
      </w:r>
      <w:proofErr w:type="spellStart"/>
      <w:r w:rsidRPr="00AA788A">
        <w:rPr>
          <w:rFonts w:ascii="Arial" w:hAnsi="Arial" w:cs="Arial"/>
          <w:sz w:val="20"/>
          <w:szCs w:val="20"/>
        </w:rPr>
        <w:t>blackgram</w:t>
      </w:r>
      <w:proofErr w:type="spellEnd"/>
      <w:r w:rsidRPr="00AA788A">
        <w:rPr>
          <w:rFonts w:ascii="Arial" w:hAnsi="Arial" w:cs="Arial"/>
          <w:sz w:val="20"/>
          <w:szCs w:val="20"/>
        </w:rPr>
        <w:t xml:space="preserve"> farmers realise only 53 per cent and 49 per cent of their potential output, given their current levels of input use and the varietal technologies available to them. In other words, farms incur output losses of approximately 47 per cent and 51 per cent of their maximum attainable production due to inefficiencies in input utilisation and suboptimal agronomic practices. By contrast, the most efficient farmers achieve 58 per cent and 50 per cent of the potential output in the improved and local variety groups, respectively</w:t>
      </w:r>
      <w:r w:rsidR="002B0504" w:rsidRPr="00F13073">
        <w:rPr>
          <w:rFonts w:ascii="Arial" w:hAnsi="Arial" w:cs="Arial"/>
          <w:sz w:val="20"/>
          <w:szCs w:val="20"/>
        </w:rPr>
        <w:t xml:space="preserve">. The minimum value of technical efficiencies was 0.37 and 0.32 for improved and existing variety growers, respectively. </w:t>
      </w:r>
      <w:r w:rsidR="002B0504" w:rsidRPr="00F13073">
        <w:rPr>
          <w:rFonts w:ascii="Arial" w:hAnsi="Arial" w:cs="Arial"/>
          <w:sz w:val="20"/>
          <w:szCs w:val="20"/>
          <w:shd w:val="clear" w:color="auto" w:fill="FCFCFC"/>
        </w:rPr>
        <w:t>There is a huge gap between the least technically efficient and the most technically efficient farmers in the study area.</w:t>
      </w:r>
      <w:r w:rsidR="009E575F" w:rsidRPr="00F13073">
        <w:rPr>
          <w:rFonts w:ascii="Arial" w:hAnsi="Arial" w:cs="Arial"/>
          <w:sz w:val="20"/>
          <w:szCs w:val="20"/>
          <w:shd w:val="clear" w:color="auto" w:fill="FCFCFC"/>
        </w:rPr>
        <w:t xml:space="preserve"> </w:t>
      </w:r>
      <w:r w:rsidR="002B0504" w:rsidRPr="00F13073">
        <w:rPr>
          <w:rFonts w:ascii="Arial" w:hAnsi="Arial" w:cs="Arial"/>
          <w:sz w:val="20"/>
          <w:szCs w:val="20"/>
          <w:lang w:bidi="hi-IN"/>
        </w:rPr>
        <w:t>The results (Table-</w:t>
      </w:r>
      <w:r w:rsidR="007D0303" w:rsidRPr="00F13073">
        <w:rPr>
          <w:rFonts w:ascii="Arial" w:hAnsi="Arial" w:cs="Arial"/>
          <w:sz w:val="20"/>
          <w:szCs w:val="20"/>
          <w:lang w:bidi="hi-IN"/>
        </w:rPr>
        <w:t>1.</w:t>
      </w:r>
      <w:r w:rsidR="002B0504" w:rsidRPr="00F13073">
        <w:rPr>
          <w:rFonts w:ascii="Arial" w:hAnsi="Arial" w:cs="Arial"/>
          <w:sz w:val="20"/>
          <w:szCs w:val="20"/>
          <w:lang w:bidi="hi-IN"/>
        </w:rPr>
        <w:t xml:space="preserve"> and </w:t>
      </w:r>
      <w:r w:rsidR="007D0303" w:rsidRPr="00F13073">
        <w:rPr>
          <w:rFonts w:ascii="Arial" w:hAnsi="Arial" w:cs="Arial"/>
          <w:sz w:val="20"/>
          <w:szCs w:val="20"/>
          <w:lang w:bidi="hi-IN"/>
        </w:rPr>
        <w:t>2</w:t>
      </w:r>
      <w:r w:rsidR="002B0504" w:rsidRPr="00F13073">
        <w:rPr>
          <w:rFonts w:ascii="Arial" w:hAnsi="Arial" w:cs="Arial"/>
          <w:sz w:val="20"/>
          <w:szCs w:val="20"/>
          <w:lang w:bidi="hi-IN"/>
        </w:rPr>
        <w:t xml:space="preserve">) indicated that the </w:t>
      </w:r>
      <w:proofErr w:type="spellStart"/>
      <w:r w:rsidR="002B0504" w:rsidRPr="00F13073">
        <w:rPr>
          <w:rFonts w:ascii="Arial" w:hAnsi="Arial" w:cs="Arial"/>
          <w:sz w:val="20"/>
          <w:szCs w:val="20"/>
          <w:lang w:bidi="hi-IN"/>
        </w:rPr>
        <w:t>blackgram</w:t>
      </w:r>
      <w:proofErr w:type="spellEnd"/>
      <w:r w:rsidR="002B0504" w:rsidRPr="00F13073">
        <w:rPr>
          <w:rFonts w:ascii="Arial" w:hAnsi="Arial" w:cs="Arial"/>
          <w:sz w:val="20"/>
          <w:szCs w:val="20"/>
          <w:lang w:bidi="hi-IN"/>
        </w:rPr>
        <w:t xml:space="preserve"> farmers of improved variety (Kota Urd-3) grower were better than the existing variety (PU-31) grower with respect to all measures. </w:t>
      </w:r>
    </w:p>
    <w:p w14:paraId="216B91B3" w14:textId="38A4EBD5" w:rsidR="00080AA6" w:rsidRPr="00F13073" w:rsidRDefault="00080AA6" w:rsidP="00972817">
      <w:pPr>
        <w:spacing w:after="0" w:line="360" w:lineRule="auto"/>
        <w:ind w:firstLine="720"/>
        <w:jc w:val="both"/>
        <w:rPr>
          <w:rFonts w:ascii="Arial" w:eastAsia="Times New Roman" w:hAnsi="Arial" w:cs="Arial"/>
          <w:sz w:val="20"/>
          <w:szCs w:val="20"/>
        </w:rPr>
      </w:pPr>
      <w:r w:rsidRPr="00F13073">
        <w:rPr>
          <w:rFonts w:ascii="Arial" w:eastAsia="Times New Roman" w:hAnsi="Arial" w:cs="Arial"/>
          <w:sz w:val="20"/>
          <w:szCs w:val="20"/>
        </w:rPr>
        <w:t xml:space="preserve">The association between technical efficiency of black gram cultivation and selected independent variables namely, age, educational status, size of land holding, annual income of family, farming experience, mass media utilization, social participation, extension contact, innovativeness, and risk orientation was worked out in terms of rank correlation coefficient and it is depicted in Table </w:t>
      </w:r>
      <w:r w:rsidR="00CC558B">
        <w:rPr>
          <w:rFonts w:ascii="Arial" w:eastAsia="Times New Roman" w:hAnsi="Arial" w:cs="Arial"/>
          <w:sz w:val="20"/>
          <w:szCs w:val="20"/>
        </w:rPr>
        <w:t>3</w:t>
      </w:r>
      <w:r w:rsidR="00CF0507" w:rsidRPr="00F13073">
        <w:rPr>
          <w:rFonts w:ascii="Arial" w:eastAsia="Times New Roman" w:hAnsi="Arial" w:cs="Arial"/>
          <w:sz w:val="20"/>
          <w:szCs w:val="20"/>
        </w:rPr>
        <w:t>.</w:t>
      </w:r>
    </w:p>
    <w:p w14:paraId="3037F474" w14:textId="2BCC7578" w:rsidR="007736C2" w:rsidRPr="00C420D8" w:rsidRDefault="007736C2" w:rsidP="007736C2">
      <w:pPr>
        <w:spacing w:after="0" w:line="360" w:lineRule="auto"/>
        <w:ind w:left="720" w:hanging="720"/>
        <w:jc w:val="both"/>
        <w:rPr>
          <w:rFonts w:ascii="Arial" w:eastAsia="Times New Roman" w:hAnsi="Arial" w:cs="Arial"/>
          <w:b/>
          <w:bCs/>
        </w:rPr>
      </w:pPr>
      <w:r w:rsidRPr="00C420D8">
        <w:rPr>
          <w:rFonts w:ascii="Arial" w:eastAsia="Times New Roman" w:hAnsi="Arial" w:cs="Arial"/>
          <w:b/>
          <w:bCs/>
        </w:rPr>
        <w:t xml:space="preserve">Table </w:t>
      </w:r>
      <w:r w:rsidR="00CC558B">
        <w:rPr>
          <w:rFonts w:ascii="Arial" w:eastAsia="Times New Roman" w:hAnsi="Arial" w:cs="Arial"/>
          <w:b/>
          <w:bCs/>
        </w:rPr>
        <w:t>3</w:t>
      </w:r>
      <w:r w:rsidRPr="00C420D8">
        <w:rPr>
          <w:rFonts w:ascii="Arial" w:eastAsia="Times New Roman" w:hAnsi="Arial" w:cs="Arial"/>
          <w:b/>
          <w:bCs/>
        </w:rPr>
        <w:t xml:space="preserve"> Association between Technical efficiency and selected independent variables.</w:t>
      </w:r>
    </w:p>
    <w:p w14:paraId="51A1CC6A" w14:textId="22D019EA" w:rsidR="00936761" w:rsidRPr="00C420D8" w:rsidRDefault="00936761" w:rsidP="00C420D8">
      <w:pPr>
        <w:spacing w:after="0" w:line="360" w:lineRule="auto"/>
        <w:jc w:val="both"/>
        <w:rPr>
          <w:rFonts w:ascii="Arial" w:eastAsia="Times New Roman" w:hAnsi="Arial" w:cs="Arial"/>
        </w:rPr>
      </w:pPr>
    </w:p>
    <w:tbl>
      <w:tblPr>
        <w:tblStyle w:val="TableGrid"/>
        <w:tblW w:w="8287" w:type="dxa"/>
        <w:jc w:val="center"/>
        <w:tblLook w:val="04A0" w:firstRow="1" w:lastRow="0" w:firstColumn="1" w:lastColumn="0" w:noHBand="0" w:noVBand="1"/>
      </w:tblPr>
      <w:tblGrid>
        <w:gridCol w:w="1168"/>
        <w:gridCol w:w="4188"/>
        <w:gridCol w:w="2931"/>
      </w:tblGrid>
      <w:tr w:rsidR="00C420D8" w:rsidRPr="00C420D8" w14:paraId="7CCFC10D"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hideMark/>
          </w:tcPr>
          <w:p w14:paraId="32298B7F" w14:textId="77777777" w:rsidR="00936761" w:rsidRPr="00783F4A" w:rsidRDefault="00936761" w:rsidP="00783F4A">
            <w:pPr>
              <w:spacing w:line="360" w:lineRule="auto"/>
              <w:jc w:val="center"/>
              <w:rPr>
                <w:rFonts w:ascii="Arial" w:eastAsia="Times New Roman" w:hAnsi="Arial" w:cs="Arial"/>
                <w:b/>
                <w:bCs/>
                <w:sz w:val="20"/>
              </w:rPr>
            </w:pPr>
            <w:r w:rsidRPr="00783F4A">
              <w:rPr>
                <w:rFonts w:ascii="Arial" w:eastAsia="Times New Roman" w:hAnsi="Arial" w:cs="Arial"/>
                <w:b/>
                <w:bCs/>
                <w:sz w:val="20"/>
              </w:rPr>
              <w:t>S. No.</w:t>
            </w:r>
          </w:p>
        </w:tc>
        <w:tc>
          <w:tcPr>
            <w:tcW w:w="4188" w:type="dxa"/>
            <w:tcBorders>
              <w:top w:val="single" w:sz="4" w:space="0" w:color="auto"/>
              <w:left w:val="single" w:sz="4" w:space="0" w:color="auto"/>
              <w:bottom w:val="single" w:sz="4" w:space="0" w:color="auto"/>
              <w:right w:val="single" w:sz="4" w:space="0" w:color="auto"/>
            </w:tcBorders>
            <w:hideMark/>
          </w:tcPr>
          <w:p w14:paraId="7ED94C97" w14:textId="77777777" w:rsidR="00936761" w:rsidRPr="00783F4A" w:rsidRDefault="00936761" w:rsidP="00783F4A">
            <w:pPr>
              <w:spacing w:line="360" w:lineRule="auto"/>
              <w:jc w:val="center"/>
              <w:rPr>
                <w:rFonts w:ascii="Arial" w:eastAsia="Times New Roman" w:hAnsi="Arial" w:cs="Arial"/>
                <w:b/>
                <w:bCs/>
                <w:sz w:val="20"/>
              </w:rPr>
            </w:pPr>
            <w:r w:rsidRPr="00783F4A">
              <w:rPr>
                <w:rFonts w:ascii="Arial" w:eastAsia="Times New Roman" w:hAnsi="Arial" w:cs="Arial"/>
                <w:b/>
                <w:bCs/>
                <w:sz w:val="20"/>
              </w:rPr>
              <w:t>Independent Variables</w:t>
            </w:r>
          </w:p>
        </w:tc>
        <w:tc>
          <w:tcPr>
            <w:tcW w:w="2931" w:type="dxa"/>
            <w:tcBorders>
              <w:top w:val="single" w:sz="4" w:space="0" w:color="auto"/>
              <w:left w:val="single" w:sz="4" w:space="0" w:color="auto"/>
              <w:bottom w:val="single" w:sz="4" w:space="0" w:color="auto"/>
              <w:right w:val="single" w:sz="4" w:space="0" w:color="auto"/>
            </w:tcBorders>
            <w:hideMark/>
          </w:tcPr>
          <w:p w14:paraId="715C4BAB" w14:textId="77777777" w:rsidR="00936761" w:rsidRPr="00783F4A" w:rsidRDefault="00936761" w:rsidP="00783F4A">
            <w:pPr>
              <w:spacing w:line="360" w:lineRule="auto"/>
              <w:jc w:val="center"/>
              <w:rPr>
                <w:rFonts w:ascii="Arial" w:eastAsia="Times New Roman" w:hAnsi="Arial" w:cs="Arial"/>
                <w:b/>
                <w:bCs/>
                <w:sz w:val="20"/>
              </w:rPr>
            </w:pPr>
            <w:r w:rsidRPr="00783F4A">
              <w:rPr>
                <w:rFonts w:ascii="Arial" w:eastAsia="Times New Roman" w:hAnsi="Arial" w:cs="Arial"/>
                <w:b/>
                <w:bCs/>
                <w:sz w:val="20"/>
              </w:rPr>
              <w:t>Correlation coefficient (r)</w:t>
            </w:r>
          </w:p>
        </w:tc>
      </w:tr>
      <w:tr w:rsidR="00C420D8" w:rsidRPr="00C420D8" w14:paraId="0082DF7C"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92DF926"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03BBF02A"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Age</w:t>
            </w:r>
          </w:p>
        </w:tc>
        <w:tc>
          <w:tcPr>
            <w:tcW w:w="2931" w:type="dxa"/>
            <w:tcBorders>
              <w:top w:val="single" w:sz="4" w:space="0" w:color="auto"/>
              <w:left w:val="single" w:sz="4" w:space="0" w:color="auto"/>
              <w:bottom w:val="single" w:sz="4" w:space="0" w:color="auto"/>
              <w:right w:val="single" w:sz="4" w:space="0" w:color="auto"/>
            </w:tcBorders>
            <w:vAlign w:val="center"/>
          </w:tcPr>
          <w:p w14:paraId="5BF92810" w14:textId="5BCDCA7C"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0.531*</w:t>
            </w:r>
          </w:p>
        </w:tc>
      </w:tr>
      <w:tr w:rsidR="00C420D8" w:rsidRPr="00C420D8" w14:paraId="5750D2AA"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37C43A37"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7DFA2339"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Education</w:t>
            </w:r>
          </w:p>
        </w:tc>
        <w:tc>
          <w:tcPr>
            <w:tcW w:w="2931" w:type="dxa"/>
            <w:tcBorders>
              <w:top w:val="single" w:sz="4" w:space="0" w:color="auto"/>
              <w:left w:val="single" w:sz="4" w:space="0" w:color="auto"/>
              <w:bottom w:val="single" w:sz="4" w:space="0" w:color="auto"/>
              <w:right w:val="single" w:sz="4" w:space="0" w:color="auto"/>
            </w:tcBorders>
            <w:vAlign w:val="center"/>
          </w:tcPr>
          <w:p w14:paraId="002645CF" w14:textId="00DDE0C6"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0.124*</w:t>
            </w:r>
          </w:p>
        </w:tc>
      </w:tr>
      <w:tr w:rsidR="00C420D8" w:rsidRPr="00C420D8" w14:paraId="7EC1EF38"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52AEB400"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133C4FFA"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Size of land holding</w:t>
            </w:r>
          </w:p>
        </w:tc>
        <w:tc>
          <w:tcPr>
            <w:tcW w:w="2931" w:type="dxa"/>
            <w:tcBorders>
              <w:top w:val="single" w:sz="4" w:space="0" w:color="auto"/>
              <w:left w:val="single" w:sz="4" w:space="0" w:color="auto"/>
              <w:bottom w:val="single" w:sz="4" w:space="0" w:color="auto"/>
              <w:right w:val="single" w:sz="4" w:space="0" w:color="auto"/>
            </w:tcBorders>
            <w:vAlign w:val="center"/>
          </w:tcPr>
          <w:p w14:paraId="0BD4D37C" w14:textId="77777777" w:rsidR="00936761" w:rsidRPr="00783F4A" w:rsidRDefault="00936761" w:rsidP="001173AE">
            <w:pPr>
              <w:pStyle w:val="ListParagraph"/>
              <w:spacing w:line="360" w:lineRule="auto"/>
              <w:jc w:val="both"/>
              <w:rPr>
                <w:rFonts w:ascii="Arial" w:eastAsia="Times New Roman" w:hAnsi="Arial" w:cs="Arial"/>
                <w:sz w:val="20"/>
              </w:rPr>
            </w:pPr>
            <w:r w:rsidRPr="00783F4A">
              <w:rPr>
                <w:rFonts w:ascii="Arial" w:eastAsia="Times New Roman" w:hAnsi="Arial" w:cs="Arial"/>
                <w:sz w:val="20"/>
              </w:rPr>
              <w:t>-0.185*</w:t>
            </w:r>
          </w:p>
        </w:tc>
      </w:tr>
      <w:tr w:rsidR="00C420D8" w:rsidRPr="00C420D8" w14:paraId="29D41B46"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710339DE"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23CFE3AD"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Annual Income of family</w:t>
            </w:r>
          </w:p>
        </w:tc>
        <w:tc>
          <w:tcPr>
            <w:tcW w:w="2931" w:type="dxa"/>
            <w:tcBorders>
              <w:top w:val="single" w:sz="4" w:space="0" w:color="auto"/>
              <w:left w:val="single" w:sz="4" w:space="0" w:color="auto"/>
              <w:bottom w:val="single" w:sz="4" w:space="0" w:color="auto"/>
              <w:right w:val="single" w:sz="4" w:space="0" w:color="auto"/>
            </w:tcBorders>
            <w:vAlign w:val="center"/>
          </w:tcPr>
          <w:p w14:paraId="795E1838" w14:textId="5B04CAB8"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0.477NS</w:t>
            </w:r>
          </w:p>
        </w:tc>
      </w:tr>
      <w:tr w:rsidR="00C420D8" w:rsidRPr="00C420D8" w14:paraId="2B664434"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9271AE1"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7C3F0A64"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Farming experience</w:t>
            </w:r>
          </w:p>
        </w:tc>
        <w:tc>
          <w:tcPr>
            <w:tcW w:w="2931" w:type="dxa"/>
            <w:tcBorders>
              <w:top w:val="single" w:sz="4" w:space="0" w:color="auto"/>
              <w:left w:val="single" w:sz="4" w:space="0" w:color="auto"/>
              <w:bottom w:val="single" w:sz="4" w:space="0" w:color="auto"/>
              <w:right w:val="single" w:sz="4" w:space="0" w:color="auto"/>
            </w:tcBorders>
            <w:vAlign w:val="center"/>
          </w:tcPr>
          <w:p w14:paraId="197EAAAC" w14:textId="61E1D6ED"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0.943**</w:t>
            </w:r>
          </w:p>
        </w:tc>
      </w:tr>
      <w:tr w:rsidR="00C420D8" w:rsidRPr="00C420D8" w14:paraId="13C7C720"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0D534FD1"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5029BEFF"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Mass media utilization</w:t>
            </w:r>
          </w:p>
        </w:tc>
        <w:tc>
          <w:tcPr>
            <w:tcW w:w="2931" w:type="dxa"/>
            <w:tcBorders>
              <w:top w:val="single" w:sz="4" w:space="0" w:color="auto"/>
              <w:left w:val="single" w:sz="4" w:space="0" w:color="auto"/>
              <w:bottom w:val="single" w:sz="4" w:space="0" w:color="auto"/>
              <w:right w:val="single" w:sz="4" w:space="0" w:color="auto"/>
            </w:tcBorders>
            <w:vAlign w:val="center"/>
          </w:tcPr>
          <w:p w14:paraId="6C910DB5" w14:textId="2FFF1E7C"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0.231*</w:t>
            </w:r>
          </w:p>
        </w:tc>
      </w:tr>
      <w:tr w:rsidR="00C420D8" w:rsidRPr="00C420D8" w14:paraId="19AB181A"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722EDF87"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0B423422"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Social Participation</w:t>
            </w:r>
          </w:p>
        </w:tc>
        <w:tc>
          <w:tcPr>
            <w:tcW w:w="2931" w:type="dxa"/>
            <w:tcBorders>
              <w:top w:val="single" w:sz="4" w:space="0" w:color="auto"/>
              <w:left w:val="single" w:sz="4" w:space="0" w:color="auto"/>
              <w:bottom w:val="single" w:sz="4" w:space="0" w:color="auto"/>
              <w:right w:val="single" w:sz="4" w:space="0" w:color="auto"/>
            </w:tcBorders>
            <w:vAlign w:val="center"/>
          </w:tcPr>
          <w:p w14:paraId="05D6BA05" w14:textId="69415376"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0.346*</w:t>
            </w:r>
          </w:p>
        </w:tc>
      </w:tr>
      <w:tr w:rsidR="00C420D8" w:rsidRPr="00C420D8" w14:paraId="3AA7F78C" w14:textId="77777777" w:rsidTr="00983C05">
        <w:trPr>
          <w:trHeight w:val="434"/>
          <w:jc w:val="center"/>
        </w:trPr>
        <w:tc>
          <w:tcPr>
            <w:tcW w:w="1168" w:type="dxa"/>
            <w:tcBorders>
              <w:top w:val="single" w:sz="4" w:space="0" w:color="auto"/>
              <w:left w:val="single" w:sz="4" w:space="0" w:color="auto"/>
              <w:bottom w:val="single" w:sz="4" w:space="0" w:color="auto"/>
              <w:right w:val="single" w:sz="4" w:space="0" w:color="auto"/>
            </w:tcBorders>
          </w:tcPr>
          <w:p w14:paraId="53C85F75"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4902E651"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Extension contact</w:t>
            </w:r>
          </w:p>
        </w:tc>
        <w:tc>
          <w:tcPr>
            <w:tcW w:w="2931" w:type="dxa"/>
            <w:tcBorders>
              <w:top w:val="single" w:sz="4" w:space="0" w:color="auto"/>
              <w:left w:val="single" w:sz="4" w:space="0" w:color="auto"/>
              <w:bottom w:val="single" w:sz="4" w:space="0" w:color="auto"/>
              <w:right w:val="single" w:sz="4" w:space="0" w:color="auto"/>
            </w:tcBorders>
            <w:vAlign w:val="center"/>
          </w:tcPr>
          <w:p w14:paraId="0F4A90F6" w14:textId="0A2BBC99"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0.573**</w:t>
            </w:r>
          </w:p>
        </w:tc>
      </w:tr>
      <w:tr w:rsidR="00C420D8" w:rsidRPr="00C420D8" w14:paraId="2E38AFD9" w14:textId="77777777" w:rsidTr="00983C05">
        <w:trPr>
          <w:trHeight w:val="338"/>
          <w:jc w:val="center"/>
        </w:trPr>
        <w:tc>
          <w:tcPr>
            <w:tcW w:w="1168" w:type="dxa"/>
            <w:tcBorders>
              <w:top w:val="single" w:sz="4" w:space="0" w:color="auto"/>
              <w:left w:val="single" w:sz="4" w:space="0" w:color="auto"/>
              <w:bottom w:val="single" w:sz="4" w:space="0" w:color="auto"/>
              <w:right w:val="single" w:sz="4" w:space="0" w:color="auto"/>
            </w:tcBorders>
          </w:tcPr>
          <w:p w14:paraId="58D088F4"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5322E356"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Innovativeness</w:t>
            </w:r>
          </w:p>
        </w:tc>
        <w:tc>
          <w:tcPr>
            <w:tcW w:w="2931" w:type="dxa"/>
            <w:tcBorders>
              <w:top w:val="single" w:sz="4" w:space="0" w:color="auto"/>
              <w:left w:val="single" w:sz="4" w:space="0" w:color="auto"/>
              <w:bottom w:val="single" w:sz="4" w:space="0" w:color="auto"/>
              <w:right w:val="single" w:sz="4" w:space="0" w:color="auto"/>
            </w:tcBorders>
            <w:vAlign w:val="center"/>
          </w:tcPr>
          <w:p w14:paraId="7C784D41" w14:textId="4AEEEE2E"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0.452*</w:t>
            </w:r>
          </w:p>
        </w:tc>
      </w:tr>
      <w:tr w:rsidR="00C420D8" w:rsidRPr="00C420D8" w14:paraId="26FA096B" w14:textId="77777777" w:rsidTr="00983C05">
        <w:trPr>
          <w:trHeight w:val="351"/>
          <w:jc w:val="center"/>
        </w:trPr>
        <w:tc>
          <w:tcPr>
            <w:tcW w:w="1168" w:type="dxa"/>
            <w:tcBorders>
              <w:top w:val="single" w:sz="4" w:space="0" w:color="auto"/>
              <w:left w:val="single" w:sz="4" w:space="0" w:color="auto"/>
              <w:bottom w:val="single" w:sz="4" w:space="0" w:color="auto"/>
              <w:right w:val="single" w:sz="4" w:space="0" w:color="auto"/>
            </w:tcBorders>
          </w:tcPr>
          <w:p w14:paraId="4FBEEDC6" w14:textId="77777777" w:rsidR="00936761" w:rsidRPr="00783F4A" w:rsidRDefault="00936761" w:rsidP="00783F4A">
            <w:pPr>
              <w:numPr>
                <w:ilvl w:val="0"/>
                <w:numId w:val="2"/>
              </w:numPr>
              <w:spacing w:line="360" w:lineRule="auto"/>
              <w:contextualSpacing/>
              <w:jc w:val="center"/>
              <w:rPr>
                <w:rFonts w:ascii="Arial" w:eastAsia="Times New Roman" w:hAnsi="Arial" w:cs="Arial"/>
                <w:sz w:val="20"/>
              </w:rPr>
            </w:pPr>
          </w:p>
        </w:tc>
        <w:tc>
          <w:tcPr>
            <w:tcW w:w="4188" w:type="dxa"/>
            <w:tcBorders>
              <w:top w:val="single" w:sz="4" w:space="0" w:color="auto"/>
              <w:left w:val="single" w:sz="4" w:space="0" w:color="auto"/>
              <w:bottom w:val="single" w:sz="4" w:space="0" w:color="auto"/>
              <w:right w:val="single" w:sz="4" w:space="0" w:color="auto"/>
            </w:tcBorders>
            <w:hideMark/>
          </w:tcPr>
          <w:p w14:paraId="6AB4ABE1" w14:textId="77777777" w:rsidR="00936761" w:rsidRPr="00783F4A" w:rsidRDefault="00936761" w:rsidP="00783F4A">
            <w:pPr>
              <w:spacing w:line="360" w:lineRule="auto"/>
              <w:jc w:val="center"/>
              <w:rPr>
                <w:rFonts w:ascii="Arial" w:eastAsia="Times New Roman" w:hAnsi="Arial" w:cs="Arial"/>
                <w:b/>
                <w:sz w:val="20"/>
              </w:rPr>
            </w:pPr>
            <w:r w:rsidRPr="00783F4A">
              <w:rPr>
                <w:rFonts w:ascii="Arial" w:eastAsia="Times New Roman" w:hAnsi="Arial" w:cs="Arial"/>
                <w:sz w:val="20"/>
              </w:rPr>
              <w:t>Risk orientation</w:t>
            </w:r>
          </w:p>
        </w:tc>
        <w:tc>
          <w:tcPr>
            <w:tcW w:w="2931" w:type="dxa"/>
            <w:tcBorders>
              <w:top w:val="single" w:sz="4" w:space="0" w:color="auto"/>
              <w:left w:val="single" w:sz="4" w:space="0" w:color="auto"/>
              <w:bottom w:val="single" w:sz="4" w:space="0" w:color="auto"/>
              <w:right w:val="single" w:sz="4" w:space="0" w:color="auto"/>
            </w:tcBorders>
            <w:vAlign w:val="center"/>
          </w:tcPr>
          <w:p w14:paraId="3032C69C" w14:textId="4B34482E" w:rsidR="00936761" w:rsidRPr="00783F4A" w:rsidRDefault="00936761" w:rsidP="00783F4A">
            <w:pPr>
              <w:spacing w:line="360" w:lineRule="auto"/>
              <w:jc w:val="center"/>
              <w:rPr>
                <w:rFonts w:ascii="Arial" w:eastAsia="Times New Roman" w:hAnsi="Arial" w:cs="Arial"/>
                <w:sz w:val="20"/>
              </w:rPr>
            </w:pPr>
            <w:r w:rsidRPr="00783F4A">
              <w:rPr>
                <w:rFonts w:ascii="Arial" w:eastAsia="Times New Roman" w:hAnsi="Arial" w:cs="Arial"/>
                <w:sz w:val="20"/>
              </w:rPr>
              <w:t>0.296*</w:t>
            </w:r>
          </w:p>
        </w:tc>
      </w:tr>
    </w:tbl>
    <w:p w14:paraId="418C9E08" w14:textId="69D70075" w:rsidR="00B256C7" w:rsidRPr="008E4DAB" w:rsidRDefault="00B256C7" w:rsidP="00972817">
      <w:pPr>
        <w:autoSpaceDE w:val="0"/>
        <w:autoSpaceDN w:val="0"/>
        <w:adjustRightInd w:val="0"/>
        <w:spacing w:after="0" w:line="360" w:lineRule="auto"/>
        <w:jc w:val="both"/>
        <w:rPr>
          <w:rFonts w:ascii="Arial" w:eastAsia="Times New Roman" w:hAnsi="Arial" w:cs="Arial"/>
          <w:sz w:val="20"/>
          <w:szCs w:val="20"/>
        </w:rPr>
      </w:pPr>
      <w:r w:rsidRPr="00C420D8">
        <w:rPr>
          <w:rFonts w:ascii="Arial" w:eastAsia="Times New Roman" w:hAnsi="Arial" w:cs="Arial"/>
        </w:rPr>
        <w:t xml:space="preserve">      </w:t>
      </w:r>
      <w:r w:rsidRPr="008E4DAB">
        <w:rPr>
          <w:rFonts w:ascii="Arial" w:eastAsia="Times New Roman" w:hAnsi="Arial" w:cs="Arial"/>
          <w:sz w:val="20"/>
          <w:szCs w:val="20"/>
        </w:rPr>
        <w:t>NS = Not Significant; * = Significant at 5%, ** = Significant at 1%.</w:t>
      </w:r>
    </w:p>
    <w:p w14:paraId="264B2E77" w14:textId="4286CC49" w:rsidR="00A56E8D" w:rsidRPr="002C6D18" w:rsidRDefault="00127212" w:rsidP="00A56E8D">
      <w:pPr>
        <w:spacing w:after="0" w:line="360" w:lineRule="auto"/>
        <w:ind w:firstLine="720"/>
        <w:jc w:val="both"/>
        <w:rPr>
          <w:rFonts w:ascii="Arial" w:eastAsia="Times New Roman" w:hAnsi="Arial" w:cs="Arial"/>
          <w:color w:val="000000"/>
          <w:sz w:val="20"/>
          <w:szCs w:val="20"/>
        </w:rPr>
      </w:pPr>
      <w:r w:rsidRPr="002C6D18">
        <w:rPr>
          <w:rFonts w:ascii="Arial" w:eastAsia="Times New Roman" w:hAnsi="Arial" w:cs="Arial"/>
          <w:sz w:val="20"/>
          <w:szCs w:val="20"/>
        </w:rPr>
        <w:t xml:space="preserve">It may be noted from Table </w:t>
      </w:r>
      <w:r w:rsidR="00CC558B">
        <w:rPr>
          <w:rFonts w:ascii="Arial" w:eastAsia="Times New Roman" w:hAnsi="Arial" w:cs="Arial"/>
          <w:sz w:val="20"/>
          <w:szCs w:val="20"/>
        </w:rPr>
        <w:t>3</w:t>
      </w:r>
      <w:r w:rsidRPr="002C6D18">
        <w:rPr>
          <w:rFonts w:ascii="Arial" w:eastAsia="Times New Roman" w:hAnsi="Arial" w:cs="Arial"/>
          <w:sz w:val="20"/>
          <w:szCs w:val="20"/>
        </w:rPr>
        <w:t xml:space="preserve"> that age, education, mass media utilization, social participation, innovativeness, and risk orientation were found to have </w:t>
      </w:r>
      <w:r w:rsidR="008E4DAB">
        <w:rPr>
          <w:rFonts w:ascii="Arial" w:eastAsia="Times New Roman" w:hAnsi="Arial" w:cs="Arial"/>
          <w:sz w:val="20"/>
          <w:szCs w:val="20"/>
        </w:rPr>
        <w:t xml:space="preserve">a </w:t>
      </w:r>
      <w:r w:rsidRPr="002C6D18">
        <w:rPr>
          <w:rFonts w:ascii="Arial" w:eastAsia="Times New Roman" w:hAnsi="Arial" w:cs="Arial"/>
          <w:sz w:val="20"/>
          <w:szCs w:val="20"/>
        </w:rPr>
        <w:t xml:space="preserve">positive and significant association with technical efficiency of </w:t>
      </w:r>
      <w:proofErr w:type="spellStart"/>
      <w:r w:rsidRPr="002C6D18">
        <w:rPr>
          <w:rFonts w:ascii="Arial" w:eastAsia="Times New Roman" w:hAnsi="Arial" w:cs="Arial"/>
          <w:sz w:val="20"/>
          <w:szCs w:val="20"/>
        </w:rPr>
        <w:t>blackgram</w:t>
      </w:r>
      <w:proofErr w:type="spellEnd"/>
      <w:r w:rsidRPr="002C6D18">
        <w:rPr>
          <w:rFonts w:ascii="Arial" w:eastAsia="Times New Roman" w:hAnsi="Arial" w:cs="Arial"/>
          <w:sz w:val="20"/>
          <w:szCs w:val="20"/>
        </w:rPr>
        <w:t xml:space="preserve"> grower at 5 percent level of probability. </w:t>
      </w:r>
      <w:r w:rsidR="00885A01" w:rsidRPr="002C6D18">
        <w:rPr>
          <w:rFonts w:ascii="Arial" w:eastAsia="Times New Roman" w:hAnsi="Arial" w:cs="Arial"/>
          <w:sz w:val="20"/>
          <w:szCs w:val="20"/>
        </w:rPr>
        <w:t xml:space="preserve">Similar results were also reported by Narcisse </w:t>
      </w:r>
      <w:r w:rsidR="00885A01" w:rsidRPr="002C6D18">
        <w:rPr>
          <w:rFonts w:ascii="Arial" w:eastAsia="Times New Roman" w:hAnsi="Arial" w:cs="Arial"/>
          <w:i/>
          <w:iCs/>
          <w:sz w:val="20"/>
          <w:szCs w:val="20"/>
        </w:rPr>
        <w:t>et al.</w:t>
      </w:r>
      <w:r w:rsidR="00885A01" w:rsidRPr="002C6D18">
        <w:rPr>
          <w:rFonts w:ascii="Arial" w:eastAsia="Times New Roman" w:hAnsi="Arial" w:cs="Arial"/>
          <w:sz w:val="20"/>
          <w:szCs w:val="20"/>
        </w:rPr>
        <w:t xml:space="preserve"> (2019), </w:t>
      </w:r>
      <w:proofErr w:type="spellStart"/>
      <w:r w:rsidR="00B009F9" w:rsidRPr="002C6D18">
        <w:rPr>
          <w:rFonts w:ascii="Arial" w:hAnsi="Arial" w:cs="Arial"/>
          <w:sz w:val="20"/>
          <w:szCs w:val="20"/>
        </w:rPr>
        <w:t>Matin</w:t>
      </w:r>
      <w:proofErr w:type="spellEnd"/>
      <w:r w:rsidR="00B009F9" w:rsidRPr="002C6D18">
        <w:rPr>
          <w:rFonts w:ascii="Arial" w:hAnsi="Arial" w:cs="Arial"/>
          <w:sz w:val="20"/>
          <w:szCs w:val="20"/>
        </w:rPr>
        <w:t xml:space="preserve"> </w:t>
      </w:r>
      <w:r w:rsidR="00B009F9" w:rsidRPr="002C6D18">
        <w:rPr>
          <w:rFonts w:ascii="Arial" w:hAnsi="Arial" w:cs="Arial"/>
          <w:i/>
          <w:iCs/>
          <w:sz w:val="20"/>
          <w:szCs w:val="20"/>
        </w:rPr>
        <w:t>et. al.</w:t>
      </w:r>
      <w:r w:rsidR="00B009F9" w:rsidRPr="002C6D18">
        <w:rPr>
          <w:rFonts w:ascii="Arial" w:hAnsi="Arial" w:cs="Arial"/>
          <w:sz w:val="20"/>
          <w:szCs w:val="20"/>
        </w:rPr>
        <w:t xml:space="preserve"> (2018)</w:t>
      </w:r>
      <w:r w:rsidR="00B009F9" w:rsidRPr="002C6D18">
        <w:rPr>
          <w:rFonts w:ascii="Arial" w:hAnsi="Arial" w:cs="Arial"/>
          <w:color w:val="000000" w:themeColor="text1"/>
          <w:sz w:val="20"/>
          <w:szCs w:val="20"/>
          <w:lang w:bidi="hi-IN"/>
        </w:rPr>
        <w:t xml:space="preserve">, </w:t>
      </w:r>
      <w:r w:rsidR="007E4614" w:rsidRPr="002C6D18">
        <w:rPr>
          <w:rFonts w:ascii="Arial" w:hAnsi="Arial" w:cs="Arial"/>
          <w:sz w:val="20"/>
          <w:szCs w:val="20"/>
        </w:rPr>
        <w:t xml:space="preserve">Kumbhakar (2014), </w:t>
      </w:r>
      <w:proofErr w:type="spellStart"/>
      <w:r w:rsidR="00982D9C" w:rsidRPr="002C6D18">
        <w:rPr>
          <w:rFonts w:ascii="Arial" w:hAnsi="Arial" w:cs="Arial"/>
          <w:sz w:val="20"/>
          <w:szCs w:val="20"/>
        </w:rPr>
        <w:t>Vittor</w:t>
      </w:r>
      <w:proofErr w:type="spellEnd"/>
      <w:r w:rsidR="00982D9C" w:rsidRPr="002C6D18">
        <w:rPr>
          <w:rFonts w:ascii="Arial" w:hAnsi="Arial" w:cs="Arial"/>
          <w:sz w:val="20"/>
          <w:szCs w:val="20"/>
        </w:rPr>
        <w:t xml:space="preserve"> </w:t>
      </w:r>
      <w:r w:rsidR="00982D9C" w:rsidRPr="002C6D18">
        <w:rPr>
          <w:rFonts w:ascii="Arial" w:hAnsi="Arial" w:cs="Arial"/>
          <w:i/>
          <w:iCs/>
          <w:sz w:val="20"/>
          <w:szCs w:val="20"/>
        </w:rPr>
        <w:t>et al.</w:t>
      </w:r>
      <w:r w:rsidR="00982D9C" w:rsidRPr="002C6D18">
        <w:rPr>
          <w:rFonts w:ascii="Arial" w:hAnsi="Arial" w:cs="Arial"/>
          <w:sz w:val="20"/>
          <w:szCs w:val="20"/>
        </w:rPr>
        <w:t xml:space="preserve"> (2013), </w:t>
      </w:r>
      <w:r w:rsidR="00A56E8D" w:rsidRPr="002C6D18">
        <w:rPr>
          <w:rFonts w:ascii="Arial" w:eastAsia="Times New Roman" w:hAnsi="Arial" w:cs="Arial"/>
          <w:color w:val="000000"/>
          <w:sz w:val="20"/>
          <w:szCs w:val="20"/>
        </w:rPr>
        <w:t>Singh and Sharma (2011)</w:t>
      </w:r>
      <w:r w:rsidR="00354D5C" w:rsidRPr="002C6D18">
        <w:rPr>
          <w:rFonts w:ascii="Arial" w:eastAsia="Times New Roman" w:hAnsi="Arial" w:cs="Arial"/>
          <w:color w:val="000000"/>
          <w:sz w:val="20"/>
          <w:szCs w:val="20"/>
        </w:rPr>
        <w:t xml:space="preserve">. </w:t>
      </w:r>
    </w:p>
    <w:p w14:paraId="28351F3E" w14:textId="4F6B4E77" w:rsidR="00127212" w:rsidRPr="002C6D18" w:rsidRDefault="00127212" w:rsidP="006B61AD">
      <w:pPr>
        <w:spacing w:after="0" w:line="360" w:lineRule="auto"/>
        <w:ind w:firstLine="720"/>
        <w:jc w:val="both"/>
        <w:rPr>
          <w:rFonts w:ascii="Arial" w:eastAsia="Times New Roman" w:hAnsi="Arial" w:cs="Arial"/>
          <w:color w:val="000000"/>
          <w:sz w:val="20"/>
          <w:szCs w:val="20"/>
        </w:rPr>
      </w:pPr>
      <w:r w:rsidRPr="002C6D18">
        <w:rPr>
          <w:rFonts w:ascii="Arial" w:eastAsia="Times New Roman" w:hAnsi="Arial" w:cs="Arial"/>
          <w:sz w:val="20"/>
          <w:szCs w:val="20"/>
        </w:rPr>
        <w:t xml:space="preserve">Meanwhile, farming experience and extension contact </w:t>
      </w:r>
      <w:r w:rsidR="00354D5C" w:rsidRPr="002C6D18">
        <w:rPr>
          <w:rFonts w:ascii="Arial" w:eastAsia="Times New Roman" w:hAnsi="Arial" w:cs="Arial"/>
          <w:sz w:val="20"/>
          <w:szCs w:val="20"/>
        </w:rPr>
        <w:t>were</w:t>
      </w:r>
      <w:r w:rsidRPr="002C6D18">
        <w:rPr>
          <w:rFonts w:ascii="Arial" w:eastAsia="Times New Roman" w:hAnsi="Arial" w:cs="Arial"/>
          <w:sz w:val="20"/>
          <w:szCs w:val="20"/>
        </w:rPr>
        <w:t xml:space="preserve"> found to have </w:t>
      </w:r>
      <w:r w:rsidR="00B70780" w:rsidRPr="002C6D18">
        <w:rPr>
          <w:rFonts w:ascii="Arial" w:eastAsia="Times New Roman" w:hAnsi="Arial" w:cs="Arial"/>
          <w:sz w:val="20"/>
          <w:szCs w:val="20"/>
        </w:rPr>
        <w:t xml:space="preserve">a </w:t>
      </w:r>
      <w:r w:rsidRPr="002C6D18">
        <w:rPr>
          <w:rFonts w:ascii="Arial" w:eastAsia="Times New Roman" w:hAnsi="Arial" w:cs="Arial"/>
          <w:sz w:val="20"/>
          <w:szCs w:val="20"/>
        </w:rPr>
        <w:t xml:space="preserve">positive and significant association with </w:t>
      </w:r>
      <w:r w:rsidR="00CB61A6" w:rsidRPr="002C6D18">
        <w:rPr>
          <w:rFonts w:ascii="Arial" w:eastAsia="Times New Roman" w:hAnsi="Arial" w:cs="Arial"/>
          <w:sz w:val="20"/>
          <w:szCs w:val="20"/>
        </w:rPr>
        <w:t xml:space="preserve">the </w:t>
      </w:r>
      <w:r w:rsidRPr="002C6D18">
        <w:rPr>
          <w:rFonts w:ascii="Arial" w:eastAsia="Times New Roman" w:hAnsi="Arial" w:cs="Arial"/>
          <w:sz w:val="20"/>
          <w:szCs w:val="20"/>
        </w:rPr>
        <w:t xml:space="preserve">technical efficiency of </w:t>
      </w:r>
      <w:proofErr w:type="spellStart"/>
      <w:r w:rsidRPr="002C6D18">
        <w:rPr>
          <w:rFonts w:ascii="Arial" w:eastAsia="Times New Roman" w:hAnsi="Arial" w:cs="Arial"/>
          <w:sz w:val="20"/>
          <w:szCs w:val="20"/>
        </w:rPr>
        <w:t>blackgram</w:t>
      </w:r>
      <w:proofErr w:type="spellEnd"/>
      <w:r w:rsidRPr="002C6D18">
        <w:rPr>
          <w:rFonts w:ascii="Arial" w:eastAsia="Times New Roman" w:hAnsi="Arial" w:cs="Arial"/>
          <w:sz w:val="20"/>
          <w:szCs w:val="20"/>
        </w:rPr>
        <w:t xml:space="preserve"> </w:t>
      </w:r>
      <w:r w:rsidR="00CB61A6" w:rsidRPr="002C6D18">
        <w:rPr>
          <w:rFonts w:ascii="Arial" w:eastAsia="Times New Roman" w:hAnsi="Arial" w:cs="Arial"/>
          <w:sz w:val="20"/>
          <w:szCs w:val="20"/>
        </w:rPr>
        <w:t>growers</w:t>
      </w:r>
      <w:r w:rsidRPr="002C6D18">
        <w:rPr>
          <w:rFonts w:ascii="Arial" w:eastAsia="Times New Roman" w:hAnsi="Arial" w:cs="Arial"/>
          <w:sz w:val="20"/>
          <w:szCs w:val="20"/>
        </w:rPr>
        <w:t xml:space="preserve"> at </w:t>
      </w:r>
      <w:r w:rsidR="006933F5">
        <w:rPr>
          <w:rFonts w:ascii="Arial" w:eastAsia="Times New Roman" w:hAnsi="Arial" w:cs="Arial"/>
          <w:sz w:val="20"/>
          <w:szCs w:val="20"/>
        </w:rPr>
        <w:t xml:space="preserve">a </w:t>
      </w:r>
      <w:r w:rsidRPr="002C6D18">
        <w:rPr>
          <w:rFonts w:ascii="Arial" w:eastAsia="Times New Roman" w:hAnsi="Arial" w:cs="Arial"/>
          <w:sz w:val="20"/>
          <w:szCs w:val="20"/>
        </w:rPr>
        <w:t xml:space="preserve">1 percent level of probability. It means these variables have contributed positively and significantly in increasing technical efficiency. While size of land holding was found to have </w:t>
      </w:r>
      <w:r w:rsidR="00CB61A6" w:rsidRPr="002C6D18">
        <w:rPr>
          <w:rFonts w:ascii="Arial" w:eastAsia="Times New Roman" w:hAnsi="Arial" w:cs="Arial"/>
          <w:sz w:val="20"/>
          <w:szCs w:val="20"/>
        </w:rPr>
        <w:t xml:space="preserve">a </w:t>
      </w:r>
      <w:r w:rsidRPr="002C6D18">
        <w:rPr>
          <w:rFonts w:ascii="Arial" w:eastAsia="Times New Roman" w:hAnsi="Arial" w:cs="Arial"/>
          <w:sz w:val="20"/>
          <w:szCs w:val="20"/>
        </w:rPr>
        <w:t xml:space="preserve">negative and significant association with </w:t>
      </w:r>
      <w:r w:rsidR="006933F5">
        <w:rPr>
          <w:rFonts w:ascii="Arial" w:eastAsia="Times New Roman" w:hAnsi="Arial" w:cs="Arial"/>
          <w:sz w:val="20"/>
          <w:szCs w:val="20"/>
        </w:rPr>
        <w:t xml:space="preserve">the </w:t>
      </w:r>
      <w:r w:rsidRPr="002C6D18">
        <w:rPr>
          <w:rFonts w:ascii="Arial" w:eastAsia="Times New Roman" w:hAnsi="Arial" w:cs="Arial"/>
          <w:sz w:val="20"/>
          <w:szCs w:val="20"/>
        </w:rPr>
        <w:t xml:space="preserve">technical efficiency of </w:t>
      </w:r>
      <w:proofErr w:type="spellStart"/>
      <w:r w:rsidRPr="002C6D18">
        <w:rPr>
          <w:rFonts w:ascii="Arial" w:eastAsia="Times New Roman" w:hAnsi="Arial" w:cs="Arial"/>
          <w:sz w:val="20"/>
          <w:szCs w:val="20"/>
        </w:rPr>
        <w:t>blackgram</w:t>
      </w:r>
      <w:proofErr w:type="spellEnd"/>
      <w:r w:rsidRPr="002C6D18">
        <w:rPr>
          <w:rFonts w:ascii="Arial" w:eastAsia="Times New Roman" w:hAnsi="Arial" w:cs="Arial"/>
          <w:sz w:val="20"/>
          <w:szCs w:val="20"/>
        </w:rPr>
        <w:t xml:space="preserve"> growers at 1 percent level of probability. </w:t>
      </w:r>
      <w:r w:rsidR="007B749F" w:rsidRPr="002C6D18">
        <w:rPr>
          <w:rFonts w:ascii="Arial" w:eastAsia="Times New Roman" w:hAnsi="Arial" w:cs="Arial"/>
          <w:sz w:val="20"/>
          <w:szCs w:val="20"/>
        </w:rPr>
        <w:t xml:space="preserve">Similar </w:t>
      </w:r>
      <w:r w:rsidR="006933F5">
        <w:rPr>
          <w:rFonts w:ascii="Arial" w:eastAsia="Times New Roman" w:hAnsi="Arial" w:cs="Arial"/>
          <w:sz w:val="20"/>
          <w:szCs w:val="20"/>
        </w:rPr>
        <w:t>findings were</w:t>
      </w:r>
      <w:r w:rsidR="0017294E" w:rsidRPr="002C6D18">
        <w:rPr>
          <w:rFonts w:ascii="Arial" w:eastAsia="Times New Roman" w:hAnsi="Arial" w:cs="Arial"/>
          <w:sz w:val="20"/>
          <w:szCs w:val="20"/>
        </w:rPr>
        <w:t xml:space="preserve"> also reported by </w:t>
      </w:r>
      <w:proofErr w:type="spellStart"/>
      <w:r w:rsidR="0017294E" w:rsidRPr="002C6D18">
        <w:rPr>
          <w:rFonts w:ascii="Arial" w:hAnsi="Arial" w:cs="Arial"/>
          <w:sz w:val="20"/>
          <w:szCs w:val="20"/>
        </w:rPr>
        <w:t>Koye</w:t>
      </w:r>
      <w:proofErr w:type="spellEnd"/>
      <w:r w:rsidR="0017294E" w:rsidRPr="002C6D18">
        <w:rPr>
          <w:rFonts w:ascii="Arial" w:hAnsi="Arial" w:cs="Arial"/>
          <w:sz w:val="20"/>
          <w:szCs w:val="20"/>
        </w:rPr>
        <w:t xml:space="preserve"> </w:t>
      </w:r>
      <w:r w:rsidR="0017294E" w:rsidRPr="002C6D18">
        <w:rPr>
          <w:rFonts w:ascii="Arial" w:hAnsi="Arial" w:cs="Arial"/>
          <w:i/>
          <w:iCs/>
          <w:sz w:val="20"/>
          <w:szCs w:val="20"/>
        </w:rPr>
        <w:t>et al. (</w:t>
      </w:r>
      <w:r w:rsidR="0017294E" w:rsidRPr="002C6D18">
        <w:rPr>
          <w:rFonts w:ascii="Arial" w:hAnsi="Arial" w:cs="Arial"/>
          <w:sz w:val="20"/>
          <w:szCs w:val="20"/>
        </w:rPr>
        <w:t>2022),</w:t>
      </w:r>
      <w:r w:rsidR="00C265E8" w:rsidRPr="002C6D18">
        <w:rPr>
          <w:rFonts w:ascii="Arial" w:hAnsi="Arial" w:cs="Arial"/>
          <w:sz w:val="20"/>
          <w:szCs w:val="20"/>
        </w:rPr>
        <w:t xml:space="preserve"> </w:t>
      </w:r>
      <w:proofErr w:type="spellStart"/>
      <w:r w:rsidR="00C265E8" w:rsidRPr="002C6D18">
        <w:rPr>
          <w:rFonts w:ascii="Arial" w:hAnsi="Arial" w:cs="Arial"/>
          <w:sz w:val="20"/>
          <w:szCs w:val="20"/>
        </w:rPr>
        <w:t>Onuwa</w:t>
      </w:r>
      <w:proofErr w:type="spellEnd"/>
      <w:r w:rsidR="00C265E8" w:rsidRPr="002C6D18">
        <w:rPr>
          <w:rFonts w:ascii="Arial" w:hAnsi="Arial" w:cs="Arial"/>
          <w:sz w:val="20"/>
          <w:szCs w:val="20"/>
        </w:rPr>
        <w:t xml:space="preserve"> </w:t>
      </w:r>
      <w:r w:rsidR="00C265E8" w:rsidRPr="002C6D18">
        <w:rPr>
          <w:rFonts w:ascii="Arial" w:hAnsi="Arial" w:cs="Arial"/>
          <w:i/>
          <w:iCs/>
          <w:sz w:val="20"/>
          <w:szCs w:val="20"/>
        </w:rPr>
        <w:t>et</w:t>
      </w:r>
      <w:r w:rsidR="00DD75A2" w:rsidRPr="002C6D18">
        <w:rPr>
          <w:rFonts w:ascii="Arial" w:hAnsi="Arial" w:cs="Arial"/>
          <w:i/>
          <w:iCs/>
          <w:sz w:val="20"/>
          <w:szCs w:val="20"/>
        </w:rPr>
        <w:t xml:space="preserve"> al</w:t>
      </w:r>
      <w:r w:rsidR="00DD75A2" w:rsidRPr="002C6D18">
        <w:rPr>
          <w:rFonts w:ascii="Arial" w:hAnsi="Arial" w:cs="Arial"/>
          <w:sz w:val="20"/>
          <w:szCs w:val="20"/>
        </w:rPr>
        <w:t xml:space="preserve">. (2022), Hasan (2019), Swetha </w:t>
      </w:r>
      <w:r w:rsidR="00DD75A2" w:rsidRPr="002C6D18">
        <w:rPr>
          <w:rFonts w:ascii="Arial" w:hAnsi="Arial" w:cs="Arial"/>
          <w:i/>
          <w:iCs/>
          <w:sz w:val="20"/>
          <w:szCs w:val="20"/>
        </w:rPr>
        <w:t>et al</w:t>
      </w:r>
      <w:r w:rsidR="00DD75A2" w:rsidRPr="002C6D18">
        <w:rPr>
          <w:rFonts w:ascii="Arial" w:hAnsi="Arial" w:cs="Arial"/>
          <w:sz w:val="20"/>
          <w:szCs w:val="20"/>
        </w:rPr>
        <w:t>. (2019).</w:t>
      </w:r>
      <w:r w:rsidR="00C265E8" w:rsidRPr="002C6D18">
        <w:rPr>
          <w:rFonts w:ascii="Arial" w:hAnsi="Arial" w:cs="Arial"/>
          <w:sz w:val="20"/>
          <w:szCs w:val="20"/>
        </w:rPr>
        <w:t xml:space="preserve"> Aung </w:t>
      </w:r>
      <w:r w:rsidR="00C265E8" w:rsidRPr="002C6D18">
        <w:rPr>
          <w:rFonts w:ascii="Arial" w:hAnsi="Arial" w:cs="Arial"/>
          <w:i/>
          <w:iCs/>
          <w:sz w:val="20"/>
          <w:szCs w:val="20"/>
        </w:rPr>
        <w:t>et al.</w:t>
      </w:r>
      <w:r w:rsidR="00C265E8" w:rsidRPr="002C6D18">
        <w:rPr>
          <w:rFonts w:ascii="Arial" w:hAnsi="Arial" w:cs="Arial"/>
          <w:sz w:val="20"/>
          <w:szCs w:val="20"/>
        </w:rPr>
        <w:t xml:space="preserve"> (2021)</w:t>
      </w:r>
      <w:r w:rsidR="00C265E8" w:rsidRPr="002C6D18">
        <w:rPr>
          <w:rFonts w:ascii="Arial" w:eastAsia="Times New Roman" w:hAnsi="Arial" w:cs="Arial"/>
          <w:color w:val="000000"/>
          <w:sz w:val="20"/>
          <w:szCs w:val="20"/>
        </w:rPr>
        <w:t xml:space="preserve">, </w:t>
      </w:r>
      <w:r w:rsidR="00C265E8" w:rsidRPr="002C6D18">
        <w:rPr>
          <w:rFonts w:ascii="Arial" w:hAnsi="Arial" w:cs="Arial"/>
          <w:sz w:val="20"/>
          <w:szCs w:val="20"/>
          <w:lang w:bidi="hi-IN"/>
        </w:rPr>
        <w:t xml:space="preserve">Haji and </w:t>
      </w:r>
      <w:proofErr w:type="spellStart"/>
      <w:r w:rsidR="00C265E8" w:rsidRPr="002C6D18">
        <w:rPr>
          <w:rFonts w:ascii="Arial" w:hAnsi="Arial" w:cs="Arial"/>
          <w:sz w:val="20"/>
          <w:szCs w:val="20"/>
          <w:lang w:bidi="hi-IN"/>
        </w:rPr>
        <w:t>Tegegn</w:t>
      </w:r>
      <w:proofErr w:type="spellEnd"/>
      <w:r w:rsidR="00C265E8" w:rsidRPr="002C6D18">
        <w:rPr>
          <w:rFonts w:ascii="Arial" w:hAnsi="Arial" w:cs="Arial"/>
          <w:sz w:val="20"/>
          <w:szCs w:val="20"/>
          <w:lang w:bidi="hi-IN"/>
        </w:rPr>
        <w:t xml:space="preserve"> (2018), </w:t>
      </w:r>
      <w:proofErr w:type="spellStart"/>
      <w:r w:rsidR="00C265E8" w:rsidRPr="002C6D18">
        <w:rPr>
          <w:rFonts w:ascii="Arial" w:hAnsi="Arial" w:cs="Arial"/>
          <w:sz w:val="20"/>
          <w:szCs w:val="20"/>
          <w:lang w:bidi="hi-IN"/>
        </w:rPr>
        <w:t>Maganga</w:t>
      </w:r>
      <w:proofErr w:type="spellEnd"/>
      <w:r w:rsidR="00C265E8" w:rsidRPr="002C6D18">
        <w:rPr>
          <w:rFonts w:ascii="Arial" w:hAnsi="Arial" w:cs="Arial"/>
          <w:sz w:val="20"/>
          <w:szCs w:val="20"/>
          <w:lang w:bidi="hi-IN"/>
        </w:rPr>
        <w:t xml:space="preserve"> (2012).</w:t>
      </w:r>
      <w:r w:rsidR="001C014B">
        <w:rPr>
          <w:rFonts w:ascii="Arial" w:hAnsi="Arial" w:cs="Arial"/>
          <w:sz w:val="20"/>
          <w:szCs w:val="20"/>
          <w:lang w:bidi="hi-IN"/>
        </w:rPr>
        <w:t xml:space="preserve"> </w:t>
      </w:r>
      <w:r w:rsidRPr="002C6D18">
        <w:rPr>
          <w:rFonts w:ascii="Arial" w:eastAsia="Times New Roman" w:hAnsi="Arial" w:cs="Arial"/>
          <w:sz w:val="20"/>
          <w:szCs w:val="20"/>
        </w:rPr>
        <w:t xml:space="preserve">It means this variable has contributed negatively and significantly in increasing technical efficiency of respondents. </w:t>
      </w:r>
      <w:bookmarkStart w:id="2" w:name="_Hlk225440388"/>
      <w:r w:rsidRPr="002C6D18">
        <w:rPr>
          <w:rFonts w:ascii="Arial" w:eastAsia="Times New Roman" w:hAnsi="Arial" w:cs="Arial"/>
          <w:sz w:val="20"/>
          <w:szCs w:val="20"/>
        </w:rPr>
        <w:t>Hence, null hypotheses H</w:t>
      </w:r>
      <w:r w:rsidRPr="002C6D18">
        <w:rPr>
          <w:rFonts w:ascii="Arial" w:eastAsia="Times New Roman" w:hAnsi="Arial" w:cs="Arial"/>
          <w:sz w:val="20"/>
          <w:szCs w:val="20"/>
          <w:vertAlign w:val="subscript"/>
        </w:rPr>
        <w:t>01.1</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01.2</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01.3</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01.5</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01.6</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01.7</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01.8</w:t>
      </w:r>
      <w:r w:rsidRPr="002C6D18">
        <w:rPr>
          <w:rFonts w:ascii="Arial" w:eastAsia="Times New Roman" w:hAnsi="Arial" w:cs="Arial"/>
          <w:sz w:val="20"/>
          <w:szCs w:val="20"/>
        </w:rPr>
        <w:t>, H</w:t>
      </w:r>
      <w:r w:rsidRPr="002C6D18">
        <w:rPr>
          <w:rFonts w:ascii="Arial" w:eastAsia="Times New Roman" w:hAnsi="Arial" w:cs="Arial"/>
          <w:sz w:val="20"/>
          <w:szCs w:val="20"/>
          <w:vertAlign w:val="subscript"/>
        </w:rPr>
        <w:t>01.9</w:t>
      </w:r>
      <w:r w:rsidRPr="002C6D18">
        <w:rPr>
          <w:rFonts w:ascii="Arial" w:eastAsia="Times New Roman" w:hAnsi="Arial" w:cs="Arial"/>
          <w:sz w:val="20"/>
          <w:szCs w:val="20"/>
        </w:rPr>
        <w:t>, and H</w:t>
      </w:r>
      <w:r w:rsidRPr="002C6D18">
        <w:rPr>
          <w:rFonts w:ascii="Arial" w:eastAsia="Times New Roman" w:hAnsi="Arial" w:cs="Arial"/>
          <w:sz w:val="20"/>
          <w:szCs w:val="20"/>
          <w:vertAlign w:val="subscript"/>
        </w:rPr>
        <w:t>01.10</w:t>
      </w:r>
      <w:r w:rsidRPr="002C6D18">
        <w:rPr>
          <w:rFonts w:ascii="Arial" w:eastAsia="Times New Roman" w:hAnsi="Arial" w:cs="Arial"/>
          <w:sz w:val="20"/>
          <w:szCs w:val="20"/>
        </w:rPr>
        <w:t xml:space="preserve">, were therefore, rejected.   </w:t>
      </w:r>
    </w:p>
    <w:p w14:paraId="18FC4C2B" w14:textId="7C02FE4F" w:rsidR="00127212" w:rsidRPr="002C6D18" w:rsidRDefault="00127212" w:rsidP="00127212">
      <w:pPr>
        <w:spacing w:after="0" w:line="360" w:lineRule="auto"/>
        <w:ind w:firstLine="720"/>
        <w:jc w:val="both"/>
        <w:rPr>
          <w:rFonts w:ascii="Arial" w:eastAsia="Times New Roman" w:hAnsi="Arial" w:cs="Arial"/>
          <w:sz w:val="20"/>
          <w:szCs w:val="20"/>
        </w:rPr>
      </w:pPr>
      <w:r w:rsidRPr="002C6D18">
        <w:rPr>
          <w:rFonts w:ascii="Arial" w:eastAsia="Times New Roman" w:hAnsi="Arial" w:cs="Arial"/>
          <w:sz w:val="20"/>
          <w:szCs w:val="20"/>
        </w:rPr>
        <w:t xml:space="preserve">On the contrary, the findings revealed that the age and annual income of the family were </w:t>
      </w:r>
      <w:proofErr w:type="gramStart"/>
      <w:r w:rsidR="00C951A8">
        <w:rPr>
          <w:rFonts w:ascii="Arial" w:eastAsia="Times New Roman" w:hAnsi="Arial" w:cs="Arial"/>
          <w:sz w:val="20"/>
          <w:szCs w:val="20"/>
        </w:rPr>
        <w:t>non significantly</w:t>
      </w:r>
      <w:proofErr w:type="gramEnd"/>
      <w:r w:rsidRPr="002C6D18">
        <w:rPr>
          <w:rFonts w:ascii="Arial" w:eastAsia="Times New Roman" w:hAnsi="Arial" w:cs="Arial"/>
          <w:sz w:val="20"/>
          <w:szCs w:val="20"/>
        </w:rPr>
        <w:t xml:space="preserve"> associated with the technical efficiency of the respondents. Therefore, hypotheses H</w:t>
      </w:r>
      <w:r w:rsidRPr="002C6D18">
        <w:rPr>
          <w:rFonts w:ascii="Arial" w:eastAsia="Times New Roman" w:hAnsi="Arial" w:cs="Arial"/>
          <w:sz w:val="20"/>
          <w:szCs w:val="20"/>
          <w:vertAlign w:val="subscript"/>
        </w:rPr>
        <w:t>01.4</w:t>
      </w:r>
      <w:r w:rsidRPr="002C6D18">
        <w:rPr>
          <w:rFonts w:ascii="Arial" w:eastAsia="Times New Roman" w:hAnsi="Arial" w:cs="Arial"/>
          <w:sz w:val="20"/>
          <w:szCs w:val="20"/>
        </w:rPr>
        <w:t xml:space="preserve"> were accepted. </w:t>
      </w:r>
    </w:p>
    <w:bookmarkEnd w:id="2"/>
    <w:p w14:paraId="6A968A6A" w14:textId="7A70DD44" w:rsidR="00B963EE" w:rsidRPr="00C420D8" w:rsidRDefault="00B963EE" w:rsidP="00972817">
      <w:pPr>
        <w:spacing w:after="0" w:line="360" w:lineRule="auto"/>
        <w:jc w:val="both"/>
        <w:rPr>
          <w:rFonts w:ascii="Arial" w:hAnsi="Arial" w:cs="Arial"/>
          <w:b/>
          <w:bCs/>
        </w:rPr>
      </w:pPr>
      <w:r w:rsidRPr="00C420D8">
        <w:rPr>
          <w:rFonts w:ascii="Arial" w:hAnsi="Arial" w:cs="Arial"/>
          <w:b/>
          <w:bCs/>
        </w:rPr>
        <w:t>C</w:t>
      </w:r>
      <w:r w:rsidR="006933F5">
        <w:rPr>
          <w:rFonts w:ascii="Arial" w:hAnsi="Arial" w:cs="Arial"/>
          <w:b/>
          <w:bCs/>
        </w:rPr>
        <w:t>ONCLUSION</w:t>
      </w:r>
    </w:p>
    <w:p w14:paraId="4B44A447" w14:textId="2ABA96B6" w:rsidR="00B40EC9" w:rsidRPr="00002828" w:rsidRDefault="001535BB" w:rsidP="00B40EC9">
      <w:pPr>
        <w:autoSpaceDE w:val="0"/>
        <w:autoSpaceDN w:val="0"/>
        <w:adjustRightInd w:val="0"/>
        <w:spacing w:after="0" w:line="360" w:lineRule="auto"/>
        <w:ind w:firstLine="720"/>
        <w:jc w:val="both"/>
        <w:rPr>
          <w:rFonts w:ascii="Arial" w:hAnsi="Arial" w:cs="Arial"/>
          <w:sz w:val="20"/>
          <w:szCs w:val="20"/>
        </w:rPr>
      </w:pPr>
      <w:r w:rsidRPr="00002828">
        <w:rPr>
          <w:rFonts w:ascii="Arial" w:hAnsi="Arial" w:cs="Arial"/>
          <w:sz w:val="20"/>
          <w:szCs w:val="20"/>
        </w:rPr>
        <w:t xml:space="preserve">The study revealed that the majority </w:t>
      </w:r>
      <w:r w:rsidR="006933F5" w:rsidRPr="00002828">
        <w:rPr>
          <w:rFonts w:ascii="Arial" w:hAnsi="Arial" w:cs="Arial"/>
          <w:sz w:val="20"/>
          <w:szCs w:val="20"/>
        </w:rPr>
        <w:t xml:space="preserve">of </w:t>
      </w:r>
      <w:r w:rsidRPr="00002828">
        <w:rPr>
          <w:rFonts w:ascii="Arial" w:hAnsi="Arial" w:cs="Arial"/>
          <w:sz w:val="20"/>
          <w:szCs w:val="20"/>
        </w:rPr>
        <w:t xml:space="preserve">farmers had </w:t>
      </w:r>
      <w:r w:rsidR="006933F5" w:rsidRPr="00002828">
        <w:rPr>
          <w:rFonts w:ascii="Arial" w:hAnsi="Arial" w:cs="Arial"/>
          <w:sz w:val="20"/>
          <w:szCs w:val="20"/>
        </w:rPr>
        <w:t xml:space="preserve">a </w:t>
      </w:r>
      <w:r w:rsidRPr="00002828">
        <w:rPr>
          <w:rFonts w:ascii="Arial" w:hAnsi="Arial" w:cs="Arial"/>
          <w:sz w:val="20"/>
          <w:szCs w:val="20"/>
        </w:rPr>
        <w:t xml:space="preserve">technical efficiency level </w:t>
      </w:r>
      <w:r w:rsidR="001C014B">
        <w:rPr>
          <w:rFonts w:ascii="Arial" w:hAnsi="Arial" w:cs="Arial"/>
          <w:sz w:val="20"/>
          <w:szCs w:val="20"/>
        </w:rPr>
        <w:t xml:space="preserve">of </w:t>
      </w:r>
      <w:r w:rsidRPr="00002828">
        <w:rPr>
          <w:rFonts w:ascii="Arial" w:hAnsi="Arial" w:cs="Arial"/>
          <w:sz w:val="20"/>
          <w:szCs w:val="20"/>
        </w:rPr>
        <w:t>0.51-0.55</w:t>
      </w:r>
      <w:r w:rsidR="001C014B">
        <w:rPr>
          <w:rFonts w:ascii="Arial" w:hAnsi="Arial" w:cs="Arial"/>
          <w:sz w:val="20"/>
          <w:szCs w:val="20"/>
        </w:rPr>
        <w:t>,</w:t>
      </w:r>
      <w:r w:rsidRPr="00002828">
        <w:rPr>
          <w:rFonts w:ascii="Arial" w:hAnsi="Arial" w:cs="Arial"/>
          <w:sz w:val="20"/>
          <w:szCs w:val="20"/>
        </w:rPr>
        <w:t xml:space="preserve"> with 38.33 per cent followed by </w:t>
      </w:r>
      <w:r w:rsidR="001C014B">
        <w:rPr>
          <w:rFonts w:ascii="Arial" w:hAnsi="Arial" w:cs="Arial"/>
          <w:sz w:val="20"/>
          <w:szCs w:val="20"/>
        </w:rPr>
        <w:t xml:space="preserve">a </w:t>
      </w:r>
      <w:r w:rsidRPr="00002828">
        <w:rPr>
          <w:rFonts w:ascii="Arial" w:hAnsi="Arial" w:cs="Arial"/>
          <w:sz w:val="20"/>
          <w:szCs w:val="20"/>
        </w:rPr>
        <w:t>technical efficiency level of 0.46-50 and 0.40-0.45</w:t>
      </w:r>
      <w:r w:rsidR="001C014B">
        <w:rPr>
          <w:rFonts w:ascii="Arial" w:hAnsi="Arial" w:cs="Arial"/>
          <w:sz w:val="20"/>
          <w:szCs w:val="20"/>
        </w:rPr>
        <w:t>,</w:t>
      </w:r>
      <w:r w:rsidRPr="00002828">
        <w:rPr>
          <w:rFonts w:ascii="Arial" w:hAnsi="Arial" w:cs="Arial"/>
          <w:sz w:val="20"/>
          <w:szCs w:val="20"/>
        </w:rPr>
        <w:t xml:space="preserve"> with 26.66 and 23.33 per cent</w:t>
      </w:r>
      <w:r w:rsidR="00002828" w:rsidRPr="00002828">
        <w:rPr>
          <w:rFonts w:ascii="Arial" w:hAnsi="Arial" w:cs="Arial"/>
          <w:sz w:val="20"/>
          <w:szCs w:val="20"/>
        </w:rPr>
        <w:t>,</w:t>
      </w:r>
      <w:r w:rsidRPr="00002828">
        <w:rPr>
          <w:rFonts w:ascii="Arial" w:hAnsi="Arial" w:cs="Arial"/>
          <w:sz w:val="20"/>
          <w:szCs w:val="20"/>
        </w:rPr>
        <w:t xml:space="preserve"> respectively.</w:t>
      </w:r>
      <w:r w:rsidR="00002828" w:rsidRPr="00002828">
        <w:rPr>
          <w:rFonts w:ascii="Arial" w:hAnsi="Arial" w:cs="Arial"/>
          <w:sz w:val="20"/>
          <w:szCs w:val="20"/>
        </w:rPr>
        <w:t xml:space="preserve"> </w:t>
      </w:r>
      <w:r w:rsidR="00D61E2D" w:rsidRPr="00002828">
        <w:rPr>
          <w:rFonts w:ascii="Arial" w:hAnsi="Arial" w:cs="Arial"/>
          <w:sz w:val="20"/>
          <w:szCs w:val="20"/>
        </w:rPr>
        <w:t xml:space="preserve">The finding regarding the technical efficiency of respondents indicated that the </w:t>
      </w:r>
      <w:proofErr w:type="spellStart"/>
      <w:r w:rsidR="00D61E2D" w:rsidRPr="00002828">
        <w:rPr>
          <w:rFonts w:ascii="Arial" w:hAnsi="Arial" w:cs="Arial"/>
          <w:sz w:val="20"/>
          <w:szCs w:val="20"/>
        </w:rPr>
        <w:t>blackgram</w:t>
      </w:r>
      <w:proofErr w:type="spellEnd"/>
      <w:r w:rsidR="00D61E2D" w:rsidRPr="00002828">
        <w:rPr>
          <w:rFonts w:ascii="Arial" w:hAnsi="Arial" w:cs="Arial"/>
          <w:sz w:val="20"/>
          <w:szCs w:val="20"/>
        </w:rPr>
        <w:t xml:space="preserve"> farmers (improved variety </w:t>
      </w:r>
      <w:r w:rsidR="00590356" w:rsidRPr="00002828">
        <w:rPr>
          <w:rFonts w:ascii="Arial" w:hAnsi="Arial" w:cs="Arial"/>
          <w:sz w:val="20"/>
          <w:szCs w:val="20"/>
        </w:rPr>
        <w:t>growers</w:t>
      </w:r>
      <w:r w:rsidR="00D61E2D" w:rsidRPr="00002828">
        <w:rPr>
          <w:rFonts w:ascii="Arial" w:hAnsi="Arial" w:cs="Arial"/>
          <w:sz w:val="20"/>
          <w:szCs w:val="20"/>
        </w:rPr>
        <w:t xml:space="preserve">) were better than the local variety </w:t>
      </w:r>
      <w:r w:rsidR="00590356" w:rsidRPr="00002828">
        <w:rPr>
          <w:rFonts w:ascii="Arial" w:hAnsi="Arial" w:cs="Arial"/>
          <w:sz w:val="20"/>
          <w:szCs w:val="20"/>
        </w:rPr>
        <w:t>growers</w:t>
      </w:r>
      <w:r w:rsidR="00D61E2D" w:rsidRPr="00002828">
        <w:rPr>
          <w:rFonts w:ascii="Arial" w:hAnsi="Arial" w:cs="Arial"/>
          <w:sz w:val="20"/>
          <w:szCs w:val="20"/>
        </w:rPr>
        <w:t>.</w:t>
      </w:r>
      <w:r w:rsidR="003A60A4" w:rsidRPr="00002828">
        <w:rPr>
          <w:rFonts w:ascii="Arial" w:hAnsi="Arial" w:cs="Arial"/>
          <w:sz w:val="20"/>
          <w:szCs w:val="20"/>
        </w:rPr>
        <w:t xml:space="preserve"> </w:t>
      </w:r>
      <w:r w:rsidR="00AA788A" w:rsidRPr="00AA788A">
        <w:rPr>
          <w:rFonts w:ascii="Arial" w:hAnsi="Arial" w:cs="Arial"/>
          <w:sz w:val="20"/>
          <w:szCs w:val="20"/>
        </w:rPr>
        <w:t>The horizontal dissemination of improved technologies may be facilitated through the implementation of a range of extension interventions, including training programmes, field days, and exposure visits. The study further highlights the importance of establishing a linkage between plant breeders involved in varietal development and extension personnel. Such collaboration would enable breeders to gain insights into on-farm realities, thereby ensuring that the recommended potential yields can be more effectively realised under farmers’ field conditions</w:t>
      </w:r>
      <w:r w:rsidR="003A60A4" w:rsidRPr="00002828">
        <w:rPr>
          <w:rFonts w:ascii="Arial" w:hAnsi="Arial" w:cs="Arial"/>
          <w:sz w:val="20"/>
          <w:szCs w:val="20"/>
        </w:rPr>
        <w:t xml:space="preserve">. </w:t>
      </w:r>
    </w:p>
    <w:p w14:paraId="29D4730C" w14:textId="77777777" w:rsidR="009954E7" w:rsidRPr="0001618A" w:rsidRDefault="009954E7" w:rsidP="009954E7">
      <w:pPr>
        <w:rPr>
          <w:rFonts w:ascii="Arial" w:hAnsi="Arial" w:cs="Arial"/>
          <w:b/>
          <w:bCs/>
        </w:rPr>
      </w:pPr>
      <w:r w:rsidRPr="0001618A">
        <w:rPr>
          <w:rFonts w:ascii="Arial" w:hAnsi="Arial" w:cs="Arial"/>
          <w:b/>
          <w:bCs/>
        </w:rPr>
        <w:t xml:space="preserve">Disclaimer (Artificial Intelligence) </w:t>
      </w:r>
    </w:p>
    <w:p w14:paraId="564E5D2A" w14:textId="4601DAA9" w:rsidR="009954E7" w:rsidRPr="003C3FF5" w:rsidRDefault="003C3FF5" w:rsidP="003C3FF5">
      <w:pPr>
        <w:spacing w:line="360" w:lineRule="auto"/>
        <w:jc w:val="both"/>
        <w:rPr>
          <w:rFonts w:ascii="Arial" w:hAnsi="Arial" w:cs="Arial"/>
          <w:sz w:val="20"/>
          <w:szCs w:val="20"/>
        </w:rPr>
      </w:pPr>
      <w:r w:rsidRPr="003C3FF5">
        <w:rPr>
          <w:rFonts w:ascii="Arial" w:hAnsi="Arial" w:cs="Arial"/>
          <w:sz w:val="20"/>
          <w:szCs w:val="20"/>
        </w:rPr>
        <w:t>The author</w:t>
      </w:r>
      <w:r w:rsidR="009954E7" w:rsidRPr="003C3FF5">
        <w:rPr>
          <w:rFonts w:ascii="Arial" w:hAnsi="Arial" w:cs="Arial"/>
          <w:sz w:val="20"/>
          <w:szCs w:val="20"/>
        </w:rPr>
        <w:t xml:space="preserve"> (s) hereby </w:t>
      </w:r>
      <w:r w:rsidRPr="003C3FF5">
        <w:rPr>
          <w:rFonts w:ascii="Arial" w:hAnsi="Arial" w:cs="Arial"/>
          <w:sz w:val="20"/>
          <w:szCs w:val="20"/>
        </w:rPr>
        <w:t>declare</w:t>
      </w:r>
      <w:r w:rsidR="009954E7" w:rsidRPr="003C3FF5">
        <w:rPr>
          <w:rFonts w:ascii="Arial" w:hAnsi="Arial" w:cs="Arial"/>
          <w:sz w:val="20"/>
          <w:szCs w:val="20"/>
        </w:rPr>
        <w:t xml:space="preserve"> that NO generative AI technologies such as Large Language Models (</w:t>
      </w:r>
      <w:proofErr w:type="spellStart"/>
      <w:r w:rsidR="009954E7" w:rsidRPr="003C3FF5">
        <w:rPr>
          <w:rFonts w:ascii="Arial" w:hAnsi="Arial" w:cs="Arial"/>
          <w:sz w:val="20"/>
          <w:szCs w:val="20"/>
        </w:rPr>
        <w:t>ChatGPT</w:t>
      </w:r>
      <w:proofErr w:type="spellEnd"/>
      <w:r w:rsidR="009954E7" w:rsidRPr="003C3FF5">
        <w:rPr>
          <w:rFonts w:ascii="Arial" w:hAnsi="Arial" w:cs="Arial"/>
          <w:sz w:val="20"/>
          <w:szCs w:val="20"/>
        </w:rPr>
        <w:t xml:space="preserve">, COPILOT, etc) and text-to-image </w:t>
      </w:r>
      <w:r w:rsidRPr="003C3FF5">
        <w:rPr>
          <w:rFonts w:ascii="Arial" w:hAnsi="Arial" w:cs="Arial"/>
          <w:sz w:val="20"/>
          <w:szCs w:val="20"/>
        </w:rPr>
        <w:t>generators</w:t>
      </w:r>
      <w:r w:rsidR="009954E7" w:rsidRPr="003C3FF5">
        <w:rPr>
          <w:rFonts w:ascii="Arial" w:hAnsi="Arial" w:cs="Arial"/>
          <w:sz w:val="20"/>
          <w:szCs w:val="20"/>
        </w:rPr>
        <w:t xml:space="preserve"> have been used during the writing or editing of the manuscript. </w:t>
      </w:r>
    </w:p>
    <w:p w14:paraId="49EBD0E8" w14:textId="2245B6A2" w:rsidR="007972F0" w:rsidRPr="00233FDF" w:rsidRDefault="00233FDF" w:rsidP="00233FDF">
      <w:pPr>
        <w:autoSpaceDE w:val="0"/>
        <w:autoSpaceDN w:val="0"/>
        <w:adjustRightInd w:val="0"/>
        <w:spacing w:after="0" w:line="360" w:lineRule="auto"/>
        <w:jc w:val="both"/>
        <w:rPr>
          <w:rFonts w:ascii="Arial" w:eastAsia="Times New Roman" w:hAnsi="Arial" w:cs="Arial"/>
          <w:b/>
          <w:bCs/>
        </w:rPr>
      </w:pPr>
      <w:r w:rsidRPr="008D44E5">
        <w:rPr>
          <w:rFonts w:ascii="Arial" w:eastAsia="Times New Roman" w:hAnsi="Arial" w:cs="Arial"/>
          <w:b/>
          <w:bCs/>
        </w:rPr>
        <w:lastRenderedPageBreak/>
        <w:t xml:space="preserve">REFERENCES </w:t>
      </w:r>
    </w:p>
    <w:p w14:paraId="5DC2015E"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color w:val="222222"/>
          <w:sz w:val="20"/>
          <w:szCs w:val="20"/>
          <w:shd w:val="clear" w:color="auto" w:fill="FFFFFF"/>
        </w:rPr>
      </w:pPr>
      <w:r w:rsidRPr="007736C2">
        <w:rPr>
          <w:rFonts w:ascii="Arial" w:hAnsi="Arial" w:cs="Arial"/>
          <w:sz w:val="20"/>
          <w:szCs w:val="20"/>
        </w:rPr>
        <w:t xml:space="preserve">Anonymous (2021-2022). </w:t>
      </w:r>
      <w:r w:rsidRPr="007736C2">
        <w:rPr>
          <w:rFonts w:ascii="Arial" w:hAnsi="Arial" w:cs="Arial"/>
          <w:color w:val="222222"/>
          <w:sz w:val="20"/>
          <w:szCs w:val="20"/>
          <w:shd w:val="clear" w:color="auto" w:fill="FFFFFF"/>
        </w:rPr>
        <w:t>Department of Agriculture and Farmers welfare.</w:t>
      </w:r>
    </w:p>
    <w:p w14:paraId="76BB4B7C"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r w:rsidRPr="007736C2">
        <w:rPr>
          <w:rFonts w:ascii="Arial" w:hAnsi="Arial" w:cs="Arial"/>
          <w:sz w:val="20"/>
          <w:szCs w:val="20"/>
        </w:rPr>
        <w:t>Anonymous (2021-2022). Directorate of Economics and Statistics, Krishi Bhavan, New Delhi.</w:t>
      </w:r>
    </w:p>
    <w:p w14:paraId="0A4BDA2C"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color w:val="222222"/>
          <w:sz w:val="20"/>
          <w:szCs w:val="20"/>
        </w:rPr>
      </w:pPr>
      <w:r w:rsidRPr="007736C2">
        <w:rPr>
          <w:rFonts w:ascii="Arial" w:hAnsi="Arial" w:cs="Arial"/>
          <w:sz w:val="20"/>
          <w:szCs w:val="20"/>
        </w:rPr>
        <w:t xml:space="preserve">Anonymous (2021-2022). </w:t>
      </w:r>
      <w:r w:rsidRPr="007736C2">
        <w:rPr>
          <w:rFonts w:ascii="Arial" w:hAnsi="Arial" w:cs="Arial"/>
          <w:color w:val="222222"/>
          <w:sz w:val="20"/>
          <w:szCs w:val="20"/>
        </w:rPr>
        <w:t>Handbook of Statistics on the Indian Economy.</w:t>
      </w:r>
    </w:p>
    <w:p w14:paraId="1CB4E676" w14:textId="22787541" w:rsidR="00233FDF" w:rsidRPr="007736C2" w:rsidRDefault="00233FDF" w:rsidP="007736C2">
      <w:pPr>
        <w:pStyle w:val="ListParagraph"/>
        <w:numPr>
          <w:ilvl w:val="0"/>
          <w:numId w:val="3"/>
        </w:numPr>
        <w:spacing w:after="0" w:line="360" w:lineRule="auto"/>
        <w:jc w:val="both"/>
        <w:rPr>
          <w:rFonts w:ascii="Arial" w:hAnsi="Arial" w:cs="Arial"/>
          <w:sz w:val="20"/>
          <w:szCs w:val="20"/>
        </w:rPr>
      </w:pPr>
      <w:proofErr w:type="spellStart"/>
      <w:r w:rsidRPr="007736C2">
        <w:rPr>
          <w:rFonts w:ascii="Arial" w:hAnsi="Arial" w:cs="Arial"/>
          <w:color w:val="000000" w:themeColor="text1"/>
          <w:sz w:val="20"/>
          <w:szCs w:val="20"/>
        </w:rPr>
        <w:t>Abera</w:t>
      </w:r>
      <w:proofErr w:type="spellEnd"/>
      <w:r w:rsidRPr="007736C2">
        <w:rPr>
          <w:rFonts w:ascii="Arial" w:hAnsi="Arial" w:cs="Arial"/>
          <w:color w:val="000000" w:themeColor="text1"/>
          <w:sz w:val="20"/>
          <w:szCs w:val="20"/>
        </w:rPr>
        <w:t>, M. (2011). Analysis of Technical Efficiency of Lentil (</w:t>
      </w:r>
      <w:r w:rsidRPr="007736C2">
        <w:rPr>
          <w:rFonts w:ascii="Arial" w:hAnsi="Arial" w:cs="Arial"/>
          <w:i/>
          <w:iCs/>
          <w:color w:val="000000" w:themeColor="text1"/>
          <w:sz w:val="20"/>
          <w:szCs w:val="20"/>
        </w:rPr>
        <w:t xml:space="preserve">Lens </w:t>
      </w:r>
      <w:proofErr w:type="spellStart"/>
      <w:r w:rsidRPr="007736C2">
        <w:rPr>
          <w:rFonts w:ascii="Arial" w:hAnsi="Arial" w:cs="Arial"/>
          <w:i/>
          <w:iCs/>
          <w:color w:val="000000" w:themeColor="text1"/>
          <w:sz w:val="20"/>
          <w:szCs w:val="20"/>
        </w:rPr>
        <w:t>Culinaris</w:t>
      </w:r>
      <w:proofErr w:type="spellEnd"/>
      <w:r w:rsidRPr="007736C2">
        <w:rPr>
          <w:rFonts w:ascii="Arial" w:hAnsi="Arial" w:cs="Arial"/>
          <w:color w:val="000000" w:themeColor="text1"/>
          <w:sz w:val="20"/>
          <w:szCs w:val="20"/>
        </w:rPr>
        <w:t xml:space="preserve"> </w:t>
      </w:r>
      <w:proofErr w:type="spellStart"/>
      <w:r w:rsidRPr="007736C2">
        <w:rPr>
          <w:rFonts w:ascii="Arial" w:hAnsi="Arial" w:cs="Arial"/>
          <w:color w:val="000000" w:themeColor="text1"/>
          <w:sz w:val="20"/>
          <w:szCs w:val="20"/>
        </w:rPr>
        <w:t>Medikus</w:t>
      </w:r>
      <w:proofErr w:type="spellEnd"/>
      <w:r w:rsidRPr="007736C2">
        <w:rPr>
          <w:rFonts w:ascii="Arial" w:hAnsi="Arial" w:cs="Arial"/>
          <w:color w:val="000000" w:themeColor="text1"/>
          <w:sz w:val="20"/>
          <w:szCs w:val="20"/>
        </w:rPr>
        <w:t xml:space="preserve">) Production: The Case of </w:t>
      </w:r>
      <w:proofErr w:type="spellStart"/>
      <w:r w:rsidRPr="007736C2">
        <w:rPr>
          <w:rFonts w:ascii="Arial" w:hAnsi="Arial" w:cs="Arial"/>
          <w:color w:val="000000" w:themeColor="text1"/>
          <w:sz w:val="20"/>
          <w:szCs w:val="20"/>
        </w:rPr>
        <w:t>Gimbichu</w:t>
      </w:r>
      <w:proofErr w:type="spellEnd"/>
      <w:r w:rsidRPr="007736C2">
        <w:rPr>
          <w:rFonts w:ascii="Arial" w:hAnsi="Arial" w:cs="Arial"/>
          <w:color w:val="000000" w:themeColor="text1"/>
          <w:sz w:val="20"/>
          <w:szCs w:val="20"/>
        </w:rPr>
        <w:t xml:space="preserve"> District, Eastern Shewa Zone of Oromia.  </w:t>
      </w:r>
      <w:r w:rsidRPr="007736C2">
        <w:rPr>
          <w:rFonts w:ascii="Arial" w:hAnsi="Arial" w:cs="Arial"/>
          <w:i/>
          <w:iCs/>
          <w:color w:val="000000" w:themeColor="text1"/>
          <w:sz w:val="20"/>
          <w:szCs w:val="20"/>
        </w:rPr>
        <w:t>American Journal of Rural Development</w:t>
      </w:r>
      <w:r w:rsidRPr="007736C2">
        <w:rPr>
          <w:rFonts w:ascii="Arial" w:hAnsi="Arial" w:cs="Arial"/>
          <w:color w:val="000000" w:themeColor="text1"/>
          <w:sz w:val="20"/>
          <w:szCs w:val="20"/>
        </w:rPr>
        <w:t xml:space="preserve">, </w:t>
      </w:r>
      <w:r w:rsidRPr="007736C2">
        <w:rPr>
          <w:rFonts w:ascii="Arial" w:hAnsi="Arial" w:cs="Arial"/>
          <w:b/>
          <w:bCs/>
          <w:color w:val="000000" w:themeColor="text1"/>
          <w:sz w:val="20"/>
          <w:szCs w:val="20"/>
        </w:rPr>
        <w:t>6</w:t>
      </w:r>
      <w:r w:rsidRPr="007736C2">
        <w:rPr>
          <w:rFonts w:ascii="Arial" w:hAnsi="Arial" w:cs="Arial"/>
          <w:color w:val="000000" w:themeColor="text1"/>
          <w:sz w:val="20"/>
          <w:szCs w:val="20"/>
        </w:rPr>
        <w:t>(2): 49-58.</w:t>
      </w:r>
    </w:p>
    <w:p w14:paraId="1AFD82DC" w14:textId="77777777" w:rsidR="007972F0" w:rsidRPr="007736C2" w:rsidRDefault="007972F0" w:rsidP="007736C2">
      <w:pPr>
        <w:pStyle w:val="ListParagraph"/>
        <w:numPr>
          <w:ilvl w:val="0"/>
          <w:numId w:val="3"/>
        </w:numPr>
        <w:spacing w:after="0" w:line="360" w:lineRule="auto"/>
        <w:jc w:val="both"/>
        <w:rPr>
          <w:rFonts w:ascii="Arial" w:hAnsi="Arial" w:cs="Arial"/>
          <w:sz w:val="20"/>
          <w:szCs w:val="20"/>
        </w:rPr>
      </w:pPr>
      <w:r w:rsidRPr="007736C2">
        <w:rPr>
          <w:rFonts w:ascii="Arial" w:hAnsi="Arial" w:cs="Arial"/>
          <w:sz w:val="20"/>
          <w:szCs w:val="20"/>
        </w:rPr>
        <w:t xml:space="preserve">Aung, P. P. P. and Lee, J. Y. (2021). Technical efficiency of mung bean producers: The case of Myanmar. </w:t>
      </w:r>
      <w:r w:rsidRPr="007736C2">
        <w:rPr>
          <w:rFonts w:ascii="Arial" w:hAnsi="Arial" w:cs="Arial"/>
          <w:i/>
          <w:iCs/>
          <w:color w:val="000000" w:themeColor="text1"/>
          <w:sz w:val="20"/>
          <w:szCs w:val="20"/>
        </w:rPr>
        <w:t>Agriculture</w:t>
      </w:r>
      <w:r w:rsidRPr="007736C2">
        <w:rPr>
          <w:rFonts w:ascii="Arial" w:hAnsi="Arial" w:cs="Arial"/>
          <w:color w:val="000000" w:themeColor="text1"/>
          <w:sz w:val="20"/>
          <w:szCs w:val="20"/>
        </w:rPr>
        <w:t>,</w:t>
      </w:r>
      <w:r w:rsidRPr="007736C2">
        <w:rPr>
          <w:rFonts w:ascii="Arial" w:hAnsi="Arial" w:cs="Arial"/>
          <w:color w:val="FF0000"/>
          <w:sz w:val="20"/>
          <w:szCs w:val="20"/>
        </w:rPr>
        <w:t xml:space="preserve"> </w:t>
      </w:r>
      <w:r w:rsidRPr="007736C2">
        <w:rPr>
          <w:rFonts w:ascii="Arial" w:hAnsi="Arial" w:cs="Arial"/>
          <w:b/>
          <w:bCs/>
          <w:sz w:val="20"/>
          <w:szCs w:val="20"/>
        </w:rPr>
        <w:t>11</w:t>
      </w:r>
      <w:r w:rsidRPr="007736C2">
        <w:rPr>
          <w:rFonts w:ascii="Arial" w:hAnsi="Arial" w:cs="Arial"/>
          <w:sz w:val="20"/>
          <w:szCs w:val="20"/>
        </w:rPr>
        <w:t>(12): 1249.</w:t>
      </w:r>
    </w:p>
    <w:p w14:paraId="0A91E03B" w14:textId="77777777" w:rsidR="007972F0" w:rsidRPr="007736C2" w:rsidRDefault="007972F0" w:rsidP="007736C2">
      <w:pPr>
        <w:pStyle w:val="ListParagraph"/>
        <w:numPr>
          <w:ilvl w:val="0"/>
          <w:numId w:val="3"/>
        </w:numPr>
        <w:spacing w:after="0" w:line="360" w:lineRule="auto"/>
        <w:jc w:val="both"/>
        <w:rPr>
          <w:rFonts w:ascii="Arial" w:hAnsi="Arial" w:cs="Arial"/>
          <w:sz w:val="20"/>
          <w:szCs w:val="20"/>
        </w:rPr>
      </w:pPr>
      <w:r w:rsidRPr="007736C2">
        <w:rPr>
          <w:rFonts w:ascii="Arial" w:hAnsi="Arial" w:cs="Arial"/>
          <w:sz w:val="20"/>
          <w:szCs w:val="20"/>
        </w:rPr>
        <w:t xml:space="preserve">Faisal, F., </w:t>
      </w:r>
      <w:proofErr w:type="spellStart"/>
      <w:r w:rsidRPr="007736C2">
        <w:rPr>
          <w:rFonts w:ascii="Arial" w:hAnsi="Arial" w:cs="Arial"/>
          <w:sz w:val="20"/>
          <w:szCs w:val="20"/>
        </w:rPr>
        <w:t>QianCheng</w:t>
      </w:r>
      <w:proofErr w:type="spellEnd"/>
      <w:r w:rsidRPr="007736C2">
        <w:rPr>
          <w:rFonts w:ascii="Arial" w:hAnsi="Arial" w:cs="Arial"/>
          <w:sz w:val="20"/>
          <w:szCs w:val="20"/>
        </w:rPr>
        <w:t>, Z., &amp; Bashir, M. A. (2011). Financial Technology and Real Economy Dynamics: Exploring the Impact on Investment Efficiency and Financial Stability in China.</w:t>
      </w:r>
    </w:p>
    <w:p w14:paraId="1953F4A7"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r w:rsidRPr="007736C2">
        <w:rPr>
          <w:rFonts w:ascii="Arial" w:hAnsi="Arial" w:cs="Arial"/>
          <w:sz w:val="20"/>
          <w:szCs w:val="20"/>
        </w:rPr>
        <w:t xml:space="preserve">Haji, J. and </w:t>
      </w:r>
      <w:proofErr w:type="spellStart"/>
      <w:r w:rsidRPr="007736C2">
        <w:rPr>
          <w:rFonts w:ascii="Arial" w:hAnsi="Arial" w:cs="Arial"/>
          <w:sz w:val="20"/>
          <w:szCs w:val="20"/>
        </w:rPr>
        <w:t>Tegegn</w:t>
      </w:r>
      <w:proofErr w:type="spellEnd"/>
      <w:r w:rsidRPr="007736C2">
        <w:rPr>
          <w:rFonts w:ascii="Arial" w:hAnsi="Arial" w:cs="Arial"/>
          <w:sz w:val="20"/>
          <w:szCs w:val="20"/>
        </w:rPr>
        <w:t xml:space="preserve">, B. (2018). Technical Efficiency of Lentil Production: </w:t>
      </w:r>
      <w:proofErr w:type="gramStart"/>
      <w:r w:rsidRPr="007736C2">
        <w:rPr>
          <w:rFonts w:ascii="Arial" w:hAnsi="Arial" w:cs="Arial"/>
          <w:sz w:val="20"/>
          <w:szCs w:val="20"/>
        </w:rPr>
        <w:t>the</w:t>
      </w:r>
      <w:proofErr w:type="gramEnd"/>
      <w:r w:rsidRPr="007736C2">
        <w:rPr>
          <w:rFonts w:ascii="Arial" w:hAnsi="Arial" w:cs="Arial"/>
          <w:sz w:val="20"/>
          <w:szCs w:val="20"/>
        </w:rPr>
        <w:t xml:space="preserve"> Case of Smallholder Farmers in </w:t>
      </w:r>
      <w:proofErr w:type="spellStart"/>
      <w:r w:rsidRPr="007736C2">
        <w:rPr>
          <w:rFonts w:ascii="Arial" w:hAnsi="Arial" w:cs="Arial"/>
          <w:sz w:val="20"/>
          <w:szCs w:val="20"/>
        </w:rPr>
        <w:t>Konso</w:t>
      </w:r>
      <w:proofErr w:type="spellEnd"/>
      <w:r w:rsidRPr="007736C2">
        <w:rPr>
          <w:rFonts w:ascii="Arial" w:hAnsi="Arial" w:cs="Arial"/>
          <w:sz w:val="20"/>
          <w:szCs w:val="20"/>
        </w:rPr>
        <w:t xml:space="preserve"> District, Southern Ethiopia. </w:t>
      </w:r>
      <w:r w:rsidRPr="007736C2">
        <w:rPr>
          <w:rFonts w:ascii="Arial" w:hAnsi="Arial" w:cs="Arial"/>
          <w:i/>
          <w:iCs/>
          <w:sz w:val="20"/>
          <w:szCs w:val="20"/>
        </w:rPr>
        <w:t>Journal of Agricultural Economics, Extension and Rural Development</w:t>
      </w:r>
      <w:r w:rsidRPr="007736C2">
        <w:rPr>
          <w:rFonts w:ascii="Arial" w:hAnsi="Arial" w:cs="Arial"/>
          <w:sz w:val="20"/>
          <w:szCs w:val="20"/>
        </w:rPr>
        <w:t xml:space="preserve">, </w:t>
      </w:r>
      <w:r w:rsidRPr="007736C2">
        <w:rPr>
          <w:rFonts w:ascii="Arial" w:hAnsi="Arial" w:cs="Arial"/>
          <w:b/>
          <w:bCs/>
          <w:sz w:val="20"/>
          <w:szCs w:val="20"/>
        </w:rPr>
        <w:t>6</w:t>
      </w:r>
      <w:r w:rsidRPr="007736C2">
        <w:rPr>
          <w:rFonts w:ascii="Arial" w:hAnsi="Arial" w:cs="Arial"/>
          <w:sz w:val="20"/>
          <w:szCs w:val="20"/>
        </w:rPr>
        <w:t>(7): 772-793.</w:t>
      </w:r>
    </w:p>
    <w:p w14:paraId="44DD6D81"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proofErr w:type="spellStart"/>
      <w:r w:rsidRPr="007736C2">
        <w:rPr>
          <w:rFonts w:ascii="Arial" w:hAnsi="Arial" w:cs="Arial"/>
          <w:sz w:val="20"/>
          <w:szCs w:val="20"/>
        </w:rPr>
        <w:t>Koye</w:t>
      </w:r>
      <w:proofErr w:type="spellEnd"/>
      <w:r w:rsidRPr="007736C2">
        <w:rPr>
          <w:rFonts w:ascii="Arial" w:hAnsi="Arial" w:cs="Arial"/>
          <w:sz w:val="20"/>
          <w:szCs w:val="20"/>
        </w:rPr>
        <w:t xml:space="preserve">, T. D., </w:t>
      </w:r>
      <w:proofErr w:type="spellStart"/>
      <w:r w:rsidRPr="007736C2">
        <w:rPr>
          <w:rFonts w:ascii="Arial" w:hAnsi="Arial" w:cs="Arial"/>
          <w:sz w:val="20"/>
          <w:szCs w:val="20"/>
        </w:rPr>
        <w:t>Koye</w:t>
      </w:r>
      <w:proofErr w:type="spellEnd"/>
      <w:r w:rsidRPr="007736C2">
        <w:rPr>
          <w:rFonts w:ascii="Arial" w:hAnsi="Arial" w:cs="Arial"/>
          <w:sz w:val="20"/>
          <w:szCs w:val="20"/>
        </w:rPr>
        <w:t>, A. D. and Amsalu, Z. A. (2022). Analysis of technical efficiency of irrigated onion (</w:t>
      </w:r>
      <w:r w:rsidRPr="007736C2">
        <w:rPr>
          <w:rFonts w:ascii="Arial" w:hAnsi="Arial" w:cs="Arial"/>
          <w:i/>
          <w:iCs/>
          <w:sz w:val="20"/>
          <w:szCs w:val="20"/>
        </w:rPr>
        <w:t xml:space="preserve">Allium </w:t>
      </w:r>
      <w:proofErr w:type="spellStart"/>
      <w:r w:rsidRPr="007736C2">
        <w:rPr>
          <w:rFonts w:ascii="Arial" w:hAnsi="Arial" w:cs="Arial"/>
          <w:i/>
          <w:iCs/>
          <w:sz w:val="20"/>
          <w:szCs w:val="20"/>
        </w:rPr>
        <w:t>cepa</w:t>
      </w:r>
      <w:proofErr w:type="spellEnd"/>
      <w:r w:rsidRPr="007736C2">
        <w:rPr>
          <w:rFonts w:ascii="Arial" w:hAnsi="Arial" w:cs="Arial"/>
          <w:sz w:val="20"/>
          <w:szCs w:val="20"/>
        </w:rPr>
        <w:t xml:space="preserve"> L.) production in North Gondar Zone of </w:t>
      </w:r>
      <w:proofErr w:type="spellStart"/>
      <w:r w:rsidRPr="007736C2">
        <w:rPr>
          <w:rFonts w:ascii="Arial" w:hAnsi="Arial" w:cs="Arial"/>
          <w:sz w:val="20"/>
          <w:szCs w:val="20"/>
        </w:rPr>
        <w:t>amhara</w:t>
      </w:r>
      <w:proofErr w:type="spellEnd"/>
      <w:r w:rsidRPr="007736C2">
        <w:rPr>
          <w:rFonts w:ascii="Arial" w:hAnsi="Arial" w:cs="Arial"/>
          <w:sz w:val="20"/>
          <w:szCs w:val="20"/>
        </w:rPr>
        <w:t xml:space="preserve"> regional state, Ethiopia. </w:t>
      </w:r>
      <w:r w:rsidRPr="007736C2">
        <w:rPr>
          <w:rFonts w:ascii="Arial" w:hAnsi="Arial" w:cs="Arial"/>
          <w:i/>
          <w:iCs/>
          <w:sz w:val="20"/>
          <w:szCs w:val="20"/>
        </w:rPr>
        <w:t>PLOS ONE</w:t>
      </w:r>
      <w:r w:rsidRPr="007736C2">
        <w:rPr>
          <w:rFonts w:ascii="Arial" w:hAnsi="Arial" w:cs="Arial"/>
          <w:sz w:val="20"/>
          <w:szCs w:val="20"/>
        </w:rPr>
        <w:t xml:space="preserve">, </w:t>
      </w:r>
      <w:r w:rsidRPr="007736C2">
        <w:rPr>
          <w:rFonts w:ascii="Arial" w:hAnsi="Arial" w:cs="Arial"/>
          <w:b/>
          <w:bCs/>
          <w:sz w:val="20"/>
          <w:szCs w:val="20"/>
        </w:rPr>
        <w:t>17</w:t>
      </w:r>
      <w:r w:rsidRPr="007736C2">
        <w:rPr>
          <w:rFonts w:ascii="Arial" w:hAnsi="Arial" w:cs="Arial"/>
          <w:sz w:val="20"/>
          <w:szCs w:val="20"/>
        </w:rPr>
        <w:t xml:space="preserve">(10): e0275177. </w:t>
      </w:r>
    </w:p>
    <w:p w14:paraId="7DBEC899"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r w:rsidRPr="007736C2">
        <w:rPr>
          <w:rFonts w:ascii="Arial" w:hAnsi="Arial" w:cs="Arial"/>
          <w:sz w:val="20"/>
          <w:szCs w:val="20"/>
        </w:rPr>
        <w:t xml:space="preserve">Kumbhakar, S. C., Lien, G. and Hardaker, J. B. (2014). Technical efficiency in competing panel data models: a study of Norwegian grain farming. Journal Production Analysis, </w:t>
      </w:r>
      <w:r w:rsidRPr="007736C2">
        <w:rPr>
          <w:rFonts w:ascii="Arial" w:hAnsi="Arial" w:cs="Arial"/>
          <w:b/>
          <w:bCs/>
          <w:sz w:val="20"/>
          <w:szCs w:val="20"/>
        </w:rPr>
        <w:t>41</w:t>
      </w:r>
      <w:r w:rsidRPr="007736C2">
        <w:rPr>
          <w:rFonts w:ascii="Arial" w:hAnsi="Arial" w:cs="Arial"/>
          <w:sz w:val="20"/>
          <w:szCs w:val="20"/>
        </w:rPr>
        <w:t>: 321–337.</w:t>
      </w:r>
    </w:p>
    <w:p w14:paraId="1B229483" w14:textId="77777777" w:rsidR="007972F0" w:rsidRPr="007736C2" w:rsidRDefault="007972F0" w:rsidP="007736C2">
      <w:pPr>
        <w:pStyle w:val="ListParagraph"/>
        <w:numPr>
          <w:ilvl w:val="0"/>
          <w:numId w:val="3"/>
        </w:numPr>
        <w:spacing w:after="0" w:line="360" w:lineRule="auto"/>
        <w:jc w:val="both"/>
        <w:rPr>
          <w:rFonts w:ascii="Arial" w:hAnsi="Arial" w:cs="Arial"/>
          <w:color w:val="222222"/>
          <w:sz w:val="20"/>
          <w:szCs w:val="20"/>
          <w:shd w:val="clear" w:color="auto" w:fill="FFFFFF"/>
        </w:rPr>
      </w:pPr>
      <w:proofErr w:type="spellStart"/>
      <w:r w:rsidRPr="007736C2">
        <w:rPr>
          <w:rFonts w:ascii="Arial" w:hAnsi="Arial" w:cs="Arial"/>
          <w:color w:val="222222"/>
          <w:sz w:val="20"/>
          <w:szCs w:val="20"/>
          <w:shd w:val="clear" w:color="auto" w:fill="FFFFFF"/>
        </w:rPr>
        <w:t>Maganga</w:t>
      </w:r>
      <w:proofErr w:type="spellEnd"/>
      <w:r w:rsidRPr="007736C2">
        <w:rPr>
          <w:rFonts w:ascii="Arial" w:hAnsi="Arial" w:cs="Arial"/>
          <w:color w:val="222222"/>
          <w:sz w:val="20"/>
          <w:szCs w:val="20"/>
          <w:shd w:val="clear" w:color="auto" w:fill="FFFFFF"/>
        </w:rPr>
        <w:t xml:space="preserve">, A. M. (2012). Technical efficiency and its determinants in Irish potato production: evidence from </w:t>
      </w:r>
      <w:proofErr w:type="spellStart"/>
      <w:r w:rsidRPr="007736C2">
        <w:rPr>
          <w:rFonts w:ascii="Arial" w:hAnsi="Arial" w:cs="Arial"/>
          <w:color w:val="222222"/>
          <w:sz w:val="20"/>
          <w:szCs w:val="20"/>
          <w:shd w:val="clear" w:color="auto" w:fill="FFFFFF"/>
        </w:rPr>
        <w:t>Dedza</w:t>
      </w:r>
      <w:proofErr w:type="spellEnd"/>
      <w:r w:rsidRPr="007736C2">
        <w:rPr>
          <w:rFonts w:ascii="Arial" w:hAnsi="Arial" w:cs="Arial"/>
          <w:color w:val="222222"/>
          <w:sz w:val="20"/>
          <w:szCs w:val="20"/>
          <w:shd w:val="clear" w:color="auto" w:fill="FFFFFF"/>
        </w:rPr>
        <w:t xml:space="preserve"> District, Central Malawi. </w:t>
      </w:r>
      <w:r w:rsidRPr="007736C2">
        <w:rPr>
          <w:rFonts w:ascii="Arial" w:hAnsi="Arial" w:cs="Arial"/>
          <w:i/>
          <w:iCs/>
          <w:color w:val="222222"/>
          <w:sz w:val="20"/>
          <w:szCs w:val="20"/>
          <w:shd w:val="clear" w:color="auto" w:fill="FFFFFF"/>
        </w:rPr>
        <w:t>African journal of agricultural research</w:t>
      </w:r>
      <w:r w:rsidRPr="007736C2">
        <w:rPr>
          <w:rFonts w:ascii="Arial" w:hAnsi="Arial" w:cs="Arial"/>
          <w:color w:val="222222"/>
          <w:sz w:val="20"/>
          <w:szCs w:val="20"/>
          <w:shd w:val="clear" w:color="auto" w:fill="FFFFFF"/>
        </w:rPr>
        <w:t>, </w:t>
      </w:r>
      <w:r w:rsidRPr="007736C2">
        <w:rPr>
          <w:rFonts w:ascii="Arial" w:hAnsi="Arial" w:cs="Arial"/>
          <w:b/>
          <w:bCs/>
          <w:color w:val="222222"/>
          <w:sz w:val="20"/>
          <w:szCs w:val="20"/>
          <w:shd w:val="clear" w:color="auto" w:fill="FFFFFF"/>
        </w:rPr>
        <w:t>7</w:t>
      </w:r>
      <w:r w:rsidRPr="007736C2">
        <w:rPr>
          <w:rFonts w:ascii="Arial" w:hAnsi="Arial" w:cs="Arial"/>
          <w:color w:val="222222"/>
          <w:sz w:val="20"/>
          <w:szCs w:val="20"/>
          <w:shd w:val="clear" w:color="auto" w:fill="FFFFFF"/>
        </w:rPr>
        <w:t>(12): 1794-1799</w:t>
      </w:r>
    </w:p>
    <w:p w14:paraId="18A8340B" w14:textId="77777777" w:rsidR="007972F0" w:rsidRPr="007972F0" w:rsidRDefault="007972F0" w:rsidP="007736C2">
      <w:pPr>
        <w:pStyle w:val="Default"/>
        <w:numPr>
          <w:ilvl w:val="0"/>
          <w:numId w:val="3"/>
        </w:numPr>
        <w:spacing w:line="360" w:lineRule="auto"/>
        <w:jc w:val="both"/>
        <w:rPr>
          <w:sz w:val="20"/>
          <w:szCs w:val="20"/>
        </w:rPr>
      </w:pPr>
      <w:proofErr w:type="spellStart"/>
      <w:r w:rsidRPr="007972F0">
        <w:rPr>
          <w:sz w:val="20"/>
          <w:szCs w:val="20"/>
        </w:rPr>
        <w:t>Matin</w:t>
      </w:r>
      <w:proofErr w:type="spellEnd"/>
      <w:r w:rsidRPr="007972F0">
        <w:rPr>
          <w:sz w:val="20"/>
          <w:szCs w:val="20"/>
        </w:rPr>
        <w:t xml:space="preserve">, M. A., Islam, Q. M. S. and </w:t>
      </w:r>
      <w:proofErr w:type="spellStart"/>
      <w:r w:rsidRPr="007972F0">
        <w:rPr>
          <w:sz w:val="20"/>
          <w:szCs w:val="20"/>
        </w:rPr>
        <w:t>Huque</w:t>
      </w:r>
      <w:proofErr w:type="spellEnd"/>
      <w:r w:rsidRPr="007972F0">
        <w:rPr>
          <w:sz w:val="20"/>
          <w:szCs w:val="20"/>
        </w:rPr>
        <w:t xml:space="preserve">, S. (2018). Profitability of lentil cultivation in some selected sites of Bangladesh. </w:t>
      </w:r>
      <w:r w:rsidRPr="007972F0">
        <w:rPr>
          <w:i/>
          <w:iCs/>
          <w:sz w:val="20"/>
          <w:szCs w:val="20"/>
        </w:rPr>
        <w:t>Bangladesh Journal Agricultural Research,</w:t>
      </w:r>
      <w:r w:rsidRPr="007972F0">
        <w:rPr>
          <w:sz w:val="20"/>
          <w:szCs w:val="20"/>
        </w:rPr>
        <w:t xml:space="preserve"> </w:t>
      </w:r>
      <w:r w:rsidRPr="007972F0">
        <w:rPr>
          <w:b/>
          <w:bCs/>
          <w:sz w:val="20"/>
          <w:szCs w:val="20"/>
        </w:rPr>
        <w:t>43</w:t>
      </w:r>
      <w:r w:rsidRPr="007972F0">
        <w:rPr>
          <w:sz w:val="20"/>
          <w:szCs w:val="20"/>
        </w:rPr>
        <w:t>(1): 135-147.</w:t>
      </w:r>
    </w:p>
    <w:p w14:paraId="07E1444B" w14:textId="77777777" w:rsidR="007972F0" w:rsidRPr="007736C2" w:rsidRDefault="007972F0" w:rsidP="007736C2">
      <w:pPr>
        <w:pStyle w:val="ListParagraph"/>
        <w:numPr>
          <w:ilvl w:val="0"/>
          <w:numId w:val="3"/>
        </w:numPr>
        <w:spacing w:after="0" w:line="360" w:lineRule="auto"/>
        <w:jc w:val="both"/>
        <w:rPr>
          <w:rFonts w:ascii="Arial" w:hAnsi="Arial" w:cs="Arial"/>
          <w:sz w:val="20"/>
          <w:szCs w:val="20"/>
        </w:rPr>
      </w:pPr>
      <w:r w:rsidRPr="007736C2">
        <w:rPr>
          <w:rFonts w:ascii="Arial" w:hAnsi="Arial" w:cs="Arial"/>
          <w:sz w:val="20"/>
          <w:szCs w:val="20"/>
        </w:rPr>
        <w:t xml:space="preserve">Narcisse, M., Antoine, K. and </w:t>
      </w:r>
      <w:proofErr w:type="spellStart"/>
      <w:r w:rsidRPr="007736C2">
        <w:rPr>
          <w:rFonts w:ascii="Arial" w:hAnsi="Arial" w:cs="Arial"/>
          <w:sz w:val="20"/>
          <w:szCs w:val="20"/>
        </w:rPr>
        <w:t>Chrysostome</w:t>
      </w:r>
      <w:proofErr w:type="spellEnd"/>
      <w:r w:rsidRPr="007736C2">
        <w:rPr>
          <w:rFonts w:ascii="Arial" w:hAnsi="Arial" w:cs="Arial"/>
          <w:sz w:val="20"/>
          <w:szCs w:val="20"/>
        </w:rPr>
        <w:t xml:space="preserve">, N. J. (2019). Factors Affecting Technical Efficiency of Beans Production among Smallholder Farmers in Rwanda. </w:t>
      </w:r>
      <w:r w:rsidRPr="007736C2">
        <w:rPr>
          <w:rFonts w:ascii="Arial" w:hAnsi="Arial" w:cs="Arial"/>
          <w:i/>
          <w:iCs/>
          <w:sz w:val="20"/>
          <w:szCs w:val="20"/>
        </w:rPr>
        <w:t>Journal of Agriculture and Allied Sciences.</w:t>
      </w:r>
      <w:r w:rsidRPr="007736C2">
        <w:rPr>
          <w:rFonts w:ascii="Arial" w:hAnsi="Arial" w:cs="Arial"/>
          <w:sz w:val="20"/>
          <w:szCs w:val="20"/>
        </w:rPr>
        <w:t xml:space="preserve"> </w:t>
      </w:r>
      <w:r w:rsidRPr="007736C2">
        <w:rPr>
          <w:rFonts w:ascii="Arial" w:hAnsi="Arial" w:cs="Arial"/>
          <w:b/>
          <w:bCs/>
          <w:sz w:val="20"/>
          <w:szCs w:val="20"/>
        </w:rPr>
        <w:t>8</w:t>
      </w:r>
      <w:r w:rsidRPr="007736C2">
        <w:rPr>
          <w:rFonts w:ascii="Arial" w:hAnsi="Arial" w:cs="Arial"/>
          <w:sz w:val="20"/>
          <w:szCs w:val="20"/>
        </w:rPr>
        <w:t xml:space="preserve"> (1): 71-78.</w:t>
      </w:r>
    </w:p>
    <w:p w14:paraId="6805B0DC"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proofErr w:type="spellStart"/>
      <w:r w:rsidRPr="007736C2">
        <w:rPr>
          <w:rFonts w:ascii="Arial" w:hAnsi="Arial" w:cs="Arial"/>
          <w:sz w:val="20"/>
          <w:szCs w:val="20"/>
        </w:rPr>
        <w:t>Onuwa</w:t>
      </w:r>
      <w:proofErr w:type="spellEnd"/>
      <w:r w:rsidRPr="007736C2">
        <w:rPr>
          <w:rFonts w:ascii="Arial" w:hAnsi="Arial" w:cs="Arial"/>
          <w:sz w:val="20"/>
          <w:szCs w:val="20"/>
        </w:rPr>
        <w:t xml:space="preserve">, G.C., </w:t>
      </w:r>
      <w:proofErr w:type="spellStart"/>
      <w:r w:rsidRPr="007736C2">
        <w:rPr>
          <w:rFonts w:ascii="Arial" w:hAnsi="Arial" w:cs="Arial"/>
          <w:sz w:val="20"/>
          <w:szCs w:val="20"/>
        </w:rPr>
        <w:t>Mailumo</w:t>
      </w:r>
      <w:proofErr w:type="spellEnd"/>
      <w:r w:rsidRPr="007736C2">
        <w:rPr>
          <w:rFonts w:ascii="Arial" w:hAnsi="Arial" w:cs="Arial"/>
          <w:sz w:val="20"/>
          <w:szCs w:val="20"/>
        </w:rPr>
        <w:t xml:space="preserve">, S.S., </w:t>
      </w:r>
      <w:proofErr w:type="spellStart"/>
      <w:r w:rsidRPr="007736C2">
        <w:rPr>
          <w:rFonts w:ascii="Arial" w:hAnsi="Arial" w:cs="Arial"/>
          <w:sz w:val="20"/>
          <w:szCs w:val="20"/>
        </w:rPr>
        <w:t>Chizea</w:t>
      </w:r>
      <w:proofErr w:type="spellEnd"/>
      <w:r w:rsidRPr="007736C2">
        <w:rPr>
          <w:rFonts w:ascii="Arial" w:hAnsi="Arial" w:cs="Arial"/>
          <w:sz w:val="20"/>
          <w:szCs w:val="20"/>
        </w:rPr>
        <w:t xml:space="preserve">, C.I., </w:t>
      </w:r>
      <w:proofErr w:type="spellStart"/>
      <w:r w:rsidRPr="007736C2">
        <w:rPr>
          <w:rFonts w:ascii="Arial" w:hAnsi="Arial" w:cs="Arial"/>
          <w:sz w:val="20"/>
          <w:szCs w:val="20"/>
        </w:rPr>
        <w:t>Onemayin</w:t>
      </w:r>
      <w:proofErr w:type="spellEnd"/>
      <w:r w:rsidRPr="007736C2">
        <w:rPr>
          <w:rFonts w:ascii="Arial" w:hAnsi="Arial" w:cs="Arial"/>
          <w:sz w:val="20"/>
          <w:szCs w:val="20"/>
        </w:rPr>
        <w:t xml:space="preserve">, J.J., Idris, R.S., </w:t>
      </w:r>
      <w:proofErr w:type="spellStart"/>
      <w:r w:rsidRPr="007736C2">
        <w:rPr>
          <w:rFonts w:ascii="Arial" w:hAnsi="Arial" w:cs="Arial"/>
          <w:sz w:val="20"/>
          <w:szCs w:val="20"/>
        </w:rPr>
        <w:t>Abalaka</w:t>
      </w:r>
      <w:proofErr w:type="spellEnd"/>
      <w:r w:rsidRPr="007736C2">
        <w:rPr>
          <w:rFonts w:ascii="Arial" w:hAnsi="Arial" w:cs="Arial"/>
          <w:sz w:val="20"/>
          <w:szCs w:val="20"/>
        </w:rPr>
        <w:t xml:space="preserve">, E.A. and </w:t>
      </w:r>
      <w:proofErr w:type="spellStart"/>
      <w:r w:rsidRPr="007736C2">
        <w:rPr>
          <w:rFonts w:ascii="Arial" w:hAnsi="Arial" w:cs="Arial"/>
          <w:sz w:val="20"/>
          <w:szCs w:val="20"/>
        </w:rPr>
        <w:t>Ebong</w:t>
      </w:r>
      <w:proofErr w:type="spellEnd"/>
      <w:r w:rsidRPr="007736C2">
        <w:rPr>
          <w:rFonts w:ascii="Arial" w:hAnsi="Arial" w:cs="Arial"/>
          <w:sz w:val="20"/>
          <w:szCs w:val="20"/>
        </w:rPr>
        <w:t>, A.C. (2022). Technical efficiency in cowpea (</w:t>
      </w:r>
      <w:r w:rsidRPr="007736C2">
        <w:rPr>
          <w:rFonts w:ascii="Arial" w:hAnsi="Arial" w:cs="Arial"/>
          <w:i/>
          <w:iCs/>
          <w:sz w:val="20"/>
          <w:szCs w:val="20"/>
        </w:rPr>
        <w:t xml:space="preserve">Vigna </w:t>
      </w:r>
      <w:proofErr w:type="spellStart"/>
      <w:r w:rsidRPr="007736C2">
        <w:rPr>
          <w:rFonts w:ascii="Arial" w:hAnsi="Arial" w:cs="Arial"/>
          <w:i/>
          <w:iCs/>
          <w:sz w:val="20"/>
          <w:szCs w:val="20"/>
        </w:rPr>
        <w:t>unguiculata</w:t>
      </w:r>
      <w:proofErr w:type="spellEnd"/>
      <w:r w:rsidRPr="007736C2">
        <w:rPr>
          <w:rFonts w:ascii="Arial" w:hAnsi="Arial" w:cs="Arial"/>
          <w:i/>
          <w:iCs/>
          <w:sz w:val="20"/>
          <w:szCs w:val="20"/>
        </w:rPr>
        <w:t xml:space="preserve"> </w:t>
      </w:r>
      <w:r w:rsidRPr="007736C2">
        <w:rPr>
          <w:rFonts w:ascii="Arial" w:hAnsi="Arial" w:cs="Arial"/>
          <w:sz w:val="20"/>
          <w:szCs w:val="20"/>
        </w:rPr>
        <w:t xml:space="preserve">L.) production in </w:t>
      </w:r>
      <w:proofErr w:type="spellStart"/>
      <w:r w:rsidRPr="007736C2">
        <w:rPr>
          <w:rFonts w:ascii="Arial" w:hAnsi="Arial" w:cs="Arial"/>
          <w:sz w:val="20"/>
          <w:szCs w:val="20"/>
        </w:rPr>
        <w:t>kanke</w:t>
      </w:r>
      <w:proofErr w:type="spellEnd"/>
      <w:r w:rsidRPr="007736C2">
        <w:rPr>
          <w:rFonts w:ascii="Arial" w:hAnsi="Arial" w:cs="Arial"/>
          <w:sz w:val="20"/>
          <w:szCs w:val="20"/>
        </w:rPr>
        <w:t xml:space="preserve">, Plateau state, Nigeria. </w:t>
      </w:r>
      <w:r w:rsidRPr="007736C2">
        <w:rPr>
          <w:rFonts w:ascii="Arial" w:hAnsi="Arial" w:cs="Arial"/>
          <w:i/>
          <w:iCs/>
          <w:sz w:val="20"/>
          <w:szCs w:val="20"/>
        </w:rPr>
        <w:t>Journal of Agriculture and Agricultural Technology</w:t>
      </w:r>
      <w:r w:rsidRPr="007736C2">
        <w:rPr>
          <w:rFonts w:ascii="Arial" w:hAnsi="Arial" w:cs="Arial"/>
          <w:sz w:val="20"/>
          <w:szCs w:val="20"/>
        </w:rPr>
        <w:t xml:space="preserve">, </w:t>
      </w:r>
      <w:r w:rsidRPr="007736C2">
        <w:rPr>
          <w:rFonts w:ascii="Arial" w:hAnsi="Arial" w:cs="Arial"/>
          <w:b/>
          <w:bCs/>
          <w:sz w:val="20"/>
          <w:szCs w:val="20"/>
        </w:rPr>
        <w:t>8</w:t>
      </w:r>
      <w:r w:rsidRPr="007736C2">
        <w:rPr>
          <w:rFonts w:ascii="Arial" w:hAnsi="Arial" w:cs="Arial"/>
          <w:sz w:val="20"/>
          <w:szCs w:val="20"/>
        </w:rPr>
        <w:t>(1): 372-382.</w:t>
      </w:r>
    </w:p>
    <w:p w14:paraId="3D5EC9EE"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r w:rsidRPr="007736C2">
        <w:rPr>
          <w:rFonts w:ascii="Arial" w:hAnsi="Arial" w:cs="Arial"/>
          <w:color w:val="000000" w:themeColor="text1"/>
          <w:sz w:val="20"/>
          <w:szCs w:val="20"/>
        </w:rPr>
        <w:t>Sharma</w:t>
      </w:r>
      <w:r w:rsidRPr="007736C2">
        <w:rPr>
          <w:rFonts w:ascii="Arial" w:hAnsi="Arial" w:cs="Arial"/>
          <w:sz w:val="20"/>
          <w:szCs w:val="20"/>
        </w:rPr>
        <w:t>,</w:t>
      </w:r>
      <w:r w:rsidRPr="007736C2">
        <w:rPr>
          <w:rFonts w:ascii="Arial" w:hAnsi="Arial" w:cs="Arial"/>
          <w:color w:val="FF0000"/>
          <w:sz w:val="20"/>
          <w:szCs w:val="20"/>
        </w:rPr>
        <w:t xml:space="preserve"> </w:t>
      </w:r>
      <w:r w:rsidRPr="007736C2">
        <w:rPr>
          <w:rFonts w:ascii="Arial" w:hAnsi="Arial" w:cs="Arial"/>
          <w:sz w:val="20"/>
          <w:szCs w:val="20"/>
        </w:rPr>
        <w:t xml:space="preserve">A., Badal, P. S., </w:t>
      </w:r>
      <w:proofErr w:type="spellStart"/>
      <w:r w:rsidRPr="007736C2">
        <w:rPr>
          <w:rFonts w:ascii="Arial" w:hAnsi="Arial" w:cs="Arial"/>
          <w:sz w:val="20"/>
          <w:szCs w:val="20"/>
        </w:rPr>
        <w:t>Kumareswaran</w:t>
      </w:r>
      <w:proofErr w:type="spellEnd"/>
      <w:r w:rsidRPr="007736C2">
        <w:rPr>
          <w:rFonts w:ascii="Arial" w:hAnsi="Arial" w:cs="Arial"/>
          <w:sz w:val="20"/>
          <w:szCs w:val="20"/>
        </w:rPr>
        <w:t xml:space="preserve">, T., Dey, A. and Goyal, A. (2022). Economic efficiency of crop production in </w:t>
      </w:r>
      <w:proofErr w:type="spellStart"/>
      <w:r w:rsidRPr="007736C2">
        <w:rPr>
          <w:rFonts w:ascii="Arial" w:hAnsi="Arial" w:cs="Arial"/>
          <w:sz w:val="20"/>
          <w:szCs w:val="20"/>
        </w:rPr>
        <w:t>hadoti</w:t>
      </w:r>
      <w:proofErr w:type="spellEnd"/>
      <w:r w:rsidRPr="007736C2">
        <w:rPr>
          <w:rFonts w:ascii="Arial" w:hAnsi="Arial" w:cs="Arial"/>
          <w:sz w:val="20"/>
          <w:szCs w:val="20"/>
        </w:rPr>
        <w:t xml:space="preserve"> region of Rajasthan. </w:t>
      </w:r>
      <w:r w:rsidRPr="007736C2">
        <w:rPr>
          <w:rFonts w:ascii="Arial" w:hAnsi="Arial" w:cs="Arial"/>
          <w:i/>
          <w:iCs/>
          <w:sz w:val="20"/>
          <w:szCs w:val="20"/>
        </w:rPr>
        <w:t>Journal of Krishi Vigyan</w:t>
      </w:r>
      <w:r w:rsidRPr="007736C2">
        <w:rPr>
          <w:rFonts w:ascii="Arial" w:hAnsi="Arial" w:cs="Arial"/>
          <w:sz w:val="20"/>
          <w:szCs w:val="20"/>
        </w:rPr>
        <w:t xml:space="preserve">, </w:t>
      </w:r>
      <w:r w:rsidRPr="007736C2">
        <w:rPr>
          <w:rFonts w:ascii="Arial" w:hAnsi="Arial" w:cs="Arial"/>
          <w:b/>
          <w:bCs/>
          <w:sz w:val="20"/>
          <w:szCs w:val="20"/>
        </w:rPr>
        <w:t>10</w:t>
      </w:r>
      <w:r w:rsidRPr="007736C2">
        <w:rPr>
          <w:rFonts w:ascii="Arial" w:hAnsi="Arial" w:cs="Arial"/>
          <w:sz w:val="20"/>
          <w:szCs w:val="20"/>
        </w:rPr>
        <w:t>(2): 349-354.</w:t>
      </w:r>
    </w:p>
    <w:p w14:paraId="13EF07C5" w14:textId="60D46224" w:rsidR="00187095"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color w:val="000000"/>
          <w:sz w:val="20"/>
          <w:szCs w:val="20"/>
        </w:rPr>
      </w:pPr>
      <w:proofErr w:type="spellStart"/>
      <w:r w:rsidRPr="007736C2">
        <w:rPr>
          <w:rFonts w:ascii="Arial" w:hAnsi="Arial" w:cs="Arial"/>
          <w:color w:val="000000"/>
          <w:sz w:val="20"/>
          <w:szCs w:val="20"/>
        </w:rPr>
        <w:t>Shyamsundari</w:t>
      </w:r>
      <w:proofErr w:type="spellEnd"/>
      <w:r w:rsidRPr="007736C2">
        <w:rPr>
          <w:rFonts w:ascii="Arial" w:hAnsi="Arial" w:cs="Arial"/>
          <w:color w:val="000000"/>
          <w:sz w:val="20"/>
          <w:szCs w:val="20"/>
        </w:rPr>
        <w:t xml:space="preserve">, G., Rajesh, R. and Parthiban, J. (2019). The Technical Efficiency </w:t>
      </w:r>
      <w:proofErr w:type="gramStart"/>
      <w:r w:rsidRPr="007736C2">
        <w:rPr>
          <w:rFonts w:ascii="Arial" w:hAnsi="Arial" w:cs="Arial"/>
          <w:color w:val="000000"/>
          <w:sz w:val="20"/>
          <w:szCs w:val="20"/>
        </w:rPr>
        <w:t>And</w:t>
      </w:r>
      <w:proofErr w:type="gramEnd"/>
      <w:r w:rsidRPr="007736C2">
        <w:rPr>
          <w:rFonts w:ascii="Arial" w:hAnsi="Arial" w:cs="Arial"/>
          <w:color w:val="000000"/>
          <w:sz w:val="20"/>
          <w:szCs w:val="20"/>
        </w:rPr>
        <w:t xml:space="preserve"> Resource Use Efficiency Of </w:t>
      </w:r>
      <w:proofErr w:type="spellStart"/>
      <w:r w:rsidRPr="007736C2">
        <w:rPr>
          <w:rFonts w:ascii="Arial" w:hAnsi="Arial" w:cs="Arial"/>
          <w:color w:val="000000"/>
          <w:sz w:val="20"/>
          <w:szCs w:val="20"/>
        </w:rPr>
        <w:t>Blackgram</w:t>
      </w:r>
      <w:proofErr w:type="spellEnd"/>
      <w:r w:rsidRPr="007736C2">
        <w:rPr>
          <w:rFonts w:ascii="Arial" w:hAnsi="Arial" w:cs="Arial"/>
          <w:color w:val="000000"/>
          <w:sz w:val="20"/>
          <w:szCs w:val="20"/>
        </w:rPr>
        <w:t xml:space="preserve"> Production in Villupuram District of Tamil Nadu. </w:t>
      </w:r>
      <w:r w:rsidRPr="007736C2">
        <w:rPr>
          <w:rFonts w:ascii="Arial" w:hAnsi="Arial" w:cs="Arial"/>
          <w:i/>
          <w:iCs/>
          <w:color w:val="000000"/>
          <w:sz w:val="20"/>
          <w:szCs w:val="20"/>
        </w:rPr>
        <w:t xml:space="preserve">International Journal of Agricultural, </w:t>
      </w:r>
      <w:r w:rsidRPr="007736C2">
        <w:rPr>
          <w:rFonts w:ascii="Arial" w:hAnsi="Arial" w:cs="Arial"/>
          <w:b/>
          <w:bCs/>
          <w:color w:val="000000"/>
          <w:sz w:val="20"/>
          <w:szCs w:val="20"/>
        </w:rPr>
        <w:t>9</w:t>
      </w:r>
      <w:r w:rsidRPr="007736C2">
        <w:rPr>
          <w:rFonts w:ascii="Arial" w:hAnsi="Arial" w:cs="Arial"/>
          <w:color w:val="000000"/>
          <w:sz w:val="20"/>
          <w:szCs w:val="20"/>
        </w:rPr>
        <w:t>(4): 61-68.</w:t>
      </w:r>
    </w:p>
    <w:p w14:paraId="4DBFBC10"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color w:val="000000" w:themeColor="text1"/>
          <w:sz w:val="20"/>
          <w:szCs w:val="20"/>
          <w:shd w:val="clear" w:color="auto" w:fill="FFFFFF"/>
        </w:rPr>
      </w:pPr>
      <w:r w:rsidRPr="007736C2">
        <w:rPr>
          <w:rFonts w:ascii="Arial" w:hAnsi="Arial" w:cs="Arial"/>
          <w:color w:val="000000" w:themeColor="text1"/>
          <w:sz w:val="20"/>
          <w:szCs w:val="20"/>
          <w:shd w:val="clear" w:color="auto" w:fill="FFFFFF"/>
        </w:rPr>
        <w:t xml:space="preserve">Swetha, V., </w:t>
      </w:r>
      <w:proofErr w:type="spellStart"/>
      <w:r w:rsidRPr="007736C2">
        <w:rPr>
          <w:rFonts w:ascii="Arial" w:hAnsi="Arial" w:cs="Arial"/>
          <w:color w:val="000000" w:themeColor="text1"/>
          <w:sz w:val="20"/>
          <w:szCs w:val="20"/>
          <w:shd w:val="clear" w:color="auto" w:fill="FFFFFF"/>
        </w:rPr>
        <w:t>Senthilnathan</w:t>
      </w:r>
      <w:proofErr w:type="spellEnd"/>
      <w:r w:rsidRPr="007736C2">
        <w:rPr>
          <w:rFonts w:ascii="Arial" w:hAnsi="Arial" w:cs="Arial"/>
          <w:color w:val="000000" w:themeColor="text1"/>
          <w:sz w:val="20"/>
          <w:szCs w:val="20"/>
          <w:shd w:val="clear" w:color="auto" w:fill="FFFFFF"/>
        </w:rPr>
        <w:t xml:space="preserve">, S., Rajendran, T. and </w:t>
      </w:r>
      <w:proofErr w:type="spellStart"/>
      <w:r w:rsidRPr="007736C2">
        <w:rPr>
          <w:rFonts w:ascii="Arial" w:hAnsi="Arial" w:cs="Arial"/>
          <w:color w:val="000000" w:themeColor="text1"/>
          <w:sz w:val="20"/>
          <w:szCs w:val="20"/>
          <w:shd w:val="clear" w:color="auto" w:fill="FFFFFF"/>
        </w:rPr>
        <w:t>Gangaiselvi</w:t>
      </w:r>
      <w:proofErr w:type="spellEnd"/>
      <w:r w:rsidRPr="007736C2">
        <w:rPr>
          <w:rFonts w:ascii="Arial" w:hAnsi="Arial" w:cs="Arial"/>
          <w:color w:val="000000" w:themeColor="text1"/>
          <w:sz w:val="20"/>
          <w:szCs w:val="20"/>
          <w:shd w:val="clear" w:color="auto" w:fill="FFFFFF"/>
        </w:rPr>
        <w:t>, R. (2019). Estimation of farm level technical efficiency of black gram production in Tirunelveli district of Tamil Nadu. </w:t>
      </w:r>
      <w:r w:rsidRPr="007736C2">
        <w:rPr>
          <w:rFonts w:ascii="Arial" w:hAnsi="Arial" w:cs="Arial"/>
          <w:i/>
          <w:iCs/>
          <w:color w:val="000000" w:themeColor="text1"/>
          <w:sz w:val="20"/>
          <w:szCs w:val="20"/>
          <w:shd w:val="clear" w:color="auto" w:fill="FFFFFF"/>
        </w:rPr>
        <w:t>Journal of Pharmacognosy and Phytochemistry</w:t>
      </w:r>
      <w:r w:rsidRPr="007736C2">
        <w:rPr>
          <w:rFonts w:ascii="Arial" w:hAnsi="Arial" w:cs="Arial"/>
          <w:color w:val="000000" w:themeColor="text1"/>
          <w:sz w:val="20"/>
          <w:szCs w:val="20"/>
          <w:shd w:val="clear" w:color="auto" w:fill="FFFFFF"/>
        </w:rPr>
        <w:t>, </w:t>
      </w:r>
      <w:r w:rsidRPr="007736C2">
        <w:rPr>
          <w:rFonts w:ascii="Arial" w:hAnsi="Arial" w:cs="Arial"/>
          <w:b/>
          <w:bCs/>
          <w:color w:val="000000" w:themeColor="text1"/>
          <w:sz w:val="20"/>
          <w:szCs w:val="20"/>
          <w:shd w:val="clear" w:color="auto" w:fill="FFFFFF"/>
        </w:rPr>
        <w:t>8</w:t>
      </w:r>
      <w:r w:rsidRPr="007736C2">
        <w:rPr>
          <w:rFonts w:ascii="Arial" w:hAnsi="Arial" w:cs="Arial"/>
          <w:color w:val="000000" w:themeColor="text1"/>
          <w:sz w:val="20"/>
          <w:szCs w:val="20"/>
          <w:shd w:val="clear" w:color="auto" w:fill="FFFFFF"/>
        </w:rPr>
        <w:t>(3): 4522-4526.</w:t>
      </w:r>
    </w:p>
    <w:p w14:paraId="2725D98E" w14:textId="77777777" w:rsidR="00187095" w:rsidRPr="007736C2" w:rsidRDefault="00187095" w:rsidP="007736C2">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736C2">
        <w:rPr>
          <w:rFonts w:ascii="Times New Roman" w:hAnsi="Times New Roman" w:cs="Times New Roman"/>
          <w:color w:val="000000" w:themeColor="text1"/>
          <w:sz w:val="24"/>
          <w:szCs w:val="24"/>
        </w:rPr>
        <w:lastRenderedPageBreak/>
        <w:t xml:space="preserve">Sapkota, M. and Joshi, N. P. (2021). Factors associated with the technical efficiency of maize seed production in the mid-hills of Nepal: Empirical analysis. </w:t>
      </w:r>
      <w:r w:rsidRPr="007736C2">
        <w:rPr>
          <w:rFonts w:ascii="Times New Roman" w:hAnsi="Times New Roman" w:cs="Times New Roman"/>
          <w:i/>
          <w:iCs/>
          <w:color w:val="000000" w:themeColor="text1"/>
          <w:sz w:val="24"/>
          <w:szCs w:val="24"/>
        </w:rPr>
        <w:t>International Journal of Agronomy</w:t>
      </w:r>
      <w:r w:rsidRPr="007736C2">
        <w:rPr>
          <w:rFonts w:ascii="Times New Roman" w:hAnsi="Times New Roman" w:cs="Times New Roman"/>
          <w:color w:val="000000" w:themeColor="text1"/>
          <w:sz w:val="24"/>
          <w:szCs w:val="24"/>
        </w:rPr>
        <w:t>, 1-8.</w:t>
      </w:r>
    </w:p>
    <w:p w14:paraId="0C5800DD" w14:textId="77777777" w:rsidR="00187095" w:rsidRPr="007972F0" w:rsidRDefault="00187095" w:rsidP="00F43AE6">
      <w:pPr>
        <w:autoSpaceDE w:val="0"/>
        <w:autoSpaceDN w:val="0"/>
        <w:adjustRightInd w:val="0"/>
        <w:spacing w:after="0" w:line="360" w:lineRule="auto"/>
        <w:ind w:left="654" w:hanging="720"/>
        <w:jc w:val="both"/>
        <w:rPr>
          <w:rFonts w:ascii="Arial" w:hAnsi="Arial" w:cs="Arial"/>
          <w:color w:val="000000" w:themeColor="text1"/>
          <w:sz w:val="20"/>
          <w:szCs w:val="20"/>
          <w:shd w:val="clear" w:color="auto" w:fill="FFFFFF"/>
        </w:rPr>
      </w:pPr>
    </w:p>
    <w:p w14:paraId="4F9E82A9" w14:textId="77777777" w:rsidR="007972F0" w:rsidRPr="007736C2" w:rsidRDefault="007972F0" w:rsidP="007736C2">
      <w:pPr>
        <w:pStyle w:val="ListParagraph"/>
        <w:numPr>
          <w:ilvl w:val="0"/>
          <w:numId w:val="3"/>
        </w:numPr>
        <w:autoSpaceDE w:val="0"/>
        <w:autoSpaceDN w:val="0"/>
        <w:adjustRightInd w:val="0"/>
        <w:spacing w:after="0" w:line="360" w:lineRule="auto"/>
        <w:jc w:val="both"/>
        <w:rPr>
          <w:rFonts w:ascii="Arial" w:hAnsi="Arial" w:cs="Arial"/>
          <w:sz w:val="20"/>
          <w:szCs w:val="20"/>
        </w:rPr>
      </w:pPr>
      <w:proofErr w:type="spellStart"/>
      <w:r w:rsidRPr="007736C2">
        <w:rPr>
          <w:rFonts w:ascii="Arial" w:hAnsi="Arial" w:cs="Arial"/>
          <w:sz w:val="20"/>
          <w:szCs w:val="20"/>
        </w:rPr>
        <w:t>Vittor</w:t>
      </w:r>
      <w:proofErr w:type="spellEnd"/>
      <w:r w:rsidRPr="007736C2">
        <w:rPr>
          <w:rFonts w:ascii="Arial" w:hAnsi="Arial" w:cs="Arial"/>
          <w:sz w:val="20"/>
          <w:szCs w:val="20"/>
        </w:rPr>
        <w:t xml:space="preserve">, D. A., </w:t>
      </w:r>
      <w:proofErr w:type="spellStart"/>
      <w:r w:rsidRPr="007736C2">
        <w:rPr>
          <w:rFonts w:ascii="Arial" w:hAnsi="Arial" w:cs="Arial"/>
          <w:sz w:val="20"/>
          <w:szCs w:val="20"/>
        </w:rPr>
        <w:t>Bakang</w:t>
      </w:r>
      <w:proofErr w:type="spellEnd"/>
      <w:r w:rsidRPr="007736C2">
        <w:rPr>
          <w:rFonts w:ascii="Arial" w:hAnsi="Arial" w:cs="Arial"/>
          <w:sz w:val="20"/>
          <w:szCs w:val="20"/>
        </w:rPr>
        <w:t xml:space="preserve">, J. and </w:t>
      </w:r>
      <w:proofErr w:type="spellStart"/>
      <w:r w:rsidRPr="007736C2">
        <w:rPr>
          <w:rFonts w:ascii="Arial" w:hAnsi="Arial" w:cs="Arial"/>
          <w:sz w:val="20"/>
          <w:szCs w:val="20"/>
        </w:rPr>
        <w:t>Cofie</w:t>
      </w:r>
      <w:proofErr w:type="spellEnd"/>
      <w:r w:rsidRPr="007736C2">
        <w:rPr>
          <w:rFonts w:ascii="Arial" w:hAnsi="Arial" w:cs="Arial"/>
          <w:sz w:val="20"/>
          <w:szCs w:val="20"/>
        </w:rPr>
        <w:t>, S. (2013). Estimation of Farm Level Technical Efficiency of Small-Scale Cowpea Production in Ghana. Am-</w:t>
      </w:r>
      <w:proofErr w:type="spellStart"/>
      <w:r w:rsidRPr="007736C2">
        <w:rPr>
          <w:rFonts w:ascii="Arial" w:hAnsi="Arial" w:cs="Arial"/>
          <w:sz w:val="20"/>
          <w:szCs w:val="20"/>
        </w:rPr>
        <w:t>Euras</w:t>
      </w:r>
      <w:proofErr w:type="spellEnd"/>
      <w:r w:rsidRPr="007736C2">
        <w:rPr>
          <w:rFonts w:ascii="Arial" w:hAnsi="Arial" w:cs="Arial"/>
          <w:sz w:val="20"/>
          <w:szCs w:val="20"/>
        </w:rPr>
        <w:t xml:space="preserve">. Journal of Agriculture and Environmental Science, </w:t>
      </w:r>
      <w:r w:rsidRPr="007736C2">
        <w:rPr>
          <w:rFonts w:ascii="Arial" w:hAnsi="Arial" w:cs="Arial"/>
          <w:b/>
          <w:bCs/>
          <w:sz w:val="20"/>
          <w:szCs w:val="20"/>
        </w:rPr>
        <w:t>13</w:t>
      </w:r>
      <w:r w:rsidRPr="007736C2">
        <w:rPr>
          <w:rFonts w:ascii="Arial" w:hAnsi="Arial" w:cs="Arial"/>
          <w:sz w:val="20"/>
          <w:szCs w:val="20"/>
        </w:rPr>
        <w:t xml:space="preserve">(8): 1080-1087. </w:t>
      </w:r>
    </w:p>
    <w:p w14:paraId="102E0AE7" w14:textId="77777777" w:rsidR="001B4397" w:rsidRPr="00C90FB1" w:rsidRDefault="001B4397" w:rsidP="00C90FB1">
      <w:pPr>
        <w:spacing w:after="0" w:line="360" w:lineRule="auto"/>
        <w:ind w:left="720" w:hanging="720"/>
        <w:jc w:val="both"/>
        <w:rPr>
          <w:rFonts w:ascii="Arial" w:hAnsi="Arial" w:cs="Arial"/>
          <w:sz w:val="20"/>
          <w:szCs w:val="20"/>
        </w:rPr>
      </w:pPr>
    </w:p>
    <w:sectPr w:rsidR="001B4397" w:rsidRPr="00C90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83" w:usb1="08070000" w:usb2="00000010"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7401"/>
    <w:multiLevelType w:val="hybridMultilevel"/>
    <w:tmpl w:val="DF18536C"/>
    <w:lvl w:ilvl="0" w:tplc="36C46B0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B4F262E"/>
    <w:multiLevelType w:val="hybridMultilevel"/>
    <w:tmpl w:val="D1D2E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A32AF0"/>
    <w:multiLevelType w:val="hybridMultilevel"/>
    <w:tmpl w:val="0BFE6B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A2"/>
    <w:rsid w:val="000007A1"/>
    <w:rsid w:val="00002828"/>
    <w:rsid w:val="00010952"/>
    <w:rsid w:val="0001618A"/>
    <w:rsid w:val="00023A21"/>
    <w:rsid w:val="00035526"/>
    <w:rsid w:val="000415CE"/>
    <w:rsid w:val="0005350A"/>
    <w:rsid w:val="000659DA"/>
    <w:rsid w:val="00080AA6"/>
    <w:rsid w:val="00085433"/>
    <w:rsid w:val="000A6EED"/>
    <w:rsid w:val="000D6ED5"/>
    <w:rsid w:val="000D72E4"/>
    <w:rsid w:val="000E52C7"/>
    <w:rsid w:val="000F7867"/>
    <w:rsid w:val="001173AE"/>
    <w:rsid w:val="00125C0A"/>
    <w:rsid w:val="00126639"/>
    <w:rsid w:val="00127212"/>
    <w:rsid w:val="001442F7"/>
    <w:rsid w:val="00147076"/>
    <w:rsid w:val="00147590"/>
    <w:rsid w:val="0015215E"/>
    <w:rsid w:val="00153231"/>
    <w:rsid w:val="001535BB"/>
    <w:rsid w:val="00164614"/>
    <w:rsid w:val="00170CE7"/>
    <w:rsid w:val="0017294E"/>
    <w:rsid w:val="00180F3A"/>
    <w:rsid w:val="00184E83"/>
    <w:rsid w:val="00187095"/>
    <w:rsid w:val="001A2395"/>
    <w:rsid w:val="001B4397"/>
    <w:rsid w:val="001B7A99"/>
    <w:rsid w:val="001C014B"/>
    <w:rsid w:val="001C4536"/>
    <w:rsid w:val="001C6E48"/>
    <w:rsid w:val="001E1809"/>
    <w:rsid w:val="001F26D9"/>
    <w:rsid w:val="00204622"/>
    <w:rsid w:val="00207FB0"/>
    <w:rsid w:val="00217023"/>
    <w:rsid w:val="0023123F"/>
    <w:rsid w:val="00233FDF"/>
    <w:rsid w:val="002468E5"/>
    <w:rsid w:val="00251160"/>
    <w:rsid w:val="002604E7"/>
    <w:rsid w:val="00262233"/>
    <w:rsid w:val="0027360E"/>
    <w:rsid w:val="00273E6A"/>
    <w:rsid w:val="00280740"/>
    <w:rsid w:val="00284014"/>
    <w:rsid w:val="00294E6D"/>
    <w:rsid w:val="002A5A83"/>
    <w:rsid w:val="002A5D25"/>
    <w:rsid w:val="002B0504"/>
    <w:rsid w:val="002B0E8E"/>
    <w:rsid w:val="002B1ADC"/>
    <w:rsid w:val="002B4E6A"/>
    <w:rsid w:val="002C6D18"/>
    <w:rsid w:val="002E0401"/>
    <w:rsid w:val="002E7D2D"/>
    <w:rsid w:val="002F0219"/>
    <w:rsid w:val="002F1910"/>
    <w:rsid w:val="002F7AED"/>
    <w:rsid w:val="003020CB"/>
    <w:rsid w:val="003145E8"/>
    <w:rsid w:val="00316A39"/>
    <w:rsid w:val="00343BDA"/>
    <w:rsid w:val="00351C1E"/>
    <w:rsid w:val="00354D5C"/>
    <w:rsid w:val="0036556D"/>
    <w:rsid w:val="00367087"/>
    <w:rsid w:val="00371481"/>
    <w:rsid w:val="003776DB"/>
    <w:rsid w:val="0038224F"/>
    <w:rsid w:val="00394BC2"/>
    <w:rsid w:val="003A2173"/>
    <w:rsid w:val="003A60A4"/>
    <w:rsid w:val="003B222A"/>
    <w:rsid w:val="003B3D37"/>
    <w:rsid w:val="003B76BD"/>
    <w:rsid w:val="003B77D6"/>
    <w:rsid w:val="003C3FF5"/>
    <w:rsid w:val="003C4E7F"/>
    <w:rsid w:val="003D2E80"/>
    <w:rsid w:val="003E7C33"/>
    <w:rsid w:val="00406030"/>
    <w:rsid w:val="00420555"/>
    <w:rsid w:val="00426A80"/>
    <w:rsid w:val="00437F82"/>
    <w:rsid w:val="00456D43"/>
    <w:rsid w:val="00464111"/>
    <w:rsid w:val="00466626"/>
    <w:rsid w:val="00471058"/>
    <w:rsid w:val="00472D80"/>
    <w:rsid w:val="004A61A9"/>
    <w:rsid w:val="004B0120"/>
    <w:rsid w:val="004C147E"/>
    <w:rsid w:val="004D2B15"/>
    <w:rsid w:val="004E0115"/>
    <w:rsid w:val="004F1391"/>
    <w:rsid w:val="004F608D"/>
    <w:rsid w:val="004F7CBC"/>
    <w:rsid w:val="004F7DFB"/>
    <w:rsid w:val="00500318"/>
    <w:rsid w:val="00507769"/>
    <w:rsid w:val="005231BB"/>
    <w:rsid w:val="00531A6F"/>
    <w:rsid w:val="0054440F"/>
    <w:rsid w:val="0058636D"/>
    <w:rsid w:val="00590356"/>
    <w:rsid w:val="005904FF"/>
    <w:rsid w:val="005C2D21"/>
    <w:rsid w:val="005E562C"/>
    <w:rsid w:val="005E67C6"/>
    <w:rsid w:val="005F5C5F"/>
    <w:rsid w:val="00604545"/>
    <w:rsid w:val="006070A9"/>
    <w:rsid w:val="00624B04"/>
    <w:rsid w:val="00626BFA"/>
    <w:rsid w:val="0063679F"/>
    <w:rsid w:val="00641547"/>
    <w:rsid w:val="00660DDA"/>
    <w:rsid w:val="00671E8E"/>
    <w:rsid w:val="00675C39"/>
    <w:rsid w:val="00675F3B"/>
    <w:rsid w:val="006870F2"/>
    <w:rsid w:val="006933F5"/>
    <w:rsid w:val="00693E43"/>
    <w:rsid w:val="006970CB"/>
    <w:rsid w:val="0069770C"/>
    <w:rsid w:val="006B61AD"/>
    <w:rsid w:val="006C7F60"/>
    <w:rsid w:val="006D0948"/>
    <w:rsid w:val="006E115C"/>
    <w:rsid w:val="006E7C4D"/>
    <w:rsid w:val="006F07F7"/>
    <w:rsid w:val="006F19E5"/>
    <w:rsid w:val="00710F0A"/>
    <w:rsid w:val="00715C4B"/>
    <w:rsid w:val="0071676F"/>
    <w:rsid w:val="00720FF1"/>
    <w:rsid w:val="00727CDA"/>
    <w:rsid w:val="0073188D"/>
    <w:rsid w:val="0073414D"/>
    <w:rsid w:val="00737A3B"/>
    <w:rsid w:val="00751088"/>
    <w:rsid w:val="00764764"/>
    <w:rsid w:val="00767E77"/>
    <w:rsid w:val="007736C2"/>
    <w:rsid w:val="00780EE8"/>
    <w:rsid w:val="0078394D"/>
    <w:rsid w:val="00783F4A"/>
    <w:rsid w:val="00785B81"/>
    <w:rsid w:val="00790AE8"/>
    <w:rsid w:val="007937A1"/>
    <w:rsid w:val="007972F0"/>
    <w:rsid w:val="007A5755"/>
    <w:rsid w:val="007A58E7"/>
    <w:rsid w:val="007B749F"/>
    <w:rsid w:val="007C13C8"/>
    <w:rsid w:val="007C5049"/>
    <w:rsid w:val="007C5651"/>
    <w:rsid w:val="007D0303"/>
    <w:rsid w:val="007D7BF3"/>
    <w:rsid w:val="007E4278"/>
    <w:rsid w:val="007E4614"/>
    <w:rsid w:val="007E6F5E"/>
    <w:rsid w:val="007F0832"/>
    <w:rsid w:val="00810DE5"/>
    <w:rsid w:val="00827A72"/>
    <w:rsid w:val="008325E7"/>
    <w:rsid w:val="0084344E"/>
    <w:rsid w:val="00885A01"/>
    <w:rsid w:val="008A174A"/>
    <w:rsid w:val="008A1B60"/>
    <w:rsid w:val="008A3B6B"/>
    <w:rsid w:val="008A7126"/>
    <w:rsid w:val="008A7B83"/>
    <w:rsid w:val="008B2526"/>
    <w:rsid w:val="008B36F0"/>
    <w:rsid w:val="008D44E5"/>
    <w:rsid w:val="008E4DAB"/>
    <w:rsid w:val="008E7369"/>
    <w:rsid w:val="008F30B0"/>
    <w:rsid w:val="009063A8"/>
    <w:rsid w:val="0092229C"/>
    <w:rsid w:val="009344D9"/>
    <w:rsid w:val="00936761"/>
    <w:rsid w:val="0094673F"/>
    <w:rsid w:val="009614E0"/>
    <w:rsid w:val="00972817"/>
    <w:rsid w:val="00982D9C"/>
    <w:rsid w:val="00983994"/>
    <w:rsid w:val="009954E7"/>
    <w:rsid w:val="009A4304"/>
    <w:rsid w:val="009B086C"/>
    <w:rsid w:val="009B7E54"/>
    <w:rsid w:val="009C1E32"/>
    <w:rsid w:val="009D4ACC"/>
    <w:rsid w:val="009E538D"/>
    <w:rsid w:val="009E575F"/>
    <w:rsid w:val="009F08E5"/>
    <w:rsid w:val="00A32DC2"/>
    <w:rsid w:val="00A357D2"/>
    <w:rsid w:val="00A4463D"/>
    <w:rsid w:val="00A56E8D"/>
    <w:rsid w:val="00A618E7"/>
    <w:rsid w:val="00A77537"/>
    <w:rsid w:val="00A8595F"/>
    <w:rsid w:val="00A8661D"/>
    <w:rsid w:val="00AA788A"/>
    <w:rsid w:val="00AB48D1"/>
    <w:rsid w:val="00AD043C"/>
    <w:rsid w:val="00AD78C1"/>
    <w:rsid w:val="00AE4039"/>
    <w:rsid w:val="00AE5336"/>
    <w:rsid w:val="00B009F9"/>
    <w:rsid w:val="00B01875"/>
    <w:rsid w:val="00B1182F"/>
    <w:rsid w:val="00B12B60"/>
    <w:rsid w:val="00B25192"/>
    <w:rsid w:val="00B256C7"/>
    <w:rsid w:val="00B3558B"/>
    <w:rsid w:val="00B40EC9"/>
    <w:rsid w:val="00B4699D"/>
    <w:rsid w:val="00B473FE"/>
    <w:rsid w:val="00B70780"/>
    <w:rsid w:val="00B747ED"/>
    <w:rsid w:val="00B81FC8"/>
    <w:rsid w:val="00B83156"/>
    <w:rsid w:val="00B84475"/>
    <w:rsid w:val="00B963EE"/>
    <w:rsid w:val="00BA32D0"/>
    <w:rsid w:val="00BA7113"/>
    <w:rsid w:val="00BC121C"/>
    <w:rsid w:val="00BD2675"/>
    <w:rsid w:val="00BE2087"/>
    <w:rsid w:val="00BE2CF2"/>
    <w:rsid w:val="00BF2AA8"/>
    <w:rsid w:val="00BF2EFE"/>
    <w:rsid w:val="00BF43CA"/>
    <w:rsid w:val="00BF5378"/>
    <w:rsid w:val="00C070E5"/>
    <w:rsid w:val="00C15D27"/>
    <w:rsid w:val="00C214A6"/>
    <w:rsid w:val="00C2370E"/>
    <w:rsid w:val="00C25422"/>
    <w:rsid w:val="00C265E8"/>
    <w:rsid w:val="00C415C2"/>
    <w:rsid w:val="00C420D8"/>
    <w:rsid w:val="00C421F7"/>
    <w:rsid w:val="00C45F22"/>
    <w:rsid w:val="00C5350E"/>
    <w:rsid w:val="00C545CA"/>
    <w:rsid w:val="00C63BAD"/>
    <w:rsid w:val="00C727DB"/>
    <w:rsid w:val="00C90FB1"/>
    <w:rsid w:val="00C94F51"/>
    <w:rsid w:val="00C951A8"/>
    <w:rsid w:val="00C97557"/>
    <w:rsid w:val="00CB61A6"/>
    <w:rsid w:val="00CC558B"/>
    <w:rsid w:val="00CC613E"/>
    <w:rsid w:val="00CD1CF4"/>
    <w:rsid w:val="00CD5511"/>
    <w:rsid w:val="00CF0507"/>
    <w:rsid w:val="00CF2BA2"/>
    <w:rsid w:val="00D00D46"/>
    <w:rsid w:val="00D21B13"/>
    <w:rsid w:val="00D27CB2"/>
    <w:rsid w:val="00D36EE9"/>
    <w:rsid w:val="00D371AB"/>
    <w:rsid w:val="00D40069"/>
    <w:rsid w:val="00D61E2D"/>
    <w:rsid w:val="00D6362F"/>
    <w:rsid w:val="00D741A2"/>
    <w:rsid w:val="00DB464F"/>
    <w:rsid w:val="00DB62E6"/>
    <w:rsid w:val="00DD75A2"/>
    <w:rsid w:val="00DE0213"/>
    <w:rsid w:val="00DE3891"/>
    <w:rsid w:val="00E17968"/>
    <w:rsid w:val="00E20526"/>
    <w:rsid w:val="00E3124B"/>
    <w:rsid w:val="00E325DF"/>
    <w:rsid w:val="00E33887"/>
    <w:rsid w:val="00E375D0"/>
    <w:rsid w:val="00E44E03"/>
    <w:rsid w:val="00E54597"/>
    <w:rsid w:val="00E60565"/>
    <w:rsid w:val="00E64672"/>
    <w:rsid w:val="00E70DA0"/>
    <w:rsid w:val="00E75FA3"/>
    <w:rsid w:val="00EA592F"/>
    <w:rsid w:val="00EB4F3E"/>
    <w:rsid w:val="00EB7F75"/>
    <w:rsid w:val="00EC4C5D"/>
    <w:rsid w:val="00EE442E"/>
    <w:rsid w:val="00EE55DD"/>
    <w:rsid w:val="00EF01E8"/>
    <w:rsid w:val="00F004CC"/>
    <w:rsid w:val="00F13073"/>
    <w:rsid w:val="00F155B7"/>
    <w:rsid w:val="00F30181"/>
    <w:rsid w:val="00F302D4"/>
    <w:rsid w:val="00F4027A"/>
    <w:rsid w:val="00F43AE6"/>
    <w:rsid w:val="00F5171F"/>
    <w:rsid w:val="00F51F67"/>
    <w:rsid w:val="00F5632A"/>
    <w:rsid w:val="00F612D5"/>
    <w:rsid w:val="00F627DE"/>
    <w:rsid w:val="00F6305D"/>
    <w:rsid w:val="00F660C5"/>
    <w:rsid w:val="00F72BB5"/>
    <w:rsid w:val="00F83232"/>
    <w:rsid w:val="00F8792F"/>
    <w:rsid w:val="00F90E76"/>
    <w:rsid w:val="00F93F82"/>
    <w:rsid w:val="00FB25E5"/>
    <w:rsid w:val="00FC5D6A"/>
    <w:rsid w:val="00FC6B0A"/>
    <w:rsid w:val="00FD05D0"/>
    <w:rsid w:val="00FD522B"/>
    <w:rsid w:val="00FE54AF"/>
    <w:rsid w:val="00FF60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43C7"/>
  <w15:chartTrackingRefBased/>
  <w15:docId w15:val="{8148EA6E-DFD6-4D98-BC33-657D0E9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B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B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B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B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B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B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B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BA2"/>
    <w:rPr>
      <w:rFonts w:eastAsiaTheme="majorEastAsia" w:cstheme="majorBidi"/>
      <w:color w:val="272727" w:themeColor="text1" w:themeTint="D8"/>
    </w:rPr>
  </w:style>
  <w:style w:type="paragraph" w:styleId="Title">
    <w:name w:val="Title"/>
    <w:basedOn w:val="Normal"/>
    <w:next w:val="Normal"/>
    <w:link w:val="TitleChar"/>
    <w:uiPriority w:val="10"/>
    <w:qFormat/>
    <w:rsid w:val="00CF2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BA2"/>
    <w:pPr>
      <w:spacing w:before="160"/>
      <w:jc w:val="center"/>
    </w:pPr>
    <w:rPr>
      <w:i/>
      <w:iCs/>
      <w:color w:val="404040" w:themeColor="text1" w:themeTint="BF"/>
    </w:rPr>
  </w:style>
  <w:style w:type="character" w:customStyle="1" w:styleId="QuoteChar">
    <w:name w:val="Quote Char"/>
    <w:basedOn w:val="DefaultParagraphFont"/>
    <w:link w:val="Quote"/>
    <w:uiPriority w:val="29"/>
    <w:rsid w:val="00CF2BA2"/>
    <w:rPr>
      <w:i/>
      <w:iCs/>
      <w:color w:val="404040" w:themeColor="text1" w:themeTint="BF"/>
    </w:rPr>
  </w:style>
  <w:style w:type="paragraph" w:styleId="ListParagraph">
    <w:name w:val="List Paragraph"/>
    <w:basedOn w:val="Normal"/>
    <w:uiPriority w:val="34"/>
    <w:qFormat/>
    <w:rsid w:val="00CF2BA2"/>
    <w:pPr>
      <w:ind w:left="720"/>
      <w:contextualSpacing/>
    </w:pPr>
  </w:style>
  <w:style w:type="character" w:styleId="IntenseEmphasis">
    <w:name w:val="Intense Emphasis"/>
    <w:basedOn w:val="DefaultParagraphFont"/>
    <w:uiPriority w:val="21"/>
    <w:qFormat/>
    <w:rsid w:val="00CF2BA2"/>
    <w:rPr>
      <w:i/>
      <w:iCs/>
      <w:color w:val="2F5496" w:themeColor="accent1" w:themeShade="BF"/>
    </w:rPr>
  </w:style>
  <w:style w:type="paragraph" w:styleId="IntenseQuote">
    <w:name w:val="Intense Quote"/>
    <w:basedOn w:val="Normal"/>
    <w:next w:val="Normal"/>
    <w:link w:val="IntenseQuoteChar"/>
    <w:uiPriority w:val="30"/>
    <w:qFormat/>
    <w:rsid w:val="00CF2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BA2"/>
    <w:rPr>
      <w:i/>
      <w:iCs/>
      <w:color w:val="2F5496" w:themeColor="accent1" w:themeShade="BF"/>
    </w:rPr>
  </w:style>
  <w:style w:type="character" w:styleId="IntenseReference">
    <w:name w:val="Intense Reference"/>
    <w:basedOn w:val="DefaultParagraphFont"/>
    <w:uiPriority w:val="32"/>
    <w:qFormat/>
    <w:rsid w:val="00CF2BA2"/>
    <w:rPr>
      <w:b/>
      <w:bCs/>
      <w:smallCaps/>
      <w:color w:val="2F5496" w:themeColor="accent1" w:themeShade="BF"/>
      <w:spacing w:val="5"/>
    </w:rPr>
  </w:style>
  <w:style w:type="table" w:styleId="TableGrid">
    <w:name w:val="Table Grid"/>
    <w:basedOn w:val="TableNormal"/>
    <w:uiPriority w:val="59"/>
    <w:rsid w:val="00F30181"/>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1A2"/>
    <w:pPr>
      <w:autoSpaceDE w:val="0"/>
      <w:autoSpaceDN w:val="0"/>
      <w:adjustRightInd w:val="0"/>
      <w:spacing w:after="0" w:line="240" w:lineRule="auto"/>
    </w:pPr>
    <w:rPr>
      <w:rFonts w:ascii="Arial" w:hAnsi="Arial" w:cs="Arial"/>
      <w:color w:val="000000"/>
      <w:kern w:val="0"/>
      <w:sz w:val="24"/>
      <w:szCs w:val="24"/>
      <w:lang w:bidi="hi-IN"/>
      <w14:ligatures w14:val="none"/>
    </w:rPr>
  </w:style>
  <w:style w:type="character" w:styleId="Hyperlink">
    <w:name w:val="Hyperlink"/>
    <w:basedOn w:val="DefaultParagraphFont"/>
    <w:uiPriority w:val="99"/>
    <w:unhideWhenUsed/>
    <w:rsid w:val="00810DE5"/>
    <w:rPr>
      <w:color w:val="0563C1" w:themeColor="hyperlink"/>
      <w:u w:val="single"/>
    </w:rPr>
  </w:style>
  <w:style w:type="character" w:styleId="UnresolvedMention">
    <w:name w:val="Unresolved Mention"/>
    <w:basedOn w:val="DefaultParagraphFont"/>
    <w:uiPriority w:val="99"/>
    <w:semiHidden/>
    <w:unhideWhenUsed/>
    <w:rsid w:val="0081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7977">
      <w:bodyDiv w:val="1"/>
      <w:marLeft w:val="0"/>
      <w:marRight w:val="0"/>
      <w:marTop w:val="0"/>
      <w:marBottom w:val="0"/>
      <w:divBdr>
        <w:top w:val="none" w:sz="0" w:space="0" w:color="auto"/>
        <w:left w:val="none" w:sz="0" w:space="0" w:color="auto"/>
        <w:bottom w:val="none" w:sz="0" w:space="0" w:color="auto"/>
        <w:right w:val="none" w:sz="0" w:space="0" w:color="auto"/>
      </w:divBdr>
    </w:div>
    <w:div w:id="232931060">
      <w:bodyDiv w:val="1"/>
      <w:marLeft w:val="0"/>
      <w:marRight w:val="0"/>
      <w:marTop w:val="0"/>
      <w:marBottom w:val="0"/>
      <w:divBdr>
        <w:top w:val="none" w:sz="0" w:space="0" w:color="auto"/>
        <w:left w:val="none" w:sz="0" w:space="0" w:color="auto"/>
        <w:bottom w:val="none" w:sz="0" w:space="0" w:color="auto"/>
        <w:right w:val="none" w:sz="0" w:space="0" w:color="auto"/>
      </w:divBdr>
    </w:div>
    <w:div w:id="452133205">
      <w:bodyDiv w:val="1"/>
      <w:marLeft w:val="0"/>
      <w:marRight w:val="0"/>
      <w:marTop w:val="0"/>
      <w:marBottom w:val="0"/>
      <w:divBdr>
        <w:top w:val="none" w:sz="0" w:space="0" w:color="auto"/>
        <w:left w:val="none" w:sz="0" w:space="0" w:color="auto"/>
        <w:bottom w:val="none" w:sz="0" w:space="0" w:color="auto"/>
        <w:right w:val="none" w:sz="0" w:space="0" w:color="auto"/>
      </w:divBdr>
    </w:div>
    <w:div w:id="617764062">
      <w:bodyDiv w:val="1"/>
      <w:marLeft w:val="0"/>
      <w:marRight w:val="0"/>
      <w:marTop w:val="0"/>
      <w:marBottom w:val="0"/>
      <w:divBdr>
        <w:top w:val="none" w:sz="0" w:space="0" w:color="auto"/>
        <w:left w:val="none" w:sz="0" w:space="0" w:color="auto"/>
        <w:bottom w:val="none" w:sz="0" w:space="0" w:color="auto"/>
        <w:right w:val="none" w:sz="0" w:space="0" w:color="auto"/>
      </w:divBdr>
    </w:div>
    <w:div w:id="684096153">
      <w:bodyDiv w:val="1"/>
      <w:marLeft w:val="0"/>
      <w:marRight w:val="0"/>
      <w:marTop w:val="0"/>
      <w:marBottom w:val="0"/>
      <w:divBdr>
        <w:top w:val="none" w:sz="0" w:space="0" w:color="auto"/>
        <w:left w:val="none" w:sz="0" w:space="0" w:color="auto"/>
        <w:bottom w:val="none" w:sz="0" w:space="0" w:color="auto"/>
        <w:right w:val="none" w:sz="0" w:space="0" w:color="auto"/>
      </w:divBdr>
    </w:div>
    <w:div w:id="752044922">
      <w:bodyDiv w:val="1"/>
      <w:marLeft w:val="0"/>
      <w:marRight w:val="0"/>
      <w:marTop w:val="0"/>
      <w:marBottom w:val="0"/>
      <w:divBdr>
        <w:top w:val="none" w:sz="0" w:space="0" w:color="auto"/>
        <w:left w:val="none" w:sz="0" w:space="0" w:color="auto"/>
        <w:bottom w:val="none" w:sz="0" w:space="0" w:color="auto"/>
        <w:right w:val="none" w:sz="0" w:space="0" w:color="auto"/>
      </w:divBdr>
    </w:div>
    <w:div w:id="834031897">
      <w:bodyDiv w:val="1"/>
      <w:marLeft w:val="0"/>
      <w:marRight w:val="0"/>
      <w:marTop w:val="0"/>
      <w:marBottom w:val="0"/>
      <w:divBdr>
        <w:top w:val="none" w:sz="0" w:space="0" w:color="auto"/>
        <w:left w:val="none" w:sz="0" w:space="0" w:color="auto"/>
        <w:bottom w:val="none" w:sz="0" w:space="0" w:color="auto"/>
        <w:right w:val="none" w:sz="0" w:space="0" w:color="auto"/>
      </w:divBdr>
    </w:div>
    <w:div w:id="865943728">
      <w:bodyDiv w:val="1"/>
      <w:marLeft w:val="0"/>
      <w:marRight w:val="0"/>
      <w:marTop w:val="0"/>
      <w:marBottom w:val="0"/>
      <w:divBdr>
        <w:top w:val="none" w:sz="0" w:space="0" w:color="auto"/>
        <w:left w:val="none" w:sz="0" w:space="0" w:color="auto"/>
        <w:bottom w:val="none" w:sz="0" w:space="0" w:color="auto"/>
        <w:right w:val="none" w:sz="0" w:space="0" w:color="auto"/>
      </w:divBdr>
    </w:div>
    <w:div w:id="870655138">
      <w:bodyDiv w:val="1"/>
      <w:marLeft w:val="0"/>
      <w:marRight w:val="0"/>
      <w:marTop w:val="0"/>
      <w:marBottom w:val="0"/>
      <w:divBdr>
        <w:top w:val="none" w:sz="0" w:space="0" w:color="auto"/>
        <w:left w:val="none" w:sz="0" w:space="0" w:color="auto"/>
        <w:bottom w:val="none" w:sz="0" w:space="0" w:color="auto"/>
        <w:right w:val="none" w:sz="0" w:space="0" w:color="auto"/>
      </w:divBdr>
    </w:div>
    <w:div w:id="1256748358">
      <w:bodyDiv w:val="1"/>
      <w:marLeft w:val="0"/>
      <w:marRight w:val="0"/>
      <w:marTop w:val="0"/>
      <w:marBottom w:val="0"/>
      <w:divBdr>
        <w:top w:val="none" w:sz="0" w:space="0" w:color="auto"/>
        <w:left w:val="none" w:sz="0" w:space="0" w:color="auto"/>
        <w:bottom w:val="none" w:sz="0" w:space="0" w:color="auto"/>
        <w:right w:val="none" w:sz="0" w:space="0" w:color="auto"/>
      </w:divBdr>
    </w:div>
    <w:div w:id="1278902135">
      <w:bodyDiv w:val="1"/>
      <w:marLeft w:val="0"/>
      <w:marRight w:val="0"/>
      <w:marTop w:val="0"/>
      <w:marBottom w:val="0"/>
      <w:divBdr>
        <w:top w:val="none" w:sz="0" w:space="0" w:color="auto"/>
        <w:left w:val="none" w:sz="0" w:space="0" w:color="auto"/>
        <w:bottom w:val="none" w:sz="0" w:space="0" w:color="auto"/>
        <w:right w:val="none" w:sz="0" w:space="0" w:color="auto"/>
      </w:divBdr>
    </w:div>
    <w:div w:id="1512328898">
      <w:bodyDiv w:val="1"/>
      <w:marLeft w:val="0"/>
      <w:marRight w:val="0"/>
      <w:marTop w:val="0"/>
      <w:marBottom w:val="0"/>
      <w:divBdr>
        <w:top w:val="none" w:sz="0" w:space="0" w:color="auto"/>
        <w:left w:val="none" w:sz="0" w:space="0" w:color="auto"/>
        <w:bottom w:val="none" w:sz="0" w:space="0" w:color="auto"/>
        <w:right w:val="none" w:sz="0" w:space="0" w:color="auto"/>
      </w:divBdr>
    </w:div>
    <w:div w:id="1998075477">
      <w:bodyDiv w:val="1"/>
      <w:marLeft w:val="0"/>
      <w:marRight w:val="0"/>
      <w:marTop w:val="0"/>
      <w:marBottom w:val="0"/>
      <w:divBdr>
        <w:top w:val="none" w:sz="0" w:space="0" w:color="auto"/>
        <w:left w:val="none" w:sz="0" w:space="0" w:color="auto"/>
        <w:bottom w:val="none" w:sz="0" w:space="0" w:color="auto"/>
        <w:right w:val="none" w:sz="0" w:space="0" w:color="auto"/>
      </w:divBdr>
    </w:div>
    <w:div w:id="2035573786">
      <w:bodyDiv w:val="1"/>
      <w:marLeft w:val="0"/>
      <w:marRight w:val="0"/>
      <w:marTop w:val="0"/>
      <w:marBottom w:val="0"/>
      <w:divBdr>
        <w:top w:val="none" w:sz="0" w:space="0" w:color="auto"/>
        <w:left w:val="none" w:sz="0" w:space="0" w:color="auto"/>
        <w:bottom w:val="none" w:sz="0" w:space="0" w:color="auto"/>
        <w:right w:val="none" w:sz="0" w:space="0" w:color="auto"/>
      </w:divBdr>
    </w:div>
    <w:div w:id="20725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8</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antimameghwal18@gmail.com</dc:creator>
  <cp:keywords/>
  <dc:description/>
  <cp:lastModifiedBy>Editor-1183</cp:lastModifiedBy>
  <cp:revision>358</cp:revision>
  <dcterms:created xsi:type="dcterms:W3CDTF">2026-03-26T05:43:00Z</dcterms:created>
  <dcterms:modified xsi:type="dcterms:W3CDTF">2026-04-18T05:02:00Z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0f69785d-1a0a-411c-9d83-d65787970ddf</vt:lpwstr>
  </property>
</Properties>
</file>