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5F180" w14:textId="77777777" w:rsidR="0004388F" w:rsidRPr="005E6998" w:rsidRDefault="0004388F" w:rsidP="00743674">
      <w:pPr>
        <w:spacing w:after="0"/>
        <w:jc w:val="center"/>
        <w:rPr>
          <w:rFonts w:ascii="Times New Roman" w:hAnsi="Times New Roman" w:cs="Times New Roman"/>
          <w:b/>
          <w:sz w:val="27"/>
          <w:szCs w:val="27"/>
          <w:lang w:eastAsia="en-IN"/>
        </w:rPr>
      </w:pPr>
      <w:r w:rsidRPr="005E6998">
        <w:rPr>
          <w:rFonts w:ascii="Times New Roman" w:hAnsi="Times New Roman" w:cs="Times New Roman"/>
          <w:b/>
          <w:sz w:val="27"/>
          <w:szCs w:val="27"/>
          <w:lang w:eastAsia="en-IN"/>
        </w:rPr>
        <w:t xml:space="preserve">Original Research Article </w:t>
      </w:r>
    </w:p>
    <w:p w14:paraId="7DDCE36A" w14:textId="77777777" w:rsidR="0004388F" w:rsidRDefault="0004388F" w:rsidP="00743674">
      <w:pPr>
        <w:spacing w:after="0"/>
        <w:jc w:val="center"/>
        <w:rPr>
          <w:rFonts w:ascii="Times New Roman" w:hAnsi="Times New Roman" w:cs="Times New Roman"/>
          <w:sz w:val="27"/>
          <w:szCs w:val="27"/>
          <w:lang w:eastAsia="en-IN"/>
        </w:rPr>
      </w:pPr>
    </w:p>
    <w:p w14:paraId="2C3515B4" w14:textId="77777777" w:rsidR="00D6271F" w:rsidRPr="004949B2" w:rsidRDefault="00D6271F" w:rsidP="00D6271F">
      <w:pPr>
        <w:spacing w:after="0"/>
        <w:jc w:val="center"/>
        <w:rPr>
          <w:rFonts w:ascii="Times New Roman" w:hAnsi="Times New Roman" w:cs="Times New Roman"/>
          <w:b/>
          <w:sz w:val="27"/>
          <w:szCs w:val="27"/>
          <w:lang w:eastAsia="en-IN"/>
        </w:rPr>
      </w:pPr>
      <w:r w:rsidRPr="004949B2">
        <w:rPr>
          <w:rFonts w:ascii="Times New Roman" w:hAnsi="Times New Roman" w:cs="Times New Roman"/>
          <w:b/>
          <w:sz w:val="27"/>
          <w:szCs w:val="27"/>
          <w:lang w:eastAsia="en-IN"/>
        </w:rPr>
        <w:t>Influence of Zero Energy Cool Chamber Storage on Quality of Vegetables</w:t>
      </w:r>
    </w:p>
    <w:p w14:paraId="5E5F3CFE" w14:textId="77777777" w:rsidR="005D7687" w:rsidRPr="005D7687" w:rsidRDefault="005D7687" w:rsidP="005D7687">
      <w:pPr>
        <w:shd w:val="clear" w:color="auto" w:fill="FFFFFF"/>
        <w:spacing w:before="420" w:after="120" w:line="420" w:lineRule="atLeast"/>
        <w:jc w:val="both"/>
        <w:outlineLvl w:val="1"/>
        <w:rPr>
          <w:rFonts w:ascii="Times New Roman" w:eastAsia="Times New Roman" w:hAnsi="Times New Roman" w:cs="Times New Roman"/>
          <w:b/>
          <w:bCs/>
          <w:color w:val="1B1C1D"/>
          <w:sz w:val="30"/>
          <w:szCs w:val="30"/>
          <w:lang w:eastAsia="en-IN"/>
        </w:rPr>
      </w:pPr>
      <w:r w:rsidRPr="005D7687">
        <w:rPr>
          <w:rFonts w:ascii="Times New Roman" w:eastAsia="Times New Roman" w:hAnsi="Times New Roman" w:cs="Times New Roman"/>
          <w:b/>
          <w:bCs/>
          <w:color w:val="1B1C1D"/>
          <w:sz w:val="30"/>
          <w:szCs w:val="30"/>
          <w:lang w:eastAsia="en-IN"/>
        </w:rPr>
        <w:t>Abstract</w:t>
      </w:r>
    </w:p>
    <w:p w14:paraId="06B3C40E" w14:textId="7351B4C4"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5D7687">
        <w:rPr>
          <w:rFonts w:ascii="Times New Roman" w:eastAsia="Times New Roman" w:hAnsi="Times New Roman" w:cs="Times New Roman"/>
          <w:color w:val="1B1C1D"/>
          <w:sz w:val="24"/>
          <w:szCs w:val="24"/>
          <w:lang w:eastAsia="en-IN"/>
        </w:rPr>
        <w:t>The significant post-harvest deterioration of fresh produce in rural areas</w:t>
      </w:r>
      <w:r w:rsidR="009813B1">
        <w:rPr>
          <w:rFonts w:ascii="Times New Roman" w:eastAsia="Times New Roman" w:hAnsi="Times New Roman" w:cs="Times New Roman"/>
          <w:color w:val="1B1C1D"/>
          <w:sz w:val="24"/>
          <w:szCs w:val="24"/>
          <w:lang w:eastAsia="en-IN"/>
        </w:rPr>
        <w:t>, which</w:t>
      </w:r>
      <w:r w:rsidRPr="005D7687">
        <w:rPr>
          <w:rFonts w:ascii="Times New Roman" w:eastAsia="Times New Roman" w:hAnsi="Times New Roman" w:cs="Times New Roman"/>
          <w:color w:val="1B1C1D"/>
          <w:sz w:val="24"/>
          <w:szCs w:val="24"/>
          <w:lang w:eastAsia="en-IN"/>
        </w:rPr>
        <w:t xml:space="preserve"> lacks cold chain infrastructure, a major obstacle to maximizing farmer profitability and ensuring food security. The quality retention of vegetables is intrinsically linked to rate of moisture loss, which is quantified by physiological weight loss. This rate is dramatically accelerated due to high temperatures during summer season. To address this challenge, a study was conducted utilizing the Zero Energy Cool Chamber (ZECC), </w:t>
      </w:r>
      <w:r w:rsidR="00552154">
        <w:rPr>
          <w:rFonts w:ascii="Times New Roman" w:eastAsia="Times New Roman" w:hAnsi="Times New Roman" w:cs="Times New Roman"/>
          <w:color w:val="1B1C1D"/>
          <w:sz w:val="24"/>
          <w:szCs w:val="24"/>
          <w:lang w:eastAsia="en-IN"/>
        </w:rPr>
        <w:t xml:space="preserve">a </w:t>
      </w:r>
      <w:r w:rsidRPr="005D7687">
        <w:rPr>
          <w:rFonts w:ascii="Times New Roman" w:eastAsia="Times New Roman" w:hAnsi="Times New Roman" w:cs="Times New Roman"/>
          <w:color w:val="1B1C1D"/>
          <w:sz w:val="24"/>
          <w:szCs w:val="24"/>
          <w:lang w:eastAsia="en-IN"/>
        </w:rPr>
        <w:t xml:space="preserve">low-cost structure independent of non-renewable energy sources. The objective was to evaluate the comparative storage duration (in days) and quality retention of five diverse summer vegetable. Okra, Radish, Cauliflower, Spinach and Oyster </w:t>
      </w:r>
      <w:r w:rsidR="00552154">
        <w:rPr>
          <w:rFonts w:ascii="Times New Roman" w:eastAsia="Times New Roman" w:hAnsi="Times New Roman" w:cs="Times New Roman"/>
          <w:color w:val="1B1C1D"/>
          <w:sz w:val="24"/>
          <w:szCs w:val="24"/>
          <w:lang w:eastAsia="en-IN"/>
        </w:rPr>
        <w:t>m</w:t>
      </w:r>
      <w:r w:rsidRPr="005D7687">
        <w:rPr>
          <w:rFonts w:ascii="Times New Roman" w:eastAsia="Times New Roman" w:hAnsi="Times New Roman" w:cs="Times New Roman"/>
          <w:color w:val="1B1C1D"/>
          <w:sz w:val="24"/>
          <w:szCs w:val="24"/>
          <w:lang w:eastAsia="en-IN"/>
        </w:rPr>
        <w:t>ushroom stored in a ZECC and typical rural open basket practice.</w:t>
      </w:r>
      <w:r w:rsidRPr="00EC6BCD">
        <w:rPr>
          <w:rFonts w:ascii="Times New Roman" w:eastAsia="Times New Roman" w:hAnsi="Times New Roman" w:cs="Times New Roman"/>
          <w:color w:val="1B1C1D"/>
          <w:sz w:val="24"/>
          <w:szCs w:val="24"/>
          <w:lang w:eastAsia="en-IN"/>
        </w:rPr>
        <w:t xml:space="preserve"> The trial </w:t>
      </w:r>
      <w:r w:rsidR="00EC6BCD" w:rsidRPr="00EC6BCD">
        <w:rPr>
          <w:rFonts w:ascii="Times New Roman" w:eastAsia="Times New Roman" w:hAnsi="Times New Roman" w:cs="Times New Roman"/>
          <w:color w:val="1B1C1D"/>
          <w:sz w:val="24"/>
          <w:szCs w:val="24"/>
          <w:lang w:eastAsia="en-IN"/>
        </w:rPr>
        <w:t>showed</w:t>
      </w:r>
      <w:r w:rsidRPr="00EC6BCD">
        <w:rPr>
          <w:rFonts w:ascii="Times New Roman" w:eastAsia="Times New Roman" w:hAnsi="Times New Roman" w:cs="Times New Roman"/>
          <w:color w:val="1B1C1D"/>
          <w:sz w:val="24"/>
          <w:szCs w:val="24"/>
          <w:lang w:eastAsia="en-IN"/>
        </w:rPr>
        <w:t xml:space="preserve"> that ZECC effectively moderated the storage environment during the summer month of April, achieving </w:t>
      </w:r>
      <w:r w:rsidR="00552154" w:rsidRPr="00EC6BCD">
        <w:rPr>
          <w:rFonts w:ascii="Times New Roman" w:eastAsia="Times New Roman" w:hAnsi="Times New Roman" w:cs="Times New Roman"/>
          <w:color w:val="1B1C1D"/>
          <w:sz w:val="24"/>
          <w:szCs w:val="24"/>
          <w:lang w:eastAsia="en-IN"/>
        </w:rPr>
        <w:t xml:space="preserve">a temperature reduction of up to 5.8°C (from 35.80 °C ambient to 30.050 °C </w:t>
      </w:r>
      <w:r w:rsidRPr="00EC6BCD">
        <w:rPr>
          <w:rFonts w:ascii="Times New Roman" w:eastAsia="Times New Roman" w:hAnsi="Times New Roman" w:cs="Times New Roman"/>
          <w:color w:val="1B1C1D"/>
          <w:sz w:val="24"/>
          <w:szCs w:val="24"/>
          <w:lang w:eastAsia="en-IN"/>
        </w:rPr>
        <w:t>internal) and raising relative humidity from 55.0% to 95.5</w:t>
      </w:r>
      <w:r w:rsidR="00743674" w:rsidRPr="00EC6BCD">
        <w:rPr>
          <w:rFonts w:ascii="Times New Roman" w:eastAsia="Times New Roman" w:hAnsi="Times New Roman" w:cs="Times New Roman"/>
          <w:color w:val="1B1C1D"/>
          <w:sz w:val="24"/>
          <w:szCs w:val="24"/>
          <w:lang w:eastAsia="en-IN"/>
        </w:rPr>
        <w:t>%.</w:t>
      </w:r>
      <w:r w:rsidR="00743674" w:rsidRPr="005D7687">
        <w:rPr>
          <w:rFonts w:ascii="Times New Roman" w:eastAsia="Times New Roman" w:hAnsi="Times New Roman" w:cs="Times New Roman"/>
          <w:color w:val="1B1C1D"/>
          <w:sz w:val="24"/>
          <w:szCs w:val="24"/>
          <w:lang w:eastAsia="en-IN"/>
        </w:rPr>
        <w:t xml:space="preserve"> This</w:t>
      </w:r>
      <w:r w:rsidRPr="005D7687">
        <w:rPr>
          <w:rFonts w:ascii="Times New Roman" w:eastAsia="Times New Roman" w:hAnsi="Times New Roman" w:cs="Times New Roman"/>
          <w:color w:val="1B1C1D"/>
          <w:sz w:val="24"/>
          <w:szCs w:val="24"/>
          <w:lang w:eastAsia="en-IN"/>
        </w:rPr>
        <w:t xml:space="preserve"> environmental control drastically reduced moisture loss. Okra stored in the ZECC for three days exhibited only 7.0% PLW, whereas the open basket comparator showed 23% PLW after the same period. For highly perishable Oyster Mushroom, the ZECC maintained marketable quality for two days with 9.75% PLW, significantly preventing the rapid desiccation and total spoilage (58% PLW) observed in ambient conditions after two days. The findings confirm that ZECC technology provides advantage in minimizing post-harvest losses, enhancing freshness, and extending the marketable life of diverse vegetables in constrained environments.</w:t>
      </w:r>
    </w:p>
    <w:p w14:paraId="3974F027" w14:textId="0660B1F6"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5D7687">
        <w:rPr>
          <w:rFonts w:ascii="Times New Roman" w:eastAsia="Times New Roman" w:hAnsi="Times New Roman" w:cs="Times New Roman"/>
          <w:b/>
          <w:bCs/>
          <w:color w:val="1B1C1D"/>
          <w:sz w:val="24"/>
          <w:szCs w:val="24"/>
          <w:lang w:eastAsia="en-IN"/>
        </w:rPr>
        <w:t>Keywords:</w:t>
      </w:r>
      <w:r w:rsidRPr="005D7687">
        <w:rPr>
          <w:rFonts w:ascii="Times New Roman" w:eastAsia="Times New Roman" w:hAnsi="Times New Roman" w:cs="Times New Roman"/>
          <w:color w:val="1B1C1D"/>
          <w:sz w:val="24"/>
          <w:szCs w:val="24"/>
          <w:lang w:eastAsia="en-IN"/>
        </w:rPr>
        <w:t>  Post-Harvest Loss, Shelf-Life</w:t>
      </w:r>
      <w:r>
        <w:rPr>
          <w:rFonts w:ascii="Times New Roman" w:eastAsia="Times New Roman" w:hAnsi="Times New Roman" w:cs="Times New Roman"/>
          <w:color w:val="1B1C1D"/>
          <w:sz w:val="24"/>
          <w:szCs w:val="24"/>
          <w:lang w:eastAsia="en-IN"/>
        </w:rPr>
        <w:t xml:space="preserve">, </w:t>
      </w:r>
      <w:r w:rsidRPr="005D7687">
        <w:rPr>
          <w:rFonts w:ascii="Times New Roman" w:eastAsia="Times New Roman" w:hAnsi="Times New Roman" w:cs="Times New Roman"/>
          <w:color w:val="1B1C1D"/>
          <w:sz w:val="24"/>
          <w:szCs w:val="24"/>
          <w:lang w:eastAsia="en-IN"/>
        </w:rPr>
        <w:t xml:space="preserve">Weight Loss, </w:t>
      </w:r>
      <w:r>
        <w:rPr>
          <w:rFonts w:ascii="Times New Roman" w:eastAsia="Times New Roman" w:hAnsi="Times New Roman" w:cs="Times New Roman"/>
          <w:color w:val="1B1C1D"/>
          <w:sz w:val="24"/>
          <w:szCs w:val="24"/>
          <w:lang w:eastAsia="en-IN"/>
        </w:rPr>
        <w:t>Vegetables</w:t>
      </w:r>
    </w:p>
    <w:p w14:paraId="562DE24E" w14:textId="56AED87F" w:rsidR="005D7687" w:rsidRPr="005D7687" w:rsidRDefault="005D7687" w:rsidP="005D7687">
      <w:pPr>
        <w:shd w:val="clear" w:color="auto" w:fill="FFFFFF"/>
        <w:spacing w:after="0" w:line="240" w:lineRule="auto"/>
        <w:jc w:val="both"/>
        <w:rPr>
          <w:rFonts w:ascii="Times New Roman" w:eastAsia="Times New Roman" w:hAnsi="Times New Roman" w:cs="Times New Roman"/>
          <w:b/>
          <w:bCs/>
          <w:color w:val="1B1C1D"/>
          <w:sz w:val="24"/>
          <w:szCs w:val="24"/>
          <w:lang w:eastAsia="en-IN"/>
        </w:rPr>
      </w:pPr>
      <w:r w:rsidRPr="005D7687">
        <w:rPr>
          <w:rFonts w:ascii="Times New Roman" w:eastAsia="Times New Roman" w:hAnsi="Times New Roman" w:cs="Times New Roman"/>
          <w:b/>
          <w:bCs/>
          <w:color w:val="1B1C1D"/>
          <w:sz w:val="24"/>
          <w:szCs w:val="24"/>
          <w:lang w:eastAsia="en-IN"/>
        </w:rPr>
        <w:t>Introduction</w:t>
      </w:r>
    </w:p>
    <w:p w14:paraId="424E2202" w14:textId="5E375F95"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5D7687">
        <w:rPr>
          <w:rFonts w:ascii="Times New Roman" w:eastAsia="Times New Roman" w:hAnsi="Times New Roman" w:cs="Times New Roman"/>
          <w:color w:val="1B1C1D"/>
          <w:sz w:val="24"/>
          <w:szCs w:val="24"/>
          <w:lang w:eastAsia="en-IN"/>
        </w:rPr>
        <w:t xml:space="preserve">Vegetables are a cornerstone of the human diet, providing an affordable and abundant source of essential micronutrients, including vitamins and minerals. Beyond basic nutrition, the </w:t>
      </w:r>
      <w:r w:rsidR="00EC6BCD">
        <w:rPr>
          <w:rFonts w:ascii="Times New Roman" w:eastAsia="Times New Roman" w:hAnsi="Times New Roman" w:cs="Times New Roman"/>
          <w:color w:val="1B1C1D"/>
          <w:sz w:val="24"/>
          <w:szCs w:val="24"/>
          <w:lang w:eastAsia="en-IN"/>
        </w:rPr>
        <w:t>a</w:t>
      </w:r>
      <w:r w:rsidRPr="005D7687">
        <w:rPr>
          <w:rFonts w:ascii="Times New Roman" w:eastAsia="Times New Roman" w:hAnsi="Times New Roman" w:cs="Times New Roman"/>
          <w:color w:val="1B1C1D"/>
          <w:sz w:val="24"/>
          <w:szCs w:val="24"/>
          <w:lang w:eastAsia="en-IN"/>
        </w:rPr>
        <w:t xml:space="preserve">mount of dietary </w:t>
      </w:r>
      <w:proofErr w:type="spellStart"/>
      <w:r w:rsidRPr="005D7687">
        <w:rPr>
          <w:rFonts w:ascii="Times New Roman" w:eastAsia="Times New Roman" w:hAnsi="Times New Roman" w:cs="Times New Roman"/>
          <w:color w:val="1B1C1D"/>
          <w:sz w:val="24"/>
          <w:szCs w:val="24"/>
          <w:lang w:eastAsia="en-IN"/>
        </w:rPr>
        <w:t>fibers</w:t>
      </w:r>
      <w:proofErr w:type="spellEnd"/>
      <w:r w:rsidRPr="005D7687">
        <w:rPr>
          <w:rFonts w:ascii="Times New Roman" w:eastAsia="Times New Roman" w:hAnsi="Times New Roman" w:cs="Times New Roman"/>
          <w:color w:val="1B1C1D"/>
          <w:sz w:val="24"/>
          <w:szCs w:val="24"/>
          <w:lang w:eastAsia="en-IN"/>
        </w:rPr>
        <w:t xml:space="preserve"> offers documented therapeutic benefits in mitigating risks associated with conditions such as heart disease, obesity, colon cancer, and diabetes. Consequently, minimizing post-harvest losses (PHL) is an essential national objective to ensure maximum utilization of agricultural output</w:t>
      </w:r>
      <w:r w:rsidR="007D6DB9">
        <w:rPr>
          <w:rFonts w:ascii="Times New Roman" w:eastAsia="Times New Roman" w:hAnsi="Times New Roman" w:cs="Times New Roman"/>
          <w:color w:val="1B1C1D"/>
          <w:sz w:val="24"/>
          <w:szCs w:val="24"/>
          <w:lang w:eastAsia="en-IN"/>
        </w:rPr>
        <w:t xml:space="preserve"> (Arun and Ghimire 2018)</w:t>
      </w:r>
      <w:r w:rsidRPr="005D7687">
        <w:rPr>
          <w:rFonts w:ascii="Times New Roman" w:eastAsia="Times New Roman" w:hAnsi="Times New Roman" w:cs="Times New Roman"/>
          <w:color w:val="1B1C1D"/>
          <w:sz w:val="24"/>
          <w:szCs w:val="24"/>
          <w:lang w:eastAsia="en-IN"/>
        </w:rPr>
        <w:t xml:space="preserve">.  In India, vegetable PHL is a significant economic and logistical burden, estimated to range </w:t>
      </w:r>
      <w:r w:rsidRPr="005D7687">
        <w:rPr>
          <w:rFonts w:ascii="Times New Roman" w:eastAsia="Times New Roman" w:hAnsi="Times New Roman" w:cs="Times New Roman"/>
          <w:color w:val="1B1C1D"/>
          <w:sz w:val="24"/>
          <w:szCs w:val="24"/>
          <w:lang w:eastAsia="en-IN"/>
        </w:rPr>
        <w:lastRenderedPageBreak/>
        <w:t>between </w:t>
      </w:r>
      <w:r w:rsidRPr="00EC6BCD">
        <w:rPr>
          <w:rFonts w:ascii="Times New Roman" w:eastAsia="Times New Roman" w:hAnsi="Times New Roman" w:cs="Times New Roman"/>
          <w:color w:val="1B1C1D"/>
          <w:sz w:val="24"/>
          <w:szCs w:val="24"/>
          <w:lang w:eastAsia="en-IN"/>
        </w:rPr>
        <w:t>4.87% and 11.61% (NABCONS</w:t>
      </w:r>
      <w:r w:rsidRPr="005D7687">
        <w:rPr>
          <w:rFonts w:ascii="Times New Roman" w:eastAsia="Times New Roman" w:hAnsi="Times New Roman" w:cs="Times New Roman"/>
          <w:color w:val="1B1C1D"/>
          <w:sz w:val="24"/>
          <w:szCs w:val="24"/>
          <w:lang w:eastAsia="en-IN"/>
        </w:rPr>
        <w:t xml:space="preserve"> 2022). A primary cause of this extensive loss is the inadequate availability of suitable storage and processing facilities, particularly cold chain infrastructure, which is cost-prohibitive for most small and marginal farmers</w:t>
      </w:r>
      <w:r w:rsidR="002924E5">
        <w:rPr>
          <w:rFonts w:ascii="Times New Roman" w:eastAsia="Times New Roman" w:hAnsi="Times New Roman" w:cs="Times New Roman"/>
          <w:color w:val="1B1C1D"/>
          <w:sz w:val="24"/>
          <w:szCs w:val="24"/>
          <w:lang w:eastAsia="en-IN"/>
        </w:rPr>
        <w:t xml:space="preserve"> (Islam et al.,2013)</w:t>
      </w:r>
      <w:r w:rsidRPr="005D7687">
        <w:rPr>
          <w:rFonts w:ascii="Times New Roman" w:eastAsia="Times New Roman" w:hAnsi="Times New Roman" w:cs="Times New Roman"/>
          <w:color w:val="1B1C1D"/>
          <w:sz w:val="24"/>
          <w:szCs w:val="24"/>
          <w:lang w:eastAsia="en-IN"/>
        </w:rPr>
        <w:t>. This deficiency necessitates the development of decentralized, low-maintenance, and low-cost storage solutions suitable for adoption in rural areas.   </w:t>
      </w:r>
    </w:p>
    <w:p w14:paraId="4A7B7673" w14:textId="5D6016D5"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Pr>
          <w:rFonts w:ascii="Times New Roman" w:eastAsia="Times New Roman" w:hAnsi="Times New Roman" w:cs="Times New Roman"/>
          <w:color w:val="1B1C1D"/>
          <w:sz w:val="24"/>
          <w:szCs w:val="24"/>
          <w:lang w:eastAsia="en-IN"/>
        </w:rPr>
        <w:tab/>
      </w:r>
      <w:r w:rsidRPr="005D7687">
        <w:rPr>
          <w:rFonts w:ascii="Times New Roman" w:eastAsia="Times New Roman" w:hAnsi="Times New Roman" w:cs="Times New Roman"/>
          <w:color w:val="1B1C1D"/>
          <w:sz w:val="24"/>
          <w:szCs w:val="24"/>
          <w:lang w:eastAsia="en-IN"/>
        </w:rPr>
        <w:t xml:space="preserve">The Zero Energy Cool Chamber (ZECC) was pioneered by Roy and </w:t>
      </w:r>
      <w:proofErr w:type="spellStart"/>
      <w:r w:rsidRPr="005D7687">
        <w:rPr>
          <w:rFonts w:ascii="Times New Roman" w:eastAsia="Times New Roman" w:hAnsi="Times New Roman" w:cs="Times New Roman"/>
          <w:color w:val="1B1C1D"/>
          <w:sz w:val="24"/>
          <w:szCs w:val="24"/>
          <w:lang w:eastAsia="en-IN"/>
        </w:rPr>
        <w:t>Khurdia</w:t>
      </w:r>
      <w:proofErr w:type="spellEnd"/>
      <w:r w:rsidRPr="005D7687">
        <w:rPr>
          <w:rFonts w:ascii="Times New Roman" w:eastAsia="Times New Roman" w:hAnsi="Times New Roman" w:cs="Times New Roman"/>
          <w:color w:val="1B1C1D"/>
          <w:sz w:val="24"/>
          <w:szCs w:val="24"/>
          <w:lang w:eastAsia="en-IN"/>
        </w:rPr>
        <w:t xml:space="preserve"> (1983) at the Indian Agricultural Research Institute (IARI), Pusa, New Delhi, specifically to mitigate post-harvest deterioration and maintain product quality at the production site (Singh et al. 2010). The ZECC is structurally defined by its independence from electrical or mechanical energy, operating solely on the scientific principle of evaporative cooling.   </w:t>
      </w:r>
    </w:p>
    <w:p w14:paraId="7D7BFDCE" w14:textId="4A58D234"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Pr>
          <w:rFonts w:ascii="Times New Roman" w:eastAsia="Times New Roman" w:hAnsi="Times New Roman" w:cs="Times New Roman"/>
          <w:color w:val="1B1C1D"/>
          <w:sz w:val="24"/>
          <w:szCs w:val="24"/>
          <w:lang w:eastAsia="en-IN"/>
        </w:rPr>
        <w:tab/>
      </w:r>
      <w:r w:rsidRPr="005D7687">
        <w:rPr>
          <w:rFonts w:ascii="Times New Roman" w:eastAsia="Times New Roman" w:hAnsi="Times New Roman" w:cs="Times New Roman"/>
          <w:color w:val="1B1C1D"/>
          <w:sz w:val="24"/>
          <w:szCs w:val="24"/>
          <w:lang w:eastAsia="en-IN"/>
        </w:rPr>
        <w:t>Evaporative cooling works by utilizing the phase change of water from liquid to vapor. This transformation requires a large quantity of latent heat, which is removed from the surrounding environment. By maintaining a wet medium (such as saturated bricks and sand filler), the ZECC achieves simultaneous temperature reduction and humidity increase within the enclosed space. Previous research has established that this passive technique can reduce ambient temperature by </w:t>
      </w:r>
      <w:r w:rsidRPr="005D7687">
        <w:rPr>
          <w:rFonts w:ascii="Times New Roman" w:eastAsia="Times New Roman" w:hAnsi="Times New Roman" w:cs="Times New Roman"/>
          <w:color w:val="1B1C1D"/>
          <w:sz w:val="29"/>
          <w:szCs w:val="29"/>
          <w:lang w:eastAsia="en-IN"/>
        </w:rPr>
        <w:t>15−18%</w:t>
      </w:r>
      <w:r w:rsidRPr="005D7687">
        <w:rPr>
          <w:rFonts w:ascii="Times New Roman" w:eastAsia="Times New Roman" w:hAnsi="Times New Roman" w:cs="Times New Roman"/>
          <w:color w:val="1B1C1D"/>
          <w:sz w:val="24"/>
          <w:szCs w:val="24"/>
          <w:lang w:eastAsia="en-IN"/>
        </w:rPr>
        <w:t> and elevate relative humidity to </w:t>
      </w:r>
      <w:r w:rsidRPr="005D7687">
        <w:rPr>
          <w:rFonts w:ascii="Times New Roman" w:eastAsia="Times New Roman" w:hAnsi="Times New Roman" w:cs="Times New Roman"/>
          <w:color w:val="1B1C1D"/>
          <w:sz w:val="29"/>
          <w:szCs w:val="29"/>
          <w:lang w:eastAsia="en-IN"/>
        </w:rPr>
        <w:t>90%</w:t>
      </w:r>
      <w:r w:rsidRPr="005D7687">
        <w:rPr>
          <w:rFonts w:ascii="Times New Roman" w:eastAsia="Times New Roman" w:hAnsi="Times New Roman" w:cs="Times New Roman"/>
          <w:color w:val="1B1C1D"/>
          <w:sz w:val="24"/>
          <w:szCs w:val="24"/>
          <w:lang w:eastAsia="en-IN"/>
        </w:rPr>
        <w:t> or more, provided the ambient humidity is comparatively low (Jain 2007; Jha 2008; Jadhav et al. 2010).   </w:t>
      </w:r>
    </w:p>
    <w:p w14:paraId="18C4B47C" w14:textId="4C84F326"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Pr>
          <w:rFonts w:ascii="Times New Roman" w:eastAsia="Times New Roman" w:hAnsi="Times New Roman" w:cs="Times New Roman"/>
          <w:color w:val="1B1C1D"/>
          <w:sz w:val="24"/>
          <w:szCs w:val="24"/>
          <w:lang w:eastAsia="en-IN"/>
        </w:rPr>
        <w:tab/>
      </w:r>
      <w:r w:rsidRPr="005D7687">
        <w:rPr>
          <w:rFonts w:ascii="Times New Roman" w:eastAsia="Times New Roman" w:hAnsi="Times New Roman" w:cs="Times New Roman"/>
          <w:color w:val="1B1C1D"/>
          <w:sz w:val="24"/>
          <w:szCs w:val="24"/>
          <w:lang w:eastAsia="en-IN"/>
        </w:rPr>
        <w:t>The strategic importance of the ZECC transcends mere technical functionality. Because it requires zero external energy input and simple construction materials, it provides an immediate, resilient, and locally deployable infrastructure solution. This capability directly addresses the crucial economic vulnerability of smallholders who are currently forced into 'distressed selling' immediately following harvest due to the lack of adequate decentralized storage. By offering a buffer against rapid spoilage, the ZECC transforms post-harvest logistics, thereby strengthening rural agricultural value chains.   </w:t>
      </w:r>
    </w:p>
    <w:p w14:paraId="4D4CBB35" w14:textId="2370E5FA"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Pr>
          <w:rFonts w:ascii="Times New Roman" w:eastAsia="Times New Roman" w:hAnsi="Times New Roman" w:cs="Times New Roman"/>
          <w:color w:val="1B1C1D"/>
          <w:sz w:val="24"/>
          <w:szCs w:val="24"/>
          <w:lang w:eastAsia="en-IN"/>
        </w:rPr>
        <w:tab/>
      </w:r>
      <w:r w:rsidRPr="005D7687">
        <w:rPr>
          <w:rFonts w:ascii="Times New Roman" w:eastAsia="Times New Roman" w:hAnsi="Times New Roman" w:cs="Times New Roman"/>
          <w:color w:val="1B1C1D"/>
          <w:sz w:val="24"/>
          <w:szCs w:val="24"/>
          <w:lang w:eastAsia="en-IN"/>
        </w:rPr>
        <w:t xml:space="preserve">Prior validation of the ZECC’s effectiveness includes studies demonstrating that Okra stored inside the chamber exhibited lower Physiological Loss in Weight (PLW) compared to both ambient and frozen conditions (Mishra et al. 2020). Similarly, the cool chamber environment extended the usable life of highly sensitive Oyster Mushroom far beyond that achieved in open room storage (Kumari et al. 2018). The current on-farm study sought to expand this knowledge by evaluating the comparative shelf life and quality retention across a </w:t>
      </w:r>
      <w:r w:rsidRPr="005D7687">
        <w:rPr>
          <w:rFonts w:ascii="Times New Roman" w:eastAsia="Times New Roman" w:hAnsi="Times New Roman" w:cs="Times New Roman"/>
          <w:color w:val="1B1C1D"/>
          <w:sz w:val="24"/>
          <w:szCs w:val="24"/>
          <w:lang w:eastAsia="en-IN"/>
        </w:rPr>
        <w:lastRenderedPageBreak/>
        <w:t>broad profile of locally cultivated summer vegetables under the specific high-stress environmental conditions of a field setting.   </w:t>
      </w:r>
    </w:p>
    <w:p w14:paraId="13B6C902" w14:textId="77777777" w:rsidR="005D7687" w:rsidRPr="005D7687" w:rsidRDefault="005D7687" w:rsidP="005D7687">
      <w:pPr>
        <w:shd w:val="clear" w:color="auto" w:fill="FFFFFF"/>
        <w:spacing w:before="420" w:after="120" w:line="420" w:lineRule="atLeast"/>
        <w:jc w:val="both"/>
        <w:outlineLvl w:val="1"/>
        <w:rPr>
          <w:rFonts w:ascii="Times New Roman" w:eastAsia="Times New Roman" w:hAnsi="Times New Roman" w:cs="Times New Roman"/>
          <w:b/>
          <w:bCs/>
          <w:color w:val="1B1C1D"/>
          <w:sz w:val="30"/>
          <w:szCs w:val="30"/>
          <w:lang w:eastAsia="en-IN"/>
        </w:rPr>
      </w:pPr>
      <w:r w:rsidRPr="005D7687">
        <w:rPr>
          <w:rFonts w:ascii="Times New Roman" w:eastAsia="Times New Roman" w:hAnsi="Times New Roman" w:cs="Times New Roman"/>
          <w:b/>
          <w:bCs/>
          <w:color w:val="1B1C1D"/>
          <w:sz w:val="30"/>
          <w:szCs w:val="30"/>
          <w:lang w:eastAsia="en-IN"/>
        </w:rPr>
        <w:t>Material and Methods</w:t>
      </w:r>
    </w:p>
    <w:p w14:paraId="4054B1F6" w14:textId="5BDEEAE0"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5D7687">
        <w:rPr>
          <w:rFonts w:ascii="Times New Roman" w:eastAsia="Times New Roman" w:hAnsi="Times New Roman" w:cs="Times New Roman"/>
          <w:color w:val="1B1C1D"/>
          <w:sz w:val="24"/>
          <w:szCs w:val="24"/>
          <w:lang w:eastAsia="en-IN"/>
        </w:rPr>
        <w:t>The study was implemented as an On-Farm Trial (OFT) conducted on farmers’ fields within the Saraiya Block. Three functional Zero Energy Cool Chamber (ZECC) units were constructed for the trial. The efficacy of the ZECC storage system was benchmarked against the standard local rural practice, which typically involves storing harvested produce in open baskets at ambient temperature.   </w:t>
      </w:r>
    </w:p>
    <w:p w14:paraId="0C3BF66C" w14:textId="77777777" w:rsidR="005D7687" w:rsidRPr="005D7687" w:rsidRDefault="005D7687" w:rsidP="005D7687">
      <w:pPr>
        <w:shd w:val="clear" w:color="auto" w:fill="FFFFFF"/>
        <w:spacing w:before="420" w:after="120" w:line="360" w:lineRule="auto"/>
        <w:jc w:val="both"/>
        <w:outlineLvl w:val="2"/>
        <w:rPr>
          <w:rFonts w:ascii="Times New Roman" w:eastAsia="Times New Roman" w:hAnsi="Times New Roman" w:cs="Times New Roman"/>
          <w:b/>
          <w:bCs/>
          <w:color w:val="1B1C1D"/>
          <w:sz w:val="24"/>
          <w:szCs w:val="24"/>
          <w:lang w:eastAsia="en-IN"/>
        </w:rPr>
      </w:pPr>
      <w:r w:rsidRPr="005D7687">
        <w:rPr>
          <w:rFonts w:ascii="Times New Roman" w:eastAsia="Times New Roman" w:hAnsi="Times New Roman" w:cs="Times New Roman"/>
          <w:b/>
          <w:bCs/>
          <w:color w:val="1B1C1D"/>
          <w:sz w:val="24"/>
          <w:szCs w:val="24"/>
          <w:lang w:eastAsia="en-IN"/>
        </w:rPr>
        <w:t>Sample Selection and Trial Duration</w:t>
      </w:r>
    </w:p>
    <w:p w14:paraId="73694EB8" w14:textId="77777777"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5D7687">
        <w:rPr>
          <w:rFonts w:ascii="Times New Roman" w:eastAsia="Times New Roman" w:hAnsi="Times New Roman" w:cs="Times New Roman"/>
          <w:color w:val="1B1C1D"/>
          <w:sz w:val="24"/>
          <w:szCs w:val="24"/>
          <w:lang w:eastAsia="en-IN"/>
        </w:rPr>
        <w:t>To ensure comprehensive data across varying degrees of perishability, five categories of locally grown summer vegetables were selected for the investigation: Okra (fruiting), Cauliflower (flowering/fruiting), Radish (root/tuber), Spinach (green leafy vegetable), and Oyster Mushroom (high-value, highly perishable fungi). All vegetables were procured from the local market in fresh condition immediately before the commencement of the trial. The experiment was conducted during the height of the summer season (April), with produce monitored continuously for up to six days.   </w:t>
      </w:r>
    </w:p>
    <w:p w14:paraId="29FDDF9B" w14:textId="77777777" w:rsidR="005D7687" w:rsidRPr="005D7687" w:rsidRDefault="005D7687" w:rsidP="005D7687">
      <w:pPr>
        <w:shd w:val="clear" w:color="auto" w:fill="FFFFFF"/>
        <w:spacing w:before="420" w:after="120" w:line="360" w:lineRule="auto"/>
        <w:jc w:val="both"/>
        <w:outlineLvl w:val="2"/>
        <w:rPr>
          <w:rFonts w:ascii="Times New Roman" w:eastAsia="Times New Roman" w:hAnsi="Times New Roman" w:cs="Times New Roman"/>
          <w:b/>
          <w:bCs/>
          <w:color w:val="1B1C1D"/>
          <w:sz w:val="24"/>
          <w:szCs w:val="24"/>
          <w:lang w:eastAsia="en-IN"/>
        </w:rPr>
      </w:pPr>
      <w:r w:rsidRPr="005D7687">
        <w:rPr>
          <w:rFonts w:ascii="Times New Roman" w:eastAsia="Times New Roman" w:hAnsi="Times New Roman" w:cs="Times New Roman"/>
          <w:b/>
          <w:bCs/>
          <w:color w:val="1B1C1D"/>
          <w:sz w:val="24"/>
          <w:szCs w:val="24"/>
          <w:lang w:eastAsia="en-IN"/>
        </w:rPr>
        <w:t>Quality Assessment Metrics</w:t>
      </w:r>
    </w:p>
    <w:p w14:paraId="0B781368" w14:textId="77777777"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5D7687">
        <w:rPr>
          <w:rFonts w:ascii="Times New Roman" w:eastAsia="Times New Roman" w:hAnsi="Times New Roman" w:cs="Times New Roman"/>
          <w:color w:val="1B1C1D"/>
          <w:sz w:val="24"/>
          <w:szCs w:val="24"/>
          <w:lang w:eastAsia="en-IN"/>
        </w:rPr>
        <w:t>The effectiveness of the storage method was assessed using both environmental monitoring and direct quality measurements.</w:t>
      </w:r>
    </w:p>
    <w:p w14:paraId="188D24F2" w14:textId="77777777" w:rsidR="005D7687" w:rsidRPr="005D7687" w:rsidRDefault="005D7687" w:rsidP="005D7687">
      <w:pPr>
        <w:shd w:val="clear" w:color="auto" w:fill="FFFFFF"/>
        <w:spacing w:before="420" w:after="120" w:line="360" w:lineRule="auto"/>
        <w:jc w:val="both"/>
        <w:outlineLvl w:val="3"/>
        <w:rPr>
          <w:rFonts w:ascii="Times New Roman" w:eastAsia="Times New Roman" w:hAnsi="Times New Roman" w:cs="Times New Roman"/>
          <w:b/>
          <w:bCs/>
          <w:color w:val="1B1C1D"/>
          <w:sz w:val="24"/>
          <w:szCs w:val="24"/>
          <w:lang w:eastAsia="en-IN"/>
        </w:rPr>
      </w:pPr>
      <w:r w:rsidRPr="005D7687">
        <w:rPr>
          <w:rFonts w:ascii="Times New Roman" w:eastAsia="Times New Roman" w:hAnsi="Times New Roman" w:cs="Times New Roman"/>
          <w:b/>
          <w:bCs/>
          <w:color w:val="1B1C1D"/>
          <w:sz w:val="24"/>
          <w:szCs w:val="24"/>
          <w:lang w:eastAsia="en-IN"/>
        </w:rPr>
        <w:t>Microclimatic Assessment</w:t>
      </w:r>
    </w:p>
    <w:p w14:paraId="79CF192C" w14:textId="4AAB659A"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5D7687">
        <w:rPr>
          <w:rFonts w:ascii="Times New Roman" w:eastAsia="Times New Roman" w:hAnsi="Times New Roman" w:cs="Times New Roman"/>
          <w:color w:val="1B1C1D"/>
          <w:sz w:val="24"/>
          <w:szCs w:val="24"/>
          <w:lang w:eastAsia="en-IN"/>
        </w:rPr>
        <w:t>Internal and external temperatures (0</w:t>
      </w:r>
      <w:r w:rsidR="00552154">
        <w:rPr>
          <w:rFonts w:ascii="Times New Roman" w:eastAsia="Times New Roman" w:hAnsi="Times New Roman" w:cs="Times New Roman"/>
          <w:color w:val="1B1C1D"/>
          <w:sz w:val="24"/>
          <w:szCs w:val="24"/>
          <w:lang w:eastAsia="en-IN"/>
        </w:rPr>
        <w:t>℃</w:t>
      </w:r>
      <w:r w:rsidRPr="005D7687">
        <w:rPr>
          <w:rFonts w:ascii="Times New Roman" w:eastAsia="Times New Roman" w:hAnsi="Times New Roman" w:cs="Times New Roman"/>
          <w:color w:val="1B1C1D"/>
          <w:sz w:val="24"/>
          <w:szCs w:val="24"/>
          <w:lang w:eastAsia="en-IN"/>
        </w:rPr>
        <w:t>) and relative humidity (%) were measured at regular intervals, with critical comparative data recorded at the peak thermal period of the day (12:00 PM) in April to capture the maximum stress differential.   </w:t>
      </w:r>
    </w:p>
    <w:p w14:paraId="1905B535" w14:textId="7131FCF2" w:rsidR="005D7687" w:rsidRPr="005D7687" w:rsidRDefault="005D7687" w:rsidP="005D7687">
      <w:pPr>
        <w:shd w:val="clear" w:color="auto" w:fill="FFFFFF"/>
        <w:spacing w:before="420" w:after="120" w:line="360" w:lineRule="auto"/>
        <w:jc w:val="both"/>
        <w:outlineLvl w:val="3"/>
        <w:rPr>
          <w:rFonts w:ascii="Times New Roman" w:eastAsia="Times New Roman" w:hAnsi="Times New Roman" w:cs="Times New Roman"/>
          <w:b/>
          <w:bCs/>
          <w:color w:val="1B1C1D"/>
          <w:sz w:val="24"/>
          <w:szCs w:val="24"/>
          <w:lang w:eastAsia="en-IN"/>
        </w:rPr>
      </w:pPr>
      <w:r w:rsidRPr="005D7687">
        <w:rPr>
          <w:rFonts w:ascii="Times New Roman" w:eastAsia="Times New Roman" w:hAnsi="Times New Roman" w:cs="Times New Roman"/>
          <w:b/>
          <w:bCs/>
          <w:color w:val="1B1C1D"/>
          <w:sz w:val="24"/>
          <w:szCs w:val="24"/>
          <w:lang w:eastAsia="en-IN"/>
        </w:rPr>
        <w:t>Physiological Loss in Weight (PLW)</w:t>
      </w:r>
    </w:p>
    <w:p w14:paraId="0B056E6D" w14:textId="75CD5A5F"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5D7687">
        <w:rPr>
          <w:rFonts w:ascii="Times New Roman" w:eastAsia="Times New Roman" w:hAnsi="Times New Roman" w:cs="Times New Roman"/>
          <w:color w:val="1B1C1D"/>
          <w:sz w:val="24"/>
          <w:szCs w:val="24"/>
          <w:lang w:eastAsia="en-IN"/>
        </w:rPr>
        <w:t xml:space="preserve">Physiological Loss in Weight (PLW) served as the primary quantitative indicator of freshness and storage efficacy. </w:t>
      </w:r>
      <w:r w:rsidR="00EC6BCD" w:rsidRPr="005D7687">
        <w:rPr>
          <w:rFonts w:ascii="Times New Roman" w:eastAsia="Times New Roman" w:hAnsi="Times New Roman" w:cs="Times New Roman"/>
          <w:color w:val="1B1C1D"/>
          <w:sz w:val="24"/>
          <w:szCs w:val="24"/>
          <w:lang w:eastAsia="en-IN"/>
        </w:rPr>
        <w:t xml:space="preserve">Physiological Loss in Weight </w:t>
      </w:r>
      <w:r w:rsidRPr="005D7687">
        <w:rPr>
          <w:rFonts w:ascii="Times New Roman" w:eastAsia="Times New Roman" w:hAnsi="Times New Roman" w:cs="Times New Roman"/>
          <w:color w:val="1B1C1D"/>
          <w:sz w:val="24"/>
          <w:szCs w:val="24"/>
          <w:lang w:eastAsia="en-IN"/>
        </w:rPr>
        <w:t xml:space="preserve">reflects irreversible loss of mass primarily due to moisture evaporation (transpiration) and metabolic consumption of stored carbohydrates </w:t>
      </w:r>
      <w:r w:rsidRPr="005D7687">
        <w:rPr>
          <w:rFonts w:ascii="Times New Roman" w:eastAsia="Times New Roman" w:hAnsi="Times New Roman" w:cs="Times New Roman"/>
          <w:color w:val="1B1C1D"/>
          <w:sz w:val="24"/>
          <w:szCs w:val="24"/>
          <w:lang w:eastAsia="en-IN"/>
        </w:rPr>
        <w:lastRenderedPageBreak/>
        <w:t xml:space="preserve">(respiration). Minimizing PLW is paramount for extending shelf life (Data and </w:t>
      </w:r>
      <w:proofErr w:type="spellStart"/>
      <w:r w:rsidRPr="005D7687">
        <w:rPr>
          <w:rFonts w:ascii="Times New Roman" w:eastAsia="Times New Roman" w:hAnsi="Times New Roman" w:cs="Times New Roman"/>
          <w:color w:val="1B1C1D"/>
          <w:sz w:val="24"/>
          <w:szCs w:val="24"/>
          <w:lang w:eastAsia="en-IN"/>
        </w:rPr>
        <w:t>Eronica</w:t>
      </w:r>
      <w:proofErr w:type="spellEnd"/>
      <w:r w:rsidRPr="005D7687">
        <w:rPr>
          <w:rFonts w:ascii="Times New Roman" w:eastAsia="Times New Roman" w:hAnsi="Times New Roman" w:cs="Times New Roman"/>
          <w:color w:val="1B1C1D"/>
          <w:sz w:val="24"/>
          <w:szCs w:val="24"/>
          <w:lang w:eastAsia="en-IN"/>
        </w:rPr>
        <w:t xml:space="preserve"> 1987). PLW measurements determined the practical "well stored" duration for marketability.   </w:t>
      </w:r>
    </w:p>
    <w:p w14:paraId="6A69F99A" w14:textId="77777777" w:rsidR="005D7687" w:rsidRPr="005D7687" w:rsidRDefault="005D7687" w:rsidP="005D7687">
      <w:pPr>
        <w:shd w:val="clear" w:color="auto" w:fill="FFFFFF"/>
        <w:spacing w:before="420" w:after="120" w:line="360" w:lineRule="auto"/>
        <w:jc w:val="both"/>
        <w:outlineLvl w:val="3"/>
        <w:rPr>
          <w:rFonts w:ascii="Times New Roman" w:eastAsia="Times New Roman" w:hAnsi="Times New Roman" w:cs="Times New Roman"/>
          <w:b/>
          <w:bCs/>
          <w:color w:val="1B1C1D"/>
          <w:sz w:val="24"/>
          <w:szCs w:val="24"/>
          <w:lang w:eastAsia="en-IN"/>
        </w:rPr>
      </w:pPr>
      <w:r w:rsidRPr="005D7687">
        <w:rPr>
          <w:rFonts w:ascii="Times New Roman" w:eastAsia="Times New Roman" w:hAnsi="Times New Roman" w:cs="Times New Roman"/>
          <w:b/>
          <w:bCs/>
          <w:color w:val="1B1C1D"/>
          <w:sz w:val="24"/>
          <w:szCs w:val="24"/>
          <w:lang w:eastAsia="en-IN"/>
        </w:rPr>
        <w:t>Organoleptic (Sensory) Evaluation</w:t>
      </w:r>
    </w:p>
    <w:p w14:paraId="7E997703" w14:textId="77777777"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5D7687">
        <w:rPr>
          <w:rFonts w:ascii="Times New Roman" w:eastAsia="Times New Roman" w:hAnsi="Times New Roman" w:cs="Times New Roman"/>
          <w:color w:val="1B1C1D"/>
          <w:sz w:val="24"/>
          <w:szCs w:val="24"/>
          <w:lang w:eastAsia="en-IN"/>
        </w:rPr>
        <w:t>Quality retention was also assessed through subjective sensory evaluation, focusing on easily perceived characteristics such as Overall Appearance (A) and Texture (T) (William and Tucker 1991). Evaluation was carried out by a panel of ten judges using a five-point hedonic scale: 1 (Very Poor), 2 (Poor), 3 (Fair), 4 (Good), and 5 (Excellent). Vegetables were automatically discarded after receiving a score of 1, and any score below 2 was considered unfit for commercial marketing.   </w:t>
      </w:r>
    </w:p>
    <w:p w14:paraId="6077A7C6" w14:textId="77777777" w:rsidR="005D7687" w:rsidRPr="005D7687" w:rsidRDefault="005D7687" w:rsidP="005D7687">
      <w:pPr>
        <w:shd w:val="clear" w:color="auto" w:fill="FFFFFF"/>
        <w:spacing w:before="420" w:after="120" w:line="360" w:lineRule="auto"/>
        <w:jc w:val="both"/>
        <w:outlineLvl w:val="1"/>
        <w:rPr>
          <w:rFonts w:ascii="Times New Roman" w:eastAsia="Times New Roman" w:hAnsi="Times New Roman" w:cs="Times New Roman"/>
          <w:b/>
          <w:bCs/>
          <w:color w:val="1B1C1D"/>
          <w:sz w:val="24"/>
          <w:szCs w:val="24"/>
          <w:lang w:eastAsia="en-IN"/>
        </w:rPr>
      </w:pPr>
      <w:r w:rsidRPr="005D7687">
        <w:rPr>
          <w:rFonts w:ascii="Times New Roman" w:eastAsia="Times New Roman" w:hAnsi="Times New Roman" w:cs="Times New Roman"/>
          <w:b/>
          <w:bCs/>
          <w:color w:val="1B1C1D"/>
          <w:sz w:val="24"/>
          <w:szCs w:val="24"/>
          <w:lang w:eastAsia="en-IN"/>
        </w:rPr>
        <w:t>Results and Discussion</w:t>
      </w:r>
    </w:p>
    <w:p w14:paraId="696C302B" w14:textId="77777777"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5D7687">
        <w:rPr>
          <w:rFonts w:ascii="Times New Roman" w:eastAsia="Times New Roman" w:hAnsi="Times New Roman" w:cs="Times New Roman"/>
          <w:color w:val="1B1C1D"/>
          <w:sz w:val="24"/>
          <w:szCs w:val="24"/>
          <w:lang w:eastAsia="en-IN"/>
        </w:rPr>
        <w:t>The application of the Zero Energy Cool Chamber demonstrated significant positive impacts across all parameters studied: microclimate control, physiological stability, and maintenance of sensory quality.</w:t>
      </w:r>
    </w:p>
    <w:p w14:paraId="7680C845" w14:textId="77777777" w:rsidR="005D7687" w:rsidRPr="005D7687" w:rsidRDefault="005D7687" w:rsidP="005D7687">
      <w:pPr>
        <w:shd w:val="clear" w:color="auto" w:fill="FFFFFF"/>
        <w:spacing w:before="420" w:after="120" w:line="360" w:lineRule="auto"/>
        <w:jc w:val="both"/>
        <w:outlineLvl w:val="2"/>
        <w:rPr>
          <w:rFonts w:ascii="Times New Roman" w:eastAsia="Times New Roman" w:hAnsi="Times New Roman" w:cs="Times New Roman"/>
          <w:b/>
          <w:bCs/>
          <w:color w:val="1B1C1D"/>
          <w:sz w:val="24"/>
          <w:szCs w:val="24"/>
          <w:lang w:eastAsia="en-IN"/>
        </w:rPr>
      </w:pPr>
      <w:r w:rsidRPr="005D7687">
        <w:rPr>
          <w:rFonts w:ascii="Times New Roman" w:eastAsia="Times New Roman" w:hAnsi="Times New Roman" w:cs="Times New Roman"/>
          <w:b/>
          <w:bCs/>
          <w:color w:val="1B1C1D"/>
          <w:sz w:val="24"/>
          <w:szCs w:val="24"/>
          <w:lang w:eastAsia="en-IN"/>
        </w:rPr>
        <w:t>Modulation of Microclimatic Stressors by Evaporative Cooling</w:t>
      </w:r>
    </w:p>
    <w:p w14:paraId="458FF96D" w14:textId="77777777"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5D7687">
        <w:rPr>
          <w:rFonts w:ascii="Times New Roman" w:eastAsia="Times New Roman" w:hAnsi="Times New Roman" w:cs="Times New Roman"/>
          <w:color w:val="1B1C1D"/>
          <w:sz w:val="24"/>
          <w:szCs w:val="24"/>
          <w:lang w:eastAsia="en-IN"/>
        </w:rPr>
        <w:t>The environmental data collected during the summer trial period clearly established the ZECC’s ability to modify the storage environment (Table 1). At 12:00 PM, the ambient open basket temperature reached 35.850</w:t>
      </w:r>
      <w:r w:rsidRPr="005D7687">
        <w:rPr>
          <w:rFonts w:ascii="Times New Roman" w:eastAsia="Times New Roman" w:hAnsi="Times New Roman" w:cs="Times New Roman"/>
          <w:i/>
          <w:iCs/>
          <w:color w:val="1B1C1D"/>
          <w:sz w:val="24"/>
          <w:szCs w:val="24"/>
          <w:lang w:eastAsia="en-IN"/>
        </w:rPr>
        <w:t>C</w:t>
      </w:r>
      <w:r w:rsidRPr="005D7687">
        <w:rPr>
          <w:rFonts w:ascii="Times New Roman" w:eastAsia="Times New Roman" w:hAnsi="Times New Roman" w:cs="Times New Roman"/>
          <w:color w:val="1B1C1D"/>
          <w:sz w:val="24"/>
          <w:szCs w:val="24"/>
          <w:lang w:eastAsia="en-IN"/>
        </w:rPr>
        <w:t>, whereas the internal ZECC temperature was moderated to 30.050</w:t>
      </w:r>
      <w:r w:rsidRPr="005D7687">
        <w:rPr>
          <w:rFonts w:ascii="Times New Roman" w:eastAsia="Times New Roman" w:hAnsi="Times New Roman" w:cs="Times New Roman"/>
          <w:i/>
          <w:iCs/>
          <w:color w:val="1B1C1D"/>
          <w:sz w:val="24"/>
          <w:szCs w:val="24"/>
          <w:lang w:eastAsia="en-IN"/>
        </w:rPr>
        <w:t>C</w:t>
      </w:r>
      <w:r w:rsidRPr="005D7687">
        <w:rPr>
          <w:rFonts w:ascii="Times New Roman" w:eastAsia="Times New Roman" w:hAnsi="Times New Roman" w:cs="Times New Roman"/>
          <w:color w:val="1B1C1D"/>
          <w:sz w:val="24"/>
          <w:szCs w:val="24"/>
          <w:lang w:eastAsia="en-IN"/>
        </w:rPr>
        <w:t>, yielding a beneficial temperature differential (Δ</w:t>
      </w:r>
      <w:r w:rsidRPr="005D7687">
        <w:rPr>
          <w:rFonts w:ascii="Times New Roman" w:eastAsia="Times New Roman" w:hAnsi="Times New Roman" w:cs="Times New Roman"/>
          <w:i/>
          <w:iCs/>
          <w:color w:val="1B1C1D"/>
          <w:sz w:val="24"/>
          <w:szCs w:val="24"/>
          <w:lang w:eastAsia="en-IN"/>
        </w:rPr>
        <w:t>T</w:t>
      </w:r>
      <w:r w:rsidRPr="005D7687">
        <w:rPr>
          <w:rFonts w:ascii="Times New Roman" w:eastAsia="Times New Roman" w:hAnsi="Times New Roman" w:cs="Times New Roman"/>
          <w:color w:val="1B1C1D"/>
          <w:sz w:val="24"/>
          <w:szCs w:val="24"/>
          <w:lang w:eastAsia="en-IN"/>
        </w:rPr>
        <w:t>) of 5.80</w:t>
      </w:r>
      <w:r w:rsidRPr="005D7687">
        <w:rPr>
          <w:rFonts w:ascii="Times New Roman" w:eastAsia="Times New Roman" w:hAnsi="Times New Roman" w:cs="Times New Roman"/>
          <w:i/>
          <w:iCs/>
          <w:color w:val="1B1C1D"/>
          <w:sz w:val="24"/>
          <w:szCs w:val="24"/>
          <w:lang w:eastAsia="en-IN"/>
        </w:rPr>
        <w:t>C</w:t>
      </w:r>
      <w:r w:rsidRPr="005D7687">
        <w:rPr>
          <w:rFonts w:ascii="Times New Roman" w:eastAsia="Times New Roman" w:hAnsi="Times New Roman" w:cs="Times New Roman"/>
          <w:color w:val="1B1C1D"/>
          <w:sz w:val="24"/>
          <w:szCs w:val="24"/>
          <w:lang w:eastAsia="en-IN"/>
        </w:rPr>
        <w:t>.   </w:t>
      </w:r>
    </w:p>
    <w:p w14:paraId="3F6095E7" w14:textId="77777777" w:rsidR="005D7687" w:rsidRPr="005D7687" w:rsidRDefault="005D7687" w:rsidP="005D7687">
      <w:pPr>
        <w:shd w:val="clear" w:color="auto" w:fill="FFFFFF"/>
        <w:spacing w:after="240" w:line="360" w:lineRule="auto"/>
        <w:jc w:val="both"/>
        <w:rPr>
          <w:rFonts w:ascii="Times New Roman" w:eastAsia="Times New Roman" w:hAnsi="Times New Roman" w:cs="Times New Roman"/>
          <w:b/>
          <w:bCs/>
          <w:color w:val="1B1C1D"/>
          <w:sz w:val="24"/>
          <w:szCs w:val="24"/>
          <w:lang w:eastAsia="en-IN"/>
        </w:rPr>
      </w:pPr>
      <w:r w:rsidRPr="005D7687">
        <w:rPr>
          <w:rFonts w:ascii="Times New Roman" w:eastAsia="Times New Roman" w:hAnsi="Times New Roman" w:cs="Times New Roman"/>
          <w:b/>
          <w:bCs/>
          <w:color w:val="1B1C1D"/>
          <w:sz w:val="24"/>
          <w:szCs w:val="24"/>
          <w:lang w:eastAsia="en-IN"/>
        </w:rPr>
        <w:t>Table 1: Comparative Microclimatic Conditions in Zero Energy Cool Chamber (ZECC) versus Ambient Open Storage during Summer</w:t>
      </w:r>
    </w:p>
    <w:tbl>
      <w:tblPr>
        <w:tblStyle w:val="TableGrid"/>
        <w:tblW w:w="9985" w:type="dxa"/>
        <w:tblLook w:val="04A0" w:firstRow="1" w:lastRow="0" w:firstColumn="1" w:lastColumn="0" w:noHBand="0" w:noVBand="1"/>
      </w:tblPr>
      <w:tblGrid>
        <w:gridCol w:w="1435"/>
        <w:gridCol w:w="1800"/>
        <w:gridCol w:w="2070"/>
        <w:gridCol w:w="2430"/>
        <w:gridCol w:w="2250"/>
      </w:tblGrid>
      <w:tr w:rsidR="005D7687" w:rsidRPr="005D7687" w14:paraId="4DA0C96C" w14:textId="77777777" w:rsidTr="005D7687">
        <w:trPr>
          <w:trHeight w:val="502"/>
        </w:trPr>
        <w:tc>
          <w:tcPr>
            <w:tcW w:w="1435" w:type="dxa"/>
            <w:hideMark/>
          </w:tcPr>
          <w:p w14:paraId="77638772" w14:textId="77777777" w:rsidR="005D7687" w:rsidRPr="005D7687" w:rsidRDefault="005D7687" w:rsidP="005D7687">
            <w:pPr>
              <w:spacing w:line="276"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b/>
                <w:bCs/>
                <w:sz w:val="24"/>
                <w:szCs w:val="24"/>
                <w:lang w:eastAsia="en-IN"/>
              </w:rPr>
              <w:t>Storage System</w:t>
            </w:r>
          </w:p>
        </w:tc>
        <w:tc>
          <w:tcPr>
            <w:tcW w:w="1800" w:type="dxa"/>
            <w:hideMark/>
          </w:tcPr>
          <w:p w14:paraId="40501A06" w14:textId="77777777" w:rsidR="005D7687" w:rsidRPr="005D7687" w:rsidRDefault="005D7687" w:rsidP="005D7687">
            <w:pPr>
              <w:spacing w:line="276"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b/>
                <w:bCs/>
                <w:sz w:val="24"/>
                <w:szCs w:val="24"/>
                <w:lang w:eastAsia="en-IN"/>
              </w:rPr>
              <w:t>Temperature (0</w:t>
            </w:r>
            <w:r w:rsidRPr="005D7687">
              <w:rPr>
                <w:rFonts w:ascii="Times New Roman" w:eastAsia="Times New Roman" w:hAnsi="Times New Roman" w:cs="Times New Roman"/>
                <w:b/>
                <w:bCs/>
                <w:i/>
                <w:iCs/>
                <w:sz w:val="24"/>
                <w:szCs w:val="24"/>
                <w:lang w:eastAsia="en-IN"/>
              </w:rPr>
              <w:t>C</w:t>
            </w:r>
            <w:r w:rsidRPr="005D7687">
              <w:rPr>
                <w:rFonts w:ascii="Times New Roman" w:eastAsia="Times New Roman" w:hAnsi="Times New Roman" w:cs="Times New Roman"/>
                <w:b/>
                <w:bCs/>
                <w:sz w:val="24"/>
                <w:szCs w:val="24"/>
                <w:lang w:eastAsia="en-IN"/>
              </w:rPr>
              <w:t>)</w:t>
            </w:r>
          </w:p>
        </w:tc>
        <w:tc>
          <w:tcPr>
            <w:tcW w:w="2070" w:type="dxa"/>
            <w:hideMark/>
          </w:tcPr>
          <w:p w14:paraId="5C032A86" w14:textId="77777777" w:rsidR="005D7687" w:rsidRPr="005D7687" w:rsidRDefault="005D7687" w:rsidP="005D7687">
            <w:pPr>
              <w:spacing w:line="276"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b/>
                <w:bCs/>
                <w:sz w:val="24"/>
                <w:szCs w:val="24"/>
                <w:lang w:eastAsia="en-IN"/>
              </w:rPr>
              <w:t>Relative Humidity (%)</w:t>
            </w:r>
          </w:p>
        </w:tc>
        <w:tc>
          <w:tcPr>
            <w:tcW w:w="2430" w:type="dxa"/>
            <w:hideMark/>
          </w:tcPr>
          <w:p w14:paraId="0083486D" w14:textId="77777777" w:rsidR="005D7687" w:rsidRPr="005D7687" w:rsidRDefault="005D7687" w:rsidP="005D7687">
            <w:pPr>
              <w:spacing w:line="276"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b/>
                <w:bCs/>
                <w:sz w:val="24"/>
                <w:szCs w:val="24"/>
                <w:lang w:eastAsia="en-IN"/>
              </w:rPr>
              <w:t>Temperature Differential (Δ</w:t>
            </w:r>
            <w:r w:rsidRPr="005D7687">
              <w:rPr>
                <w:rFonts w:ascii="Times New Roman" w:eastAsia="Times New Roman" w:hAnsi="Times New Roman" w:cs="Times New Roman"/>
                <w:b/>
                <w:bCs/>
                <w:i/>
                <w:iCs/>
                <w:sz w:val="24"/>
                <w:szCs w:val="24"/>
                <w:lang w:eastAsia="en-IN"/>
              </w:rPr>
              <w:t>T</w:t>
            </w:r>
            <w:r w:rsidRPr="005D7687">
              <w:rPr>
                <w:rFonts w:ascii="Times New Roman" w:eastAsia="Times New Roman" w:hAnsi="Times New Roman" w:cs="Times New Roman"/>
                <w:b/>
                <w:bCs/>
                <w:sz w:val="24"/>
                <w:szCs w:val="24"/>
                <w:lang w:eastAsia="en-IN"/>
              </w:rPr>
              <w:t>) (0</w:t>
            </w:r>
            <w:r w:rsidRPr="005D7687">
              <w:rPr>
                <w:rFonts w:ascii="Times New Roman" w:eastAsia="Times New Roman" w:hAnsi="Times New Roman" w:cs="Times New Roman"/>
                <w:b/>
                <w:bCs/>
                <w:i/>
                <w:iCs/>
                <w:sz w:val="24"/>
                <w:szCs w:val="24"/>
                <w:lang w:eastAsia="en-IN"/>
              </w:rPr>
              <w:t>C</w:t>
            </w:r>
            <w:r w:rsidRPr="005D7687">
              <w:rPr>
                <w:rFonts w:ascii="Times New Roman" w:eastAsia="Times New Roman" w:hAnsi="Times New Roman" w:cs="Times New Roman"/>
                <w:b/>
                <w:bCs/>
                <w:sz w:val="24"/>
                <w:szCs w:val="24"/>
                <w:lang w:eastAsia="en-IN"/>
              </w:rPr>
              <w:t>)</w:t>
            </w:r>
          </w:p>
        </w:tc>
        <w:tc>
          <w:tcPr>
            <w:tcW w:w="2250" w:type="dxa"/>
            <w:hideMark/>
          </w:tcPr>
          <w:p w14:paraId="477E26BC" w14:textId="77777777" w:rsidR="005D7687" w:rsidRPr="005D7687" w:rsidRDefault="005D7687" w:rsidP="005D7687">
            <w:pPr>
              <w:spacing w:line="276"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b/>
                <w:bCs/>
                <w:sz w:val="24"/>
                <w:szCs w:val="24"/>
                <w:lang w:eastAsia="en-IN"/>
              </w:rPr>
              <w:t>Humidity Differential (Δ</w:t>
            </w:r>
            <w:r w:rsidRPr="005D7687">
              <w:rPr>
                <w:rFonts w:ascii="Times New Roman" w:eastAsia="Times New Roman" w:hAnsi="Times New Roman" w:cs="Times New Roman"/>
                <w:b/>
                <w:bCs/>
                <w:i/>
                <w:iCs/>
                <w:sz w:val="24"/>
                <w:szCs w:val="24"/>
                <w:lang w:eastAsia="en-IN"/>
              </w:rPr>
              <w:t>RH</w:t>
            </w:r>
            <w:r w:rsidRPr="005D7687">
              <w:rPr>
                <w:rFonts w:ascii="Times New Roman" w:eastAsia="Times New Roman" w:hAnsi="Times New Roman" w:cs="Times New Roman"/>
                <w:b/>
                <w:bCs/>
                <w:sz w:val="24"/>
                <w:szCs w:val="24"/>
                <w:lang w:eastAsia="en-IN"/>
              </w:rPr>
              <w:t>) (%)</w:t>
            </w:r>
          </w:p>
        </w:tc>
      </w:tr>
      <w:tr w:rsidR="005D7687" w:rsidRPr="005D7687" w14:paraId="0B99D644" w14:textId="77777777" w:rsidTr="005D7687">
        <w:trPr>
          <w:trHeight w:val="250"/>
        </w:trPr>
        <w:tc>
          <w:tcPr>
            <w:tcW w:w="1435" w:type="dxa"/>
            <w:hideMark/>
          </w:tcPr>
          <w:p w14:paraId="2C5C1259" w14:textId="77777777" w:rsidR="005D7687" w:rsidRPr="005D7687" w:rsidRDefault="005D7687" w:rsidP="005D7687">
            <w:pPr>
              <w:spacing w:line="276"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ZECC</w:t>
            </w:r>
          </w:p>
        </w:tc>
        <w:tc>
          <w:tcPr>
            <w:tcW w:w="1800" w:type="dxa"/>
            <w:hideMark/>
          </w:tcPr>
          <w:p w14:paraId="63389933" w14:textId="77777777" w:rsidR="005D7687" w:rsidRPr="005D7687" w:rsidRDefault="005D7687" w:rsidP="005D7687">
            <w:pPr>
              <w:spacing w:line="276"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30.05</w:t>
            </w:r>
          </w:p>
        </w:tc>
        <w:tc>
          <w:tcPr>
            <w:tcW w:w="2070" w:type="dxa"/>
            <w:hideMark/>
          </w:tcPr>
          <w:p w14:paraId="0D5A3490" w14:textId="77777777" w:rsidR="005D7687" w:rsidRPr="005D7687" w:rsidRDefault="005D7687" w:rsidP="005D7687">
            <w:pPr>
              <w:spacing w:line="276"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95.5</w:t>
            </w:r>
          </w:p>
        </w:tc>
        <w:tc>
          <w:tcPr>
            <w:tcW w:w="2430" w:type="dxa"/>
            <w:hideMark/>
          </w:tcPr>
          <w:p w14:paraId="589F3587" w14:textId="77777777" w:rsidR="005D7687" w:rsidRPr="005D7687" w:rsidRDefault="005D7687" w:rsidP="005D7687">
            <w:pPr>
              <w:spacing w:line="276"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5.8</w:t>
            </w:r>
          </w:p>
        </w:tc>
        <w:tc>
          <w:tcPr>
            <w:tcW w:w="2250" w:type="dxa"/>
            <w:hideMark/>
          </w:tcPr>
          <w:p w14:paraId="6ED5653D" w14:textId="77777777" w:rsidR="005D7687" w:rsidRPr="005D7687" w:rsidRDefault="005D7687" w:rsidP="005D7687">
            <w:pPr>
              <w:spacing w:line="276"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40.5</w:t>
            </w:r>
          </w:p>
        </w:tc>
      </w:tr>
      <w:tr w:rsidR="005D7687" w:rsidRPr="005D7687" w14:paraId="4DE4B316" w14:textId="77777777" w:rsidTr="005D7687">
        <w:trPr>
          <w:trHeight w:val="502"/>
        </w:trPr>
        <w:tc>
          <w:tcPr>
            <w:tcW w:w="1435" w:type="dxa"/>
            <w:hideMark/>
          </w:tcPr>
          <w:p w14:paraId="27BDA0FB" w14:textId="77777777" w:rsidR="005D7687" w:rsidRPr="005D7687" w:rsidRDefault="005D7687" w:rsidP="005D7687">
            <w:pPr>
              <w:spacing w:line="276"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Open Basket (Ambient)</w:t>
            </w:r>
          </w:p>
        </w:tc>
        <w:tc>
          <w:tcPr>
            <w:tcW w:w="1800" w:type="dxa"/>
            <w:hideMark/>
          </w:tcPr>
          <w:p w14:paraId="30D59274" w14:textId="77777777" w:rsidR="005D7687" w:rsidRPr="005D7687" w:rsidRDefault="005D7687" w:rsidP="005D7687">
            <w:pPr>
              <w:spacing w:line="276"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35.85</w:t>
            </w:r>
          </w:p>
        </w:tc>
        <w:tc>
          <w:tcPr>
            <w:tcW w:w="2070" w:type="dxa"/>
            <w:hideMark/>
          </w:tcPr>
          <w:p w14:paraId="0C603ABE" w14:textId="77777777" w:rsidR="005D7687" w:rsidRPr="005D7687" w:rsidRDefault="005D7687" w:rsidP="005D7687">
            <w:pPr>
              <w:spacing w:line="276"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55.0</w:t>
            </w:r>
          </w:p>
        </w:tc>
        <w:tc>
          <w:tcPr>
            <w:tcW w:w="2430" w:type="dxa"/>
            <w:hideMark/>
          </w:tcPr>
          <w:p w14:paraId="62BA5341" w14:textId="77777777" w:rsidR="005D7687" w:rsidRPr="005D7687" w:rsidRDefault="005D7687" w:rsidP="005D7687">
            <w:pPr>
              <w:spacing w:line="276"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w:t>
            </w:r>
          </w:p>
        </w:tc>
        <w:tc>
          <w:tcPr>
            <w:tcW w:w="2250" w:type="dxa"/>
            <w:hideMark/>
          </w:tcPr>
          <w:p w14:paraId="2118C25A" w14:textId="77777777" w:rsidR="005D7687" w:rsidRPr="005D7687" w:rsidRDefault="005D7687" w:rsidP="005D7687">
            <w:pPr>
              <w:spacing w:line="276"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w:t>
            </w:r>
          </w:p>
        </w:tc>
      </w:tr>
    </w:tbl>
    <w:p w14:paraId="59B73C44" w14:textId="77777777"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5D7687">
        <w:rPr>
          <w:rFonts w:ascii="Times New Roman" w:eastAsia="Times New Roman" w:hAnsi="Times New Roman" w:cs="Times New Roman"/>
          <w:color w:val="1B1C1D"/>
          <w:sz w:val="24"/>
          <w:szCs w:val="24"/>
          <w:lang w:eastAsia="en-IN"/>
        </w:rPr>
        <w:t>The most critical impact was observed in the chamber’s humidity control. While the open basket system exhibited a low relative humidity (RH) of 55.0%, the ZECC maintained a near-saturated atmosphere at 95.5% RH. This represents a humidity differential (Δ</w:t>
      </w:r>
      <w:r w:rsidRPr="005D7687">
        <w:rPr>
          <w:rFonts w:ascii="Times New Roman" w:eastAsia="Times New Roman" w:hAnsi="Times New Roman" w:cs="Times New Roman"/>
          <w:i/>
          <w:iCs/>
          <w:color w:val="1B1C1D"/>
          <w:sz w:val="24"/>
          <w:szCs w:val="24"/>
          <w:lang w:eastAsia="en-IN"/>
        </w:rPr>
        <w:t>RH</w:t>
      </w:r>
      <w:r w:rsidRPr="005D7687">
        <w:rPr>
          <w:rFonts w:ascii="Times New Roman" w:eastAsia="Times New Roman" w:hAnsi="Times New Roman" w:cs="Times New Roman"/>
          <w:color w:val="1B1C1D"/>
          <w:sz w:val="24"/>
          <w:szCs w:val="24"/>
          <w:lang w:eastAsia="en-IN"/>
        </w:rPr>
        <w:t>) of 40.5%.   </w:t>
      </w:r>
    </w:p>
    <w:p w14:paraId="658FDE68" w14:textId="77777777"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5D7687">
        <w:rPr>
          <w:rFonts w:ascii="Times New Roman" w:eastAsia="Times New Roman" w:hAnsi="Times New Roman" w:cs="Times New Roman"/>
          <w:color w:val="1B1C1D"/>
          <w:sz w:val="24"/>
          <w:szCs w:val="24"/>
          <w:lang w:eastAsia="en-IN"/>
        </w:rPr>
        <w:lastRenderedPageBreak/>
        <w:t>This simultaneous reduction in temperature and substantial elevation in RH fundamentally modifies the storage environment by minimizing the Vapor Pressure Deficit (VPD). The high VPD characteristic of hot, dry ambient summer air is the direct thermodynamic driver of rapid water transfer from the high moisture content produce to the low moisture environment, causing wilting and weight loss. By creating a cold, saturated air blanket around the produce, the ZECC effectively halts this mass transfer, thereby providing the foundation for reduced physiological loss in weight (PLW) and extended quality retention.   </w:t>
      </w:r>
    </w:p>
    <w:p w14:paraId="5B543696" w14:textId="77777777" w:rsidR="005D7687" w:rsidRPr="005D7687" w:rsidRDefault="005D7687" w:rsidP="005D7687">
      <w:pPr>
        <w:shd w:val="clear" w:color="auto" w:fill="FFFFFF"/>
        <w:spacing w:before="420" w:after="120" w:line="360" w:lineRule="auto"/>
        <w:jc w:val="both"/>
        <w:outlineLvl w:val="2"/>
        <w:rPr>
          <w:rFonts w:ascii="Times New Roman" w:eastAsia="Times New Roman" w:hAnsi="Times New Roman" w:cs="Times New Roman"/>
          <w:b/>
          <w:bCs/>
          <w:color w:val="1B1C1D"/>
          <w:sz w:val="24"/>
          <w:szCs w:val="24"/>
          <w:lang w:eastAsia="en-IN"/>
        </w:rPr>
      </w:pPr>
      <w:r w:rsidRPr="005D7687">
        <w:rPr>
          <w:rFonts w:ascii="Times New Roman" w:eastAsia="Times New Roman" w:hAnsi="Times New Roman" w:cs="Times New Roman"/>
          <w:b/>
          <w:bCs/>
          <w:color w:val="1B1C1D"/>
          <w:sz w:val="24"/>
          <w:szCs w:val="24"/>
          <w:lang w:eastAsia="en-IN"/>
        </w:rPr>
        <w:t>Physiological Loss in Weight (PLW) Mitigation and Extended Retention</w:t>
      </w:r>
    </w:p>
    <w:p w14:paraId="48BF0D88" w14:textId="77777777"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5D7687">
        <w:rPr>
          <w:rFonts w:ascii="Times New Roman" w:eastAsia="Times New Roman" w:hAnsi="Times New Roman" w:cs="Times New Roman"/>
          <w:color w:val="1B1C1D"/>
          <w:sz w:val="24"/>
          <w:szCs w:val="24"/>
          <w:lang w:eastAsia="en-IN"/>
        </w:rPr>
        <w:t>The quantitative data on PLW confirmed that the modulated microclimate within the ZECC significantly inhibited deterioration across all tested vegetable varieties (Table 2). The efficacy of the ZECC is directly demonstrated by the extension of the "well stored" period and the reduction in cumulative mass loss over comparable storage durations.   </w:t>
      </w:r>
    </w:p>
    <w:p w14:paraId="6476E99B" w14:textId="247DF31E" w:rsidR="005D7687" w:rsidRPr="005D7687" w:rsidRDefault="005D7687" w:rsidP="005D7687">
      <w:pPr>
        <w:shd w:val="clear" w:color="auto" w:fill="FFFFFF"/>
        <w:spacing w:after="240" w:line="360" w:lineRule="auto"/>
        <w:jc w:val="both"/>
        <w:rPr>
          <w:rFonts w:ascii="Times New Roman" w:eastAsia="Times New Roman" w:hAnsi="Times New Roman" w:cs="Times New Roman"/>
          <w:b/>
          <w:bCs/>
          <w:color w:val="1B1C1D"/>
          <w:sz w:val="24"/>
          <w:szCs w:val="24"/>
          <w:lang w:eastAsia="en-IN"/>
        </w:rPr>
      </w:pPr>
      <w:r w:rsidRPr="005D7687">
        <w:rPr>
          <w:rFonts w:ascii="Times New Roman" w:eastAsia="Times New Roman" w:hAnsi="Times New Roman" w:cs="Times New Roman"/>
          <w:b/>
          <w:bCs/>
          <w:color w:val="1B1C1D"/>
          <w:sz w:val="24"/>
          <w:szCs w:val="24"/>
          <w:lang w:eastAsia="en-IN"/>
        </w:rPr>
        <w:t>Table 2: Influence of Storage Conditions on Marketable Storage Duration and Physiological Loss in Weight (PLW)</w:t>
      </w:r>
    </w:p>
    <w:tbl>
      <w:tblPr>
        <w:tblStyle w:val="TableGrid"/>
        <w:tblW w:w="9780" w:type="dxa"/>
        <w:tblLook w:val="04A0" w:firstRow="1" w:lastRow="0" w:firstColumn="1" w:lastColumn="0" w:noHBand="0" w:noVBand="1"/>
      </w:tblPr>
      <w:tblGrid>
        <w:gridCol w:w="1364"/>
        <w:gridCol w:w="1621"/>
        <w:gridCol w:w="1557"/>
        <w:gridCol w:w="1690"/>
        <w:gridCol w:w="1280"/>
        <w:gridCol w:w="2268"/>
      </w:tblGrid>
      <w:tr w:rsidR="005D7687" w:rsidRPr="005D7687" w14:paraId="60DFBC7E" w14:textId="77777777" w:rsidTr="005D7687">
        <w:trPr>
          <w:trHeight w:val="551"/>
        </w:trPr>
        <w:tc>
          <w:tcPr>
            <w:tcW w:w="1364" w:type="dxa"/>
            <w:hideMark/>
          </w:tcPr>
          <w:p w14:paraId="40ECB8EC" w14:textId="77777777" w:rsidR="005D7687" w:rsidRPr="005D7687" w:rsidRDefault="005D7687" w:rsidP="005D7687">
            <w:pPr>
              <w:spacing w:line="360" w:lineRule="auto"/>
              <w:jc w:val="center"/>
              <w:rPr>
                <w:rFonts w:ascii="Times New Roman" w:eastAsia="Times New Roman" w:hAnsi="Times New Roman" w:cs="Times New Roman"/>
                <w:sz w:val="24"/>
                <w:szCs w:val="24"/>
                <w:lang w:eastAsia="en-IN"/>
              </w:rPr>
            </w:pPr>
            <w:r w:rsidRPr="005D7687">
              <w:rPr>
                <w:rFonts w:ascii="Times New Roman" w:eastAsia="Times New Roman" w:hAnsi="Times New Roman" w:cs="Times New Roman"/>
                <w:b/>
                <w:bCs/>
                <w:sz w:val="24"/>
                <w:szCs w:val="24"/>
                <w:lang w:eastAsia="en-IN"/>
              </w:rPr>
              <w:t>Vegetable</w:t>
            </w:r>
          </w:p>
        </w:tc>
        <w:tc>
          <w:tcPr>
            <w:tcW w:w="1621" w:type="dxa"/>
            <w:hideMark/>
          </w:tcPr>
          <w:p w14:paraId="547F18DD" w14:textId="77777777" w:rsidR="005D7687" w:rsidRPr="005D7687" w:rsidRDefault="005D7687" w:rsidP="005D7687">
            <w:pPr>
              <w:spacing w:line="360" w:lineRule="auto"/>
              <w:jc w:val="center"/>
              <w:rPr>
                <w:rFonts w:ascii="Times New Roman" w:eastAsia="Times New Roman" w:hAnsi="Times New Roman" w:cs="Times New Roman"/>
                <w:sz w:val="24"/>
                <w:szCs w:val="24"/>
                <w:lang w:eastAsia="en-IN"/>
              </w:rPr>
            </w:pPr>
            <w:r w:rsidRPr="005D7687">
              <w:rPr>
                <w:rFonts w:ascii="Times New Roman" w:eastAsia="Times New Roman" w:hAnsi="Times New Roman" w:cs="Times New Roman"/>
                <w:b/>
                <w:bCs/>
                <w:sz w:val="24"/>
                <w:szCs w:val="24"/>
                <w:lang w:eastAsia="en-IN"/>
              </w:rPr>
              <w:t>Ambient Duration (Days)</w:t>
            </w:r>
          </w:p>
        </w:tc>
        <w:tc>
          <w:tcPr>
            <w:tcW w:w="1557" w:type="dxa"/>
            <w:hideMark/>
          </w:tcPr>
          <w:p w14:paraId="2AE9BC0A" w14:textId="77777777" w:rsidR="005D7687" w:rsidRPr="005D7687" w:rsidRDefault="005D7687" w:rsidP="005D7687">
            <w:pPr>
              <w:spacing w:line="360" w:lineRule="auto"/>
              <w:jc w:val="center"/>
              <w:rPr>
                <w:rFonts w:ascii="Times New Roman" w:eastAsia="Times New Roman" w:hAnsi="Times New Roman" w:cs="Times New Roman"/>
                <w:sz w:val="24"/>
                <w:szCs w:val="24"/>
                <w:lang w:eastAsia="en-IN"/>
              </w:rPr>
            </w:pPr>
            <w:r w:rsidRPr="005D7687">
              <w:rPr>
                <w:rFonts w:ascii="Times New Roman" w:eastAsia="Times New Roman" w:hAnsi="Times New Roman" w:cs="Times New Roman"/>
                <w:b/>
                <w:bCs/>
                <w:sz w:val="24"/>
                <w:szCs w:val="24"/>
                <w:lang w:eastAsia="en-IN"/>
              </w:rPr>
              <w:t>Ambient PLW (%)</w:t>
            </w:r>
          </w:p>
        </w:tc>
        <w:tc>
          <w:tcPr>
            <w:tcW w:w="0" w:type="auto"/>
            <w:hideMark/>
          </w:tcPr>
          <w:p w14:paraId="63DF98BB" w14:textId="77777777" w:rsidR="005D7687" w:rsidRPr="005D7687" w:rsidRDefault="005D7687" w:rsidP="005D7687">
            <w:pPr>
              <w:spacing w:line="360" w:lineRule="auto"/>
              <w:jc w:val="center"/>
              <w:rPr>
                <w:rFonts w:ascii="Times New Roman" w:eastAsia="Times New Roman" w:hAnsi="Times New Roman" w:cs="Times New Roman"/>
                <w:sz w:val="24"/>
                <w:szCs w:val="24"/>
                <w:lang w:eastAsia="en-IN"/>
              </w:rPr>
            </w:pPr>
            <w:r w:rsidRPr="005D7687">
              <w:rPr>
                <w:rFonts w:ascii="Times New Roman" w:eastAsia="Times New Roman" w:hAnsi="Times New Roman" w:cs="Times New Roman"/>
                <w:b/>
                <w:bCs/>
                <w:sz w:val="24"/>
                <w:szCs w:val="24"/>
                <w:lang w:eastAsia="en-IN"/>
              </w:rPr>
              <w:t>ZECC Duration (Days)</w:t>
            </w:r>
          </w:p>
        </w:tc>
        <w:tc>
          <w:tcPr>
            <w:tcW w:w="0" w:type="auto"/>
            <w:hideMark/>
          </w:tcPr>
          <w:p w14:paraId="13F33A9E" w14:textId="77777777" w:rsidR="005D7687" w:rsidRPr="005D7687" w:rsidRDefault="005D7687" w:rsidP="005D7687">
            <w:pPr>
              <w:spacing w:line="360" w:lineRule="auto"/>
              <w:jc w:val="center"/>
              <w:rPr>
                <w:rFonts w:ascii="Times New Roman" w:eastAsia="Times New Roman" w:hAnsi="Times New Roman" w:cs="Times New Roman"/>
                <w:sz w:val="24"/>
                <w:szCs w:val="24"/>
                <w:lang w:eastAsia="en-IN"/>
              </w:rPr>
            </w:pPr>
            <w:r w:rsidRPr="005D7687">
              <w:rPr>
                <w:rFonts w:ascii="Times New Roman" w:eastAsia="Times New Roman" w:hAnsi="Times New Roman" w:cs="Times New Roman"/>
                <w:b/>
                <w:bCs/>
                <w:sz w:val="24"/>
                <w:szCs w:val="24"/>
                <w:lang w:eastAsia="en-IN"/>
              </w:rPr>
              <w:t>ZECC PLW (%)</w:t>
            </w:r>
          </w:p>
        </w:tc>
        <w:tc>
          <w:tcPr>
            <w:tcW w:w="0" w:type="auto"/>
            <w:hideMark/>
          </w:tcPr>
          <w:p w14:paraId="751C7C76" w14:textId="77777777" w:rsidR="005D7687" w:rsidRPr="005D7687" w:rsidRDefault="005D7687" w:rsidP="005D7687">
            <w:pPr>
              <w:spacing w:line="360" w:lineRule="auto"/>
              <w:jc w:val="center"/>
              <w:rPr>
                <w:rFonts w:ascii="Times New Roman" w:eastAsia="Times New Roman" w:hAnsi="Times New Roman" w:cs="Times New Roman"/>
                <w:sz w:val="24"/>
                <w:szCs w:val="24"/>
                <w:lang w:eastAsia="en-IN"/>
              </w:rPr>
            </w:pPr>
            <w:r w:rsidRPr="005D7687">
              <w:rPr>
                <w:rFonts w:ascii="Times New Roman" w:eastAsia="Times New Roman" w:hAnsi="Times New Roman" w:cs="Times New Roman"/>
                <w:b/>
                <w:bCs/>
                <w:sz w:val="24"/>
                <w:szCs w:val="24"/>
                <w:lang w:eastAsia="en-IN"/>
              </w:rPr>
              <w:t>Ambient PLW at ZECC Duration (%)</w:t>
            </w:r>
          </w:p>
        </w:tc>
      </w:tr>
      <w:tr w:rsidR="005D7687" w:rsidRPr="005D7687" w14:paraId="3EDC97FB" w14:textId="77777777" w:rsidTr="005D7687">
        <w:trPr>
          <w:trHeight w:val="162"/>
        </w:trPr>
        <w:tc>
          <w:tcPr>
            <w:tcW w:w="1364" w:type="dxa"/>
            <w:hideMark/>
          </w:tcPr>
          <w:p w14:paraId="024F10E8"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Okra</w:t>
            </w:r>
          </w:p>
        </w:tc>
        <w:tc>
          <w:tcPr>
            <w:tcW w:w="1621" w:type="dxa"/>
            <w:hideMark/>
          </w:tcPr>
          <w:p w14:paraId="2E4853AC"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2</w:t>
            </w:r>
          </w:p>
        </w:tc>
        <w:tc>
          <w:tcPr>
            <w:tcW w:w="1557" w:type="dxa"/>
            <w:hideMark/>
          </w:tcPr>
          <w:p w14:paraId="27BEBA97"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9.75</w:t>
            </w:r>
          </w:p>
        </w:tc>
        <w:tc>
          <w:tcPr>
            <w:tcW w:w="0" w:type="auto"/>
            <w:hideMark/>
          </w:tcPr>
          <w:p w14:paraId="5B08F9D0"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3</w:t>
            </w:r>
          </w:p>
        </w:tc>
        <w:tc>
          <w:tcPr>
            <w:tcW w:w="0" w:type="auto"/>
            <w:hideMark/>
          </w:tcPr>
          <w:p w14:paraId="02647AEE"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7.0</w:t>
            </w:r>
          </w:p>
        </w:tc>
        <w:tc>
          <w:tcPr>
            <w:tcW w:w="0" w:type="auto"/>
            <w:hideMark/>
          </w:tcPr>
          <w:p w14:paraId="63CCB22F"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23.0 (Day 3)</w:t>
            </w:r>
          </w:p>
        </w:tc>
      </w:tr>
      <w:tr w:rsidR="005D7687" w:rsidRPr="005D7687" w14:paraId="03B3B19C" w14:textId="77777777" w:rsidTr="005D7687">
        <w:trPr>
          <w:trHeight w:val="315"/>
        </w:trPr>
        <w:tc>
          <w:tcPr>
            <w:tcW w:w="1364" w:type="dxa"/>
            <w:hideMark/>
          </w:tcPr>
          <w:p w14:paraId="2FBF6009"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Radish</w:t>
            </w:r>
          </w:p>
        </w:tc>
        <w:tc>
          <w:tcPr>
            <w:tcW w:w="1621" w:type="dxa"/>
            <w:hideMark/>
          </w:tcPr>
          <w:p w14:paraId="5BD409AB"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3</w:t>
            </w:r>
          </w:p>
        </w:tc>
        <w:tc>
          <w:tcPr>
            <w:tcW w:w="1557" w:type="dxa"/>
            <w:hideMark/>
          </w:tcPr>
          <w:p w14:paraId="7083BB23"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10.0</w:t>
            </w:r>
          </w:p>
        </w:tc>
        <w:tc>
          <w:tcPr>
            <w:tcW w:w="0" w:type="auto"/>
            <w:hideMark/>
          </w:tcPr>
          <w:p w14:paraId="08AF1BA3"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4</w:t>
            </w:r>
          </w:p>
        </w:tc>
        <w:tc>
          <w:tcPr>
            <w:tcW w:w="0" w:type="auto"/>
            <w:hideMark/>
          </w:tcPr>
          <w:p w14:paraId="40C401AC"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6.6</w:t>
            </w:r>
          </w:p>
        </w:tc>
        <w:tc>
          <w:tcPr>
            <w:tcW w:w="0" w:type="auto"/>
            <w:hideMark/>
          </w:tcPr>
          <w:p w14:paraId="3A810BEF"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24.4 (Day 4)</w:t>
            </w:r>
          </w:p>
        </w:tc>
      </w:tr>
      <w:tr w:rsidR="005D7687" w:rsidRPr="005D7687" w14:paraId="3165327F" w14:textId="77777777" w:rsidTr="005D7687">
        <w:trPr>
          <w:trHeight w:val="90"/>
        </w:trPr>
        <w:tc>
          <w:tcPr>
            <w:tcW w:w="1364" w:type="dxa"/>
            <w:hideMark/>
          </w:tcPr>
          <w:p w14:paraId="1FB162B9"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Spinach</w:t>
            </w:r>
          </w:p>
        </w:tc>
        <w:tc>
          <w:tcPr>
            <w:tcW w:w="1621" w:type="dxa"/>
            <w:hideMark/>
          </w:tcPr>
          <w:p w14:paraId="73251DC2"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1</w:t>
            </w:r>
          </w:p>
        </w:tc>
        <w:tc>
          <w:tcPr>
            <w:tcW w:w="1557" w:type="dxa"/>
            <w:hideMark/>
          </w:tcPr>
          <w:p w14:paraId="71F39169"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9.5</w:t>
            </w:r>
          </w:p>
        </w:tc>
        <w:tc>
          <w:tcPr>
            <w:tcW w:w="0" w:type="auto"/>
            <w:hideMark/>
          </w:tcPr>
          <w:p w14:paraId="281E65C1"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2</w:t>
            </w:r>
          </w:p>
        </w:tc>
        <w:tc>
          <w:tcPr>
            <w:tcW w:w="0" w:type="auto"/>
            <w:hideMark/>
          </w:tcPr>
          <w:p w14:paraId="3132534A"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10.0</w:t>
            </w:r>
          </w:p>
        </w:tc>
        <w:tc>
          <w:tcPr>
            <w:tcW w:w="0" w:type="auto"/>
            <w:hideMark/>
          </w:tcPr>
          <w:p w14:paraId="72B1FDDE"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23.0 (Day 2)</w:t>
            </w:r>
          </w:p>
        </w:tc>
      </w:tr>
      <w:tr w:rsidR="005D7687" w:rsidRPr="005D7687" w14:paraId="239027F5" w14:textId="77777777" w:rsidTr="005D7687">
        <w:trPr>
          <w:trHeight w:val="287"/>
        </w:trPr>
        <w:tc>
          <w:tcPr>
            <w:tcW w:w="1364" w:type="dxa"/>
            <w:hideMark/>
          </w:tcPr>
          <w:p w14:paraId="124F0DED"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Cauliflower</w:t>
            </w:r>
          </w:p>
        </w:tc>
        <w:tc>
          <w:tcPr>
            <w:tcW w:w="1621" w:type="dxa"/>
            <w:hideMark/>
          </w:tcPr>
          <w:p w14:paraId="7DD60420"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2</w:t>
            </w:r>
          </w:p>
        </w:tc>
        <w:tc>
          <w:tcPr>
            <w:tcW w:w="1557" w:type="dxa"/>
            <w:hideMark/>
          </w:tcPr>
          <w:p w14:paraId="16694753"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7.5</w:t>
            </w:r>
          </w:p>
        </w:tc>
        <w:tc>
          <w:tcPr>
            <w:tcW w:w="0" w:type="auto"/>
            <w:hideMark/>
          </w:tcPr>
          <w:p w14:paraId="5FE1ECD4"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3</w:t>
            </w:r>
          </w:p>
        </w:tc>
        <w:tc>
          <w:tcPr>
            <w:tcW w:w="0" w:type="auto"/>
            <w:hideMark/>
          </w:tcPr>
          <w:p w14:paraId="79476B43"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5.0</w:t>
            </w:r>
          </w:p>
        </w:tc>
        <w:tc>
          <w:tcPr>
            <w:tcW w:w="0" w:type="auto"/>
            <w:hideMark/>
          </w:tcPr>
          <w:p w14:paraId="43EAD8E8"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15.0 (Day 3)</w:t>
            </w:r>
          </w:p>
        </w:tc>
      </w:tr>
      <w:tr w:rsidR="005D7687" w:rsidRPr="005D7687" w14:paraId="11492A05" w14:textId="77777777" w:rsidTr="005D7687">
        <w:trPr>
          <w:trHeight w:val="275"/>
        </w:trPr>
        <w:tc>
          <w:tcPr>
            <w:tcW w:w="1364" w:type="dxa"/>
            <w:hideMark/>
          </w:tcPr>
          <w:p w14:paraId="6C599627"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Mushroom</w:t>
            </w:r>
          </w:p>
        </w:tc>
        <w:tc>
          <w:tcPr>
            <w:tcW w:w="1621" w:type="dxa"/>
            <w:hideMark/>
          </w:tcPr>
          <w:p w14:paraId="43E24031"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&lt;1</w:t>
            </w:r>
          </w:p>
        </w:tc>
        <w:tc>
          <w:tcPr>
            <w:tcW w:w="1557" w:type="dxa"/>
            <w:hideMark/>
          </w:tcPr>
          <w:p w14:paraId="59C5728A"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30.0 (Day 1)</w:t>
            </w:r>
          </w:p>
        </w:tc>
        <w:tc>
          <w:tcPr>
            <w:tcW w:w="0" w:type="auto"/>
            <w:hideMark/>
          </w:tcPr>
          <w:p w14:paraId="06C7F0B4"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2</w:t>
            </w:r>
          </w:p>
        </w:tc>
        <w:tc>
          <w:tcPr>
            <w:tcW w:w="0" w:type="auto"/>
            <w:hideMark/>
          </w:tcPr>
          <w:p w14:paraId="3F69D154"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9.75</w:t>
            </w:r>
          </w:p>
        </w:tc>
        <w:tc>
          <w:tcPr>
            <w:tcW w:w="0" w:type="auto"/>
            <w:hideMark/>
          </w:tcPr>
          <w:p w14:paraId="5990563C"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58.0 (Day 2)</w:t>
            </w:r>
          </w:p>
        </w:tc>
      </w:tr>
    </w:tbl>
    <w:p w14:paraId="3EDDBCB6" w14:textId="7E4C7AA7"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5D7687">
        <w:rPr>
          <w:rFonts w:ascii="Times New Roman" w:eastAsia="Times New Roman" w:hAnsi="Times New Roman" w:cs="Times New Roman"/>
          <w:color w:val="1B1C1D"/>
          <w:sz w:val="24"/>
          <w:szCs w:val="24"/>
          <w:lang w:eastAsia="en-IN"/>
        </w:rPr>
        <w:t xml:space="preserve">Okra, a widely consumed summer vegetable, maintained an acceptable PLW (7.0%) after three days in the ZECC, extending its shelf life by one day compared to the ambient system, which reached 9.75% PLW after only two days. If Okra was kept for three days </w:t>
      </w:r>
      <w:r w:rsidR="004B1595">
        <w:rPr>
          <w:rFonts w:ascii="Times New Roman" w:eastAsia="Times New Roman" w:hAnsi="Times New Roman" w:cs="Times New Roman"/>
          <w:color w:val="1B1C1D"/>
          <w:sz w:val="24"/>
          <w:szCs w:val="24"/>
          <w:lang w:eastAsia="en-IN"/>
        </w:rPr>
        <w:t xml:space="preserve">at </w:t>
      </w:r>
      <w:r w:rsidRPr="005D7687">
        <w:rPr>
          <w:rFonts w:ascii="Times New Roman" w:eastAsia="Times New Roman" w:hAnsi="Times New Roman" w:cs="Times New Roman"/>
          <w:color w:val="1B1C1D"/>
          <w:sz w:val="24"/>
          <w:szCs w:val="24"/>
          <w:lang w:eastAsia="en-IN"/>
        </w:rPr>
        <w:t>ambient, the PLW surged to 23%, confirming the substantial protective effect of the cool chamber. Similarly, Radish retained marketability for four days in the ZECC with 6.6% PLW, outperforming the ambient storage duration of three days (10.0% PLW).   </w:t>
      </w:r>
    </w:p>
    <w:p w14:paraId="5B9D631D" w14:textId="66190251"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5D7687">
        <w:rPr>
          <w:rFonts w:ascii="Times New Roman" w:eastAsia="Times New Roman" w:hAnsi="Times New Roman" w:cs="Times New Roman"/>
          <w:color w:val="1B1C1D"/>
          <w:sz w:val="24"/>
          <w:szCs w:val="24"/>
          <w:lang w:eastAsia="en-IN"/>
        </w:rPr>
        <w:t xml:space="preserve">The greatest quantitative impact was realized for the highly perishable commodities. Oyster </w:t>
      </w:r>
      <w:r w:rsidR="004B1595">
        <w:rPr>
          <w:rFonts w:ascii="Times New Roman" w:eastAsia="Times New Roman" w:hAnsi="Times New Roman" w:cs="Times New Roman"/>
          <w:color w:val="1B1C1D"/>
          <w:sz w:val="24"/>
          <w:szCs w:val="24"/>
          <w:lang w:eastAsia="en-IN"/>
        </w:rPr>
        <w:t>mushrooms are</w:t>
      </w:r>
      <w:r w:rsidRPr="005D7687">
        <w:rPr>
          <w:rFonts w:ascii="Times New Roman" w:eastAsia="Times New Roman" w:hAnsi="Times New Roman" w:cs="Times New Roman"/>
          <w:color w:val="1B1C1D"/>
          <w:sz w:val="24"/>
          <w:szCs w:val="24"/>
          <w:lang w:eastAsia="en-IN"/>
        </w:rPr>
        <w:t xml:space="preserve"> extremely sensitive to moisture loss. In the open basket, the mushroom </w:t>
      </w:r>
      <w:r w:rsidRPr="005D7687">
        <w:rPr>
          <w:rFonts w:ascii="Times New Roman" w:eastAsia="Times New Roman" w:hAnsi="Times New Roman" w:cs="Times New Roman"/>
          <w:color w:val="1B1C1D"/>
          <w:sz w:val="24"/>
          <w:szCs w:val="24"/>
          <w:lang w:eastAsia="en-IN"/>
        </w:rPr>
        <w:lastRenderedPageBreak/>
        <w:t xml:space="preserve">exhibited a sharp 30% weight loss after the first day, and the loss reached a catastrophic 58% by the end of the second day, rendering it completely spoiled. Conversely, the ZECC extended the usable storage life of </w:t>
      </w:r>
      <w:r w:rsidR="004B1595">
        <w:rPr>
          <w:rFonts w:ascii="Times New Roman" w:eastAsia="Times New Roman" w:hAnsi="Times New Roman" w:cs="Times New Roman"/>
          <w:color w:val="1B1C1D"/>
          <w:sz w:val="24"/>
          <w:szCs w:val="24"/>
          <w:lang w:eastAsia="en-IN"/>
        </w:rPr>
        <w:t xml:space="preserve">the </w:t>
      </w:r>
      <w:r w:rsidRPr="005D7687">
        <w:rPr>
          <w:rFonts w:ascii="Times New Roman" w:eastAsia="Times New Roman" w:hAnsi="Times New Roman" w:cs="Times New Roman"/>
          <w:color w:val="1B1C1D"/>
          <w:sz w:val="24"/>
          <w:szCs w:val="24"/>
          <w:lang w:eastAsia="en-IN"/>
        </w:rPr>
        <w:t>mushroom to two days while maintaining PLW at only 9.75%.   </w:t>
      </w:r>
    </w:p>
    <w:p w14:paraId="3FF036F0" w14:textId="77777777"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5D7687">
        <w:rPr>
          <w:rFonts w:ascii="Times New Roman" w:eastAsia="Times New Roman" w:hAnsi="Times New Roman" w:cs="Times New Roman"/>
          <w:color w:val="1B1C1D"/>
          <w:sz w:val="24"/>
          <w:szCs w:val="24"/>
          <w:lang w:eastAsia="en-IN"/>
        </w:rPr>
        <w:t>The observed variance in storage duration across different vegetables is consistent with established knowledge regarding inherent perishability and respiration rates (Singh et al. 2007b). Crops with high metabolic activity and moisture content, such as Spinach (extended from one day ambient to two days in ZECC) and Oyster Mushroom, naturally exhibit faster deterioration. However, the efficacy of the ZECC is most pronounced for these high-value, high-risk crops, where the chamber converts rapid, total loss into viable short-term storage.   </w:t>
      </w:r>
    </w:p>
    <w:p w14:paraId="7D786223" w14:textId="77777777" w:rsidR="005D7687" w:rsidRPr="005D7687" w:rsidRDefault="005D7687" w:rsidP="005D7687">
      <w:pPr>
        <w:shd w:val="clear" w:color="auto" w:fill="FFFFFF"/>
        <w:spacing w:before="420" w:after="120" w:line="360" w:lineRule="auto"/>
        <w:jc w:val="both"/>
        <w:outlineLvl w:val="2"/>
        <w:rPr>
          <w:rFonts w:ascii="Times New Roman" w:eastAsia="Times New Roman" w:hAnsi="Times New Roman" w:cs="Times New Roman"/>
          <w:b/>
          <w:bCs/>
          <w:color w:val="1B1C1D"/>
          <w:sz w:val="24"/>
          <w:szCs w:val="24"/>
          <w:lang w:eastAsia="en-IN"/>
        </w:rPr>
      </w:pPr>
      <w:r w:rsidRPr="005D7687">
        <w:rPr>
          <w:rFonts w:ascii="Times New Roman" w:eastAsia="Times New Roman" w:hAnsi="Times New Roman" w:cs="Times New Roman"/>
          <w:b/>
          <w:bCs/>
          <w:color w:val="1B1C1D"/>
          <w:sz w:val="24"/>
          <w:szCs w:val="24"/>
          <w:lang w:eastAsia="en-IN"/>
        </w:rPr>
        <w:t>Sensory Quality Attributes and Marketability Extension</w:t>
      </w:r>
    </w:p>
    <w:p w14:paraId="2545BF54" w14:textId="742F4A30" w:rsidR="005D7687" w:rsidRPr="005D7687" w:rsidRDefault="003E0ECF"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Pr>
          <w:rFonts w:ascii="Times New Roman" w:eastAsia="Times New Roman" w:hAnsi="Times New Roman" w:cs="Times New Roman"/>
          <w:color w:val="1B1C1D"/>
          <w:sz w:val="24"/>
          <w:szCs w:val="24"/>
          <w:lang w:eastAsia="en-IN"/>
        </w:rPr>
        <w:tab/>
      </w:r>
      <w:r w:rsidR="005D7687" w:rsidRPr="005D7687">
        <w:rPr>
          <w:rFonts w:ascii="Times New Roman" w:eastAsia="Times New Roman" w:hAnsi="Times New Roman" w:cs="Times New Roman"/>
          <w:color w:val="1B1C1D"/>
          <w:sz w:val="24"/>
          <w:szCs w:val="24"/>
          <w:lang w:eastAsia="en-IN"/>
        </w:rPr>
        <w:t>The maintenance of sensory quality, evaluated based on overall appearance (A) and texture (T), is essential for commercial viability</w:t>
      </w:r>
      <w:r>
        <w:rPr>
          <w:rFonts w:ascii="Times New Roman" w:eastAsia="Times New Roman" w:hAnsi="Times New Roman" w:cs="Times New Roman"/>
          <w:color w:val="1B1C1D"/>
          <w:sz w:val="24"/>
          <w:szCs w:val="24"/>
          <w:lang w:eastAsia="en-IN"/>
        </w:rPr>
        <w:t xml:space="preserve"> </w:t>
      </w:r>
      <w:r w:rsidR="005D7687">
        <w:rPr>
          <w:rFonts w:ascii="Times New Roman" w:eastAsia="Times New Roman" w:hAnsi="Times New Roman" w:cs="Times New Roman"/>
          <w:color w:val="1B1C1D"/>
          <w:sz w:val="24"/>
          <w:szCs w:val="24"/>
          <w:lang w:eastAsia="en-IN"/>
        </w:rPr>
        <w:t>(Table 3)</w:t>
      </w:r>
      <w:r w:rsidR="005D7687" w:rsidRPr="005D7687">
        <w:rPr>
          <w:rFonts w:ascii="Times New Roman" w:eastAsia="Times New Roman" w:hAnsi="Times New Roman" w:cs="Times New Roman"/>
          <w:color w:val="1B1C1D"/>
          <w:sz w:val="24"/>
          <w:szCs w:val="24"/>
          <w:lang w:eastAsia="en-IN"/>
        </w:rPr>
        <w:t>. The scores confirmed the physiological stability observed in PLW data. The threshold for market fitness (score ≥2) clearly established the logistical benefit provided by the ZECC.</w:t>
      </w:r>
      <w:r>
        <w:rPr>
          <w:rFonts w:ascii="Times New Roman" w:eastAsia="Times New Roman" w:hAnsi="Times New Roman" w:cs="Times New Roman"/>
          <w:color w:val="1B1C1D"/>
          <w:sz w:val="24"/>
          <w:szCs w:val="24"/>
          <w:lang w:eastAsia="en-IN"/>
        </w:rPr>
        <w:t xml:space="preserve"> </w:t>
      </w:r>
      <w:r w:rsidR="005D7687" w:rsidRPr="005D7687">
        <w:rPr>
          <w:rFonts w:ascii="Times New Roman" w:eastAsia="Times New Roman" w:hAnsi="Times New Roman" w:cs="Times New Roman"/>
          <w:color w:val="1B1C1D"/>
          <w:sz w:val="24"/>
          <w:szCs w:val="24"/>
          <w:lang w:eastAsia="en-IN"/>
        </w:rPr>
        <w:t>Okra, Radish, and Cauliflower maintained commercially acceptable quality for two days in the ambient open basket system. In the ZECC, the marketable duration was successfully extended to three, four, and three days, respectively. This additional storage time is crucial for optimizing market logistics.   </w:t>
      </w:r>
    </w:p>
    <w:p w14:paraId="7FC9BB99" w14:textId="553E16A3" w:rsidR="005D7687" w:rsidRPr="005D7687" w:rsidRDefault="003E0ECF"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Pr>
          <w:rFonts w:ascii="Times New Roman" w:eastAsia="Times New Roman" w:hAnsi="Times New Roman" w:cs="Times New Roman"/>
          <w:color w:val="1B1C1D"/>
          <w:sz w:val="24"/>
          <w:szCs w:val="24"/>
          <w:lang w:eastAsia="en-IN"/>
        </w:rPr>
        <w:tab/>
      </w:r>
      <w:r w:rsidR="005D7687" w:rsidRPr="005D7687">
        <w:rPr>
          <w:rFonts w:ascii="Times New Roman" w:eastAsia="Times New Roman" w:hAnsi="Times New Roman" w:cs="Times New Roman"/>
          <w:color w:val="1B1C1D"/>
          <w:sz w:val="24"/>
          <w:szCs w:val="24"/>
          <w:lang w:eastAsia="en-IN"/>
        </w:rPr>
        <w:t>The preservation of texture is directly related to sustained turgidity, which is ensured by the near-saturated RH maintained within the cool chamber. On Day 2, Okra retained a "Good" quality score (4/4 for A/T) in the ZECC, while ambient Okra only retained a "Fair" score (3/3). Most strikingly, ambient Oyster Mushroom was assessed as being commercially unfit after the first day (scores of 2/2 on Day 1, then failing criteria by Day 2), whereas the ZECC ensured the mushroom remained marketable for two days, retaining a fair quality score (3/2 on Day 2).   </w:t>
      </w:r>
    </w:p>
    <w:p w14:paraId="792EE4B9" w14:textId="516AE5A3" w:rsidR="005D7687" w:rsidRDefault="003E0ECF"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Pr>
          <w:rFonts w:ascii="Times New Roman" w:eastAsia="Times New Roman" w:hAnsi="Times New Roman" w:cs="Times New Roman"/>
          <w:color w:val="1B1C1D"/>
          <w:sz w:val="24"/>
          <w:szCs w:val="24"/>
          <w:lang w:eastAsia="en-IN"/>
        </w:rPr>
        <w:tab/>
      </w:r>
      <w:r w:rsidR="005D7687" w:rsidRPr="005D7687">
        <w:rPr>
          <w:rFonts w:ascii="Times New Roman" w:eastAsia="Times New Roman" w:hAnsi="Times New Roman" w:cs="Times New Roman"/>
          <w:color w:val="1B1C1D"/>
          <w:sz w:val="24"/>
          <w:szCs w:val="24"/>
          <w:lang w:eastAsia="en-IN"/>
        </w:rPr>
        <w:t xml:space="preserve">The capability of the ZECC to reliably extend the marketable window by 1–2 days provides farmers with indispensable operational flexibility. By controlling the rate of deterioration, the technology reduces the need for forced, immediate sale at potentially suppressed prices, which often occurs during peak harvest periods. The resultant reduced spoilage and extended marketability contribute to higher returns, particularly for the most volatile crops, thereby increasing the overall benefit–cost ratio compared to ambient storage </w:t>
      </w:r>
      <w:r w:rsidR="005D7687" w:rsidRPr="005D7687">
        <w:rPr>
          <w:rFonts w:ascii="Times New Roman" w:eastAsia="Times New Roman" w:hAnsi="Times New Roman" w:cs="Times New Roman"/>
          <w:color w:val="1B1C1D"/>
          <w:sz w:val="24"/>
          <w:szCs w:val="24"/>
          <w:lang w:eastAsia="en-IN"/>
        </w:rPr>
        <w:lastRenderedPageBreak/>
        <w:t xml:space="preserve">(Lata and Singh </w:t>
      </w:r>
      <w:r w:rsidR="007D6DB9" w:rsidRPr="005D7687">
        <w:rPr>
          <w:rFonts w:ascii="Times New Roman" w:eastAsia="Times New Roman" w:hAnsi="Times New Roman" w:cs="Times New Roman"/>
          <w:color w:val="1B1C1D"/>
          <w:sz w:val="24"/>
          <w:szCs w:val="24"/>
          <w:lang w:eastAsia="en-IN"/>
        </w:rPr>
        <w:t>2015</w:t>
      </w:r>
      <w:r w:rsidR="007D6DB9">
        <w:rPr>
          <w:rFonts w:ascii="Times New Roman" w:eastAsia="Times New Roman" w:hAnsi="Times New Roman" w:cs="Times New Roman"/>
          <w:color w:val="1B1C1D"/>
          <w:sz w:val="24"/>
          <w:szCs w:val="24"/>
          <w:lang w:eastAsia="en-IN"/>
        </w:rPr>
        <w:t>; Chien et al.,2007</w:t>
      </w:r>
      <w:r w:rsidR="005D7687" w:rsidRPr="005D7687">
        <w:rPr>
          <w:rFonts w:ascii="Times New Roman" w:eastAsia="Times New Roman" w:hAnsi="Times New Roman" w:cs="Times New Roman"/>
          <w:color w:val="1B1C1D"/>
          <w:sz w:val="24"/>
          <w:szCs w:val="24"/>
          <w:lang w:eastAsia="en-IN"/>
        </w:rPr>
        <w:t>). This technological leverage ensures better economic viability for vegetable growers.   </w:t>
      </w:r>
    </w:p>
    <w:p w14:paraId="6DD343A7" w14:textId="7B2C068F" w:rsidR="005D7687" w:rsidRPr="006362EF" w:rsidRDefault="005D7687" w:rsidP="005D7687">
      <w:pPr>
        <w:autoSpaceDE w:val="0"/>
        <w:autoSpaceDN w:val="0"/>
        <w:adjustRightInd w:val="0"/>
        <w:spacing w:after="0" w:line="360" w:lineRule="auto"/>
        <w:jc w:val="both"/>
        <w:rPr>
          <w:rFonts w:ascii="Times New Roman" w:hAnsi="Times New Roman" w:cs="Times New Roman"/>
          <w:b/>
          <w:bCs/>
          <w:sz w:val="24"/>
          <w:szCs w:val="24"/>
          <w:u w:val="single"/>
        </w:rPr>
      </w:pPr>
      <w:r w:rsidRPr="0061534F">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5D7687">
        <w:rPr>
          <w:rFonts w:ascii="Times New Roman" w:hAnsi="Times New Roman" w:cs="Times New Roman"/>
          <w:b/>
          <w:bCs/>
          <w:sz w:val="24"/>
          <w:szCs w:val="24"/>
        </w:rPr>
        <w:t xml:space="preserve"> Sensory evaluation </w:t>
      </w:r>
      <w:bookmarkStart w:id="0" w:name="_Hlk212212745"/>
      <w:r w:rsidR="005953E1" w:rsidRPr="005D7687">
        <w:rPr>
          <w:rFonts w:ascii="Times New Roman" w:hAnsi="Times New Roman" w:cs="Times New Roman"/>
          <w:b/>
          <w:bCs/>
          <w:sz w:val="24"/>
          <w:szCs w:val="24"/>
        </w:rPr>
        <w:t>(Overall</w:t>
      </w:r>
      <w:r w:rsidRPr="005D7687">
        <w:rPr>
          <w:rFonts w:ascii="Times New Roman" w:hAnsi="Times New Roman" w:cs="Times New Roman"/>
          <w:b/>
          <w:bCs/>
          <w:sz w:val="24"/>
          <w:szCs w:val="24"/>
        </w:rPr>
        <w:t xml:space="preserve"> appearance </w:t>
      </w:r>
      <w:bookmarkEnd w:id="0"/>
      <w:r w:rsidRPr="005D7687">
        <w:rPr>
          <w:rFonts w:ascii="Times New Roman" w:hAnsi="Times New Roman" w:cs="Times New Roman"/>
          <w:b/>
          <w:bCs/>
          <w:sz w:val="24"/>
          <w:szCs w:val="24"/>
        </w:rPr>
        <w:t>and Texture) of summer vegetables</w:t>
      </w:r>
      <w:r w:rsidRPr="006362EF">
        <w:rPr>
          <w:rFonts w:ascii="Times New Roman" w:hAnsi="Times New Roman" w:cs="Times New Roman"/>
          <w:b/>
          <w:bCs/>
          <w:sz w:val="24"/>
          <w:szCs w:val="24"/>
          <w:u w:val="single"/>
        </w:rPr>
        <w:t xml:space="preserve"> </w:t>
      </w:r>
    </w:p>
    <w:tbl>
      <w:tblPr>
        <w:tblStyle w:val="TableGrid"/>
        <w:tblW w:w="9809" w:type="dxa"/>
        <w:tblLayout w:type="fixed"/>
        <w:tblLook w:val="04A0" w:firstRow="1" w:lastRow="0" w:firstColumn="1" w:lastColumn="0" w:noHBand="0" w:noVBand="1"/>
      </w:tblPr>
      <w:tblGrid>
        <w:gridCol w:w="616"/>
        <w:gridCol w:w="416"/>
        <w:gridCol w:w="403"/>
        <w:gridCol w:w="596"/>
        <w:gridCol w:w="484"/>
        <w:gridCol w:w="493"/>
        <w:gridCol w:w="497"/>
        <w:gridCol w:w="558"/>
        <w:gridCol w:w="432"/>
        <w:gridCol w:w="450"/>
        <w:gridCol w:w="450"/>
        <w:gridCol w:w="306"/>
        <w:gridCol w:w="363"/>
        <w:gridCol w:w="575"/>
        <w:gridCol w:w="364"/>
        <w:gridCol w:w="564"/>
        <w:gridCol w:w="363"/>
        <w:gridCol w:w="633"/>
        <w:gridCol w:w="363"/>
        <w:gridCol w:w="520"/>
        <w:gridCol w:w="363"/>
      </w:tblGrid>
      <w:tr w:rsidR="005D7687" w14:paraId="1944CB12" w14:textId="77777777" w:rsidTr="002D6BEB">
        <w:tc>
          <w:tcPr>
            <w:tcW w:w="616" w:type="dxa"/>
            <w:vMerge w:val="restart"/>
          </w:tcPr>
          <w:p w14:paraId="5CD74358"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End of Day</w:t>
            </w:r>
          </w:p>
        </w:tc>
        <w:tc>
          <w:tcPr>
            <w:tcW w:w="4779" w:type="dxa"/>
            <w:gridSpan w:val="10"/>
          </w:tcPr>
          <w:p w14:paraId="493F738A" w14:textId="77777777" w:rsidR="005D7687" w:rsidRDefault="005D7687" w:rsidP="00D9212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Open basket system</w:t>
            </w:r>
          </w:p>
        </w:tc>
        <w:tc>
          <w:tcPr>
            <w:tcW w:w="4414" w:type="dxa"/>
            <w:gridSpan w:val="10"/>
          </w:tcPr>
          <w:p w14:paraId="2240568B" w14:textId="77777777" w:rsidR="005D7687" w:rsidRDefault="005D7687" w:rsidP="00D9212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ZECC</w:t>
            </w:r>
          </w:p>
        </w:tc>
      </w:tr>
      <w:tr w:rsidR="003E0ECF" w14:paraId="15E94D3D" w14:textId="77777777" w:rsidTr="002D6BEB">
        <w:tc>
          <w:tcPr>
            <w:tcW w:w="616" w:type="dxa"/>
            <w:vMerge/>
          </w:tcPr>
          <w:p w14:paraId="7F2F2A55"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p>
        </w:tc>
        <w:tc>
          <w:tcPr>
            <w:tcW w:w="819" w:type="dxa"/>
            <w:gridSpan w:val="2"/>
          </w:tcPr>
          <w:p w14:paraId="4F77F2F1"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Okra</w:t>
            </w:r>
          </w:p>
        </w:tc>
        <w:tc>
          <w:tcPr>
            <w:tcW w:w="1080" w:type="dxa"/>
            <w:gridSpan w:val="2"/>
          </w:tcPr>
          <w:p w14:paraId="47AFEF54"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Radish</w:t>
            </w:r>
          </w:p>
        </w:tc>
        <w:tc>
          <w:tcPr>
            <w:tcW w:w="990" w:type="dxa"/>
            <w:gridSpan w:val="2"/>
          </w:tcPr>
          <w:p w14:paraId="437D32F2"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Cauli</w:t>
            </w:r>
          </w:p>
          <w:p w14:paraId="3518480E"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flower</w:t>
            </w:r>
          </w:p>
        </w:tc>
        <w:tc>
          <w:tcPr>
            <w:tcW w:w="990" w:type="dxa"/>
            <w:gridSpan w:val="2"/>
          </w:tcPr>
          <w:p w14:paraId="7F910844"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Spinach</w:t>
            </w:r>
          </w:p>
        </w:tc>
        <w:tc>
          <w:tcPr>
            <w:tcW w:w="900" w:type="dxa"/>
            <w:gridSpan w:val="2"/>
          </w:tcPr>
          <w:p w14:paraId="79F707F8"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Mush</w:t>
            </w:r>
          </w:p>
          <w:p w14:paraId="14F9AB42"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room</w:t>
            </w:r>
          </w:p>
        </w:tc>
        <w:tc>
          <w:tcPr>
            <w:tcW w:w="669" w:type="dxa"/>
            <w:gridSpan w:val="2"/>
          </w:tcPr>
          <w:p w14:paraId="492BC7B0"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Okra</w:t>
            </w:r>
          </w:p>
        </w:tc>
        <w:tc>
          <w:tcPr>
            <w:tcW w:w="939" w:type="dxa"/>
            <w:gridSpan w:val="2"/>
          </w:tcPr>
          <w:p w14:paraId="2F987412"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Radish</w:t>
            </w:r>
          </w:p>
        </w:tc>
        <w:tc>
          <w:tcPr>
            <w:tcW w:w="927" w:type="dxa"/>
            <w:gridSpan w:val="2"/>
          </w:tcPr>
          <w:p w14:paraId="06A994CF"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Cauli</w:t>
            </w:r>
          </w:p>
          <w:p w14:paraId="32BE7A81"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flower</w:t>
            </w:r>
          </w:p>
        </w:tc>
        <w:tc>
          <w:tcPr>
            <w:tcW w:w="996" w:type="dxa"/>
            <w:gridSpan w:val="2"/>
          </w:tcPr>
          <w:p w14:paraId="506E6E45"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Spinach</w:t>
            </w:r>
          </w:p>
        </w:tc>
        <w:tc>
          <w:tcPr>
            <w:tcW w:w="883" w:type="dxa"/>
            <w:gridSpan w:val="2"/>
          </w:tcPr>
          <w:p w14:paraId="37892AE1"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Mush</w:t>
            </w:r>
          </w:p>
          <w:p w14:paraId="243EBD1A"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room</w:t>
            </w:r>
          </w:p>
        </w:tc>
      </w:tr>
      <w:tr w:rsidR="003E0ECF" w14:paraId="7F94F7B6" w14:textId="77777777" w:rsidTr="002D6BEB">
        <w:tc>
          <w:tcPr>
            <w:tcW w:w="616" w:type="dxa"/>
          </w:tcPr>
          <w:p w14:paraId="3244D8E1"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p>
        </w:tc>
        <w:tc>
          <w:tcPr>
            <w:tcW w:w="416" w:type="dxa"/>
          </w:tcPr>
          <w:p w14:paraId="164100AA"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403" w:type="dxa"/>
          </w:tcPr>
          <w:p w14:paraId="56C333D4"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w:t>
            </w:r>
          </w:p>
        </w:tc>
        <w:tc>
          <w:tcPr>
            <w:tcW w:w="596" w:type="dxa"/>
          </w:tcPr>
          <w:p w14:paraId="19A81D17"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484" w:type="dxa"/>
          </w:tcPr>
          <w:p w14:paraId="6170C35C"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w:t>
            </w:r>
          </w:p>
        </w:tc>
        <w:tc>
          <w:tcPr>
            <w:tcW w:w="493" w:type="dxa"/>
          </w:tcPr>
          <w:p w14:paraId="3E038F9E"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497" w:type="dxa"/>
          </w:tcPr>
          <w:p w14:paraId="29A96928"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w:t>
            </w:r>
          </w:p>
        </w:tc>
        <w:tc>
          <w:tcPr>
            <w:tcW w:w="558" w:type="dxa"/>
          </w:tcPr>
          <w:p w14:paraId="6333E551"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432" w:type="dxa"/>
          </w:tcPr>
          <w:p w14:paraId="58F140B2"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w:t>
            </w:r>
          </w:p>
        </w:tc>
        <w:tc>
          <w:tcPr>
            <w:tcW w:w="450" w:type="dxa"/>
          </w:tcPr>
          <w:p w14:paraId="3A4BD890"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450" w:type="dxa"/>
          </w:tcPr>
          <w:p w14:paraId="0ABFD55F"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w:t>
            </w:r>
          </w:p>
        </w:tc>
        <w:tc>
          <w:tcPr>
            <w:tcW w:w="306" w:type="dxa"/>
          </w:tcPr>
          <w:p w14:paraId="7C6954CE"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363" w:type="dxa"/>
          </w:tcPr>
          <w:p w14:paraId="6FE764FC"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w:t>
            </w:r>
          </w:p>
        </w:tc>
        <w:tc>
          <w:tcPr>
            <w:tcW w:w="575" w:type="dxa"/>
          </w:tcPr>
          <w:p w14:paraId="1B1A0505"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364" w:type="dxa"/>
          </w:tcPr>
          <w:p w14:paraId="503F52D4"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w:t>
            </w:r>
          </w:p>
        </w:tc>
        <w:tc>
          <w:tcPr>
            <w:tcW w:w="564" w:type="dxa"/>
          </w:tcPr>
          <w:p w14:paraId="285969D5"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363" w:type="dxa"/>
          </w:tcPr>
          <w:p w14:paraId="093DC98E"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w:t>
            </w:r>
          </w:p>
        </w:tc>
        <w:tc>
          <w:tcPr>
            <w:tcW w:w="633" w:type="dxa"/>
          </w:tcPr>
          <w:p w14:paraId="2269F067"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363" w:type="dxa"/>
          </w:tcPr>
          <w:p w14:paraId="55387283"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w:t>
            </w:r>
          </w:p>
        </w:tc>
        <w:tc>
          <w:tcPr>
            <w:tcW w:w="520" w:type="dxa"/>
          </w:tcPr>
          <w:p w14:paraId="718DF649"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363" w:type="dxa"/>
          </w:tcPr>
          <w:p w14:paraId="6E2E4188"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w:t>
            </w:r>
          </w:p>
        </w:tc>
      </w:tr>
      <w:tr w:rsidR="003E0ECF" w14:paraId="19C29786" w14:textId="77777777" w:rsidTr="002D6BEB">
        <w:tc>
          <w:tcPr>
            <w:tcW w:w="616" w:type="dxa"/>
          </w:tcPr>
          <w:p w14:paraId="10F00452"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16" w:type="dxa"/>
          </w:tcPr>
          <w:p w14:paraId="62E2735C"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03" w:type="dxa"/>
          </w:tcPr>
          <w:p w14:paraId="24708BC1"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596" w:type="dxa"/>
          </w:tcPr>
          <w:p w14:paraId="0CAE4435"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484" w:type="dxa"/>
          </w:tcPr>
          <w:p w14:paraId="147B579C"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93" w:type="dxa"/>
          </w:tcPr>
          <w:p w14:paraId="5ADCB18B"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497" w:type="dxa"/>
          </w:tcPr>
          <w:p w14:paraId="5F941256"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558" w:type="dxa"/>
          </w:tcPr>
          <w:p w14:paraId="4E905C36"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32" w:type="dxa"/>
          </w:tcPr>
          <w:p w14:paraId="132E5DD5"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50" w:type="dxa"/>
          </w:tcPr>
          <w:p w14:paraId="74D28287"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50" w:type="dxa"/>
          </w:tcPr>
          <w:p w14:paraId="4AE66031"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06" w:type="dxa"/>
          </w:tcPr>
          <w:p w14:paraId="0305080E"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63" w:type="dxa"/>
          </w:tcPr>
          <w:p w14:paraId="7312A2CD"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575" w:type="dxa"/>
          </w:tcPr>
          <w:p w14:paraId="2CFC88A3"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64" w:type="dxa"/>
          </w:tcPr>
          <w:p w14:paraId="6F12B0D9"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564" w:type="dxa"/>
          </w:tcPr>
          <w:p w14:paraId="3B177AA8"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63" w:type="dxa"/>
          </w:tcPr>
          <w:p w14:paraId="0EC94265"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633" w:type="dxa"/>
          </w:tcPr>
          <w:p w14:paraId="5A04DB7B"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63" w:type="dxa"/>
          </w:tcPr>
          <w:p w14:paraId="0764DFC5"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520" w:type="dxa"/>
          </w:tcPr>
          <w:p w14:paraId="43E93320"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63" w:type="dxa"/>
          </w:tcPr>
          <w:p w14:paraId="645B330E"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rsidR="003E0ECF" w14:paraId="3A92680E" w14:textId="77777777" w:rsidTr="002D6BEB">
        <w:tc>
          <w:tcPr>
            <w:tcW w:w="616" w:type="dxa"/>
          </w:tcPr>
          <w:p w14:paraId="593BB7AF"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16" w:type="dxa"/>
          </w:tcPr>
          <w:p w14:paraId="6302A3C4"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03" w:type="dxa"/>
          </w:tcPr>
          <w:p w14:paraId="77518552"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596" w:type="dxa"/>
          </w:tcPr>
          <w:p w14:paraId="0D7482F1"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84" w:type="dxa"/>
          </w:tcPr>
          <w:p w14:paraId="49D01D9C"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93" w:type="dxa"/>
          </w:tcPr>
          <w:p w14:paraId="500CBD24"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97" w:type="dxa"/>
          </w:tcPr>
          <w:p w14:paraId="13C0F542"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558" w:type="dxa"/>
          </w:tcPr>
          <w:p w14:paraId="6C8D9D05"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32" w:type="dxa"/>
          </w:tcPr>
          <w:p w14:paraId="0FCDC3ED"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50" w:type="dxa"/>
          </w:tcPr>
          <w:p w14:paraId="63E21F5B"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450" w:type="dxa"/>
          </w:tcPr>
          <w:p w14:paraId="74D9D21A"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06" w:type="dxa"/>
          </w:tcPr>
          <w:p w14:paraId="635E2CCC"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63" w:type="dxa"/>
          </w:tcPr>
          <w:p w14:paraId="2EE989F8"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575" w:type="dxa"/>
          </w:tcPr>
          <w:p w14:paraId="505EAC3C"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64" w:type="dxa"/>
          </w:tcPr>
          <w:p w14:paraId="5B025C07"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564" w:type="dxa"/>
          </w:tcPr>
          <w:p w14:paraId="04915768"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63" w:type="dxa"/>
          </w:tcPr>
          <w:p w14:paraId="56D2E29C"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633" w:type="dxa"/>
          </w:tcPr>
          <w:p w14:paraId="734C4C7E"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63" w:type="dxa"/>
          </w:tcPr>
          <w:p w14:paraId="511F6519"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20" w:type="dxa"/>
          </w:tcPr>
          <w:p w14:paraId="3C765C81"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63" w:type="dxa"/>
          </w:tcPr>
          <w:p w14:paraId="23C79456"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r>
      <w:tr w:rsidR="003E0ECF" w14:paraId="6F8DA1CB" w14:textId="77777777" w:rsidTr="002D6BEB">
        <w:tc>
          <w:tcPr>
            <w:tcW w:w="616" w:type="dxa"/>
          </w:tcPr>
          <w:p w14:paraId="1DAEBF7F"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16" w:type="dxa"/>
          </w:tcPr>
          <w:p w14:paraId="53F53FE1"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03" w:type="dxa"/>
          </w:tcPr>
          <w:p w14:paraId="02A0854A"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96" w:type="dxa"/>
          </w:tcPr>
          <w:p w14:paraId="63262699"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84" w:type="dxa"/>
          </w:tcPr>
          <w:p w14:paraId="49A396B2"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93" w:type="dxa"/>
          </w:tcPr>
          <w:p w14:paraId="23D916B6"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97" w:type="dxa"/>
          </w:tcPr>
          <w:p w14:paraId="5A491B1C"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58" w:type="dxa"/>
          </w:tcPr>
          <w:p w14:paraId="41A1D697"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432" w:type="dxa"/>
          </w:tcPr>
          <w:p w14:paraId="78B23B64"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450" w:type="dxa"/>
          </w:tcPr>
          <w:p w14:paraId="689D51AE"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450" w:type="dxa"/>
          </w:tcPr>
          <w:p w14:paraId="76535ED8"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06" w:type="dxa"/>
          </w:tcPr>
          <w:p w14:paraId="776A6E1D"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63" w:type="dxa"/>
          </w:tcPr>
          <w:p w14:paraId="490F533C"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575" w:type="dxa"/>
          </w:tcPr>
          <w:p w14:paraId="6BF8F2A5"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64" w:type="dxa"/>
          </w:tcPr>
          <w:p w14:paraId="48819994"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564" w:type="dxa"/>
          </w:tcPr>
          <w:p w14:paraId="2EEDA380"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63" w:type="dxa"/>
          </w:tcPr>
          <w:p w14:paraId="6DA62C14"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633" w:type="dxa"/>
          </w:tcPr>
          <w:p w14:paraId="1AF5FF84"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63" w:type="dxa"/>
          </w:tcPr>
          <w:p w14:paraId="6A58355B"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20" w:type="dxa"/>
          </w:tcPr>
          <w:p w14:paraId="5503CC0F"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63" w:type="dxa"/>
          </w:tcPr>
          <w:p w14:paraId="0DB839CA"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3E0ECF" w14:paraId="3DB2407E" w14:textId="77777777" w:rsidTr="002D6BEB">
        <w:tc>
          <w:tcPr>
            <w:tcW w:w="616" w:type="dxa"/>
          </w:tcPr>
          <w:p w14:paraId="2784D76B"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416" w:type="dxa"/>
          </w:tcPr>
          <w:p w14:paraId="2E48E24A"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03" w:type="dxa"/>
          </w:tcPr>
          <w:p w14:paraId="3D1DF01F"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96" w:type="dxa"/>
          </w:tcPr>
          <w:p w14:paraId="4091BACA"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84" w:type="dxa"/>
          </w:tcPr>
          <w:p w14:paraId="31B7B5F2"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93" w:type="dxa"/>
          </w:tcPr>
          <w:p w14:paraId="6FCBC13B"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97" w:type="dxa"/>
          </w:tcPr>
          <w:p w14:paraId="76C0D6BD"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58" w:type="dxa"/>
          </w:tcPr>
          <w:p w14:paraId="5EFAF67C"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432" w:type="dxa"/>
          </w:tcPr>
          <w:p w14:paraId="5CCEED8E"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450" w:type="dxa"/>
          </w:tcPr>
          <w:p w14:paraId="097C39C1"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450" w:type="dxa"/>
          </w:tcPr>
          <w:p w14:paraId="7DC05A6E"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06" w:type="dxa"/>
          </w:tcPr>
          <w:p w14:paraId="575A2C70"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63" w:type="dxa"/>
          </w:tcPr>
          <w:p w14:paraId="3967B5E8"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75" w:type="dxa"/>
          </w:tcPr>
          <w:p w14:paraId="5ABA4A5D"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64" w:type="dxa"/>
          </w:tcPr>
          <w:p w14:paraId="37C3BDC2"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64" w:type="dxa"/>
          </w:tcPr>
          <w:p w14:paraId="6B538B7F"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63" w:type="dxa"/>
          </w:tcPr>
          <w:p w14:paraId="7F1B8709"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633" w:type="dxa"/>
          </w:tcPr>
          <w:p w14:paraId="5E1866DE"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63" w:type="dxa"/>
          </w:tcPr>
          <w:p w14:paraId="692F4390"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20" w:type="dxa"/>
          </w:tcPr>
          <w:p w14:paraId="553FE140"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63" w:type="dxa"/>
          </w:tcPr>
          <w:p w14:paraId="0EB12A59"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3E0ECF" w14:paraId="2C32D639" w14:textId="77777777" w:rsidTr="002D6BEB">
        <w:tc>
          <w:tcPr>
            <w:tcW w:w="616" w:type="dxa"/>
          </w:tcPr>
          <w:p w14:paraId="7A610965"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416" w:type="dxa"/>
          </w:tcPr>
          <w:p w14:paraId="77B26FE8"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403" w:type="dxa"/>
          </w:tcPr>
          <w:p w14:paraId="137C202E"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96" w:type="dxa"/>
          </w:tcPr>
          <w:p w14:paraId="1BEB32CB"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484" w:type="dxa"/>
          </w:tcPr>
          <w:p w14:paraId="2908646C"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493" w:type="dxa"/>
          </w:tcPr>
          <w:p w14:paraId="4201526F"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497" w:type="dxa"/>
          </w:tcPr>
          <w:p w14:paraId="47C445F0"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58" w:type="dxa"/>
          </w:tcPr>
          <w:p w14:paraId="4FBBEB51"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432" w:type="dxa"/>
          </w:tcPr>
          <w:p w14:paraId="773F682D"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450" w:type="dxa"/>
          </w:tcPr>
          <w:p w14:paraId="568C79D0"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450" w:type="dxa"/>
          </w:tcPr>
          <w:p w14:paraId="6629F6F4"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06" w:type="dxa"/>
          </w:tcPr>
          <w:p w14:paraId="72F3D909"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63" w:type="dxa"/>
          </w:tcPr>
          <w:p w14:paraId="0FDA2BC7"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75" w:type="dxa"/>
          </w:tcPr>
          <w:p w14:paraId="3FCE2E5C"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64" w:type="dxa"/>
          </w:tcPr>
          <w:p w14:paraId="63D55AAF"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64" w:type="dxa"/>
          </w:tcPr>
          <w:p w14:paraId="0B04CE8F"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63" w:type="dxa"/>
          </w:tcPr>
          <w:p w14:paraId="5274F567"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33" w:type="dxa"/>
          </w:tcPr>
          <w:p w14:paraId="6BF745C2"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63" w:type="dxa"/>
          </w:tcPr>
          <w:p w14:paraId="083C1F69"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20" w:type="dxa"/>
          </w:tcPr>
          <w:p w14:paraId="058DC368"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63" w:type="dxa"/>
          </w:tcPr>
          <w:p w14:paraId="2A8E3277"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3E0ECF" w14:paraId="0F9FC73D" w14:textId="77777777" w:rsidTr="002D6BEB">
        <w:tc>
          <w:tcPr>
            <w:tcW w:w="616" w:type="dxa"/>
          </w:tcPr>
          <w:p w14:paraId="35511E20"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6"/>
                <w:szCs w:val="16"/>
              </w:rPr>
            </w:pPr>
            <w:r w:rsidRPr="005D25C9">
              <w:rPr>
                <w:rFonts w:ascii="Times New Roman" w:hAnsi="Times New Roman" w:cs="Times New Roman"/>
                <w:sz w:val="16"/>
                <w:szCs w:val="16"/>
              </w:rPr>
              <w:t>Mean</w:t>
            </w:r>
          </w:p>
        </w:tc>
        <w:tc>
          <w:tcPr>
            <w:tcW w:w="416" w:type="dxa"/>
          </w:tcPr>
          <w:p w14:paraId="03FD8E2A"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6"/>
                <w:szCs w:val="16"/>
              </w:rPr>
            </w:pPr>
            <w:r w:rsidRPr="005D25C9">
              <w:rPr>
                <w:rFonts w:ascii="Times New Roman" w:hAnsi="Times New Roman" w:cs="Times New Roman"/>
                <w:sz w:val="16"/>
                <w:szCs w:val="16"/>
              </w:rPr>
              <w:t>1.8</w:t>
            </w:r>
          </w:p>
        </w:tc>
        <w:tc>
          <w:tcPr>
            <w:tcW w:w="403" w:type="dxa"/>
          </w:tcPr>
          <w:p w14:paraId="3143A13F"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6"/>
                <w:szCs w:val="16"/>
              </w:rPr>
            </w:pPr>
            <w:r w:rsidRPr="005D25C9">
              <w:rPr>
                <w:rFonts w:ascii="Times New Roman" w:hAnsi="Times New Roman" w:cs="Times New Roman"/>
                <w:sz w:val="16"/>
                <w:szCs w:val="16"/>
              </w:rPr>
              <w:t>1.4</w:t>
            </w:r>
          </w:p>
        </w:tc>
        <w:tc>
          <w:tcPr>
            <w:tcW w:w="596" w:type="dxa"/>
          </w:tcPr>
          <w:p w14:paraId="0A8DCC60"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6"/>
                <w:szCs w:val="16"/>
              </w:rPr>
            </w:pPr>
            <w:r w:rsidRPr="005D25C9">
              <w:rPr>
                <w:rFonts w:ascii="Times New Roman" w:hAnsi="Times New Roman" w:cs="Times New Roman"/>
                <w:sz w:val="16"/>
                <w:szCs w:val="16"/>
              </w:rPr>
              <w:t>2.2</w:t>
            </w:r>
          </w:p>
        </w:tc>
        <w:tc>
          <w:tcPr>
            <w:tcW w:w="484" w:type="dxa"/>
          </w:tcPr>
          <w:p w14:paraId="7CE63438"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6"/>
                <w:szCs w:val="16"/>
              </w:rPr>
            </w:pPr>
            <w:r w:rsidRPr="005D25C9">
              <w:rPr>
                <w:rFonts w:ascii="Times New Roman" w:hAnsi="Times New Roman" w:cs="Times New Roman"/>
                <w:sz w:val="16"/>
                <w:szCs w:val="16"/>
              </w:rPr>
              <w:t>1.8</w:t>
            </w:r>
          </w:p>
        </w:tc>
        <w:tc>
          <w:tcPr>
            <w:tcW w:w="493" w:type="dxa"/>
          </w:tcPr>
          <w:p w14:paraId="266E5523"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6"/>
                <w:szCs w:val="16"/>
              </w:rPr>
            </w:pPr>
            <w:r w:rsidRPr="005D25C9">
              <w:rPr>
                <w:rFonts w:ascii="Times New Roman" w:hAnsi="Times New Roman" w:cs="Times New Roman"/>
                <w:sz w:val="16"/>
                <w:szCs w:val="16"/>
              </w:rPr>
              <w:t>2.0</w:t>
            </w:r>
          </w:p>
        </w:tc>
        <w:tc>
          <w:tcPr>
            <w:tcW w:w="497" w:type="dxa"/>
          </w:tcPr>
          <w:p w14:paraId="71C4DEE0"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6"/>
                <w:szCs w:val="16"/>
              </w:rPr>
            </w:pPr>
            <w:r w:rsidRPr="005D25C9">
              <w:rPr>
                <w:rFonts w:ascii="Times New Roman" w:hAnsi="Times New Roman" w:cs="Times New Roman"/>
                <w:sz w:val="16"/>
                <w:szCs w:val="16"/>
              </w:rPr>
              <w:t>2.2</w:t>
            </w:r>
          </w:p>
        </w:tc>
        <w:tc>
          <w:tcPr>
            <w:tcW w:w="558" w:type="dxa"/>
          </w:tcPr>
          <w:p w14:paraId="28A73C4D"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6"/>
                <w:szCs w:val="16"/>
              </w:rPr>
            </w:pPr>
            <w:r w:rsidRPr="005D25C9">
              <w:rPr>
                <w:rFonts w:ascii="Times New Roman" w:hAnsi="Times New Roman" w:cs="Times New Roman"/>
                <w:sz w:val="16"/>
                <w:szCs w:val="16"/>
              </w:rPr>
              <w:t>0.6</w:t>
            </w:r>
          </w:p>
        </w:tc>
        <w:tc>
          <w:tcPr>
            <w:tcW w:w="432" w:type="dxa"/>
          </w:tcPr>
          <w:p w14:paraId="32C11271"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6"/>
                <w:szCs w:val="16"/>
              </w:rPr>
            </w:pPr>
            <w:r w:rsidRPr="005D25C9">
              <w:rPr>
                <w:rFonts w:ascii="Times New Roman" w:hAnsi="Times New Roman" w:cs="Times New Roman"/>
                <w:sz w:val="16"/>
                <w:szCs w:val="16"/>
              </w:rPr>
              <w:t>0.6</w:t>
            </w:r>
          </w:p>
        </w:tc>
        <w:tc>
          <w:tcPr>
            <w:tcW w:w="450" w:type="dxa"/>
          </w:tcPr>
          <w:p w14:paraId="33ED42EE"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6"/>
                <w:szCs w:val="16"/>
              </w:rPr>
            </w:pPr>
            <w:r w:rsidRPr="005D25C9">
              <w:rPr>
                <w:rFonts w:ascii="Times New Roman" w:hAnsi="Times New Roman" w:cs="Times New Roman"/>
                <w:sz w:val="16"/>
                <w:szCs w:val="16"/>
              </w:rPr>
              <w:t>0.2</w:t>
            </w:r>
          </w:p>
        </w:tc>
        <w:tc>
          <w:tcPr>
            <w:tcW w:w="450" w:type="dxa"/>
          </w:tcPr>
          <w:p w14:paraId="302D820C"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6"/>
                <w:szCs w:val="16"/>
              </w:rPr>
            </w:pPr>
            <w:r w:rsidRPr="005D25C9">
              <w:rPr>
                <w:rFonts w:ascii="Times New Roman" w:hAnsi="Times New Roman" w:cs="Times New Roman"/>
                <w:sz w:val="16"/>
                <w:szCs w:val="16"/>
              </w:rPr>
              <w:t>0.4</w:t>
            </w:r>
          </w:p>
        </w:tc>
        <w:tc>
          <w:tcPr>
            <w:tcW w:w="306" w:type="dxa"/>
          </w:tcPr>
          <w:p w14:paraId="5CE2DB2D"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8"/>
                <w:szCs w:val="18"/>
              </w:rPr>
            </w:pPr>
          </w:p>
        </w:tc>
        <w:tc>
          <w:tcPr>
            <w:tcW w:w="363" w:type="dxa"/>
          </w:tcPr>
          <w:p w14:paraId="05FF3EDE"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8"/>
                <w:szCs w:val="18"/>
              </w:rPr>
            </w:pPr>
          </w:p>
        </w:tc>
        <w:tc>
          <w:tcPr>
            <w:tcW w:w="575" w:type="dxa"/>
          </w:tcPr>
          <w:p w14:paraId="2C1B853E"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8"/>
                <w:szCs w:val="18"/>
              </w:rPr>
            </w:pPr>
          </w:p>
        </w:tc>
        <w:tc>
          <w:tcPr>
            <w:tcW w:w="364" w:type="dxa"/>
          </w:tcPr>
          <w:p w14:paraId="36D37703"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8"/>
                <w:szCs w:val="18"/>
              </w:rPr>
            </w:pPr>
          </w:p>
        </w:tc>
        <w:tc>
          <w:tcPr>
            <w:tcW w:w="564" w:type="dxa"/>
          </w:tcPr>
          <w:p w14:paraId="69897F9C"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8"/>
                <w:szCs w:val="18"/>
              </w:rPr>
            </w:pPr>
          </w:p>
        </w:tc>
        <w:tc>
          <w:tcPr>
            <w:tcW w:w="363" w:type="dxa"/>
          </w:tcPr>
          <w:p w14:paraId="5AF1757D"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8"/>
                <w:szCs w:val="18"/>
              </w:rPr>
            </w:pPr>
          </w:p>
        </w:tc>
        <w:tc>
          <w:tcPr>
            <w:tcW w:w="633" w:type="dxa"/>
          </w:tcPr>
          <w:p w14:paraId="7C3512E0"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8"/>
                <w:szCs w:val="18"/>
              </w:rPr>
            </w:pPr>
          </w:p>
        </w:tc>
        <w:tc>
          <w:tcPr>
            <w:tcW w:w="363" w:type="dxa"/>
          </w:tcPr>
          <w:p w14:paraId="1B220CBE"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8"/>
                <w:szCs w:val="18"/>
              </w:rPr>
            </w:pPr>
          </w:p>
        </w:tc>
        <w:tc>
          <w:tcPr>
            <w:tcW w:w="520" w:type="dxa"/>
          </w:tcPr>
          <w:p w14:paraId="044FA81F"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8"/>
                <w:szCs w:val="18"/>
              </w:rPr>
            </w:pPr>
          </w:p>
        </w:tc>
        <w:tc>
          <w:tcPr>
            <w:tcW w:w="363" w:type="dxa"/>
          </w:tcPr>
          <w:p w14:paraId="7EF17198"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8"/>
                <w:szCs w:val="18"/>
              </w:rPr>
            </w:pPr>
          </w:p>
        </w:tc>
      </w:tr>
    </w:tbl>
    <w:p w14:paraId="7FAB1BBD" w14:textId="77777777" w:rsidR="005D7687" w:rsidRDefault="005D7687" w:rsidP="005D768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Note – after getting score 1 the vegetables were discarded.</w:t>
      </w:r>
    </w:p>
    <w:p w14:paraId="625424C8" w14:textId="77777777" w:rsidR="005D7687" w:rsidRDefault="005D7687" w:rsidP="005D768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Vegetables scored less than 2 are not fit for marketing </w:t>
      </w:r>
    </w:p>
    <w:p w14:paraId="51140810" w14:textId="64D74A8D" w:rsidR="005D7687" w:rsidRDefault="005D7687" w:rsidP="005D768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 </w:t>
      </w:r>
      <w:r w:rsidR="003E0ECF">
        <w:rPr>
          <w:rFonts w:ascii="Times New Roman" w:hAnsi="Times New Roman" w:cs="Times New Roman"/>
          <w:sz w:val="24"/>
          <w:szCs w:val="24"/>
        </w:rPr>
        <w:t>–</w:t>
      </w:r>
      <w:r>
        <w:rPr>
          <w:rFonts w:ascii="Times New Roman" w:hAnsi="Times New Roman" w:cs="Times New Roman"/>
          <w:sz w:val="24"/>
          <w:szCs w:val="24"/>
        </w:rPr>
        <w:t xml:space="preserve"> stands for </w:t>
      </w:r>
      <w:r w:rsidRPr="006362EF">
        <w:rPr>
          <w:rFonts w:ascii="Times New Roman" w:hAnsi="Times New Roman" w:cs="Times New Roman"/>
          <w:sz w:val="24"/>
          <w:szCs w:val="24"/>
        </w:rPr>
        <w:t>Overall appearance</w:t>
      </w:r>
    </w:p>
    <w:p w14:paraId="08862DE0" w14:textId="56B07C58" w:rsidR="005D7687" w:rsidRDefault="005D7687" w:rsidP="005D768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 </w:t>
      </w:r>
      <w:r w:rsidR="003E0ECF">
        <w:rPr>
          <w:rFonts w:ascii="Times New Roman" w:hAnsi="Times New Roman" w:cs="Times New Roman"/>
          <w:sz w:val="24"/>
          <w:szCs w:val="24"/>
        </w:rPr>
        <w:t>–</w:t>
      </w:r>
      <w:r>
        <w:rPr>
          <w:rFonts w:ascii="Times New Roman" w:hAnsi="Times New Roman" w:cs="Times New Roman"/>
          <w:sz w:val="24"/>
          <w:szCs w:val="24"/>
        </w:rPr>
        <w:t xml:space="preserve"> stands for texture</w:t>
      </w:r>
    </w:p>
    <w:p w14:paraId="1468A51A" w14:textId="624D3424" w:rsidR="003E0ECF" w:rsidRPr="003E0ECF" w:rsidRDefault="003E0ECF" w:rsidP="003E0ECF">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3E0ECF">
        <w:rPr>
          <w:rFonts w:ascii="Times New Roman" w:eastAsia="Times New Roman" w:hAnsi="Times New Roman" w:cs="Times New Roman"/>
          <w:b/>
          <w:bCs/>
          <w:sz w:val="24"/>
          <w:szCs w:val="24"/>
          <w:lang w:eastAsia="en-IN"/>
        </w:rPr>
        <w:t>Economics of storage</w:t>
      </w:r>
    </w:p>
    <w:p w14:paraId="3DF20E14" w14:textId="6B49D095" w:rsidR="003E0ECF" w:rsidRDefault="003E0ECF" w:rsidP="003E0ECF">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Pr="009E06AA">
        <w:rPr>
          <w:rFonts w:ascii="Times New Roman" w:eastAsia="Times New Roman" w:hAnsi="Times New Roman" w:cs="Times New Roman"/>
          <w:sz w:val="24"/>
          <w:szCs w:val="24"/>
          <w:lang w:eastAsia="en-IN"/>
        </w:rPr>
        <w:t>Storing vegetables in ZECC was found to be more profitable as reflected by the higher benefit–cost ratio compared to room temperature storage. The reduced spoilage, extended marketability and lower postharvest losses contribute to higher returns, particularly in highly perishable vegetables. Overall, ZECC is a low-cost and efficient technology to enhance shelf life and maintain quality of vegetables, especially in regions where refrigeration facilities are limited. It is evident that while the storage response varies among crops, ZECC provides a significant advantage over room temperature storage in minimizing weight loss, preserving freshness, and ensuring better economic viability for vegetable growers. The finding was in consonance of Lata &amp; Singh 2015</w:t>
      </w:r>
      <w:r w:rsidR="007D6DB9">
        <w:rPr>
          <w:rFonts w:ascii="Times New Roman" w:eastAsia="Times New Roman" w:hAnsi="Times New Roman" w:cs="Times New Roman"/>
          <w:sz w:val="24"/>
          <w:szCs w:val="24"/>
          <w:lang w:eastAsia="en-IN"/>
        </w:rPr>
        <w:t xml:space="preserve">; </w:t>
      </w:r>
      <w:proofErr w:type="spellStart"/>
      <w:r w:rsidR="006A63E6">
        <w:rPr>
          <w:rFonts w:ascii="Times New Roman" w:eastAsia="Times New Roman" w:hAnsi="Times New Roman" w:cs="Times New Roman"/>
          <w:sz w:val="24"/>
          <w:szCs w:val="24"/>
          <w:lang w:eastAsia="en-IN"/>
        </w:rPr>
        <w:t>Syahputra</w:t>
      </w:r>
      <w:proofErr w:type="spellEnd"/>
      <w:r w:rsidR="006A63E6">
        <w:rPr>
          <w:rFonts w:ascii="Times New Roman" w:eastAsia="Times New Roman" w:hAnsi="Times New Roman" w:cs="Times New Roman"/>
          <w:sz w:val="24"/>
          <w:szCs w:val="24"/>
          <w:lang w:eastAsia="en-IN"/>
        </w:rPr>
        <w:t xml:space="preserve"> et al.,2025</w:t>
      </w:r>
      <w:r w:rsidRPr="009E06AA">
        <w:rPr>
          <w:rFonts w:ascii="Times New Roman" w:eastAsia="Times New Roman" w:hAnsi="Times New Roman" w:cs="Times New Roman"/>
          <w:sz w:val="24"/>
          <w:szCs w:val="24"/>
          <w:lang w:eastAsia="en-IN"/>
        </w:rPr>
        <w:t>.</w:t>
      </w:r>
    </w:p>
    <w:p w14:paraId="343F1367" w14:textId="08EED15A" w:rsidR="003E0ECF" w:rsidRPr="009E06AA" w:rsidRDefault="003E0ECF" w:rsidP="003E0ECF">
      <w:pPr>
        <w:spacing w:before="100" w:beforeAutospacing="1" w:after="100" w:afterAutospacing="1" w:line="360" w:lineRule="auto"/>
        <w:jc w:val="center"/>
        <w:rPr>
          <w:rFonts w:ascii="Times New Roman" w:eastAsia="Times New Roman" w:hAnsi="Times New Roman" w:cs="Times New Roman"/>
          <w:sz w:val="24"/>
          <w:szCs w:val="24"/>
          <w:lang w:eastAsia="en-IN"/>
        </w:rPr>
      </w:pPr>
      <w:r>
        <w:rPr>
          <w:noProof/>
        </w:rPr>
        <w:lastRenderedPageBreak/>
        <w:drawing>
          <wp:inline distT="0" distB="0" distL="0" distR="0" wp14:anchorId="4CE20DF6" wp14:editId="6570D857">
            <wp:extent cx="4739640" cy="2743200"/>
            <wp:effectExtent l="0" t="0" r="3810" b="0"/>
            <wp:docPr id="4" name="Chart 4">
              <a:extLst xmlns:a="http://schemas.openxmlformats.org/drawingml/2006/main">
                <a:ext uri="{FF2B5EF4-FFF2-40B4-BE49-F238E27FC236}">
                  <a16:creationId xmlns:a16="http://schemas.microsoft.com/office/drawing/2014/main" id="{62336B3D-2710-2649-83CE-FFF5A1CB45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5AC1BA2" w14:textId="2AE4F8A0" w:rsidR="00FE12DB" w:rsidRDefault="00FE12DB" w:rsidP="005D7687">
      <w:pPr>
        <w:shd w:val="clear" w:color="auto" w:fill="FFFFFF"/>
        <w:spacing w:before="420" w:after="120" w:line="360" w:lineRule="auto"/>
        <w:jc w:val="both"/>
        <w:outlineLvl w:val="1"/>
        <w:rPr>
          <w:rFonts w:ascii="Times New Roman" w:eastAsia="Times New Roman" w:hAnsi="Times New Roman" w:cs="Times New Roman"/>
          <w:b/>
          <w:bCs/>
          <w:color w:val="1B1C1D"/>
          <w:sz w:val="24"/>
          <w:szCs w:val="24"/>
          <w:lang w:eastAsia="en-IN"/>
        </w:rPr>
      </w:pPr>
      <w:r w:rsidRPr="00FE12DB">
        <w:rPr>
          <w:rFonts w:ascii="Times New Roman" w:eastAsia="Times New Roman" w:hAnsi="Times New Roman" w:cs="Times New Roman"/>
          <w:b/>
          <w:bCs/>
          <w:color w:val="1B1C1D"/>
          <w:sz w:val="24"/>
          <w:szCs w:val="24"/>
          <w:lang w:eastAsia="en-IN"/>
        </w:rPr>
        <w:t>Fig</w:t>
      </w:r>
      <w:r>
        <w:rPr>
          <w:rFonts w:ascii="Times New Roman" w:eastAsia="Times New Roman" w:hAnsi="Times New Roman" w:cs="Times New Roman"/>
          <w:b/>
          <w:bCs/>
          <w:color w:val="1B1C1D"/>
          <w:sz w:val="24"/>
          <w:szCs w:val="24"/>
          <w:lang w:eastAsia="en-IN"/>
        </w:rPr>
        <w:t xml:space="preserve"> </w:t>
      </w:r>
      <w:r w:rsidRPr="00FE12DB">
        <w:rPr>
          <w:rFonts w:ascii="Times New Roman" w:eastAsia="Times New Roman" w:hAnsi="Times New Roman" w:cs="Times New Roman"/>
          <w:b/>
          <w:bCs/>
          <w:color w:val="1B1C1D"/>
          <w:sz w:val="24"/>
          <w:szCs w:val="24"/>
          <w:lang w:eastAsia="en-IN"/>
        </w:rPr>
        <w:t xml:space="preserve"> 1-Economics of storage </w:t>
      </w:r>
    </w:p>
    <w:p w14:paraId="54881E8E" w14:textId="77777777" w:rsidR="00FE12DB" w:rsidRDefault="00FE12DB" w:rsidP="005D7687">
      <w:pPr>
        <w:shd w:val="clear" w:color="auto" w:fill="FFFFFF"/>
        <w:spacing w:before="420" w:after="120" w:line="360" w:lineRule="auto"/>
        <w:jc w:val="both"/>
        <w:outlineLvl w:val="1"/>
        <w:rPr>
          <w:rFonts w:ascii="Times New Roman" w:eastAsia="Times New Roman" w:hAnsi="Times New Roman" w:cs="Times New Roman"/>
          <w:b/>
          <w:bCs/>
          <w:color w:val="1B1C1D"/>
          <w:sz w:val="24"/>
          <w:szCs w:val="24"/>
          <w:lang w:eastAsia="en-IN"/>
        </w:rPr>
      </w:pPr>
    </w:p>
    <w:p w14:paraId="17098F10" w14:textId="26ACF6E3" w:rsidR="005D7687" w:rsidRPr="005D7687" w:rsidRDefault="005D7687" w:rsidP="005D7687">
      <w:pPr>
        <w:shd w:val="clear" w:color="auto" w:fill="FFFFFF"/>
        <w:spacing w:before="420" w:after="120" w:line="360" w:lineRule="auto"/>
        <w:jc w:val="both"/>
        <w:outlineLvl w:val="1"/>
        <w:rPr>
          <w:rFonts w:ascii="Times New Roman" w:eastAsia="Times New Roman" w:hAnsi="Times New Roman" w:cs="Times New Roman"/>
          <w:b/>
          <w:bCs/>
          <w:color w:val="1B1C1D"/>
          <w:sz w:val="24"/>
          <w:szCs w:val="24"/>
          <w:lang w:eastAsia="en-IN"/>
        </w:rPr>
      </w:pPr>
      <w:r w:rsidRPr="005D7687">
        <w:rPr>
          <w:rFonts w:ascii="Times New Roman" w:eastAsia="Times New Roman" w:hAnsi="Times New Roman" w:cs="Times New Roman"/>
          <w:b/>
          <w:bCs/>
          <w:color w:val="1B1C1D"/>
          <w:sz w:val="24"/>
          <w:szCs w:val="24"/>
          <w:lang w:eastAsia="en-IN"/>
        </w:rPr>
        <w:t>Conclusion</w:t>
      </w:r>
    </w:p>
    <w:p w14:paraId="70375500" w14:textId="796AB202" w:rsid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5D7687">
        <w:rPr>
          <w:rFonts w:ascii="Times New Roman" w:eastAsia="Times New Roman" w:hAnsi="Times New Roman" w:cs="Times New Roman"/>
          <w:color w:val="1B1C1D"/>
          <w:sz w:val="24"/>
          <w:szCs w:val="24"/>
          <w:lang w:eastAsia="en-IN"/>
        </w:rPr>
        <w:t>The comparative assessment of storage conditions demonstrates conclusively that the Zero Energy Cool Chamber provides a highly effective, decentralized microclimate control strategy against the rapid post-harvest deterioration caused by high temperatures and low humidity during the summer season. By successfully deploying the principle of evaporative cooling, the ZECC achieves a substantial moderation of storage stressors, characterized by a 5.80</w:t>
      </w:r>
      <w:r w:rsidRPr="005D7687">
        <w:rPr>
          <w:rFonts w:ascii="Times New Roman" w:eastAsia="Times New Roman" w:hAnsi="Times New Roman" w:cs="Times New Roman"/>
          <w:i/>
          <w:iCs/>
          <w:color w:val="1B1C1D"/>
          <w:sz w:val="24"/>
          <w:szCs w:val="24"/>
          <w:lang w:eastAsia="en-IN"/>
        </w:rPr>
        <w:t>C</w:t>
      </w:r>
      <w:r w:rsidRPr="005D7687">
        <w:rPr>
          <w:rFonts w:ascii="Times New Roman" w:eastAsia="Times New Roman" w:hAnsi="Times New Roman" w:cs="Times New Roman"/>
          <w:color w:val="1B1C1D"/>
          <w:sz w:val="24"/>
          <w:szCs w:val="24"/>
          <w:lang w:eastAsia="en-IN"/>
        </w:rPr>
        <w:t> temperature drop and a 40.5% increase in relative humidity.</w:t>
      </w:r>
      <w:r w:rsidR="003E0ECF">
        <w:rPr>
          <w:rFonts w:ascii="Times New Roman" w:eastAsia="Times New Roman" w:hAnsi="Times New Roman" w:cs="Times New Roman"/>
          <w:color w:val="1B1C1D"/>
          <w:sz w:val="24"/>
          <w:szCs w:val="24"/>
          <w:lang w:eastAsia="en-IN"/>
        </w:rPr>
        <w:t xml:space="preserve"> </w:t>
      </w:r>
      <w:r w:rsidRPr="005D7687">
        <w:rPr>
          <w:rFonts w:ascii="Times New Roman" w:eastAsia="Times New Roman" w:hAnsi="Times New Roman" w:cs="Times New Roman"/>
          <w:color w:val="1B1C1D"/>
          <w:sz w:val="24"/>
          <w:szCs w:val="24"/>
          <w:lang w:eastAsia="en-IN"/>
        </w:rPr>
        <w:t>This environmental control yields tangible benefits, resulting in a marked reduction in Physiological Loss in Weight and the superior maintenance of sensory quality. The marketable shelf life of diverse summer produce was extended by 1 to 2 days across all tested categories, with the most significant relative benefits realized for highly perishable, high-value commodities such as Oyster Mushroom.</w:t>
      </w:r>
      <w:r w:rsidR="003E0ECF">
        <w:rPr>
          <w:rFonts w:ascii="Times New Roman" w:eastAsia="Times New Roman" w:hAnsi="Times New Roman" w:cs="Times New Roman"/>
          <w:color w:val="1B1C1D"/>
          <w:sz w:val="24"/>
          <w:szCs w:val="24"/>
          <w:lang w:eastAsia="en-IN"/>
        </w:rPr>
        <w:t xml:space="preserve"> </w:t>
      </w:r>
      <w:r w:rsidRPr="005D7687">
        <w:rPr>
          <w:rFonts w:ascii="Times New Roman" w:eastAsia="Times New Roman" w:hAnsi="Times New Roman" w:cs="Times New Roman"/>
          <w:color w:val="1B1C1D"/>
          <w:sz w:val="24"/>
          <w:szCs w:val="24"/>
          <w:lang w:eastAsia="en-IN"/>
        </w:rPr>
        <w:t>Given its low capital cost, zero reliance on grid electricity, minimal maintenance requirements, and proven efficacy in mitigating losses and preserving freshness, the ZECC is strongly recommended as an efficient and sustainable technological intervention. It represents a vital solution for enhancing food supply chain resilience and improving economic profitability for vegetable growers in regions lacking access to conventional refrigeration facilities.   </w:t>
      </w:r>
    </w:p>
    <w:p w14:paraId="692EB484" w14:textId="77777777" w:rsidR="007F267D" w:rsidRPr="007F267D" w:rsidRDefault="007F267D" w:rsidP="007F267D">
      <w:p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7F267D">
        <w:rPr>
          <w:rFonts w:ascii="Times New Roman" w:eastAsia="Times New Roman" w:hAnsi="Times New Roman" w:cs="Times New Roman"/>
          <w:color w:val="1B1C1D"/>
          <w:sz w:val="24"/>
          <w:szCs w:val="24"/>
          <w:lang w:eastAsia="en-IN"/>
        </w:rPr>
        <w:lastRenderedPageBreak/>
        <w:t>Disclaimer (Artificial intelligence)</w:t>
      </w:r>
    </w:p>
    <w:p w14:paraId="0D3BE39A" w14:textId="3FD02629" w:rsidR="007F267D" w:rsidRPr="005D7687" w:rsidRDefault="007F267D" w:rsidP="007F267D">
      <w:p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7F267D">
        <w:rPr>
          <w:rFonts w:ascii="Times New Roman" w:eastAsia="Times New Roman" w:hAnsi="Times New Roman" w:cs="Times New Roman"/>
          <w:color w:val="1B1C1D"/>
          <w:sz w:val="24"/>
          <w:szCs w:val="24"/>
          <w:lang w:eastAsia="en-IN"/>
        </w:rPr>
        <w:t>Author(s) hereby declare that NO generative AI technologies such as Large Language Models (</w:t>
      </w:r>
      <w:proofErr w:type="spellStart"/>
      <w:r w:rsidRPr="007F267D">
        <w:rPr>
          <w:rFonts w:ascii="Times New Roman" w:eastAsia="Times New Roman" w:hAnsi="Times New Roman" w:cs="Times New Roman"/>
          <w:color w:val="1B1C1D"/>
          <w:sz w:val="24"/>
          <w:szCs w:val="24"/>
          <w:lang w:eastAsia="en-IN"/>
        </w:rPr>
        <w:t>ChatGPT</w:t>
      </w:r>
      <w:proofErr w:type="spellEnd"/>
      <w:r w:rsidRPr="007F267D">
        <w:rPr>
          <w:rFonts w:ascii="Times New Roman" w:eastAsia="Times New Roman" w:hAnsi="Times New Roman" w:cs="Times New Roman"/>
          <w:color w:val="1B1C1D"/>
          <w:sz w:val="24"/>
          <w:szCs w:val="24"/>
          <w:lang w:eastAsia="en-IN"/>
        </w:rPr>
        <w:t>, COPILOT, etc.) and text-to-image generators have been used during the writing or editing of this manuscript.</w:t>
      </w:r>
      <w:bookmarkStart w:id="1" w:name="_GoBack"/>
      <w:bookmarkEnd w:id="1"/>
    </w:p>
    <w:p w14:paraId="5475BC22" w14:textId="77777777" w:rsidR="003E0ECF" w:rsidRDefault="003E0ECF" w:rsidP="005D7687">
      <w:pPr>
        <w:shd w:val="clear" w:color="auto" w:fill="FFFFFF"/>
        <w:spacing w:before="420" w:after="120" w:line="420" w:lineRule="atLeast"/>
        <w:jc w:val="both"/>
        <w:outlineLvl w:val="1"/>
        <w:rPr>
          <w:rFonts w:ascii="Times New Roman" w:eastAsia="Times New Roman" w:hAnsi="Times New Roman" w:cs="Times New Roman"/>
          <w:b/>
          <w:bCs/>
          <w:color w:val="1B1C1D"/>
          <w:sz w:val="30"/>
          <w:szCs w:val="30"/>
          <w:lang w:eastAsia="en-IN"/>
        </w:rPr>
      </w:pPr>
    </w:p>
    <w:p w14:paraId="1CD297AE" w14:textId="77777777" w:rsidR="003E0ECF" w:rsidRDefault="003E0ECF" w:rsidP="005D7687">
      <w:pPr>
        <w:shd w:val="clear" w:color="auto" w:fill="FFFFFF"/>
        <w:spacing w:before="420" w:after="120" w:line="420" w:lineRule="atLeast"/>
        <w:jc w:val="both"/>
        <w:outlineLvl w:val="1"/>
        <w:rPr>
          <w:rFonts w:ascii="Times New Roman" w:eastAsia="Times New Roman" w:hAnsi="Times New Roman" w:cs="Times New Roman"/>
          <w:b/>
          <w:bCs/>
          <w:color w:val="1B1C1D"/>
          <w:sz w:val="30"/>
          <w:szCs w:val="30"/>
          <w:lang w:eastAsia="en-IN"/>
        </w:rPr>
      </w:pPr>
    </w:p>
    <w:p w14:paraId="15C4D2BF" w14:textId="43BF4BFA" w:rsidR="005D7687" w:rsidRPr="005D7687" w:rsidRDefault="005D7687" w:rsidP="005D7687">
      <w:pPr>
        <w:shd w:val="clear" w:color="auto" w:fill="FFFFFF"/>
        <w:spacing w:before="420" w:after="120" w:line="420" w:lineRule="atLeast"/>
        <w:jc w:val="both"/>
        <w:outlineLvl w:val="1"/>
        <w:rPr>
          <w:rFonts w:ascii="Times New Roman" w:eastAsia="Times New Roman" w:hAnsi="Times New Roman" w:cs="Times New Roman"/>
          <w:b/>
          <w:bCs/>
          <w:color w:val="1B1C1D"/>
          <w:sz w:val="30"/>
          <w:szCs w:val="30"/>
          <w:lang w:eastAsia="en-IN"/>
        </w:rPr>
      </w:pPr>
      <w:r w:rsidRPr="005D7687">
        <w:rPr>
          <w:rFonts w:ascii="Times New Roman" w:eastAsia="Times New Roman" w:hAnsi="Times New Roman" w:cs="Times New Roman"/>
          <w:b/>
          <w:bCs/>
          <w:color w:val="1B1C1D"/>
          <w:sz w:val="30"/>
          <w:szCs w:val="30"/>
          <w:lang w:eastAsia="en-IN"/>
        </w:rPr>
        <w:t>References</w:t>
      </w:r>
    </w:p>
    <w:p w14:paraId="7C77DF9E" w14:textId="01725CA5" w:rsidR="007D6DB9" w:rsidRDefault="007D6DB9" w:rsidP="003E0ECF">
      <w:pPr>
        <w:pStyle w:val="ListParagraph"/>
        <w:numPr>
          <w:ilvl w:val="0"/>
          <w:numId w:val="1"/>
        </w:num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7D6DB9">
        <w:rPr>
          <w:rFonts w:ascii="Times New Roman" w:eastAsia="Times New Roman" w:hAnsi="Times New Roman" w:cs="Times New Roman"/>
          <w:color w:val="1B1C1D"/>
          <w:sz w:val="24"/>
          <w:szCs w:val="24"/>
          <w:lang w:eastAsia="en-IN"/>
        </w:rPr>
        <w:t xml:space="preserve">Arun, G. C., and Ghimire, K. (2018). A SWOT analysis of Nepalese agricultural policy. </w:t>
      </w:r>
      <w:r>
        <w:rPr>
          <w:rFonts w:ascii="Times New Roman" w:eastAsia="Times New Roman" w:hAnsi="Times New Roman" w:cs="Times New Roman"/>
          <w:color w:val="1B1C1D"/>
          <w:sz w:val="24"/>
          <w:szCs w:val="24"/>
          <w:lang w:eastAsia="en-IN"/>
        </w:rPr>
        <w:tab/>
      </w:r>
      <w:r w:rsidRPr="007D6DB9">
        <w:rPr>
          <w:rFonts w:ascii="Times New Roman" w:eastAsia="Times New Roman" w:hAnsi="Times New Roman" w:cs="Times New Roman"/>
          <w:color w:val="1B1C1D"/>
          <w:sz w:val="24"/>
          <w:szCs w:val="24"/>
          <w:lang w:eastAsia="en-IN"/>
        </w:rPr>
        <w:t xml:space="preserve">International Journal of Agriculture, Environment and Food Sciences, 2 (4), </w:t>
      </w:r>
      <w:r>
        <w:rPr>
          <w:rFonts w:ascii="Times New Roman" w:eastAsia="Times New Roman" w:hAnsi="Times New Roman" w:cs="Times New Roman"/>
          <w:color w:val="1B1C1D"/>
          <w:sz w:val="24"/>
          <w:szCs w:val="24"/>
          <w:lang w:eastAsia="en-IN"/>
        </w:rPr>
        <w:tab/>
      </w:r>
      <w:r w:rsidRPr="007D6DB9">
        <w:rPr>
          <w:rFonts w:ascii="Times New Roman" w:eastAsia="Times New Roman" w:hAnsi="Times New Roman" w:cs="Times New Roman"/>
          <w:color w:val="1B1C1D"/>
          <w:sz w:val="24"/>
          <w:szCs w:val="24"/>
          <w:lang w:eastAsia="en-IN"/>
        </w:rPr>
        <w:t>119-123.</w:t>
      </w:r>
    </w:p>
    <w:p w14:paraId="1B58D513" w14:textId="503580B7" w:rsidR="007D6DB9" w:rsidRDefault="007D6DB9" w:rsidP="003E0ECF">
      <w:pPr>
        <w:pStyle w:val="ListParagraph"/>
        <w:numPr>
          <w:ilvl w:val="0"/>
          <w:numId w:val="1"/>
        </w:num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7D6DB9">
        <w:rPr>
          <w:rFonts w:ascii="Times New Roman" w:eastAsia="Times New Roman" w:hAnsi="Times New Roman" w:cs="Times New Roman"/>
          <w:color w:val="1B1C1D"/>
          <w:sz w:val="24"/>
          <w:szCs w:val="24"/>
          <w:lang w:eastAsia="en-IN"/>
        </w:rPr>
        <w:t xml:space="preserve">Chien, P. J., </w:t>
      </w:r>
      <w:proofErr w:type="spellStart"/>
      <w:r w:rsidRPr="007D6DB9">
        <w:rPr>
          <w:rFonts w:ascii="Times New Roman" w:eastAsia="Times New Roman" w:hAnsi="Times New Roman" w:cs="Times New Roman"/>
          <w:color w:val="1B1C1D"/>
          <w:sz w:val="24"/>
          <w:szCs w:val="24"/>
          <w:lang w:eastAsia="en-IN"/>
        </w:rPr>
        <w:t>Sheu</w:t>
      </w:r>
      <w:proofErr w:type="spellEnd"/>
      <w:r w:rsidRPr="007D6DB9">
        <w:rPr>
          <w:rFonts w:ascii="Times New Roman" w:eastAsia="Times New Roman" w:hAnsi="Times New Roman" w:cs="Times New Roman"/>
          <w:color w:val="1B1C1D"/>
          <w:sz w:val="24"/>
          <w:szCs w:val="24"/>
          <w:lang w:eastAsia="en-IN"/>
        </w:rPr>
        <w:t xml:space="preserve">, F., and Yang, F. H. (2007). Effects of edible chitosan coating on </w:t>
      </w:r>
      <w:r>
        <w:rPr>
          <w:rFonts w:ascii="Times New Roman" w:eastAsia="Times New Roman" w:hAnsi="Times New Roman" w:cs="Times New Roman"/>
          <w:color w:val="1B1C1D"/>
          <w:sz w:val="24"/>
          <w:szCs w:val="24"/>
          <w:lang w:eastAsia="en-IN"/>
        </w:rPr>
        <w:tab/>
      </w:r>
      <w:r w:rsidRPr="007D6DB9">
        <w:rPr>
          <w:rFonts w:ascii="Times New Roman" w:eastAsia="Times New Roman" w:hAnsi="Times New Roman" w:cs="Times New Roman"/>
          <w:color w:val="1B1C1D"/>
          <w:sz w:val="24"/>
          <w:szCs w:val="24"/>
          <w:lang w:eastAsia="en-IN"/>
        </w:rPr>
        <w:t xml:space="preserve">quality and shelf life of sliced mango fruit. Journal of Food Engineering, 78 (1), </w:t>
      </w:r>
      <w:r>
        <w:rPr>
          <w:rFonts w:ascii="Times New Roman" w:eastAsia="Times New Roman" w:hAnsi="Times New Roman" w:cs="Times New Roman"/>
          <w:color w:val="1B1C1D"/>
          <w:sz w:val="24"/>
          <w:szCs w:val="24"/>
          <w:lang w:eastAsia="en-IN"/>
        </w:rPr>
        <w:tab/>
      </w:r>
      <w:r w:rsidRPr="007D6DB9">
        <w:rPr>
          <w:rFonts w:ascii="Times New Roman" w:eastAsia="Times New Roman" w:hAnsi="Times New Roman" w:cs="Times New Roman"/>
          <w:color w:val="1B1C1D"/>
          <w:sz w:val="24"/>
          <w:szCs w:val="24"/>
          <w:lang w:eastAsia="en-IN"/>
        </w:rPr>
        <w:t>225–229.</w:t>
      </w:r>
    </w:p>
    <w:p w14:paraId="6C691E92" w14:textId="77777777" w:rsidR="002924E5" w:rsidRDefault="005D7687" w:rsidP="003E0ECF">
      <w:pPr>
        <w:pStyle w:val="ListParagraph"/>
        <w:numPr>
          <w:ilvl w:val="0"/>
          <w:numId w:val="1"/>
        </w:num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3E0ECF">
        <w:rPr>
          <w:rFonts w:ascii="Times New Roman" w:eastAsia="Times New Roman" w:hAnsi="Times New Roman" w:cs="Times New Roman"/>
          <w:color w:val="1B1C1D"/>
          <w:sz w:val="24"/>
          <w:szCs w:val="24"/>
          <w:lang w:eastAsia="en-IN"/>
        </w:rPr>
        <w:t xml:space="preserve">Data, E.S. and </w:t>
      </w:r>
      <w:proofErr w:type="spellStart"/>
      <w:r w:rsidRPr="003E0ECF">
        <w:rPr>
          <w:rFonts w:ascii="Times New Roman" w:eastAsia="Times New Roman" w:hAnsi="Times New Roman" w:cs="Times New Roman"/>
          <w:color w:val="1B1C1D"/>
          <w:sz w:val="24"/>
          <w:szCs w:val="24"/>
          <w:lang w:eastAsia="en-IN"/>
        </w:rPr>
        <w:t>Eronica</w:t>
      </w:r>
      <w:proofErr w:type="spellEnd"/>
      <w:r w:rsidRPr="003E0ECF">
        <w:rPr>
          <w:rFonts w:ascii="Times New Roman" w:eastAsia="Times New Roman" w:hAnsi="Times New Roman" w:cs="Times New Roman"/>
          <w:color w:val="1B1C1D"/>
          <w:sz w:val="24"/>
          <w:szCs w:val="24"/>
          <w:lang w:eastAsia="en-IN"/>
        </w:rPr>
        <w:t xml:space="preserve">, P.S. (1987). Storage performance of newly developed sweet </w:t>
      </w:r>
      <w:r w:rsidR="003E0ECF">
        <w:rPr>
          <w:rFonts w:ascii="Times New Roman" w:eastAsia="Times New Roman" w:hAnsi="Times New Roman" w:cs="Times New Roman"/>
          <w:color w:val="1B1C1D"/>
          <w:sz w:val="24"/>
          <w:szCs w:val="24"/>
          <w:lang w:eastAsia="en-IN"/>
        </w:rPr>
        <w:tab/>
      </w:r>
      <w:r w:rsidRPr="003E0ECF">
        <w:rPr>
          <w:rFonts w:ascii="Times New Roman" w:eastAsia="Times New Roman" w:hAnsi="Times New Roman" w:cs="Times New Roman"/>
          <w:color w:val="1B1C1D"/>
          <w:sz w:val="24"/>
          <w:szCs w:val="24"/>
          <w:lang w:eastAsia="en-IN"/>
        </w:rPr>
        <w:t xml:space="preserve">potato hybrids, The Redix Semi Annual Research Publication of </w:t>
      </w:r>
      <w:proofErr w:type="spellStart"/>
      <w:r w:rsidRPr="003E0ECF">
        <w:rPr>
          <w:rFonts w:ascii="Times New Roman" w:eastAsia="Times New Roman" w:hAnsi="Times New Roman" w:cs="Times New Roman"/>
          <w:color w:val="1B1C1D"/>
          <w:sz w:val="24"/>
          <w:szCs w:val="24"/>
          <w:lang w:eastAsia="en-IN"/>
        </w:rPr>
        <w:t>Phillipins</w:t>
      </w:r>
      <w:proofErr w:type="spellEnd"/>
      <w:r w:rsidRPr="003E0ECF">
        <w:rPr>
          <w:rFonts w:ascii="Times New Roman" w:eastAsia="Times New Roman" w:hAnsi="Times New Roman" w:cs="Times New Roman"/>
          <w:color w:val="1B1C1D"/>
          <w:sz w:val="24"/>
          <w:szCs w:val="24"/>
          <w:lang w:eastAsia="en-IN"/>
        </w:rPr>
        <w:t xml:space="preserve"> Root </w:t>
      </w:r>
      <w:r w:rsidR="003E0ECF">
        <w:rPr>
          <w:rFonts w:ascii="Times New Roman" w:eastAsia="Times New Roman" w:hAnsi="Times New Roman" w:cs="Times New Roman"/>
          <w:color w:val="1B1C1D"/>
          <w:sz w:val="24"/>
          <w:szCs w:val="24"/>
          <w:lang w:eastAsia="en-IN"/>
        </w:rPr>
        <w:tab/>
      </w:r>
      <w:r w:rsidRPr="003E0ECF">
        <w:rPr>
          <w:rFonts w:ascii="Times New Roman" w:eastAsia="Times New Roman" w:hAnsi="Times New Roman" w:cs="Times New Roman"/>
          <w:color w:val="1B1C1D"/>
          <w:sz w:val="24"/>
          <w:szCs w:val="24"/>
          <w:lang w:eastAsia="en-IN"/>
        </w:rPr>
        <w:t xml:space="preserve">Crop Research and Training </w:t>
      </w:r>
      <w:proofErr w:type="spellStart"/>
      <w:r w:rsidRPr="003E0ECF">
        <w:rPr>
          <w:rFonts w:ascii="Times New Roman" w:eastAsia="Times New Roman" w:hAnsi="Times New Roman" w:cs="Times New Roman"/>
          <w:color w:val="1B1C1D"/>
          <w:sz w:val="24"/>
          <w:szCs w:val="24"/>
          <w:lang w:eastAsia="en-IN"/>
        </w:rPr>
        <w:t>center</w:t>
      </w:r>
      <w:proofErr w:type="spellEnd"/>
      <w:r w:rsidRPr="003E0ECF">
        <w:rPr>
          <w:rFonts w:ascii="Times New Roman" w:eastAsia="Times New Roman" w:hAnsi="Times New Roman" w:cs="Times New Roman"/>
          <w:color w:val="1B1C1D"/>
          <w:sz w:val="24"/>
          <w:szCs w:val="24"/>
          <w:lang w:eastAsia="en-IN"/>
        </w:rPr>
        <w:t>, 9:(1).</w:t>
      </w:r>
    </w:p>
    <w:p w14:paraId="3AD5A99A" w14:textId="77972D04" w:rsidR="005D7687" w:rsidRPr="003E0ECF" w:rsidRDefault="002924E5" w:rsidP="003E0ECF">
      <w:pPr>
        <w:pStyle w:val="ListParagraph"/>
        <w:numPr>
          <w:ilvl w:val="0"/>
          <w:numId w:val="1"/>
        </w:numPr>
        <w:shd w:val="clear" w:color="auto" w:fill="FFFFFF"/>
        <w:spacing w:after="240" w:line="360" w:lineRule="auto"/>
        <w:jc w:val="both"/>
        <w:rPr>
          <w:rFonts w:ascii="Times New Roman" w:eastAsia="Times New Roman" w:hAnsi="Times New Roman" w:cs="Times New Roman"/>
          <w:color w:val="1B1C1D"/>
          <w:sz w:val="24"/>
          <w:szCs w:val="24"/>
          <w:lang w:eastAsia="en-IN"/>
        </w:rPr>
      </w:pPr>
      <w:proofErr w:type="spellStart"/>
      <w:proofErr w:type="gramStart"/>
      <w:r>
        <w:rPr>
          <w:rFonts w:ascii="Times New Roman" w:eastAsia="Times New Roman" w:hAnsi="Times New Roman" w:cs="Times New Roman"/>
          <w:color w:val="1B1C1D"/>
          <w:sz w:val="24"/>
          <w:szCs w:val="24"/>
          <w:lang w:eastAsia="en-IN"/>
        </w:rPr>
        <w:t>Islam,M.P</w:t>
      </w:r>
      <w:proofErr w:type="spellEnd"/>
      <w:r>
        <w:rPr>
          <w:rFonts w:ascii="Times New Roman" w:eastAsia="Times New Roman" w:hAnsi="Times New Roman" w:cs="Times New Roman"/>
          <w:color w:val="1B1C1D"/>
          <w:sz w:val="24"/>
          <w:szCs w:val="24"/>
          <w:lang w:eastAsia="en-IN"/>
        </w:rPr>
        <w:t>.</w:t>
      </w:r>
      <w:proofErr w:type="gramEnd"/>
      <w:r>
        <w:rPr>
          <w:rFonts w:ascii="Times New Roman" w:eastAsia="Times New Roman" w:hAnsi="Times New Roman" w:cs="Times New Roman"/>
          <w:color w:val="1B1C1D"/>
          <w:sz w:val="24"/>
          <w:szCs w:val="24"/>
          <w:lang w:eastAsia="en-IN"/>
        </w:rPr>
        <w:t xml:space="preserve">, </w:t>
      </w:r>
      <w:proofErr w:type="spellStart"/>
      <w:r>
        <w:rPr>
          <w:rFonts w:ascii="Times New Roman" w:eastAsia="Times New Roman" w:hAnsi="Times New Roman" w:cs="Times New Roman"/>
          <w:color w:val="1B1C1D"/>
          <w:sz w:val="24"/>
          <w:szCs w:val="24"/>
          <w:lang w:eastAsia="en-IN"/>
        </w:rPr>
        <w:t>Morimoto,T</w:t>
      </w:r>
      <w:proofErr w:type="spellEnd"/>
      <w:r>
        <w:rPr>
          <w:rFonts w:ascii="Times New Roman" w:eastAsia="Times New Roman" w:hAnsi="Times New Roman" w:cs="Times New Roman"/>
          <w:color w:val="1B1C1D"/>
          <w:sz w:val="24"/>
          <w:szCs w:val="24"/>
          <w:lang w:eastAsia="en-IN"/>
        </w:rPr>
        <w:t xml:space="preserve">., </w:t>
      </w:r>
      <w:proofErr w:type="spellStart"/>
      <w:r>
        <w:rPr>
          <w:rFonts w:ascii="Times New Roman" w:eastAsia="Times New Roman" w:hAnsi="Times New Roman" w:cs="Times New Roman"/>
          <w:color w:val="1B1C1D"/>
          <w:sz w:val="24"/>
          <w:szCs w:val="24"/>
          <w:lang w:eastAsia="en-IN"/>
        </w:rPr>
        <w:t>Hatou</w:t>
      </w:r>
      <w:proofErr w:type="spellEnd"/>
      <w:r>
        <w:rPr>
          <w:rFonts w:ascii="Times New Roman" w:eastAsia="Times New Roman" w:hAnsi="Times New Roman" w:cs="Times New Roman"/>
          <w:color w:val="1B1C1D"/>
          <w:sz w:val="24"/>
          <w:szCs w:val="24"/>
          <w:lang w:eastAsia="en-IN"/>
        </w:rPr>
        <w:t>, K.(2013).</w:t>
      </w:r>
      <w:r w:rsidR="00014884" w:rsidRPr="00014884">
        <w:t xml:space="preserve"> </w:t>
      </w:r>
      <w:r w:rsidR="00014884" w:rsidRPr="00014884">
        <w:rPr>
          <w:rFonts w:ascii="Times New Roman" w:eastAsia="Times New Roman" w:hAnsi="Times New Roman" w:cs="Times New Roman"/>
          <w:color w:val="1B1C1D"/>
          <w:sz w:val="24"/>
          <w:szCs w:val="24"/>
          <w:lang w:eastAsia="en-IN"/>
        </w:rPr>
        <w:t>Optimization of Watering for Minimizing the Inside Temperature of Zero Energy Cool Chamber for Storing Fruits and Vegetables</w:t>
      </w:r>
      <w:r w:rsidR="00014884">
        <w:rPr>
          <w:rFonts w:ascii="Times New Roman" w:eastAsia="Times New Roman" w:hAnsi="Times New Roman" w:cs="Times New Roman"/>
          <w:color w:val="1B1C1D"/>
          <w:sz w:val="24"/>
          <w:szCs w:val="24"/>
          <w:lang w:eastAsia="en-IN"/>
        </w:rPr>
        <w:t>.</w:t>
      </w:r>
      <w:r w:rsidR="005D7687" w:rsidRPr="003E0ECF">
        <w:rPr>
          <w:rFonts w:ascii="Times New Roman" w:eastAsia="Times New Roman" w:hAnsi="Times New Roman" w:cs="Times New Roman"/>
          <w:color w:val="1B1C1D"/>
          <w:sz w:val="24"/>
          <w:szCs w:val="24"/>
          <w:lang w:eastAsia="en-IN"/>
        </w:rPr>
        <w:t> </w:t>
      </w:r>
      <w:r w:rsidR="00014884" w:rsidRPr="00014884">
        <w:rPr>
          <w:rFonts w:ascii="Times New Roman" w:eastAsia="Times New Roman" w:hAnsi="Times New Roman" w:cs="Times New Roman"/>
          <w:i/>
          <w:iCs/>
          <w:color w:val="1B1C1D"/>
          <w:sz w:val="24"/>
          <w:szCs w:val="24"/>
          <w:lang w:eastAsia="en-IN"/>
        </w:rPr>
        <w:t>IFAC Proceedings</w:t>
      </w:r>
      <w:r w:rsidR="00014884">
        <w:rPr>
          <w:rFonts w:ascii="Times New Roman" w:eastAsia="Times New Roman" w:hAnsi="Times New Roman" w:cs="Times New Roman"/>
          <w:color w:val="1B1C1D"/>
          <w:sz w:val="24"/>
          <w:szCs w:val="24"/>
          <w:lang w:eastAsia="en-IN"/>
        </w:rPr>
        <w:t>,46(4):</w:t>
      </w:r>
      <w:r w:rsidR="00014884" w:rsidRPr="00014884">
        <w:t xml:space="preserve"> </w:t>
      </w:r>
      <w:r w:rsidR="00014884" w:rsidRPr="00014884">
        <w:rPr>
          <w:rFonts w:ascii="Times New Roman" w:eastAsia="Times New Roman" w:hAnsi="Times New Roman" w:cs="Times New Roman"/>
          <w:color w:val="1B1C1D"/>
          <w:sz w:val="24"/>
          <w:szCs w:val="24"/>
          <w:lang w:eastAsia="en-IN"/>
        </w:rPr>
        <w:t>17-22</w:t>
      </w:r>
      <w:r w:rsidR="00014884">
        <w:rPr>
          <w:rFonts w:ascii="Times New Roman" w:eastAsia="Times New Roman" w:hAnsi="Times New Roman" w:cs="Times New Roman"/>
          <w:color w:val="1B1C1D"/>
          <w:sz w:val="24"/>
          <w:szCs w:val="24"/>
          <w:lang w:eastAsia="en-IN"/>
        </w:rPr>
        <w:t>.</w:t>
      </w:r>
      <w:r w:rsidR="00014884" w:rsidRPr="00014884">
        <w:t xml:space="preserve"> </w:t>
      </w:r>
      <w:r w:rsidR="00014884" w:rsidRPr="00014884">
        <w:rPr>
          <w:rFonts w:ascii="Times New Roman" w:eastAsia="Times New Roman" w:hAnsi="Times New Roman" w:cs="Times New Roman"/>
          <w:color w:val="1B1C1D"/>
          <w:sz w:val="24"/>
          <w:szCs w:val="24"/>
          <w:lang w:eastAsia="en-IN"/>
        </w:rPr>
        <w:t>https://doi.org/10.3182/20130327-3-JP-3017.00007.</w:t>
      </w:r>
    </w:p>
    <w:p w14:paraId="31D845F9" w14:textId="042FAF18" w:rsidR="005D7687" w:rsidRPr="003E0ECF" w:rsidRDefault="005D7687" w:rsidP="003E0ECF">
      <w:pPr>
        <w:pStyle w:val="ListParagraph"/>
        <w:numPr>
          <w:ilvl w:val="0"/>
          <w:numId w:val="1"/>
        </w:num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3E0ECF">
        <w:rPr>
          <w:rFonts w:ascii="Times New Roman" w:eastAsia="Times New Roman" w:hAnsi="Times New Roman" w:cs="Times New Roman"/>
          <w:color w:val="1B1C1D"/>
          <w:sz w:val="24"/>
          <w:szCs w:val="24"/>
          <w:lang w:eastAsia="en-IN"/>
        </w:rPr>
        <w:t xml:space="preserve">Jadhav, R. T., Yadav, A. N., Ghag, K. S., &amp; Gavnang, M. R. (2010). Comparative study </w:t>
      </w:r>
      <w:r w:rsidR="003E0ECF">
        <w:rPr>
          <w:rFonts w:ascii="Times New Roman" w:eastAsia="Times New Roman" w:hAnsi="Times New Roman" w:cs="Times New Roman"/>
          <w:color w:val="1B1C1D"/>
          <w:sz w:val="24"/>
          <w:szCs w:val="24"/>
          <w:lang w:eastAsia="en-IN"/>
        </w:rPr>
        <w:tab/>
      </w:r>
      <w:r w:rsidRPr="003E0ECF">
        <w:rPr>
          <w:rFonts w:ascii="Times New Roman" w:eastAsia="Times New Roman" w:hAnsi="Times New Roman" w:cs="Times New Roman"/>
          <w:color w:val="1B1C1D"/>
          <w:sz w:val="24"/>
          <w:szCs w:val="24"/>
          <w:lang w:eastAsia="en-IN"/>
        </w:rPr>
        <w:t xml:space="preserve">of </w:t>
      </w:r>
      <w:r w:rsidR="007D6DB9" w:rsidRPr="003E0ECF">
        <w:rPr>
          <w:rFonts w:ascii="Times New Roman" w:eastAsia="Times New Roman" w:hAnsi="Times New Roman" w:cs="Times New Roman"/>
          <w:color w:val="1B1C1D"/>
          <w:sz w:val="24"/>
          <w:szCs w:val="24"/>
          <w:lang w:eastAsia="en-IN"/>
        </w:rPr>
        <w:t>low-cost</w:t>
      </w:r>
      <w:r w:rsidRPr="003E0ECF">
        <w:rPr>
          <w:rFonts w:ascii="Times New Roman" w:eastAsia="Times New Roman" w:hAnsi="Times New Roman" w:cs="Times New Roman"/>
          <w:color w:val="1B1C1D"/>
          <w:sz w:val="24"/>
          <w:szCs w:val="24"/>
          <w:lang w:eastAsia="en-IN"/>
        </w:rPr>
        <w:t xml:space="preserve"> evaporative cooling systems for storage of tomato. </w:t>
      </w:r>
      <w:r w:rsidRPr="003E0ECF">
        <w:rPr>
          <w:rFonts w:ascii="Times New Roman" w:eastAsia="Times New Roman" w:hAnsi="Times New Roman" w:cs="Times New Roman"/>
          <w:i/>
          <w:iCs/>
          <w:color w:val="1B1C1D"/>
          <w:sz w:val="24"/>
          <w:szCs w:val="24"/>
          <w:lang w:eastAsia="en-IN"/>
        </w:rPr>
        <w:t xml:space="preserve">International </w:t>
      </w:r>
      <w:r w:rsidR="003E0ECF">
        <w:rPr>
          <w:rFonts w:ascii="Times New Roman" w:eastAsia="Times New Roman" w:hAnsi="Times New Roman" w:cs="Times New Roman"/>
          <w:i/>
          <w:iCs/>
          <w:color w:val="1B1C1D"/>
          <w:sz w:val="24"/>
          <w:szCs w:val="24"/>
          <w:lang w:eastAsia="en-IN"/>
        </w:rPr>
        <w:tab/>
      </w:r>
      <w:r w:rsidRPr="003E0ECF">
        <w:rPr>
          <w:rFonts w:ascii="Times New Roman" w:eastAsia="Times New Roman" w:hAnsi="Times New Roman" w:cs="Times New Roman"/>
          <w:i/>
          <w:iCs/>
          <w:color w:val="1B1C1D"/>
          <w:sz w:val="24"/>
          <w:szCs w:val="24"/>
          <w:lang w:eastAsia="en-IN"/>
        </w:rPr>
        <w:t>Journal of Agricultural Engineering</w:t>
      </w:r>
      <w:r w:rsidRPr="003E0ECF">
        <w:rPr>
          <w:rFonts w:ascii="Times New Roman" w:eastAsia="Times New Roman" w:hAnsi="Times New Roman" w:cs="Times New Roman"/>
          <w:color w:val="1B1C1D"/>
          <w:sz w:val="24"/>
          <w:szCs w:val="24"/>
          <w:lang w:eastAsia="en-IN"/>
        </w:rPr>
        <w:t>, 3(2): 199-204.   </w:t>
      </w:r>
    </w:p>
    <w:p w14:paraId="510130CE" w14:textId="4EA90AA0" w:rsidR="005D7687" w:rsidRPr="003E0ECF" w:rsidRDefault="005D7687" w:rsidP="003E0ECF">
      <w:pPr>
        <w:pStyle w:val="ListParagraph"/>
        <w:numPr>
          <w:ilvl w:val="0"/>
          <w:numId w:val="1"/>
        </w:num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3E0ECF">
        <w:rPr>
          <w:rFonts w:ascii="Times New Roman" w:eastAsia="Times New Roman" w:hAnsi="Times New Roman" w:cs="Times New Roman"/>
          <w:color w:val="1B1C1D"/>
          <w:sz w:val="24"/>
          <w:szCs w:val="24"/>
          <w:lang w:eastAsia="en-IN"/>
        </w:rPr>
        <w:t>Jain, D. (2007). Development and testing of two stage evaporative cooler. </w:t>
      </w:r>
      <w:r w:rsidRPr="003E0ECF">
        <w:rPr>
          <w:rFonts w:ascii="Times New Roman" w:eastAsia="Times New Roman" w:hAnsi="Times New Roman" w:cs="Times New Roman"/>
          <w:i/>
          <w:iCs/>
          <w:color w:val="1B1C1D"/>
          <w:sz w:val="24"/>
          <w:szCs w:val="24"/>
          <w:lang w:eastAsia="en-IN"/>
        </w:rPr>
        <w:t xml:space="preserve">Building and </w:t>
      </w:r>
      <w:r w:rsidR="003E0ECF">
        <w:rPr>
          <w:rFonts w:ascii="Times New Roman" w:eastAsia="Times New Roman" w:hAnsi="Times New Roman" w:cs="Times New Roman"/>
          <w:i/>
          <w:iCs/>
          <w:color w:val="1B1C1D"/>
          <w:sz w:val="24"/>
          <w:szCs w:val="24"/>
          <w:lang w:eastAsia="en-IN"/>
        </w:rPr>
        <w:tab/>
      </w:r>
      <w:r w:rsidRPr="003E0ECF">
        <w:rPr>
          <w:rFonts w:ascii="Times New Roman" w:eastAsia="Times New Roman" w:hAnsi="Times New Roman" w:cs="Times New Roman"/>
          <w:i/>
          <w:iCs/>
          <w:color w:val="1B1C1D"/>
          <w:sz w:val="24"/>
          <w:szCs w:val="24"/>
          <w:lang w:eastAsia="en-IN"/>
        </w:rPr>
        <w:t>Environment</w:t>
      </w:r>
      <w:r w:rsidR="00014884">
        <w:rPr>
          <w:rFonts w:ascii="Times New Roman" w:eastAsia="Times New Roman" w:hAnsi="Times New Roman" w:cs="Times New Roman"/>
          <w:color w:val="1B1C1D"/>
          <w:sz w:val="24"/>
          <w:szCs w:val="24"/>
          <w:lang w:eastAsia="en-IN"/>
        </w:rPr>
        <w:t>,</w:t>
      </w:r>
      <w:r w:rsidRPr="003E0ECF">
        <w:rPr>
          <w:rFonts w:ascii="Times New Roman" w:eastAsia="Times New Roman" w:hAnsi="Times New Roman" w:cs="Times New Roman"/>
          <w:color w:val="1B1C1D"/>
          <w:sz w:val="24"/>
          <w:szCs w:val="24"/>
          <w:lang w:eastAsia="en-IN"/>
        </w:rPr>
        <w:t xml:space="preserve"> 42: 2549–2554.   </w:t>
      </w:r>
    </w:p>
    <w:p w14:paraId="35BA3663" w14:textId="7DA6E3D1" w:rsidR="005D7687" w:rsidRPr="003E0ECF" w:rsidRDefault="005D7687" w:rsidP="003E0ECF">
      <w:pPr>
        <w:pStyle w:val="ListParagraph"/>
        <w:numPr>
          <w:ilvl w:val="0"/>
          <w:numId w:val="1"/>
        </w:num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3E0ECF">
        <w:rPr>
          <w:rFonts w:ascii="Times New Roman" w:eastAsia="Times New Roman" w:hAnsi="Times New Roman" w:cs="Times New Roman"/>
          <w:color w:val="1B1C1D"/>
          <w:sz w:val="24"/>
          <w:szCs w:val="24"/>
          <w:lang w:eastAsia="en-IN"/>
        </w:rPr>
        <w:t xml:space="preserve">Jha, S.N. (2008). Development of a pilot scale evaporative cooled storage structure for </w:t>
      </w:r>
      <w:r w:rsidR="003E0ECF">
        <w:rPr>
          <w:rFonts w:ascii="Times New Roman" w:eastAsia="Times New Roman" w:hAnsi="Times New Roman" w:cs="Times New Roman"/>
          <w:color w:val="1B1C1D"/>
          <w:sz w:val="24"/>
          <w:szCs w:val="24"/>
          <w:lang w:eastAsia="en-IN"/>
        </w:rPr>
        <w:tab/>
      </w:r>
      <w:r w:rsidRPr="003E0ECF">
        <w:rPr>
          <w:rFonts w:ascii="Times New Roman" w:eastAsia="Times New Roman" w:hAnsi="Times New Roman" w:cs="Times New Roman"/>
          <w:color w:val="1B1C1D"/>
          <w:sz w:val="24"/>
          <w:szCs w:val="24"/>
          <w:lang w:eastAsia="en-IN"/>
        </w:rPr>
        <w:t>fruits and vegetables in hot and dry reason. </w:t>
      </w:r>
      <w:r w:rsidRPr="003E0ECF">
        <w:rPr>
          <w:rFonts w:ascii="Times New Roman" w:eastAsia="Times New Roman" w:hAnsi="Times New Roman" w:cs="Times New Roman"/>
          <w:i/>
          <w:iCs/>
          <w:color w:val="1B1C1D"/>
          <w:sz w:val="24"/>
          <w:szCs w:val="24"/>
          <w:lang w:eastAsia="en-IN"/>
        </w:rPr>
        <w:t>J of Food Sci</w:t>
      </w:r>
      <w:r w:rsidR="00014884">
        <w:rPr>
          <w:rFonts w:ascii="Times New Roman" w:eastAsia="Times New Roman" w:hAnsi="Times New Roman" w:cs="Times New Roman"/>
          <w:i/>
          <w:iCs/>
          <w:color w:val="1B1C1D"/>
          <w:sz w:val="24"/>
          <w:szCs w:val="24"/>
          <w:lang w:eastAsia="en-IN"/>
        </w:rPr>
        <w:t xml:space="preserve"> </w:t>
      </w:r>
      <w:proofErr w:type="spellStart"/>
      <w:r w:rsidRPr="003E0ECF">
        <w:rPr>
          <w:rFonts w:ascii="Times New Roman" w:eastAsia="Times New Roman" w:hAnsi="Times New Roman" w:cs="Times New Roman"/>
          <w:i/>
          <w:iCs/>
          <w:color w:val="1B1C1D"/>
          <w:sz w:val="24"/>
          <w:szCs w:val="24"/>
          <w:lang w:eastAsia="en-IN"/>
        </w:rPr>
        <w:t>Technol</w:t>
      </w:r>
      <w:proofErr w:type="spellEnd"/>
      <w:r w:rsidRPr="003E0ECF">
        <w:rPr>
          <w:rFonts w:ascii="Times New Roman" w:eastAsia="Times New Roman" w:hAnsi="Times New Roman" w:cs="Times New Roman"/>
          <w:color w:val="1B1C1D"/>
          <w:sz w:val="24"/>
          <w:szCs w:val="24"/>
          <w:lang w:eastAsia="en-IN"/>
        </w:rPr>
        <w:t>, 45: 148-151.   </w:t>
      </w:r>
    </w:p>
    <w:p w14:paraId="43C54EDA" w14:textId="4813F75D" w:rsidR="005D7687" w:rsidRPr="003E0ECF" w:rsidRDefault="005D7687" w:rsidP="003E0ECF">
      <w:pPr>
        <w:pStyle w:val="ListParagraph"/>
        <w:numPr>
          <w:ilvl w:val="0"/>
          <w:numId w:val="1"/>
        </w:num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3E0ECF">
        <w:rPr>
          <w:rFonts w:ascii="Times New Roman" w:eastAsia="Times New Roman" w:hAnsi="Times New Roman" w:cs="Times New Roman"/>
          <w:color w:val="1B1C1D"/>
          <w:sz w:val="24"/>
          <w:szCs w:val="24"/>
          <w:lang w:eastAsia="en-IN"/>
        </w:rPr>
        <w:t xml:space="preserve">Kumari, S., Kumari, A., </w:t>
      </w:r>
      <w:proofErr w:type="spellStart"/>
      <w:r w:rsidRPr="003E0ECF">
        <w:rPr>
          <w:rFonts w:ascii="Times New Roman" w:eastAsia="Times New Roman" w:hAnsi="Times New Roman" w:cs="Times New Roman"/>
          <w:color w:val="1B1C1D"/>
          <w:sz w:val="24"/>
          <w:szCs w:val="24"/>
          <w:lang w:eastAsia="en-IN"/>
        </w:rPr>
        <w:t>Chudhary</w:t>
      </w:r>
      <w:proofErr w:type="spellEnd"/>
      <w:r w:rsidRPr="003E0ECF">
        <w:rPr>
          <w:rFonts w:ascii="Times New Roman" w:eastAsia="Times New Roman" w:hAnsi="Times New Roman" w:cs="Times New Roman"/>
          <w:color w:val="1B1C1D"/>
          <w:sz w:val="24"/>
          <w:szCs w:val="24"/>
          <w:lang w:eastAsia="en-IN"/>
        </w:rPr>
        <w:t xml:space="preserve">, H.C. and Singh, A.K. (2018). Studies on Storage </w:t>
      </w:r>
      <w:r w:rsidR="003E0ECF">
        <w:rPr>
          <w:rFonts w:ascii="Times New Roman" w:eastAsia="Times New Roman" w:hAnsi="Times New Roman" w:cs="Times New Roman"/>
          <w:color w:val="1B1C1D"/>
          <w:sz w:val="24"/>
          <w:szCs w:val="24"/>
          <w:lang w:eastAsia="en-IN"/>
        </w:rPr>
        <w:tab/>
      </w:r>
      <w:r w:rsidRPr="003E0ECF">
        <w:rPr>
          <w:rFonts w:ascii="Times New Roman" w:eastAsia="Times New Roman" w:hAnsi="Times New Roman" w:cs="Times New Roman"/>
          <w:color w:val="1B1C1D"/>
          <w:sz w:val="24"/>
          <w:szCs w:val="24"/>
          <w:lang w:eastAsia="en-IN"/>
        </w:rPr>
        <w:t>loss of Oyster Mushroom during Summer Season. </w:t>
      </w:r>
      <w:r w:rsidRPr="003E0ECF">
        <w:rPr>
          <w:rFonts w:ascii="Times New Roman" w:eastAsia="Times New Roman" w:hAnsi="Times New Roman" w:cs="Times New Roman"/>
          <w:i/>
          <w:iCs/>
          <w:color w:val="1B1C1D"/>
          <w:sz w:val="24"/>
          <w:szCs w:val="24"/>
          <w:lang w:eastAsia="en-IN"/>
        </w:rPr>
        <w:t xml:space="preserve">Journal of </w:t>
      </w:r>
      <w:proofErr w:type="spellStart"/>
      <w:r w:rsidRPr="003E0ECF">
        <w:rPr>
          <w:rFonts w:ascii="Times New Roman" w:eastAsia="Times New Roman" w:hAnsi="Times New Roman" w:cs="Times New Roman"/>
          <w:i/>
          <w:iCs/>
          <w:color w:val="1B1C1D"/>
          <w:sz w:val="24"/>
          <w:szCs w:val="24"/>
          <w:lang w:eastAsia="en-IN"/>
        </w:rPr>
        <w:t>Agrisearch</w:t>
      </w:r>
      <w:proofErr w:type="spellEnd"/>
      <w:r w:rsidRPr="003E0ECF">
        <w:rPr>
          <w:rFonts w:ascii="Times New Roman" w:eastAsia="Times New Roman" w:hAnsi="Times New Roman" w:cs="Times New Roman"/>
          <w:color w:val="1B1C1D"/>
          <w:sz w:val="24"/>
          <w:szCs w:val="24"/>
          <w:lang w:eastAsia="en-IN"/>
        </w:rPr>
        <w:t xml:space="preserve">, 5(4): </w:t>
      </w:r>
      <w:r w:rsidR="003E0ECF">
        <w:rPr>
          <w:rFonts w:ascii="Times New Roman" w:eastAsia="Times New Roman" w:hAnsi="Times New Roman" w:cs="Times New Roman"/>
          <w:color w:val="1B1C1D"/>
          <w:sz w:val="24"/>
          <w:szCs w:val="24"/>
          <w:lang w:eastAsia="en-IN"/>
        </w:rPr>
        <w:tab/>
      </w:r>
      <w:r w:rsidRPr="003E0ECF">
        <w:rPr>
          <w:rFonts w:ascii="Times New Roman" w:eastAsia="Times New Roman" w:hAnsi="Times New Roman" w:cs="Times New Roman"/>
          <w:color w:val="1B1C1D"/>
          <w:sz w:val="24"/>
          <w:szCs w:val="24"/>
          <w:lang w:eastAsia="en-IN"/>
        </w:rPr>
        <w:t>265-268.   </w:t>
      </w:r>
    </w:p>
    <w:p w14:paraId="036EE7B4" w14:textId="57F4BAF1" w:rsidR="005D7687" w:rsidRPr="003E0ECF" w:rsidRDefault="005D7687" w:rsidP="003E0ECF">
      <w:pPr>
        <w:pStyle w:val="ListParagraph"/>
        <w:numPr>
          <w:ilvl w:val="0"/>
          <w:numId w:val="1"/>
        </w:num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3E0ECF">
        <w:rPr>
          <w:rFonts w:ascii="Times New Roman" w:eastAsia="Times New Roman" w:hAnsi="Times New Roman" w:cs="Times New Roman"/>
          <w:color w:val="1B1C1D"/>
          <w:sz w:val="24"/>
          <w:szCs w:val="24"/>
          <w:lang w:eastAsia="en-IN"/>
        </w:rPr>
        <w:lastRenderedPageBreak/>
        <w:t>Lata</w:t>
      </w:r>
      <w:r w:rsidR="00014884">
        <w:rPr>
          <w:rFonts w:ascii="Times New Roman" w:eastAsia="Times New Roman" w:hAnsi="Times New Roman" w:cs="Times New Roman"/>
          <w:color w:val="1B1C1D"/>
          <w:sz w:val="24"/>
          <w:szCs w:val="24"/>
          <w:lang w:eastAsia="en-IN"/>
        </w:rPr>
        <w:t>,</w:t>
      </w:r>
      <w:r w:rsidRPr="003E0ECF">
        <w:rPr>
          <w:rFonts w:ascii="Times New Roman" w:eastAsia="Times New Roman" w:hAnsi="Times New Roman" w:cs="Times New Roman"/>
          <w:color w:val="1B1C1D"/>
          <w:sz w:val="24"/>
          <w:szCs w:val="24"/>
          <w:lang w:eastAsia="en-IN"/>
        </w:rPr>
        <w:t xml:space="preserve"> K</w:t>
      </w:r>
      <w:r w:rsidR="00014884">
        <w:rPr>
          <w:rFonts w:ascii="Times New Roman" w:eastAsia="Times New Roman" w:hAnsi="Times New Roman" w:cs="Times New Roman"/>
          <w:color w:val="1B1C1D"/>
          <w:sz w:val="24"/>
          <w:szCs w:val="24"/>
          <w:lang w:eastAsia="en-IN"/>
        </w:rPr>
        <w:t>.</w:t>
      </w:r>
      <w:r w:rsidRPr="003E0ECF">
        <w:rPr>
          <w:rFonts w:ascii="Times New Roman" w:eastAsia="Times New Roman" w:hAnsi="Times New Roman" w:cs="Times New Roman"/>
          <w:color w:val="1B1C1D"/>
          <w:sz w:val="24"/>
          <w:szCs w:val="24"/>
          <w:lang w:eastAsia="en-IN"/>
        </w:rPr>
        <w:t xml:space="preserve">, </w:t>
      </w:r>
      <w:r w:rsidR="00014884">
        <w:rPr>
          <w:rFonts w:ascii="Times New Roman" w:eastAsia="Times New Roman" w:hAnsi="Times New Roman" w:cs="Times New Roman"/>
          <w:color w:val="1B1C1D"/>
          <w:sz w:val="24"/>
          <w:szCs w:val="24"/>
          <w:lang w:eastAsia="en-IN"/>
        </w:rPr>
        <w:t xml:space="preserve">and </w:t>
      </w:r>
      <w:r w:rsidRPr="003E0ECF">
        <w:rPr>
          <w:rFonts w:ascii="Times New Roman" w:eastAsia="Times New Roman" w:hAnsi="Times New Roman" w:cs="Times New Roman"/>
          <w:color w:val="1B1C1D"/>
          <w:sz w:val="24"/>
          <w:szCs w:val="24"/>
          <w:lang w:eastAsia="en-IN"/>
        </w:rPr>
        <w:t>Singh</w:t>
      </w:r>
      <w:r w:rsidR="00014884">
        <w:rPr>
          <w:rFonts w:ascii="Times New Roman" w:eastAsia="Times New Roman" w:hAnsi="Times New Roman" w:cs="Times New Roman"/>
          <w:color w:val="1B1C1D"/>
          <w:sz w:val="24"/>
          <w:szCs w:val="24"/>
          <w:lang w:eastAsia="en-IN"/>
        </w:rPr>
        <w:t>,</w:t>
      </w:r>
      <w:r w:rsidRPr="003E0ECF">
        <w:rPr>
          <w:rFonts w:ascii="Times New Roman" w:eastAsia="Times New Roman" w:hAnsi="Times New Roman" w:cs="Times New Roman"/>
          <w:color w:val="1B1C1D"/>
          <w:sz w:val="24"/>
          <w:szCs w:val="24"/>
          <w:lang w:eastAsia="en-IN"/>
        </w:rPr>
        <w:t xml:space="preserve"> S. (2015). Cost effective on farm storage zero energy cool chamber for the</w:t>
      </w:r>
      <w:r w:rsidR="003E0ECF">
        <w:rPr>
          <w:rFonts w:ascii="Times New Roman" w:eastAsia="Times New Roman" w:hAnsi="Times New Roman" w:cs="Times New Roman"/>
          <w:color w:val="1B1C1D"/>
          <w:sz w:val="24"/>
          <w:szCs w:val="24"/>
          <w:lang w:eastAsia="en-IN"/>
        </w:rPr>
        <w:t xml:space="preserve"> </w:t>
      </w:r>
      <w:r w:rsidRPr="003E0ECF">
        <w:rPr>
          <w:rFonts w:ascii="Times New Roman" w:eastAsia="Times New Roman" w:hAnsi="Times New Roman" w:cs="Times New Roman"/>
          <w:color w:val="1B1C1D"/>
          <w:sz w:val="24"/>
          <w:szCs w:val="24"/>
          <w:lang w:eastAsia="en-IN"/>
        </w:rPr>
        <w:t>Gujarat. </w:t>
      </w:r>
      <w:r w:rsidRPr="003E0ECF">
        <w:rPr>
          <w:rFonts w:ascii="Times New Roman" w:eastAsia="Times New Roman" w:hAnsi="Times New Roman" w:cs="Times New Roman"/>
          <w:i/>
          <w:iCs/>
          <w:color w:val="1B1C1D"/>
          <w:sz w:val="24"/>
          <w:szCs w:val="24"/>
          <w:lang w:eastAsia="en-IN"/>
        </w:rPr>
        <w:t>The Asian J Hort</w:t>
      </w:r>
      <w:r w:rsidRPr="003E0ECF">
        <w:rPr>
          <w:rFonts w:ascii="Times New Roman" w:eastAsia="Times New Roman" w:hAnsi="Times New Roman" w:cs="Times New Roman"/>
          <w:color w:val="1B1C1D"/>
          <w:sz w:val="24"/>
          <w:szCs w:val="24"/>
          <w:lang w:eastAsia="en-IN"/>
        </w:rPr>
        <w:t>, 8(1): 50-53.   </w:t>
      </w:r>
    </w:p>
    <w:p w14:paraId="50BB8416" w14:textId="247D132C" w:rsidR="005D7687" w:rsidRPr="003E0ECF" w:rsidRDefault="005D7687" w:rsidP="003E0ECF">
      <w:pPr>
        <w:pStyle w:val="ListParagraph"/>
        <w:numPr>
          <w:ilvl w:val="0"/>
          <w:numId w:val="1"/>
        </w:num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9813B1">
        <w:rPr>
          <w:rFonts w:ascii="Times New Roman" w:eastAsia="Times New Roman" w:hAnsi="Times New Roman" w:cs="Times New Roman"/>
          <w:color w:val="1B1C1D"/>
          <w:sz w:val="24"/>
          <w:szCs w:val="24"/>
          <w:lang w:val="pt-PT" w:eastAsia="en-IN"/>
        </w:rPr>
        <w:t xml:space="preserve">Mishra, A., Jha, S. K., &amp; Ojha, P. (2020). </w:t>
      </w:r>
      <w:r w:rsidRPr="003E0ECF">
        <w:rPr>
          <w:rFonts w:ascii="Times New Roman" w:eastAsia="Times New Roman" w:hAnsi="Times New Roman" w:cs="Times New Roman"/>
          <w:color w:val="1B1C1D"/>
          <w:sz w:val="24"/>
          <w:szCs w:val="24"/>
          <w:lang w:eastAsia="en-IN"/>
        </w:rPr>
        <w:t xml:space="preserve">Study on Zero energy cool chamber (ZECC) </w:t>
      </w:r>
      <w:r w:rsidR="003E0ECF">
        <w:rPr>
          <w:rFonts w:ascii="Times New Roman" w:eastAsia="Times New Roman" w:hAnsi="Times New Roman" w:cs="Times New Roman"/>
          <w:color w:val="1B1C1D"/>
          <w:sz w:val="24"/>
          <w:szCs w:val="24"/>
          <w:lang w:eastAsia="en-IN"/>
        </w:rPr>
        <w:tab/>
      </w:r>
      <w:r w:rsidRPr="003E0ECF">
        <w:rPr>
          <w:rFonts w:ascii="Times New Roman" w:eastAsia="Times New Roman" w:hAnsi="Times New Roman" w:cs="Times New Roman"/>
          <w:color w:val="1B1C1D"/>
          <w:sz w:val="24"/>
          <w:szCs w:val="24"/>
          <w:lang w:eastAsia="en-IN"/>
        </w:rPr>
        <w:t>for storage of vegetables. </w:t>
      </w:r>
      <w:r w:rsidRPr="003E0ECF">
        <w:rPr>
          <w:rFonts w:ascii="Times New Roman" w:eastAsia="Times New Roman" w:hAnsi="Times New Roman" w:cs="Times New Roman"/>
          <w:i/>
          <w:iCs/>
          <w:color w:val="1B1C1D"/>
          <w:sz w:val="24"/>
          <w:szCs w:val="24"/>
          <w:lang w:eastAsia="en-IN"/>
        </w:rPr>
        <w:t>Int J Sci Res Publication</w:t>
      </w:r>
      <w:r w:rsidRPr="003E0ECF">
        <w:rPr>
          <w:rFonts w:ascii="Times New Roman" w:eastAsia="Times New Roman" w:hAnsi="Times New Roman" w:cs="Times New Roman"/>
          <w:color w:val="1B1C1D"/>
          <w:sz w:val="24"/>
          <w:szCs w:val="24"/>
          <w:lang w:eastAsia="en-IN"/>
        </w:rPr>
        <w:t>, 10(1): 427-433.   </w:t>
      </w:r>
    </w:p>
    <w:p w14:paraId="44C71376" w14:textId="1587532E" w:rsidR="005D7687" w:rsidRPr="003E0ECF" w:rsidRDefault="005D7687" w:rsidP="003E0ECF">
      <w:pPr>
        <w:pStyle w:val="ListParagraph"/>
        <w:numPr>
          <w:ilvl w:val="0"/>
          <w:numId w:val="1"/>
        </w:num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3E0ECF">
        <w:rPr>
          <w:rFonts w:ascii="Times New Roman" w:eastAsia="Times New Roman" w:hAnsi="Times New Roman" w:cs="Times New Roman"/>
          <w:color w:val="1B1C1D"/>
          <w:sz w:val="24"/>
          <w:szCs w:val="24"/>
          <w:lang w:eastAsia="en-IN"/>
        </w:rPr>
        <w:t xml:space="preserve">NABARD Consultancy Service </w:t>
      </w:r>
      <w:proofErr w:type="spellStart"/>
      <w:r w:rsidRPr="003E0ECF">
        <w:rPr>
          <w:rFonts w:ascii="Times New Roman" w:eastAsia="Times New Roman" w:hAnsi="Times New Roman" w:cs="Times New Roman"/>
          <w:color w:val="1B1C1D"/>
          <w:sz w:val="24"/>
          <w:szCs w:val="24"/>
          <w:lang w:eastAsia="en-IN"/>
        </w:rPr>
        <w:t>Pvt.</w:t>
      </w:r>
      <w:proofErr w:type="spellEnd"/>
      <w:r w:rsidRPr="003E0ECF">
        <w:rPr>
          <w:rFonts w:ascii="Times New Roman" w:eastAsia="Times New Roman" w:hAnsi="Times New Roman" w:cs="Times New Roman"/>
          <w:color w:val="1B1C1D"/>
          <w:sz w:val="24"/>
          <w:szCs w:val="24"/>
          <w:lang w:eastAsia="en-IN"/>
        </w:rPr>
        <w:t xml:space="preserve"> Ltd. (NABCONS). (2022). </w:t>
      </w:r>
      <w:r w:rsidRPr="006A63E6">
        <w:rPr>
          <w:rFonts w:ascii="Times New Roman" w:eastAsia="Times New Roman" w:hAnsi="Times New Roman" w:cs="Times New Roman"/>
          <w:color w:val="1B1C1D"/>
          <w:sz w:val="24"/>
          <w:szCs w:val="24"/>
          <w:lang w:eastAsia="en-IN"/>
        </w:rPr>
        <w:t xml:space="preserve">Study to Determine </w:t>
      </w:r>
      <w:r w:rsidR="003E0ECF" w:rsidRPr="006A63E6">
        <w:rPr>
          <w:rFonts w:ascii="Times New Roman" w:eastAsia="Times New Roman" w:hAnsi="Times New Roman" w:cs="Times New Roman"/>
          <w:color w:val="1B1C1D"/>
          <w:sz w:val="24"/>
          <w:szCs w:val="24"/>
          <w:lang w:eastAsia="en-IN"/>
        </w:rPr>
        <w:tab/>
      </w:r>
      <w:r w:rsidRPr="006A63E6">
        <w:rPr>
          <w:rFonts w:ascii="Times New Roman" w:eastAsia="Times New Roman" w:hAnsi="Times New Roman" w:cs="Times New Roman"/>
          <w:color w:val="1B1C1D"/>
          <w:sz w:val="24"/>
          <w:szCs w:val="24"/>
          <w:lang w:eastAsia="en-IN"/>
        </w:rPr>
        <w:t>Post-Harvest Losses of Agri Produce in India</w:t>
      </w:r>
      <w:r w:rsidRPr="003E0ECF">
        <w:rPr>
          <w:rFonts w:ascii="Times New Roman" w:eastAsia="Times New Roman" w:hAnsi="Times New Roman" w:cs="Times New Roman"/>
          <w:color w:val="1B1C1D"/>
          <w:sz w:val="24"/>
          <w:szCs w:val="24"/>
          <w:lang w:eastAsia="en-IN"/>
        </w:rPr>
        <w:t>. </w:t>
      </w:r>
    </w:p>
    <w:p w14:paraId="24427D0C" w14:textId="7D77113F" w:rsidR="005D7687" w:rsidRPr="003E0ECF" w:rsidRDefault="005D7687" w:rsidP="003E0ECF">
      <w:pPr>
        <w:pStyle w:val="ListParagraph"/>
        <w:numPr>
          <w:ilvl w:val="0"/>
          <w:numId w:val="1"/>
        </w:num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3E0ECF">
        <w:rPr>
          <w:rFonts w:ascii="Times New Roman" w:eastAsia="Times New Roman" w:hAnsi="Times New Roman" w:cs="Times New Roman"/>
          <w:color w:val="1B1C1D"/>
          <w:sz w:val="24"/>
          <w:szCs w:val="24"/>
          <w:lang w:eastAsia="en-IN"/>
        </w:rPr>
        <w:t xml:space="preserve">Roy, S.K. and </w:t>
      </w:r>
      <w:proofErr w:type="spellStart"/>
      <w:r w:rsidRPr="003E0ECF">
        <w:rPr>
          <w:rFonts w:ascii="Times New Roman" w:eastAsia="Times New Roman" w:hAnsi="Times New Roman" w:cs="Times New Roman"/>
          <w:color w:val="1B1C1D"/>
          <w:sz w:val="24"/>
          <w:szCs w:val="24"/>
          <w:lang w:eastAsia="en-IN"/>
        </w:rPr>
        <w:t>Khurdia</w:t>
      </w:r>
      <w:proofErr w:type="spellEnd"/>
      <w:r w:rsidRPr="003E0ECF">
        <w:rPr>
          <w:rFonts w:ascii="Times New Roman" w:eastAsia="Times New Roman" w:hAnsi="Times New Roman" w:cs="Times New Roman"/>
          <w:color w:val="1B1C1D"/>
          <w:sz w:val="24"/>
          <w:szCs w:val="24"/>
          <w:lang w:eastAsia="en-IN"/>
        </w:rPr>
        <w:t>, D.S. (1983). </w:t>
      </w:r>
      <w:r w:rsidRPr="006A63E6">
        <w:rPr>
          <w:rFonts w:ascii="Times New Roman" w:eastAsia="Times New Roman" w:hAnsi="Times New Roman" w:cs="Times New Roman"/>
          <w:color w:val="1B1C1D"/>
          <w:sz w:val="24"/>
          <w:szCs w:val="24"/>
          <w:lang w:eastAsia="en-IN"/>
        </w:rPr>
        <w:t>Development of Zero Energy Cool Chamber</w:t>
      </w:r>
      <w:r w:rsidRPr="003E0ECF">
        <w:rPr>
          <w:rFonts w:ascii="Times New Roman" w:eastAsia="Times New Roman" w:hAnsi="Times New Roman" w:cs="Times New Roman"/>
          <w:i/>
          <w:iCs/>
          <w:color w:val="1B1C1D"/>
          <w:sz w:val="24"/>
          <w:szCs w:val="24"/>
          <w:lang w:eastAsia="en-IN"/>
        </w:rPr>
        <w:t xml:space="preserve"> </w:t>
      </w:r>
      <w:r w:rsidR="003E0ECF">
        <w:rPr>
          <w:rFonts w:ascii="Times New Roman" w:eastAsia="Times New Roman" w:hAnsi="Times New Roman" w:cs="Times New Roman"/>
          <w:i/>
          <w:iCs/>
          <w:color w:val="1B1C1D"/>
          <w:sz w:val="24"/>
          <w:szCs w:val="24"/>
          <w:lang w:eastAsia="en-IN"/>
        </w:rPr>
        <w:tab/>
      </w:r>
      <w:r w:rsidRPr="003E0ECF">
        <w:rPr>
          <w:rFonts w:ascii="Times New Roman" w:eastAsia="Times New Roman" w:hAnsi="Times New Roman" w:cs="Times New Roman"/>
          <w:i/>
          <w:iCs/>
          <w:color w:val="1B1C1D"/>
          <w:sz w:val="24"/>
          <w:szCs w:val="24"/>
          <w:lang w:eastAsia="en-IN"/>
        </w:rPr>
        <w:t>(ZECC)</w:t>
      </w:r>
      <w:r w:rsidRPr="003E0ECF">
        <w:rPr>
          <w:rFonts w:ascii="Times New Roman" w:eastAsia="Times New Roman" w:hAnsi="Times New Roman" w:cs="Times New Roman"/>
          <w:color w:val="1B1C1D"/>
          <w:sz w:val="24"/>
          <w:szCs w:val="24"/>
          <w:lang w:eastAsia="en-IN"/>
        </w:rPr>
        <w:t>. (Cited as initial development of ZECC).   </w:t>
      </w:r>
    </w:p>
    <w:p w14:paraId="2346FDB6" w14:textId="1138479A" w:rsidR="005953E1" w:rsidRPr="005953E1" w:rsidRDefault="005D7687" w:rsidP="003816D4">
      <w:pPr>
        <w:pStyle w:val="ListParagraph"/>
        <w:numPr>
          <w:ilvl w:val="0"/>
          <w:numId w:val="1"/>
        </w:numPr>
        <w:shd w:val="clear" w:color="auto" w:fill="FFFFFF"/>
        <w:spacing w:after="240" w:line="360" w:lineRule="auto"/>
        <w:jc w:val="both"/>
        <w:rPr>
          <w:rFonts w:ascii="Noto Sans" w:eastAsia="Times New Roman" w:hAnsi="Noto Sans" w:cs="Noto Sans"/>
          <w:b/>
          <w:bCs/>
          <w:color w:val="6E7277"/>
          <w:sz w:val="21"/>
          <w:szCs w:val="21"/>
          <w:lang w:eastAsia="en-IN"/>
        </w:rPr>
      </w:pPr>
      <w:r w:rsidRPr="005953E1">
        <w:rPr>
          <w:rFonts w:ascii="Times New Roman" w:eastAsia="Times New Roman" w:hAnsi="Times New Roman" w:cs="Times New Roman"/>
          <w:color w:val="1B1C1D"/>
          <w:sz w:val="24"/>
          <w:szCs w:val="24"/>
          <w:lang w:eastAsia="en-IN"/>
        </w:rPr>
        <w:t xml:space="preserve">Singh, S., Singh, A.K., Joshi, H.K., Lata, K., </w:t>
      </w:r>
      <w:proofErr w:type="spellStart"/>
      <w:r w:rsidRPr="005953E1">
        <w:rPr>
          <w:rFonts w:ascii="Times New Roman" w:eastAsia="Times New Roman" w:hAnsi="Times New Roman" w:cs="Times New Roman"/>
          <w:color w:val="1B1C1D"/>
          <w:sz w:val="24"/>
          <w:szCs w:val="24"/>
          <w:lang w:eastAsia="en-IN"/>
        </w:rPr>
        <w:t>Bagle</w:t>
      </w:r>
      <w:proofErr w:type="spellEnd"/>
      <w:r w:rsidRPr="005953E1">
        <w:rPr>
          <w:rFonts w:ascii="Times New Roman" w:eastAsia="Times New Roman" w:hAnsi="Times New Roman" w:cs="Times New Roman"/>
          <w:color w:val="1B1C1D"/>
          <w:sz w:val="24"/>
          <w:szCs w:val="24"/>
          <w:lang w:eastAsia="en-IN"/>
        </w:rPr>
        <w:t xml:space="preserve">, B.G. and More, T.A. (2010). Effect </w:t>
      </w:r>
      <w:r w:rsidR="003E0ECF" w:rsidRPr="005953E1">
        <w:rPr>
          <w:rFonts w:ascii="Times New Roman" w:eastAsia="Times New Roman" w:hAnsi="Times New Roman" w:cs="Times New Roman"/>
          <w:color w:val="1B1C1D"/>
          <w:sz w:val="24"/>
          <w:szCs w:val="24"/>
          <w:lang w:eastAsia="en-IN"/>
        </w:rPr>
        <w:tab/>
      </w:r>
      <w:r w:rsidRPr="005953E1">
        <w:rPr>
          <w:rFonts w:ascii="Times New Roman" w:eastAsia="Times New Roman" w:hAnsi="Times New Roman" w:cs="Times New Roman"/>
          <w:color w:val="1B1C1D"/>
          <w:sz w:val="24"/>
          <w:szCs w:val="24"/>
          <w:lang w:eastAsia="en-IN"/>
        </w:rPr>
        <w:t xml:space="preserve">of zero energy cool chamber and postharvest treatments on shelf-life of fruits </w:t>
      </w:r>
      <w:r w:rsidR="003E0ECF" w:rsidRPr="005953E1">
        <w:rPr>
          <w:rFonts w:ascii="Times New Roman" w:eastAsia="Times New Roman" w:hAnsi="Times New Roman" w:cs="Times New Roman"/>
          <w:color w:val="1B1C1D"/>
          <w:sz w:val="24"/>
          <w:szCs w:val="24"/>
          <w:lang w:eastAsia="en-IN"/>
        </w:rPr>
        <w:tab/>
      </w:r>
      <w:r w:rsidRPr="005953E1">
        <w:rPr>
          <w:rFonts w:ascii="Times New Roman" w:eastAsia="Times New Roman" w:hAnsi="Times New Roman" w:cs="Times New Roman"/>
          <w:color w:val="1B1C1D"/>
          <w:sz w:val="24"/>
          <w:szCs w:val="24"/>
          <w:lang w:eastAsia="en-IN"/>
        </w:rPr>
        <w:t>under semi-arid environment of Western India. Part 1. Ber fruits. </w:t>
      </w:r>
      <w:r w:rsidRPr="005953E1">
        <w:rPr>
          <w:rFonts w:ascii="Times New Roman" w:eastAsia="Times New Roman" w:hAnsi="Times New Roman" w:cs="Times New Roman"/>
          <w:i/>
          <w:iCs/>
          <w:color w:val="1B1C1D"/>
          <w:sz w:val="24"/>
          <w:szCs w:val="24"/>
          <w:lang w:eastAsia="en-IN"/>
        </w:rPr>
        <w:t>J Food Sci and Tech</w:t>
      </w:r>
      <w:r w:rsidRPr="005953E1">
        <w:rPr>
          <w:rFonts w:ascii="Times New Roman" w:eastAsia="Times New Roman" w:hAnsi="Times New Roman" w:cs="Times New Roman"/>
          <w:color w:val="1B1C1D"/>
          <w:sz w:val="24"/>
          <w:szCs w:val="24"/>
          <w:lang w:eastAsia="en-IN"/>
        </w:rPr>
        <w:t>, 47(4): 446–449. </w:t>
      </w:r>
    </w:p>
    <w:p w14:paraId="45E49A80" w14:textId="15F641CC" w:rsidR="006A63E6" w:rsidRPr="005953E1" w:rsidRDefault="005D7687" w:rsidP="003816D4">
      <w:pPr>
        <w:pStyle w:val="ListParagraph"/>
        <w:numPr>
          <w:ilvl w:val="0"/>
          <w:numId w:val="1"/>
        </w:numPr>
        <w:shd w:val="clear" w:color="auto" w:fill="FFFFFF"/>
        <w:spacing w:after="240" w:line="360" w:lineRule="auto"/>
        <w:jc w:val="both"/>
        <w:rPr>
          <w:rFonts w:ascii="Noto Sans" w:eastAsia="Times New Roman" w:hAnsi="Noto Sans" w:cs="Noto Sans"/>
          <w:b/>
          <w:bCs/>
          <w:color w:val="6E7277"/>
          <w:sz w:val="21"/>
          <w:szCs w:val="21"/>
          <w:lang w:eastAsia="en-IN"/>
        </w:rPr>
      </w:pPr>
      <w:r w:rsidRPr="005953E1">
        <w:rPr>
          <w:rFonts w:ascii="Times New Roman" w:eastAsia="Times New Roman" w:hAnsi="Times New Roman" w:cs="Times New Roman"/>
          <w:color w:val="1B1C1D"/>
          <w:sz w:val="24"/>
          <w:szCs w:val="24"/>
          <w:lang w:eastAsia="en-IN"/>
        </w:rPr>
        <w:t xml:space="preserve">Singh, S., Singh, A.K., Joshi, H.K., </w:t>
      </w:r>
      <w:proofErr w:type="spellStart"/>
      <w:r w:rsidRPr="005953E1">
        <w:rPr>
          <w:rFonts w:ascii="Times New Roman" w:eastAsia="Times New Roman" w:hAnsi="Times New Roman" w:cs="Times New Roman"/>
          <w:color w:val="1B1C1D"/>
          <w:sz w:val="24"/>
          <w:szCs w:val="24"/>
          <w:lang w:eastAsia="en-IN"/>
        </w:rPr>
        <w:t>Bagle</w:t>
      </w:r>
      <w:proofErr w:type="spellEnd"/>
      <w:r w:rsidRPr="005953E1">
        <w:rPr>
          <w:rFonts w:ascii="Times New Roman" w:eastAsia="Times New Roman" w:hAnsi="Times New Roman" w:cs="Times New Roman"/>
          <w:color w:val="1B1C1D"/>
          <w:sz w:val="24"/>
          <w:szCs w:val="24"/>
          <w:lang w:eastAsia="en-IN"/>
        </w:rPr>
        <w:t xml:space="preserve">, B.G. and More, T.A. (2007b). Prolonging </w:t>
      </w:r>
      <w:r w:rsidR="003E0ECF" w:rsidRPr="005953E1">
        <w:rPr>
          <w:rFonts w:ascii="Times New Roman" w:eastAsia="Times New Roman" w:hAnsi="Times New Roman" w:cs="Times New Roman"/>
          <w:color w:val="1B1C1D"/>
          <w:sz w:val="24"/>
          <w:szCs w:val="24"/>
          <w:lang w:eastAsia="en-IN"/>
        </w:rPr>
        <w:tab/>
      </w:r>
      <w:r w:rsidRPr="005953E1">
        <w:rPr>
          <w:rFonts w:ascii="Times New Roman" w:eastAsia="Times New Roman" w:hAnsi="Times New Roman" w:cs="Times New Roman"/>
          <w:color w:val="1B1C1D"/>
          <w:sz w:val="24"/>
          <w:szCs w:val="24"/>
          <w:lang w:eastAsia="en-IN"/>
        </w:rPr>
        <w:t xml:space="preserve">shelf life of </w:t>
      </w:r>
      <w:proofErr w:type="spellStart"/>
      <w:r w:rsidRPr="005953E1">
        <w:rPr>
          <w:rFonts w:ascii="Times New Roman" w:eastAsia="Times New Roman" w:hAnsi="Times New Roman" w:cs="Times New Roman"/>
          <w:color w:val="1B1C1D"/>
          <w:sz w:val="24"/>
          <w:szCs w:val="24"/>
          <w:lang w:eastAsia="en-IN"/>
        </w:rPr>
        <w:t>ber</w:t>
      </w:r>
      <w:proofErr w:type="spellEnd"/>
      <w:r w:rsidRPr="005953E1">
        <w:rPr>
          <w:rFonts w:ascii="Times New Roman" w:eastAsia="Times New Roman" w:hAnsi="Times New Roman" w:cs="Times New Roman"/>
          <w:color w:val="1B1C1D"/>
          <w:sz w:val="24"/>
          <w:szCs w:val="24"/>
          <w:lang w:eastAsia="en-IN"/>
        </w:rPr>
        <w:t xml:space="preserve"> under </w:t>
      </w:r>
      <w:r w:rsidR="007D6DB9" w:rsidRPr="005953E1">
        <w:rPr>
          <w:rFonts w:ascii="Times New Roman" w:eastAsia="Times New Roman" w:hAnsi="Times New Roman" w:cs="Times New Roman"/>
          <w:color w:val="1B1C1D"/>
          <w:sz w:val="24"/>
          <w:szCs w:val="24"/>
          <w:lang w:eastAsia="en-IN"/>
        </w:rPr>
        <w:t>semi-arid</w:t>
      </w:r>
      <w:r w:rsidRPr="005953E1">
        <w:rPr>
          <w:rFonts w:ascii="Times New Roman" w:eastAsia="Times New Roman" w:hAnsi="Times New Roman" w:cs="Times New Roman"/>
          <w:color w:val="1B1C1D"/>
          <w:sz w:val="24"/>
          <w:szCs w:val="24"/>
          <w:lang w:eastAsia="en-IN"/>
        </w:rPr>
        <w:t xml:space="preserve"> environment. </w:t>
      </w:r>
      <w:r w:rsidRPr="005953E1">
        <w:rPr>
          <w:rFonts w:ascii="Times New Roman" w:eastAsia="Times New Roman" w:hAnsi="Times New Roman" w:cs="Times New Roman"/>
          <w:i/>
          <w:iCs/>
          <w:color w:val="1B1C1D"/>
          <w:sz w:val="24"/>
          <w:szCs w:val="24"/>
          <w:lang w:eastAsia="en-IN"/>
        </w:rPr>
        <w:t>Indian J. Arid Hort.</w:t>
      </w:r>
      <w:r w:rsidRPr="005953E1">
        <w:rPr>
          <w:rFonts w:ascii="Times New Roman" w:eastAsia="Times New Roman" w:hAnsi="Times New Roman" w:cs="Times New Roman"/>
          <w:color w:val="1B1C1D"/>
          <w:sz w:val="24"/>
          <w:szCs w:val="24"/>
          <w:lang w:eastAsia="en-IN"/>
        </w:rPr>
        <w:t>, 2: 40-44.</w:t>
      </w:r>
    </w:p>
    <w:p w14:paraId="1BD81D15" w14:textId="2E59CB9A" w:rsidR="006A63E6" w:rsidRPr="006A63E6" w:rsidRDefault="006A63E6" w:rsidP="00060FFB">
      <w:pPr>
        <w:pStyle w:val="ListParagraph"/>
        <w:numPr>
          <w:ilvl w:val="0"/>
          <w:numId w:val="1"/>
        </w:numPr>
        <w:shd w:val="clear" w:color="auto" w:fill="FFFFFF"/>
        <w:spacing w:after="240" w:line="360" w:lineRule="auto"/>
        <w:jc w:val="both"/>
        <w:rPr>
          <w:rFonts w:ascii="Noto Sans" w:eastAsia="Times New Roman" w:hAnsi="Noto Sans" w:cs="Noto Sans"/>
          <w:b/>
          <w:bCs/>
          <w:color w:val="6E7277"/>
          <w:sz w:val="21"/>
          <w:szCs w:val="21"/>
          <w:lang w:eastAsia="en-IN"/>
        </w:rPr>
      </w:pPr>
      <w:proofErr w:type="spellStart"/>
      <w:r w:rsidRPr="006A63E6">
        <w:rPr>
          <w:rFonts w:ascii="Times New Roman" w:eastAsia="Times New Roman" w:hAnsi="Times New Roman" w:cs="Times New Roman"/>
          <w:color w:val="1B1C1D"/>
          <w:sz w:val="24"/>
          <w:szCs w:val="24"/>
          <w:lang w:eastAsia="en-IN"/>
        </w:rPr>
        <w:t>Syahputra</w:t>
      </w:r>
      <w:proofErr w:type="spellEnd"/>
      <w:r w:rsidRPr="006A63E6">
        <w:rPr>
          <w:rFonts w:ascii="Times New Roman" w:eastAsia="Times New Roman" w:hAnsi="Times New Roman" w:cs="Times New Roman"/>
          <w:color w:val="1B1C1D"/>
          <w:sz w:val="24"/>
          <w:szCs w:val="24"/>
          <w:lang w:eastAsia="en-IN"/>
        </w:rPr>
        <w:t xml:space="preserve">., </w:t>
      </w:r>
      <w:proofErr w:type="gramStart"/>
      <w:r w:rsidRPr="006A63E6">
        <w:rPr>
          <w:rFonts w:ascii="Times New Roman" w:eastAsia="Times New Roman" w:hAnsi="Times New Roman" w:cs="Times New Roman"/>
          <w:color w:val="1B1C1D"/>
          <w:sz w:val="24"/>
          <w:szCs w:val="24"/>
          <w:lang w:eastAsia="en-IN"/>
        </w:rPr>
        <w:t>Yanto,S.</w:t>
      </w:r>
      <w:proofErr w:type="gramEnd"/>
      <w:r w:rsidRPr="006A63E6">
        <w:rPr>
          <w:rFonts w:ascii="Times New Roman" w:eastAsia="Times New Roman" w:hAnsi="Times New Roman" w:cs="Times New Roman"/>
          <w:color w:val="1B1C1D"/>
          <w:sz w:val="24"/>
          <w:szCs w:val="24"/>
          <w:lang w:eastAsia="en-IN"/>
        </w:rPr>
        <w:t>,Emmy,D.,</w:t>
      </w:r>
      <w:proofErr w:type="spellStart"/>
      <w:r w:rsidRPr="006A63E6">
        <w:rPr>
          <w:rFonts w:ascii="Times New Roman" w:eastAsia="Times New Roman" w:hAnsi="Times New Roman" w:cs="Times New Roman"/>
          <w:color w:val="1B1C1D"/>
          <w:sz w:val="24"/>
          <w:szCs w:val="24"/>
          <w:lang w:eastAsia="en-IN"/>
        </w:rPr>
        <w:t>Nelwan</w:t>
      </w:r>
      <w:proofErr w:type="spellEnd"/>
      <w:r w:rsidRPr="006A63E6">
        <w:rPr>
          <w:rFonts w:ascii="Times New Roman" w:eastAsia="Times New Roman" w:hAnsi="Times New Roman" w:cs="Times New Roman"/>
          <w:color w:val="1B1C1D"/>
          <w:sz w:val="24"/>
          <w:szCs w:val="24"/>
          <w:lang w:eastAsia="en-IN"/>
        </w:rPr>
        <w:t xml:space="preserve"> &amp; </w:t>
      </w:r>
      <w:proofErr w:type="spellStart"/>
      <w:r w:rsidRPr="006A63E6">
        <w:rPr>
          <w:rFonts w:ascii="Times New Roman" w:eastAsia="Times New Roman" w:hAnsi="Times New Roman" w:cs="Times New Roman"/>
          <w:color w:val="1B1C1D"/>
          <w:sz w:val="24"/>
          <w:szCs w:val="24"/>
          <w:lang w:eastAsia="en-IN"/>
        </w:rPr>
        <w:t>Oscar,N</w:t>
      </w:r>
      <w:proofErr w:type="spellEnd"/>
      <w:r w:rsidRPr="006A63E6">
        <w:rPr>
          <w:rFonts w:ascii="Times New Roman" w:eastAsia="Times New Roman" w:hAnsi="Times New Roman" w:cs="Times New Roman"/>
          <w:color w:val="1B1C1D"/>
          <w:sz w:val="24"/>
          <w:szCs w:val="24"/>
          <w:lang w:eastAsia="en-IN"/>
        </w:rPr>
        <w:t>.(2025).</w:t>
      </w:r>
      <w:r w:rsidRPr="006A63E6">
        <w:rPr>
          <w:rFonts w:ascii="Noto Sans" w:eastAsia="Times New Roman" w:hAnsi="Noto Sans" w:cs="Noto Sans"/>
          <w:color w:val="6E7277"/>
          <w:kern w:val="36"/>
          <w:sz w:val="21"/>
          <w:szCs w:val="21"/>
          <w:lang w:eastAsia="en-IN"/>
        </w:rPr>
        <w:t xml:space="preserve"> </w:t>
      </w:r>
      <w:r w:rsidRPr="006A63E6">
        <w:rPr>
          <w:rFonts w:ascii="Times New Roman" w:eastAsia="Times New Roman" w:hAnsi="Times New Roman" w:cs="Times New Roman"/>
          <w:color w:val="1B1C1D"/>
          <w:sz w:val="24"/>
          <w:szCs w:val="24"/>
          <w:lang w:eastAsia="en-IN"/>
        </w:rPr>
        <w:t xml:space="preserve">Effectiveness of Zero </w:t>
      </w:r>
      <w:r w:rsidRPr="006A63E6">
        <w:rPr>
          <w:rFonts w:ascii="Times New Roman" w:eastAsia="Times New Roman" w:hAnsi="Times New Roman" w:cs="Times New Roman"/>
          <w:color w:val="1B1C1D"/>
          <w:sz w:val="24"/>
          <w:szCs w:val="24"/>
          <w:lang w:eastAsia="en-IN"/>
        </w:rPr>
        <w:tab/>
        <w:t xml:space="preserve">Energy Cool Chamber in Extending the Shelf Life of Cherry Tomatoes with </w:t>
      </w:r>
      <w:r w:rsidRPr="006A63E6">
        <w:rPr>
          <w:rFonts w:ascii="Times New Roman" w:eastAsia="Times New Roman" w:hAnsi="Times New Roman" w:cs="Times New Roman"/>
          <w:color w:val="1B1C1D"/>
          <w:sz w:val="24"/>
          <w:szCs w:val="24"/>
          <w:lang w:eastAsia="en-IN"/>
        </w:rPr>
        <w:tab/>
        <w:t>Packaging Treatment.</w:t>
      </w:r>
      <w:r w:rsidRPr="006A63E6">
        <w:rPr>
          <w:rFonts w:ascii="Noto Sans" w:eastAsia="Times New Roman" w:hAnsi="Noto Sans" w:cs="Noto Sans"/>
          <w:color w:val="6E7277"/>
          <w:sz w:val="21"/>
          <w:szCs w:val="21"/>
          <w:lang w:eastAsia="en-IN"/>
        </w:rPr>
        <w:t xml:space="preserve"> </w:t>
      </w:r>
      <w:hyperlink r:id="rId8" w:tgtFrame="_self" w:history="1">
        <w:r w:rsidRPr="006A63E6">
          <w:rPr>
            <w:rStyle w:val="Hyperlink"/>
            <w:rFonts w:ascii="Times New Roman" w:eastAsia="Times New Roman" w:hAnsi="Times New Roman" w:cs="Times New Roman"/>
            <w:i/>
            <w:iCs/>
            <w:color w:val="auto"/>
            <w:sz w:val="24"/>
            <w:szCs w:val="24"/>
            <w:u w:val="none"/>
            <w:lang w:eastAsia="en-IN"/>
          </w:rPr>
          <w:t>Journal of Agricultural Engineering</w:t>
        </w:r>
        <w:r w:rsidRPr="006A63E6">
          <w:rPr>
            <w:rStyle w:val="Hyperlink"/>
            <w:rFonts w:ascii="Times New Roman" w:eastAsia="Times New Roman" w:hAnsi="Times New Roman" w:cs="Times New Roman"/>
            <w:color w:val="auto"/>
            <w:sz w:val="24"/>
            <w:szCs w:val="24"/>
            <w:u w:val="none"/>
            <w:lang w:eastAsia="en-IN"/>
          </w:rPr>
          <w:t>.13(2):227-</w:t>
        </w:r>
      </w:hyperlink>
      <w:r w:rsidRPr="006A63E6">
        <w:rPr>
          <w:rFonts w:ascii="Times New Roman" w:eastAsia="Times New Roman" w:hAnsi="Times New Roman" w:cs="Times New Roman"/>
          <w:sz w:val="24"/>
          <w:szCs w:val="24"/>
          <w:lang w:eastAsia="en-IN"/>
        </w:rPr>
        <w:t>248.</w:t>
      </w:r>
      <w:r w:rsidRPr="006A63E6">
        <w:rPr>
          <w:rFonts w:ascii="Noto Sans" w:eastAsia="Times New Roman" w:hAnsi="Noto Sans" w:cs="Noto Sans"/>
          <w:color w:val="6E7277"/>
          <w:sz w:val="21"/>
          <w:szCs w:val="21"/>
          <w:lang w:eastAsia="en-IN"/>
        </w:rPr>
        <w:t xml:space="preserve"> </w:t>
      </w:r>
      <w:r w:rsidRPr="006A63E6">
        <w:rPr>
          <w:rFonts w:ascii="Noto Sans" w:eastAsia="Times New Roman" w:hAnsi="Noto Sans" w:cs="Noto Sans"/>
          <w:color w:val="6E7277"/>
          <w:sz w:val="21"/>
          <w:szCs w:val="21"/>
          <w:lang w:eastAsia="en-IN"/>
        </w:rPr>
        <w:tab/>
      </w:r>
      <w:r w:rsidRPr="006A63E6">
        <w:rPr>
          <w:rFonts w:ascii="Times New Roman" w:eastAsia="Times New Roman" w:hAnsi="Times New Roman" w:cs="Times New Roman"/>
          <w:b/>
          <w:bCs/>
          <w:color w:val="6E7277"/>
          <w:sz w:val="24"/>
          <w:szCs w:val="24"/>
          <w:lang w:eastAsia="en-IN"/>
        </w:rPr>
        <w:t>DOI:</w:t>
      </w:r>
      <w:r w:rsidRPr="006A63E6">
        <w:rPr>
          <w:rFonts w:ascii="Times New Roman" w:eastAsia="Times New Roman" w:hAnsi="Times New Roman" w:cs="Times New Roman"/>
          <w:sz w:val="24"/>
          <w:szCs w:val="24"/>
          <w:lang w:eastAsia="en-IN"/>
        </w:rPr>
        <w:t>10.19028/jtep.013.2.227-248.</w:t>
      </w:r>
    </w:p>
    <w:p w14:paraId="4BFD963A" w14:textId="584881C4" w:rsidR="005D7687" w:rsidRPr="003E0ECF" w:rsidRDefault="005D7687" w:rsidP="003E0ECF">
      <w:pPr>
        <w:pStyle w:val="ListParagraph"/>
        <w:numPr>
          <w:ilvl w:val="0"/>
          <w:numId w:val="1"/>
        </w:num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3E0ECF">
        <w:rPr>
          <w:rFonts w:ascii="Times New Roman" w:eastAsia="Times New Roman" w:hAnsi="Times New Roman" w:cs="Times New Roman"/>
          <w:color w:val="1B1C1D"/>
          <w:sz w:val="24"/>
          <w:szCs w:val="24"/>
          <w:lang w:eastAsia="en-IN"/>
        </w:rPr>
        <w:t>William and G. Tucker. (1991). </w:t>
      </w:r>
      <w:r w:rsidRPr="006A63E6">
        <w:rPr>
          <w:rFonts w:ascii="Times New Roman" w:eastAsia="Times New Roman" w:hAnsi="Times New Roman" w:cs="Times New Roman"/>
          <w:color w:val="1B1C1D"/>
          <w:sz w:val="24"/>
          <w:szCs w:val="24"/>
          <w:lang w:eastAsia="en-IN"/>
        </w:rPr>
        <w:t xml:space="preserve">Storing vegetables, the complete know and grow </w:t>
      </w:r>
      <w:r w:rsidR="003E0ECF" w:rsidRPr="006A63E6">
        <w:rPr>
          <w:rFonts w:ascii="Times New Roman" w:eastAsia="Times New Roman" w:hAnsi="Times New Roman" w:cs="Times New Roman"/>
          <w:color w:val="1B1C1D"/>
          <w:sz w:val="24"/>
          <w:szCs w:val="24"/>
          <w:lang w:eastAsia="en-IN"/>
        </w:rPr>
        <w:tab/>
      </w:r>
      <w:r w:rsidRPr="006A63E6">
        <w:rPr>
          <w:rFonts w:ascii="Times New Roman" w:eastAsia="Times New Roman" w:hAnsi="Times New Roman" w:cs="Times New Roman"/>
          <w:color w:val="1B1C1D"/>
          <w:sz w:val="24"/>
          <w:szCs w:val="24"/>
          <w:lang w:eastAsia="en-IN"/>
        </w:rPr>
        <w:t>vegetables.</w:t>
      </w:r>
      <w:r w:rsidRPr="003E0ECF">
        <w:rPr>
          <w:rFonts w:ascii="Times New Roman" w:eastAsia="Times New Roman" w:hAnsi="Times New Roman" w:cs="Times New Roman"/>
          <w:color w:val="1B1C1D"/>
          <w:sz w:val="24"/>
          <w:szCs w:val="24"/>
          <w:lang w:eastAsia="en-IN"/>
        </w:rPr>
        <w:t xml:space="preserve"> Oxford University Press, New York.   </w:t>
      </w:r>
    </w:p>
    <w:p w14:paraId="72999513" w14:textId="77777777" w:rsidR="005D7687" w:rsidRPr="005D7687" w:rsidRDefault="005D7687" w:rsidP="003E0ECF">
      <w:pPr>
        <w:spacing w:line="360" w:lineRule="auto"/>
        <w:jc w:val="both"/>
        <w:rPr>
          <w:rFonts w:ascii="Times New Roman" w:hAnsi="Times New Roman" w:cs="Times New Roman"/>
          <w:sz w:val="24"/>
          <w:szCs w:val="22"/>
        </w:rPr>
      </w:pPr>
    </w:p>
    <w:sectPr w:rsidR="005D7687" w:rsidRPr="005D7687" w:rsidSect="003B484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D03E8" w14:textId="77777777" w:rsidR="00BC6555" w:rsidRDefault="00BC6555" w:rsidP="0052080A">
      <w:pPr>
        <w:spacing w:after="0" w:line="240" w:lineRule="auto"/>
      </w:pPr>
      <w:r>
        <w:separator/>
      </w:r>
    </w:p>
  </w:endnote>
  <w:endnote w:type="continuationSeparator" w:id="0">
    <w:p w14:paraId="397C0E70" w14:textId="77777777" w:rsidR="00BC6555" w:rsidRDefault="00BC6555" w:rsidP="00520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oto Sans">
    <w:altName w:val="Mangal"/>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AA615" w14:textId="77777777" w:rsidR="003B4848" w:rsidRDefault="003B48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57AA1" w14:textId="77777777" w:rsidR="003B4848" w:rsidRDefault="003B48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552C1" w14:textId="77777777" w:rsidR="003B4848" w:rsidRDefault="003B4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484BB" w14:textId="77777777" w:rsidR="00BC6555" w:rsidRDefault="00BC6555" w:rsidP="0052080A">
      <w:pPr>
        <w:spacing w:after="0" w:line="240" w:lineRule="auto"/>
      </w:pPr>
      <w:r>
        <w:separator/>
      </w:r>
    </w:p>
  </w:footnote>
  <w:footnote w:type="continuationSeparator" w:id="0">
    <w:p w14:paraId="2EA4958B" w14:textId="77777777" w:rsidR="00BC6555" w:rsidRDefault="00BC6555" w:rsidP="00520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F6152" w14:textId="464EE26F" w:rsidR="003B4848" w:rsidRDefault="00BC6555">
    <w:pPr>
      <w:pStyle w:val="Header"/>
    </w:pPr>
    <w:r>
      <w:rPr>
        <w:noProof/>
      </w:rPr>
      <w:pict w14:anchorId="23CE8E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4001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9A9CF" w14:textId="3AF98542" w:rsidR="003B4848" w:rsidRDefault="00BC6555">
    <w:pPr>
      <w:pStyle w:val="Header"/>
    </w:pPr>
    <w:r>
      <w:rPr>
        <w:noProof/>
      </w:rPr>
      <w:pict w14:anchorId="391022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4001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AB131" w14:textId="2AC5E19F" w:rsidR="003B4848" w:rsidRDefault="00BC6555">
    <w:pPr>
      <w:pStyle w:val="Header"/>
    </w:pPr>
    <w:r>
      <w:rPr>
        <w:noProof/>
      </w:rPr>
      <w:pict w14:anchorId="5C2FA4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4001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F7768E"/>
    <w:multiLevelType w:val="hybridMultilevel"/>
    <w:tmpl w:val="2F9CD2E8"/>
    <w:lvl w:ilvl="0" w:tplc="AF3E711C">
      <w:start w:val="1"/>
      <w:numFmt w:val="decimal"/>
      <w:lvlText w:val="%1."/>
      <w:lvlJc w:val="left"/>
      <w:pPr>
        <w:ind w:left="630" w:hanging="360"/>
      </w:pPr>
      <w:rPr>
        <w:rFonts w:ascii="Times New Roman" w:hAnsi="Times New Roman" w:cs="Times New Roman" w:hint="default"/>
        <w:b w:val="0"/>
        <w:bCs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wtrQwsjAysDCwNDJV0lEKTi0uzszPAykwqgUA3pEh6iwAAAA="/>
  </w:docVars>
  <w:rsids>
    <w:rsidRoot w:val="005D7687"/>
    <w:rsid w:val="00014884"/>
    <w:rsid w:val="00031EE6"/>
    <w:rsid w:val="0004388F"/>
    <w:rsid w:val="00093726"/>
    <w:rsid w:val="0017622B"/>
    <w:rsid w:val="001E2953"/>
    <w:rsid w:val="002924E5"/>
    <w:rsid w:val="002D6BEB"/>
    <w:rsid w:val="00302BB0"/>
    <w:rsid w:val="003B4848"/>
    <w:rsid w:val="003E0ECF"/>
    <w:rsid w:val="004158D5"/>
    <w:rsid w:val="00425266"/>
    <w:rsid w:val="00450960"/>
    <w:rsid w:val="004949B2"/>
    <w:rsid w:val="004B1595"/>
    <w:rsid w:val="0052080A"/>
    <w:rsid w:val="00552154"/>
    <w:rsid w:val="005953E1"/>
    <w:rsid w:val="005D7687"/>
    <w:rsid w:val="005E6998"/>
    <w:rsid w:val="006A63E6"/>
    <w:rsid w:val="00743674"/>
    <w:rsid w:val="007D6DB9"/>
    <w:rsid w:val="007F267D"/>
    <w:rsid w:val="00924FC2"/>
    <w:rsid w:val="009813B1"/>
    <w:rsid w:val="00982ABC"/>
    <w:rsid w:val="00A1462E"/>
    <w:rsid w:val="00A74455"/>
    <w:rsid w:val="00A76C6F"/>
    <w:rsid w:val="00B769CE"/>
    <w:rsid w:val="00B92D49"/>
    <w:rsid w:val="00BB0FBF"/>
    <w:rsid w:val="00BC6555"/>
    <w:rsid w:val="00BE618B"/>
    <w:rsid w:val="00C6716B"/>
    <w:rsid w:val="00C81D65"/>
    <w:rsid w:val="00C83561"/>
    <w:rsid w:val="00C84A18"/>
    <w:rsid w:val="00C8696B"/>
    <w:rsid w:val="00CC5958"/>
    <w:rsid w:val="00CD0813"/>
    <w:rsid w:val="00D6271F"/>
    <w:rsid w:val="00DD08C5"/>
    <w:rsid w:val="00DD61AB"/>
    <w:rsid w:val="00E079FB"/>
    <w:rsid w:val="00EB67C8"/>
    <w:rsid w:val="00EC5727"/>
    <w:rsid w:val="00EC6BCD"/>
    <w:rsid w:val="00ED7AD7"/>
    <w:rsid w:val="00FE12D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C89BC9"/>
  <w15:chartTrackingRefBased/>
  <w15:docId w15:val="{1D8BDDDF-FB29-486F-959F-88BA8373E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3E6"/>
    <w:pPr>
      <w:keepNext/>
      <w:keepLines/>
      <w:spacing w:before="240" w:after="0"/>
      <w:outlineLvl w:val="0"/>
    </w:pPr>
    <w:rPr>
      <w:rFonts w:asciiTheme="majorHAnsi" w:eastAsiaTheme="majorEastAsia" w:hAnsiTheme="majorHAnsi" w:cstheme="majorBidi"/>
      <w:color w:val="2F5496" w:themeColor="accent1" w:themeShade="BF"/>
      <w:sz w:val="32"/>
      <w:szCs w:val="29"/>
    </w:rPr>
  </w:style>
  <w:style w:type="paragraph" w:styleId="Heading2">
    <w:name w:val="heading 2"/>
    <w:basedOn w:val="Normal"/>
    <w:next w:val="Normal"/>
    <w:link w:val="Heading2Char"/>
    <w:uiPriority w:val="9"/>
    <w:semiHidden/>
    <w:unhideWhenUsed/>
    <w:qFormat/>
    <w:rsid w:val="006A63E6"/>
    <w:pPr>
      <w:keepNext/>
      <w:keepLines/>
      <w:spacing w:before="40" w:after="0"/>
      <w:outlineLvl w:val="1"/>
    </w:pPr>
    <w:rPr>
      <w:rFonts w:asciiTheme="majorHAnsi" w:eastAsiaTheme="majorEastAsia" w:hAnsiTheme="majorHAnsi" w:cstheme="majorBidi"/>
      <w:color w:val="2F5496"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7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0ECF"/>
    <w:pPr>
      <w:ind w:left="720"/>
      <w:contextualSpacing/>
    </w:pPr>
  </w:style>
  <w:style w:type="character" w:styleId="LineNumber">
    <w:name w:val="line number"/>
    <w:basedOn w:val="DefaultParagraphFont"/>
    <w:uiPriority w:val="99"/>
    <w:semiHidden/>
    <w:unhideWhenUsed/>
    <w:rsid w:val="0052080A"/>
  </w:style>
  <w:style w:type="paragraph" w:styleId="Header">
    <w:name w:val="header"/>
    <w:basedOn w:val="Normal"/>
    <w:link w:val="HeaderChar"/>
    <w:uiPriority w:val="99"/>
    <w:unhideWhenUsed/>
    <w:rsid w:val="00520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80A"/>
  </w:style>
  <w:style w:type="paragraph" w:styleId="Footer">
    <w:name w:val="footer"/>
    <w:basedOn w:val="Normal"/>
    <w:link w:val="FooterChar"/>
    <w:uiPriority w:val="99"/>
    <w:unhideWhenUsed/>
    <w:rsid w:val="00520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80A"/>
  </w:style>
  <w:style w:type="character" w:styleId="Hyperlink">
    <w:name w:val="Hyperlink"/>
    <w:basedOn w:val="DefaultParagraphFont"/>
    <w:uiPriority w:val="99"/>
    <w:unhideWhenUsed/>
    <w:rsid w:val="00EB67C8"/>
    <w:rPr>
      <w:color w:val="0563C1" w:themeColor="hyperlink"/>
      <w:u w:val="single"/>
    </w:rPr>
  </w:style>
  <w:style w:type="character" w:styleId="UnresolvedMention">
    <w:name w:val="Unresolved Mention"/>
    <w:basedOn w:val="DefaultParagraphFont"/>
    <w:uiPriority w:val="99"/>
    <w:semiHidden/>
    <w:unhideWhenUsed/>
    <w:rsid w:val="00EB67C8"/>
    <w:rPr>
      <w:color w:val="605E5C"/>
      <w:shd w:val="clear" w:color="auto" w:fill="E1DFDD"/>
    </w:rPr>
  </w:style>
  <w:style w:type="character" w:styleId="CommentReference">
    <w:name w:val="annotation reference"/>
    <w:basedOn w:val="DefaultParagraphFont"/>
    <w:uiPriority w:val="99"/>
    <w:semiHidden/>
    <w:unhideWhenUsed/>
    <w:rsid w:val="009813B1"/>
    <w:rPr>
      <w:sz w:val="16"/>
      <w:szCs w:val="16"/>
    </w:rPr>
  </w:style>
  <w:style w:type="paragraph" w:styleId="CommentText">
    <w:name w:val="annotation text"/>
    <w:basedOn w:val="Normal"/>
    <w:link w:val="CommentTextChar"/>
    <w:uiPriority w:val="99"/>
    <w:semiHidden/>
    <w:unhideWhenUsed/>
    <w:rsid w:val="009813B1"/>
    <w:pPr>
      <w:spacing w:line="240" w:lineRule="auto"/>
    </w:pPr>
    <w:rPr>
      <w:sz w:val="20"/>
      <w:szCs w:val="18"/>
    </w:rPr>
  </w:style>
  <w:style w:type="character" w:customStyle="1" w:styleId="CommentTextChar">
    <w:name w:val="Comment Text Char"/>
    <w:basedOn w:val="DefaultParagraphFont"/>
    <w:link w:val="CommentText"/>
    <w:uiPriority w:val="99"/>
    <w:semiHidden/>
    <w:rsid w:val="009813B1"/>
    <w:rPr>
      <w:sz w:val="20"/>
      <w:szCs w:val="18"/>
    </w:rPr>
  </w:style>
  <w:style w:type="paragraph" w:styleId="CommentSubject">
    <w:name w:val="annotation subject"/>
    <w:basedOn w:val="CommentText"/>
    <w:next w:val="CommentText"/>
    <w:link w:val="CommentSubjectChar"/>
    <w:uiPriority w:val="99"/>
    <w:semiHidden/>
    <w:unhideWhenUsed/>
    <w:rsid w:val="009813B1"/>
    <w:rPr>
      <w:b/>
      <w:bCs/>
    </w:rPr>
  </w:style>
  <w:style w:type="character" w:customStyle="1" w:styleId="CommentSubjectChar">
    <w:name w:val="Comment Subject Char"/>
    <w:basedOn w:val="CommentTextChar"/>
    <w:link w:val="CommentSubject"/>
    <w:uiPriority w:val="99"/>
    <w:semiHidden/>
    <w:rsid w:val="009813B1"/>
    <w:rPr>
      <w:b/>
      <w:bCs/>
      <w:sz w:val="20"/>
      <w:szCs w:val="18"/>
    </w:rPr>
  </w:style>
  <w:style w:type="paragraph" w:styleId="Revision">
    <w:name w:val="Revision"/>
    <w:hidden/>
    <w:uiPriority w:val="99"/>
    <w:semiHidden/>
    <w:rsid w:val="00552154"/>
    <w:pPr>
      <w:spacing w:after="0" w:line="240" w:lineRule="auto"/>
    </w:pPr>
  </w:style>
  <w:style w:type="character" w:customStyle="1" w:styleId="Heading1Char">
    <w:name w:val="Heading 1 Char"/>
    <w:basedOn w:val="DefaultParagraphFont"/>
    <w:link w:val="Heading1"/>
    <w:uiPriority w:val="9"/>
    <w:rsid w:val="006A63E6"/>
    <w:rPr>
      <w:rFonts w:asciiTheme="majorHAnsi" w:eastAsiaTheme="majorEastAsia" w:hAnsiTheme="majorHAnsi" w:cstheme="majorBidi"/>
      <w:color w:val="2F5496" w:themeColor="accent1" w:themeShade="BF"/>
      <w:sz w:val="32"/>
      <w:szCs w:val="29"/>
    </w:rPr>
  </w:style>
  <w:style w:type="character" w:customStyle="1" w:styleId="Heading2Char">
    <w:name w:val="Heading 2 Char"/>
    <w:basedOn w:val="DefaultParagraphFont"/>
    <w:link w:val="Heading2"/>
    <w:uiPriority w:val="9"/>
    <w:semiHidden/>
    <w:rsid w:val="006A63E6"/>
    <w:rPr>
      <w:rFonts w:asciiTheme="majorHAnsi" w:eastAsiaTheme="majorEastAsia" w:hAnsiTheme="majorHAnsi" w:cstheme="majorBidi"/>
      <w:color w:val="2F5496" w:themeColor="accent1" w:themeShade="BF"/>
      <w:sz w:val="26"/>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549242">
      <w:bodyDiv w:val="1"/>
      <w:marLeft w:val="0"/>
      <w:marRight w:val="0"/>
      <w:marTop w:val="0"/>
      <w:marBottom w:val="0"/>
      <w:divBdr>
        <w:top w:val="none" w:sz="0" w:space="0" w:color="auto"/>
        <w:left w:val="none" w:sz="0" w:space="0" w:color="auto"/>
        <w:bottom w:val="none" w:sz="0" w:space="0" w:color="auto"/>
        <w:right w:val="none" w:sz="0" w:space="0" w:color="auto"/>
      </w:divBdr>
    </w:div>
    <w:div w:id="487987450">
      <w:bodyDiv w:val="1"/>
      <w:marLeft w:val="0"/>
      <w:marRight w:val="0"/>
      <w:marTop w:val="0"/>
      <w:marBottom w:val="0"/>
      <w:divBdr>
        <w:top w:val="none" w:sz="0" w:space="0" w:color="auto"/>
        <w:left w:val="none" w:sz="0" w:space="0" w:color="auto"/>
        <w:bottom w:val="none" w:sz="0" w:space="0" w:color="auto"/>
        <w:right w:val="none" w:sz="0" w:space="0" w:color="auto"/>
      </w:divBdr>
      <w:divsChild>
        <w:div w:id="967126587">
          <w:marLeft w:val="0"/>
          <w:marRight w:val="0"/>
          <w:marTop w:val="0"/>
          <w:marBottom w:val="0"/>
          <w:divBdr>
            <w:top w:val="none" w:sz="0" w:space="0" w:color="auto"/>
            <w:left w:val="none" w:sz="0" w:space="0" w:color="auto"/>
            <w:bottom w:val="none" w:sz="0" w:space="0" w:color="auto"/>
            <w:right w:val="none" w:sz="0" w:space="0" w:color="auto"/>
          </w:divBdr>
          <w:divsChild>
            <w:div w:id="1226603260">
              <w:marLeft w:val="0"/>
              <w:marRight w:val="0"/>
              <w:marTop w:val="0"/>
              <w:marBottom w:val="0"/>
              <w:divBdr>
                <w:top w:val="none" w:sz="0" w:space="0" w:color="auto"/>
                <w:left w:val="none" w:sz="0" w:space="0" w:color="auto"/>
                <w:bottom w:val="none" w:sz="0" w:space="0" w:color="auto"/>
                <w:right w:val="none" w:sz="0" w:space="0" w:color="auto"/>
              </w:divBdr>
              <w:divsChild>
                <w:div w:id="609361567">
                  <w:marLeft w:val="0"/>
                  <w:marRight w:val="0"/>
                  <w:marTop w:val="0"/>
                  <w:marBottom w:val="0"/>
                  <w:divBdr>
                    <w:top w:val="none" w:sz="0" w:space="0" w:color="auto"/>
                    <w:left w:val="none" w:sz="0" w:space="0" w:color="auto"/>
                    <w:bottom w:val="none" w:sz="0" w:space="0" w:color="auto"/>
                    <w:right w:val="none" w:sz="0" w:space="0" w:color="auto"/>
                  </w:divBdr>
                  <w:divsChild>
                    <w:div w:id="1396271332">
                      <w:marLeft w:val="0"/>
                      <w:marRight w:val="0"/>
                      <w:marTop w:val="0"/>
                      <w:marBottom w:val="0"/>
                      <w:divBdr>
                        <w:top w:val="none" w:sz="0" w:space="0" w:color="auto"/>
                        <w:left w:val="none" w:sz="0" w:space="0" w:color="auto"/>
                        <w:bottom w:val="none" w:sz="0" w:space="0" w:color="auto"/>
                        <w:right w:val="none" w:sz="0" w:space="0" w:color="auto"/>
                      </w:divBdr>
                      <w:divsChild>
                        <w:div w:id="664632581">
                          <w:marLeft w:val="0"/>
                          <w:marRight w:val="0"/>
                          <w:marTop w:val="0"/>
                          <w:marBottom w:val="0"/>
                          <w:divBdr>
                            <w:top w:val="none" w:sz="0" w:space="0" w:color="auto"/>
                            <w:left w:val="none" w:sz="0" w:space="0" w:color="auto"/>
                            <w:bottom w:val="none" w:sz="0" w:space="0" w:color="auto"/>
                            <w:right w:val="none" w:sz="0" w:space="0" w:color="auto"/>
                          </w:divBdr>
                          <w:divsChild>
                            <w:div w:id="1362852844">
                              <w:marLeft w:val="0"/>
                              <w:marRight w:val="0"/>
                              <w:marTop w:val="0"/>
                              <w:marBottom w:val="0"/>
                              <w:divBdr>
                                <w:top w:val="none" w:sz="0" w:space="0" w:color="auto"/>
                                <w:left w:val="none" w:sz="0" w:space="0" w:color="auto"/>
                                <w:bottom w:val="none" w:sz="0" w:space="0" w:color="auto"/>
                                <w:right w:val="none" w:sz="0" w:space="0" w:color="auto"/>
                              </w:divBdr>
                              <w:divsChild>
                                <w:div w:id="1993562847">
                                  <w:marLeft w:val="0"/>
                                  <w:marRight w:val="0"/>
                                  <w:marTop w:val="0"/>
                                  <w:marBottom w:val="0"/>
                                  <w:divBdr>
                                    <w:top w:val="none" w:sz="0" w:space="0" w:color="auto"/>
                                    <w:left w:val="none" w:sz="0" w:space="0" w:color="auto"/>
                                    <w:bottom w:val="none" w:sz="0" w:space="0" w:color="auto"/>
                                    <w:right w:val="none" w:sz="0" w:space="0" w:color="auto"/>
                                  </w:divBdr>
                                  <w:divsChild>
                                    <w:div w:id="215355533">
                                      <w:marLeft w:val="0"/>
                                      <w:marRight w:val="0"/>
                                      <w:marTop w:val="0"/>
                                      <w:marBottom w:val="0"/>
                                      <w:divBdr>
                                        <w:top w:val="none" w:sz="0" w:space="0" w:color="auto"/>
                                        <w:left w:val="none" w:sz="0" w:space="0" w:color="auto"/>
                                        <w:bottom w:val="none" w:sz="0" w:space="0" w:color="auto"/>
                                        <w:right w:val="none" w:sz="0" w:space="0" w:color="auto"/>
                                      </w:divBdr>
                                      <w:divsChild>
                                        <w:div w:id="1830632258">
                                          <w:marLeft w:val="0"/>
                                          <w:marRight w:val="0"/>
                                          <w:marTop w:val="0"/>
                                          <w:marBottom w:val="0"/>
                                          <w:divBdr>
                                            <w:top w:val="none" w:sz="0" w:space="0" w:color="auto"/>
                                            <w:left w:val="none" w:sz="0" w:space="0" w:color="auto"/>
                                            <w:bottom w:val="none" w:sz="0" w:space="0" w:color="auto"/>
                                            <w:right w:val="none" w:sz="0" w:space="0" w:color="auto"/>
                                          </w:divBdr>
                                          <w:divsChild>
                                            <w:div w:id="1450856910">
                                              <w:marLeft w:val="0"/>
                                              <w:marRight w:val="0"/>
                                              <w:marTop w:val="0"/>
                                              <w:marBottom w:val="0"/>
                                              <w:divBdr>
                                                <w:top w:val="none" w:sz="0" w:space="0" w:color="auto"/>
                                                <w:left w:val="none" w:sz="0" w:space="0" w:color="auto"/>
                                                <w:bottom w:val="none" w:sz="0" w:space="0" w:color="auto"/>
                                                <w:right w:val="none" w:sz="0" w:space="0" w:color="auto"/>
                                              </w:divBdr>
                                              <w:divsChild>
                                                <w:div w:id="1638759548">
                                                  <w:marLeft w:val="0"/>
                                                  <w:marRight w:val="0"/>
                                                  <w:marTop w:val="0"/>
                                                  <w:marBottom w:val="0"/>
                                                  <w:divBdr>
                                                    <w:top w:val="none" w:sz="0" w:space="0" w:color="auto"/>
                                                    <w:left w:val="none" w:sz="0" w:space="0" w:color="auto"/>
                                                    <w:bottom w:val="none" w:sz="0" w:space="0" w:color="auto"/>
                                                    <w:right w:val="none" w:sz="0" w:space="0" w:color="auto"/>
                                                  </w:divBdr>
                                                  <w:divsChild>
                                                    <w:div w:id="153349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474172">
                                          <w:marLeft w:val="0"/>
                                          <w:marRight w:val="0"/>
                                          <w:marTop w:val="0"/>
                                          <w:marBottom w:val="0"/>
                                          <w:divBdr>
                                            <w:top w:val="none" w:sz="0" w:space="0" w:color="auto"/>
                                            <w:left w:val="none" w:sz="0" w:space="0" w:color="auto"/>
                                            <w:bottom w:val="none" w:sz="0" w:space="0" w:color="auto"/>
                                            <w:right w:val="none" w:sz="0" w:space="0" w:color="auto"/>
                                          </w:divBdr>
                                          <w:divsChild>
                                            <w:div w:id="1891500847">
                                              <w:marLeft w:val="0"/>
                                              <w:marRight w:val="0"/>
                                              <w:marTop w:val="0"/>
                                              <w:marBottom w:val="0"/>
                                              <w:divBdr>
                                                <w:top w:val="none" w:sz="0" w:space="0" w:color="auto"/>
                                                <w:left w:val="none" w:sz="0" w:space="0" w:color="auto"/>
                                                <w:bottom w:val="none" w:sz="0" w:space="0" w:color="auto"/>
                                                <w:right w:val="none" w:sz="0" w:space="0" w:color="auto"/>
                                              </w:divBdr>
                                              <w:divsChild>
                                                <w:div w:id="793522259">
                                                  <w:marLeft w:val="0"/>
                                                  <w:marRight w:val="0"/>
                                                  <w:marTop w:val="0"/>
                                                  <w:marBottom w:val="0"/>
                                                  <w:divBdr>
                                                    <w:top w:val="none" w:sz="0" w:space="0" w:color="auto"/>
                                                    <w:left w:val="none" w:sz="0" w:space="0" w:color="auto"/>
                                                    <w:bottom w:val="none" w:sz="0" w:space="0" w:color="auto"/>
                                                    <w:right w:val="none" w:sz="0" w:space="0" w:color="auto"/>
                                                  </w:divBdr>
                                                  <w:divsChild>
                                                    <w:div w:id="140175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5534018">
      <w:bodyDiv w:val="1"/>
      <w:marLeft w:val="0"/>
      <w:marRight w:val="0"/>
      <w:marTop w:val="0"/>
      <w:marBottom w:val="0"/>
      <w:divBdr>
        <w:top w:val="none" w:sz="0" w:space="0" w:color="auto"/>
        <w:left w:val="none" w:sz="0" w:space="0" w:color="auto"/>
        <w:bottom w:val="none" w:sz="0" w:space="0" w:color="auto"/>
        <w:right w:val="none" w:sz="0" w:space="0" w:color="auto"/>
      </w:divBdr>
    </w:div>
    <w:div w:id="903636750">
      <w:bodyDiv w:val="1"/>
      <w:marLeft w:val="0"/>
      <w:marRight w:val="0"/>
      <w:marTop w:val="0"/>
      <w:marBottom w:val="0"/>
      <w:divBdr>
        <w:top w:val="none" w:sz="0" w:space="0" w:color="auto"/>
        <w:left w:val="none" w:sz="0" w:space="0" w:color="auto"/>
        <w:bottom w:val="none" w:sz="0" w:space="0" w:color="auto"/>
        <w:right w:val="none" w:sz="0" w:space="0" w:color="auto"/>
      </w:divBdr>
    </w:div>
    <w:div w:id="1915504947">
      <w:bodyDiv w:val="1"/>
      <w:marLeft w:val="0"/>
      <w:marRight w:val="0"/>
      <w:marTop w:val="0"/>
      <w:marBottom w:val="0"/>
      <w:divBdr>
        <w:top w:val="none" w:sz="0" w:space="0" w:color="auto"/>
        <w:left w:val="none" w:sz="0" w:space="0" w:color="auto"/>
        <w:bottom w:val="none" w:sz="0" w:space="0" w:color="auto"/>
        <w:right w:val="none" w:sz="0" w:space="0" w:color="auto"/>
      </w:divBdr>
      <w:divsChild>
        <w:div w:id="905265056">
          <w:marLeft w:val="0"/>
          <w:marRight w:val="0"/>
          <w:marTop w:val="0"/>
          <w:marBottom w:val="0"/>
          <w:divBdr>
            <w:top w:val="none" w:sz="0" w:space="0" w:color="auto"/>
            <w:left w:val="none" w:sz="0" w:space="0" w:color="auto"/>
            <w:bottom w:val="none" w:sz="0" w:space="0" w:color="auto"/>
            <w:right w:val="none" w:sz="0" w:space="0" w:color="auto"/>
          </w:divBdr>
          <w:divsChild>
            <w:div w:id="1341808504">
              <w:marLeft w:val="0"/>
              <w:marRight w:val="0"/>
              <w:marTop w:val="0"/>
              <w:marBottom w:val="0"/>
              <w:divBdr>
                <w:top w:val="none" w:sz="0" w:space="0" w:color="auto"/>
                <w:left w:val="none" w:sz="0" w:space="0" w:color="auto"/>
                <w:bottom w:val="none" w:sz="0" w:space="0" w:color="auto"/>
                <w:right w:val="none" w:sz="0" w:space="0" w:color="auto"/>
              </w:divBdr>
              <w:divsChild>
                <w:div w:id="6935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23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url.ebsco.com/results?sid=ebsco:ocu:record&amp;bquery=IS+2407-0475+AND+VI+13+AND+IP+2+AND+DT+2025&amp;link_origin=scholar.google.co.in&amp;searchDescription=Journal%20of%20Agricultural%20Engineering%20%2F%20Jurnal%20Keteknikan%20Pertanian%2C%202025%2C%20Vol%2013%2C%20Issue%20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Sheet2!$D$6:$D$7</c:f>
              <c:strCache>
                <c:ptCount val="2"/>
                <c:pt idx="0">
                  <c:v>Economics for storage of vegetables under different structure</c:v>
                </c:pt>
                <c:pt idx="1">
                  <c:v>Room Temperature</c:v>
                </c:pt>
              </c:strCache>
            </c:strRef>
          </c:tx>
          <c:spPr>
            <a:solidFill>
              <a:schemeClr val="accent1"/>
            </a:solidFill>
            <a:ln>
              <a:noFill/>
            </a:ln>
            <a:effectLst/>
          </c:spPr>
          <c:invertIfNegative val="0"/>
          <c:cat>
            <c:strRef>
              <c:f>Sheet2!$C$8:$C$12</c:f>
              <c:strCache>
                <c:ptCount val="5"/>
                <c:pt idx="0">
                  <c:v>Okra</c:v>
                </c:pt>
                <c:pt idx="1">
                  <c:v>Spinach</c:v>
                </c:pt>
                <c:pt idx="2">
                  <c:v>Radish</c:v>
                </c:pt>
                <c:pt idx="3">
                  <c:v>Cauliflower</c:v>
                </c:pt>
                <c:pt idx="4">
                  <c:v>Mushroom</c:v>
                </c:pt>
              </c:strCache>
            </c:strRef>
          </c:cat>
          <c:val>
            <c:numRef>
              <c:f>Sheet2!$D$8:$D$12</c:f>
              <c:numCache>
                <c:formatCode>General</c:formatCode>
                <c:ptCount val="5"/>
                <c:pt idx="0">
                  <c:v>1.6</c:v>
                </c:pt>
                <c:pt idx="1">
                  <c:v>1.5</c:v>
                </c:pt>
                <c:pt idx="2">
                  <c:v>2.2000000000000002</c:v>
                </c:pt>
                <c:pt idx="3">
                  <c:v>2.6</c:v>
                </c:pt>
                <c:pt idx="4">
                  <c:v>2.9</c:v>
                </c:pt>
              </c:numCache>
            </c:numRef>
          </c:val>
          <c:extLst>
            <c:ext xmlns:c16="http://schemas.microsoft.com/office/drawing/2014/chart" uri="{C3380CC4-5D6E-409C-BE32-E72D297353CC}">
              <c16:uniqueId val="{00000000-E217-4B8E-ABD7-F3A2D3F89C64}"/>
            </c:ext>
          </c:extLst>
        </c:ser>
        <c:ser>
          <c:idx val="1"/>
          <c:order val="1"/>
          <c:tx>
            <c:strRef>
              <c:f>Sheet2!$E$6:$E$7</c:f>
              <c:strCache>
                <c:ptCount val="2"/>
                <c:pt idx="0">
                  <c:v>Economics for storage of vegetables under different structure</c:v>
                </c:pt>
                <c:pt idx="1">
                  <c:v>ZECC</c:v>
                </c:pt>
              </c:strCache>
            </c:strRef>
          </c:tx>
          <c:spPr>
            <a:solidFill>
              <a:schemeClr val="accent2"/>
            </a:solidFill>
            <a:ln>
              <a:noFill/>
            </a:ln>
            <a:effectLst/>
          </c:spPr>
          <c:invertIfNegative val="0"/>
          <c:cat>
            <c:strRef>
              <c:f>Sheet2!$C$8:$C$12</c:f>
              <c:strCache>
                <c:ptCount val="5"/>
                <c:pt idx="0">
                  <c:v>Okra</c:v>
                </c:pt>
                <c:pt idx="1">
                  <c:v>Spinach</c:v>
                </c:pt>
                <c:pt idx="2">
                  <c:v>Radish</c:v>
                </c:pt>
                <c:pt idx="3">
                  <c:v>Cauliflower</c:v>
                </c:pt>
                <c:pt idx="4">
                  <c:v>Mushroom</c:v>
                </c:pt>
              </c:strCache>
            </c:strRef>
          </c:cat>
          <c:val>
            <c:numRef>
              <c:f>Sheet2!$E$8:$E$12</c:f>
              <c:numCache>
                <c:formatCode>General</c:formatCode>
                <c:ptCount val="5"/>
                <c:pt idx="0">
                  <c:v>2.7</c:v>
                </c:pt>
                <c:pt idx="1">
                  <c:v>2.9</c:v>
                </c:pt>
                <c:pt idx="2">
                  <c:v>2.8</c:v>
                </c:pt>
                <c:pt idx="3">
                  <c:v>3.7</c:v>
                </c:pt>
                <c:pt idx="4">
                  <c:v>3.45</c:v>
                </c:pt>
              </c:numCache>
            </c:numRef>
          </c:val>
          <c:extLst>
            <c:ext xmlns:c16="http://schemas.microsoft.com/office/drawing/2014/chart" uri="{C3380CC4-5D6E-409C-BE32-E72D297353CC}">
              <c16:uniqueId val="{00000001-E217-4B8E-ABD7-F3A2D3F89C64}"/>
            </c:ext>
          </c:extLst>
        </c:ser>
        <c:dLbls>
          <c:showLegendKey val="0"/>
          <c:showVal val="0"/>
          <c:showCatName val="0"/>
          <c:showSerName val="0"/>
          <c:showPercent val="0"/>
          <c:showBubbleSize val="0"/>
        </c:dLbls>
        <c:gapWidth val="150"/>
        <c:axId val="1540597279"/>
        <c:axId val="1540581055"/>
      </c:barChart>
      <c:catAx>
        <c:axId val="15405972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0581055"/>
        <c:crosses val="autoZero"/>
        <c:auto val="1"/>
        <c:lblAlgn val="ctr"/>
        <c:lblOffset val="100"/>
        <c:noMultiLvlLbl val="0"/>
      </c:catAx>
      <c:valAx>
        <c:axId val="15405810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05972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131</TotalTime>
  <Pages>10</Pages>
  <Words>3013</Words>
  <Characters>17175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Anupam Adarsh</dc:creator>
  <cp:keywords/>
  <dc:description/>
  <cp:lastModifiedBy>SDI 1020</cp:lastModifiedBy>
  <cp:revision>12</cp:revision>
  <dcterms:created xsi:type="dcterms:W3CDTF">2026-04-03T09:53:00Z</dcterms:created>
  <dcterms:modified xsi:type="dcterms:W3CDTF">2026-04-07T12:53:00Z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cecbb34b-957d-43e5-814f-f8cc78ca70b9</vt:lpwstr>
  </property>
</Properties>
</file>