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0D131" w14:textId="27F9567C" w:rsidR="00E072C7" w:rsidRDefault="00E072C7" w:rsidP="00A2777D">
      <w:pPr>
        <w:spacing w:line="360" w:lineRule="auto"/>
        <w:jc w:val="center"/>
        <w:rPr>
          <w:rFonts w:ascii="Times New Roman" w:hAnsi="Times New Roman" w:cs="Times New Roman"/>
          <w:b/>
          <w:bCs/>
          <w:color w:val="000000" w:themeColor="text1"/>
          <w:sz w:val="24"/>
          <w:szCs w:val="24"/>
        </w:rPr>
      </w:pPr>
      <w:bookmarkStart w:id="0" w:name="_Hlk222593904"/>
      <w:bookmarkStart w:id="1" w:name="_Hlk222044381"/>
      <w:bookmarkEnd w:id="0"/>
      <w:r w:rsidRPr="00D5243E">
        <w:rPr>
          <w:rFonts w:ascii="Times New Roman" w:hAnsi="Times New Roman" w:cs="Times New Roman"/>
          <w:b/>
          <w:bCs/>
          <w:color w:val="000000" w:themeColor="text1"/>
          <w:sz w:val="24"/>
          <w:szCs w:val="24"/>
          <w:highlight w:val="yellow"/>
        </w:rPr>
        <w:t xml:space="preserve">A </w:t>
      </w:r>
      <w:r w:rsidR="00A2777D" w:rsidRPr="00D5243E">
        <w:rPr>
          <w:rFonts w:ascii="Times New Roman" w:hAnsi="Times New Roman" w:cs="Times New Roman"/>
          <w:b/>
          <w:bCs/>
          <w:color w:val="000000" w:themeColor="text1"/>
          <w:sz w:val="24"/>
          <w:szCs w:val="24"/>
          <w:highlight w:val="yellow"/>
        </w:rPr>
        <w:t>S</w:t>
      </w:r>
      <w:r w:rsidRPr="00D5243E">
        <w:rPr>
          <w:rFonts w:ascii="Times New Roman" w:hAnsi="Times New Roman" w:cs="Times New Roman"/>
          <w:b/>
          <w:bCs/>
          <w:color w:val="000000" w:themeColor="text1"/>
          <w:sz w:val="24"/>
          <w:szCs w:val="24"/>
          <w:highlight w:val="yellow"/>
        </w:rPr>
        <w:t xml:space="preserve">tudy on the </w:t>
      </w:r>
      <w:r w:rsidR="000E5225" w:rsidRPr="00D5243E">
        <w:rPr>
          <w:rFonts w:ascii="Times New Roman" w:hAnsi="Times New Roman" w:cs="Times New Roman"/>
          <w:b/>
          <w:bCs/>
          <w:color w:val="000000" w:themeColor="text1"/>
          <w:sz w:val="24"/>
          <w:szCs w:val="24"/>
          <w:highlight w:val="yellow"/>
        </w:rPr>
        <w:t>Status and G</w:t>
      </w:r>
      <w:r w:rsidRPr="00D5243E">
        <w:rPr>
          <w:rFonts w:ascii="Times New Roman" w:hAnsi="Times New Roman" w:cs="Times New Roman"/>
          <w:b/>
          <w:bCs/>
          <w:color w:val="000000" w:themeColor="text1"/>
          <w:sz w:val="24"/>
          <w:szCs w:val="24"/>
          <w:highlight w:val="yellow"/>
        </w:rPr>
        <w:t xml:space="preserve">rowth of Farmer Producer Organizations </w:t>
      </w:r>
      <w:r w:rsidR="00A2777D" w:rsidRPr="00D5243E">
        <w:rPr>
          <w:rFonts w:ascii="Times New Roman" w:hAnsi="Times New Roman" w:cs="Times New Roman"/>
          <w:b/>
          <w:bCs/>
          <w:color w:val="000000" w:themeColor="text1"/>
          <w:sz w:val="24"/>
          <w:szCs w:val="24"/>
          <w:highlight w:val="yellow"/>
        </w:rPr>
        <w:t xml:space="preserve">(FPOs) </w:t>
      </w:r>
      <w:r w:rsidRPr="00D5243E">
        <w:rPr>
          <w:rFonts w:ascii="Times New Roman" w:hAnsi="Times New Roman" w:cs="Times New Roman"/>
          <w:b/>
          <w:bCs/>
          <w:color w:val="000000" w:themeColor="text1"/>
          <w:sz w:val="24"/>
          <w:szCs w:val="24"/>
          <w:highlight w:val="yellow"/>
        </w:rPr>
        <w:t>in Tamil Nadu</w:t>
      </w:r>
      <w:r w:rsidR="008A4431" w:rsidRPr="00D5243E">
        <w:rPr>
          <w:rFonts w:ascii="Times New Roman" w:hAnsi="Times New Roman" w:cs="Times New Roman"/>
          <w:b/>
          <w:bCs/>
          <w:color w:val="000000" w:themeColor="text1"/>
          <w:sz w:val="24"/>
          <w:szCs w:val="24"/>
          <w:highlight w:val="yellow"/>
        </w:rPr>
        <w:t>, India</w:t>
      </w:r>
    </w:p>
    <w:p w14:paraId="7C40AA13" w14:textId="374866E0" w:rsidR="00FF4FC0" w:rsidRDefault="00FF4FC0" w:rsidP="005009DB">
      <w:pPr>
        <w:spacing w:line="360" w:lineRule="auto"/>
        <w:ind w:left="720" w:hanging="720"/>
        <w:jc w:val="both"/>
        <w:rPr>
          <w:rFonts w:ascii="Times New Roman" w:hAnsi="Times New Roman" w:cs="Times New Roman"/>
          <w:i/>
          <w:iCs/>
          <w:color w:val="000000" w:themeColor="text1"/>
          <w:sz w:val="24"/>
          <w:szCs w:val="24"/>
        </w:rPr>
      </w:pPr>
    </w:p>
    <w:p w14:paraId="6F9F5EE9" w14:textId="77777777" w:rsidR="00FE07C4" w:rsidRPr="005009DB" w:rsidRDefault="00FE07C4" w:rsidP="005009DB">
      <w:pPr>
        <w:spacing w:line="360" w:lineRule="auto"/>
        <w:ind w:left="720" w:hanging="720"/>
        <w:jc w:val="both"/>
        <w:rPr>
          <w:rFonts w:ascii="Times New Roman" w:hAnsi="Times New Roman" w:cs="Times New Roman"/>
          <w:i/>
          <w:iCs/>
          <w:color w:val="000000" w:themeColor="text1"/>
          <w:sz w:val="24"/>
          <w:szCs w:val="24"/>
        </w:rPr>
      </w:pPr>
    </w:p>
    <w:bookmarkEnd w:id="1"/>
    <w:p w14:paraId="47A9521C" w14:textId="77777777" w:rsidR="00E072C7" w:rsidRPr="006F19E0" w:rsidRDefault="00E072C7" w:rsidP="00E072C7">
      <w:pPr>
        <w:spacing w:line="360" w:lineRule="auto"/>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Abstract</w:t>
      </w:r>
    </w:p>
    <w:p w14:paraId="11C2CE9C" w14:textId="72A03515" w:rsidR="00182FF9" w:rsidRDefault="00AB78BC" w:rsidP="00182FF9">
      <w:pPr>
        <w:spacing w:line="360" w:lineRule="auto"/>
        <w:jc w:val="both"/>
        <w:rPr>
          <w:rFonts w:ascii="Times New Roman" w:hAnsi="Times New Roman" w:cs="Times New Roman"/>
          <w:color w:val="000000" w:themeColor="text1"/>
          <w:sz w:val="24"/>
          <w:szCs w:val="24"/>
        </w:rPr>
      </w:pPr>
      <w:bookmarkStart w:id="2" w:name="_Hlk222044509"/>
      <w:r w:rsidRPr="006F19E0">
        <w:rPr>
          <w:rFonts w:ascii="Times New Roman" w:hAnsi="Times New Roman" w:cs="Times New Roman"/>
          <w:color w:val="000000" w:themeColor="text1"/>
          <w:sz w:val="24"/>
          <w:szCs w:val="24"/>
        </w:rPr>
        <w:t>The study explores the growth and status of Farmer Producer Organisations (FPOs) in Tamil Nadu from 2014 to 2025</w:t>
      </w:r>
      <w:r w:rsidR="00EC7B0A">
        <w:rPr>
          <w:rFonts w:ascii="Times New Roman" w:hAnsi="Times New Roman" w:cs="Times New Roman"/>
          <w:color w:val="000000" w:themeColor="text1"/>
          <w:sz w:val="24"/>
          <w:szCs w:val="24"/>
        </w:rPr>
        <w:t>,</w:t>
      </w:r>
      <w:r w:rsidRPr="006F19E0">
        <w:rPr>
          <w:rFonts w:ascii="Times New Roman" w:hAnsi="Times New Roman" w:cs="Times New Roman"/>
          <w:color w:val="000000" w:themeColor="text1"/>
          <w:sz w:val="24"/>
          <w:szCs w:val="24"/>
        </w:rPr>
        <w:t xml:space="preserve"> </w:t>
      </w:r>
      <w:r w:rsidR="00182FF9" w:rsidRPr="00182FF9">
        <w:rPr>
          <w:rFonts w:ascii="Times New Roman" w:hAnsi="Times New Roman" w:cs="Times New Roman"/>
          <w:color w:val="000000" w:themeColor="text1"/>
          <w:sz w:val="24"/>
          <w:szCs w:val="24"/>
        </w:rPr>
        <w:t xml:space="preserve">focusing on their growth, </w:t>
      </w:r>
      <w:r w:rsidR="00D81B9C">
        <w:rPr>
          <w:rFonts w:ascii="Times New Roman" w:hAnsi="Times New Roman" w:cs="Times New Roman"/>
          <w:color w:val="000000" w:themeColor="text1"/>
          <w:sz w:val="24"/>
          <w:szCs w:val="24"/>
        </w:rPr>
        <w:t xml:space="preserve">capital trends, </w:t>
      </w:r>
      <w:r w:rsidR="00182FF9" w:rsidRPr="00182FF9">
        <w:rPr>
          <w:rFonts w:ascii="Times New Roman" w:hAnsi="Times New Roman" w:cs="Times New Roman"/>
          <w:color w:val="000000" w:themeColor="text1"/>
          <w:sz w:val="24"/>
          <w:szCs w:val="24"/>
        </w:rPr>
        <w:t xml:space="preserve">financial strength, </w:t>
      </w:r>
      <w:r w:rsidR="00D81B9C">
        <w:rPr>
          <w:rFonts w:ascii="Times New Roman" w:hAnsi="Times New Roman" w:cs="Times New Roman"/>
          <w:color w:val="000000" w:themeColor="text1"/>
          <w:sz w:val="24"/>
          <w:szCs w:val="24"/>
        </w:rPr>
        <w:t>institutional finance &amp; support for FPOs</w:t>
      </w:r>
      <w:r w:rsidR="00641789">
        <w:rPr>
          <w:rFonts w:ascii="Times New Roman" w:hAnsi="Times New Roman" w:cs="Times New Roman"/>
          <w:color w:val="000000" w:themeColor="text1"/>
          <w:sz w:val="24"/>
          <w:szCs w:val="24"/>
        </w:rPr>
        <w:t>,</w:t>
      </w:r>
      <w:r w:rsidR="00D81B9C">
        <w:rPr>
          <w:rFonts w:ascii="Times New Roman" w:hAnsi="Times New Roman" w:cs="Times New Roman"/>
          <w:color w:val="000000" w:themeColor="text1"/>
          <w:sz w:val="24"/>
          <w:szCs w:val="24"/>
        </w:rPr>
        <w:t xml:space="preserve"> w</w:t>
      </w:r>
      <w:r w:rsidR="00D81B9C" w:rsidRPr="00A23F10">
        <w:rPr>
          <w:rFonts w:ascii="Times New Roman" w:hAnsi="Times New Roman" w:cs="Times New Roman"/>
          <w:color w:val="000000" w:themeColor="text1"/>
          <w:sz w:val="24"/>
          <w:szCs w:val="24"/>
        </w:rPr>
        <w:t>omen-</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ed FPOs and</w:t>
      </w:r>
      <w:r w:rsidR="00D81B9C">
        <w:rPr>
          <w:rFonts w:ascii="Times New Roman" w:hAnsi="Times New Roman" w:cs="Times New Roman"/>
          <w:color w:val="000000" w:themeColor="text1"/>
          <w:sz w:val="24"/>
          <w:szCs w:val="24"/>
        </w:rPr>
        <w:t xml:space="preserve"> m</w:t>
      </w:r>
      <w:r w:rsidR="00D81B9C" w:rsidRPr="00A23F10">
        <w:rPr>
          <w:rFonts w:ascii="Times New Roman" w:hAnsi="Times New Roman" w:cs="Times New Roman"/>
          <w:color w:val="000000" w:themeColor="text1"/>
          <w:sz w:val="24"/>
          <w:szCs w:val="24"/>
        </w:rPr>
        <w:t xml:space="preserve">arket </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inkages (e-NAM/Retail Chains) of FPOs</w:t>
      </w:r>
      <w:r w:rsidR="00182FF9" w:rsidRPr="00182FF9">
        <w:rPr>
          <w:rFonts w:ascii="Times New Roman" w:hAnsi="Times New Roman" w:cs="Times New Roman"/>
          <w:color w:val="000000" w:themeColor="text1"/>
          <w:sz w:val="24"/>
          <w:szCs w:val="24"/>
        </w:rPr>
        <w:t>. Over the period, FPOs have expanded steadily in number and business operations, supported by institutional and government initiatives. Their capital base, turnover and profitability show progressive improvement, reflecting stronger financial stability and member participation. Institutional support through credit and grants has enhanced their access to formal finance, while increased women-led FPOs demonstrate more inclusive participation. Strengthened market connections indicate that FPOs are emerging as effective, farmer-owned enterprises that improve income, efficiency and sustainability in the agricultural sector.</w:t>
      </w:r>
    </w:p>
    <w:p w14:paraId="0EDFABAE" w14:textId="2567A2AA" w:rsidR="00B73A5D" w:rsidRDefault="00C571D5" w:rsidP="00C571D5">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KEYWORDS</w:t>
      </w:r>
      <w:r w:rsidR="00A2777D" w:rsidRPr="006F19E0">
        <w:rPr>
          <w:rFonts w:ascii="Times New Roman" w:hAnsi="Times New Roman" w:cs="Times New Roman"/>
          <w:b/>
          <w:bCs/>
          <w:color w:val="000000" w:themeColor="text1"/>
          <w:sz w:val="24"/>
          <w:szCs w:val="24"/>
        </w:rPr>
        <w:t xml:space="preserve">: </w:t>
      </w:r>
      <w:r w:rsidR="00B73A5D" w:rsidRPr="00B73A5D">
        <w:rPr>
          <w:rFonts w:ascii="Times New Roman" w:hAnsi="Times New Roman" w:cs="Times New Roman"/>
          <w:b/>
          <w:bCs/>
          <w:color w:val="000000" w:themeColor="text1"/>
          <w:sz w:val="24"/>
          <w:szCs w:val="24"/>
        </w:rPr>
        <w:t>Farmer</w:t>
      </w:r>
      <w:r w:rsidR="00EC7B0A">
        <w:rPr>
          <w:rFonts w:ascii="Times New Roman" w:hAnsi="Times New Roman" w:cs="Times New Roman"/>
          <w:b/>
          <w:bCs/>
          <w:color w:val="000000" w:themeColor="text1"/>
          <w:sz w:val="24"/>
          <w:szCs w:val="24"/>
        </w:rPr>
        <w:t>-</w:t>
      </w:r>
      <w:r w:rsidR="00B73A5D" w:rsidRPr="00B73A5D">
        <w:rPr>
          <w:rFonts w:ascii="Times New Roman" w:hAnsi="Times New Roman" w:cs="Times New Roman"/>
          <w:b/>
          <w:bCs/>
          <w:color w:val="000000" w:themeColor="text1"/>
          <w:sz w:val="24"/>
          <w:szCs w:val="24"/>
        </w:rPr>
        <w:t xml:space="preserve">Producer Organisations, </w:t>
      </w:r>
      <w:r w:rsidR="00B73A5D">
        <w:rPr>
          <w:rFonts w:ascii="Times New Roman" w:hAnsi="Times New Roman" w:cs="Times New Roman"/>
          <w:b/>
          <w:bCs/>
          <w:color w:val="000000" w:themeColor="text1"/>
          <w:sz w:val="24"/>
          <w:szCs w:val="24"/>
        </w:rPr>
        <w:t>F</w:t>
      </w:r>
      <w:r w:rsidR="00B73A5D" w:rsidRPr="00B73A5D">
        <w:rPr>
          <w:rFonts w:ascii="Times New Roman" w:hAnsi="Times New Roman" w:cs="Times New Roman"/>
          <w:b/>
          <w:bCs/>
          <w:color w:val="000000" w:themeColor="text1"/>
          <w:sz w:val="24"/>
          <w:szCs w:val="24"/>
        </w:rPr>
        <w:t xml:space="preserve">inancial </w:t>
      </w:r>
      <w:r w:rsidR="005532CB">
        <w:rPr>
          <w:rFonts w:ascii="Times New Roman" w:hAnsi="Times New Roman" w:cs="Times New Roman"/>
          <w:b/>
          <w:bCs/>
          <w:color w:val="000000" w:themeColor="text1"/>
          <w:sz w:val="24"/>
          <w:szCs w:val="24"/>
        </w:rPr>
        <w:t>Strength</w:t>
      </w:r>
      <w:r w:rsidR="00B73A5D" w:rsidRPr="00B73A5D">
        <w:rPr>
          <w:rFonts w:ascii="Times New Roman" w:hAnsi="Times New Roman" w:cs="Times New Roman"/>
          <w:b/>
          <w:bCs/>
          <w:color w:val="000000" w:themeColor="text1"/>
          <w:sz w:val="24"/>
          <w:szCs w:val="24"/>
        </w:rPr>
        <w:t xml:space="preserve">, </w:t>
      </w:r>
      <w:r w:rsidR="00B73A5D">
        <w:rPr>
          <w:rFonts w:ascii="Times New Roman" w:hAnsi="Times New Roman" w:cs="Times New Roman"/>
          <w:b/>
          <w:bCs/>
          <w:color w:val="000000" w:themeColor="text1"/>
          <w:sz w:val="24"/>
          <w:szCs w:val="24"/>
        </w:rPr>
        <w:t>I</w:t>
      </w:r>
      <w:r w:rsidR="00B73A5D" w:rsidRPr="00B73A5D">
        <w:rPr>
          <w:rFonts w:ascii="Times New Roman" w:hAnsi="Times New Roman" w:cs="Times New Roman"/>
          <w:b/>
          <w:bCs/>
          <w:color w:val="000000" w:themeColor="text1"/>
          <w:sz w:val="24"/>
          <w:szCs w:val="24"/>
        </w:rPr>
        <w:t xml:space="preserve">nstitutional </w:t>
      </w:r>
      <w:r w:rsidR="00B73A5D">
        <w:rPr>
          <w:rFonts w:ascii="Times New Roman" w:hAnsi="Times New Roman" w:cs="Times New Roman"/>
          <w:b/>
          <w:bCs/>
          <w:color w:val="000000" w:themeColor="text1"/>
          <w:sz w:val="24"/>
          <w:szCs w:val="24"/>
        </w:rPr>
        <w:t>S</w:t>
      </w:r>
      <w:r w:rsidR="00B73A5D" w:rsidRPr="00B73A5D">
        <w:rPr>
          <w:rFonts w:ascii="Times New Roman" w:hAnsi="Times New Roman" w:cs="Times New Roman"/>
          <w:b/>
          <w:bCs/>
          <w:color w:val="000000" w:themeColor="text1"/>
          <w:sz w:val="24"/>
          <w:szCs w:val="24"/>
        </w:rPr>
        <w:t xml:space="preserve">upport, </w:t>
      </w:r>
      <w:r w:rsidR="00B73A5D">
        <w:rPr>
          <w:rFonts w:ascii="Times New Roman" w:hAnsi="Times New Roman" w:cs="Times New Roman"/>
          <w:b/>
          <w:bCs/>
          <w:color w:val="000000" w:themeColor="text1"/>
          <w:sz w:val="24"/>
          <w:szCs w:val="24"/>
        </w:rPr>
        <w:t>M</w:t>
      </w:r>
      <w:r w:rsidR="00B73A5D" w:rsidRPr="00B73A5D">
        <w:rPr>
          <w:rFonts w:ascii="Times New Roman" w:hAnsi="Times New Roman" w:cs="Times New Roman"/>
          <w:b/>
          <w:bCs/>
          <w:color w:val="000000" w:themeColor="text1"/>
          <w:sz w:val="24"/>
          <w:szCs w:val="24"/>
        </w:rPr>
        <w:t xml:space="preserve">arket </w:t>
      </w:r>
      <w:r w:rsidR="00B73A5D">
        <w:rPr>
          <w:rFonts w:ascii="Times New Roman" w:hAnsi="Times New Roman" w:cs="Times New Roman"/>
          <w:b/>
          <w:bCs/>
          <w:color w:val="000000" w:themeColor="text1"/>
          <w:sz w:val="24"/>
          <w:szCs w:val="24"/>
        </w:rPr>
        <w:t>L</w:t>
      </w:r>
      <w:r w:rsidR="00B73A5D" w:rsidRPr="00B73A5D">
        <w:rPr>
          <w:rFonts w:ascii="Times New Roman" w:hAnsi="Times New Roman" w:cs="Times New Roman"/>
          <w:b/>
          <w:bCs/>
          <w:color w:val="000000" w:themeColor="text1"/>
          <w:sz w:val="24"/>
          <w:szCs w:val="24"/>
        </w:rPr>
        <w:t xml:space="preserve">inkages, </w:t>
      </w:r>
      <w:r w:rsidR="00B73A5D">
        <w:rPr>
          <w:rFonts w:ascii="Times New Roman" w:hAnsi="Times New Roman" w:cs="Times New Roman"/>
          <w:b/>
          <w:bCs/>
          <w:color w:val="000000" w:themeColor="text1"/>
          <w:sz w:val="24"/>
          <w:szCs w:val="24"/>
        </w:rPr>
        <w:t>W</w:t>
      </w:r>
      <w:r w:rsidR="00B73A5D" w:rsidRPr="00B73A5D">
        <w:rPr>
          <w:rFonts w:ascii="Times New Roman" w:hAnsi="Times New Roman" w:cs="Times New Roman"/>
          <w:b/>
          <w:bCs/>
          <w:color w:val="000000" w:themeColor="text1"/>
          <w:sz w:val="24"/>
          <w:szCs w:val="24"/>
        </w:rPr>
        <w:t xml:space="preserve">omen-led FPOs, </w:t>
      </w:r>
      <w:r w:rsidR="00B73A5D">
        <w:rPr>
          <w:rFonts w:ascii="Times New Roman" w:hAnsi="Times New Roman" w:cs="Times New Roman"/>
          <w:b/>
          <w:bCs/>
          <w:color w:val="000000" w:themeColor="text1"/>
          <w:sz w:val="24"/>
          <w:szCs w:val="24"/>
        </w:rPr>
        <w:t>S</w:t>
      </w:r>
      <w:r w:rsidR="00B73A5D" w:rsidRPr="00B73A5D">
        <w:rPr>
          <w:rFonts w:ascii="Times New Roman" w:hAnsi="Times New Roman" w:cs="Times New Roman"/>
          <w:b/>
          <w:bCs/>
          <w:color w:val="000000" w:themeColor="text1"/>
          <w:sz w:val="24"/>
          <w:szCs w:val="24"/>
        </w:rPr>
        <w:t>ustainability</w:t>
      </w:r>
      <w:r w:rsidR="005532CB">
        <w:rPr>
          <w:rFonts w:ascii="Times New Roman" w:hAnsi="Times New Roman" w:cs="Times New Roman"/>
          <w:b/>
          <w:bCs/>
          <w:color w:val="000000" w:themeColor="text1"/>
          <w:sz w:val="24"/>
          <w:szCs w:val="24"/>
        </w:rPr>
        <w:t>.</w:t>
      </w:r>
    </w:p>
    <w:p w14:paraId="0ADAD326" w14:textId="72D5CB28" w:rsidR="00C571D5" w:rsidRPr="006F19E0" w:rsidRDefault="00C571D5" w:rsidP="00C571D5">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Introduction</w:t>
      </w:r>
    </w:p>
    <w:p w14:paraId="07E317AC" w14:textId="13D822E3"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In India, agriculture and allied sectors remain the main source of livelihood for a large share of the population</w:t>
      </w:r>
      <w:r w:rsidR="00FC387E" w:rsidRPr="006F19E0">
        <w:rPr>
          <w:rFonts w:ascii="Times New Roman" w:hAnsi="Times New Roman" w:cs="Times New Roman"/>
          <w:color w:val="000000" w:themeColor="text1"/>
          <w:sz w:val="24"/>
          <w:szCs w:val="24"/>
        </w:rPr>
        <w:t xml:space="preserve"> (Government of India, 2021). </w:t>
      </w:r>
      <w:r w:rsidRPr="006F19E0">
        <w:rPr>
          <w:rFonts w:ascii="Times New Roman" w:hAnsi="Times New Roman" w:cs="Times New Roman"/>
          <w:color w:val="000000" w:themeColor="text1"/>
          <w:sz w:val="24"/>
          <w:szCs w:val="24"/>
        </w:rPr>
        <w:t>Most cultivators belong to the small and marginal farmer category. Over time, the average size of landholdings has steadily declined, while the difficulties faced by farmers have increased</w:t>
      </w:r>
      <w:r w:rsidR="00253147" w:rsidRPr="006F19E0">
        <w:rPr>
          <w:rFonts w:ascii="Times New Roman" w:hAnsi="Times New Roman" w:cs="Times New Roman"/>
          <w:color w:val="000000" w:themeColor="text1"/>
          <w:sz w:val="24"/>
          <w:szCs w:val="24"/>
        </w:rPr>
        <w:t xml:space="preserve"> (Agricultural Census Division</w:t>
      </w:r>
      <w:r w:rsidR="00E80479" w:rsidRPr="006F19E0">
        <w:rPr>
          <w:rFonts w:ascii="Times New Roman" w:hAnsi="Times New Roman" w:cs="Times New Roman"/>
          <w:color w:val="000000" w:themeColor="text1"/>
          <w:sz w:val="24"/>
          <w:szCs w:val="24"/>
        </w:rPr>
        <w:t xml:space="preserve">, </w:t>
      </w:r>
      <w:r w:rsidR="00253147" w:rsidRPr="006F19E0">
        <w:rPr>
          <w:rFonts w:ascii="Times New Roman" w:hAnsi="Times New Roman" w:cs="Times New Roman"/>
          <w:color w:val="000000" w:themeColor="text1"/>
          <w:sz w:val="24"/>
          <w:szCs w:val="24"/>
        </w:rPr>
        <w:t>2019)</w:t>
      </w:r>
      <w:r w:rsidRPr="006F19E0">
        <w:rPr>
          <w:rFonts w:ascii="Times New Roman" w:hAnsi="Times New Roman" w:cs="Times New Roman"/>
          <w:color w:val="000000" w:themeColor="text1"/>
          <w:sz w:val="24"/>
          <w:szCs w:val="24"/>
        </w:rPr>
        <w:t>. Small farmers commonly experience higher transaction costs and greater exposure to risks. These problems arise mainly because their operations are very small, their access to information is limited</w:t>
      </w:r>
      <w:r w:rsidR="00EC7B0A">
        <w:rPr>
          <w:rFonts w:ascii="Times New Roman" w:hAnsi="Times New Roman" w:cs="Times New Roman"/>
          <w:color w:val="000000" w:themeColor="text1"/>
          <w:sz w:val="24"/>
          <w:szCs w:val="24"/>
        </w:rPr>
        <w:t>,</w:t>
      </w:r>
      <w:r w:rsidR="001D3674"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and their linkages with larger markets are weak. As a result, farmers often depend on intermediaries for purchasing inputs and selling produce, which reduces their share in the final consumer price</w:t>
      </w:r>
      <w:r w:rsidR="00E12935">
        <w:rPr>
          <w:rFonts w:ascii="Times New Roman" w:hAnsi="Times New Roman" w:cs="Times New Roman"/>
          <w:color w:val="000000" w:themeColor="text1"/>
          <w:sz w:val="24"/>
          <w:szCs w:val="24"/>
        </w:rPr>
        <w:t xml:space="preserve"> (</w:t>
      </w:r>
      <w:proofErr w:type="spellStart"/>
      <w:r w:rsidR="00E12935">
        <w:rPr>
          <w:rFonts w:ascii="Arial" w:hAnsi="Arial" w:cs="Arial"/>
          <w:color w:val="222222"/>
          <w:sz w:val="20"/>
          <w:szCs w:val="20"/>
          <w:shd w:val="clear" w:color="auto" w:fill="FFFFFF"/>
        </w:rPr>
        <w:t>Ramappa</w:t>
      </w:r>
      <w:proofErr w:type="spellEnd"/>
      <w:r w:rsidR="00E12935">
        <w:rPr>
          <w:rFonts w:ascii="Arial" w:hAnsi="Arial" w:cs="Arial"/>
          <w:color w:val="222222"/>
          <w:sz w:val="20"/>
          <w:szCs w:val="20"/>
          <w:shd w:val="clear" w:color="auto" w:fill="FFFFFF"/>
        </w:rPr>
        <w:t xml:space="preserve"> &amp; </w:t>
      </w:r>
      <w:proofErr w:type="spellStart"/>
      <w:r w:rsidR="00E12935">
        <w:rPr>
          <w:rFonts w:ascii="Arial" w:hAnsi="Arial" w:cs="Arial"/>
          <w:color w:val="222222"/>
          <w:sz w:val="20"/>
          <w:szCs w:val="20"/>
          <w:shd w:val="clear" w:color="auto" w:fill="FFFFFF"/>
        </w:rPr>
        <w:t>Yashashwini</w:t>
      </w:r>
      <w:proofErr w:type="spellEnd"/>
      <w:r w:rsidR="00E12935">
        <w:rPr>
          <w:rFonts w:ascii="Arial" w:hAnsi="Arial" w:cs="Arial"/>
          <w:color w:val="222222"/>
          <w:sz w:val="20"/>
          <w:szCs w:val="20"/>
          <w:shd w:val="clear" w:color="auto" w:fill="FFFFFF"/>
        </w:rPr>
        <w:t>, 2018</w:t>
      </w:r>
      <w:r w:rsidR="00E12935">
        <w:rPr>
          <w:rFonts w:ascii="Times New Roman" w:hAnsi="Times New Roman" w:cs="Times New Roman"/>
          <w:color w:val="000000" w:themeColor="text1"/>
          <w:sz w:val="24"/>
          <w:szCs w:val="24"/>
        </w:rPr>
        <w:t>)</w:t>
      </w:r>
      <w:r w:rsidRPr="006F19E0">
        <w:rPr>
          <w:rFonts w:ascii="Times New Roman" w:hAnsi="Times New Roman" w:cs="Times New Roman"/>
          <w:color w:val="000000" w:themeColor="text1"/>
          <w:sz w:val="24"/>
          <w:szCs w:val="24"/>
        </w:rPr>
        <w:t>.</w:t>
      </w:r>
    </w:p>
    <w:p w14:paraId="2E0FE42C" w14:textId="1AB96B4C"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Small and marginal farmers also face constraints such as costly credit, low marketable surplus, shortage of working capital, inadequate infrastructure and limited bargaining strength</w:t>
      </w:r>
      <w:r w:rsidR="00253147" w:rsidRPr="006F19E0">
        <w:rPr>
          <w:rFonts w:ascii="Times New Roman" w:hAnsi="Times New Roman" w:cs="Times New Roman"/>
          <w:color w:val="000000" w:themeColor="text1"/>
          <w:sz w:val="24"/>
          <w:szCs w:val="24"/>
        </w:rPr>
        <w:t xml:space="preserve"> (Department of Agriculture, Cooperation &amp; Farmers Welfare</w:t>
      </w:r>
      <w:r w:rsidR="00E80479" w:rsidRPr="006F19E0">
        <w:rPr>
          <w:rFonts w:ascii="Times New Roman" w:hAnsi="Times New Roman" w:cs="Times New Roman"/>
          <w:color w:val="000000" w:themeColor="text1"/>
          <w:sz w:val="24"/>
          <w:szCs w:val="24"/>
        </w:rPr>
        <w:t xml:space="preserve">, </w:t>
      </w:r>
      <w:r w:rsidR="00253147" w:rsidRPr="006F19E0">
        <w:rPr>
          <w:rFonts w:ascii="Times New Roman" w:hAnsi="Times New Roman" w:cs="Times New Roman"/>
          <w:color w:val="000000" w:themeColor="text1"/>
          <w:sz w:val="24"/>
          <w:szCs w:val="24"/>
        </w:rPr>
        <w:t xml:space="preserve">2017). </w:t>
      </w:r>
      <w:r w:rsidRPr="006F19E0">
        <w:rPr>
          <w:rFonts w:ascii="Times New Roman" w:hAnsi="Times New Roman" w:cs="Times New Roman"/>
          <w:color w:val="000000" w:themeColor="text1"/>
          <w:sz w:val="24"/>
          <w:szCs w:val="24"/>
        </w:rPr>
        <w:t xml:space="preserve">In many cases, farmers </w:t>
      </w:r>
      <w:r w:rsidRPr="006F19E0">
        <w:rPr>
          <w:rFonts w:ascii="Times New Roman" w:hAnsi="Times New Roman" w:cs="Times New Roman"/>
          <w:color w:val="000000" w:themeColor="text1"/>
          <w:sz w:val="24"/>
          <w:szCs w:val="24"/>
        </w:rPr>
        <w:lastRenderedPageBreak/>
        <w:t>are restricted only to production activities and are unable to participate in post-harvest operations such as processing, value addition, storage and marketing</w:t>
      </w:r>
      <w:r w:rsidR="001D3674" w:rsidRPr="006F19E0">
        <w:rPr>
          <w:rFonts w:ascii="Times New Roman" w:hAnsi="Times New Roman" w:cs="Times New Roman"/>
          <w:color w:val="000000" w:themeColor="text1"/>
          <w:sz w:val="24"/>
          <w:szCs w:val="24"/>
        </w:rPr>
        <w:t xml:space="preserve"> </w:t>
      </w:r>
      <w:r w:rsidR="001D3674" w:rsidRPr="0007338A">
        <w:rPr>
          <w:rFonts w:ascii="Times New Roman" w:hAnsi="Times New Roman" w:cs="Times New Roman"/>
          <w:color w:val="000000" w:themeColor="text1"/>
          <w:sz w:val="24"/>
          <w:szCs w:val="24"/>
          <w:highlight w:val="yellow"/>
        </w:rPr>
        <w:t>(Government of India, New Delhi</w:t>
      </w:r>
      <w:r w:rsidR="00557194">
        <w:rPr>
          <w:rFonts w:ascii="Times New Roman" w:hAnsi="Times New Roman" w:cs="Times New Roman"/>
          <w:color w:val="000000" w:themeColor="text1"/>
          <w:sz w:val="24"/>
          <w:szCs w:val="24"/>
          <w:highlight w:val="yellow"/>
        </w:rPr>
        <w:t>,2021</w:t>
      </w:r>
      <w:r w:rsidR="001D3674" w:rsidRPr="0007338A">
        <w:rPr>
          <w:rFonts w:ascii="Times New Roman" w:hAnsi="Times New Roman" w:cs="Times New Roman"/>
          <w:color w:val="000000" w:themeColor="text1"/>
          <w:sz w:val="24"/>
          <w:szCs w:val="24"/>
          <w:highlight w:val="yellow"/>
        </w:rPr>
        <w:t>)</w:t>
      </w:r>
      <w:r w:rsidRPr="0007338A">
        <w:rPr>
          <w:rFonts w:ascii="Times New Roman" w:hAnsi="Times New Roman" w:cs="Times New Roman"/>
          <w:color w:val="000000" w:themeColor="text1"/>
          <w:sz w:val="24"/>
          <w:szCs w:val="24"/>
          <w:highlight w:val="yellow"/>
        </w:rPr>
        <w:t>.</w:t>
      </w:r>
      <w:r w:rsidRPr="006F19E0">
        <w:rPr>
          <w:rFonts w:ascii="Times New Roman" w:hAnsi="Times New Roman" w:cs="Times New Roman"/>
          <w:color w:val="000000" w:themeColor="text1"/>
          <w:sz w:val="24"/>
          <w:szCs w:val="24"/>
        </w:rPr>
        <w:t xml:space="preserve"> This situation allows middlemen to capture a larger portion of profits, while producers receive relatively low returns</w:t>
      </w:r>
      <w:r w:rsidR="0014342A">
        <w:rPr>
          <w:rFonts w:ascii="Times New Roman" w:hAnsi="Times New Roman" w:cs="Times New Roman"/>
          <w:color w:val="000000" w:themeColor="text1"/>
          <w:sz w:val="24"/>
          <w:szCs w:val="24"/>
        </w:rPr>
        <w:t xml:space="preserve"> (</w:t>
      </w:r>
      <w:r w:rsidR="0014342A">
        <w:rPr>
          <w:rFonts w:ascii="Arial" w:hAnsi="Arial" w:cs="Arial"/>
          <w:color w:val="222222"/>
          <w:sz w:val="20"/>
          <w:szCs w:val="20"/>
          <w:shd w:val="clear" w:color="auto" w:fill="FFFFFF"/>
        </w:rPr>
        <w:t xml:space="preserve">Gautam &amp; </w:t>
      </w:r>
      <w:proofErr w:type="spellStart"/>
      <w:r w:rsidR="0014342A">
        <w:rPr>
          <w:rFonts w:ascii="Arial" w:hAnsi="Arial" w:cs="Arial"/>
          <w:color w:val="222222"/>
          <w:sz w:val="20"/>
          <w:szCs w:val="20"/>
          <w:shd w:val="clear" w:color="auto" w:fill="FFFFFF"/>
        </w:rPr>
        <w:t>Mallaiah</w:t>
      </w:r>
      <w:proofErr w:type="spellEnd"/>
      <w:r w:rsidR="0014342A">
        <w:rPr>
          <w:rFonts w:ascii="Arial" w:hAnsi="Arial" w:cs="Arial"/>
          <w:color w:val="222222"/>
          <w:sz w:val="20"/>
          <w:szCs w:val="20"/>
          <w:shd w:val="clear" w:color="auto" w:fill="FFFFFF"/>
        </w:rPr>
        <w:t>, 2024</w:t>
      </w:r>
      <w:r w:rsidR="0014342A">
        <w:rPr>
          <w:rFonts w:ascii="Times New Roman" w:hAnsi="Times New Roman" w:cs="Times New Roman"/>
          <w:color w:val="000000" w:themeColor="text1"/>
          <w:sz w:val="24"/>
          <w:szCs w:val="24"/>
        </w:rPr>
        <w:t>)</w:t>
      </w:r>
      <w:r w:rsidRPr="006F19E0">
        <w:rPr>
          <w:rFonts w:ascii="Times New Roman" w:hAnsi="Times New Roman" w:cs="Times New Roman"/>
          <w:color w:val="000000" w:themeColor="text1"/>
          <w:sz w:val="24"/>
          <w:szCs w:val="24"/>
        </w:rPr>
        <w:t>.</w:t>
      </w:r>
    </w:p>
    <w:p w14:paraId="32B138C9" w14:textId="067FDA99"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To address these issues, </w:t>
      </w:r>
      <w:r w:rsidRPr="0032463E">
        <w:rPr>
          <w:rFonts w:ascii="Times New Roman" w:hAnsi="Times New Roman" w:cs="Times New Roman"/>
          <w:color w:val="000000" w:themeColor="text1"/>
          <w:sz w:val="24"/>
          <w:szCs w:val="24"/>
          <w:highlight w:val="yellow"/>
        </w:rPr>
        <w:t>FPOs</w:t>
      </w:r>
      <w:r w:rsidRPr="006F19E0">
        <w:rPr>
          <w:rFonts w:ascii="Times New Roman" w:hAnsi="Times New Roman" w:cs="Times New Roman"/>
          <w:color w:val="000000" w:themeColor="text1"/>
          <w:sz w:val="24"/>
          <w:szCs w:val="24"/>
        </w:rPr>
        <w:t xml:space="preserve"> have been promoted as an effective institutional solution</w:t>
      </w:r>
      <w:r w:rsidR="00FC387E" w:rsidRPr="006F19E0">
        <w:rPr>
          <w:rFonts w:ascii="Times New Roman" w:hAnsi="Times New Roman" w:cs="Times New Roman"/>
          <w:color w:val="000000" w:themeColor="text1"/>
          <w:sz w:val="24"/>
          <w:szCs w:val="24"/>
        </w:rPr>
        <w:t xml:space="preserve"> (NITI Aayog, 2018)</w:t>
      </w:r>
      <w:r w:rsidRPr="006F19E0">
        <w:rPr>
          <w:rFonts w:ascii="Times New Roman" w:hAnsi="Times New Roman" w:cs="Times New Roman"/>
          <w:color w:val="000000" w:themeColor="text1"/>
          <w:sz w:val="24"/>
          <w:szCs w:val="24"/>
        </w:rPr>
        <w:t>. Under the Companies Act, 2013,</w:t>
      </w:r>
      <w:r w:rsidR="00253147" w:rsidRPr="006F19E0">
        <w:rPr>
          <w:rFonts w:ascii="Times New Roman" w:hAnsi="Times New Roman" w:cs="Times New Roman"/>
          <w:color w:val="000000" w:themeColor="text1"/>
          <w:sz w:val="24"/>
          <w:szCs w:val="24"/>
        </w:rPr>
        <w:t xml:space="preserve"> (Government of India</w:t>
      </w:r>
      <w:r w:rsidR="00E80479" w:rsidRPr="006F19E0">
        <w:rPr>
          <w:rFonts w:ascii="Times New Roman" w:hAnsi="Times New Roman" w:cs="Times New Roman"/>
          <w:color w:val="000000" w:themeColor="text1"/>
          <w:sz w:val="24"/>
          <w:szCs w:val="24"/>
        </w:rPr>
        <w:t xml:space="preserve">, </w:t>
      </w:r>
      <w:r w:rsidR="00253147" w:rsidRPr="006F19E0">
        <w:rPr>
          <w:rFonts w:ascii="Times New Roman" w:hAnsi="Times New Roman" w:cs="Times New Roman"/>
          <w:color w:val="000000" w:themeColor="text1"/>
          <w:sz w:val="24"/>
          <w:szCs w:val="24"/>
        </w:rPr>
        <w:t xml:space="preserve">2013), </w:t>
      </w:r>
      <w:r w:rsidRPr="006F19E0">
        <w:rPr>
          <w:rFonts w:ascii="Times New Roman" w:hAnsi="Times New Roman" w:cs="Times New Roman"/>
          <w:color w:val="000000" w:themeColor="text1"/>
          <w:sz w:val="24"/>
          <w:szCs w:val="24"/>
        </w:rPr>
        <w:t>several FPOs were formed across the country, initially supported by agencies such as SFAC and later expanded through NABARD, NRLM, NGOs and state governments</w:t>
      </w:r>
      <w:r w:rsidR="00253147" w:rsidRPr="006F19E0">
        <w:rPr>
          <w:rFonts w:ascii="Times New Roman" w:hAnsi="Times New Roman" w:cs="Times New Roman"/>
          <w:color w:val="000000" w:themeColor="text1"/>
          <w:sz w:val="24"/>
          <w:szCs w:val="24"/>
        </w:rPr>
        <w:t xml:space="preserve"> (NRLM</w:t>
      </w:r>
      <w:r w:rsidR="006A73AE" w:rsidRPr="006F19E0">
        <w:rPr>
          <w:rFonts w:ascii="Times New Roman" w:hAnsi="Times New Roman" w:cs="Times New Roman"/>
          <w:color w:val="000000" w:themeColor="text1"/>
          <w:sz w:val="24"/>
          <w:szCs w:val="24"/>
        </w:rPr>
        <w:t xml:space="preserve">, </w:t>
      </w:r>
      <w:r w:rsidR="00253147" w:rsidRPr="006F19E0">
        <w:rPr>
          <w:rFonts w:ascii="Times New Roman" w:hAnsi="Times New Roman" w:cs="Times New Roman"/>
          <w:color w:val="000000" w:themeColor="text1"/>
          <w:sz w:val="24"/>
          <w:szCs w:val="24"/>
        </w:rPr>
        <w:t xml:space="preserve">2016)). In recent years, the Government of India has further strengthened the FPO movement through the scheme for </w:t>
      </w:r>
      <w:r w:rsidR="00EC7B0A">
        <w:rPr>
          <w:rFonts w:ascii="Times New Roman" w:hAnsi="Times New Roman" w:cs="Times New Roman"/>
          <w:color w:val="000000" w:themeColor="text1"/>
          <w:sz w:val="24"/>
          <w:szCs w:val="24"/>
        </w:rPr>
        <w:t xml:space="preserve">the </w:t>
      </w:r>
      <w:r w:rsidR="00253147" w:rsidRPr="006F19E0">
        <w:rPr>
          <w:rFonts w:ascii="Times New Roman" w:hAnsi="Times New Roman" w:cs="Times New Roman"/>
          <w:color w:val="000000" w:themeColor="text1"/>
          <w:sz w:val="24"/>
          <w:szCs w:val="24"/>
        </w:rPr>
        <w:t>formation and promotion of 10,000 FPOs across the country (Ministry of Agriculture &amp; Farmers Welfare</w:t>
      </w:r>
      <w:r w:rsidR="00E80479" w:rsidRPr="006F19E0">
        <w:rPr>
          <w:rFonts w:ascii="Times New Roman" w:hAnsi="Times New Roman" w:cs="Times New Roman"/>
          <w:color w:val="000000" w:themeColor="text1"/>
          <w:sz w:val="24"/>
          <w:szCs w:val="24"/>
        </w:rPr>
        <w:t xml:space="preserve">, </w:t>
      </w:r>
      <w:r w:rsidR="00253147" w:rsidRPr="006F19E0">
        <w:rPr>
          <w:rFonts w:ascii="Times New Roman" w:hAnsi="Times New Roman" w:cs="Times New Roman"/>
          <w:color w:val="000000" w:themeColor="text1"/>
          <w:sz w:val="24"/>
          <w:szCs w:val="24"/>
        </w:rPr>
        <w:t xml:space="preserve">2020). </w:t>
      </w:r>
      <w:r w:rsidRPr="006F19E0">
        <w:rPr>
          <w:rFonts w:ascii="Times New Roman" w:hAnsi="Times New Roman" w:cs="Times New Roman"/>
          <w:color w:val="000000" w:themeColor="text1"/>
          <w:sz w:val="24"/>
          <w:szCs w:val="24"/>
        </w:rPr>
        <w:t>Farmer Producer Organizations (FPOs) represent a collective model in which producers</w:t>
      </w:r>
      <w:r w:rsidR="00EC7B0A">
        <w:rPr>
          <w:rFonts w:ascii="Times New Roman" w:hAnsi="Times New Roman" w:cs="Times New Roman"/>
          <w:color w:val="000000" w:themeColor="text1"/>
          <w:sz w:val="24"/>
          <w:szCs w:val="24"/>
        </w:rPr>
        <w:t>,</w:t>
      </w:r>
      <w:r w:rsidRPr="006F19E0">
        <w:rPr>
          <w:rFonts w:ascii="Times New Roman" w:hAnsi="Times New Roman" w:cs="Times New Roman"/>
          <w:color w:val="000000" w:themeColor="text1"/>
          <w:sz w:val="24"/>
          <w:szCs w:val="24"/>
        </w:rPr>
        <w:t xml:space="preserve"> especially small and marginal farmers</w:t>
      </w:r>
      <w:r w:rsidR="00EC7B0A">
        <w:rPr>
          <w:rFonts w:ascii="Times New Roman" w:hAnsi="Times New Roman" w:cs="Times New Roman"/>
          <w:color w:val="000000" w:themeColor="text1"/>
          <w:sz w:val="24"/>
          <w:szCs w:val="24"/>
        </w:rPr>
        <w:t>,</w:t>
      </w:r>
      <w:r w:rsidRPr="006F19E0">
        <w:rPr>
          <w:rFonts w:ascii="Times New Roman" w:hAnsi="Times New Roman" w:cs="Times New Roman"/>
          <w:color w:val="000000" w:themeColor="text1"/>
          <w:sz w:val="24"/>
          <w:szCs w:val="24"/>
        </w:rPr>
        <w:t xml:space="preserve"> come together to improve their market participation and economic strength</w:t>
      </w:r>
      <w:r w:rsidR="006A73AE" w:rsidRPr="006F19E0">
        <w:rPr>
          <w:rFonts w:ascii="Times New Roman" w:hAnsi="Times New Roman" w:cs="Times New Roman"/>
          <w:color w:val="000000" w:themeColor="text1"/>
          <w:sz w:val="24"/>
          <w:szCs w:val="24"/>
        </w:rPr>
        <w:t xml:space="preserve"> </w:t>
      </w:r>
      <w:r w:rsidR="00E80479" w:rsidRPr="006F19E0">
        <w:rPr>
          <w:rFonts w:ascii="Times New Roman" w:hAnsi="Times New Roman" w:cs="Times New Roman"/>
          <w:color w:val="000000" w:themeColor="text1"/>
          <w:sz w:val="24"/>
          <w:szCs w:val="24"/>
        </w:rPr>
        <w:t>(Trebbin, A, 2014).</w:t>
      </w:r>
    </w:p>
    <w:p w14:paraId="53DC57D3" w14:textId="328F904F"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The FPO framework enables farmers to function as an organised group and build stronger connections with markets</w:t>
      </w:r>
      <w:r w:rsidR="00E80479" w:rsidRPr="006F19E0">
        <w:rPr>
          <w:rFonts w:ascii="Times New Roman" w:hAnsi="Times New Roman" w:cs="Times New Roman"/>
          <w:color w:val="000000" w:themeColor="text1"/>
          <w:sz w:val="24"/>
          <w:szCs w:val="24"/>
        </w:rPr>
        <w:t xml:space="preserve"> (Singh S, 2008).</w:t>
      </w:r>
      <w:r w:rsidRPr="006F19E0">
        <w:rPr>
          <w:rFonts w:ascii="Times New Roman" w:hAnsi="Times New Roman" w:cs="Times New Roman"/>
          <w:color w:val="000000" w:themeColor="text1"/>
          <w:sz w:val="24"/>
          <w:szCs w:val="24"/>
        </w:rPr>
        <w:t xml:space="preserve"> Through collective action, members gain better bargaining power, receive extension services at lower cost and strengthen their ability to influence policies affecting their livelihoods</w:t>
      </w:r>
      <w:r w:rsidR="0014342A">
        <w:rPr>
          <w:rFonts w:ascii="Times New Roman" w:hAnsi="Times New Roman" w:cs="Times New Roman"/>
          <w:color w:val="000000" w:themeColor="text1"/>
          <w:sz w:val="24"/>
          <w:szCs w:val="24"/>
        </w:rPr>
        <w:t xml:space="preserve"> (</w:t>
      </w:r>
      <w:proofErr w:type="spellStart"/>
      <w:r w:rsidR="0014342A">
        <w:rPr>
          <w:rFonts w:ascii="Arial" w:hAnsi="Arial" w:cs="Arial"/>
          <w:color w:val="222222"/>
          <w:sz w:val="20"/>
          <w:szCs w:val="20"/>
          <w:shd w:val="clear" w:color="auto" w:fill="FFFFFF"/>
        </w:rPr>
        <w:t>Chandegara</w:t>
      </w:r>
      <w:proofErr w:type="spellEnd"/>
      <w:r w:rsidR="0014342A">
        <w:rPr>
          <w:rFonts w:ascii="Arial" w:hAnsi="Arial" w:cs="Arial"/>
          <w:color w:val="222222"/>
          <w:sz w:val="20"/>
          <w:szCs w:val="20"/>
          <w:shd w:val="clear" w:color="auto" w:fill="FFFFFF"/>
        </w:rPr>
        <w:t xml:space="preserve"> et al., 2023</w:t>
      </w:r>
      <w:bookmarkStart w:id="3" w:name="_GoBack"/>
      <w:bookmarkEnd w:id="3"/>
      <w:r w:rsidR="0014342A">
        <w:rPr>
          <w:rFonts w:ascii="Times New Roman" w:hAnsi="Times New Roman" w:cs="Times New Roman"/>
          <w:color w:val="000000" w:themeColor="text1"/>
          <w:sz w:val="24"/>
          <w:szCs w:val="24"/>
        </w:rPr>
        <w:t>)</w:t>
      </w:r>
      <w:r w:rsidRPr="006F19E0">
        <w:rPr>
          <w:rFonts w:ascii="Times New Roman" w:hAnsi="Times New Roman" w:cs="Times New Roman"/>
          <w:color w:val="000000" w:themeColor="text1"/>
          <w:sz w:val="24"/>
          <w:szCs w:val="24"/>
        </w:rPr>
        <w:t>. FPOs help farmers overcome the disadvantages of operating individually by enabling them to access both financial and non-financial services, adopt improved technologies and reduce transaction costs. They also provide opportunities to enter high-value markets and negotiate partnerships with private firms on fairer terms.</w:t>
      </w:r>
    </w:p>
    <w:p w14:paraId="47222D91" w14:textId="71F1C9EA"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FPOs generally undertake activities such as supplying quality inputs (seeds, fertilisers, and machinery), facilitating market linkages, organising training and networking programmes, and offering financial and technical guidance</w:t>
      </w:r>
      <w:r w:rsidR="00FC387E" w:rsidRPr="006F19E0">
        <w:rPr>
          <w:rFonts w:ascii="Times New Roman" w:hAnsi="Times New Roman" w:cs="Times New Roman"/>
          <w:color w:val="000000" w:themeColor="text1"/>
          <w:sz w:val="24"/>
          <w:szCs w:val="24"/>
        </w:rPr>
        <w:t xml:space="preserve"> (Kumar </w:t>
      </w:r>
      <w:r w:rsidR="00FC387E" w:rsidRPr="006F19E0">
        <w:rPr>
          <w:rFonts w:ascii="Times New Roman" w:hAnsi="Times New Roman" w:cs="Times New Roman"/>
          <w:i/>
          <w:iCs/>
          <w:color w:val="000000" w:themeColor="text1"/>
          <w:sz w:val="24"/>
          <w:szCs w:val="24"/>
        </w:rPr>
        <w:t>et al</w:t>
      </w:r>
      <w:r w:rsidR="00FC387E" w:rsidRPr="006F19E0">
        <w:rPr>
          <w:rFonts w:ascii="Times New Roman" w:hAnsi="Times New Roman" w:cs="Times New Roman"/>
          <w:color w:val="000000" w:themeColor="text1"/>
          <w:sz w:val="24"/>
          <w:szCs w:val="24"/>
        </w:rPr>
        <w:t>., 2015)</w:t>
      </w:r>
      <w:r w:rsidRPr="006F19E0">
        <w:rPr>
          <w:rFonts w:ascii="Times New Roman" w:hAnsi="Times New Roman" w:cs="Times New Roman"/>
          <w:color w:val="000000" w:themeColor="text1"/>
          <w:sz w:val="24"/>
          <w:szCs w:val="24"/>
        </w:rPr>
        <w:t>. With increasing emphasis on market-oriented agriculture, the importance of farmer collectivisation has become even greater. Evidence from research suggests that smallholders can improve their incomes significantly when they are able to participate effectively in markets</w:t>
      </w:r>
      <w:r w:rsidR="00384736" w:rsidRPr="006F19E0">
        <w:rPr>
          <w:rFonts w:ascii="Times New Roman" w:hAnsi="Times New Roman" w:cs="Times New Roman"/>
          <w:color w:val="000000" w:themeColor="text1"/>
          <w:sz w:val="24"/>
          <w:szCs w:val="24"/>
        </w:rPr>
        <w:t xml:space="preserve"> (</w:t>
      </w:r>
      <w:proofErr w:type="spellStart"/>
      <w:r w:rsidR="00384736" w:rsidRPr="006F19E0">
        <w:rPr>
          <w:rFonts w:ascii="Times New Roman" w:hAnsi="Times New Roman" w:cs="Times New Roman"/>
          <w:color w:val="000000" w:themeColor="text1"/>
          <w:sz w:val="24"/>
          <w:szCs w:val="24"/>
        </w:rPr>
        <w:t>Birthal</w:t>
      </w:r>
      <w:proofErr w:type="spellEnd"/>
      <w:r w:rsidR="00384736" w:rsidRPr="006F19E0">
        <w:rPr>
          <w:rFonts w:ascii="Times New Roman" w:hAnsi="Times New Roman" w:cs="Times New Roman"/>
          <w:color w:val="000000" w:themeColor="text1"/>
          <w:sz w:val="24"/>
          <w:szCs w:val="24"/>
        </w:rPr>
        <w:t xml:space="preserve"> </w:t>
      </w:r>
      <w:r w:rsidR="00384736" w:rsidRPr="006F19E0">
        <w:rPr>
          <w:rFonts w:ascii="Times New Roman" w:hAnsi="Times New Roman" w:cs="Times New Roman"/>
          <w:i/>
          <w:iCs/>
          <w:color w:val="000000" w:themeColor="text1"/>
          <w:sz w:val="24"/>
          <w:szCs w:val="24"/>
        </w:rPr>
        <w:t>et al</w:t>
      </w:r>
      <w:r w:rsidR="00384736" w:rsidRPr="006F19E0">
        <w:rPr>
          <w:rFonts w:ascii="Times New Roman" w:hAnsi="Times New Roman" w:cs="Times New Roman"/>
          <w:color w:val="000000" w:themeColor="text1"/>
          <w:sz w:val="24"/>
          <w:szCs w:val="24"/>
        </w:rPr>
        <w:t>., 2015)</w:t>
      </w:r>
      <w:r w:rsidRPr="006F19E0">
        <w:rPr>
          <w:rFonts w:ascii="Times New Roman" w:hAnsi="Times New Roman" w:cs="Times New Roman"/>
          <w:color w:val="000000" w:themeColor="text1"/>
          <w:sz w:val="24"/>
          <w:szCs w:val="24"/>
        </w:rPr>
        <w:t>. Therefore, development strategies are increasingly shifting from only improving production to strengthening market access and connectivity</w:t>
      </w:r>
      <w:r w:rsidR="00E80479" w:rsidRPr="006F19E0">
        <w:rPr>
          <w:rFonts w:ascii="Times New Roman" w:hAnsi="Times New Roman" w:cs="Times New Roman"/>
          <w:color w:val="000000" w:themeColor="text1"/>
          <w:sz w:val="24"/>
          <w:szCs w:val="24"/>
        </w:rPr>
        <w:t xml:space="preserve"> (World Bank. (2008)</w:t>
      </w:r>
      <w:r w:rsidRPr="006F19E0">
        <w:rPr>
          <w:rFonts w:ascii="Times New Roman" w:hAnsi="Times New Roman" w:cs="Times New Roman"/>
          <w:color w:val="000000" w:themeColor="text1"/>
          <w:sz w:val="24"/>
          <w:szCs w:val="24"/>
        </w:rPr>
        <w:t>.</w:t>
      </w:r>
    </w:p>
    <w:p w14:paraId="053AED72" w14:textId="77777777"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FPOs are expected to improve farmer incomes by reducing input costs, lowering transaction expenses, supporting value addition, enhancing bargaining strength and improving access to formal credit</w:t>
      </w:r>
      <w:r w:rsidR="00E80479" w:rsidRPr="006F19E0">
        <w:rPr>
          <w:rFonts w:ascii="Times New Roman" w:hAnsi="Times New Roman" w:cs="Times New Roman"/>
          <w:color w:val="000000" w:themeColor="text1"/>
          <w:sz w:val="24"/>
          <w:szCs w:val="24"/>
        </w:rPr>
        <w:t xml:space="preserve"> (Mukherjee</w:t>
      </w:r>
      <w:r w:rsidR="00384736" w:rsidRPr="006F19E0">
        <w:rPr>
          <w:rFonts w:ascii="Times New Roman" w:hAnsi="Times New Roman" w:cs="Times New Roman"/>
          <w:color w:val="000000" w:themeColor="text1"/>
          <w:sz w:val="24"/>
          <w:szCs w:val="24"/>
        </w:rPr>
        <w:t xml:space="preserve"> </w:t>
      </w:r>
      <w:r w:rsidR="00384736" w:rsidRPr="006F19E0">
        <w:rPr>
          <w:rFonts w:ascii="Times New Roman" w:hAnsi="Times New Roman" w:cs="Times New Roman"/>
          <w:i/>
          <w:iCs/>
          <w:color w:val="000000" w:themeColor="text1"/>
          <w:sz w:val="24"/>
          <w:szCs w:val="24"/>
        </w:rPr>
        <w:t>et al</w:t>
      </w:r>
      <w:r w:rsidR="00384736" w:rsidRPr="006F19E0">
        <w:rPr>
          <w:rFonts w:ascii="Times New Roman" w:hAnsi="Times New Roman" w:cs="Times New Roman"/>
          <w:color w:val="000000" w:themeColor="text1"/>
          <w:sz w:val="24"/>
          <w:szCs w:val="24"/>
        </w:rPr>
        <w:t xml:space="preserve">., </w:t>
      </w:r>
      <w:r w:rsidR="00E80479" w:rsidRPr="006F19E0">
        <w:rPr>
          <w:rFonts w:ascii="Times New Roman" w:hAnsi="Times New Roman" w:cs="Times New Roman"/>
          <w:color w:val="000000" w:themeColor="text1"/>
          <w:sz w:val="24"/>
          <w:szCs w:val="24"/>
        </w:rPr>
        <w:t>2019)</w:t>
      </w:r>
      <w:r w:rsidRPr="006F19E0">
        <w:rPr>
          <w:rFonts w:ascii="Times New Roman" w:hAnsi="Times New Roman" w:cs="Times New Roman"/>
          <w:color w:val="000000" w:themeColor="text1"/>
          <w:sz w:val="24"/>
          <w:szCs w:val="24"/>
        </w:rPr>
        <w:t xml:space="preserve">. Several studies have also reported that </w:t>
      </w:r>
      <w:r w:rsidRPr="006F19E0">
        <w:rPr>
          <w:rFonts w:ascii="Times New Roman" w:hAnsi="Times New Roman" w:cs="Times New Roman"/>
          <w:color w:val="000000" w:themeColor="text1"/>
          <w:sz w:val="24"/>
          <w:szCs w:val="24"/>
        </w:rPr>
        <w:lastRenderedPageBreak/>
        <w:t>collective approaches like FPOs can contribute positively to farmers’ socio-economic conditions and help reduce key agricultural constraints.</w:t>
      </w:r>
    </w:p>
    <w:p w14:paraId="40B3D2C1" w14:textId="69AEED14" w:rsidR="00C571D5" w:rsidRPr="006F19E0" w:rsidRDefault="00C571D5" w:rsidP="00C571D5">
      <w:pPr>
        <w:spacing w:line="360" w:lineRule="auto"/>
        <w:ind w:firstLine="720"/>
        <w:jc w:val="both"/>
        <w:rPr>
          <w:rFonts w:ascii="Times New Roman" w:hAnsi="Times New Roman" w:cs="Times New Roman"/>
          <w:b/>
          <w:bCs/>
          <w:color w:val="000000" w:themeColor="text1"/>
          <w:sz w:val="24"/>
          <w:szCs w:val="24"/>
        </w:rPr>
      </w:pPr>
      <w:r w:rsidRPr="006F19E0">
        <w:rPr>
          <w:rFonts w:ascii="Times New Roman" w:hAnsi="Times New Roman" w:cs="Times New Roman"/>
          <w:color w:val="000000" w:themeColor="text1"/>
          <w:sz w:val="24"/>
          <w:szCs w:val="24"/>
        </w:rPr>
        <w:t>In Tamil Nadu, the FPO movement is still developing. Although the state already has around 375 FPOs (252 promoted by NABARD, 95 supported by SFAC and 28 by others), the sector has the potential to expand further. The FPO model is highly relevant for Tamil Nadu, where more than 90 percent of farmers belong to the small and marginal category and the average landholding is about 0.75 hectares</w:t>
      </w:r>
      <w:r w:rsidR="00FC387E" w:rsidRPr="006F19E0">
        <w:rPr>
          <w:rFonts w:ascii="Times New Roman" w:hAnsi="Times New Roman" w:cs="Times New Roman"/>
          <w:color w:val="000000" w:themeColor="text1"/>
          <w:sz w:val="24"/>
          <w:szCs w:val="24"/>
        </w:rPr>
        <w:t xml:space="preserve"> (Government of Tamil Nadu, 20</w:t>
      </w:r>
      <w:r w:rsidR="0025349E">
        <w:rPr>
          <w:rFonts w:ascii="Times New Roman" w:hAnsi="Times New Roman" w:cs="Times New Roman"/>
          <w:color w:val="000000" w:themeColor="text1"/>
          <w:sz w:val="24"/>
          <w:szCs w:val="24"/>
        </w:rPr>
        <w:t>23</w:t>
      </w:r>
      <w:r w:rsidR="00FC387E" w:rsidRPr="006F19E0">
        <w:rPr>
          <w:rFonts w:ascii="Times New Roman" w:hAnsi="Times New Roman" w:cs="Times New Roman"/>
          <w:color w:val="000000" w:themeColor="text1"/>
          <w:sz w:val="24"/>
          <w:szCs w:val="24"/>
        </w:rPr>
        <w:t>)</w:t>
      </w:r>
      <w:r w:rsidRPr="006F19E0">
        <w:rPr>
          <w:rFonts w:ascii="Times New Roman" w:hAnsi="Times New Roman" w:cs="Times New Roman"/>
          <w:color w:val="000000" w:themeColor="text1"/>
          <w:sz w:val="24"/>
          <w:szCs w:val="24"/>
        </w:rPr>
        <w:t>. In this context, the present study aims to examine the status and growth of FPOs in Tamil Nadu</w:t>
      </w:r>
      <w:r w:rsidRPr="006F19E0">
        <w:rPr>
          <w:rFonts w:ascii="Times New Roman" w:hAnsi="Times New Roman" w:cs="Times New Roman"/>
          <w:b/>
          <w:bCs/>
          <w:color w:val="000000" w:themeColor="text1"/>
          <w:sz w:val="24"/>
          <w:szCs w:val="24"/>
        </w:rPr>
        <w:t>.</w:t>
      </w:r>
    </w:p>
    <w:p w14:paraId="4DA913A0" w14:textId="77777777" w:rsidR="00C571D5" w:rsidRPr="006F19E0" w:rsidRDefault="00C571D5" w:rsidP="00C571D5">
      <w:pPr>
        <w:spacing w:line="360" w:lineRule="auto"/>
        <w:jc w:val="both"/>
        <w:rPr>
          <w:rFonts w:ascii="Times New Roman" w:hAnsi="Times New Roman" w:cs="Times New Roman"/>
          <w:b/>
          <w:bCs/>
          <w:color w:val="000000" w:themeColor="text1"/>
          <w:sz w:val="24"/>
          <w:szCs w:val="24"/>
        </w:rPr>
      </w:pPr>
      <w:bookmarkStart w:id="4" w:name="_Hlk225331705"/>
      <w:r w:rsidRPr="006F19E0">
        <w:rPr>
          <w:rFonts w:ascii="Times New Roman" w:hAnsi="Times New Roman" w:cs="Times New Roman"/>
          <w:b/>
          <w:bCs/>
          <w:color w:val="000000" w:themeColor="text1"/>
          <w:sz w:val="24"/>
          <w:szCs w:val="24"/>
        </w:rPr>
        <w:t>Materials and Methods</w:t>
      </w:r>
    </w:p>
    <w:bookmarkEnd w:id="4"/>
    <w:p w14:paraId="66DF7C18" w14:textId="5D8EC9B0" w:rsidR="006B3FCE" w:rsidRPr="006F19E0" w:rsidRDefault="00C8423B" w:rsidP="00486F77">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The present study was carried out in Tamil Nadu. All the FPOs operating in the state and promoted under NABARD, SFAC</w:t>
      </w:r>
      <w:r w:rsidR="001D3674"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and other agencies</w:t>
      </w:r>
      <w:r w:rsidR="00A23F10">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capital trends</w:t>
      </w:r>
      <w:r w:rsidR="00A23F10">
        <w:rPr>
          <w:rFonts w:ascii="Times New Roman" w:hAnsi="Times New Roman" w:cs="Times New Roman"/>
          <w:color w:val="000000" w:themeColor="text1"/>
          <w:sz w:val="24"/>
          <w:szCs w:val="24"/>
        </w:rPr>
        <w:t>, financial performance of FPOs, institutional finance and support for FPOs and w</w:t>
      </w:r>
      <w:r w:rsidR="00A23F10" w:rsidRPr="00A23F10">
        <w:rPr>
          <w:rFonts w:ascii="Times New Roman" w:hAnsi="Times New Roman" w:cs="Times New Roman"/>
          <w:color w:val="000000" w:themeColor="text1"/>
          <w:sz w:val="24"/>
          <w:szCs w:val="24"/>
        </w:rPr>
        <w:t>omen-</w:t>
      </w:r>
      <w:r w:rsidR="00A23F10">
        <w:rPr>
          <w:rFonts w:ascii="Times New Roman" w:hAnsi="Times New Roman" w:cs="Times New Roman"/>
          <w:color w:val="000000" w:themeColor="text1"/>
          <w:sz w:val="24"/>
          <w:szCs w:val="24"/>
        </w:rPr>
        <w:t>l</w:t>
      </w:r>
      <w:r w:rsidR="00A23F10" w:rsidRPr="00A23F10">
        <w:rPr>
          <w:rFonts w:ascii="Times New Roman" w:hAnsi="Times New Roman" w:cs="Times New Roman"/>
          <w:color w:val="000000" w:themeColor="text1"/>
          <w:sz w:val="24"/>
          <w:szCs w:val="24"/>
        </w:rPr>
        <w:t>ed FPOs and</w:t>
      </w:r>
      <w:r w:rsidR="00A23F10">
        <w:rPr>
          <w:rFonts w:ascii="Times New Roman" w:hAnsi="Times New Roman" w:cs="Times New Roman"/>
          <w:color w:val="000000" w:themeColor="text1"/>
          <w:sz w:val="24"/>
          <w:szCs w:val="24"/>
        </w:rPr>
        <w:t xml:space="preserve"> m</w:t>
      </w:r>
      <w:r w:rsidR="00A23F10" w:rsidRPr="00A23F10">
        <w:rPr>
          <w:rFonts w:ascii="Times New Roman" w:hAnsi="Times New Roman" w:cs="Times New Roman"/>
          <w:color w:val="000000" w:themeColor="text1"/>
          <w:sz w:val="24"/>
          <w:szCs w:val="24"/>
        </w:rPr>
        <w:t xml:space="preserve">arket </w:t>
      </w:r>
      <w:r w:rsidR="00A23F10">
        <w:rPr>
          <w:rFonts w:ascii="Times New Roman" w:hAnsi="Times New Roman" w:cs="Times New Roman"/>
          <w:color w:val="000000" w:themeColor="text1"/>
          <w:sz w:val="24"/>
          <w:szCs w:val="24"/>
        </w:rPr>
        <w:t>l</w:t>
      </w:r>
      <w:r w:rsidR="00A23F10" w:rsidRPr="00A23F10">
        <w:rPr>
          <w:rFonts w:ascii="Times New Roman" w:hAnsi="Times New Roman" w:cs="Times New Roman"/>
          <w:color w:val="000000" w:themeColor="text1"/>
          <w:sz w:val="24"/>
          <w:szCs w:val="24"/>
        </w:rPr>
        <w:t>inkages (e-NAM/Retail Chains) of FPOs</w:t>
      </w:r>
      <w:r w:rsidR="00A23F10">
        <w:rPr>
          <w:rFonts w:ascii="Times New Roman" w:hAnsi="Times New Roman" w:cs="Times New Roman"/>
          <w:b/>
          <w:bCs/>
          <w:color w:val="000000" w:themeColor="text1"/>
          <w:sz w:val="24"/>
          <w:szCs w:val="24"/>
        </w:rPr>
        <w:t xml:space="preserve"> </w:t>
      </w:r>
      <w:r w:rsidRPr="006F19E0">
        <w:rPr>
          <w:rFonts w:ascii="Times New Roman" w:hAnsi="Times New Roman" w:cs="Times New Roman"/>
          <w:color w:val="000000" w:themeColor="text1"/>
          <w:sz w:val="24"/>
          <w:szCs w:val="24"/>
        </w:rPr>
        <w:t>were considered for analysis. The study is entirely based on secondary data collected from relevant state and central government sources, published reports</w:t>
      </w:r>
      <w:r w:rsidR="00AB78BC"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 xml:space="preserve">and research articles. The growth performance of FPOs over the study period was measured using the </w:t>
      </w:r>
      <w:r w:rsidRPr="0007338A">
        <w:rPr>
          <w:rFonts w:ascii="Times New Roman" w:hAnsi="Times New Roman" w:cs="Times New Roman"/>
          <w:color w:val="000000" w:themeColor="text1"/>
          <w:sz w:val="24"/>
          <w:szCs w:val="24"/>
          <w:highlight w:val="yellow"/>
        </w:rPr>
        <w:t>CAGR.</w:t>
      </w:r>
      <w:r w:rsidRPr="006F19E0">
        <w:rPr>
          <w:rFonts w:ascii="Times New Roman" w:hAnsi="Times New Roman" w:cs="Times New Roman"/>
          <w:color w:val="000000" w:themeColor="text1"/>
          <w:sz w:val="24"/>
          <w:szCs w:val="24"/>
        </w:rPr>
        <w:t xml:space="preserve"> </w:t>
      </w:r>
    </w:p>
    <w:p w14:paraId="26A8854E"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Compound Growth Rate was calculated using the formula:</w:t>
      </w:r>
    </w:p>
    <w:p w14:paraId="2A0EB9FC" w14:textId="1EE9C024" w:rsidR="006B3FCE" w:rsidRPr="006F19E0" w:rsidRDefault="006B3FCE" w:rsidP="006B3FCE">
      <w:pPr>
        <w:spacing w:before="240" w:line="276" w:lineRule="auto"/>
        <w:jc w:val="both"/>
        <w:rPr>
          <w:rFonts w:ascii="Times New Roman" w:hAnsi="Times New Roman" w:cs="Times New Roman"/>
          <w:sz w:val="24"/>
          <w:szCs w:val="24"/>
        </w:rPr>
      </w:pPr>
      <w:proofErr w:type="spellStart"/>
      <w:r w:rsidRPr="006F19E0">
        <w:rPr>
          <w:rFonts w:ascii="Times New Roman" w:hAnsi="Times New Roman" w:cs="Times New Roman"/>
          <w:sz w:val="24"/>
          <w:szCs w:val="24"/>
        </w:rPr>
        <w:t>Y</w:t>
      </w:r>
      <w:r w:rsidRPr="006F19E0">
        <w:rPr>
          <w:rFonts w:ascii="Times New Roman" w:hAnsi="Times New Roman" w:cs="Times New Roman"/>
          <w:sz w:val="24"/>
          <w:szCs w:val="24"/>
          <w:vertAlign w:val="subscript"/>
        </w:rPr>
        <w:t>t</w:t>
      </w:r>
      <w:proofErr w:type="spellEnd"/>
      <w:r w:rsidRPr="006F19E0">
        <w:rPr>
          <w:rFonts w:ascii="Times New Roman" w:hAnsi="Times New Roman" w:cs="Times New Roman"/>
          <w:sz w:val="24"/>
          <w:szCs w:val="24"/>
        </w:rPr>
        <w:t>=</w:t>
      </w:r>
      <w:proofErr w:type="spellStart"/>
      <w:r w:rsidRPr="006F19E0">
        <w:rPr>
          <w:rFonts w:ascii="Times New Roman" w:hAnsi="Times New Roman" w:cs="Times New Roman"/>
          <w:sz w:val="24"/>
          <w:szCs w:val="24"/>
        </w:rPr>
        <w:t>ab</w:t>
      </w:r>
      <w:r w:rsidRPr="006F19E0">
        <w:rPr>
          <w:rFonts w:ascii="Times New Roman" w:hAnsi="Times New Roman" w:cs="Times New Roman"/>
          <w:sz w:val="24"/>
          <w:szCs w:val="24"/>
          <w:vertAlign w:val="superscript"/>
        </w:rPr>
        <w:t>t</w:t>
      </w:r>
      <w:r w:rsidR="00486F77" w:rsidRPr="006F19E0">
        <w:rPr>
          <w:rFonts w:ascii="Times New Roman" w:hAnsi="Times New Roman" w:cs="Times New Roman"/>
          <w:sz w:val="24"/>
          <w:szCs w:val="24"/>
        </w:rPr>
        <w:t>u</w:t>
      </w:r>
      <w:r w:rsidRPr="006F19E0">
        <w:rPr>
          <w:rFonts w:ascii="Times New Roman" w:hAnsi="Times New Roman" w:cs="Times New Roman"/>
          <w:sz w:val="24"/>
          <w:szCs w:val="24"/>
          <w:vertAlign w:val="subscript"/>
        </w:rPr>
        <w:t>t</w:t>
      </w:r>
      <w:proofErr w:type="spellEnd"/>
    </w:p>
    <w:p w14:paraId="1201B850"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Where,</w:t>
      </w:r>
    </w:p>
    <w:p w14:paraId="67089EA4"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ab/>
      </w:r>
      <w:proofErr w:type="spellStart"/>
      <w:r w:rsidRPr="006F19E0">
        <w:rPr>
          <w:rFonts w:ascii="Times New Roman" w:hAnsi="Times New Roman" w:cs="Times New Roman"/>
          <w:sz w:val="24"/>
          <w:szCs w:val="24"/>
        </w:rPr>
        <w:t>Y</w:t>
      </w:r>
      <w:r w:rsidRPr="006F19E0">
        <w:rPr>
          <w:rFonts w:ascii="Times New Roman" w:hAnsi="Times New Roman" w:cs="Times New Roman"/>
          <w:sz w:val="24"/>
          <w:szCs w:val="24"/>
          <w:vertAlign w:val="subscript"/>
        </w:rPr>
        <w:t>t</w:t>
      </w:r>
      <w:proofErr w:type="spellEnd"/>
      <w:r w:rsidRPr="006F19E0">
        <w:rPr>
          <w:rFonts w:ascii="Times New Roman" w:hAnsi="Times New Roman" w:cs="Times New Roman"/>
          <w:sz w:val="24"/>
          <w:szCs w:val="24"/>
        </w:rPr>
        <w:t xml:space="preserve"> = Dependent variable for which growth rate was estimated;</w:t>
      </w:r>
    </w:p>
    <w:p w14:paraId="50BAE1A7"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ab/>
        <w:t>t = time period, year which takes value 1,2….n;</w:t>
      </w:r>
    </w:p>
    <w:p w14:paraId="2C6FA8F9"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ab/>
        <w:t>a = Intercept;</w:t>
      </w:r>
    </w:p>
    <w:p w14:paraId="52B2221C"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ab/>
        <w:t>b = Regression coefficient;</w:t>
      </w:r>
    </w:p>
    <w:p w14:paraId="16D37B38" w14:textId="3B91CE78"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ab/>
      </w:r>
      <w:proofErr w:type="spellStart"/>
      <w:r w:rsidR="00486F77" w:rsidRPr="006F19E0">
        <w:rPr>
          <w:rFonts w:ascii="Times New Roman" w:hAnsi="Times New Roman" w:cs="Times New Roman"/>
          <w:sz w:val="24"/>
          <w:szCs w:val="24"/>
        </w:rPr>
        <w:t>u</w:t>
      </w:r>
      <w:r w:rsidRPr="006F19E0">
        <w:rPr>
          <w:rFonts w:ascii="Times New Roman" w:hAnsi="Times New Roman" w:cs="Times New Roman"/>
          <w:sz w:val="24"/>
          <w:szCs w:val="24"/>
          <w:vertAlign w:val="subscript"/>
        </w:rPr>
        <w:t>t</w:t>
      </w:r>
      <w:proofErr w:type="spellEnd"/>
      <w:r w:rsidRPr="006F19E0">
        <w:rPr>
          <w:rFonts w:ascii="Times New Roman" w:hAnsi="Times New Roman" w:cs="Times New Roman"/>
          <w:sz w:val="24"/>
          <w:szCs w:val="24"/>
        </w:rPr>
        <w:t xml:space="preserve"> = Error term</w:t>
      </w:r>
    </w:p>
    <w:p w14:paraId="4A2ACE2A" w14:textId="39F1064C"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 xml:space="preserve">The equation was converted into log-linear and it was written in </w:t>
      </w:r>
      <w:r w:rsidR="00486F77" w:rsidRPr="006F19E0">
        <w:rPr>
          <w:rFonts w:ascii="Times New Roman" w:hAnsi="Times New Roman" w:cs="Times New Roman"/>
          <w:sz w:val="24"/>
          <w:szCs w:val="24"/>
        </w:rPr>
        <w:t xml:space="preserve">the </w:t>
      </w:r>
      <w:r w:rsidRPr="006F19E0">
        <w:rPr>
          <w:rFonts w:ascii="Times New Roman" w:hAnsi="Times New Roman" w:cs="Times New Roman"/>
          <w:sz w:val="24"/>
          <w:szCs w:val="24"/>
        </w:rPr>
        <w:t>form of:</w:t>
      </w:r>
    </w:p>
    <w:p w14:paraId="6733EB49" w14:textId="777A775E" w:rsidR="006B3FCE" w:rsidRPr="006F19E0" w:rsidRDefault="006B3FCE" w:rsidP="001D3674">
      <w:pPr>
        <w:spacing w:before="240" w:line="276" w:lineRule="auto"/>
        <w:ind w:firstLine="720"/>
        <w:jc w:val="both"/>
        <w:rPr>
          <w:rFonts w:ascii="Times New Roman" w:hAnsi="Times New Roman" w:cs="Times New Roman"/>
          <w:sz w:val="24"/>
          <w:szCs w:val="24"/>
        </w:rPr>
      </w:pPr>
      <w:r w:rsidRPr="006F19E0">
        <w:rPr>
          <w:rFonts w:ascii="Times New Roman" w:hAnsi="Times New Roman" w:cs="Times New Roman"/>
          <w:sz w:val="24"/>
          <w:szCs w:val="24"/>
        </w:rPr>
        <w:t xml:space="preserve">Log </w:t>
      </w:r>
      <w:proofErr w:type="spellStart"/>
      <w:r w:rsidRPr="006F19E0">
        <w:rPr>
          <w:rFonts w:ascii="Times New Roman" w:hAnsi="Times New Roman" w:cs="Times New Roman"/>
          <w:sz w:val="24"/>
          <w:szCs w:val="24"/>
        </w:rPr>
        <w:t>Y</w:t>
      </w:r>
      <w:r w:rsidRPr="006F19E0">
        <w:rPr>
          <w:rFonts w:ascii="Times New Roman" w:hAnsi="Times New Roman" w:cs="Times New Roman"/>
          <w:sz w:val="24"/>
          <w:szCs w:val="24"/>
          <w:vertAlign w:val="subscript"/>
        </w:rPr>
        <w:t>t</w:t>
      </w:r>
      <w:proofErr w:type="spellEnd"/>
      <w:r w:rsidRPr="006F19E0">
        <w:rPr>
          <w:rFonts w:ascii="Times New Roman" w:hAnsi="Times New Roman" w:cs="Times New Roman"/>
          <w:sz w:val="24"/>
          <w:szCs w:val="24"/>
        </w:rPr>
        <w:t xml:space="preserve"> = log a + t log b+ log </w:t>
      </w:r>
      <w:proofErr w:type="spellStart"/>
      <w:r w:rsidR="00486F77" w:rsidRPr="006F19E0">
        <w:rPr>
          <w:rFonts w:ascii="Times New Roman" w:hAnsi="Times New Roman" w:cs="Times New Roman"/>
          <w:sz w:val="24"/>
          <w:szCs w:val="24"/>
        </w:rPr>
        <w:t>u</w:t>
      </w:r>
      <w:r w:rsidRPr="006F19E0">
        <w:rPr>
          <w:rFonts w:ascii="Times New Roman" w:hAnsi="Times New Roman" w:cs="Times New Roman"/>
          <w:sz w:val="24"/>
          <w:szCs w:val="24"/>
          <w:vertAlign w:val="subscript"/>
        </w:rPr>
        <w:t>t</w:t>
      </w:r>
      <w:proofErr w:type="spellEnd"/>
    </w:p>
    <w:p w14:paraId="4DD63B0B"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This equation was estimated using Ordinary Least Square (OLS) method.</w:t>
      </w:r>
    </w:p>
    <w:p w14:paraId="2EA3E193"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The compound growth rate (G) had been estimated by the equation:</w:t>
      </w:r>
    </w:p>
    <w:p w14:paraId="6011904E" w14:textId="77777777" w:rsidR="006B3FCE" w:rsidRPr="006F19E0" w:rsidRDefault="006B3FCE" w:rsidP="001D3674">
      <w:pPr>
        <w:spacing w:before="240" w:line="276" w:lineRule="auto"/>
        <w:ind w:firstLine="720"/>
        <w:jc w:val="both"/>
        <w:rPr>
          <w:rFonts w:ascii="Times New Roman" w:hAnsi="Times New Roman" w:cs="Times New Roman"/>
          <w:color w:val="040C28"/>
          <w:sz w:val="24"/>
          <w:szCs w:val="24"/>
        </w:rPr>
      </w:pPr>
      <w:r w:rsidRPr="006F19E0">
        <w:rPr>
          <w:rFonts w:ascii="Times New Roman" w:hAnsi="Times New Roman" w:cs="Times New Roman"/>
          <w:sz w:val="24"/>
          <w:szCs w:val="24"/>
        </w:rPr>
        <w:lastRenderedPageBreak/>
        <w:t>G = (Antilog of b)-1 ×</w:t>
      </w:r>
      <w:r w:rsidRPr="006F19E0">
        <w:rPr>
          <w:rFonts w:ascii="Times New Roman" w:hAnsi="Times New Roman" w:cs="Times New Roman"/>
          <w:color w:val="040C28"/>
          <w:sz w:val="24"/>
          <w:szCs w:val="24"/>
        </w:rPr>
        <w:t xml:space="preserve"> 100</w:t>
      </w:r>
    </w:p>
    <w:p w14:paraId="1CD9DA41" w14:textId="77777777" w:rsidR="006B3FCE" w:rsidRPr="006F19E0" w:rsidRDefault="006B3FCE" w:rsidP="006B3FCE">
      <w:pPr>
        <w:spacing w:before="240" w:line="276" w:lineRule="auto"/>
        <w:jc w:val="both"/>
        <w:rPr>
          <w:rFonts w:ascii="Times New Roman" w:hAnsi="Times New Roman" w:cs="Times New Roman"/>
          <w:color w:val="040C28"/>
          <w:sz w:val="24"/>
          <w:szCs w:val="24"/>
        </w:rPr>
      </w:pPr>
      <w:r w:rsidRPr="006F19E0">
        <w:rPr>
          <w:rFonts w:ascii="Times New Roman" w:hAnsi="Times New Roman" w:cs="Times New Roman"/>
          <w:color w:val="040C28"/>
          <w:sz w:val="24"/>
          <w:szCs w:val="24"/>
        </w:rPr>
        <w:t>Where,</w:t>
      </w:r>
    </w:p>
    <w:p w14:paraId="6C96A1E3" w14:textId="77777777" w:rsidR="006B3FCE" w:rsidRPr="006F19E0" w:rsidRDefault="006B3FCE" w:rsidP="006B3FCE">
      <w:pPr>
        <w:spacing w:before="240" w:line="276" w:lineRule="auto"/>
        <w:jc w:val="both"/>
        <w:rPr>
          <w:rFonts w:ascii="Times New Roman" w:hAnsi="Times New Roman" w:cs="Times New Roman"/>
          <w:color w:val="040C28"/>
          <w:sz w:val="24"/>
          <w:szCs w:val="24"/>
        </w:rPr>
      </w:pPr>
      <w:r w:rsidRPr="006F19E0">
        <w:rPr>
          <w:rFonts w:ascii="Times New Roman" w:hAnsi="Times New Roman" w:cs="Times New Roman"/>
          <w:color w:val="040C28"/>
          <w:sz w:val="24"/>
          <w:szCs w:val="24"/>
        </w:rPr>
        <w:tab/>
        <w:t>G = Estimated compound growth rate per annum expressed in per cent</w:t>
      </w:r>
    </w:p>
    <w:p w14:paraId="69CD7D18" w14:textId="6FD22038" w:rsidR="006B3FCE" w:rsidRPr="006F19E0" w:rsidRDefault="006B3FCE" w:rsidP="000D27DF">
      <w:pPr>
        <w:spacing w:before="240" w:line="360" w:lineRule="auto"/>
        <w:jc w:val="both"/>
        <w:rPr>
          <w:rFonts w:ascii="Times New Roman" w:hAnsi="Times New Roman" w:cs="Times New Roman"/>
          <w:color w:val="040C28"/>
          <w:sz w:val="24"/>
          <w:szCs w:val="24"/>
        </w:rPr>
      </w:pPr>
      <w:r w:rsidRPr="006F19E0">
        <w:rPr>
          <w:rFonts w:ascii="Times New Roman" w:hAnsi="Times New Roman" w:cs="Times New Roman"/>
          <w:color w:val="040C28"/>
          <w:sz w:val="24"/>
          <w:szCs w:val="24"/>
        </w:rPr>
        <w:tab/>
        <w:t>Data on the number of FPOs, their promotion by NABARD, SFAC and other agencies, and their authorized and paid-up capital</w:t>
      </w:r>
      <w:r w:rsidR="00D81B9C">
        <w:rPr>
          <w:rFonts w:ascii="Times New Roman" w:hAnsi="Times New Roman" w:cs="Times New Roman"/>
          <w:color w:val="040C28"/>
          <w:sz w:val="24"/>
          <w:szCs w:val="24"/>
        </w:rPr>
        <w:t>,</w:t>
      </w:r>
      <w:r w:rsidRPr="006F19E0">
        <w:rPr>
          <w:rFonts w:ascii="Times New Roman" w:hAnsi="Times New Roman" w:cs="Times New Roman"/>
          <w:color w:val="040C28"/>
          <w:sz w:val="24"/>
          <w:szCs w:val="24"/>
        </w:rPr>
        <w:t xml:space="preserve"> </w:t>
      </w:r>
      <w:r w:rsidR="00D81B9C">
        <w:rPr>
          <w:rFonts w:ascii="Times New Roman" w:hAnsi="Times New Roman" w:cs="Times New Roman"/>
          <w:color w:val="000000" w:themeColor="text1"/>
          <w:sz w:val="24"/>
          <w:szCs w:val="24"/>
        </w:rPr>
        <w:t>financial performance of FPOs, institutional finance and support for FPOs and w</w:t>
      </w:r>
      <w:r w:rsidR="00D81B9C" w:rsidRPr="00A23F10">
        <w:rPr>
          <w:rFonts w:ascii="Times New Roman" w:hAnsi="Times New Roman" w:cs="Times New Roman"/>
          <w:color w:val="000000" w:themeColor="text1"/>
          <w:sz w:val="24"/>
          <w:szCs w:val="24"/>
        </w:rPr>
        <w:t>omen-</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ed FPOs and</w:t>
      </w:r>
      <w:r w:rsidR="00D81B9C">
        <w:rPr>
          <w:rFonts w:ascii="Times New Roman" w:hAnsi="Times New Roman" w:cs="Times New Roman"/>
          <w:color w:val="000000" w:themeColor="text1"/>
          <w:sz w:val="24"/>
          <w:szCs w:val="24"/>
        </w:rPr>
        <w:t xml:space="preserve"> m</w:t>
      </w:r>
      <w:r w:rsidR="00D81B9C" w:rsidRPr="00A23F10">
        <w:rPr>
          <w:rFonts w:ascii="Times New Roman" w:hAnsi="Times New Roman" w:cs="Times New Roman"/>
          <w:color w:val="000000" w:themeColor="text1"/>
          <w:sz w:val="24"/>
          <w:szCs w:val="24"/>
        </w:rPr>
        <w:t xml:space="preserve">arket </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inkages (e-NAM/Retail Chains) of FPOs</w:t>
      </w:r>
      <w:r w:rsidR="00D81B9C">
        <w:rPr>
          <w:rFonts w:ascii="Times New Roman" w:hAnsi="Times New Roman" w:cs="Times New Roman"/>
          <w:color w:val="000000" w:themeColor="text1"/>
          <w:sz w:val="24"/>
          <w:szCs w:val="24"/>
        </w:rPr>
        <w:t xml:space="preserve"> </w:t>
      </w:r>
      <w:r w:rsidRPr="006F19E0">
        <w:rPr>
          <w:rFonts w:ascii="Times New Roman" w:hAnsi="Times New Roman" w:cs="Times New Roman"/>
          <w:color w:val="040C28"/>
          <w:sz w:val="24"/>
          <w:szCs w:val="24"/>
        </w:rPr>
        <w:t xml:space="preserve">for </w:t>
      </w:r>
      <w:r w:rsidR="00486F77" w:rsidRPr="006F19E0">
        <w:rPr>
          <w:rFonts w:ascii="Times New Roman" w:hAnsi="Times New Roman" w:cs="Times New Roman"/>
          <w:color w:val="040C28"/>
          <w:sz w:val="24"/>
          <w:szCs w:val="24"/>
        </w:rPr>
        <w:t xml:space="preserve">the period from </w:t>
      </w:r>
      <w:r w:rsidRPr="006F19E0">
        <w:rPr>
          <w:rFonts w:ascii="Times New Roman" w:hAnsi="Times New Roman" w:cs="Times New Roman"/>
          <w:color w:val="040C28"/>
          <w:sz w:val="24"/>
          <w:szCs w:val="24"/>
        </w:rPr>
        <w:t>2014</w:t>
      </w:r>
      <w:r w:rsidR="00486F77" w:rsidRPr="006F19E0">
        <w:rPr>
          <w:rFonts w:ascii="Times New Roman" w:hAnsi="Times New Roman" w:cs="Times New Roman"/>
          <w:color w:val="040C28"/>
          <w:sz w:val="24"/>
          <w:szCs w:val="24"/>
        </w:rPr>
        <w:t xml:space="preserve"> to </w:t>
      </w:r>
      <w:r w:rsidRPr="006F19E0">
        <w:rPr>
          <w:rFonts w:ascii="Times New Roman" w:hAnsi="Times New Roman" w:cs="Times New Roman"/>
          <w:color w:val="040C28"/>
          <w:sz w:val="24"/>
          <w:szCs w:val="24"/>
        </w:rPr>
        <w:t xml:space="preserve">2025 in Tamil Nadu were collected. The study used CAGR to </w:t>
      </w:r>
      <w:proofErr w:type="spellStart"/>
      <w:r w:rsidRPr="006F19E0">
        <w:rPr>
          <w:rFonts w:ascii="Times New Roman" w:hAnsi="Times New Roman" w:cs="Times New Roman"/>
          <w:color w:val="040C28"/>
          <w:sz w:val="24"/>
          <w:szCs w:val="24"/>
        </w:rPr>
        <w:t>analyze</w:t>
      </w:r>
      <w:proofErr w:type="spellEnd"/>
      <w:r w:rsidRPr="006F19E0">
        <w:rPr>
          <w:rFonts w:ascii="Times New Roman" w:hAnsi="Times New Roman" w:cs="Times New Roman"/>
          <w:color w:val="040C28"/>
          <w:sz w:val="24"/>
          <w:szCs w:val="24"/>
        </w:rPr>
        <w:t xml:space="preserve"> their growth over this period.</w:t>
      </w:r>
    </w:p>
    <w:p w14:paraId="0B44F6D6" w14:textId="77777777" w:rsidR="00C8423B" w:rsidRPr="006F19E0" w:rsidRDefault="00C8423B" w:rsidP="006B3FCE">
      <w:pPr>
        <w:spacing w:before="240"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Results and Discussion</w:t>
      </w:r>
    </w:p>
    <w:bookmarkEnd w:id="2"/>
    <w:p w14:paraId="6FBE1F8B" w14:textId="2842831A" w:rsidR="00C8423B" w:rsidRPr="006F19E0" w:rsidRDefault="00486F77" w:rsidP="00486F77">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1.</w:t>
      </w:r>
      <w:r w:rsidR="00C8423B" w:rsidRPr="006F19E0">
        <w:rPr>
          <w:rFonts w:ascii="Times New Roman" w:hAnsi="Times New Roman" w:cs="Times New Roman"/>
          <w:b/>
          <w:bCs/>
          <w:color w:val="000000" w:themeColor="text1"/>
          <w:sz w:val="24"/>
          <w:szCs w:val="24"/>
        </w:rPr>
        <w:t xml:space="preserve">Status and Growth of FPOs in Tamil Nadu </w:t>
      </w:r>
    </w:p>
    <w:p w14:paraId="5A3D456B" w14:textId="1386DE9C" w:rsidR="00486F77" w:rsidRPr="006F19E0" w:rsidRDefault="00486F77" w:rsidP="00486F77">
      <w:pPr>
        <w:spacing w:line="360" w:lineRule="auto"/>
        <w:ind w:firstLine="36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Tamil Nadu has experienced consistent growth in Farmer Producer Organisations (FPOs), driven by support from institutional and state-level programmes across districts. In the last decade, both their presence and business operations have expanded, enhancing collective marketing, processing activities and farmers’ access to finance and markets.</w:t>
      </w:r>
    </w:p>
    <w:p w14:paraId="78DB7DDF" w14:textId="7FDFD89E" w:rsidR="006F19E0" w:rsidRPr="006F19E0" w:rsidRDefault="00E072C7" w:rsidP="006F19E0">
      <w:pPr>
        <w:spacing w:line="360" w:lineRule="auto"/>
        <w:ind w:firstLine="36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Compound Growth Rates were worked out for</w:t>
      </w:r>
      <w:r w:rsidR="0012228F">
        <w:rPr>
          <w:rFonts w:ascii="Times New Roman" w:hAnsi="Times New Roman" w:cs="Times New Roman"/>
          <w:color w:val="000000" w:themeColor="text1"/>
          <w:sz w:val="24"/>
          <w:szCs w:val="24"/>
        </w:rPr>
        <w:t xml:space="preserve"> the</w:t>
      </w:r>
      <w:r w:rsidRPr="006F19E0">
        <w:rPr>
          <w:rFonts w:ascii="Times New Roman" w:hAnsi="Times New Roman" w:cs="Times New Roman"/>
          <w:color w:val="000000" w:themeColor="text1"/>
          <w:sz w:val="24"/>
          <w:szCs w:val="24"/>
        </w:rPr>
        <w:t xml:space="preserve"> number of registered FPOs, number of NABARD promoted FPOs; SFAC promoted FPOs and other </w:t>
      </w:r>
      <w:r w:rsidR="0012228F">
        <w:rPr>
          <w:rFonts w:ascii="Times New Roman" w:hAnsi="Times New Roman" w:cs="Times New Roman"/>
          <w:color w:val="000000" w:themeColor="text1"/>
          <w:sz w:val="24"/>
          <w:szCs w:val="24"/>
        </w:rPr>
        <w:t xml:space="preserve">agencies </w:t>
      </w:r>
      <w:r w:rsidRPr="006F19E0">
        <w:rPr>
          <w:rFonts w:ascii="Times New Roman" w:hAnsi="Times New Roman" w:cs="Times New Roman"/>
          <w:color w:val="000000" w:themeColor="text1"/>
          <w:sz w:val="24"/>
          <w:szCs w:val="24"/>
        </w:rPr>
        <w:t>promoted FPOs for the period from 2014 to 2025.</w:t>
      </w:r>
      <w:r w:rsidR="00B12500" w:rsidRPr="006F19E0">
        <w:rPr>
          <w:rFonts w:ascii="Times New Roman" w:hAnsi="Times New Roman" w:cs="Times New Roman"/>
          <w:color w:val="000000" w:themeColor="text1"/>
          <w:sz w:val="24"/>
          <w:szCs w:val="24"/>
        </w:rPr>
        <w:t xml:space="preserve"> Table</w:t>
      </w:r>
      <w:r w:rsidR="00B12500" w:rsidRPr="006F19E0">
        <w:rPr>
          <w:rFonts w:ascii="Times New Roman" w:hAnsi="Times New Roman" w:cs="Times New Roman"/>
          <w:b/>
          <w:bCs/>
          <w:color w:val="000000" w:themeColor="text1"/>
          <w:sz w:val="24"/>
          <w:szCs w:val="24"/>
        </w:rPr>
        <w:t xml:space="preserve"> </w:t>
      </w:r>
      <w:r w:rsidR="000D27DF" w:rsidRPr="006F19E0">
        <w:rPr>
          <w:rFonts w:ascii="Times New Roman" w:hAnsi="Times New Roman" w:cs="Times New Roman"/>
          <w:color w:val="000000" w:themeColor="text1"/>
          <w:sz w:val="24"/>
          <w:szCs w:val="24"/>
        </w:rPr>
        <w:t>1</w:t>
      </w:r>
      <w:r w:rsidR="00B12500" w:rsidRPr="006F19E0">
        <w:rPr>
          <w:rFonts w:ascii="Times New Roman" w:hAnsi="Times New Roman" w:cs="Times New Roman"/>
          <w:color w:val="000000" w:themeColor="text1"/>
          <w:sz w:val="24"/>
          <w:szCs w:val="24"/>
        </w:rPr>
        <w:t xml:space="preserve"> represents the status and growth of FPOs in Tamil Nadu from 2014</w:t>
      </w:r>
      <w:r w:rsidR="00487F61" w:rsidRPr="006F19E0">
        <w:rPr>
          <w:rFonts w:ascii="Times New Roman" w:hAnsi="Times New Roman" w:cs="Times New Roman"/>
          <w:color w:val="000000" w:themeColor="text1"/>
          <w:sz w:val="24"/>
          <w:szCs w:val="24"/>
        </w:rPr>
        <w:t xml:space="preserve"> to </w:t>
      </w:r>
      <w:r w:rsidR="00B12500" w:rsidRPr="006F19E0">
        <w:rPr>
          <w:rFonts w:ascii="Times New Roman" w:hAnsi="Times New Roman" w:cs="Times New Roman"/>
          <w:color w:val="000000" w:themeColor="text1"/>
          <w:sz w:val="24"/>
          <w:szCs w:val="24"/>
        </w:rPr>
        <w:t xml:space="preserve">2025. </w:t>
      </w:r>
    </w:p>
    <w:p w14:paraId="356C4747" w14:textId="08710ED9" w:rsidR="00F562E3" w:rsidRPr="006F19E0" w:rsidRDefault="00F562E3" w:rsidP="00F562E3">
      <w:pPr>
        <w:spacing w:line="360" w:lineRule="auto"/>
        <w:jc w:val="center"/>
        <w:rPr>
          <w:rFonts w:ascii="Times New Roman" w:hAnsi="Times New Roman" w:cs="Times New Roman"/>
          <w:b/>
          <w:bCs/>
          <w:color w:val="000000" w:themeColor="text1"/>
          <w:sz w:val="24"/>
          <w:szCs w:val="24"/>
        </w:rPr>
      </w:pPr>
      <w:bookmarkStart w:id="5" w:name="_Hlk222565609"/>
      <w:r w:rsidRPr="006F19E0">
        <w:rPr>
          <w:rFonts w:ascii="Times New Roman" w:hAnsi="Times New Roman" w:cs="Times New Roman"/>
          <w:b/>
          <w:bCs/>
          <w:color w:val="000000" w:themeColor="text1"/>
          <w:sz w:val="24"/>
          <w:szCs w:val="24"/>
        </w:rPr>
        <w:t xml:space="preserve">Table </w:t>
      </w:r>
      <w:r w:rsidR="000D27DF" w:rsidRPr="006F19E0">
        <w:rPr>
          <w:rFonts w:ascii="Times New Roman" w:hAnsi="Times New Roman" w:cs="Times New Roman"/>
          <w:b/>
          <w:bCs/>
          <w:color w:val="000000" w:themeColor="text1"/>
          <w:sz w:val="24"/>
          <w:szCs w:val="24"/>
        </w:rPr>
        <w:t>1</w:t>
      </w:r>
      <w:r w:rsidRPr="006F19E0">
        <w:rPr>
          <w:rFonts w:ascii="Times New Roman" w:hAnsi="Times New Roman" w:cs="Times New Roman"/>
          <w:b/>
          <w:bCs/>
          <w:color w:val="000000" w:themeColor="text1"/>
          <w:sz w:val="24"/>
          <w:szCs w:val="24"/>
        </w:rPr>
        <w:t xml:space="preserve">. Status and Growth of FPOs in </w:t>
      </w:r>
      <w:r w:rsidR="00E072C7" w:rsidRPr="006F19E0">
        <w:rPr>
          <w:rFonts w:ascii="Times New Roman" w:hAnsi="Times New Roman" w:cs="Times New Roman"/>
          <w:b/>
          <w:bCs/>
          <w:color w:val="000000" w:themeColor="text1"/>
          <w:sz w:val="24"/>
          <w:szCs w:val="24"/>
        </w:rPr>
        <w:t>Tamil Nadu</w:t>
      </w:r>
      <w:r w:rsidRPr="006F19E0">
        <w:rPr>
          <w:rFonts w:ascii="Times New Roman" w:hAnsi="Times New Roman" w:cs="Times New Roman"/>
          <w:b/>
          <w:bCs/>
          <w:color w:val="000000" w:themeColor="text1"/>
          <w:sz w:val="24"/>
          <w:szCs w:val="24"/>
        </w:rPr>
        <w:t xml:space="preserve"> </w:t>
      </w:r>
    </w:p>
    <w:tbl>
      <w:tblPr>
        <w:tblStyle w:val="TableGrid"/>
        <w:tblW w:w="9150" w:type="dxa"/>
        <w:tblLook w:val="04A0" w:firstRow="1" w:lastRow="0" w:firstColumn="1" w:lastColumn="0" w:noHBand="0" w:noVBand="1"/>
      </w:tblPr>
      <w:tblGrid>
        <w:gridCol w:w="2770"/>
        <w:gridCol w:w="1856"/>
        <w:gridCol w:w="2149"/>
        <w:gridCol w:w="2375"/>
      </w:tblGrid>
      <w:tr w:rsidR="00487F61" w:rsidRPr="006F19E0" w14:paraId="3314A57F" w14:textId="77777777" w:rsidTr="006F19E0">
        <w:trPr>
          <w:trHeight w:val="666"/>
        </w:trPr>
        <w:tc>
          <w:tcPr>
            <w:tcW w:w="2770" w:type="dxa"/>
            <w:vAlign w:val="center"/>
          </w:tcPr>
          <w:p w14:paraId="48DD3E72" w14:textId="61967DFF" w:rsidR="00487F61" w:rsidRPr="006F19E0" w:rsidRDefault="0012228F" w:rsidP="006F19E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Particulars</w:t>
            </w:r>
            <w:r w:rsidR="00557194">
              <w:rPr>
                <w:rFonts w:ascii="Times New Roman" w:hAnsi="Times New Roman" w:cs="Times New Roman"/>
                <w:b/>
                <w:bCs/>
                <w:color w:val="000000" w:themeColor="text1"/>
                <w:sz w:val="24"/>
                <w:szCs w:val="24"/>
              </w:rPr>
              <w:t xml:space="preserve"> (No.)</w:t>
            </w:r>
          </w:p>
        </w:tc>
        <w:tc>
          <w:tcPr>
            <w:tcW w:w="1856" w:type="dxa"/>
            <w:vAlign w:val="center"/>
          </w:tcPr>
          <w:p w14:paraId="754123B4" w14:textId="00178C39" w:rsidR="00487F61" w:rsidRPr="006F19E0" w:rsidRDefault="00487F61" w:rsidP="006F19E0">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Mean</w:t>
            </w:r>
            <w:r w:rsidR="00557194">
              <w:rPr>
                <w:rFonts w:ascii="Times New Roman" w:hAnsi="Times New Roman" w:cs="Times New Roman"/>
                <w:b/>
                <w:bCs/>
                <w:color w:val="000000" w:themeColor="text1"/>
                <w:sz w:val="24"/>
                <w:szCs w:val="24"/>
              </w:rPr>
              <w:t xml:space="preserve"> (No.)</w:t>
            </w:r>
          </w:p>
        </w:tc>
        <w:tc>
          <w:tcPr>
            <w:tcW w:w="2149" w:type="dxa"/>
            <w:vAlign w:val="center"/>
          </w:tcPr>
          <w:p w14:paraId="2951A78F" w14:textId="77777777" w:rsidR="00487F61" w:rsidRDefault="00487F61" w:rsidP="006F19E0">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Standard Deviation</w:t>
            </w:r>
          </w:p>
          <w:p w14:paraId="7AF88118" w14:textId="3C95EC6B" w:rsidR="00557194" w:rsidRPr="006F19E0" w:rsidRDefault="00557194" w:rsidP="006F19E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w:t>
            </w:r>
          </w:p>
        </w:tc>
        <w:tc>
          <w:tcPr>
            <w:tcW w:w="2375" w:type="dxa"/>
            <w:vAlign w:val="center"/>
          </w:tcPr>
          <w:p w14:paraId="2BE00FC9" w14:textId="77777777" w:rsidR="00487F61" w:rsidRDefault="00487F61" w:rsidP="006F19E0">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CAGR</w:t>
            </w:r>
          </w:p>
          <w:p w14:paraId="6AB168F6" w14:textId="17255166" w:rsidR="00557194" w:rsidRPr="006F19E0" w:rsidRDefault="00557194" w:rsidP="006F19E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r>
      <w:tr w:rsidR="00487F61" w:rsidRPr="006F19E0" w14:paraId="42F83740" w14:textId="77777777" w:rsidTr="006F19E0">
        <w:trPr>
          <w:trHeight w:val="328"/>
        </w:trPr>
        <w:tc>
          <w:tcPr>
            <w:tcW w:w="2770" w:type="dxa"/>
          </w:tcPr>
          <w:p w14:paraId="3A1DC3D7" w14:textId="5E20C442" w:rsidR="00487F61" w:rsidRPr="006F19E0" w:rsidRDefault="00487F61" w:rsidP="006F19E0">
            <w:pPr>
              <w:jc w:val="both"/>
              <w:rPr>
                <w:rFonts w:ascii="Times New Roman" w:hAnsi="Times New Roman" w:cs="Times New Roman"/>
                <w:color w:val="000000" w:themeColor="text1"/>
                <w:sz w:val="24"/>
                <w:szCs w:val="24"/>
              </w:rPr>
            </w:pPr>
            <w:r w:rsidRPr="006F19E0">
              <w:rPr>
                <w:rFonts w:ascii="Times New Roman" w:eastAsia="Times New Roman" w:hAnsi="Times New Roman" w:cs="Times New Roman"/>
                <w:color w:val="000000"/>
                <w:kern w:val="0"/>
                <w:sz w:val="24"/>
                <w:szCs w:val="24"/>
                <w:lang w:eastAsia="en-IN"/>
                <w14:ligatures w14:val="none"/>
              </w:rPr>
              <w:t>Total FPOs</w:t>
            </w:r>
          </w:p>
        </w:tc>
        <w:tc>
          <w:tcPr>
            <w:tcW w:w="1856" w:type="dxa"/>
            <w:vAlign w:val="center"/>
          </w:tcPr>
          <w:p w14:paraId="295E8E2B" w14:textId="2FBD44E6"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271.18</w:t>
            </w:r>
          </w:p>
        </w:tc>
        <w:tc>
          <w:tcPr>
            <w:tcW w:w="2149" w:type="dxa"/>
            <w:vAlign w:val="center"/>
          </w:tcPr>
          <w:p w14:paraId="2810C847" w14:textId="6589BE20"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132.64</w:t>
            </w:r>
          </w:p>
        </w:tc>
        <w:tc>
          <w:tcPr>
            <w:tcW w:w="2375" w:type="dxa"/>
            <w:vAlign w:val="center"/>
          </w:tcPr>
          <w:p w14:paraId="22EEEC9E" w14:textId="7B294776"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0.48</w:t>
            </w:r>
          </w:p>
        </w:tc>
      </w:tr>
      <w:tr w:rsidR="00487F61" w:rsidRPr="006F19E0" w14:paraId="51231359" w14:textId="77777777" w:rsidTr="006F19E0">
        <w:trPr>
          <w:trHeight w:val="666"/>
        </w:trPr>
        <w:tc>
          <w:tcPr>
            <w:tcW w:w="2770" w:type="dxa"/>
            <w:vAlign w:val="center"/>
          </w:tcPr>
          <w:p w14:paraId="476C6186" w14:textId="6A4B1461" w:rsidR="00487F61" w:rsidRPr="006F19E0" w:rsidRDefault="00487F61" w:rsidP="006F19E0">
            <w:pPr>
              <w:jc w:val="both"/>
              <w:rPr>
                <w:rFonts w:ascii="Times New Roman" w:hAnsi="Times New Roman" w:cs="Times New Roman"/>
                <w:color w:val="000000" w:themeColor="text1"/>
                <w:sz w:val="24"/>
                <w:szCs w:val="24"/>
              </w:rPr>
            </w:pPr>
            <w:r w:rsidRPr="006F19E0">
              <w:rPr>
                <w:rFonts w:ascii="Times New Roman" w:eastAsia="Times New Roman" w:hAnsi="Times New Roman" w:cs="Times New Roman"/>
                <w:color w:val="000000"/>
                <w:kern w:val="0"/>
                <w:sz w:val="24"/>
                <w:szCs w:val="24"/>
                <w:lang w:eastAsia="en-IN"/>
                <w14:ligatures w14:val="none"/>
              </w:rPr>
              <w:t>NABARD Promoted FPOs</w:t>
            </w:r>
          </w:p>
        </w:tc>
        <w:tc>
          <w:tcPr>
            <w:tcW w:w="1856" w:type="dxa"/>
            <w:vAlign w:val="center"/>
          </w:tcPr>
          <w:p w14:paraId="0687C962" w14:textId="2C4A89DE"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167.55</w:t>
            </w:r>
          </w:p>
        </w:tc>
        <w:tc>
          <w:tcPr>
            <w:tcW w:w="2149" w:type="dxa"/>
            <w:vAlign w:val="center"/>
          </w:tcPr>
          <w:p w14:paraId="7FB1ADCA" w14:textId="7EAA7685"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90.67</w:t>
            </w:r>
          </w:p>
        </w:tc>
        <w:tc>
          <w:tcPr>
            <w:tcW w:w="2375" w:type="dxa"/>
            <w:vAlign w:val="center"/>
          </w:tcPr>
          <w:p w14:paraId="23E63244" w14:textId="2A825A0D"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0.50</w:t>
            </w:r>
          </w:p>
        </w:tc>
      </w:tr>
      <w:tr w:rsidR="00487F61" w:rsidRPr="006F19E0" w14:paraId="49C726D0" w14:textId="77777777" w:rsidTr="006F19E0">
        <w:trPr>
          <w:trHeight w:val="328"/>
        </w:trPr>
        <w:tc>
          <w:tcPr>
            <w:tcW w:w="2770" w:type="dxa"/>
            <w:vAlign w:val="center"/>
          </w:tcPr>
          <w:p w14:paraId="0F3A7FF8" w14:textId="7276E5A4" w:rsidR="00487F61" w:rsidRPr="006F19E0" w:rsidRDefault="00487F61" w:rsidP="006F19E0">
            <w:pPr>
              <w:jc w:val="both"/>
              <w:rPr>
                <w:rFonts w:ascii="Times New Roman" w:eastAsia="Times New Roman" w:hAnsi="Times New Roman" w:cs="Times New Roman"/>
                <w:color w:val="000000"/>
                <w:kern w:val="0"/>
                <w:sz w:val="24"/>
                <w:szCs w:val="24"/>
                <w:lang w:eastAsia="en-IN"/>
                <w14:ligatures w14:val="none"/>
              </w:rPr>
            </w:pPr>
            <w:r w:rsidRPr="006F19E0">
              <w:rPr>
                <w:rFonts w:ascii="Times New Roman" w:eastAsia="Times New Roman" w:hAnsi="Times New Roman" w:cs="Times New Roman"/>
                <w:color w:val="000000"/>
                <w:kern w:val="0"/>
                <w:sz w:val="24"/>
                <w:szCs w:val="24"/>
                <w:lang w:eastAsia="en-IN"/>
                <w14:ligatures w14:val="none"/>
              </w:rPr>
              <w:t>SFAC Promoted FPOs</w:t>
            </w:r>
          </w:p>
        </w:tc>
        <w:tc>
          <w:tcPr>
            <w:tcW w:w="1856" w:type="dxa"/>
            <w:vAlign w:val="center"/>
          </w:tcPr>
          <w:p w14:paraId="5E099E2A" w14:textId="322FDC1B"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70.73</w:t>
            </w:r>
          </w:p>
        </w:tc>
        <w:tc>
          <w:tcPr>
            <w:tcW w:w="2149" w:type="dxa"/>
            <w:vAlign w:val="center"/>
          </w:tcPr>
          <w:p w14:paraId="65A43112" w14:textId="57B088ED"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32.21</w:t>
            </w:r>
          </w:p>
        </w:tc>
        <w:tc>
          <w:tcPr>
            <w:tcW w:w="2375" w:type="dxa"/>
            <w:vAlign w:val="center"/>
          </w:tcPr>
          <w:p w14:paraId="524C0776" w14:textId="3B80AEA5"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0.46</w:t>
            </w:r>
          </w:p>
        </w:tc>
      </w:tr>
      <w:tr w:rsidR="00487F61" w:rsidRPr="006F19E0" w14:paraId="1F13AF24" w14:textId="77777777" w:rsidTr="006F19E0">
        <w:trPr>
          <w:trHeight w:val="328"/>
        </w:trPr>
        <w:tc>
          <w:tcPr>
            <w:tcW w:w="2770" w:type="dxa"/>
            <w:vAlign w:val="center"/>
          </w:tcPr>
          <w:p w14:paraId="3E8FF452" w14:textId="4F64584D" w:rsidR="00487F61" w:rsidRPr="006F19E0" w:rsidRDefault="00487F61" w:rsidP="006F19E0">
            <w:pPr>
              <w:jc w:val="both"/>
              <w:rPr>
                <w:rFonts w:ascii="Times New Roman" w:eastAsia="Times New Roman" w:hAnsi="Times New Roman" w:cs="Times New Roman"/>
                <w:color w:val="000000"/>
                <w:kern w:val="0"/>
                <w:sz w:val="24"/>
                <w:szCs w:val="24"/>
                <w:lang w:eastAsia="en-IN"/>
                <w14:ligatures w14:val="none"/>
              </w:rPr>
            </w:pPr>
            <w:r w:rsidRPr="006F19E0">
              <w:rPr>
                <w:rFonts w:ascii="Times New Roman" w:eastAsia="Times New Roman" w:hAnsi="Times New Roman" w:cs="Times New Roman"/>
                <w:color w:val="000000"/>
                <w:kern w:val="0"/>
                <w:sz w:val="24"/>
                <w:szCs w:val="24"/>
                <w:lang w:eastAsia="en-IN"/>
                <w14:ligatures w14:val="none"/>
              </w:rPr>
              <w:t>Others</w:t>
            </w:r>
          </w:p>
        </w:tc>
        <w:tc>
          <w:tcPr>
            <w:tcW w:w="1856" w:type="dxa"/>
            <w:vAlign w:val="center"/>
          </w:tcPr>
          <w:p w14:paraId="1E08BDF7" w14:textId="6376E340"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33.82</w:t>
            </w:r>
          </w:p>
        </w:tc>
        <w:tc>
          <w:tcPr>
            <w:tcW w:w="2149" w:type="dxa"/>
            <w:vAlign w:val="center"/>
          </w:tcPr>
          <w:p w14:paraId="576F2411" w14:textId="410E6CBB"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15.23</w:t>
            </w:r>
          </w:p>
        </w:tc>
        <w:tc>
          <w:tcPr>
            <w:tcW w:w="2375" w:type="dxa"/>
            <w:vAlign w:val="center"/>
          </w:tcPr>
          <w:p w14:paraId="339CBD37" w14:textId="764B44BE"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0.41</w:t>
            </w:r>
          </w:p>
        </w:tc>
      </w:tr>
    </w:tbl>
    <w:p w14:paraId="15B64465" w14:textId="5100D75D" w:rsidR="00E072C7" w:rsidRPr="006F19E0" w:rsidRDefault="00E072C7" w:rsidP="00E072C7">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Source</w:t>
      </w:r>
      <w:r w:rsidR="00E44D5D"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Department of Agricultural Marketing &amp; Agri Business</w:t>
      </w:r>
      <w:r w:rsidR="00B12500" w:rsidRPr="006F19E0">
        <w:rPr>
          <w:rFonts w:ascii="Times New Roman" w:hAnsi="Times New Roman" w:cs="Times New Roman"/>
          <w:color w:val="000000" w:themeColor="text1"/>
          <w:sz w:val="24"/>
          <w:szCs w:val="24"/>
        </w:rPr>
        <w:t>,</w:t>
      </w:r>
      <w:r w:rsidR="0012228F">
        <w:rPr>
          <w:rFonts w:ascii="Times New Roman" w:hAnsi="Times New Roman" w:cs="Times New Roman"/>
          <w:color w:val="000000" w:themeColor="text1"/>
          <w:sz w:val="24"/>
          <w:szCs w:val="24"/>
        </w:rPr>
        <w:t xml:space="preserve"> Govt of Tamil Nadu, </w:t>
      </w:r>
      <w:r w:rsidR="00B12500" w:rsidRPr="006F19E0">
        <w:rPr>
          <w:rFonts w:ascii="Times New Roman" w:hAnsi="Times New Roman" w:cs="Times New Roman"/>
          <w:color w:val="000000" w:themeColor="text1"/>
          <w:sz w:val="24"/>
          <w:szCs w:val="24"/>
        </w:rPr>
        <w:t>2014-2025.</w:t>
      </w:r>
    </w:p>
    <w:bookmarkEnd w:id="5"/>
    <w:p w14:paraId="39F68613" w14:textId="1C4C969B" w:rsidR="00254B68" w:rsidRPr="006F19E0" w:rsidRDefault="00254B68" w:rsidP="00254B68">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The statistical analysis of FPO growth in Tamil Nadu indicates substantial expansion over the study period. The mean number of total FPOs was 271.18 with a standard deviation </w:t>
      </w:r>
      <w:r w:rsidRPr="006F19E0">
        <w:rPr>
          <w:rFonts w:ascii="Times New Roman" w:hAnsi="Times New Roman" w:cs="Times New Roman"/>
          <w:color w:val="000000" w:themeColor="text1"/>
          <w:sz w:val="24"/>
          <w:szCs w:val="24"/>
        </w:rPr>
        <w:lastRenderedPageBreak/>
        <w:t>of 132.64, reflecting considerable variation in growth across years and a high CAGR of 0.48. Among the promoting agencies, NABARD-supported FPOs recorded a mean of 167.55 and a standard deviation of 90.67, registering the highest CAGR (0.50), indicating a strong expansion trend. SFAC-promoted FPOs showed a moderate average of 70.73 with a standard deviation of 32.21 and a CAGR of 0.46, while FPOs promoted by other agencies had a lower mean (33.82), smaller variability (15.23) and a comparatively modest CAGR of 0.41</w:t>
      </w:r>
      <w:r w:rsidR="00D65D5B">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The growth of FPO in Tamil Nadu are given in Fig 1.</w:t>
      </w:r>
    </w:p>
    <w:p w14:paraId="71AD3DFA" w14:textId="177B4AC9" w:rsidR="00725DE0" w:rsidRPr="006F19E0" w:rsidRDefault="00725DE0" w:rsidP="006A73AE">
      <w:pPr>
        <w:spacing w:line="360" w:lineRule="auto"/>
        <w:ind w:firstLine="720"/>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Fig </w:t>
      </w:r>
      <w:r w:rsidR="001D3674" w:rsidRPr="006F19E0">
        <w:rPr>
          <w:rFonts w:ascii="Times New Roman" w:hAnsi="Times New Roman" w:cs="Times New Roman"/>
          <w:b/>
          <w:bCs/>
          <w:color w:val="000000" w:themeColor="text1"/>
          <w:sz w:val="24"/>
          <w:szCs w:val="24"/>
        </w:rPr>
        <w:t>1</w:t>
      </w:r>
      <w:r w:rsidRPr="006F19E0">
        <w:rPr>
          <w:rFonts w:ascii="Times New Roman" w:hAnsi="Times New Roman" w:cs="Times New Roman"/>
          <w:b/>
          <w:bCs/>
          <w:color w:val="000000" w:themeColor="text1"/>
          <w:sz w:val="24"/>
          <w:szCs w:val="24"/>
        </w:rPr>
        <w:t xml:space="preserve">. Status and Growth of FPOs in Tamil Nadu </w:t>
      </w:r>
    </w:p>
    <w:p w14:paraId="2043C428" w14:textId="43EC08A8" w:rsidR="001D3674" w:rsidRPr="006F19E0" w:rsidRDefault="0077380C" w:rsidP="0077380C">
      <w:pPr>
        <w:spacing w:line="360" w:lineRule="auto"/>
        <w:ind w:firstLine="720"/>
        <w:jc w:val="center"/>
        <w:rPr>
          <w:rFonts w:ascii="Times New Roman" w:hAnsi="Times New Roman" w:cs="Times New Roman"/>
          <w:b/>
          <w:bCs/>
          <w:color w:val="000000" w:themeColor="text1"/>
          <w:sz w:val="24"/>
          <w:szCs w:val="24"/>
        </w:rPr>
      </w:pPr>
      <w:r w:rsidRPr="006F19E0">
        <w:rPr>
          <w:rFonts w:ascii="Times New Roman" w:hAnsi="Times New Roman" w:cs="Times New Roman"/>
          <w:noProof/>
          <w:sz w:val="24"/>
          <w:szCs w:val="24"/>
          <w:lang w:eastAsia="en-IN"/>
        </w:rPr>
        <w:drawing>
          <wp:inline distT="0" distB="0" distL="0" distR="0" wp14:anchorId="4C8C82F2" wp14:editId="46F8C804">
            <wp:extent cx="4572000" cy="2743200"/>
            <wp:effectExtent l="0" t="0" r="0" b="0"/>
            <wp:docPr id="148098138" name="Chart 1">
              <a:extLst xmlns:a="http://schemas.openxmlformats.org/drawingml/2006/main">
                <a:ext uri="{FF2B5EF4-FFF2-40B4-BE49-F238E27FC236}">
                  <a16:creationId xmlns:a16="http://schemas.microsoft.com/office/drawing/2014/main" id="{B3010AEE-E665-2722-72B8-C0D803B1BD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C908D9" w14:textId="67B7B031" w:rsidR="00C8423B" w:rsidRPr="006F19E0" w:rsidRDefault="000D27DF" w:rsidP="00C8423B">
      <w:pPr>
        <w:spacing w:line="360" w:lineRule="auto"/>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2</w:t>
      </w:r>
      <w:r w:rsidR="00C8423B" w:rsidRPr="006F19E0">
        <w:rPr>
          <w:rFonts w:ascii="Times New Roman" w:hAnsi="Times New Roman" w:cs="Times New Roman"/>
          <w:b/>
          <w:bCs/>
          <w:color w:val="000000" w:themeColor="text1"/>
          <w:sz w:val="24"/>
          <w:szCs w:val="24"/>
        </w:rPr>
        <w:t>. Authorised and Paid</w:t>
      </w:r>
      <w:r w:rsidR="006A73AE" w:rsidRPr="006F19E0">
        <w:rPr>
          <w:rFonts w:ascii="Times New Roman" w:hAnsi="Times New Roman" w:cs="Times New Roman"/>
          <w:b/>
          <w:bCs/>
          <w:color w:val="000000" w:themeColor="text1"/>
          <w:sz w:val="24"/>
          <w:szCs w:val="24"/>
        </w:rPr>
        <w:t>-</w:t>
      </w:r>
      <w:r w:rsidR="00C8423B" w:rsidRPr="006F19E0">
        <w:rPr>
          <w:rFonts w:ascii="Times New Roman" w:hAnsi="Times New Roman" w:cs="Times New Roman"/>
          <w:b/>
          <w:bCs/>
          <w:color w:val="000000" w:themeColor="text1"/>
          <w:sz w:val="24"/>
          <w:szCs w:val="24"/>
        </w:rPr>
        <w:t xml:space="preserve">up Capital of FPOs in Tamil Nadu </w:t>
      </w:r>
    </w:p>
    <w:p w14:paraId="717884C3" w14:textId="37F72F5C" w:rsidR="00744717" w:rsidRPr="006F19E0" w:rsidRDefault="00744717" w:rsidP="00563736">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The authorised and paid-up capital of Farmer Producer Organisations (FPOs) in Tamil Nadu reflects their financial base and capacity to undertake collective business activities. These capital structures indicate the level of member participation, resource mobilization and the overall financial strength of FPOs in supporting agricultural development in the state.</w:t>
      </w:r>
    </w:p>
    <w:p w14:paraId="55655043" w14:textId="54E42522" w:rsidR="00B12500" w:rsidRPr="006F19E0" w:rsidRDefault="00B12500" w:rsidP="00563736">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Compound Growth Rates were worked out for </w:t>
      </w:r>
      <w:r w:rsidR="00DA1CB5" w:rsidRPr="006F19E0">
        <w:rPr>
          <w:rFonts w:ascii="Times New Roman" w:hAnsi="Times New Roman" w:cs="Times New Roman"/>
          <w:color w:val="000000" w:themeColor="text1"/>
          <w:sz w:val="24"/>
          <w:szCs w:val="24"/>
        </w:rPr>
        <w:t>the Authorised and Paid</w:t>
      </w:r>
      <w:r w:rsidR="006A73AE" w:rsidRPr="006F19E0">
        <w:rPr>
          <w:rFonts w:ascii="Times New Roman" w:hAnsi="Times New Roman" w:cs="Times New Roman"/>
          <w:color w:val="000000" w:themeColor="text1"/>
          <w:sz w:val="24"/>
          <w:szCs w:val="24"/>
        </w:rPr>
        <w:t>-</w:t>
      </w:r>
      <w:r w:rsidR="00DA1CB5" w:rsidRPr="006F19E0">
        <w:rPr>
          <w:rFonts w:ascii="Times New Roman" w:hAnsi="Times New Roman" w:cs="Times New Roman"/>
          <w:color w:val="000000" w:themeColor="text1"/>
          <w:sz w:val="24"/>
          <w:szCs w:val="24"/>
        </w:rPr>
        <w:t xml:space="preserve">up Capital of FPOs in Tamil Nadu from 2014 to 2025 and </w:t>
      </w:r>
      <w:r w:rsidR="0012228F">
        <w:rPr>
          <w:rFonts w:ascii="Times New Roman" w:hAnsi="Times New Roman" w:cs="Times New Roman"/>
          <w:color w:val="000000" w:themeColor="text1"/>
          <w:sz w:val="24"/>
          <w:szCs w:val="24"/>
        </w:rPr>
        <w:t>i</w:t>
      </w:r>
      <w:r w:rsidR="00DA1CB5" w:rsidRPr="006F19E0">
        <w:rPr>
          <w:rFonts w:ascii="Times New Roman" w:hAnsi="Times New Roman" w:cs="Times New Roman"/>
          <w:color w:val="000000" w:themeColor="text1"/>
          <w:sz w:val="24"/>
          <w:szCs w:val="24"/>
        </w:rPr>
        <w:t xml:space="preserve">s represented in </w:t>
      </w:r>
      <w:r w:rsidRPr="006F19E0">
        <w:rPr>
          <w:rFonts w:ascii="Times New Roman" w:hAnsi="Times New Roman" w:cs="Times New Roman"/>
          <w:color w:val="000000" w:themeColor="text1"/>
          <w:sz w:val="24"/>
          <w:szCs w:val="24"/>
        </w:rPr>
        <w:t>Table</w:t>
      </w:r>
      <w:r w:rsidRPr="006F19E0">
        <w:rPr>
          <w:rFonts w:ascii="Times New Roman" w:hAnsi="Times New Roman" w:cs="Times New Roman"/>
          <w:b/>
          <w:bCs/>
          <w:color w:val="000000" w:themeColor="text1"/>
          <w:sz w:val="24"/>
          <w:szCs w:val="24"/>
        </w:rPr>
        <w:t xml:space="preserve"> </w:t>
      </w:r>
      <w:r w:rsidR="000D27DF" w:rsidRPr="006F19E0">
        <w:rPr>
          <w:rFonts w:ascii="Times New Roman" w:hAnsi="Times New Roman" w:cs="Times New Roman"/>
          <w:color w:val="000000" w:themeColor="text1"/>
          <w:sz w:val="24"/>
          <w:szCs w:val="24"/>
        </w:rPr>
        <w:t>2</w:t>
      </w:r>
      <w:r w:rsidR="00DA1CB5" w:rsidRPr="006F19E0">
        <w:rPr>
          <w:rFonts w:ascii="Times New Roman" w:hAnsi="Times New Roman" w:cs="Times New Roman"/>
          <w:color w:val="000000" w:themeColor="text1"/>
          <w:sz w:val="24"/>
          <w:szCs w:val="24"/>
        </w:rPr>
        <w:t>.</w:t>
      </w:r>
    </w:p>
    <w:p w14:paraId="473C2E91" w14:textId="525065C6" w:rsidR="001966CE" w:rsidRPr="006F19E0" w:rsidRDefault="00C8423B" w:rsidP="006F19E0">
      <w:pPr>
        <w:spacing w:line="360" w:lineRule="auto"/>
        <w:jc w:val="center"/>
        <w:rPr>
          <w:rFonts w:ascii="Times New Roman" w:hAnsi="Times New Roman" w:cs="Times New Roman"/>
          <w:b/>
          <w:bCs/>
          <w:color w:val="000000" w:themeColor="text1"/>
          <w:sz w:val="24"/>
          <w:szCs w:val="24"/>
        </w:rPr>
      </w:pPr>
      <w:bookmarkStart w:id="6" w:name="_Hlk222568453"/>
      <w:r w:rsidRPr="006F19E0">
        <w:rPr>
          <w:rFonts w:ascii="Times New Roman" w:hAnsi="Times New Roman" w:cs="Times New Roman"/>
          <w:b/>
          <w:bCs/>
          <w:color w:val="000000" w:themeColor="text1"/>
          <w:sz w:val="24"/>
          <w:szCs w:val="24"/>
        </w:rPr>
        <w:t xml:space="preserve">Table </w:t>
      </w:r>
      <w:r w:rsidR="000D27DF" w:rsidRPr="006F19E0">
        <w:rPr>
          <w:rFonts w:ascii="Times New Roman" w:hAnsi="Times New Roman" w:cs="Times New Roman"/>
          <w:b/>
          <w:bCs/>
          <w:color w:val="000000" w:themeColor="text1"/>
          <w:sz w:val="24"/>
          <w:szCs w:val="24"/>
        </w:rPr>
        <w:t>2</w:t>
      </w:r>
      <w:r w:rsidRPr="006F19E0">
        <w:rPr>
          <w:rFonts w:ascii="Times New Roman" w:hAnsi="Times New Roman" w:cs="Times New Roman"/>
          <w:b/>
          <w:bCs/>
          <w:color w:val="000000" w:themeColor="text1"/>
          <w:sz w:val="24"/>
          <w:szCs w:val="24"/>
        </w:rPr>
        <w:t>: Authorised and Paid</w:t>
      </w:r>
      <w:r w:rsidR="006A73AE" w:rsidRPr="006F19E0">
        <w:rPr>
          <w:rFonts w:ascii="Times New Roman" w:hAnsi="Times New Roman" w:cs="Times New Roman"/>
          <w:b/>
          <w:bCs/>
          <w:color w:val="000000" w:themeColor="text1"/>
          <w:sz w:val="24"/>
          <w:szCs w:val="24"/>
        </w:rPr>
        <w:t>-up</w:t>
      </w:r>
      <w:r w:rsidRPr="006F19E0">
        <w:rPr>
          <w:rFonts w:ascii="Times New Roman" w:hAnsi="Times New Roman" w:cs="Times New Roman"/>
          <w:b/>
          <w:bCs/>
          <w:color w:val="000000" w:themeColor="text1"/>
          <w:sz w:val="24"/>
          <w:szCs w:val="24"/>
        </w:rPr>
        <w:t xml:space="preserve"> Capital of FPOs in Tamil Nadu</w:t>
      </w:r>
    </w:p>
    <w:tbl>
      <w:tblPr>
        <w:tblStyle w:val="TableGrid"/>
        <w:tblW w:w="9125" w:type="dxa"/>
        <w:tblLook w:val="04A0" w:firstRow="1" w:lastRow="0" w:firstColumn="1" w:lastColumn="0" w:noHBand="0" w:noVBand="1"/>
      </w:tblPr>
      <w:tblGrid>
        <w:gridCol w:w="3256"/>
        <w:gridCol w:w="1701"/>
        <w:gridCol w:w="2126"/>
        <w:gridCol w:w="2042"/>
      </w:tblGrid>
      <w:tr w:rsidR="001966CE" w:rsidRPr="006F19E0" w14:paraId="63B4EED5" w14:textId="77777777" w:rsidTr="00C321D9">
        <w:trPr>
          <w:trHeight w:val="719"/>
        </w:trPr>
        <w:tc>
          <w:tcPr>
            <w:tcW w:w="3256" w:type="dxa"/>
            <w:vAlign w:val="center"/>
          </w:tcPr>
          <w:p w14:paraId="7ADD9B71" w14:textId="77777777" w:rsidR="001966CE" w:rsidRDefault="001966CE" w:rsidP="00571CD9">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Capital Trends</w:t>
            </w:r>
          </w:p>
          <w:p w14:paraId="3B51E567" w14:textId="22A12E12" w:rsidR="00557194" w:rsidRPr="006F19E0" w:rsidRDefault="00557194" w:rsidP="00571CD9">
            <w:pPr>
              <w:jc w:val="center"/>
              <w:rPr>
                <w:rFonts w:ascii="Times New Roman" w:hAnsi="Times New Roman" w:cs="Times New Roman"/>
                <w:b/>
                <w:bCs/>
                <w:color w:val="000000" w:themeColor="text1"/>
                <w:sz w:val="24"/>
                <w:szCs w:val="24"/>
              </w:rPr>
            </w:pPr>
            <w:r w:rsidRPr="00557194">
              <w:rPr>
                <w:rFonts w:ascii="Times New Roman" w:hAnsi="Times New Roman" w:cs="Times New Roman"/>
                <w:b/>
                <w:bCs/>
                <w:color w:val="000000" w:themeColor="text1"/>
                <w:sz w:val="24"/>
                <w:szCs w:val="24"/>
              </w:rPr>
              <w:t>(Rs. Lakhs)</w:t>
            </w:r>
          </w:p>
        </w:tc>
        <w:tc>
          <w:tcPr>
            <w:tcW w:w="1701" w:type="dxa"/>
            <w:vAlign w:val="center"/>
          </w:tcPr>
          <w:p w14:paraId="31B13493" w14:textId="77777777" w:rsidR="001966CE" w:rsidRDefault="001966CE" w:rsidP="00571CD9">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Mean</w:t>
            </w:r>
          </w:p>
          <w:p w14:paraId="4FDA6880" w14:textId="763ACC22" w:rsidR="00557194" w:rsidRPr="006F19E0" w:rsidRDefault="00557194" w:rsidP="00571CD9">
            <w:pPr>
              <w:jc w:val="center"/>
              <w:rPr>
                <w:rFonts w:ascii="Times New Roman" w:hAnsi="Times New Roman" w:cs="Times New Roman"/>
                <w:b/>
                <w:bCs/>
                <w:color w:val="000000" w:themeColor="text1"/>
                <w:sz w:val="24"/>
                <w:szCs w:val="24"/>
              </w:rPr>
            </w:pPr>
            <w:r w:rsidRPr="00557194">
              <w:rPr>
                <w:rFonts w:ascii="Times New Roman" w:hAnsi="Times New Roman" w:cs="Times New Roman"/>
                <w:b/>
                <w:bCs/>
                <w:color w:val="000000" w:themeColor="text1"/>
                <w:sz w:val="24"/>
                <w:szCs w:val="24"/>
              </w:rPr>
              <w:t>(Rs. Lakhs)</w:t>
            </w:r>
          </w:p>
        </w:tc>
        <w:tc>
          <w:tcPr>
            <w:tcW w:w="2126" w:type="dxa"/>
            <w:vAlign w:val="center"/>
          </w:tcPr>
          <w:p w14:paraId="7AAA4D36" w14:textId="77777777" w:rsidR="001966CE" w:rsidRDefault="001966CE" w:rsidP="00571CD9">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Standard Deviation</w:t>
            </w:r>
          </w:p>
          <w:p w14:paraId="08E7C64D" w14:textId="7260FAF0" w:rsidR="00557194" w:rsidRPr="006F19E0" w:rsidRDefault="00557194" w:rsidP="00571CD9">
            <w:pPr>
              <w:jc w:val="center"/>
              <w:rPr>
                <w:rFonts w:ascii="Times New Roman" w:hAnsi="Times New Roman" w:cs="Times New Roman"/>
                <w:b/>
                <w:bCs/>
                <w:color w:val="000000" w:themeColor="text1"/>
                <w:sz w:val="24"/>
                <w:szCs w:val="24"/>
              </w:rPr>
            </w:pPr>
            <w:r w:rsidRPr="00557194">
              <w:rPr>
                <w:rFonts w:ascii="Times New Roman" w:hAnsi="Times New Roman" w:cs="Times New Roman"/>
                <w:b/>
                <w:bCs/>
                <w:color w:val="000000" w:themeColor="text1"/>
                <w:sz w:val="24"/>
                <w:szCs w:val="24"/>
              </w:rPr>
              <w:t>(Rs. Lakhs)</w:t>
            </w:r>
          </w:p>
        </w:tc>
        <w:tc>
          <w:tcPr>
            <w:tcW w:w="2042" w:type="dxa"/>
            <w:vAlign w:val="center"/>
          </w:tcPr>
          <w:p w14:paraId="52C0F54C" w14:textId="77777777" w:rsidR="001966CE" w:rsidRDefault="001966CE" w:rsidP="00571CD9">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CAGR</w:t>
            </w:r>
          </w:p>
          <w:p w14:paraId="3EAF3C9B" w14:textId="2DC37E75" w:rsidR="00557194" w:rsidRPr="006F19E0" w:rsidRDefault="00557194" w:rsidP="00571CD9">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r>
      <w:tr w:rsidR="001966CE" w:rsidRPr="006F19E0" w14:paraId="6E8A99D8" w14:textId="77777777" w:rsidTr="00C321D9">
        <w:trPr>
          <w:trHeight w:val="354"/>
        </w:trPr>
        <w:tc>
          <w:tcPr>
            <w:tcW w:w="3256" w:type="dxa"/>
          </w:tcPr>
          <w:p w14:paraId="2F3B4A21" w14:textId="77777777" w:rsidR="001966CE" w:rsidRPr="006F19E0" w:rsidRDefault="001966CE" w:rsidP="00571CD9">
            <w:pPr>
              <w:jc w:val="both"/>
              <w:rPr>
                <w:rFonts w:ascii="Times New Roman" w:hAnsi="Times New Roman" w:cs="Times New Roman"/>
                <w:color w:val="000000" w:themeColor="text1"/>
                <w:sz w:val="24"/>
                <w:szCs w:val="24"/>
              </w:rPr>
            </w:pPr>
            <w:r w:rsidRPr="006F19E0">
              <w:rPr>
                <w:rFonts w:ascii="Times New Roman" w:eastAsia="Times New Roman" w:hAnsi="Times New Roman" w:cs="Times New Roman"/>
                <w:color w:val="000000"/>
                <w:kern w:val="0"/>
                <w:sz w:val="24"/>
                <w:szCs w:val="24"/>
                <w:lang w:eastAsia="en-IN"/>
                <w14:ligatures w14:val="none"/>
              </w:rPr>
              <w:t>Authorised Capital (Rs. Lakhs)</w:t>
            </w:r>
          </w:p>
        </w:tc>
        <w:tc>
          <w:tcPr>
            <w:tcW w:w="1701" w:type="dxa"/>
            <w:vAlign w:val="center"/>
          </w:tcPr>
          <w:p w14:paraId="1097AB48"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23.18</w:t>
            </w:r>
          </w:p>
        </w:tc>
        <w:tc>
          <w:tcPr>
            <w:tcW w:w="2126" w:type="dxa"/>
            <w:vAlign w:val="center"/>
          </w:tcPr>
          <w:p w14:paraId="2592B416"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9.29</w:t>
            </w:r>
          </w:p>
        </w:tc>
        <w:tc>
          <w:tcPr>
            <w:tcW w:w="2042" w:type="dxa"/>
            <w:vAlign w:val="center"/>
          </w:tcPr>
          <w:p w14:paraId="08137C0C"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0.14</w:t>
            </w:r>
          </w:p>
        </w:tc>
      </w:tr>
      <w:tr w:rsidR="001966CE" w:rsidRPr="006F19E0" w14:paraId="39C3C1E8" w14:textId="77777777" w:rsidTr="00C321D9">
        <w:trPr>
          <w:trHeight w:val="719"/>
        </w:trPr>
        <w:tc>
          <w:tcPr>
            <w:tcW w:w="3256" w:type="dxa"/>
            <w:vAlign w:val="center"/>
          </w:tcPr>
          <w:p w14:paraId="563CEA3B" w14:textId="77777777" w:rsidR="001966CE" w:rsidRPr="006F19E0" w:rsidRDefault="001966CE" w:rsidP="00571CD9">
            <w:pPr>
              <w:jc w:val="both"/>
              <w:rPr>
                <w:rFonts w:ascii="Times New Roman" w:hAnsi="Times New Roman" w:cs="Times New Roman"/>
                <w:color w:val="000000" w:themeColor="text1"/>
                <w:sz w:val="24"/>
                <w:szCs w:val="24"/>
              </w:rPr>
            </w:pPr>
            <w:r w:rsidRPr="006F19E0">
              <w:rPr>
                <w:rFonts w:ascii="Times New Roman" w:eastAsia="Times New Roman" w:hAnsi="Times New Roman" w:cs="Times New Roman"/>
                <w:color w:val="000000"/>
                <w:kern w:val="0"/>
                <w:sz w:val="24"/>
                <w:szCs w:val="24"/>
                <w:lang w:eastAsia="en-IN"/>
                <w14:ligatures w14:val="none"/>
              </w:rPr>
              <w:lastRenderedPageBreak/>
              <w:t>Paid up Capital (Rs. Lakhs)</w:t>
            </w:r>
          </w:p>
        </w:tc>
        <w:tc>
          <w:tcPr>
            <w:tcW w:w="1701" w:type="dxa"/>
            <w:vAlign w:val="center"/>
          </w:tcPr>
          <w:p w14:paraId="79F2AF86"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20.45</w:t>
            </w:r>
          </w:p>
        </w:tc>
        <w:tc>
          <w:tcPr>
            <w:tcW w:w="2126" w:type="dxa"/>
            <w:vAlign w:val="center"/>
          </w:tcPr>
          <w:p w14:paraId="6E449C91"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10.11</w:t>
            </w:r>
          </w:p>
        </w:tc>
        <w:tc>
          <w:tcPr>
            <w:tcW w:w="2042" w:type="dxa"/>
            <w:vAlign w:val="center"/>
          </w:tcPr>
          <w:p w14:paraId="59374E4D"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0.23</w:t>
            </w:r>
          </w:p>
        </w:tc>
      </w:tr>
    </w:tbl>
    <w:bookmarkEnd w:id="6"/>
    <w:p w14:paraId="5F4F0BA7" w14:textId="77777777" w:rsidR="000E5225" w:rsidRPr="006F19E0" w:rsidRDefault="000E5225" w:rsidP="000E5225">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Source: Department of Agricultural Marketing &amp; Agri Business, Govt. of Tamil Nadu</w:t>
      </w:r>
      <w:r w:rsidR="00B12500" w:rsidRPr="006F19E0">
        <w:rPr>
          <w:rFonts w:ascii="Times New Roman" w:hAnsi="Times New Roman" w:cs="Times New Roman"/>
          <w:color w:val="000000" w:themeColor="text1"/>
          <w:sz w:val="24"/>
          <w:szCs w:val="24"/>
        </w:rPr>
        <w:t>, 2014-2025.</w:t>
      </w:r>
    </w:p>
    <w:p w14:paraId="2BBAB8E2" w14:textId="159F5135" w:rsidR="00744717" w:rsidRPr="006F19E0" w:rsidRDefault="00744717" w:rsidP="00744717">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The trend analysis of FPO growth in Tamil Nadu shows that the average authorised capital stood at </w:t>
      </w:r>
      <w:r w:rsidR="00C321D9">
        <w:rPr>
          <w:rFonts w:ascii="Times New Roman" w:hAnsi="Times New Roman" w:cs="Times New Roman"/>
          <w:color w:val="000000" w:themeColor="text1"/>
          <w:sz w:val="24"/>
          <w:szCs w:val="24"/>
        </w:rPr>
        <w:t>Rs.</w:t>
      </w:r>
      <w:r w:rsidRPr="006F19E0">
        <w:rPr>
          <w:rFonts w:ascii="Times New Roman" w:hAnsi="Times New Roman" w:cs="Times New Roman"/>
          <w:color w:val="000000" w:themeColor="text1"/>
          <w:sz w:val="24"/>
          <w:szCs w:val="24"/>
        </w:rPr>
        <w:t xml:space="preserve">23.18 lakhs, with a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9.29 lakhs, indicating moderate variation over the years. The compound annual growth rate (CAGR) of 0.14 suggests a steady but gradual expansion in the sanctioned capital base.</w:t>
      </w:r>
    </w:p>
    <w:p w14:paraId="2E38BDEE" w14:textId="6CE903B4" w:rsidR="00F61E92" w:rsidRPr="006F19E0" w:rsidRDefault="00744717" w:rsidP="00744717">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In contrast, the average paid-up capital was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20.45 lakhs, with a slightly higher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10.11 lakhs, reflecting comparatively greater fluctuations. The higher CAGR of 0.23 indicates that paid-up capital has grown at a faster pace than authorised capital, showing improved member contribution and capital mobilization over time. </w:t>
      </w:r>
      <w:r w:rsidR="000E5225" w:rsidRPr="006F19E0">
        <w:rPr>
          <w:rFonts w:ascii="Times New Roman" w:hAnsi="Times New Roman" w:cs="Times New Roman"/>
          <w:color w:val="000000" w:themeColor="text1"/>
          <w:sz w:val="24"/>
          <w:szCs w:val="24"/>
        </w:rPr>
        <w:t xml:space="preserve">The </w:t>
      </w:r>
      <w:r w:rsidR="00C463A0" w:rsidRPr="006F19E0">
        <w:rPr>
          <w:rFonts w:ascii="Times New Roman" w:hAnsi="Times New Roman" w:cs="Times New Roman"/>
          <w:color w:val="000000" w:themeColor="text1"/>
          <w:sz w:val="24"/>
          <w:szCs w:val="24"/>
        </w:rPr>
        <w:t xml:space="preserve">capital </w:t>
      </w:r>
      <w:r w:rsidR="000E5225" w:rsidRPr="006F19E0">
        <w:rPr>
          <w:rFonts w:ascii="Times New Roman" w:hAnsi="Times New Roman" w:cs="Times New Roman"/>
          <w:color w:val="000000" w:themeColor="text1"/>
          <w:sz w:val="24"/>
          <w:szCs w:val="24"/>
        </w:rPr>
        <w:t xml:space="preserve">growth </w:t>
      </w:r>
      <w:r w:rsidR="00C463A0" w:rsidRPr="006F19E0">
        <w:rPr>
          <w:rFonts w:ascii="Times New Roman" w:hAnsi="Times New Roman" w:cs="Times New Roman"/>
          <w:color w:val="000000" w:themeColor="text1"/>
          <w:sz w:val="24"/>
          <w:szCs w:val="24"/>
        </w:rPr>
        <w:t>of FPOs in</w:t>
      </w:r>
      <w:r w:rsidR="000E5225" w:rsidRPr="006F19E0">
        <w:rPr>
          <w:rFonts w:ascii="Times New Roman" w:hAnsi="Times New Roman" w:cs="Times New Roman"/>
          <w:color w:val="000000" w:themeColor="text1"/>
          <w:sz w:val="24"/>
          <w:szCs w:val="24"/>
        </w:rPr>
        <w:t xml:space="preserve"> Tamil Nadu are given in Fig </w:t>
      </w:r>
      <w:r w:rsidR="000D27DF" w:rsidRPr="006F19E0">
        <w:rPr>
          <w:rFonts w:ascii="Times New Roman" w:hAnsi="Times New Roman" w:cs="Times New Roman"/>
          <w:color w:val="000000" w:themeColor="text1"/>
          <w:sz w:val="24"/>
          <w:szCs w:val="24"/>
        </w:rPr>
        <w:t>2</w:t>
      </w:r>
      <w:r w:rsidR="000E5225" w:rsidRPr="006F19E0">
        <w:rPr>
          <w:rFonts w:ascii="Times New Roman" w:hAnsi="Times New Roman" w:cs="Times New Roman"/>
          <w:color w:val="000000" w:themeColor="text1"/>
          <w:sz w:val="24"/>
          <w:szCs w:val="24"/>
        </w:rPr>
        <w:t>.</w:t>
      </w:r>
    </w:p>
    <w:p w14:paraId="51DB273B" w14:textId="633FFF1F" w:rsidR="00725DE0" w:rsidRPr="006F19E0" w:rsidRDefault="00725DE0" w:rsidP="00725DE0">
      <w:pPr>
        <w:spacing w:line="360" w:lineRule="auto"/>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Fig </w:t>
      </w:r>
      <w:r w:rsidR="00744717" w:rsidRPr="006F19E0">
        <w:rPr>
          <w:rFonts w:ascii="Times New Roman" w:hAnsi="Times New Roman" w:cs="Times New Roman"/>
          <w:b/>
          <w:bCs/>
          <w:color w:val="000000" w:themeColor="text1"/>
          <w:sz w:val="24"/>
          <w:szCs w:val="24"/>
        </w:rPr>
        <w:t>2</w:t>
      </w:r>
      <w:r w:rsidRPr="006F19E0">
        <w:rPr>
          <w:rFonts w:ascii="Times New Roman" w:hAnsi="Times New Roman" w:cs="Times New Roman"/>
          <w:b/>
          <w:bCs/>
          <w:color w:val="000000" w:themeColor="text1"/>
          <w:sz w:val="24"/>
          <w:szCs w:val="24"/>
        </w:rPr>
        <w:t xml:space="preserve">. </w:t>
      </w:r>
      <w:r w:rsidR="00E44D5D" w:rsidRPr="006F19E0">
        <w:rPr>
          <w:rFonts w:ascii="Times New Roman" w:hAnsi="Times New Roman" w:cs="Times New Roman"/>
          <w:b/>
          <w:bCs/>
          <w:color w:val="000000" w:themeColor="text1"/>
          <w:sz w:val="24"/>
          <w:szCs w:val="24"/>
        </w:rPr>
        <w:t xml:space="preserve">Authorised and </w:t>
      </w:r>
      <w:r w:rsidR="00744717" w:rsidRPr="006F19E0">
        <w:rPr>
          <w:rFonts w:ascii="Times New Roman" w:hAnsi="Times New Roman" w:cs="Times New Roman"/>
          <w:b/>
          <w:bCs/>
          <w:color w:val="000000" w:themeColor="text1"/>
          <w:sz w:val="24"/>
          <w:szCs w:val="24"/>
        </w:rPr>
        <w:t>P</w:t>
      </w:r>
      <w:r w:rsidR="00E44D5D" w:rsidRPr="006F19E0">
        <w:rPr>
          <w:rFonts w:ascii="Times New Roman" w:hAnsi="Times New Roman" w:cs="Times New Roman"/>
          <w:b/>
          <w:bCs/>
          <w:color w:val="000000" w:themeColor="text1"/>
          <w:sz w:val="24"/>
          <w:szCs w:val="24"/>
        </w:rPr>
        <w:t>aid</w:t>
      </w:r>
      <w:r w:rsidR="006A73AE" w:rsidRPr="006F19E0">
        <w:rPr>
          <w:rFonts w:ascii="Times New Roman" w:hAnsi="Times New Roman" w:cs="Times New Roman"/>
          <w:b/>
          <w:bCs/>
          <w:color w:val="000000" w:themeColor="text1"/>
          <w:sz w:val="24"/>
          <w:szCs w:val="24"/>
        </w:rPr>
        <w:t>-</w:t>
      </w:r>
      <w:r w:rsidR="00E44D5D" w:rsidRPr="006F19E0">
        <w:rPr>
          <w:rFonts w:ascii="Times New Roman" w:hAnsi="Times New Roman" w:cs="Times New Roman"/>
          <w:b/>
          <w:bCs/>
          <w:color w:val="000000" w:themeColor="text1"/>
          <w:sz w:val="24"/>
          <w:szCs w:val="24"/>
        </w:rPr>
        <w:t xml:space="preserve">up </w:t>
      </w:r>
      <w:r w:rsidR="00744717" w:rsidRPr="006F19E0">
        <w:rPr>
          <w:rFonts w:ascii="Times New Roman" w:hAnsi="Times New Roman" w:cs="Times New Roman"/>
          <w:b/>
          <w:bCs/>
          <w:color w:val="000000" w:themeColor="text1"/>
          <w:sz w:val="24"/>
          <w:szCs w:val="24"/>
        </w:rPr>
        <w:t>C</w:t>
      </w:r>
      <w:r w:rsidR="00E44D5D" w:rsidRPr="006F19E0">
        <w:rPr>
          <w:rFonts w:ascii="Times New Roman" w:hAnsi="Times New Roman" w:cs="Times New Roman"/>
          <w:b/>
          <w:bCs/>
          <w:color w:val="000000" w:themeColor="text1"/>
          <w:sz w:val="24"/>
          <w:szCs w:val="24"/>
        </w:rPr>
        <w:t xml:space="preserve">apital of FPOs in Tamil Nadu </w:t>
      </w:r>
    </w:p>
    <w:p w14:paraId="49E06EDB" w14:textId="20E0B870" w:rsidR="00934D6A" w:rsidRDefault="00F41DFA" w:rsidP="00D65D5B">
      <w:pPr>
        <w:spacing w:line="360" w:lineRule="auto"/>
        <w:jc w:val="center"/>
        <w:rPr>
          <w:rFonts w:ascii="Times New Roman" w:hAnsi="Times New Roman" w:cs="Times New Roman"/>
          <w:b/>
          <w:bCs/>
          <w:color w:val="000000" w:themeColor="text1"/>
          <w:sz w:val="24"/>
          <w:szCs w:val="24"/>
        </w:rPr>
      </w:pPr>
      <w:r w:rsidRPr="006F19E0">
        <w:rPr>
          <w:rFonts w:ascii="Times New Roman" w:hAnsi="Times New Roman" w:cs="Times New Roman"/>
          <w:noProof/>
          <w:sz w:val="24"/>
          <w:szCs w:val="24"/>
          <w:lang w:eastAsia="en-IN"/>
        </w:rPr>
        <w:drawing>
          <wp:inline distT="0" distB="0" distL="0" distR="0" wp14:anchorId="57203B26" wp14:editId="511E2961">
            <wp:extent cx="4572000" cy="2743200"/>
            <wp:effectExtent l="0" t="0" r="0" b="0"/>
            <wp:docPr id="1723413998" name="Chart 1">
              <a:extLst xmlns:a="http://schemas.openxmlformats.org/drawingml/2006/main">
                <a:ext uri="{FF2B5EF4-FFF2-40B4-BE49-F238E27FC236}">
                  <a16:creationId xmlns:a16="http://schemas.microsoft.com/office/drawing/2014/main" id="{E1CEF381-13CE-BC4E-5AEA-C3258B162E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7" w:name="_Hlk222044826"/>
    </w:p>
    <w:p w14:paraId="279BBC92" w14:textId="75F4C2C1" w:rsidR="00F41DFA" w:rsidRPr="006F19E0" w:rsidRDefault="00F41DFA" w:rsidP="000055F8">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3. Financial Performance of FPOs in Tamil Nadu</w:t>
      </w:r>
    </w:p>
    <w:p w14:paraId="199BE7D1" w14:textId="0B27DFFE" w:rsidR="007C6421" w:rsidRPr="006F19E0" w:rsidRDefault="00957223" w:rsidP="00D65D5B">
      <w:pPr>
        <w:spacing w:line="360" w:lineRule="auto"/>
        <w:ind w:firstLine="720"/>
        <w:jc w:val="both"/>
        <w:rPr>
          <w:rFonts w:ascii="Times New Roman" w:hAnsi="Times New Roman" w:cs="Times New Roman"/>
          <w:b/>
          <w:bCs/>
          <w:color w:val="000000" w:themeColor="text1"/>
          <w:sz w:val="24"/>
          <w:szCs w:val="24"/>
        </w:rPr>
      </w:pPr>
      <w:r w:rsidRPr="006F19E0">
        <w:rPr>
          <w:rFonts w:ascii="Times New Roman" w:hAnsi="Times New Roman" w:cs="Times New Roman"/>
          <w:color w:val="000000" w:themeColor="text1"/>
          <w:sz w:val="24"/>
          <w:szCs w:val="24"/>
        </w:rPr>
        <w:t>Farmer Producer Organisations (FPOs) in Tamil Nadu have shown steady financial progress over the past decade, reflecting improvements in capital mobilisation, turnover and market integration. Their growing economic strength highlights the role of collective action in enhancing farmers’ income, profitability and sustainability in the agribusiness sector.</w:t>
      </w:r>
      <w:r w:rsidR="007C6421" w:rsidRPr="006F19E0">
        <w:rPr>
          <w:rFonts w:ascii="Times New Roman" w:hAnsi="Times New Roman" w:cs="Times New Roman"/>
          <w:color w:val="000000" w:themeColor="text1"/>
          <w:sz w:val="24"/>
          <w:szCs w:val="24"/>
        </w:rPr>
        <w:t xml:space="preserve"> Table</w:t>
      </w:r>
      <w:r w:rsidR="007C6421" w:rsidRPr="006F19E0">
        <w:rPr>
          <w:rFonts w:ascii="Times New Roman" w:hAnsi="Times New Roman" w:cs="Times New Roman"/>
          <w:b/>
          <w:bCs/>
          <w:color w:val="000000" w:themeColor="text1"/>
          <w:sz w:val="24"/>
          <w:szCs w:val="24"/>
        </w:rPr>
        <w:t xml:space="preserve"> </w:t>
      </w:r>
      <w:r w:rsidR="007C6421" w:rsidRPr="006F19E0">
        <w:rPr>
          <w:rFonts w:ascii="Times New Roman" w:hAnsi="Times New Roman" w:cs="Times New Roman"/>
          <w:color w:val="000000" w:themeColor="text1"/>
          <w:sz w:val="24"/>
          <w:szCs w:val="24"/>
        </w:rPr>
        <w:t xml:space="preserve">3 represents </w:t>
      </w:r>
      <w:r w:rsidR="00EC7B0A">
        <w:rPr>
          <w:rFonts w:ascii="Times New Roman" w:hAnsi="Times New Roman" w:cs="Times New Roman"/>
          <w:color w:val="000000" w:themeColor="text1"/>
          <w:sz w:val="24"/>
          <w:szCs w:val="24"/>
        </w:rPr>
        <w:t>the financial p</w:t>
      </w:r>
      <w:r w:rsidR="007C6421" w:rsidRPr="006F19E0">
        <w:rPr>
          <w:rFonts w:ascii="Times New Roman" w:hAnsi="Times New Roman" w:cs="Times New Roman"/>
          <w:color w:val="000000" w:themeColor="text1"/>
          <w:sz w:val="24"/>
          <w:szCs w:val="24"/>
        </w:rPr>
        <w:t>erformance of FPOs in Tamil Nadu</w:t>
      </w:r>
      <w:r w:rsidR="007C6421" w:rsidRPr="006F19E0">
        <w:rPr>
          <w:rFonts w:ascii="Times New Roman" w:hAnsi="Times New Roman" w:cs="Times New Roman"/>
          <w:b/>
          <w:bCs/>
          <w:color w:val="000000" w:themeColor="text1"/>
          <w:sz w:val="24"/>
          <w:szCs w:val="24"/>
        </w:rPr>
        <w:t xml:space="preserve"> </w:t>
      </w:r>
      <w:r w:rsidR="007C6421" w:rsidRPr="006F19E0">
        <w:rPr>
          <w:rFonts w:ascii="Times New Roman" w:hAnsi="Times New Roman" w:cs="Times New Roman"/>
          <w:color w:val="000000" w:themeColor="text1"/>
          <w:sz w:val="24"/>
          <w:szCs w:val="24"/>
        </w:rPr>
        <w:t xml:space="preserve">from 2014 to 2025. </w:t>
      </w:r>
    </w:p>
    <w:p w14:paraId="7F21F936" w14:textId="6C2D25AD" w:rsidR="00957223" w:rsidRPr="006F19E0" w:rsidRDefault="007C6421" w:rsidP="007C6421">
      <w:pPr>
        <w:spacing w:line="360" w:lineRule="auto"/>
        <w:ind w:firstLine="720"/>
        <w:jc w:val="center"/>
        <w:rPr>
          <w:rFonts w:ascii="Times New Roman" w:hAnsi="Times New Roman" w:cs="Times New Roman"/>
          <w:color w:val="000000" w:themeColor="text1"/>
          <w:sz w:val="24"/>
          <w:szCs w:val="24"/>
        </w:rPr>
      </w:pPr>
      <w:r w:rsidRPr="006F19E0">
        <w:rPr>
          <w:rFonts w:ascii="Times New Roman" w:hAnsi="Times New Roman" w:cs="Times New Roman"/>
          <w:b/>
          <w:bCs/>
          <w:color w:val="000000" w:themeColor="text1"/>
          <w:sz w:val="24"/>
          <w:szCs w:val="24"/>
        </w:rPr>
        <w:lastRenderedPageBreak/>
        <w:t>Table 3.</w:t>
      </w:r>
      <w:r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b/>
          <w:bCs/>
          <w:color w:val="000000" w:themeColor="text1"/>
          <w:sz w:val="24"/>
          <w:szCs w:val="24"/>
        </w:rPr>
        <w:t>Financial Performance of FPOs in Tamil Nadu</w:t>
      </w:r>
    </w:p>
    <w:tbl>
      <w:tblPr>
        <w:tblStyle w:val="TableGrid"/>
        <w:tblW w:w="8962" w:type="dxa"/>
        <w:tblLook w:val="04A0" w:firstRow="1" w:lastRow="0" w:firstColumn="1" w:lastColumn="0" w:noHBand="0" w:noVBand="1"/>
      </w:tblPr>
      <w:tblGrid>
        <w:gridCol w:w="3823"/>
        <w:gridCol w:w="1559"/>
        <w:gridCol w:w="1701"/>
        <w:gridCol w:w="1879"/>
      </w:tblGrid>
      <w:tr w:rsidR="001966CE" w:rsidRPr="006F19E0" w14:paraId="4467692F" w14:textId="77777777" w:rsidTr="00C321D9">
        <w:trPr>
          <w:trHeight w:val="730"/>
        </w:trPr>
        <w:tc>
          <w:tcPr>
            <w:tcW w:w="3823" w:type="dxa"/>
            <w:vAlign w:val="center"/>
          </w:tcPr>
          <w:p w14:paraId="458DC3E7" w14:textId="77777777" w:rsidR="00557194" w:rsidRDefault="00957223" w:rsidP="00957223">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Financial Indicators</w:t>
            </w:r>
          </w:p>
          <w:p w14:paraId="66E6A6B7" w14:textId="0DB07539" w:rsidR="001966CE" w:rsidRPr="006F19E0" w:rsidRDefault="00557194" w:rsidP="00957223">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Pr="00557194">
              <w:rPr>
                <w:rFonts w:ascii="Times New Roman" w:hAnsi="Times New Roman" w:cs="Times New Roman"/>
                <w:b/>
                <w:bCs/>
                <w:color w:val="000000" w:themeColor="text1"/>
                <w:sz w:val="24"/>
                <w:szCs w:val="24"/>
              </w:rPr>
              <w:t>(Rs. Lakhs)</w:t>
            </w:r>
          </w:p>
        </w:tc>
        <w:tc>
          <w:tcPr>
            <w:tcW w:w="1559" w:type="dxa"/>
            <w:vAlign w:val="center"/>
          </w:tcPr>
          <w:p w14:paraId="4D98E61D" w14:textId="77777777" w:rsidR="001966CE" w:rsidRDefault="001966CE" w:rsidP="00957223">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Mean</w:t>
            </w:r>
          </w:p>
          <w:p w14:paraId="3996AEEB" w14:textId="757497C4" w:rsidR="00557194" w:rsidRPr="006F19E0" w:rsidRDefault="00557194" w:rsidP="00957223">
            <w:pPr>
              <w:jc w:val="center"/>
              <w:rPr>
                <w:rFonts w:ascii="Times New Roman" w:hAnsi="Times New Roman" w:cs="Times New Roman"/>
                <w:b/>
                <w:bCs/>
                <w:color w:val="000000" w:themeColor="text1"/>
                <w:sz w:val="24"/>
                <w:szCs w:val="24"/>
              </w:rPr>
            </w:pPr>
            <w:r w:rsidRPr="00557194">
              <w:rPr>
                <w:rFonts w:ascii="Times New Roman" w:hAnsi="Times New Roman" w:cs="Times New Roman"/>
                <w:b/>
                <w:bCs/>
                <w:color w:val="000000" w:themeColor="text1"/>
                <w:sz w:val="24"/>
                <w:szCs w:val="24"/>
              </w:rPr>
              <w:t>(Rs. Lakhs)</w:t>
            </w:r>
          </w:p>
        </w:tc>
        <w:tc>
          <w:tcPr>
            <w:tcW w:w="1701" w:type="dxa"/>
            <w:vAlign w:val="center"/>
          </w:tcPr>
          <w:p w14:paraId="0B1FC4B0" w14:textId="77777777" w:rsidR="00557194" w:rsidRDefault="001966CE" w:rsidP="00957223">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Standard Deviation</w:t>
            </w:r>
          </w:p>
          <w:p w14:paraId="64C1518C" w14:textId="42F9FB05" w:rsidR="001966CE" w:rsidRPr="006F19E0" w:rsidRDefault="00557194" w:rsidP="00957223">
            <w:pPr>
              <w:jc w:val="center"/>
              <w:rPr>
                <w:rFonts w:ascii="Times New Roman" w:hAnsi="Times New Roman" w:cs="Times New Roman"/>
                <w:b/>
                <w:bCs/>
                <w:color w:val="000000" w:themeColor="text1"/>
                <w:sz w:val="24"/>
                <w:szCs w:val="24"/>
              </w:rPr>
            </w:pPr>
            <w:r w:rsidRPr="00557194">
              <w:rPr>
                <w:rFonts w:ascii="Times New Roman" w:hAnsi="Times New Roman" w:cs="Times New Roman"/>
                <w:b/>
                <w:bCs/>
                <w:color w:val="000000" w:themeColor="text1"/>
                <w:sz w:val="24"/>
                <w:szCs w:val="24"/>
              </w:rPr>
              <w:t>(Rs. Lakhs)</w:t>
            </w:r>
          </w:p>
        </w:tc>
        <w:tc>
          <w:tcPr>
            <w:tcW w:w="1879" w:type="dxa"/>
            <w:vAlign w:val="center"/>
          </w:tcPr>
          <w:p w14:paraId="60367084" w14:textId="77777777" w:rsidR="00557194" w:rsidRDefault="001966CE" w:rsidP="00957223">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CAGR</w:t>
            </w:r>
          </w:p>
          <w:p w14:paraId="67626271" w14:textId="646DB7F0" w:rsidR="001966CE" w:rsidRPr="006F19E0" w:rsidRDefault="00557194" w:rsidP="00957223">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r>
      <w:tr w:rsidR="001966CE" w:rsidRPr="006F19E0" w14:paraId="7A37E638" w14:textId="77777777" w:rsidTr="00C321D9">
        <w:trPr>
          <w:trHeight w:val="359"/>
        </w:trPr>
        <w:tc>
          <w:tcPr>
            <w:tcW w:w="3823" w:type="dxa"/>
          </w:tcPr>
          <w:p w14:paraId="4E3B0BA3" w14:textId="2D5B90D7" w:rsidR="001966CE" w:rsidRPr="006F19E0" w:rsidRDefault="001966CE" w:rsidP="00571CD9">
            <w:pPr>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Share Capital Mobilised (</w:t>
            </w:r>
            <w:r w:rsidR="00C321D9">
              <w:rPr>
                <w:rFonts w:ascii="Times New Roman" w:hAnsi="Times New Roman" w:cs="Times New Roman"/>
                <w:color w:val="000000" w:themeColor="text1"/>
                <w:sz w:val="24"/>
                <w:szCs w:val="24"/>
              </w:rPr>
              <w:t>Rs.</w:t>
            </w:r>
            <w:r w:rsidRPr="006F19E0">
              <w:rPr>
                <w:rFonts w:ascii="Times New Roman" w:hAnsi="Times New Roman" w:cs="Times New Roman"/>
                <w:color w:val="000000" w:themeColor="text1"/>
                <w:sz w:val="24"/>
                <w:szCs w:val="24"/>
              </w:rPr>
              <w:t xml:space="preserve"> Lakhs)</w:t>
            </w:r>
          </w:p>
        </w:tc>
        <w:tc>
          <w:tcPr>
            <w:tcW w:w="1559" w:type="dxa"/>
          </w:tcPr>
          <w:p w14:paraId="4A3A44B4" w14:textId="54586306" w:rsidR="001966CE" w:rsidRPr="006F19E0" w:rsidRDefault="00624B16"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288.18</w:t>
            </w:r>
          </w:p>
        </w:tc>
        <w:tc>
          <w:tcPr>
            <w:tcW w:w="1701" w:type="dxa"/>
          </w:tcPr>
          <w:p w14:paraId="386A9B16" w14:textId="0C8D63FE"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w:t>
            </w:r>
            <w:r w:rsidR="00624B16" w:rsidRPr="006F19E0">
              <w:rPr>
                <w:rFonts w:ascii="Times New Roman" w:hAnsi="Times New Roman" w:cs="Times New Roman"/>
                <w:color w:val="000000" w:themeColor="text1"/>
                <w:sz w:val="24"/>
                <w:szCs w:val="24"/>
              </w:rPr>
              <w:t>4000</w:t>
            </w:r>
          </w:p>
        </w:tc>
        <w:tc>
          <w:tcPr>
            <w:tcW w:w="1879" w:type="dxa"/>
          </w:tcPr>
          <w:p w14:paraId="6CCC71D5"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0.31</w:t>
            </w:r>
          </w:p>
        </w:tc>
      </w:tr>
      <w:tr w:rsidR="001966CE" w:rsidRPr="006F19E0" w14:paraId="2EB6398D" w14:textId="77777777" w:rsidTr="00C321D9">
        <w:trPr>
          <w:trHeight w:val="730"/>
        </w:trPr>
        <w:tc>
          <w:tcPr>
            <w:tcW w:w="3823" w:type="dxa"/>
          </w:tcPr>
          <w:p w14:paraId="4D87FDA3" w14:textId="11CD7891" w:rsidR="001966CE" w:rsidRPr="006F19E0" w:rsidRDefault="001966CE" w:rsidP="00571CD9">
            <w:pPr>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Aggregate Turnover (</w:t>
            </w:r>
            <w:r w:rsidR="00C321D9">
              <w:rPr>
                <w:rFonts w:ascii="Times New Roman" w:hAnsi="Times New Roman" w:cs="Times New Roman"/>
                <w:color w:val="000000" w:themeColor="text1"/>
                <w:sz w:val="24"/>
                <w:szCs w:val="24"/>
              </w:rPr>
              <w:t>Rs.</w:t>
            </w:r>
            <w:r w:rsidRPr="006F19E0">
              <w:rPr>
                <w:rFonts w:ascii="Times New Roman" w:hAnsi="Times New Roman" w:cs="Times New Roman"/>
                <w:color w:val="000000" w:themeColor="text1"/>
                <w:sz w:val="24"/>
                <w:szCs w:val="24"/>
              </w:rPr>
              <w:t xml:space="preserve"> </w:t>
            </w:r>
            <w:r w:rsidR="00624B16" w:rsidRPr="006F19E0">
              <w:rPr>
                <w:rFonts w:ascii="Times New Roman" w:hAnsi="Times New Roman" w:cs="Times New Roman"/>
                <w:color w:val="000000" w:themeColor="text1"/>
                <w:sz w:val="24"/>
                <w:szCs w:val="24"/>
              </w:rPr>
              <w:t>Lakh</w:t>
            </w:r>
            <w:r w:rsidRPr="006F19E0">
              <w:rPr>
                <w:rFonts w:ascii="Times New Roman" w:hAnsi="Times New Roman" w:cs="Times New Roman"/>
                <w:color w:val="000000" w:themeColor="text1"/>
                <w:sz w:val="24"/>
                <w:szCs w:val="24"/>
              </w:rPr>
              <w:t>s)</w:t>
            </w:r>
          </w:p>
        </w:tc>
        <w:tc>
          <w:tcPr>
            <w:tcW w:w="1559" w:type="dxa"/>
          </w:tcPr>
          <w:p w14:paraId="751A2377" w14:textId="36E0B1C2"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24</w:t>
            </w:r>
            <w:r w:rsidR="00624B16" w:rsidRPr="006F19E0">
              <w:rPr>
                <w:rFonts w:ascii="Times New Roman" w:hAnsi="Times New Roman" w:cs="Times New Roman"/>
                <w:color w:val="000000" w:themeColor="text1"/>
                <w:sz w:val="24"/>
                <w:szCs w:val="24"/>
              </w:rPr>
              <w:t>000.00</w:t>
            </w:r>
          </w:p>
        </w:tc>
        <w:tc>
          <w:tcPr>
            <w:tcW w:w="1701" w:type="dxa"/>
          </w:tcPr>
          <w:p w14:paraId="06CF707D" w14:textId="4DBA0672"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w:t>
            </w:r>
            <w:r w:rsidR="00624B16" w:rsidRPr="006F19E0">
              <w:rPr>
                <w:rFonts w:ascii="Times New Roman" w:hAnsi="Times New Roman" w:cs="Times New Roman"/>
                <w:color w:val="000000" w:themeColor="text1"/>
                <w:sz w:val="24"/>
                <w:szCs w:val="24"/>
              </w:rPr>
              <w:t>5771.81</w:t>
            </w:r>
          </w:p>
        </w:tc>
        <w:tc>
          <w:tcPr>
            <w:tcW w:w="1879" w:type="dxa"/>
          </w:tcPr>
          <w:p w14:paraId="5F1B2062" w14:textId="61E65C81"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0.3</w:t>
            </w:r>
            <w:r w:rsidR="00624B16" w:rsidRPr="006F19E0">
              <w:rPr>
                <w:rFonts w:ascii="Times New Roman" w:hAnsi="Times New Roman" w:cs="Times New Roman"/>
                <w:color w:val="000000" w:themeColor="text1"/>
                <w:sz w:val="24"/>
                <w:szCs w:val="24"/>
              </w:rPr>
              <w:t>4</w:t>
            </w:r>
          </w:p>
        </w:tc>
      </w:tr>
      <w:tr w:rsidR="001966CE" w:rsidRPr="006F19E0" w14:paraId="0C1F7F82" w14:textId="77777777" w:rsidTr="00C321D9">
        <w:trPr>
          <w:trHeight w:val="730"/>
        </w:trPr>
        <w:tc>
          <w:tcPr>
            <w:tcW w:w="3823" w:type="dxa"/>
          </w:tcPr>
          <w:p w14:paraId="1FCAA9EB" w14:textId="60AE9735" w:rsidR="001966CE" w:rsidRPr="006F19E0" w:rsidRDefault="001966CE" w:rsidP="00571CD9">
            <w:pPr>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Net Profit / Surplus (</w:t>
            </w:r>
            <w:r w:rsidR="00C321D9">
              <w:rPr>
                <w:rFonts w:ascii="Times New Roman" w:hAnsi="Times New Roman" w:cs="Times New Roman"/>
                <w:color w:val="000000" w:themeColor="text1"/>
                <w:sz w:val="24"/>
                <w:szCs w:val="24"/>
              </w:rPr>
              <w:t>Rs.</w:t>
            </w:r>
            <w:r w:rsidRPr="006F19E0">
              <w:rPr>
                <w:rFonts w:ascii="Times New Roman" w:hAnsi="Times New Roman" w:cs="Times New Roman"/>
                <w:color w:val="000000" w:themeColor="text1"/>
                <w:sz w:val="24"/>
                <w:szCs w:val="24"/>
              </w:rPr>
              <w:t xml:space="preserve"> </w:t>
            </w:r>
            <w:r w:rsidR="00624B16" w:rsidRPr="006F19E0">
              <w:rPr>
                <w:rFonts w:ascii="Times New Roman" w:hAnsi="Times New Roman" w:cs="Times New Roman"/>
                <w:color w:val="000000" w:themeColor="text1"/>
                <w:sz w:val="24"/>
                <w:szCs w:val="24"/>
              </w:rPr>
              <w:t>Lakhs</w:t>
            </w:r>
            <w:r w:rsidRPr="006F19E0">
              <w:rPr>
                <w:rFonts w:ascii="Times New Roman" w:hAnsi="Times New Roman" w:cs="Times New Roman"/>
                <w:color w:val="000000" w:themeColor="text1"/>
                <w:sz w:val="24"/>
                <w:szCs w:val="24"/>
              </w:rPr>
              <w:t>)</w:t>
            </w:r>
          </w:p>
        </w:tc>
        <w:tc>
          <w:tcPr>
            <w:tcW w:w="1559" w:type="dxa"/>
          </w:tcPr>
          <w:p w14:paraId="3CE57217" w14:textId="61CB8B75" w:rsidR="001966CE" w:rsidRPr="006F19E0" w:rsidRDefault="00624B16"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1263.63</w:t>
            </w:r>
          </w:p>
        </w:tc>
        <w:tc>
          <w:tcPr>
            <w:tcW w:w="1701" w:type="dxa"/>
          </w:tcPr>
          <w:p w14:paraId="4956AE67" w14:textId="2B2BBDC2" w:rsidR="001966CE" w:rsidRPr="006F19E0" w:rsidRDefault="00624B16"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824.34</w:t>
            </w:r>
          </w:p>
        </w:tc>
        <w:tc>
          <w:tcPr>
            <w:tcW w:w="1879" w:type="dxa"/>
          </w:tcPr>
          <w:p w14:paraId="1D6D7B4A" w14:textId="559861F6"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0.3</w:t>
            </w:r>
            <w:r w:rsidR="00624B16" w:rsidRPr="006F19E0">
              <w:rPr>
                <w:rFonts w:ascii="Times New Roman" w:hAnsi="Times New Roman" w:cs="Times New Roman"/>
                <w:color w:val="000000" w:themeColor="text1"/>
                <w:sz w:val="24"/>
                <w:szCs w:val="24"/>
              </w:rPr>
              <w:t>1</w:t>
            </w:r>
          </w:p>
        </w:tc>
      </w:tr>
    </w:tbl>
    <w:p w14:paraId="1F1DB348" w14:textId="6D0374E8" w:rsidR="00F41DFA" w:rsidRPr="006F19E0" w:rsidRDefault="001966C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Source: NABARD. Annual Reports (2014-25).</w:t>
      </w:r>
    </w:p>
    <w:p w14:paraId="105A3870" w14:textId="413A8B54" w:rsidR="00624B16" w:rsidRPr="006F19E0" w:rsidRDefault="00624B16" w:rsidP="00624B16">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The financial indicators of Farmer Producer Organisations (FPOs) reveal a consistent upward trend in capital formation, business turnover and profitability. The average share capital mobilised stood at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288.18 lakhs, with a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211.79 lakhs, indicating moderate variability in capital accumulation among FPOs. The compound annual growth rate (CAGR) of 31 per cent reflects strong progress in member equity participation and institutional strengthening over the study period.</w:t>
      </w:r>
    </w:p>
    <w:p w14:paraId="21612421" w14:textId="1B6603EE" w:rsidR="00934D6A" w:rsidRPr="00C321D9" w:rsidRDefault="00624B16" w:rsidP="00C321D9">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Similarly, the aggregate turnover recorded a mean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24,000.00 lakhs with a standard deviation of </w:t>
      </w:r>
      <w:r w:rsidR="00C321D9">
        <w:rPr>
          <w:rFonts w:ascii="Times New Roman" w:hAnsi="Times New Roman" w:cs="Times New Roman"/>
          <w:color w:val="000000" w:themeColor="text1"/>
          <w:sz w:val="24"/>
          <w:szCs w:val="24"/>
        </w:rPr>
        <w:t>Rs.</w:t>
      </w:r>
      <w:r w:rsidRPr="006F19E0">
        <w:rPr>
          <w:rFonts w:ascii="Times New Roman" w:hAnsi="Times New Roman" w:cs="Times New Roman"/>
          <w:color w:val="000000" w:themeColor="text1"/>
          <w:sz w:val="24"/>
          <w:szCs w:val="24"/>
        </w:rPr>
        <w:t xml:space="preserve">15,771.81 lakhs, suggesting expansion in business operations alongside noticeable differences in scale across organisations. </w:t>
      </w:r>
      <w:r w:rsidRPr="007A079A">
        <w:rPr>
          <w:rFonts w:ascii="Times New Roman" w:hAnsi="Times New Roman" w:cs="Times New Roman"/>
          <w:color w:val="000000" w:themeColor="text1"/>
          <w:sz w:val="24"/>
          <w:szCs w:val="24"/>
          <w:highlight w:val="yellow"/>
        </w:rPr>
        <w:t>The CAGR of 34 per cent</w:t>
      </w:r>
      <w:r w:rsidRPr="006F19E0">
        <w:rPr>
          <w:rFonts w:ascii="Times New Roman" w:hAnsi="Times New Roman" w:cs="Times New Roman"/>
          <w:color w:val="000000" w:themeColor="text1"/>
          <w:sz w:val="24"/>
          <w:szCs w:val="24"/>
        </w:rPr>
        <w:t xml:space="preserve"> demonstrates robust growth in marketing and trading activities. Net profit or surplus averaged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1,263.63 lakhs, with a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824.34 lakhs and </w:t>
      </w:r>
      <w:r w:rsidRPr="007A079A">
        <w:rPr>
          <w:rFonts w:ascii="Times New Roman" w:hAnsi="Times New Roman" w:cs="Times New Roman"/>
          <w:color w:val="000000" w:themeColor="text1"/>
          <w:sz w:val="24"/>
          <w:szCs w:val="24"/>
          <w:highlight w:val="yellow"/>
        </w:rPr>
        <w:t>a CAGR of 31 per cent</w:t>
      </w:r>
      <w:r w:rsidRPr="006F19E0">
        <w:rPr>
          <w:rFonts w:ascii="Times New Roman" w:hAnsi="Times New Roman" w:cs="Times New Roman"/>
          <w:color w:val="000000" w:themeColor="text1"/>
          <w:sz w:val="24"/>
          <w:szCs w:val="24"/>
        </w:rPr>
        <w:t>, highlighting improving operational efficiency and financial viability. Overall, the results indicate that FPOs are gradually evolving into economically sustainable farmer-owned enterprises</w:t>
      </w:r>
      <w:r w:rsidR="00957223" w:rsidRPr="006F19E0">
        <w:rPr>
          <w:rFonts w:ascii="Times New Roman" w:hAnsi="Times New Roman" w:cs="Times New Roman"/>
          <w:color w:val="000000" w:themeColor="text1"/>
          <w:sz w:val="24"/>
          <w:szCs w:val="24"/>
        </w:rPr>
        <w:t xml:space="preserve">. The financial performance of FPOs in Tamil Nadu </w:t>
      </w:r>
      <w:r w:rsidR="00EC7B0A">
        <w:rPr>
          <w:rFonts w:ascii="Times New Roman" w:hAnsi="Times New Roman" w:cs="Times New Roman"/>
          <w:color w:val="000000" w:themeColor="text1"/>
          <w:sz w:val="24"/>
          <w:szCs w:val="24"/>
        </w:rPr>
        <w:t>is</w:t>
      </w:r>
      <w:r w:rsidR="00957223" w:rsidRPr="006F19E0">
        <w:rPr>
          <w:rFonts w:ascii="Times New Roman" w:hAnsi="Times New Roman" w:cs="Times New Roman"/>
          <w:color w:val="000000" w:themeColor="text1"/>
          <w:sz w:val="24"/>
          <w:szCs w:val="24"/>
        </w:rPr>
        <w:t xml:space="preserve"> given in Fig 3.</w:t>
      </w:r>
    </w:p>
    <w:p w14:paraId="52ED3E63" w14:textId="26B3BEB6" w:rsidR="00CB145D" w:rsidRPr="006F19E0" w:rsidRDefault="00CB145D" w:rsidP="006F19E0">
      <w:pPr>
        <w:spacing w:line="360" w:lineRule="auto"/>
        <w:ind w:firstLine="720"/>
        <w:jc w:val="center"/>
        <w:rPr>
          <w:rFonts w:ascii="Times New Roman" w:hAnsi="Times New Roman" w:cs="Times New Roman"/>
          <w:color w:val="000000" w:themeColor="text1"/>
          <w:sz w:val="24"/>
          <w:szCs w:val="24"/>
        </w:rPr>
      </w:pPr>
      <w:r w:rsidRPr="006F19E0">
        <w:rPr>
          <w:rFonts w:ascii="Times New Roman" w:hAnsi="Times New Roman" w:cs="Times New Roman"/>
          <w:b/>
          <w:bCs/>
          <w:color w:val="000000" w:themeColor="text1"/>
          <w:sz w:val="24"/>
          <w:szCs w:val="24"/>
        </w:rPr>
        <w:t>Fig 3.</w:t>
      </w:r>
      <w:r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b/>
          <w:bCs/>
          <w:color w:val="000000" w:themeColor="text1"/>
          <w:sz w:val="24"/>
          <w:szCs w:val="24"/>
        </w:rPr>
        <w:t>Financial Performance of FPOs in Tamil Nadu</w:t>
      </w:r>
    </w:p>
    <w:p w14:paraId="31438C9E" w14:textId="6B43E404" w:rsidR="00957223" w:rsidRPr="006F19E0" w:rsidRDefault="004438F0" w:rsidP="00934D6A">
      <w:pPr>
        <w:spacing w:line="360" w:lineRule="auto"/>
        <w:ind w:firstLine="720"/>
        <w:jc w:val="center"/>
        <w:rPr>
          <w:rFonts w:ascii="Times New Roman" w:hAnsi="Times New Roman" w:cs="Times New Roman"/>
          <w:color w:val="000000" w:themeColor="text1"/>
          <w:sz w:val="24"/>
          <w:szCs w:val="24"/>
        </w:rPr>
      </w:pPr>
      <w:r>
        <w:rPr>
          <w:noProof/>
          <w:lang w:eastAsia="en-IN"/>
        </w:rPr>
        <w:lastRenderedPageBreak/>
        <w:drawing>
          <wp:inline distT="0" distB="0" distL="0" distR="0" wp14:anchorId="268F5AED" wp14:editId="16D7F807">
            <wp:extent cx="4586854" cy="2748769"/>
            <wp:effectExtent l="0" t="0" r="4445" b="13970"/>
            <wp:docPr id="1268046056" name="Chart 1">
              <a:extLst xmlns:a="http://schemas.openxmlformats.org/drawingml/2006/main">
                <a:ext uri="{FF2B5EF4-FFF2-40B4-BE49-F238E27FC236}">
                  <a16:creationId xmlns:a16="http://schemas.microsoft.com/office/drawing/2014/main" id="{699DC0B6-884B-108C-1E79-9766D6604F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E043CF" w14:textId="77777777" w:rsidR="00C321D9" w:rsidRDefault="00C321D9" w:rsidP="000055F8">
      <w:pPr>
        <w:spacing w:line="360" w:lineRule="auto"/>
        <w:jc w:val="both"/>
        <w:rPr>
          <w:rFonts w:ascii="Times New Roman" w:hAnsi="Times New Roman" w:cs="Times New Roman"/>
          <w:b/>
          <w:bCs/>
          <w:color w:val="000000" w:themeColor="text1"/>
          <w:sz w:val="24"/>
          <w:szCs w:val="24"/>
        </w:rPr>
      </w:pPr>
    </w:p>
    <w:p w14:paraId="771A1429" w14:textId="43C8C2A6" w:rsidR="00957223" w:rsidRPr="006F19E0" w:rsidRDefault="00957223" w:rsidP="000055F8">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4. </w:t>
      </w:r>
      <w:r w:rsidR="007C6421" w:rsidRPr="006F19E0">
        <w:rPr>
          <w:rFonts w:ascii="Times New Roman" w:hAnsi="Times New Roman" w:cs="Times New Roman"/>
          <w:b/>
          <w:bCs/>
          <w:color w:val="000000" w:themeColor="text1"/>
          <w:sz w:val="24"/>
          <w:szCs w:val="24"/>
        </w:rPr>
        <w:t>Institutional Finance and Support for FPOs in Tamil Nadu</w:t>
      </w:r>
    </w:p>
    <w:p w14:paraId="6DBCCE59" w14:textId="2AE3CE26" w:rsidR="007C6421" w:rsidRPr="006F19E0" w:rsidRDefault="007C6421" w:rsidP="00CB145D">
      <w:pPr>
        <w:spacing w:line="360" w:lineRule="auto"/>
        <w:ind w:firstLine="720"/>
        <w:jc w:val="both"/>
        <w:rPr>
          <w:rFonts w:ascii="Times New Roman" w:hAnsi="Times New Roman" w:cs="Times New Roman"/>
          <w:b/>
          <w:bCs/>
          <w:color w:val="000000" w:themeColor="text1"/>
          <w:sz w:val="24"/>
          <w:szCs w:val="24"/>
        </w:rPr>
      </w:pPr>
      <w:r w:rsidRPr="006F19E0">
        <w:rPr>
          <w:rFonts w:ascii="Times New Roman" w:hAnsi="Times New Roman" w:cs="Times New Roman"/>
          <w:color w:val="000000" w:themeColor="text1"/>
          <w:sz w:val="24"/>
          <w:szCs w:val="24"/>
        </w:rPr>
        <w:t>Institutional finance and policy support have played a vital role in strengthening Farmer Producer Organisations (FPOs) in Tamil Nadu by improving access to credit, equity grants and capacity-building initiatives. Support from financial institutions and government agencies has enhanced their operational stability, market linkage and long-term sustainability. Table</w:t>
      </w:r>
      <w:r w:rsidRPr="006F19E0">
        <w:rPr>
          <w:rFonts w:ascii="Times New Roman" w:hAnsi="Times New Roman" w:cs="Times New Roman"/>
          <w:b/>
          <w:bCs/>
          <w:color w:val="000000" w:themeColor="text1"/>
          <w:sz w:val="24"/>
          <w:szCs w:val="24"/>
        </w:rPr>
        <w:t xml:space="preserve"> </w:t>
      </w:r>
      <w:r w:rsidRPr="006F19E0">
        <w:rPr>
          <w:rFonts w:ascii="Times New Roman" w:hAnsi="Times New Roman" w:cs="Times New Roman"/>
          <w:color w:val="000000" w:themeColor="text1"/>
          <w:sz w:val="24"/>
          <w:szCs w:val="24"/>
        </w:rPr>
        <w:t xml:space="preserve">4 represents the </w:t>
      </w:r>
      <w:r w:rsidR="0012228F">
        <w:rPr>
          <w:rFonts w:ascii="Times New Roman" w:hAnsi="Times New Roman" w:cs="Times New Roman"/>
          <w:color w:val="000000" w:themeColor="text1"/>
          <w:sz w:val="24"/>
          <w:szCs w:val="24"/>
        </w:rPr>
        <w:t>i</w:t>
      </w:r>
      <w:r w:rsidRPr="006F19E0">
        <w:rPr>
          <w:rFonts w:ascii="Times New Roman" w:hAnsi="Times New Roman" w:cs="Times New Roman"/>
          <w:color w:val="000000" w:themeColor="text1"/>
          <w:sz w:val="24"/>
          <w:szCs w:val="24"/>
        </w:rPr>
        <w:t xml:space="preserve">nstitutional </w:t>
      </w:r>
      <w:r w:rsidR="0012228F">
        <w:rPr>
          <w:rFonts w:ascii="Times New Roman" w:hAnsi="Times New Roman" w:cs="Times New Roman"/>
          <w:color w:val="000000" w:themeColor="text1"/>
          <w:sz w:val="24"/>
          <w:szCs w:val="24"/>
        </w:rPr>
        <w:t>f</w:t>
      </w:r>
      <w:r w:rsidRPr="006F19E0">
        <w:rPr>
          <w:rFonts w:ascii="Times New Roman" w:hAnsi="Times New Roman" w:cs="Times New Roman"/>
          <w:color w:val="000000" w:themeColor="text1"/>
          <w:sz w:val="24"/>
          <w:szCs w:val="24"/>
        </w:rPr>
        <w:t xml:space="preserve">inance and </w:t>
      </w:r>
      <w:r w:rsidR="0012228F">
        <w:rPr>
          <w:rFonts w:ascii="Times New Roman" w:hAnsi="Times New Roman" w:cs="Times New Roman"/>
          <w:color w:val="000000" w:themeColor="text1"/>
          <w:sz w:val="24"/>
          <w:szCs w:val="24"/>
        </w:rPr>
        <w:t>s</w:t>
      </w:r>
      <w:r w:rsidRPr="006F19E0">
        <w:rPr>
          <w:rFonts w:ascii="Times New Roman" w:hAnsi="Times New Roman" w:cs="Times New Roman"/>
          <w:color w:val="000000" w:themeColor="text1"/>
          <w:sz w:val="24"/>
          <w:szCs w:val="24"/>
        </w:rPr>
        <w:t>upport for FPOs in Tamil Nadu</w:t>
      </w:r>
      <w:r w:rsidRPr="006F19E0">
        <w:rPr>
          <w:rFonts w:ascii="Times New Roman" w:hAnsi="Times New Roman" w:cs="Times New Roman"/>
          <w:b/>
          <w:bCs/>
          <w:color w:val="000000" w:themeColor="text1"/>
          <w:sz w:val="24"/>
          <w:szCs w:val="24"/>
        </w:rPr>
        <w:t xml:space="preserve"> </w:t>
      </w:r>
      <w:r w:rsidRPr="006F19E0">
        <w:rPr>
          <w:rFonts w:ascii="Times New Roman" w:hAnsi="Times New Roman" w:cs="Times New Roman"/>
          <w:color w:val="000000" w:themeColor="text1"/>
          <w:sz w:val="24"/>
          <w:szCs w:val="24"/>
        </w:rPr>
        <w:t xml:space="preserve">from 2014 to 2025. </w:t>
      </w:r>
    </w:p>
    <w:p w14:paraId="14060714" w14:textId="55D4FFDC" w:rsidR="007C6421" w:rsidRPr="006F19E0" w:rsidRDefault="007C6421" w:rsidP="007C6421">
      <w:pPr>
        <w:spacing w:line="360" w:lineRule="auto"/>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Table 4. Institutional Finance and Support for FPOs in Tamil Nadu</w:t>
      </w:r>
    </w:p>
    <w:tbl>
      <w:tblPr>
        <w:tblStyle w:val="TableGrid"/>
        <w:tblW w:w="9238" w:type="dxa"/>
        <w:tblLook w:val="04A0" w:firstRow="1" w:lastRow="0" w:firstColumn="1" w:lastColumn="0" w:noHBand="0" w:noVBand="1"/>
      </w:tblPr>
      <w:tblGrid>
        <w:gridCol w:w="3539"/>
        <w:gridCol w:w="1559"/>
        <w:gridCol w:w="2127"/>
        <w:gridCol w:w="2013"/>
      </w:tblGrid>
      <w:tr w:rsidR="00CB145D" w:rsidRPr="0032463E" w14:paraId="7AC9A2E1" w14:textId="77777777" w:rsidTr="00C321D9">
        <w:trPr>
          <w:trHeight w:val="827"/>
        </w:trPr>
        <w:tc>
          <w:tcPr>
            <w:tcW w:w="3539" w:type="dxa"/>
            <w:vAlign w:val="center"/>
          </w:tcPr>
          <w:p w14:paraId="4AAA6AE3" w14:textId="77777777" w:rsidR="00557194" w:rsidRDefault="00CB145D" w:rsidP="00FA19B5">
            <w:pPr>
              <w:jc w:val="center"/>
              <w:rPr>
                <w:rFonts w:ascii="Times New Roman" w:hAnsi="Times New Roman" w:cs="Times New Roman"/>
                <w:b/>
                <w:bCs/>
                <w:color w:val="000000" w:themeColor="text1"/>
                <w:sz w:val="24"/>
                <w:szCs w:val="24"/>
                <w:highlight w:val="yellow"/>
              </w:rPr>
            </w:pPr>
            <w:r w:rsidRPr="0032463E">
              <w:rPr>
                <w:rFonts w:ascii="Times New Roman" w:hAnsi="Times New Roman" w:cs="Times New Roman"/>
                <w:b/>
                <w:bCs/>
                <w:color w:val="000000" w:themeColor="text1"/>
                <w:sz w:val="24"/>
                <w:szCs w:val="24"/>
                <w:highlight w:val="yellow"/>
              </w:rPr>
              <w:t xml:space="preserve">Institutional Finance and Support </w:t>
            </w:r>
          </w:p>
          <w:p w14:paraId="4ED02E0A" w14:textId="6AA15799" w:rsidR="00CB145D" w:rsidRPr="0032463E" w:rsidRDefault="00557194" w:rsidP="00FA19B5">
            <w:pPr>
              <w:jc w:val="center"/>
              <w:rPr>
                <w:rFonts w:ascii="Times New Roman" w:hAnsi="Times New Roman" w:cs="Times New Roman"/>
                <w:b/>
                <w:bCs/>
                <w:color w:val="000000" w:themeColor="text1"/>
                <w:sz w:val="24"/>
                <w:szCs w:val="24"/>
                <w:highlight w:val="yellow"/>
              </w:rPr>
            </w:pPr>
            <w:r>
              <w:rPr>
                <w:rFonts w:ascii="Times New Roman" w:hAnsi="Times New Roman" w:cs="Times New Roman"/>
                <w:b/>
                <w:bCs/>
                <w:color w:val="000000" w:themeColor="text1"/>
                <w:sz w:val="24"/>
                <w:szCs w:val="24"/>
                <w:highlight w:val="yellow"/>
              </w:rPr>
              <w:t>(</w:t>
            </w:r>
            <w:r w:rsidRPr="00557194">
              <w:rPr>
                <w:rFonts w:ascii="Times New Roman" w:hAnsi="Times New Roman" w:cs="Times New Roman"/>
                <w:b/>
                <w:bCs/>
                <w:color w:val="000000" w:themeColor="text1"/>
                <w:sz w:val="24"/>
                <w:szCs w:val="24"/>
                <w:highlight w:val="yellow"/>
              </w:rPr>
              <w:t>Rs. Lakhs</w:t>
            </w:r>
            <w:r>
              <w:rPr>
                <w:rFonts w:ascii="Times New Roman" w:hAnsi="Times New Roman" w:cs="Times New Roman"/>
                <w:b/>
                <w:bCs/>
                <w:color w:val="000000" w:themeColor="text1"/>
                <w:sz w:val="24"/>
                <w:szCs w:val="24"/>
                <w:highlight w:val="yellow"/>
              </w:rPr>
              <w:t>)</w:t>
            </w:r>
          </w:p>
        </w:tc>
        <w:tc>
          <w:tcPr>
            <w:tcW w:w="1559" w:type="dxa"/>
            <w:vAlign w:val="center"/>
          </w:tcPr>
          <w:p w14:paraId="718EE944" w14:textId="77777777" w:rsidR="00557194" w:rsidRDefault="00CB145D" w:rsidP="00FA19B5">
            <w:pPr>
              <w:jc w:val="center"/>
              <w:rPr>
                <w:rFonts w:ascii="Times New Roman" w:hAnsi="Times New Roman" w:cs="Times New Roman"/>
                <w:b/>
                <w:bCs/>
                <w:color w:val="000000" w:themeColor="text1"/>
                <w:sz w:val="24"/>
                <w:szCs w:val="24"/>
                <w:highlight w:val="yellow"/>
              </w:rPr>
            </w:pPr>
            <w:r w:rsidRPr="0032463E">
              <w:rPr>
                <w:rFonts w:ascii="Times New Roman" w:hAnsi="Times New Roman" w:cs="Times New Roman"/>
                <w:b/>
                <w:bCs/>
                <w:color w:val="000000" w:themeColor="text1"/>
                <w:sz w:val="24"/>
                <w:szCs w:val="24"/>
                <w:highlight w:val="yellow"/>
              </w:rPr>
              <w:t>Mean</w:t>
            </w:r>
            <w:r w:rsidR="00557194">
              <w:rPr>
                <w:rFonts w:ascii="Times New Roman" w:hAnsi="Times New Roman" w:cs="Times New Roman"/>
                <w:b/>
                <w:bCs/>
                <w:color w:val="000000" w:themeColor="text1"/>
                <w:sz w:val="24"/>
                <w:szCs w:val="24"/>
                <w:highlight w:val="yellow"/>
              </w:rPr>
              <w:t xml:space="preserve"> </w:t>
            </w:r>
          </w:p>
          <w:p w14:paraId="23831611" w14:textId="3C1AF752" w:rsidR="00CB145D" w:rsidRPr="0032463E" w:rsidRDefault="00557194" w:rsidP="00FA19B5">
            <w:pPr>
              <w:jc w:val="center"/>
              <w:rPr>
                <w:rFonts w:ascii="Times New Roman" w:hAnsi="Times New Roman" w:cs="Times New Roman"/>
                <w:b/>
                <w:bCs/>
                <w:color w:val="000000" w:themeColor="text1"/>
                <w:sz w:val="24"/>
                <w:szCs w:val="24"/>
                <w:highlight w:val="yellow"/>
              </w:rPr>
            </w:pPr>
            <w:r>
              <w:rPr>
                <w:rFonts w:ascii="Times New Roman" w:hAnsi="Times New Roman" w:cs="Times New Roman"/>
                <w:b/>
                <w:bCs/>
                <w:color w:val="000000" w:themeColor="text1"/>
                <w:sz w:val="24"/>
                <w:szCs w:val="24"/>
                <w:highlight w:val="yellow"/>
              </w:rPr>
              <w:t>(</w:t>
            </w:r>
            <w:r w:rsidRPr="00557194">
              <w:rPr>
                <w:rFonts w:ascii="Times New Roman" w:hAnsi="Times New Roman" w:cs="Times New Roman"/>
                <w:b/>
                <w:bCs/>
                <w:color w:val="000000" w:themeColor="text1"/>
                <w:sz w:val="24"/>
                <w:szCs w:val="24"/>
                <w:highlight w:val="yellow"/>
              </w:rPr>
              <w:t>Rs.</w:t>
            </w:r>
            <w:r>
              <w:rPr>
                <w:rFonts w:ascii="Times New Roman" w:hAnsi="Times New Roman" w:cs="Times New Roman"/>
                <w:b/>
                <w:bCs/>
                <w:color w:val="000000" w:themeColor="text1"/>
                <w:sz w:val="24"/>
                <w:szCs w:val="24"/>
                <w:highlight w:val="yellow"/>
              </w:rPr>
              <w:t xml:space="preserve"> </w:t>
            </w:r>
            <w:r w:rsidRPr="00557194">
              <w:rPr>
                <w:rFonts w:ascii="Times New Roman" w:hAnsi="Times New Roman" w:cs="Times New Roman"/>
                <w:b/>
                <w:bCs/>
                <w:color w:val="000000" w:themeColor="text1"/>
                <w:sz w:val="24"/>
                <w:szCs w:val="24"/>
                <w:highlight w:val="yellow"/>
              </w:rPr>
              <w:t>Lakhs</w:t>
            </w:r>
            <w:r>
              <w:rPr>
                <w:rFonts w:ascii="Times New Roman" w:hAnsi="Times New Roman" w:cs="Times New Roman"/>
                <w:b/>
                <w:bCs/>
                <w:color w:val="000000" w:themeColor="text1"/>
                <w:sz w:val="24"/>
                <w:szCs w:val="24"/>
                <w:highlight w:val="yellow"/>
              </w:rPr>
              <w:t>)</w:t>
            </w:r>
          </w:p>
        </w:tc>
        <w:tc>
          <w:tcPr>
            <w:tcW w:w="2127" w:type="dxa"/>
            <w:vAlign w:val="center"/>
          </w:tcPr>
          <w:p w14:paraId="7BEDBFB9" w14:textId="77777777" w:rsidR="00557194" w:rsidRDefault="00CB145D" w:rsidP="00FA19B5">
            <w:pPr>
              <w:jc w:val="center"/>
              <w:rPr>
                <w:rFonts w:ascii="Times New Roman" w:hAnsi="Times New Roman" w:cs="Times New Roman"/>
                <w:b/>
                <w:bCs/>
                <w:color w:val="000000" w:themeColor="text1"/>
                <w:sz w:val="24"/>
                <w:szCs w:val="24"/>
                <w:highlight w:val="yellow"/>
              </w:rPr>
            </w:pPr>
            <w:r w:rsidRPr="0032463E">
              <w:rPr>
                <w:rFonts w:ascii="Times New Roman" w:hAnsi="Times New Roman" w:cs="Times New Roman"/>
                <w:b/>
                <w:bCs/>
                <w:color w:val="000000" w:themeColor="text1"/>
                <w:sz w:val="24"/>
                <w:szCs w:val="24"/>
                <w:highlight w:val="yellow"/>
              </w:rPr>
              <w:t>Standard Deviation</w:t>
            </w:r>
            <w:r w:rsidR="00557194">
              <w:rPr>
                <w:rFonts w:ascii="Times New Roman" w:hAnsi="Times New Roman" w:cs="Times New Roman"/>
                <w:b/>
                <w:bCs/>
                <w:color w:val="000000" w:themeColor="text1"/>
                <w:sz w:val="24"/>
                <w:szCs w:val="24"/>
                <w:highlight w:val="yellow"/>
              </w:rPr>
              <w:t xml:space="preserve"> </w:t>
            </w:r>
          </w:p>
          <w:p w14:paraId="76F25B3F" w14:textId="43ED2693" w:rsidR="00CB145D" w:rsidRPr="0032463E" w:rsidRDefault="00557194" w:rsidP="00FA19B5">
            <w:pPr>
              <w:jc w:val="center"/>
              <w:rPr>
                <w:rFonts w:ascii="Times New Roman" w:hAnsi="Times New Roman" w:cs="Times New Roman"/>
                <w:b/>
                <w:bCs/>
                <w:color w:val="000000" w:themeColor="text1"/>
                <w:sz w:val="24"/>
                <w:szCs w:val="24"/>
                <w:highlight w:val="yellow"/>
              </w:rPr>
            </w:pPr>
            <w:r>
              <w:rPr>
                <w:rFonts w:ascii="Times New Roman" w:hAnsi="Times New Roman" w:cs="Times New Roman"/>
                <w:b/>
                <w:bCs/>
                <w:color w:val="000000" w:themeColor="text1"/>
                <w:sz w:val="24"/>
                <w:szCs w:val="24"/>
                <w:highlight w:val="yellow"/>
              </w:rPr>
              <w:t>(</w:t>
            </w:r>
            <w:r w:rsidRPr="00557194">
              <w:rPr>
                <w:rFonts w:ascii="Times New Roman" w:hAnsi="Times New Roman" w:cs="Times New Roman"/>
                <w:b/>
                <w:bCs/>
                <w:color w:val="000000" w:themeColor="text1"/>
                <w:sz w:val="24"/>
                <w:szCs w:val="24"/>
                <w:highlight w:val="yellow"/>
              </w:rPr>
              <w:t>Rs.</w:t>
            </w:r>
            <w:r>
              <w:rPr>
                <w:rFonts w:ascii="Times New Roman" w:hAnsi="Times New Roman" w:cs="Times New Roman"/>
                <w:b/>
                <w:bCs/>
                <w:color w:val="000000" w:themeColor="text1"/>
                <w:sz w:val="24"/>
                <w:szCs w:val="24"/>
                <w:highlight w:val="yellow"/>
              </w:rPr>
              <w:t xml:space="preserve"> </w:t>
            </w:r>
            <w:r w:rsidRPr="00557194">
              <w:rPr>
                <w:rFonts w:ascii="Times New Roman" w:hAnsi="Times New Roman" w:cs="Times New Roman"/>
                <w:b/>
                <w:bCs/>
                <w:color w:val="000000" w:themeColor="text1"/>
                <w:sz w:val="24"/>
                <w:szCs w:val="24"/>
                <w:highlight w:val="yellow"/>
              </w:rPr>
              <w:t>Lakhs</w:t>
            </w:r>
            <w:r>
              <w:rPr>
                <w:rFonts w:ascii="Times New Roman" w:hAnsi="Times New Roman" w:cs="Times New Roman"/>
                <w:b/>
                <w:bCs/>
                <w:color w:val="000000" w:themeColor="text1"/>
                <w:sz w:val="24"/>
                <w:szCs w:val="24"/>
                <w:highlight w:val="yellow"/>
              </w:rPr>
              <w:t>)</w:t>
            </w:r>
          </w:p>
        </w:tc>
        <w:tc>
          <w:tcPr>
            <w:tcW w:w="2013" w:type="dxa"/>
            <w:vAlign w:val="center"/>
          </w:tcPr>
          <w:p w14:paraId="5798EAA6" w14:textId="77777777" w:rsidR="00CB145D" w:rsidRDefault="00CB145D" w:rsidP="00FA19B5">
            <w:pPr>
              <w:jc w:val="center"/>
              <w:rPr>
                <w:rFonts w:ascii="Times New Roman" w:hAnsi="Times New Roman" w:cs="Times New Roman"/>
                <w:b/>
                <w:bCs/>
                <w:color w:val="000000" w:themeColor="text1"/>
                <w:sz w:val="24"/>
                <w:szCs w:val="24"/>
                <w:highlight w:val="yellow"/>
              </w:rPr>
            </w:pPr>
            <w:r w:rsidRPr="0032463E">
              <w:rPr>
                <w:rFonts w:ascii="Times New Roman" w:hAnsi="Times New Roman" w:cs="Times New Roman"/>
                <w:b/>
                <w:bCs/>
                <w:color w:val="000000" w:themeColor="text1"/>
                <w:sz w:val="24"/>
                <w:szCs w:val="24"/>
                <w:highlight w:val="yellow"/>
              </w:rPr>
              <w:t>CAGR</w:t>
            </w:r>
          </w:p>
          <w:p w14:paraId="4AA36E41" w14:textId="0369A7C3" w:rsidR="00557194" w:rsidRPr="0032463E" w:rsidRDefault="00557194" w:rsidP="00FA19B5">
            <w:pPr>
              <w:jc w:val="center"/>
              <w:rPr>
                <w:rFonts w:ascii="Times New Roman" w:hAnsi="Times New Roman" w:cs="Times New Roman"/>
                <w:b/>
                <w:bCs/>
                <w:color w:val="000000" w:themeColor="text1"/>
                <w:sz w:val="24"/>
                <w:szCs w:val="24"/>
                <w:highlight w:val="yellow"/>
              </w:rPr>
            </w:pPr>
            <w:r>
              <w:rPr>
                <w:rFonts w:ascii="Times New Roman" w:hAnsi="Times New Roman" w:cs="Times New Roman"/>
                <w:b/>
                <w:bCs/>
                <w:color w:val="000000" w:themeColor="text1"/>
                <w:sz w:val="24"/>
                <w:szCs w:val="24"/>
                <w:highlight w:val="yellow"/>
              </w:rPr>
              <w:t>(%)</w:t>
            </w:r>
          </w:p>
        </w:tc>
      </w:tr>
      <w:tr w:rsidR="00CB145D" w:rsidRPr="0032463E" w14:paraId="08EBD8A4" w14:textId="77777777" w:rsidTr="00C321D9">
        <w:trPr>
          <w:trHeight w:val="407"/>
        </w:trPr>
        <w:tc>
          <w:tcPr>
            <w:tcW w:w="3539" w:type="dxa"/>
          </w:tcPr>
          <w:p w14:paraId="247A87D4" w14:textId="1E24E9B6" w:rsidR="00CB145D" w:rsidRPr="0032463E" w:rsidRDefault="00CB145D" w:rsidP="00FA19B5">
            <w:pPr>
              <w:jc w:val="both"/>
              <w:rPr>
                <w:rFonts w:ascii="Times New Roman" w:hAnsi="Times New Roman" w:cs="Times New Roman"/>
                <w:color w:val="000000" w:themeColor="text1"/>
                <w:sz w:val="24"/>
                <w:szCs w:val="24"/>
                <w:highlight w:val="yellow"/>
              </w:rPr>
            </w:pPr>
            <w:r w:rsidRPr="0032463E">
              <w:rPr>
                <w:rFonts w:ascii="Times New Roman" w:hAnsi="Times New Roman" w:cs="Times New Roman"/>
                <w:color w:val="000000" w:themeColor="text1"/>
                <w:sz w:val="24"/>
                <w:szCs w:val="24"/>
                <w:highlight w:val="yellow"/>
              </w:rPr>
              <w:t>Bank Credit Availed (Rs. Lakhs)</w:t>
            </w:r>
          </w:p>
        </w:tc>
        <w:tc>
          <w:tcPr>
            <w:tcW w:w="1559" w:type="dxa"/>
          </w:tcPr>
          <w:p w14:paraId="0BB98DAF" w14:textId="219DA295" w:rsidR="00CB145D" w:rsidRPr="0032463E" w:rsidRDefault="00CB145D" w:rsidP="00FA19B5">
            <w:pPr>
              <w:jc w:val="center"/>
              <w:rPr>
                <w:rFonts w:ascii="Times New Roman" w:hAnsi="Times New Roman" w:cs="Times New Roman"/>
                <w:color w:val="000000" w:themeColor="text1"/>
                <w:sz w:val="24"/>
                <w:szCs w:val="24"/>
                <w:highlight w:val="yellow"/>
              </w:rPr>
            </w:pPr>
            <w:r w:rsidRPr="0032463E">
              <w:rPr>
                <w:rFonts w:ascii="Times New Roman" w:hAnsi="Times New Roman" w:cs="Times New Roman"/>
                <w:color w:val="000000" w:themeColor="text1"/>
                <w:sz w:val="24"/>
                <w:szCs w:val="24"/>
                <w:highlight w:val="yellow"/>
              </w:rPr>
              <w:t>5150.91</w:t>
            </w:r>
          </w:p>
        </w:tc>
        <w:tc>
          <w:tcPr>
            <w:tcW w:w="2127" w:type="dxa"/>
          </w:tcPr>
          <w:p w14:paraId="687D38DB" w14:textId="7983ED0B" w:rsidR="00CB145D" w:rsidRPr="0032463E" w:rsidRDefault="00CB145D" w:rsidP="00FA19B5">
            <w:pPr>
              <w:jc w:val="center"/>
              <w:rPr>
                <w:rFonts w:ascii="Times New Roman" w:hAnsi="Times New Roman" w:cs="Times New Roman"/>
                <w:color w:val="000000" w:themeColor="text1"/>
                <w:sz w:val="24"/>
                <w:szCs w:val="24"/>
                <w:highlight w:val="yellow"/>
              </w:rPr>
            </w:pPr>
            <w:r w:rsidRPr="0032463E">
              <w:rPr>
                <w:rFonts w:ascii="Times New Roman" w:hAnsi="Times New Roman" w:cs="Times New Roman"/>
                <w:color w:val="000000" w:themeColor="text1"/>
                <w:sz w:val="24"/>
                <w:szCs w:val="24"/>
                <w:highlight w:val="yellow"/>
              </w:rPr>
              <w:t>4734</w:t>
            </w:r>
          </w:p>
        </w:tc>
        <w:tc>
          <w:tcPr>
            <w:tcW w:w="2013" w:type="dxa"/>
          </w:tcPr>
          <w:p w14:paraId="26FB11F0" w14:textId="6476125D" w:rsidR="00CB145D" w:rsidRPr="0032463E" w:rsidRDefault="00CB145D" w:rsidP="00FA19B5">
            <w:pPr>
              <w:jc w:val="center"/>
              <w:rPr>
                <w:rFonts w:ascii="Times New Roman" w:hAnsi="Times New Roman" w:cs="Times New Roman"/>
                <w:color w:val="000000" w:themeColor="text1"/>
                <w:sz w:val="24"/>
                <w:szCs w:val="24"/>
                <w:highlight w:val="yellow"/>
              </w:rPr>
            </w:pPr>
            <w:r w:rsidRPr="0032463E">
              <w:rPr>
                <w:rFonts w:ascii="Times New Roman" w:hAnsi="Times New Roman" w:cs="Times New Roman"/>
                <w:color w:val="000000" w:themeColor="text1"/>
                <w:sz w:val="24"/>
                <w:szCs w:val="24"/>
                <w:highlight w:val="yellow"/>
              </w:rPr>
              <w:t>0.61</w:t>
            </w:r>
          </w:p>
        </w:tc>
      </w:tr>
      <w:tr w:rsidR="00CB145D" w:rsidRPr="006F19E0" w14:paraId="3ED0DB2C" w14:textId="77777777" w:rsidTr="00C321D9">
        <w:trPr>
          <w:trHeight w:val="827"/>
        </w:trPr>
        <w:tc>
          <w:tcPr>
            <w:tcW w:w="3539" w:type="dxa"/>
          </w:tcPr>
          <w:p w14:paraId="5AE2C4BF" w14:textId="524BA17E" w:rsidR="00CB145D" w:rsidRPr="0032463E" w:rsidRDefault="00CB145D" w:rsidP="00FA19B5">
            <w:pPr>
              <w:jc w:val="both"/>
              <w:rPr>
                <w:rFonts w:ascii="Times New Roman" w:hAnsi="Times New Roman" w:cs="Times New Roman"/>
                <w:color w:val="000000" w:themeColor="text1"/>
                <w:sz w:val="24"/>
                <w:szCs w:val="24"/>
                <w:highlight w:val="yellow"/>
              </w:rPr>
            </w:pPr>
            <w:r w:rsidRPr="0032463E">
              <w:rPr>
                <w:rFonts w:ascii="Times New Roman" w:hAnsi="Times New Roman" w:cs="Times New Roman"/>
                <w:color w:val="000000" w:themeColor="text1"/>
                <w:sz w:val="24"/>
                <w:szCs w:val="24"/>
                <w:highlight w:val="yellow"/>
              </w:rPr>
              <w:t>Equity Grant Received (Rs. Lakhs)</w:t>
            </w:r>
          </w:p>
        </w:tc>
        <w:tc>
          <w:tcPr>
            <w:tcW w:w="1559" w:type="dxa"/>
          </w:tcPr>
          <w:p w14:paraId="48A2C3EE" w14:textId="69CA1C9D" w:rsidR="00CB145D" w:rsidRPr="0032463E" w:rsidRDefault="00CB145D" w:rsidP="00FA19B5">
            <w:pPr>
              <w:jc w:val="center"/>
              <w:rPr>
                <w:rFonts w:ascii="Times New Roman" w:hAnsi="Times New Roman" w:cs="Times New Roman"/>
                <w:color w:val="000000" w:themeColor="text1"/>
                <w:sz w:val="24"/>
                <w:szCs w:val="24"/>
                <w:highlight w:val="yellow"/>
              </w:rPr>
            </w:pPr>
            <w:r w:rsidRPr="0032463E">
              <w:rPr>
                <w:rFonts w:ascii="Times New Roman" w:hAnsi="Times New Roman" w:cs="Times New Roman"/>
                <w:color w:val="000000" w:themeColor="text1"/>
                <w:sz w:val="24"/>
                <w:szCs w:val="24"/>
                <w:highlight w:val="yellow"/>
              </w:rPr>
              <w:t>1586.82</w:t>
            </w:r>
          </w:p>
        </w:tc>
        <w:tc>
          <w:tcPr>
            <w:tcW w:w="2127" w:type="dxa"/>
          </w:tcPr>
          <w:p w14:paraId="2743548F" w14:textId="56A3F3E7" w:rsidR="00CB145D" w:rsidRPr="0032463E" w:rsidRDefault="00CB145D" w:rsidP="00FA19B5">
            <w:pPr>
              <w:jc w:val="center"/>
              <w:rPr>
                <w:rFonts w:ascii="Times New Roman" w:hAnsi="Times New Roman" w:cs="Times New Roman"/>
                <w:color w:val="000000" w:themeColor="text1"/>
                <w:sz w:val="24"/>
                <w:szCs w:val="24"/>
                <w:highlight w:val="yellow"/>
              </w:rPr>
            </w:pPr>
            <w:r w:rsidRPr="0032463E">
              <w:rPr>
                <w:rFonts w:ascii="Times New Roman" w:hAnsi="Times New Roman" w:cs="Times New Roman"/>
                <w:color w:val="000000" w:themeColor="text1"/>
                <w:sz w:val="24"/>
                <w:szCs w:val="24"/>
                <w:highlight w:val="yellow"/>
              </w:rPr>
              <w:t>1639</w:t>
            </w:r>
          </w:p>
        </w:tc>
        <w:tc>
          <w:tcPr>
            <w:tcW w:w="2013" w:type="dxa"/>
          </w:tcPr>
          <w:p w14:paraId="5D0FB648" w14:textId="7BB8B948" w:rsidR="00CB145D" w:rsidRPr="006F19E0" w:rsidRDefault="00CB145D" w:rsidP="00FA19B5">
            <w:pPr>
              <w:jc w:val="center"/>
              <w:rPr>
                <w:rFonts w:ascii="Times New Roman" w:hAnsi="Times New Roman" w:cs="Times New Roman"/>
                <w:color w:val="000000" w:themeColor="text1"/>
                <w:sz w:val="24"/>
                <w:szCs w:val="24"/>
              </w:rPr>
            </w:pPr>
            <w:r w:rsidRPr="0032463E">
              <w:rPr>
                <w:rFonts w:ascii="Times New Roman" w:hAnsi="Times New Roman" w:cs="Times New Roman"/>
                <w:color w:val="000000" w:themeColor="text1"/>
                <w:sz w:val="24"/>
                <w:szCs w:val="24"/>
                <w:highlight w:val="yellow"/>
              </w:rPr>
              <w:t>0.60</w:t>
            </w:r>
          </w:p>
        </w:tc>
      </w:tr>
    </w:tbl>
    <w:p w14:paraId="7C6521D7" w14:textId="75DE4962" w:rsidR="00CB145D" w:rsidRPr="006F19E0" w:rsidRDefault="00CB145D" w:rsidP="00CB145D">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Source: NABARD. Annual Reports (2014-25).</w:t>
      </w:r>
    </w:p>
    <w:p w14:paraId="6C2301EB" w14:textId="13746D9B" w:rsidR="00CB145D" w:rsidRPr="006F19E0" w:rsidRDefault="00CB145D" w:rsidP="00CB145D">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The analysis of institutional finance and support extended to Farmer Producer Organisations (FPOs) indicates a substantial expansion in formal financial assistance over the study period. The average bank credit availed stood at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5,150.91 lakhs, with a relatively high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4,734 lakhs, reflecting considerable variation in credit absorption across years. The compound annual growth rate (CAGR) of 61 per cent demonstrates a rapid </w:t>
      </w:r>
      <w:r w:rsidRPr="006F19E0">
        <w:rPr>
          <w:rFonts w:ascii="Times New Roman" w:hAnsi="Times New Roman" w:cs="Times New Roman"/>
          <w:color w:val="000000" w:themeColor="text1"/>
          <w:sz w:val="24"/>
          <w:szCs w:val="24"/>
        </w:rPr>
        <w:lastRenderedPageBreak/>
        <w:t>increase in institutional lending, suggesting improved access to formal banking channels and enhanced financial confidence in FPO operations.</w:t>
      </w:r>
    </w:p>
    <w:p w14:paraId="3D4553B5" w14:textId="391384E4" w:rsidR="00C321D9" w:rsidRPr="006F19E0" w:rsidRDefault="00CB145D" w:rsidP="0032463E">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Similarly, equity grant assistance recorded a mean value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1,586.82 lakhs with a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1,639 lakhs, indicating progressive but fluctuating grant support over time. The CAGR of 60 per cent highlights strong growth in capital support mechanisms aimed at strengthening the equity base of FPOs. Overall, the rising trends in both credit flow and grant assistance signify expanding institutional backing and improved financial integration of FPOs into the formal agricultural finance system. The </w:t>
      </w:r>
      <w:r w:rsidR="0012228F">
        <w:rPr>
          <w:rFonts w:ascii="Times New Roman" w:hAnsi="Times New Roman" w:cs="Times New Roman"/>
          <w:color w:val="000000" w:themeColor="text1"/>
          <w:sz w:val="24"/>
          <w:szCs w:val="24"/>
        </w:rPr>
        <w:t>i</w:t>
      </w:r>
      <w:r w:rsidRPr="006F19E0">
        <w:rPr>
          <w:rFonts w:ascii="Times New Roman" w:hAnsi="Times New Roman" w:cs="Times New Roman"/>
          <w:color w:val="000000" w:themeColor="text1"/>
          <w:sz w:val="24"/>
          <w:szCs w:val="24"/>
        </w:rPr>
        <w:t xml:space="preserve">nstitutional </w:t>
      </w:r>
      <w:r w:rsidR="0012228F">
        <w:rPr>
          <w:rFonts w:ascii="Times New Roman" w:hAnsi="Times New Roman" w:cs="Times New Roman"/>
          <w:color w:val="000000" w:themeColor="text1"/>
          <w:sz w:val="24"/>
          <w:szCs w:val="24"/>
        </w:rPr>
        <w:t>f</w:t>
      </w:r>
      <w:r w:rsidRPr="006F19E0">
        <w:rPr>
          <w:rFonts w:ascii="Times New Roman" w:hAnsi="Times New Roman" w:cs="Times New Roman"/>
          <w:color w:val="000000" w:themeColor="text1"/>
          <w:sz w:val="24"/>
          <w:szCs w:val="24"/>
        </w:rPr>
        <w:t xml:space="preserve">inance and </w:t>
      </w:r>
      <w:r w:rsidR="0012228F">
        <w:rPr>
          <w:rFonts w:ascii="Times New Roman" w:hAnsi="Times New Roman" w:cs="Times New Roman"/>
          <w:color w:val="000000" w:themeColor="text1"/>
          <w:sz w:val="24"/>
          <w:szCs w:val="24"/>
        </w:rPr>
        <w:t>s</w:t>
      </w:r>
      <w:r w:rsidRPr="006F19E0">
        <w:rPr>
          <w:rFonts w:ascii="Times New Roman" w:hAnsi="Times New Roman" w:cs="Times New Roman"/>
          <w:color w:val="000000" w:themeColor="text1"/>
          <w:sz w:val="24"/>
          <w:szCs w:val="24"/>
        </w:rPr>
        <w:t>upport for FPOs in Tamil Nadu</w:t>
      </w:r>
      <w:r w:rsidRPr="006F19E0">
        <w:rPr>
          <w:rFonts w:ascii="Times New Roman" w:hAnsi="Times New Roman" w:cs="Times New Roman"/>
          <w:b/>
          <w:bCs/>
          <w:color w:val="000000" w:themeColor="text1"/>
          <w:sz w:val="24"/>
          <w:szCs w:val="24"/>
        </w:rPr>
        <w:t xml:space="preserve"> </w:t>
      </w:r>
      <w:r w:rsidRPr="006F19E0">
        <w:rPr>
          <w:rFonts w:ascii="Times New Roman" w:hAnsi="Times New Roman" w:cs="Times New Roman"/>
          <w:color w:val="000000" w:themeColor="text1"/>
          <w:sz w:val="24"/>
          <w:szCs w:val="24"/>
        </w:rPr>
        <w:t>are given in Fig 4.</w:t>
      </w:r>
    </w:p>
    <w:p w14:paraId="0C770810" w14:textId="3B9DC61B" w:rsidR="007E763A" w:rsidRPr="00C321D9" w:rsidRDefault="007E763A" w:rsidP="00C321D9">
      <w:pPr>
        <w:spacing w:line="360" w:lineRule="auto"/>
        <w:ind w:firstLine="720"/>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Fig 4. Institutional Finance and Support for FPOs in Tamil Nadu</w:t>
      </w:r>
    </w:p>
    <w:p w14:paraId="160D80F2" w14:textId="4473CB1D" w:rsidR="00CB145D" w:rsidRPr="006F19E0" w:rsidRDefault="00120C5C" w:rsidP="00CB145D">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80155">
        <w:rPr>
          <w:noProof/>
          <w:lang w:eastAsia="en-IN"/>
        </w:rPr>
        <w:drawing>
          <wp:inline distT="0" distB="0" distL="0" distR="0" wp14:anchorId="2943FFE9" wp14:editId="30BD6875">
            <wp:extent cx="4592526" cy="2755387"/>
            <wp:effectExtent l="0" t="0" r="17780" b="6985"/>
            <wp:docPr id="1167558735" name="Chart 1">
              <a:extLst xmlns:a="http://schemas.openxmlformats.org/drawingml/2006/main">
                <a:ext uri="{FF2B5EF4-FFF2-40B4-BE49-F238E27FC236}">
                  <a16:creationId xmlns:a16="http://schemas.microsoft.com/office/drawing/2014/main" id="{BF117394-2530-77D4-71A2-FC224F40A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CB145D" w:rsidRPr="006F19E0">
        <w:rPr>
          <w:rFonts w:ascii="Times New Roman" w:hAnsi="Times New Roman" w:cs="Times New Roman"/>
          <w:color w:val="000000" w:themeColor="text1"/>
          <w:sz w:val="24"/>
          <w:szCs w:val="24"/>
        </w:rPr>
        <w:t xml:space="preserve"> </w:t>
      </w:r>
    </w:p>
    <w:p w14:paraId="78BAC5E1" w14:textId="6619B9E9" w:rsidR="00A23F10" w:rsidRPr="00A23F10" w:rsidRDefault="000924EC" w:rsidP="00A23F10">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5.  </w:t>
      </w:r>
      <w:r w:rsidR="00A23F10" w:rsidRPr="00A23F10">
        <w:rPr>
          <w:rFonts w:ascii="Times New Roman" w:hAnsi="Times New Roman" w:cs="Times New Roman"/>
          <w:b/>
          <w:bCs/>
          <w:color w:val="000000" w:themeColor="text1"/>
          <w:sz w:val="24"/>
          <w:szCs w:val="24"/>
        </w:rPr>
        <w:t xml:space="preserve">Women-Led FPOs and Market Linkages (e-NAM/Retail Chains) </w:t>
      </w:r>
      <w:r w:rsidR="00A23F10">
        <w:rPr>
          <w:rFonts w:ascii="Times New Roman" w:hAnsi="Times New Roman" w:cs="Times New Roman"/>
          <w:b/>
          <w:bCs/>
          <w:color w:val="000000" w:themeColor="text1"/>
          <w:sz w:val="24"/>
          <w:szCs w:val="24"/>
        </w:rPr>
        <w:t xml:space="preserve">of FPOs </w:t>
      </w:r>
      <w:r w:rsidR="00A23F10" w:rsidRPr="00A23F10">
        <w:rPr>
          <w:rFonts w:ascii="Times New Roman" w:hAnsi="Times New Roman" w:cs="Times New Roman"/>
          <w:b/>
          <w:bCs/>
          <w:color w:val="000000" w:themeColor="text1"/>
          <w:sz w:val="24"/>
          <w:szCs w:val="24"/>
        </w:rPr>
        <w:t>in Tamil Nadu</w:t>
      </w:r>
    </w:p>
    <w:p w14:paraId="0197AAAD" w14:textId="258FC855" w:rsidR="00934D6A" w:rsidRDefault="00A23F10" w:rsidP="00A23F10">
      <w:pPr>
        <w:spacing w:line="360" w:lineRule="auto"/>
        <w:jc w:val="both"/>
        <w:rPr>
          <w:rFonts w:ascii="Times New Roman" w:hAnsi="Times New Roman" w:cs="Times New Roman"/>
          <w:color w:val="000000" w:themeColor="text1"/>
          <w:sz w:val="24"/>
          <w:szCs w:val="24"/>
        </w:rPr>
      </w:pPr>
      <w:r w:rsidRPr="00A23F10">
        <w:rPr>
          <w:rFonts w:ascii="Times New Roman" w:hAnsi="Times New Roman" w:cs="Times New Roman"/>
          <w:color w:val="000000" w:themeColor="text1"/>
          <w:sz w:val="24"/>
          <w:szCs w:val="24"/>
        </w:rPr>
        <w:t>Women-led FPOs and their linkage with structured markets such as e-NAM and organized retail chains indicate the progress of inclusive and market-driven agricultural development in Tamil Nadu. Assessing these aspects highlights both the expansion of women’s leadership and the strengthening of formal marketing channels within the FPO ecosystem.</w:t>
      </w:r>
      <w:r>
        <w:rPr>
          <w:rFonts w:ascii="Times New Roman" w:hAnsi="Times New Roman" w:cs="Times New Roman"/>
          <w:b/>
          <w:bCs/>
          <w:color w:val="000000" w:themeColor="text1"/>
          <w:sz w:val="24"/>
          <w:szCs w:val="24"/>
        </w:rPr>
        <w:t xml:space="preserve"> </w:t>
      </w:r>
      <w:r w:rsidR="00D8154E" w:rsidRPr="006F19E0">
        <w:rPr>
          <w:rFonts w:ascii="Times New Roman" w:hAnsi="Times New Roman" w:cs="Times New Roman"/>
          <w:color w:val="000000" w:themeColor="text1"/>
          <w:sz w:val="24"/>
          <w:szCs w:val="24"/>
        </w:rPr>
        <w:t>Table</w:t>
      </w:r>
      <w:r w:rsidR="00D8154E" w:rsidRPr="006F19E0">
        <w:rPr>
          <w:rFonts w:ascii="Times New Roman" w:hAnsi="Times New Roman" w:cs="Times New Roman"/>
          <w:b/>
          <w:bCs/>
          <w:color w:val="000000" w:themeColor="text1"/>
          <w:sz w:val="24"/>
          <w:szCs w:val="24"/>
        </w:rPr>
        <w:t xml:space="preserve"> </w:t>
      </w:r>
      <w:r w:rsidR="00D8154E" w:rsidRPr="006F19E0">
        <w:rPr>
          <w:rFonts w:ascii="Times New Roman" w:hAnsi="Times New Roman" w:cs="Times New Roman"/>
          <w:color w:val="000000" w:themeColor="text1"/>
          <w:sz w:val="24"/>
          <w:szCs w:val="24"/>
        </w:rPr>
        <w:t>5 represents the</w:t>
      </w:r>
      <w:r w:rsidR="003947A9">
        <w:rPr>
          <w:rFonts w:ascii="Times New Roman" w:hAnsi="Times New Roman" w:cs="Times New Roman"/>
          <w:color w:val="000000" w:themeColor="text1"/>
          <w:sz w:val="24"/>
          <w:szCs w:val="24"/>
        </w:rPr>
        <w:t xml:space="preserve"> </w:t>
      </w:r>
      <w:r w:rsidRPr="00A23F10">
        <w:rPr>
          <w:rFonts w:ascii="Times New Roman" w:hAnsi="Times New Roman" w:cs="Times New Roman"/>
          <w:color w:val="000000" w:themeColor="text1"/>
          <w:sz w:val="24"/>
          <w:szCs w:val="24"/>
        </w:rPr>
        <w:t>Women-Led FPOs and Market Linkages (e-NAM/Retail Chains) of FPOs in Tamil Nadu</w:t>
      </w:r>
      <w:r>
        <w:rPr>
          <w:rFonts w:ascii="Times New Roman" w:hAnsi="Times New Roman" w:cs="Times New Roman"/>
          <w:b/>
          <w:bCs/>
          <w:color w:val="000000" w:themeColor="text1"/>
          <w:sz w:val="24"/>
          <w:szCs w:val="24"/>
        </w:rPr>
        <w:t xml:space="preserve"> </w:t>
      </w:r>
      <w:r w:rsidR="00D8154E" w:rsidRPr="006F19E0">
        <w:rPr>
          <w:rFonts w:ascii="Times New Roman" w:hAnsi="Times New Roman" w:cs="Times New Roman"/>
          <w:color w:val="000000" w:themeColor="text1"/>
          <w:sz w:val="24"/>
          <w:szCs w:val="24"/>
        </w:rPr>
        <w:t xml:space="preserve">from 2014 to 2025. </w:t>
      </w:r>
    </w:p>
    <w:p w14:paraId="3CDDF2AC" w14:textId="77777777" w:rsidR="0032463E" w:rsidRPr="00A23F10" w:rsidRDefault="0032463E" w:rsidP="00A23F10">
      <w:pPr>
        <w:spacing w:line="360" w:lineRule="auto"/>
        <w:jc w:val="both"/>
        <w:rPr>
          <w:rFonts w:ascii="Times New Roman" w:hAnsi="Times New Roman" w:cs="Times New Roman"/>
          <w:b/>
          <w:bCs/>
          <w:color w:val="000000" w:themeColor="text1"/>
          <w:sz w:val="24"/>
          <w:szCs w:val="24"/>
        </w:rPr>
      </w:pPr>
    </w:p>
    <w:p w14:paraId="6B99F3F0" w14:textId="3D95BF6C" w:rsidR="00D8154E" w:rsidRPr="00C321D9" w:rsidRDefault="00D8154E" w:rsidP="00A23F10">
      <w:pPr>
        <w:spacing w:line="360" w:lineRule="auto"/>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lastRenderedPageBreak/>
        <w:t xml:space="preserve">Table 5. </w:t>
      </w:r>
      <w:r w:rsidR="00A23F10" w:rsidRPr="00A23F10">
        <w:rPr>
          <w:rFonts w:ascii="Times New Roman" w:hAnsi="Times New Roman" w:cs="Times New Roman"/>
          <w:b/>
          <w:bCs/>
          <w:color w:val="000000" w:themeColor="text1"/>
          <w:sz w:val="24"/>
          <w:szCs w:val="24"/>
        </w:rPr>
        <w:t xml:space="preserve">Women-Led FPOs and Market Linkages (e-NAM/Retail Chains) </w:t>
      </w:r>
      <w:r w:rsidR="00A23F10">
        <w:rPr>
          <w:rFonts w:ascii="Times New Roman" w:hAnsi="Times New Roman" w:cs="Times New Roman"/>
          <w:b/>
          <w:bCs/>
          <w:color w:val="000000" w:themeColor="text1"/>
          <w:sz w:val="24"/>
          <w:szCs w:val="24"/>
        </w:rPr>
        <w:t xml:space="preserve">of FPOs </w:t>
      </w:r>
      <w:r w:rsidR="00A23F10" w:rsidRPr="00A23F10">
        <w:rPr>
          <w:rFonts w:ascii="Times New Roman" w:hAnsi="Times New Roman" w:cs="Times New Roman"/>
          <w:b/>
          <w:bCs/>
          <w:color w:val="000000" w:themeColor="text1"/>
          <w:sz w:val="24"/>
          <w:szCs w:val="24"/>
        </w:rPr>
        <w:t>in Tamil Nadu</w:t>
      </w:r>
    </w:p>
    <w:tbl>
      <w:tblPr>
        <w:tblStyle w:val="TableGrid"/>
        <w:tblW w:w="8888" w:type="dxa"/>
        <w:tblLook w:val="04A0" w:firstRow="1" w:lastRow="0" w:firstColumn="1" w:lastColumn="0" w:noHBand="0" w:noVBand="1"/>
      </w:tblPr>
      <w:tblGrid>
        <w:gridCol w:w="3397"/>
        <w:gridCol w:w="1418"/>
        <w:gridCol w:w="1984"/>
        <w:gridCol w:w="2089"/>
      </w:tblGrid>
      <w:tr w:rsidR="00D8154E" w:rsidRPr="006F19E0" w14:paraId="4F075DFC" w14:textId="77777777" w:rsidTr="00557194">
        <w:trPr>
          <w:trHeight w:val="1408"/>
        </w:trPr>
        <w:tc>
          <w:tcPr>
            <w:tcW w:w="3397" w:type="dxa"/>
            <w:vAlign w:val="center"/>
          </w:tcPr>
          <w:p w14:paraId="3DC7E78A" w14:textId="77777777" w:rsidR="00557194" w:rsidRDefault="00A23F10" w:rsidP="00557194">
            <w:pPr>
              <w:jc w:val="center"/>
              <w:rPr>
                <w:rFonts w:ascii="Times New Roman" w:hAnsi="Times New Roman" w:cs="Times New Roman"/>
                <w:b/>
                <w:bCs/>
                <w:color w:val="000000" w:themeColor="text1"/>
                <w:sz w:val="24"/>
                <w:szCs w:val="24"/>
                <w:highlight w:val="yellow"/>
              </w:rPr>
            </w:pPr>
            <w:r w:rsidRPr="0032463E">
              <w:rPr>
                <w:rFonts w:ascii="Times New Roman" w:hAnsi="Times New Roman" w:cs="Times New Roman"/>
                <w:b/>
                <w:bCs/>
                <w:color w:val="000000" w:themeColor="text1"/>
                <w:sz w:val="24"/>
                <w:szCs w:val="24"/>
                <w:highlight w:val="yellow"/>
              </w:rPr>
              <w:t>Women-Led FPOs and Market Linkages (e-NAM/Retail Chains) of FPOs in Tamil Nadu</w:t>
            </w:r>
          </w:p>
          <w:p w14:paraId="05001CB4" w14:textId="2AB6B198" w:rsidR="00A23F10" w:rsidRPr="0032463E" w:rsidRDefault="00557194" w:rsidP="00557194">
            <w:pPr>
              <w:jc w:val="center"/>
              <w:rPr>
                <w:rFonts w:ascii="Times New Roman" w:hAnsi="Times New Roman" w:cs="Times New Roman"/>
                <w:b/>
                <w:bCs/>
                <w:color w:val="000000" w:themeColor="text1"/>
                <w:sz w:val="24"/>
                <w:szCs w:val="24"/>
                <w:highlight w:val="yellow"/>
              </w:rPr>
            </w:pPr>
            <w:r>
              <w:rPr>
                <w:rFonts w:ascii="Times New Roman" w:hAnsi="Times New Roman" w:cs="Times New Roman"/>
                <w:b/>
                <w:bCs/>
                <w:color w:val="000000" w:themeColor="text1"/>
                <w:sz w:val="24"/>
                <w:szCs w:val="24"/>
                <w:highlight w:val="yellow"/>
              </w:rPr>
              <w:t xml:space="preserve"> (No.)</w:t>
            </w:r>
          </w:p>
          <w:p w14:paraId="215A4B0E" w14:textId="6E105E57" w:rsidR="00D8154E" w:rsidRPr="0032463E" w:rsidRDefault="00D8154E" w:rsidP="00790CFF">
            <w:pPr>
              <w:jc w:val="center"/>
              <w:rPr>
                <w:rFonts w:ascii="Times New Roman" w:hAnsi="Times New Roman" w:cs="Times New Roman"/>
                <w:b/>
                <w:bCs/>
                <w:color w:val="000000" w:themeColor="text1"/>
                <w:sz w:val="24"/>
                <w:szCs w:val="24"/>
                <w:highlight w:val="yellow"/>
              </w:rPr>
            </w:pPr>
          </w:p>
        </w:tc>
        <w:tc>
          <w:tcPr>
            <w:tcW w:w="1418" w:type="dxa"/>
            <w:vAlign w:val="center"/>
          </w:tcPr>
          <w:p w14:paraId="77EE4D50" w14:textId="77777777" w:rsidR="00557194" w:rsidRDefault="00D8154E" w:rsidP="00790CFF">
            <w:pPr>
              <w:jc w:val="center"/>
              <w:rPr>
                <w:rFonts w:ascii="Times New Roman" w:hAnsi="Times New Roman" w:cs="Times New Roman"/>
                <w:b/>
                <w:bCs/>
                <w:color w:val="000000" w:themeColor="text1"/>
                <w:sz w:val="24"/>
                <w:szCs w:val="24"/>
                <w:highlight w:val="yellow"/>
              </w:rPr>
            </w:pPr>
            <w:r w:rsidRPr="0032463E">
              <w:rPr>
                <w:rFonts w:ascii="Times New Roman" w:hAnsi="Times New Roman" w:cs="Times New Roman"/>
                <w:b/>
                <w:bCs/>
                <w:color w:val="000000" w:themeColor="text1"/>
                <w:sz w:val="24"/>
                <w:szCs w:val="24"/>
                <w:highlight w:val="yellow"/>
              </w:rPr>
              <w:t>Mean</w:t>
            </w:r>
          </w:p>
          <w:p w14:paraId="1FFE2078" w14:textId="06D36C4C" w:rsidR="00D8154E" w:rsidRPr="0032463E" w:rsidRDefault="00557194" w:rsidP="00790CFF">
            <w:pPr>
              <w:jc w:val="center"/>
              <w:rPr>
                <w:rFonts w:ascii="Times New Roman" w:hAnsi="Times New Roman" w:cs="Times New Roman"/>
                <w:b/>
                <w:bCs/>
                <w:color w:val="000000" w:themeColor="text1"/>
                <w:sz w:val="24"/>
                <w:szCs w:val="24"/>
                <w:highlight w:val="yellow"/>
              </w:rPr>
            </w:pPr>
            <w:r>
              <w:rPr>
                <w:rFonts w:ascii="Times New Roman" w:hAnsi="Times New Roman" w:cs="Times New Roman"/>
                <w:b/>
                <w:bCs/>
                <w:color w:val="000000" w:themeColor="text1"/>
                <w:sz w:val="24"/>
                <w:szCs w:val="24"/>
                <w:highlight w:val="yellow"/>
              </w:rPr>
              <w:t xml:space="preserve"> (No.)</w:t>
            </w:r>
          </w:p>
        </w:tc>
        <w:tc>
          <w:tcPr>
            <w:tcW w:w="1984" w:type="dxa"/>
            <w:vAlign w:val="center"/>
          </w:tcPr>
          <w:p w14:paraId="33872DA4" w14:textId="77777777" w:rsidR="00557194" w:rsidRDefault="00D8154E" w:rsidP="00790CFF">
            <w:pPr>
              <w:jc w:val="center"/>
              <w:rPr>
                <w:rFonts w:ascii="Times New Roman" w:hAnsi="Times New Roman" w:cs="Times New Roman"/>
                <w:b/>
                <w:bCs/>
                <w:color w:val="000000" w:themeColor="text1"/>
                <w:sz w:val="24"/>
                <w:szCs w:val="24"/>
                <w:highlight w:val="yellow"/>
              </w:rPr>
            </w:pPr>
            <w:r w:rsidRPr="0032463E">
              <w:rPr>
                <w:rFonts w:ascii="Times New Roman" w:hAnsi="Times New Roman" w:cs="Times New Roman"/>
                <w:b/>
                <w:bCs/>
                <w:color w:val="000000" w:themeColor="text1"/>
                <w:sz w:val="24"/>
                <w:szCs w:val="24"/>
                <w:highlight w:val="yellow"/>
              </w:rPr>
              <w:t>Standard Deviation</w:t>
            </w:r>
          </w:p>
          <w:p w14:paraId="733060E6" w14:textId="0C18EEA0" w:rsidR="00D8154E" w:rsidRPr="0032463E" w:rsidRDefault="00557194" w:rsidP="00790CFF">
            <w:pPr>
              <w:jc w:val="center"/>
              <w:rPr>
                <w:rFonts w:ascii="Times New Roman" w:hAnsi="Times New Roman" w:cs="Times New Roman"/>
                <w:b/>
                <w:bCs/>
                <w:color w:val="000000" w:themeColor="text1"/>
                <w:sz w:val="24"/>
                <w:szCs w:val="24"/>
                <w:highlight w:val="yellow"/>
              </w:rPr>
            </w:pPr>
            <w:r>
              <w:rPr>
                <w:rFonts w:ascii="Times New Roman" w:hAnsi="Times New Roman" w:cs="Times New Roman"/>
                <w:b/>
                <w:bCs/>
                <w:color w:val="000000" w:themeColor="text1"/>
                <w:sz w:val="24"/>
                <w:szCs w:val="24"/>
                <w:highlight w:val="yellow"/>
              </w:rPr>
              <w:t xml:space="preserve"> (No.)</w:t>
            </w:r>
          </w:p>
        </w:tc>
        <w:tc>
          <w:tcPr>
            <w:tcW w:w="2089" w:type="dxa"/>
            <w:vAlign w:val="center"/>
          </w:tcPr>
          <w:p w14:paraId="5AF9A023" w14:textId="77777777" w:rsidR="00557194" w:rsidRDefault="00D8154E" w:rsidP="00790CFF">
            <w:pPr>
              <w:jc w:val="center"/>
              <w:rPr>
                <w:rFonts w:ascii="Times New Roman" w:hAnsi="Times New Roman" w:cs="Times New Roman"/>
                <w:b/>
                <w:bCs/>
                <w:color w:val="000000" w:themeColor="text1"/>
                <w:sz w:val="24"/>
                <w:szCs w:val="24"/>
                <w:highlight w:val="yellow"/>
              </w:rPr>
            </w:pPr>
            <w:r w:rsidRPr="0032463E">
              <w:rPr>
                <w:rFonts w:ascii="Times New Roman" w:hAnsi="Times New Roman" w:cs="Times New Roman"/>
                <w:b/>
                <w:bCs/>
                <w:color w:val="000000" w:themeColor="text1"/>
                <w:sz w:val="24"/>
                <w:szCs w:val="24"/>
                <w:highlight w:val="yellow"/>
              </w:rPr>
              <w:t>CAGR</w:t>
            </w:r>
          </w:p>
          <w:p w14:paraId="2202586F" w14:textId="63EECB49" w:rsidR="00D8154E" w:rsidRPr="0032463E" w:rsidRDefault="00557194" w:rsidP="00790CFF">
            <w:pPr>
              <w:jc w:val="center"/>
              <w:rPr>
                <w:rFonts w:ascii="Times New Roman" w:hAnsi="Times New Roman" w:cs="Times New Roman"/>
                <w:b/>
                <w:bCs/>
                <w:color w:val="000000" w:themeColor="text1"/>
                <w:sz w:val="24"/>
                <w:szCs w:val="24"/>
                <w:highlight w:val="yellow"/>
              </w:rPr>
            </w:pPr>
            <w:r>
              <w:rPr>
                <w:rFonts w:ascii="Times New Roman" w:hAnsi="Times New Roman" w:cs="Times New Roman"/>
                <w:b/>
                <w:bCs/>
                <w:color w:val="000000" w:themeColor="text1"/>
                <w:sz w:val="24"/>
                <w:szCs w:val="24"/>
                <w:highlight w:val="yellow"/>
              </w:rPr>
              <w:t xml:space="preserve"> (%)</w:t>
            </w:r>
          </w:p>
        </w:tc>
      </w:tr>
      <w:tr w:rsidR="0012228F" w:rsidRPr="006F19E0" w14:paraId="68DFFB94" w14:textId="77777777" w:rsidTr="00A23F10">
        <w:trPr>
          <w:trHeight w:val="383"/>
        </w:trPr>
        <w:tc>
          <w:tcPr>
            <w:tcW w:w="3397" w:type="dxa"/>
          </w:tcPr>
          <w:p w14:paraId="68AD6735" w14:textId="3EAE636B" w:rsidR="0012228F" w:rsidRPr="006F19E0" w:rsidRDefault="0012228F" w:rsidP="0012228F">
            <w:pPr>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No. of Women-led FPOs</w:t>
            </w:r>
          </w:p>
        </w:tc>
        <w:tc>
          <w:tcPr>
            <w:tcW w:w="1418" w:type="dxa"/>
          </w:tcPr>
          <w:p w14:paraId="5F5D5436" w14:textId="4328E7F2" w:rsidR="0012228F" w:rsidRPr="006F19E0" w:rsidRDefault="0012228F" w:rsidP="0012228F">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53.27</w:t>
            </w:r>
          </w:p>
        </w:tc>
        <w:tc>
          <w:tcPr>
            <w:tcW w:w="1984" w:type="dxa"/>
          </w:tcPr>
          <w:p w14:paraId="1A749467" w14:textId="13571438" w:rsidR="0012228F" w:rsidRPr="006F19E0" w:rsidRDefault="0012228F" w:rsidP="0012228F">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32.93</w:t>
            </w:r>
          </w:p>
        </w:tc>
        <w:tc>
          <w:tcPr>
            <w:tcW w:w="2089" w:type="dxa"/>
          </w:tcPr>
          <w:p w14:paraId="056E05C5" w14:textId="0EAF7200" w:rsidR="0012228F" w:rsidRPr="006F19E0" w:rsidRDefault="0012228F" w:rsidP="0012228F">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0.58</w:t>
            </w:r>
          </w:p>
        </w:tc>
      </w:tr>
      <w:tr w:rsidR="0012228F" w:rsidRPr="006F19E0" w14:paraId="0586E440" w14:textId="77777777" w:rsidTr="00A23F10">
        <w:trPr>
          <w:trHeight w:val="778"/>
        </w:trPr>
        <w:tc>
          <w:tcPr>
            <w:tcW w:w="3397" w:type="dxa"/>
          </w:tcPr>
          <w:p w14:paraId="73C352A0" w14:textId="7A39F13C" w:rsidR="0012228F" w:rsidRPr="006F19E0" w:rsidRDefault="00A23F10" w:rsidP="0012228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FPOs Linked to e-NAM/ Retail Chains (No.) </w:t>
            </w:r>
          </w:p>
        </w:tc>
        <w:tc>
          <w:tcPr>
            <w:tcW w:w="1418" w:type="dxa"/>
          </w:tcPr>
          <w:p w14:paraId="2745B99D" w14:textId="570C8379" w:rsidR="0012228F" w:rsidRPr="006F19E0" w:rsidRDefault="00A23F10" w:rsidP="001222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173.63</w:t>
            </w:r>
          </w:p>
        </w:tc>
        <w:tc>
          <w:tcPr>
            <w:tcW w:w="1984" w:type="dxa"/>
          </w:tcPr>
          <w:p w14:paraId="38EE8EAF" w14:textId="50BCB052" w:rsidR="0012228F" w:rsidRPr="006F19E0" w:rsidRDefault="00A23F10" w:rsidP="001222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112.03</w:t>
            </w:r>
          </w:p>
        </w:tc>
        <w:tc>
          <w:tcPr>
            <w:tcW w:w="2089" w:type="dxa"/>
          </w:tcPr>
          <w:p w14:paraId="32E49077" w14:textId="5BE34F96" w:rsidR="0012228F" w:rsidRPr="006F19E0" w:rsidRDefault="00A23F10" w:rsidP="001222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0.66</w:t>
            </w:r>
          </w:p>
        </w:tc>
      </w:tr>
    </w:tbl>
    <w:p w14:paraId="1D1E155D" w14:textId="77777777" w:rsidR="00D8154E" w:rsidRPr="006F19E0" w:rsidRDefault="00D8154E" w:rsidP="00D8154E">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Source: NABARD. Annual Reports (2014-25).</w:t>
      </w:r>
    </w:p>
    <w:p w14:paraId="4B6A52FE" w14:textId="0B0F072F" w:rsidR="00A23F10" w:rsidRPr="00A23F10" w:rsidRDefault="00A23F10" w:rsidP="00D81B9C">
      <w:pPr>
        <w:spacing w:line="360" w:lineRule="auto"/>
        <w:ind w:firstLine="720"/>
        <w:jc w:val="both"/>
        <w:rPr>
          <w:rFonts w:ascii="Times New Roman" w:hAnsi="Times New Roman" w:cs="Times New Roman"/>
          <w:color w:val="000000" w:themeColor="text1"/>
          <w:sz w:val="24"/>
          <w:szCs w:val="24"/>
        </w:rPr>
      </w:pPr>
      <w:r w:rsidRPr="00A23F10">
        <w:rPr>
          <w:rFonts w:ascii="Times New Roman" w:hAnsi="Times New Roman" w:cs="Times New Roman"/>
          <w:color w:val="000000" w:themeColor="text1"/>
          <w:sz w:val="24"/>
          <w:szCs w:val="24"/>
        </w:rPr>
        <w:t>The data indicate steady advancement in both gender leadership and market integration among FPOs in Tamil Nadu. The average number of women-led FPOs was 53.27, with a standard deviation of 32.93, suggesting moderate variation across the years. The CAGR of 0.58 reflects a consistent rise in women assuming leadership roles within produce</w:t>
      </w:r>
      <w:r>
        <w:rPr>
          <w:rFonts w:ascii="Times New Roman" w:hAnsi="Times New Roman" w:cs="Times New Roman"/>
          <w:color w:val="000000" w:themeColor="text1"/>
          <w:sz w:val="24"/>
          <w:szCs w:val="24"/>
        </w:rPr>
        <w:t xml:space="preserve">r </w:t>
      </w:r>
      <w:r w:rsidRPr="00A23F10">
        <w:rPr>
          <w:rFonts w:ascii="Times New Roman" w:hAnsi="Times New Roman" w:cs="Times New Roman"/>
          <w:color w:val="000000" w:themeColor="text1"/>
          <w:sz w:val="24"/>
          <w:szCs w:val="24"/>
        </w:rPr>
        <w:t>organizations.</w:t>
      </w:r>
    </w:p>
    <w:p w14:paraId="48FEBFF3" w14:textId="77777777" w:rsidR="00A23F10" w:rsidRPr="00A23F10" w:rsidRDefault="00A23F10" w:rsidP="00D81B9C">
      <w:pPr>
        <w:spacing w:line="360" w:lineRule="auto"/>
        <w:ind w:firstLine="720"/>
        <w:jc w:val="both"/>
        <w:rPr>
          <w:rFonts w:ascii="Times New Roman" w:hAnsi="Times New Roman" w:cs="Times New Roman"/>
          <w:color w:val="000000" w:themeColor="text1"/>
          <w:sz w:val="24"/>
          <w:szCs w:val="24"/>
        </w:rPr>
      </w:pPr>
      <w:r w:rsidRPr="00A23F10">
        <w:rPr>
          <w:rFonts w:ascii="Times New Roman" w:hAnsi="Times New Roman" w:cs="Times New Roman"/>
          <w:color w:val="000000" w:themeColor="text1"/>
          <w:sz w:val="24"/>
          <w:szCs w:val="24"/>
        </w:rPr>
        <w:t>Similarly, FPOs linked to structured marketing platforms such as e-NAM and retail chains recorded a mean of 173.63 and a standard deviation of 112.03. The higher CAGR of 0.66 shows a strong expansion in formal market linkages, indicating growing commercialization and improved access to organized markets for FPOs in the state.</w:t>
      </w:r>
    </w:p>
    <w:p w14:paraId="6BEFEDD4" w14:textId="2DA9617F" w:rsidR="00D8154E" w:rsidRPr="006F19E0" w:rsidRDefault="00D8154E" w:rsidP="00A23F10">
      <w:pPr>
        <w:spacing w:line="360" w:lineRule="auto"/>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Fig 5. </w:t>
      </w:r>
      <w:r w:rsidR="00A23F10" w:rsidRPr="00A23F10">
        <w:rPr>
          <w:rFonts w:ascii="Times New Roman" w:hAnsi="Times New Roman" w:cs="Times New Roman"/>
          <w:b/>
          <w:bCs/>
          <w:color w:val="000000" w:themeColor="text1"/>
          <w:sz w:val="24"/>
          <w:szCs w:val="24"/>
        </w:rPr>
        <w:t xml:space="preserve">Women-Led FPOs and Market Linkages (e-NAM/Retail Chains) </w:t>
      </w:r>
      <w:r w:rsidR="00A23F10">
        <w:rPr>
          <w:rFonts w:ascii="Times New Roman" w:hAnsi="Times New Roman" w:cs="Times New Roman"/>
          <w:b/>
          <w:bCs/>
          <w:color w:val="000000" w:themeColor="text1"/>
          <w:sz w:val="24"/>
          <w:szCs w:val="24"/>
        </w:rPr>
        <w:t xml:space="preserve">of FPOs </w:t>
      </w:r>
      <w:r w:rsidR="00A23F10" w:rsidRPr="00A23F10">
        <w:rPr>
          <w:rFonts w:ascii="Times New Roman" w:hAnsi="Times New Roman" w:cs="Times New Roman"/>
          <w:b/>
          <w:bCs/>
          <w:color w:val="000000" w:themeColor="text1"/>
          <w:sz w:val="24"/>
          <w:szCs w:val="24"/>
        </w:rPr>
        <w:t>in Tamil Nadu</w:t>
      </w:r>
    </w:p>
    <w:p w14:paraId="1BBE20A2" w14:textId="583C0E9B" w:rsidR="007C6421" w:rsidRPr="00934D6A" w:rsidRDefault="003947A9" w:rsidP="00934D6A">
      <w:pPr>
        <w:spacing w:line="360" w:lineRule="auto"/>
        <w:ind w:firstLine="720"/>
        <w:jc w:val="both"/>
        <w:rPr>
          <w:rFonts w:ascii="Times New Roman" w:hAnsi="Times New Roman" w:cs="Times New Roman"/>
          <w:color w:val="000000" w:themeColor="text1"/>
          <w:sz w:val="24"/>
          <w:szCs w:val="24"/>
        </w:rPr>
      </w:pPr>
      <w:r>
        <w:rPr>
          <w:noProof/>
          <w:lang w:eastAsia="en-IN"/>
        </w:rPr>
        <w:drawing>
          <wp:inline distT="0" distB="0" distL="0" distR="0" wp14:anchorId="13093970" wp14:editId="5D89E75F">
            <wp:extent cx="4572000" cy="2743200"/>
            <wp:effectExtent l="0" t="0" r="0" b="0"/>
            <wp:docPr id="149607455" name="Chart 1">
              <a:extLst xmlns:a="http://schemas.openxmlformats.org/drawingml/2006/main">
                <a:ext uri="{FF2B5EF4-FFF2-40B4-BE49-F238E27FC236}">
                  <a16:creationId xmlns:a16="http://schemas.microsoft.com/office/drawing/2014/main" id="{D44F876D-8FAD-746F-FDEE-89BBB63873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47E86A" w14:textId="6754543F" w:rsidR="00876F87" w:rsidRPr="006F19E0" w:rsidRDefault="00876F87" w:rsidP="00750DC3">
      <w:pPr>
        <w:spacing w:line="360" w:lineRule="auto"/>
        <w:jc w:val="center"/>
        <w:rPr>
          <w:rFonts w:ascii="Times New Roman" w:hAnsi="Times New Roman" w:cs="Times New Roman"/>
          <w:color w:val="000000" w:themeColor="text1"/>
          <w:sz w:val="24"/>
          <w:szCs w:val="24"/>
        </w:rPr>
      </w:pPr>
    </w:p>
    <w:p w14:paraId="57FAEE7C" w14:textId="05905D08" w:rsidR="000055F8" w:rsidRPr="006F19E0" w:rsidRDefault="000055F8" w:rsidP="000055F8">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lastRenderedPageBreak/>
        <w:t>Conclusion</w:t>
      </w:r>
    </w:p>
    <w:p w14:paraId="2B596607" w14:textId="3AD441DE" w:rsidR="00563736" w:rsidRPr="006F19E0" w:rsidRDefault="000055F8" w:rsidP="00563736">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The present study assessed the growth pattern of Farmer Producer Organisations (FPOs) in Tamil Nadu from 2014 to 2025 by examining agency-wise expansion and changes in capital structure</w:t>
      </w:r>
      <w:r w:rsidR="00D81B9C">
        <w:rPr>
          <w:rFonts w:ascii="Times New Roman" w:hAnsi="Times New Roman" w:cs="Times New Roman"/>
          <w:color w:val="000000" w:themeColor="text1"/>
          <w:sz w:val="24"/>
          <w:szCs w:val="24"/>
        </w:rPr>
        <w:t>, financial performance of FPOs, institutional finance and support for FPOs and w</w:t>
      </w:r>
      <w:r w:rsidR="00D81B9C" w:rsidRPr="00A23F10">
        <w:rPr>
          <w:rFonts w:ascii="Times New Roman" w:hAnsi="Times New Roman" w:cs="Times New Roman"/>
          <w:color w:val="000000" w:themeColor="text1"/>
          <w:sz w:val="24"/>
          <w:szCs w:val="24"/>
        </w:rPr>
        <w:t>omen-</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ed FPOs and</w:t>
      </w:r>
      <w:r w:rsidR="00D81B9C">
        <w:rPr>
          <w:rFonts w:ascii="Times New Roman" w:hAnsi="Times New Roman" w:cs="Times New Roman"/>
          <w:color w:val="000000" w:themeColor="text1"/>
          <w:sz w:val="24"/>
          <w:szCs w:val="24"/>
        </w:rPr>
        <w:t xml:space="preserve"> m</w:t>
      </w:r>
      <w:r w:rsidR="00D81B9C" w:rsidRPr="00A23F10">
        <w:rPr>
          <w:rFonts w:ascii="Times New Roman" w:hAnsi="Times New Roman" w:cs="Times New Roman"/>
          <w:color w:val="000000" w:themeColor="text1"/>
          <w:sz w:val="24"/>
          <w:szCs w:val="24"/>
        </w:rPr>
        <w:t xml:space="preserve">arket </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inkages (e-NAM/Retail Chains) of FPOs</w:t>
      </w:r>
      <w:r w:rsidRPr="006F19E0">
        <w:rPr>
          <w:rFonts w:ascii="Times New Roman" w:hAnsi="Times New Roman" w:cs="Times New Roman"/>
          <w:color w:val="000000" w:themeColor="text1"/>
          <w:sz w:val="24"/>
          <w:szCs w:val="24"/>
        </w:rPr>
        <w:t xml:space="preserve">. </w:t>
      </w:r>
      <w:r w:rsidR="00563736" w:rsidRPr="006F19E0">
        <w:rPr>
          <w:rFonts w:ascii="Times New Roman" w:hAnsi="Times New Roman" w:cs="Times New Roman"/>
          <w:color w:val="000000" w:themeColor="text1"/>
          <w:sz w:val="24"/>
          <w:szCs w:val="24"/>
        </w:rPr>
        <w:t>The overall analysis reveals that Farmer</w:t>
      </w:r>
      <w:r w:rsidR="00EC7B0A">
        <w:rPr>
          <w:rFonts w:ascii="Times New Roman" w:hAnsi="Times New Roman" w:cs="Times New Roman"/>
          <w:color w:val="000000" w:themeColor="text1"/>
          <w:sz w:val="24"/>
          <w:szCs w:val="24"/>
        </w:rPr>
        <w:t>-</w:t>
      </w:r>
      <w:r w:rsidR="00563736" w:rsidRPr="006F19E0">
        <w:rPr>
          <w:rFonts w:ascii="Times New Roman" w:hAnsi="Times New Roman" w:cs="Times New Roman"/>
          <w:color w:val="000000" w:themeColor="text1"/>
          <w:sz w:val="24"/>
          <w:szCs w:val="24"/>
        </w:rPr>
        <w:t>Producer Organisations in Tamil Nadu have progressed from a modest beginning to becoming structured and economically active farmer collectives. The steady increase in their number, wider district coverage and stronger agency support indicate that the institutional framework for FPO development has matured over time. The coordinated efforts of promoting agencies and government programmes have significantly strengthened their organisational foundation.</w:t>
      </w:r>
    </w:p>
    <w:p w14:paraId="1FABE061" w14:textId="19EA02E2" w:rsidR="00563736" w:rsidRPr="00563736" w:rsidRDefault="00563736" w:rsidP="00563736">
      <w:pPr>
        <w:spacing w:line="360" w:lineRule="auto"/>
        <w:ind w:firstLine="720"/>
        <w:jc w:val="both"/>
        <w:rPr>
          <w:rFonts w:ascii="Times New Roman" w:hAnsi="Times New Roman" w:cs="Times New Roman"/>
          <w:color w:val="000000" w:themeColor="text1"/>
          <w:sz w:val="24"/>
          <w:szCs w:val="24"/>
        </w:rPr>
      </w:pPr>
      <w:r w:rsidRPr="00563736">
        <w:rPr>
          <w:rFonts w:ascii="Times New Roman" w:hAnsi="Times New Roman" w:cs="Times New Roman"/>
          <w:color w:val="000000" w:themeColor="text1"/>
          <w:sz w:val="24"/>
          <w:szCs w:val="24"/>
        </w:rPr>
        <w:t>The financial indicators demonstrate that FPOs have gradually built a stronger capital base, expanded their business turnover</w:t>
      </w:r>
      <w:r w:rsidR="00992FCB">
        <w:rPr>
          <w:rFonts w:ascii="Times New Roman" w:hAnsi="Times New Roman" w:cs="Times New Roman"/>
          <w:color w:val="000000" w:themeColor="text1"/>
          <w:sz w:val="24"/>
          <w:szCs w:val="24"/>
        </w:rPr>
        <w:t xml:space="preserve"> </w:t>
      </w:r>
      <w:r w:rsidRPr="00563736">
        <w:rPr>
          <w:rFonts w:ascii="Times New Roman" w:hAnsi="Times New Roman" w:cs="Times New Roman"/>
          <w:color w:val="000000" w:themeColor="text1"/>
          <w:sz w:val="24"/>
          <w:szCs w:val="24"/>
        </w:rPr>
        <w:t>and improved profitability. Increased access to institutional finance and equity support has enhanced their operational stability and creditworthiness. This reflects growing confidence among financial institutions and stakeholders in the viability of farmer-owned enterprises.</w:t>
      </w:r>
    </w:p>
    <w:p w14:paraId="1FCBA7CE" w14:textId="244B036B" w:rsidR="00563736" w:rsidRDefault="00D81B9C" w:rsidP="00563736">
      <w:pPr>
        <w:spacing w:line="360" w:lineRule="auto"/>
        <w:ind w:firstLine="720"/>
        <w:jc w:val="both"/>
        <w:rPr>
          <w:rFonts w:ascii="Times New Roman" w:hAnsi="Times New Roman" w:cs="Times New Roman"/>
          <w:color w:val="000000" w:themeColor="text1"/>
          <w:sz w:val="24"/>
          <w:szCs w:val="24"/>
        </w:rPr>
      </w:pPr>
      <w:r w:rsidRPr="00D81B9C">
        <w:rPr>
          <w:rFonts w:ascii="Times New Roman" w:hAnsi="Times New Roman" w:cs="Times New Roman"/>
          <w:color w:val="000000" w:themeColor="text1"/>
          <w:sz w:val="24"/>
          <w:szCs w:val="24"/>
        </w:rPr>
        <w:t>The findings highlight significant progress in women’s leadership within FPOs alongside a substantial expansion in overall farmer membership. The strong growth rates indicate deepening inclusiveness and increasing collective participation, strengthening the institutional base of FPOs</w:t>
      </w:r>
      <w:r w:rsidR="00563736" w:rsidRPr="00563736">
        <w:rPr>
          <w:rFonts w:ascii="Times New Roman" w:hAnsi="Times New Roman" w:cs="Times New Roman"/>
          <w:color w:val="000000" w:themeColor="text1"/>
          <w:sz w:val="24"/>
          <w:szCs w:val="24"/>
        </w:rPr>
        <w:t>. Overall, the findings suggest that FPOs in Tamil Nadu are evolving into sustainable, market-oriented institutions capable of supporting farmers’ income enhancement and long-term agricultural development.</w:t>
      </w:r>
    </w:p>
    <w:p w14:paraId="3BF55965" w14:textId="77777777" w:rsidR="00E749AE" w:rsidRDefault="00E749AE" w:rsidP="00E749AE">
      <w:pPr>
        <w:spacing w:line="360" w:lineRule="auto"/>
        <w:jc w:val="both"/>
        <w:rPr>
          <w:rFonts w:ascii="Times New Roman" w:hAnsi="Times New Roman" w:cs="Times New Roman"/>
          <w:color w:val="000000" w:themeColor="text1"/>
          <w:sz w:val="24"/>
          <w:szCs w:val="24"/>
        </w:rPr>
      </w:pPr>
      <w:r w:rsidRPr="00E749AE">
        <w:rPr>
          <w:rFonts w:ascii="Times New Roman" w:hAnsi="Times New Roman" w:cs="Times New Roman"/>
          <w:b/>
          <w:bCs/>
          <w:color w:val="000000" w:themeColor="text1"/>
          <w:sz w:val="24"/>
          <w:szCs w:val="24"/>
        </w:rPr>
        <w:t>DISCLAIMER (ARTIFICIAL INTELLIGENCE)</w:t>
      </w:r>
    </w:p>
    <w:p w14:paraId="21C88FF0" w14:textId="77777777" w:rsidR="00E749AE" w:rsidRDefault="00E749AE" w:rsidP="00E749AE">
      <w:pPr>
        <w:spacing w:line="360" w:lineRule="auto"/>
        <w:jc w:val="both"/>
        <w:rPr>
          <w:rFonts w:ascii="Times New Roman" w:hAnsi="Times New Roman" w:cs="Times New Roman"/>
          <w:color w:val="000000" w:themeColor="text1"/>
          <w:sz w:val="24"/>
          <w:szCs w:val="24"/>
        </w:rPr>
      </w:pPr>
      <w:r w:rsidRPr="00E749AE">
        <w:rPr>
          <w:rFonts w:ascii="Times New Roman" w:hAnsi="Times New Roman" w:cs="Times New Roman"/>
          <w:color w:val="000000" w:themeColor="text1"/>
          <w:sz w:val="24"/>
          <w:szCs w:val="24"/>
        </w:rPr>
        <w:t xml:space="preserve">Author(s) hereby declare that NO generative AI technologies such as Large Language Models (ChatGPT, COPILOT, etc) and text-to-image generators have been used during writing or editing of this manuscript. </w:t>
      </w:r>
    </w:p>
    <w:p w14:paraId="051B7489" w14:textId="3A18E417" w:rsidR="000055F8" w:rsidRPr="006F19E0" w:rsidRDefault="000055F8" w:rsidP="00563736">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References </w:t>
      </w:r>
    </w:p>
    <w:p w14:paraId="09526073" w14:textId="77777777" w:rsidR="000055F8" w:rsidRPr="006F19E0" w:rsidRDefault="000055F8" w:rsidP="00253147">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 Ministry of Agriculture &amp; Farmers Welfare. (2020). Formation and Promotion of 10,000 Farmer Producer Organisations (FPOs): Operational Guidelines. Government of India, New Delhi.</w:t>
      </w:r>
    </w:p>
    <w:p w14:paraId="384AC37D" w14:textId="77777777" w:rsidR="000055F8" w:rsidRPr="006F19E0" w:rsidRDefault="00253147"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lastRenderedPageBreak/>
        <w:t>2</w:t>
      </w:r>
      <w:r w:rsidR="000055F8" w:rsidRPr="006F19E0">
        <w:rPr>
          <w:rFonts w:ascii="Times New Roman" w:hAnsi="Times New Roman" w:cs="Times New Roman"/>
          <w:color w:val="000000" w:themeColor="text1"/>
          <w:sz w:val="24"/>
          <w:szCs w:val="24"/>
        </w:rPr>
        <w:t>. Government of India. (2013). The Companies Act, 2013. Ministry of Corporate Affairs, New Delhi.</w:t>
      </w:r>
    </w:p>
    <w:p w14:paraId="273A7697" w14:textId="77777777" w:rsidR="000055F8" w:rsidRPr="006F19E0" w:rsidRDefault="00253147"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3</w:t>
      </w:r>
      <w:r w:rsidR="000055F8" w:rsidRPr="006F19E0">
        <w:rPr>
          <w:rFonts w:ascii="Times New Roman" w:hAnsi="Times New Roman" w:cs="Times New Roman"/>
          <w:color w:val="000000" w:themeColor="text1"/>
          <w:sz w:val="24"/>
          <w:szCs w:val="24"/>
        </w:rPr>
        <w:t>. Department of Agriculture, Cooperation &amp; Farmers Welfare. (2017). Doubling Farmers’ Income: Report of the Committee (Vol. I–XIV). Government of India, New Delhi.</w:t>
      </w:r>
    </w:p>
    <w:p w14:paraId="08E45314" w14:textId="77777777" w:rsidR="000055F8" w:rsidRPr="006F19E0" w:rsidRDefault="00253147"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4</w:t>
      </w:r>
      <w:r w:rsidR="000055F8" w:rsidRPr="006F19E0">
        <w:rPr>
          <w:rFonts w:ascii="Times New Roman" w:hAnsi="Times New Roman" w:cs="Times New Roman"/>
          <w:color w:val="000000" w:themeColor="text1"/>
          <w:sz w:val="24"/>
          <w:szCs w:val="24"/>
        </w:rPr>
        <w:t>. Agricultural Census Division. (2019). All India Report on Agriculture Census 2015–16. Ministry of Agriculture &amp; Farmers Welfare, Government of India.</w:t>
      </w:r>
    </w:p>
    <w:p w14:paraId="3A53E009" w14:textId="44A83C15" w:rsidR="00FC387E"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5.Government of Tamil Nadu. (20</w:t>
      </w:r>
      <w:r w:rsidR="0025349E">
        <w:rPr>
          <w:rFonts w:ascii="Times New Roman" w:hAnsi="Times New Roman" w:cs="Times New Roman"/>
          <w:color w:val="000000" w:themeColor="text1"/>
          <w:sz w:val="24"/>
          <w:szCs w:val="24"/>
        </w:rPr>
        <w:t>23</w:t>
      </w:r>
      <w:r w:rsidRPr="006F19E0">
        <w:rPr>
          <w:rFonts w:ascii="Times New Roman" w:hAnsi="Times New Roman" w:cs="Times New Roman"/>
          <w:color w:val="000000" w:themeColor="text1"/>
          <w:sz w:val="24"/>
          <w:szCs w:val="24"/>
        </w:rPr>
        <w:t>). Agricultural Census Report (Operational Holdings). Department of Economics and Statistics / Agriculture Department, Chennai.</w:t>
      </w:r>
    </w:p>
    <w:p w14:paraId="3EC694D5" w14:textId="77777777" w:rsidR="000055F8"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6</w:t>
      </w:r>
      <w:r w:rsidR="000055F8" w:rsidRPr="006F19E0">
        <w:rPr>
          <w:rFonts w:ascii="Times New Roman" w:hAnsi="Times New Roman" w:cs="Times New Roman"/>
          <w:color w:val="000000" w:themeColor="text1"/>
          <w:sz w:val="24"/>
          <w:szCs w:val="24"/>
        </w:rPr>
        <w:t xml:space="preserve">. NRLM. (2016). Producer Group and Producer Organisation Promotion: Framework and Guidelines. </w:t>
      </w:r>
      <w:proofErr w:type="spellStart"/>
      <w:r w:rsidR="000055F8" w:rsidRPr="006F19E0">
        <w:rPr>
          <w:rFonts w:ascii="Times New Roman" w:hAnsi="Times New Roman" w:cs="Times New Roman"/>
          <w:color w:val="000000" w:themeColor="text1"/>
          <w:sz w:val="24"/>
          <w:szCs w:val="24"/>
        </w:rPr>
        <w:t>Deendayal</w:t>
      </w:r>
      <w:proofErr w:type="spellEnd"/>
      <w:r w:rsidR="000055F8" w:rsidRPr="006F19E0">
        <w:rPr>
          <w:rFonts w:ascii="Times New Roman" w:hAnsi="Times New Roman" w:cs="Times New Roman"/>
          <w:color w:val="000000" w:themeColor="text1"/>
          <w:sz w:val="24"/>
          <w:szCs w:val="24"/>
        </w:rPr>
        <w:t xml:space="preserve"> </w:t>
      </w:r>
      <w:proofErr w:type="spellStart"/>
      <w:r w:rsidR="000055F8" w:rsidRPr="006F19E0">
        <w:rPr>
          <w:rFonts w:ascii="Times New Roman" w:hAnsi="Times New Roman" w:cs="Times New Roman"/>
          <w:color w:val="000000" w:themeColor="text1"/>
          <w:sz w:val="24"/>
          <w:szCs w:val="24"/>
        </w:rPr>
        <w:t>Antyodaya</w:t>
      </w:r>
      <w:proofErr w:type="spellEnd"/>
      <w:r w:rsidR="000055F8" w:rsidRPr="006F19E0">
        <w:rPr>
          <w:rFonts w:ascii="Times New Roman" w:hAnsi="Times New Roman" w:cs="Times New Roman"/>
          <w:color w:val="000000" w:themeColor="text1"/>
          <w:sz w:val="24"/>
          <w:szCs w:val="24"/>
        </w:rPr>
        <w:t xml:space="preserve"> Yojana–National Rural Livelihoods Mission, Ministry of Rural Development, Government of India.</w:t>
      </w:r>
    </w:p>
    <w:p w14:paraId="634887DE" w14:textId="77777777" w:rsidR="000055F8"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7</w:t>
      </w:r>
      <w:r w:rsidR="000055F8" w:rsidRPr="006F19E0">
        <w:rPr>
          <w:rFonts w:ascii="Times New Roman" w:hAnsi="Times New Roman" w:cs="Times New Roman"/>
          <w:color w:val="000000" w:themeColor="text1"/>
          <w:sz w:val="24"/>
          <w:szCs w:val="24"/>
        </w:rPr>
        <w:t>. World Bank. (2008). World Development Report 2008: Agriculture for Development. The World Bank, Washington, DC.</w:t>
      </w:r>
    </w:p>
    <w:p w14:paraId="70913D57" w14:textId="77777777" w:rsidR="000055F8"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8</w:t>
      </w:r>
      <w:r w:rsidR="000055F8" w:rsidRPr="006F19E0">
        <w:rPr>
          <w:rFonts w:ascii="Times New Roman" w:hAnsi="Times New Roman" w:cs="Times New Roman"/>
          <w:color w:val="000000" w:themeColor="text1"/>
          <w:sz w:val="24"/>
          <w:szCs w:val="24"/>
        </w:rPr>
        <w:t>. Trebbin, A. (2014). Linking small farmers to modern retail through producer organizations – Experiences from India. Food Policy, 45, 35–44.</w:t>
      </w:r>
    </w:p>
    <w:p w14:paraId="0EEB2FD0" w14:textId="77777777" w:rsidR="000055F8"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9</w:t>
      </w:r>
      <w:r w:rsidR="000055F8" w:rsidRPr="006F19E0">
        <w:rPr>
          <w:rFonts w:ascii="Times New Roman" w:hAnsi="Times New Roman" w:cs="Times New Roman"/>
          <w:color w:val="000000" w:themeColor="text1"/>
          <w:sz w:val="24"/>
          <w:szCs w:val="24"/>
        </w:rPr>
        <w:t>. Singh, S. (2008). Producer Companies as New Generation Cooperatives. Economic and Political Weekly, 43(20), 22–24.</w:t>
      </w:r>
    </w:p>
    <w:p w14:paraId="6F96061E" w14:textId="77777777" w:rsidR="000055F8"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10</w:t>
      </w:r>
      <w:r w:rsidR="000055F8" w:rsidRPr="006F19E0">
        <w:rPr>
          <w:rFonts w:ascii="Times New Roman" w:hAnsi="Times New Roman" w:cs="Times New Roman"/>
          <w:color w:val="000000" w:themeColor="text1"/>
          <w:sz w:val="24"/>
          <w:szCs w:val="24"/>
        </w:rPr>
        <w:t>. Mukherjee, A., Singh, P., &amp; Venkatesh, P. (2019). Farmer Producer Organizations in India: Status, Challenges and Opportunities. NABARD / NITI Aayog Discussion Papers.</w:t>
      </w:r>
    </w:p>
    <w:p w14:paraId="697598A5" w14:textId="77777777" w:rsidR="000055F8" w:rsidRPr="006F19E0" w:rsidRDefault="000055F8"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w:t>
      </w:r>
      <w:r w:rsidR="00FC387E" w:rsidRPr="006F19E0">
        <w:rPr>
          <w:rFonts w:ascii="Times New Roman" w:hAnsi="Times New Roman" w:cs="Times New Roman"/>
          <w:color w:val="000000" w:themeColor="text1"/>
          <w:sz w:val="24"/>
          <w:szCs w:val="24"/>
        </w:rPr>
        <w:t>1</w:t>
      </w:r>
      <w:r w:rsidRPr="006F19E0">
        <w:rPr>
          <w:rFonts w:ascii="Times New Roman" w:hAnsi="Times New Roman" w:cs="Times New Roman"/>
          <w:color w:val="000000" w:themeColor="text1"/>
          <w:sz w:val="24"/>
          <w:szCs w:val="24"/>
        </w:rPr>
        <w:t xml:space="preserve">. </w:t>
      </w:r>
      <w:proofErr w:type="spellStart"/>
      <w:r w:rsidRPr="006F19E0">
        <w:rPr>
          <w:rFonts w:ascii="Times New Roman" w:hAnsi="Times New Roman" w:cs="Times New Roman"/>
          <w:color w:val="000000" w:themeColor="text1"/>
          <w:sz w:val="24"/>
          <w:szCs w:val="24"/>
        </w:rPr>
        <w:t>Birthal</w:t>
      </w:r>
      <w:proofErr w:type="spellEnd"/>
      <w:r w:rsidRPr="006F19E0">
        <w:rPr>
          <w:rFonts w:ascii="Times New Roman" w:hAnsi="Times New Roman" w:cs="Times New Roman"/>
          <w:color w:val="000000" w:themeColor="text1"/>
          <w:sz w:val="24"/>
          <w:szCs w:val="24"/>
        </w:rPr>
        <w:t>, P. S., Roy, D., &amp; Negi, D. S. (2015). Assessing the Impact of Farmer Producer Organizations on Smallholders’ Market Participation. Indian Journal of Agricultural Economics, 70(3), 1–15.</w:t>
      </w:r>
    </w:p>
    <w:p w14:paraId="5F6DD392" w14:textId="77777777" w:rsidR="000055F8" w:rsidRPr="006F19E0" w:rsidRDefault="000055F8"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w:t>
      </w:r>
      <w:r w:rsidR="00FC387E" w:rsidRPr="006F19E0">
        <w:rPr>
          <w:rFonts w:ascii="Times New Roman" w:hAnsi="Times New Roman" w:cs="Times New Roman"/>
          <w:color w:val="000000" w:themeColor="text1"/>
          <w:sz w:val="24"/>
          <w:szCs w:val="24"/>
        </w:rPr>
        <w:t>2</w:t>
      </w:r>
      <w:r w:rsidRPr="006F19E0">
        <w:rPr>
          <w:rFonts w:ascii="Times New Roman" w:hAnsi="Times New Roman" w:cs="Times New Roman"/>
          <w:color w:val="000000" w:themeColor="text1"/>
          <w:sz w:val="24"/>
          <w:szCs w:val="24"/>
        </w:rPr>
        <w:t>. Kumar, V., Wankhede, K. G., &amp; Gena, H. C. (2015). Role of Farmer Producer Organizations in improving farmer income. Agricultural Economics Research Review, 28(2), 1–10.</w:t>
      </w:r>
    </w:p>
    <w:p w14:paraId="135A7BE2" w14:textId="77777777" w:rsidR="000055F8" w:rsidRPr="006F19E0" w:rsidRDefault="000055F8"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w:t>
      </w:r>
      <w:r w:rsidR="00FC387E" w:rsidRPr="006F19E0">
        <w:rPr>
          <w:rFonts w:ascii="Times New Roman" w:hAnsi="Times New Roman" w:cs="Times New Roman"/>
          <w:color w:val="000000" w:themeColor="text1"/>
          <w:sz w:val="24"/>
          <w:szCs w:val="24"/>
        </w:rPr>
        <w:t>3</w:t>
      </w:r>
      <w:r w:rsidRPr="006F19E0">
        <w:rPr>
          <w:rFonts w:ascii="Times New Roman" w:hAnsi="Times New Roman" w:cs="Times New Roman"/>
          <w:color w:val="000000" w:themeColor="text1"/>
          <w:sz w:val="24"/>
          <w:szCs w:val="24"/>
        </w:rPr>
        <w:t>. Government of India. (2021). Economic Survey 2020–21. Ministry of Finance, New Delhi.</w:t>
      </w:r>
    </w:p>
    <w:p w14:paraId="114F398A" w14:textId="1B33F849" w:rsidR="000055F8" w:rsidRDefault="000055F8"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w:t>
      </w:r>
      <w:r w:rsidR="00FC387E" w:rsidRPr="006F19E0">
        <w:rPr>
          <w:rFonts w:ascii="Times New Roman" w:hAnsi="Times New Roman" w:cs="Times New Roman"/>
          <w:color w:val="000000" w:themeColor="text1"/>
          <w:sz w:val="24"/>
          <w:szCs w:val="24"/>
        </w:rPr>
        <w:t>4</w:t>
      </w:r>
      <w:r w:rsidRPr="006F19E0">
        <w:rPr>
          <w:rFonts w:ascii="Times New Roman" w:hAnsi="Times New Roman" w:cs="Times New Roman"/>
          <w:color w:val="000000" w:themeColor="text1"/>
          <w:sz w:val="24"/>
          <w:szCs w:val="24"/>
        </w:rPr>
        <w:t>. NITI Aayog. (2018). Strategy for New India @75. NITI Aayog, Government of India, New Delhi.</w:t>
      </w:r>
      <w:bookmarkEnd w:id="7"/>
    </w:p>
    <w:p w14:paraId="33C8D912" w14:textId="2FC24A0E" w:rsidR="00E12935" w:rsidRDefault="00E12935" w:rsidP="000055F8">
      <w:pPr>
        <w:spacing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15. </w:t>
      </w:r>
      <w:proofErr w:type="spellStart"/>
      <w:r>
        <w:rPr>
          <w:rFonts w:ascii="Arial" w:hAnsi="Arial" w:cs="Arial"/>
          <w:color w:val="222222"/>
          <w:sz w:val="20"/>
          <w:szCs w:val="20"/>
          <w:shd w:val="clear" w:color="auto" w:fill="FFFFFF"/>
        </w:rPr>
        <w:t>Ramappa</w:t>
      </w:r>
      <w:proofErr w:type="spellEnd"/>
      <w:r>
        <w:rPr>
          <w:rFonts w:ascii="Arial" w:hAnsi="Arial" w:cs="Arial"/>
          <w:color w:val="222222"/>
          <w:sz w:val="20"/>
          <w:szCs w:val="20"/>
          <w:shd w:val="clear" w:color="auto" w:fill="FFFFFF"/>
        </w:rPr>
        <w:t xml:space="preserve">, K. B., &amp; </w:t>
      </w:r>
      <w:proofErr w:type="spellStart"/>
      <w:r>
        <w:rPr>
          <w:rFonts w:ascii="Arial" w:hAnsi="Arial" w:cs="Arial"/>
          <w:color w:val="222222"/>
          <w:sz w:val="20"/>
          <w:szCs w:val="20"/>
          <w:shd w:val="clear" w:color="auto" w:fill="FFFFFF"/>
        </w:rPr>
        <w:t>Yashashwini</w:t>
      </w:r>
      <w:proofErr w:type="spellEnd"/>
      <w:r>
        <w:rPr>
          <w:rFonts w:ascii="Arial" w:hAnsi="Arial" w:cs="Arial"/>
          <w:color w:val="222222"/>
          <w:sz w:val="20"/>
          <w:szCs w:val="20"/>
          <w:shd w:val="clear" w:color="auto" w:fill="FFFFFF"/>
        </w:rPr>
        <w:t>, M. A. (2018). Evolution of farmer producer organizations: Challenges and opportunities. </w:t>
      </w:r>
      <w:r>
        <w:rPr>
          <w:rFonts w:ascii="Arial" w:hAnsi="Arial" w:cs="Arial"/>
          <w:i/>
          <w:iCs/>
          <w:color w:val="222222"/>
          <w:sz w:val="20"/>
          <w:szCs w:val="20"/>
          <w:shd w:val="clear" w:color="auto" w:fill="FFFFFF"/>
        </w:rPr>
        <w:t>Research Journal of Agricultural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(4), 709-715.</w:t>
      </w:r>
    </w:p>
    <w:p w14:paraId="4B9FD5D3" w14:textId="3CEDC339" w:rsidR="0014342A" w:rsidRDefault="0014342A" w:rsidP="000055F8">
      <w:pPr>
        <w:spacing w:line="36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Gautam, S., &amp; </w:t>
      </w:r>
      <w:proofErr w:type="spellStart"/>
      <w:r>
        <w:rPr>
          <w:rFonts w:ascii="Arial" w:hAnsi="Arial" w:cs="Arial"/>
          <w:color w:val="222222"/>
          <w:sz w:val="20"/>
          <w:szCs w:val="20"/>
          <w:shd w:val="clear" w:color="auto" w:fill="FFFFFF"/>
        </w:rPr>
        <w:t>Mallaiah</w:t>
      </w:r>
      <w:proofErr w:type="spellEnd"/>
      <w:r>
        <w:rPr>
          <w:rFonts w:ascii="Arial" w:hAnsi="Arial" w:cs="Arial"/>
          <w:color w:val="222222"/>
          <w:sz w:val="20"/>
          <w:szCs w:val="20"/>
          <w:shd w:val="clear" w:color="auto" w:fill="FFFFFF"/>
        </w:rPr>
        <w:t>, L. C. (2024). Enhancing farmer’s income and farmer producer organizations’(FPOs) in India. </w:t>
      </w:r>
      <w:r>
        <w:rPr>
          <w:rFonts w:ascii="Arial" w:hAnsi="Arial" w:cs="Arial"/>
          <w:i/>
          <w:iCs/>
          <w:color w:val="222222"/>
          <w:sz w:val="20"/>
          <w:szCs w:val="20"/>
          <w:shd w:val="clear" w:color="auto" w:fill="FFFFFF"/>
        </w:rPr>
        <w:t xml:space="preserve">Saudi J. Econ. </w:t>
      </w:r>
      <w:proofErr w:type="spellStart"/>
      <w:r>
        <w:rPr>
          <w:rFonts w:ascii="Arial" w:hAnsi="Arial" w:cs="Arial"/>
          <w:i/>
          <w:iCs/>
          <w:color w:val="222222"/>
          <w:sz w:val="20"/>
          <w:szCs w:val="20"/>
          <w:shd w:val="clear" w:color="auto" w:fill="FFFFFF"/>
        </w:rPr>
        <w:t>Financ</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(4), 44-52.</w:t>
      </w:r>
    </w:p>
    <w:p w14:paraId="08672F7C" w14:textId="643F29F0" w:rsidR="0014342A" w:rsidRPr="006F19E0" w:rsidRDefault="0014342A" w:rsidP="000055F8">
      <w:pPr>
        <w:spacing w:line="360" w:lineRule="auto"/>
        <w:jc w:val="both"/>
        <w:rPr>
          <w:rFonts w:ascii="Times New Roman" w:hAnsi="Times New Roman" w:cs="Times New Roman"/>
          <w:color w:val="000000" w:themeColor="text1"/>
          <w:sz w:val="24"/>
          <w:szCs w:val="24"/>
        </w:rPr>
      </w:pPr>
      <w:proofErr w:type="spellStart"/>
      <w:r>
        <w:rPr>
          <w:rFonts w:ascii="Arial" w:hAnsi="Arial" w:cs="Arial"/>
          <w:color w:val="222222"/>
          <w:sz w:val="20"/>
          <w:szCs w:val="20"/>
          <w:shd w:val="clear" w:color="auto" w:fill="FFFFFF"/>
        </w:rPr>
        <w:t>Chandegara</w:t>
      </w:r>
      <w:proofErr w:type="spellEnd"/>
      <w:r>
        <w:rPr>
          <w:rFonts w:ascii="Arial" w:hAnsi="Arial" w:cs="Arial"/>
          <w:color w:val="222222"/>
          <w:sz w:val="20"/>
          <w:szCs w:val="20"/>
          <w:shd w:val="clear" w:color="auto" w:fill="FFFFFF"/>
        </w:rPr>
        <w:t xml:space="preserve">, A. K., Chauhan, J. K., Upadhyay, A. D., </w:t>
      </w:r>
      <w:proofErr w:type="spellStart"/>
      <w:r>
        <w:rPr>
          <w:rFonts w:ascii="Arial" w:hAnsi="Arial" w:cs="Arial"/>
          <w:color w:val="222222"/>
          <w:sz w:val="20"/>
          <w:szCs w:val="20"/>
          <w:shd w:val="clear" w:color="auto" w:fill="FFFFFF"/>
        </w:rPr>
        <w:t>Lahiri</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Mahanand</w:t>
      </w:r>
      <w:proofErr w:type="spellEnd"/>
      <w:r>
        <w:rPr>
          <w:rFonts w:ascii="Arial" w:hAnsi="Arial" w:cs="Arial"/>
          <w:color w:val="222222"/>
          <w:sz w:val="20"/>
          <w:szCs w:val="20"/>
          <w:shd w:val="clear" w:color="auto" w:fill="FFFFFF"/>
        </w:rPr>
        <w:t xml:space="preserve">, S. S., Noopur, K., &amp; Reena, H. (2023). The farmer producer organizations (FPOs): Building bridges to prosperity for India's </w:t>
      </w:r>
      <w:proofErr w:type="spellStart"/>
      <w:r>
        <w:rPr>
          <w:rFonts w:ascii="Arial" w:hAnsi="Arial" w:cs="Arial"/>
          <w:color w:val="222222"/>
          <w:sz w:val="20"/>
          <w:szCs w:val="20"/>
          <w:shd w:val="clear" w:color="auto" w:fill="FFFFFF"/>
        </w:rPr>
        <w:t>agri</w:t>
      </w:r>
      <w:proofErr w:type="spellEnd"/>
      <w:r>
        <w:rPr>
          <w:rFonts w:ascii="Arial" w:hAnsi="Arial" w:cs="Arial"/>
          <w:color w:val="222222"/>
          <w:sz w:val="20"/>
          <w:szCs w:val="20"/>
          <w:shd w:val="clear" w:color="auto" w:fill="FFFFFF"/>
        </w:rPr>
        <w:t>-fish farming. </w:t>
      </w:r>
      <w:r>
        <w:rPr>
          <w:rFonts w:ascii="Arial" w:hAnsi="Arial" w:cs="Arial"/>
          <w:i/>
          <w:iCs/>
          <w:color w:val="222222"/>
          <w:sz w:val="20"/>
          <w:szCs w:val="20"/>
          <w:shd w:val="clear" w:color="auto" w:fill="FFFFFF"/>
        </w:rPr>
        <w:t>Indian Res. J. Ext. Edu</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23</w:t>
      </w:r>
      <w:r>
        <w:rPr>
          <w:rFonts w:ascii="Arial" w:hAnsi="Arial" w:cs="Arial"/>
          <w:color w:val="222222"/>
          <w:sz w:val="20"/>
          <w:szCs w:val="20"/>
          <w:shd w:val="clear" w:color="auto" w:fill="FFFFFF"/>
        </w:rPr>
        <w:t>(4), 66-78.</w:t>
      </w:r>
    </w:p>
    <w:sectPr w:rsidR="0014342A" w:rsidRPr="006F19E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A79BD8" w16cex:dateUtc="2026-03-30T06:00:00Z"/>
  <w16cex:commentExtensible w16cex:durableId="573FFC45" w16cex:dateUtc="2026-03-30T06:01:00Z"/>
  <w16cex:commentExtensible w16cex:durableId="0AB9A181" w16cex:dateUtc="2026-03-30T06:01:00Z"/>
  <w16cex:commentExtensible w16cex:durableId="4EED1909" w16cex:dateUtc="2026-03-30T06:03:00Z"/>
  <w16cex:commentExtensible w16cex:durableId="0F67F563" w16cex:dateUtc="2026-03-30T06:03:00Z"/>
  <w16cex:commentExtensible w16cex:durableId="141D2628" w16cex:dateUtc="2026-03-30T06:04:00Z"/>
  <w16cex:commentExtensible w16cex:durableId="0DD8B201" w16cex:dateUtc="2026-03-30T06: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E4824" w14:textId="77777777" w:rsidR="006650E8" w:rsidRDefault="006650E8" w:rsidP="00FE07C4">
      <w:pPr>
        <w:spacing w:after="0" w:line="240" w:lineRule="auto"/>
      </w:pPr>
      <w:r>
        <w:separator/>
      </w:r>
    </w:p>
  </w:endnote>
  <w:endnote w:type="continuationSeparator" w:id="0">
    <w:p w14:paraId="6ED9B495" w14:textId="77777777" w:rsidR="006650E8" w:rsidRDefault="006650E8" w:rsidP="00FE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44A63" w14:textId="77777777" w:rsidR="00FE07C4" w:rsidRDefault="00FE0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95628" w14:textId="77777777" w:rsidR="00FE07C4" w:rsidRDefault="00FE0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1BFB2" w14:textId="77777777" w:rsidR="00FE07C4" w:rsidRDefault="00FE0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FD1FB" w14:textId="77777777" w:rsidR="006650E8" w:rsidRDefault="006650E8" w:rsidP="00FE07C4">
      <w:pPr>
        <w:spacing w:after="0" w:line="240" w:lineRule="auto"/>
      </w:pPr>
      <w:r>
        <w:separator/>
      </w:r>
    </w:p>
  </w:footnote>
  <w:footnote w:type="continuationSeparator" w:id="0">
    <w:p w14:paraId="48BE5981" w14:textId="77777777" w:rsidR="006650E8" w:rsidRDefault="006650E8" w:rsidP="00FE0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F8911" w14:textId="43023F25" w:rsidR="00FE07C4" w:rsidRDefault="0014342A">
    <w:pPr>
      <w:pStyle w:val="Header"/>
    </w:pPr>
    <w:r>
      <w:rPr>
        <w:noProof/>
      </w:rPr>
      <w:pict w14:anchorId="61458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417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76D0" w14:textId="1D592F9C" w:rsidR="00FE07C4" w:rsidRDefault="0014342A">
    <w:pPr>
      <w:pStyle w:val="Header"/>
    </w:pPr>
    <w:r>
      <w:rPr>
        <w:noProof/>
      </w:rPr>
      <w:pict w14:anchorId="307BE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417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CBD0" w14:textId="1CA2E3FD" w:rsidR="00FE07C4" w:rsidRDefault="0014342A">
    <w:pPr>
      <w:pStyle w:val="Header"/>
    </w:pPr>
    <w:r>
      <w:rPr>
        <w:noProof/>
      </w:rPr>
      <w:pict w14:anchorId="1D749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417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F1271"/>
    <w:multiLevelType w:val="hybridMultilevel"/>
    <w:tmpl w:val="3238D4DC"/>
    <w:lvl w:ilvl="0" w:tplc="095ED59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7E6371B"/>
    <w:multiLevelType w:val="hybridMultilevel"/>
    <w:tmpl w:val="D6E807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zMDU3NjIzMTS1tLRU0lEKTi0uzszPAykwrgUA6ku/UiwAAAA="/>
  </w:docVars>
  <w:rsids>
    <w:rsidRoot w:val="00621D45"/>
    <w:rsid w:val="000055F8"/>
    <w:rsid w:val="00034CEE"/>
    <w:rsid w:val="00050235"/>
    <w:rsid w:val="00052CF1"/>
    <w:rsid w:val="0007338A"/>
    <w:rsid w:val="000924EC"/>
    <w:rsid w:val="000A7DF9"/>
    <w:rsid w:val="000D27DF"/>
    <w:rsid w:val="000E5225"/>
    <w:rsid w:val="00111A0B"/>
    <w:rsid w:val="00120C5C"/>
    <w:rsid w:val="0012228F"/>
    <w:rsid w:val="0014342A"/>
    <w:rsid w:val="00182FF9"/>
    <w:rsid w:val="001966CE"/>
    <w:rsid w:val="001D3674"/>
    <w:rsid w:val="00240489"/>
    <w:rsid w:val="00253147"/>
    <w:rsid w:val="0025349E"/>
    <w:rsid w:val="00254B68"/>
    <w:rsid w:val="002663AC"/>
    <w:rsid w:val="0027294A"/>
    <w:rsid w:val="0027501E"/>
    <w:rsid w:val="002E6B62"/>
    <w:rsid w:val="002F38C4"/>
    <w:rsid w:val="003208BF"/>
    <w:rsid w:val="0032463E"/>
    <w:rsid w:val="003656E1"/>
    <w:rsid w:val="00384736"/>
    <w:rsid w:val="003947A9"/>
    <w:rsid w:val="003F3712"/>
    <w:rsid w:val="00412D37"/>
    <w:rsid w:val="004438F0"/>
    <w:rsid w:val="004536D9"/>
    <w:rsid w:val="00485CEB"/>
    <w:rsid w:val="00486F77"/>
    <w:rsid w:val="00487F61"/>
    <w:rsid w:val="004B4010"/>
    <w:rsid w:val="004E238E"/>
    <w:rsid w:val="004F1C9D"/>
    <w:rsid w:val="005009DB"/>
    <w:rsid w:val="005532CB"/>
    <w:rsid w:val="00557194"/>
    <w:rsid w:val="00563736"/>
    <w:rsid w:val="005E679E"/>
    <w:rsid w:val="00600EC1"/>
    <w:rsid w:val="00621D45"/>
    <w:rsid w:val="00624B16"/>
    <w:rsid w:val="00641789"/>
    <w:rsid w:val="006650E8"/>
    <w:rsid w:val="006928DD"/>
    <w:rsid w:val="006A73AE"/>
    <w:rsid w:val="006B3FCE"/>
    <w:rsid w:val="006E69E3"/>
    <w:rsid w:val="006F19E0"/>
    <w:rsid w:val="00721567"/>
    <w:rsid w:val="00725DE0"/>
    <w:rsid w:val="00744717"/>
    <w:rsid w:val="00750DC3"/>
    <w:rsid w:val="0077380C"/>
    <w:rsid w:val="007A079A"/>
    <w:rsid w:val="007C6421"/>
    <w:rsid w:val="007D1282"/>
    <w:rsid w:val="007D3633"/>
    <w:rsid w:val="007E450A"/>
    <w:rsid w:val="007E763A"/>
    <w:rsid w:val="00876F87"/>
    <w:rsid w:val="008A4431"/>
    <w:rsid w:val="008B087F"/>
    <w:rsid w:val="00902783"/>
    <w:rsid w:val="00913770"/>
    <w:rsid w:val="00934D6A"/>
    <w:rsid w:val="00957223"/>
    <w:rsid w:val="00992FCB"/>
    <w:rsid w:val="009B5830"/>
    <w:rsid w:val="009F4062"/>
    <w:rsid w:val="00A00045"/>
    <w:rsid w:val="00A00F15"/>
    <w:rsid w:val="00A23F10"/>
    <w:rsid w:val="00A2777D"/>
    <w:rsid w:val="00A332BE"/>
    <w:rsid w:val="00AB78BC"/>
    <w:rsid w:val="00AE6A95"/>
    <w:rsid w:val="00B12500"/>
    <w:rsid w:val="00B27433"/>
    <w:rsid w:val="00B64AC5"/>
    <w:rsid w:val="00B73A5D"/>
    <w:rsid w:val="00BA3518"/>
    <w:rsid w:val="00BA60BD"/>
    <w:rsid w:val="00BA6B36"/>
    <w:rsid w:val="00C321D9"/>
    <w:rsid w:val="00C463A0"/>
    <w:rsid w:val="00C571D5"/>
    <w:rsid w:val="00C7559E"/>
    <w:rsid w:val="00C8423B"/>
    <w:rsid w:val="00CB145D"/>
    <w:rsid w:val="00D01A2A"/>
    <w:rsid w:val="00D5243E"/>
    <w:rsid w:val="00D65D5B"/>
    <w:rsid w:val="00D66100"/>
    <w:rsid w:val="00D8154E"/>
    <w:rsid w:val="00D81B9C"/>
    <w:rsid w:val="00DA1413"/>
    <w:rsid w:val="00DA1CB5"/>
    <w:rsid w:val="00DC365A"/>
    <w:rsid w:val="00DF0611"/>
    <w:rsid w:val="00E072C7"/>
    <w:rsid w:val="00E12935"/>
    <w:rsid w:val="00E44D5D"/>
    <w:rsid w:val="00E52469"/>
    <w:rsid w:val="00E749AE"/>
    <w:rsid w:val="00E80155"/>
    <w:rsid w:val="00E80479"/>
    <w:rsid w:val="00EC2B6E"/>
    <w:rsid w:val="00EC7B0A"/>
    <w:rsid w:val="00EF496E"/>
    <w:rsid w:val="00F34989"/>
    <w:rsid w:val="00F41DFA"/>
    <w:rsid w:val="00F562E3"/>
    <w:rsid w:val="00F61E92"/>
    <w:rsid w:val="00FB0D98"/>
    <w:rsid w:val="00FC387E"/>
    <w:rsid w:val="00FE07C4"/>
    <w:rsid w:val="00FF4FC0"/>
    <w:rsid w:val="00FF7D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13E53A"/>
  <w15:chartTrackingRefBased/>
  <w15:docId w15:val="{6C479A41-C6C0-4717-95D1-6410E1B6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F10"/>
  </w:style>
  <w:style w:type="paragraph" w:styleId="Heading1">
    <w:name w:val="heading 1"/>
    <w:basedOn w:val="Normal"/>
    <w:next w:val="Normal"/>
    <w:link w:val="Heading1Char"/>
    <w:uiPriority w:val="9"/>
    <w:qFormat/>
    <w:rsid w:val="00621D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1D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21D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1D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1D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1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D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1D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21D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1D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1D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1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D45"/>
    <w:rPr>
      <w:rFonts w:eastAsiaTheme="majorEastAsia" w:cstheme="majorBidi"/>
      <w:color w:val="272727" w:themeColor="text1" w:themeTint="D8"/>
    </w:rPr>
  </w:style>
  <w:style w:type="paragraph" w:styleId="Title">
    <w:name w:val="Title"/>
    <w:basedOn w:val="Normal"/>
    <w:next w:val="Normal"/>
    <w:link w:val="TitleChar"/>
    <w:uiPriority w:val="10"/>
    <w:qFormat/>
    <w:rsid w:val="00621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D45"/>
    <w:pPr>
      <w:spacing w:before="160"/>
      <w:jc w:val="center"/>
    </w:pPr>
    <w:rPr>
      <w:i/>
      <w:iCs/>
      <w:color w:val="404040" w:themeColor="text1" w:themeTint="BF"/>
    </w:rPr>
  </w:style>
  <w:style w:type="character" w:customStyle="1" w:styleId="QuoteChar">
    <w:name w:val="Quote Char"/>
    <w:basedOn w:val="DefaultParagraphFont"/>
    <w:link w:val="Quote"/>
    <w:uiPriority w:val="29"/>
    <w:rsid w:val="00621D45"/>
    <w:rPr>
      <w:i/>
      <w:iCs/>
      <w:color w:val="404040" w:themeColor="text1" w:themeTint="BF"/>
    </w:rPr>
  </w:style>
  <w:style w:type="paragraph" w:styleId="ListParagraph">
    <w:name w:val="List Paragraph"/>
    <w:basedOn w:val="Normal"/>
    <w:uiPriority w:val="34"/>
    <w:qFormat/>
    <w:rsid w:val="00621D45"/>
    <w:pPr>
      <w:ind w:left="720"/>
      <w:contextualSpacing/>
    </w:pPr>
  </w:style>
  <w:style w:type="character" w:styleId="IntenseEmphasis">
    <w:name w:val="Intense Emphasis"/>
    <w:basedOn w:val="DefaultParagraphFont"/>
    <w:uiPriority w:val="21"/>
    <w:qFormat/>
    <w:rsid w:val="00621D45"/>
    <w:rPr>
      <w:i/>
      <w:iCs/>
      <w:color w:val="2F5496" w:themeColor="accent1" w:themeShade="BF"/>
    </w:rPr>
  </w:style>
  <w:style w:type="paragraph" w:styleId="IntenseQuote">
    <w:name w:val="Intense Quote"/>
    <w:basedOn w:val="Normal"/>
    <w:next w:val="Normal"/>
    <w:link w:val="IntenseQuoteChar"/>
    <w:uiPriority w:val="30"/>
    <w:qFormat/>
    <w:rsid w:val="00621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1D45"/>
    <w:rPr>
      <w:i/>
      <w:iCs/>
      <w:color w:val="2F5496" w:themeColor="accent1" w:themeShade="BF"/>
    </w:rPr>
  </w:style>
  <w:style w:type="character" w:styleId="IntenseReference">
    <w:name w:val="Intense Reference"/>
    <w:basedOn w:val="DefaultParagraphFont"/>
    <w:uiPriority w:val="32"/>
    <w:qFormat/>
    <w:rsid w:val="00621D45"/>
    <w:rPr>
      <w:b/>
      <w:bCs/>
      <w:smallCaps/>
      <w:color w:val="2F5496" w:themeColor="accent1" w:themeShade="BF"/>
      <w:spacing w:val="5"/>
    </w:rPr>
  </w:style>
  <w:style w:type="table" w:styleId="TableGrid">
    <w:name w:val="Table Grid"/>
    <w:basedOn w:val="TableNormal"/>
    <w:uiPriority w:val="39"/>
    <w:rsid w:val="009F4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3736"/>
    <w:rPr>
      <w:rFonts w:ascii="Times New Roman" w:hAnsi="Times New Roman" w:cs="Times New Roman"/>
      <w:sz w:val="24"/>
      <w:szCs w:val="24"/>
    </w:rPr>
  </w:style>
  <w:style w:type="character" w:styleId="Hyperlink">
    <w:name w:val="Hyperlink"/>
    <w:basedOn w:val="DefaultParagraphFont"/>
    <w:uiPriority w:val="99"/>
    <w:unhideWhenUsed/>
    <w:rsid w:val="00FF4FC0"/>
    <w:rPr>
      <w:color w:val="0563C1" w:themeColor="hyperlink"/>
      <w:u w:val="single"/>
    </w:rPr>
  </w:style>
  <w:style w:type="character" w:customStyle="1" w:styleId="UnresolvedMention1">
    <w:name w:val="Unresolved Mention1"/>
    <w:basedOn w:val="DefaultParagraphFont"/>
    <w:uiPriority w:val="99"/>
    <w:semiHidden/>
    <w:unhideWhenUsed/>
    <w:rsid w:val="00FF4FC0"/>
    <w:rPr>
      <w:color w:val="605E5C"/>
      <w:shd w:val="clear" w:color="auto" w:fill="E1DFDD"/>
    </w:rPr>
  </w:style>
  <w:style w:type="paragraph" w:styleId="Header">
    <w:name w:val="header"/>
    <w:basedOn w:val="Normal"/>
    <w:link w:val="HeaderChar"/>
    <w:uiPriority w:val="99"/>
    <w:unhideWhenUsed/>
    <w:rsid w:val="00FE0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7C4"/>
  </w:style>
  <w:style w:type="paragraph" w:styleId="Footer">
    <w:name w:val="footer"/>
    <w:basedOn w:val="Normal"/>
    <w:link w:val="FooterChar"/>
    <w:uiPriority w:val="99"/>
    <w:unhideWhenUsed/>
    <w:rsid w:val="00FE0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7C4"/>
  </w:style>
  <w:style w:type="character" w:styleId="CommentReference">
    <w:name w:val="annotation reference"/>
    <w:basedOn w:val="DefaultParagraphFont"/>
    <w:uiPriority w:val="99"/>
    <w:semiHidden/>
    <w:unhideWhenUsed/>
    <w:rsid w:val="0007338A"/>
    <w:rPr>
      <w:sz w:val="16"/>
      <w:szCs w:val="16"/>
    </w:rPr>
  </w:style>
  <w:style w:type="paragraph" w:styleId="CommentText">
    <w:name w:val="annotation text"/>
    <w:basedOn w:val="Normal"/>
    <w:link w:val="CommentTextChar"/>
    <w:uiPriority w:val="99"/>
    <w:semiHidden/>
    <w:unhideWhenUsed/>
    <w:rsid w:val="0007338A"/>
    <w:pPr>
      <w:spacing w:line="240" w:lineRule="auto"/>
    </w:pPr>
    <w:rPr>
      <w:sz w:val="20"/>
      <w:szCs w:val="20"/>
    </w:rPr>
  </w:style>
  <w:style w:type="character" w:customStyle="1" w:styleId="CommentTextChar">
    <w:name w:val="Comment Text Char"/>
    <w:basedOn w:val="DefaultParagraphFont"/>
    <w:link w:val="CommentText"/>
    <w:uiPriority w:val="99"/>
    <w:semiHidden/>
    <w:rsid w:val="0007338A"/>
    <w:rPr>
      <w:sz w:val="20"/>
      <w:szCs w:val="20"/>
    </w:rPr>
  </w:style>
  <w:style w:type="paragraph" w:styleId="CommentSubject">
    <w:name w:val="annotation subject"/>
    <w:basedOn w:val="CommentText"/>
    <w:next w:val="CommentText"/>
    <w:link w:val="CommentSubjectChar"/>
    <w:uiPriority w:val="99"/>
    <w:semiHidden/>
    <w:unhideWhenUsed/>
    <w:rsid w:val="0007338A"/>
    <w:rPr>
      <w:b/>
      <w:bCs/>
    </w:rPr>
  </w:style>
  <w:style w:type="character" w:customStyle="1" w:styleId="CommentSubjectChar">
    <w:name w:val="Comment Subject Char"/>
    <w:basedOn w:val="CommentTextChar"/>
    <w:link w:val="CommentSubject"/>
    <w:uiPriority w:val="99"/>
    <w:semiHidden/>
    <w:rsid w:val="0007338A"/>
    <w:rPr>
      <w:b/>
      <w:bCs/>
      <w:sz w:val="20"/>
      <w:szCs w:val="20"/>
    </w:rPr>
  </w:style>
  <w:style w:type="paragraph" w:styleId="BalloonText">
    <w:name w:val="Balloon Text"/>
    <w:basedOn w:val="Normal"/>
    <w:link w:val="BalloonTextChar"/>
    <w:uiPriority w:val="99"/>
    <w:semiHidden/>
    <w:unhideWhenUsed/>
    <w:rsid w:val="00073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WIN%20KARTHICK%20D\Desktop\phd%20the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WIN%20KARTHICK%20D\Desktop\phd%20the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WIN%20KARTHICK%20D\Desktop\phd%20thesi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WIN%20KARTHICK%20D\Desktop\phd%20the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SWIN%20KARTHICK%20D\Desktop\phd%20thesi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CAGR!$B$3</c:f>
              <c:strCache>
                <c:ptCount val="1"/>
                <c:pt idx="0">
                  <c:v>No. of FPOs registered</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CAGR!$A$4:$A$14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CAGR!$B$4:$B$14</c:f>
              <c:numCache>
                <c:formatCode>General</c:formatCode>
                <c:ptCount val="11"/>
                <c:pt idx="0">
                  <c:v>7</c:v>
                </c:pt>
                <c:pt idx="1">
                  <c:v>25</c:v>
                </c:pt>
                <c:pt idx="2">
                  <c:v>253</c:v>
                </c:pt>
                <c:pt idx="3">
                  <c:v>264</c:v>
                </c:pt>
                <c:pt idx="4">
                  <c:v>296</c:v>
                </c:pt>
                <c:pt idx="5">
                  <c:v>331</c:v>
                </c:pt>
                <c:pt idx="6">
                  <c:v>355</c:v>
                </c:pt>
                <c:pt idx="7">
                  <c:v>357</c:v>
                </c:pt>
                <c:pt idx="8">
                  <c:v>360</c:v>
                </c:pt>
                <c:pt idx="9">
                  <c:v>365</c:v>
                </c:pt>
                <c:pt idx="10">
                  <c:v>370</c:v>
                </c:pt>
              </c:numCache>
            </c:numRef>
          </c:val>
          <c:smooth val="0"/>
          <c:extLst>
            <c:ext xmlns:c16="http://schemas.microsoft.com/office/drawing/2014/chart" uri="{C3380CC4-5D6E-409C-BE32-E72D297353CC}">
              <c16:uniqueId val="{00000001-D4D2-47E9-A44C-28F969F2C10A}"/>
            </c:ext>
          </c:extLst>
        </c:ser>
        <c:ser>
          <c:idx val="1"/>
          <c:order val="1"/>
          <c:tx>
            <c:strRef>
              <c:f>CAGR!$C$3</c:f>
              <c:strCache>
                <c:ptCount val="1"/>
                <c:pt idx="0">
                  <c:v>NABARD promoted FPOs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trendline>
            <c:spPr>
              <a:ln w="19050" cap="rnd">
                <a:solidFill>
                  <a:schemeClr val="accent2"/>
                </a:solidFill>
                <a:prstDash val="sysDot"/>
              </a:ln>
              <a:effectLst/>
            </c:spPr>
            <c:trendlineType val="linear"/>
            <c:dispRSqr val="0"/>
            <c:dispEq val="1"/>
            <c:trendlineLbl>
              <c:layout>
                <c:manualLayout>
                  <c:x val="1.3383202099737533E-2"/>
                  <c:y val="-8.0949256342957125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CAGR!$A$4:$A$14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CAGR!$C$4:$C$14</c:f>
              <c:numCache>
                <c:formatCode>General</c:formatCode>
                <c:ptCount val="11"/>
                <c:pt idx="0">
                  <c:v>4</c:v>
                </c:pt>
                <c:pt idx="1">
                  <c:v>14</c:v>
                </c:pt>
                <c:pt idx="2">
                  <c:v>140</c:v>
                </c:pt>
                <c:pt idx="3">
                  <c:v>148</c:v>
                </c:pt>
                <c:pt idx="4">
                  <c:v>170</c:v>
                </c:pt>
                <c:pt idx="5">
                  <c:v>200</c:v>
                </c:pt>
                <c:pt idx="6">
                  <c:v>225</c:v>
                </c:pt>
                <c:pt idx="7">
                  <c:v>228</c:v>
                </c:pt>
                <c:pt idx="8">
                  <c:v>232</c:v>
                </c:pt>
                <c:pt idx="9">
                  <c:v>238</c:v>
                </c:pt>
                <c:pt idx="10">
                  <c:v>245</c:v>
                </c:pt>
              </c:numCache>
            </c:numRef>
          </c:val>
          <c:smooth val="0"/>
          <c:extLst>
            <c:ext xmlns:c16="http://schemas.microsoft.com/office/drawing/2014/chart" uri="{C3380CC4-5D6E-409C-BE32-E72D297353CC}">
              <c16:uniqueId val="{00000003-D4D2-47E9-A44C-28F969F2C10A}"/>
            </c:ext>
          </c:extLst>
        </c:ser>
        <c:ser>
          <c:idx val="2"/>
          <c:order val="2"/>
          <c:tx>
            <c:strRef>
              <c:f>CAGR!$D$3</c:f>
              <c:strCache>
                <c:ptCount val="1"/>
                <c:pt idx="0">
                  <c:v>SFAC promoted FPOs</c:v>
                </c:pt>
              </c:strCache>
            </c:strRef>
          </c:tx>
          <c:spPr>
            <a:ln w="28575" cap="rnd">
              <a:solidFill>
                <a:schemeClr val="accent3"/>
              </a:solidFill>
              <a:round/>
            </a:ln>
            <a:effectLst/>
          </c:spPr>
          <c:marker>
            <c:symbol val="none"/>
          </c:marker>
          <c:trendline>
            <c:spPr>
              <a:ln w="19050" cap="rnd">
                <a:solidFill>
                  <a:schemeClr val="accent3"/>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CAGR!$A$4:$A$14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CAGR!$D$4:$D$14</c:f>
              <c:numCache>
                <c:formatCode>General</c:formatCode>
                <c:ptCount val="11"/>
                <c:pt idx="0">
                  <c:v>2</c:v>
                </c:pt>
                <c:pt idx="1">
                  <c:v>7</c:v>
                </c:pt>
                <c:pt idx="2">
                  <c:v>70</c:v>
                </c:pt>
                <c:pt idx="3">
                  <c:v>73</c:v>
                </c:pt>
                <c:pt idx="4">
                  <c:v>80</c:v>
                </c:pt>
                <c:pt idx="5">
                  <c:v>85</c:v>
                </c:pt>
                <c:pt idx="6">
                  <c:v>90</c:v>
                </c:pt>
                <c:pt idx="7">
                  <c:v>90</c:v>
                </c:pt>
                <c:pt idx="8">
                  <c:v>91</c:v>
                </c:pt>
                <c:pt idx="9">
                  <c:v>92</c:v>
                </c:pt>
                <c:pt idx="10">
                  <c:v>93</c:v>
                </c:pt>
              </c:numCache>
            </c:numRef>
          </c:val>
          <c:smooth val="0"/>
          <c:extLst>
            <c:ext xmlns:c16="http://schemas.microsoft.com/office/drawing/2014/chart" uri="{C3380CC4-5D6E-409C-BE32-E72D297353CC}">
              <c16:uniqueId val="{00000005-D4D2-47E9-A44C-28F969F2C10A}"/>
            </c:ext>
          </c:extLst>
        </c:ser>
        <c:ser>
          <c:idx val="3"/>
          <c:order val="3"/>
          <c:tx>
            <c:strRef>
              <c:f>CAGR!$E$3</c:f>
              <c:strCache>
                <c:ptCount val="1"/>
                <c:pt idx="0">
                  <c:v>OTHERS</c:v>
                </c:pt>
              </c:strCache>
            </c:strRef>
          </c:tx>
          <c:spPr>
            <a:ln w="28575" cap="rnd">
              <a:solidFill>
                <a:schemeClr val="accent4"/>
              </a:solidFill>
              <a:round/>
            </a:ln>
            <a:effectLst/>
          </c:spPr>
          <c:marker>
            <c:symbol val="none"/>
          </c:marker>
          <c:trendline>
            <c:spPr>
              <a:ln w="19050" cap="rnd">
                <a:solidFill>
                  <a:schemeClr val="accent4"/>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CAGR!$A$4:$A$14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CAGR!$E$4:$E$14</c:f>
              <c:numCache>
                <c:formatCode>General</c:formatCode>
                <c:ptCount val="11"/>
                <c:pt idx="0">
                  <c:v>1</c:v>
                </c:pt>
                <c:pt idx="1">
                  <c:v>4</c:v>
                </c:pt>
                <c:pt idx="2">
                  <c:v>43</c:v>
                </c:pt>
                <c:pt idx="3">
                  <c:v>43</c:v>
                </c:pt>
                <c:pt idx="4">
                  <c:v>46</c:v>
                </c:pt>
                <c:pt idx="5">
                  <c:v>46</c:v>
                </c:pt>
                <c:pt idx="6">
                  <c:v>40</c:v>
                </c:pt>
                <c:pt idx="7">
                  <c:v>39</c:v>
                </c:pt>
                <c:pt idx="8">
                  <c:v>37</c:v>
                </c:pt>
                <c:pt idx="9">
                  <c:v>35</c:v>
                </c:pt>
                <c:pt idx="10">
                  <c:v>32</c:v>
                </c:pt>
              </c:numCache>
            </c:numRef>
          </c:val>
          <c:smooth val="0"/>
          <c:extLst>
            <c:ext xmlns:c16="http://schemas.microsoft.com/office/drawing/2014/chart" uri="{C3380CC4-5D6E-409C-BE32-E72D297353CC}">
              <c16:uniqueId val="{00000007-D4D2-47E9-A44C-28F969F2C10A}"/>
            </c:ext>
          </c:extLst>
        </c:ser>
        <c:dLbls>
          <c:showLegendKey val="0"/>
          <c:showVal val="0"/>
          <c:showCatName val="0"/>
          <c:showSerName val="0"/>
          <c:showPercent val="0"/>
          <c:showBubbleSize val="0"/>
        </c:dLbls>
        <c:smooth val="0"/>
        <c:axId val="288975944"/>
        <c:axId val="288973984"/>
      </c:lineChart>
      <c:catAx>
        <c:axId val="288975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973984"/>
        <c:crosses val="autoZero"/>
        <c:auto val="1"/>
        <c:lblAlgn val="ctr"/>
        <c:lblOffset val="100"/>
        <c:noMultiLvlLbl val="0"/>
      </c:catAx>
      <c:valAx>
        <c:axId val="288973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No.</a:t>
                </a:r>
                <a:r>
                  <a:rPr lang="en-IN" baseline="0"/>
                  <a:t> of FPOs</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975944"/>
        <c:crosses val="autoZero"/>
        <c:crossBetween val="between"/>
      </c:valAx>
      <c:spPr>
        <a:noFill/>
        <a:ln>
          <a:noFill/>
        </a:ln>
        <a:effectLst/>
      </c:spPr>
    </c:plotArea>
    <c:legend>
      <c:legendPos val="b"/>
      <c:legendEntry>
        <c:idx val="4"/>
        <c:delete val="1"/>
      </c:legendEntry>
      <c:legendEntry>
        <c:idx val="5"/>
        <c:delete val="1"/>
      </c:legendEntry>
      <c:legendEntry>
        <c:idx val="6"/>
        <c:delete val="1"/>
      </c:legendEntry>
      <c:legendEntry>
        <c:idx val="7"/>
        <c:delete val="1"/>
      </c:legendEntry>
      <c:legendEntry>
        <c:idx val="8"/>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CAGR!$L$3</c:f>
              <c:strCache>
                <c:ptCount val="1"/>
                <c:pt idx="0">
                  <c:v>Authorised Capital (Rs. Lakhs)</c:v>
                </c:pt>
              </c:strCache>
            </c:strRef>
          </c:tx>
          <c:spPr>
            <a:ln w="28575" cap="rnd">
              <a:solidFill>
                <a:schemeClr val="accent1"/>
              </a:solidFill>
              <a:round/>
            </a:ln>
            <a:effectLst/>
          </c:spPr>
          <c:marker>
            <c:symbol val="none"/>
          </c:marker>
          <c:dLbls>
            <c:delete val="1"/>
          </c:dLbls>
          <c:trendline>
            <c:spPr>
              <a:ln w="19050" cap="rnd">
                <a:solidFill>
                  <a:schemeClr val="accent1"/>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CAGR!$K$4:$K$14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CAGR!$L$4:$L$14</c:f>
              <c:numCache>
                <c:formatCode>General</c:formatCode>
                <c:ptCount val="11"/>
                <c:pt idx="0">
                  <c:v>10</c:v>
                </c:pt>
                <c:pt idx="1">
                  <c:v>10</c:v>
                </c:pt>
                <c:pt idx="2">
                  <c:v>20</c:v>
                </c:pt>
                <c:pt idx="3">
                  <c:v>20</c:v>
                </c:pt>
                <c:pt idx="4">
                  <c:v>20</c:v>
                </c:pt>
                <c:pt idx="5">
                  <c:v>20</c:v>
                </c:pt>
                <c:pt idx="6">
                  <c:v>25</c:v>
                </c:pt>
                <c:pt idx="7">
                  <c:v>25</c:v>
                </c:pt>
                <c:pt idx="8">
                  <c:v>30</c:v>
                </c:pt>
                <c:pt idx="9">
                  <c:v>35</c:v>
                </c:pt>
                <c:pt idx="10">
                  <c:v>40</c:v>
                </c:pt>
              </c:numCache>
            </c:numRef>
          </c:val>
          <c:smooth val="0"/>
          <c:extLst>
            <c:ext xmlns:c16="http://schemas.microsoft.com/office/drawing/2014/chart" uri="{C3380CC4-5D6E-409C-BE32-E72D297353CC}">
              <c16:uniqueId val="{00000001-42F6-441E-85F9-2A4C945A7D41}"/>
            </c:ext>
          </c:extLst>
        </c:ser>
        <c:ser>
          <c:idx val="1"/>
          <c:order val="1"/>
          <c:tx>
            <c:strRef>
              <c:f>CAGR!$M$3</c:f>
              <c:strCache>
                <c:ptCount val="1"/>
                <c:pt idx="0">
                  <c:v>Paid up Capital (Rs. Lakhs)</c:v>
                </c:pt>
              </c:strCache>
            </c:strRef>
          </c:tx>
          <c:spPr>
            <a:ln w="28575" cap="rnd">
              <a:solidFill>
                <a:schemeClr val="accent2"/>
              </a:solidFill>
              <a:round/>
            </a:ln>
            <a:effectLst/>
          </c:spPr>
          <c:marker>
            <c:symbol val="none"/>
          </c:marker>
          <c:dLbls>
            <c:delete val="1"/>
          </c:dLbls>
          <c:trendline>
            <c:spPr>
              <a:ln w="19050" cap="rnd">
                <a:solidFill>
                  <a:schemeClr val="accent2"/>
                </a:solidFill>
                <a:prstDash val="sysDot"/>
              </a:ln>
              <a:effectLst/>
            </c:spPr>
            <c:trendlineType val="linear"/>
            <c:dispRSqr val="0"/>
            <c:dispEq val="1"/>
            <c:trendlineLbl>
              <c:layout>
                <c:manualLayout>
                  <c:x val="6.9991251093613296E-5"/>
                  <c:y val="3.148439778361038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CAGR!$K$4:$K$14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CAGR!$M$4:$M$14</c:f>
              <c:numCache>
                <c:formatCode>General</c:formatCode>
                <c:ptCount val="11"/>
                <c:pt idx="0">
                  <c:v>5</c:v>
                </c:pt>
                <c:pt idx="1">
                  <c:v>10</c:v>
                </c:pt>
                <c:pt idx="2">
                  <c:v>10</c:v>
                </c:pt>
                <c:pt idx="3">
                  <c:v>20</c:v>
                </c:pt>
                <c:pt idx="4">
                  <c:v>20</c:v>
                </c:pt>
                <c:pt idx="5">
                  <c:v>20</c:v>
                </c:pt>
                <c:pt idx="6">
                  <c:v>20</c:v>
                </c:pt>
                <c:pt idx="7">
                  <c:v>20</c:v>
                </c:pt>
                <c:pt idx="8">
                  <c:v>30</c:v>
                </c:pt>
                <c:pt idx="9">
                  <c:v>30</c:v>
                </c:pt>
                <c:pt idx="10">
                  <c:v>40</c:v>
                </c:pt>
              </c:numCache>
            </c:numRef>
          </c:val>
          <c:smooth val="0"/>
          <c:extLst>
            <c:ext xmlns:c16="http://schemas.microsoft.com/office/drawing/2014/chart" uri="{C3380CC4-5D6E-409C-BE32-E72D297353CC}">
              <c16:uniqueId val="{00000003-42F6-441E-85F9-2A4C945A7D41}"/>
            </c:ext>
          </c:extLst>
        </c:ser>
        <c:dLbls>
          <c:dLblPos val="ctr"/>
          <c:showLegendKey val="0"/>
          <c:showVal val="1"/>
          <c:showCatName val="0"/>
          <c:showSerName val="0"/>
          <c:showPercent val="0"/>
          <c:showBubbleSize val="0"/>
        </c:dLbls>
        <c:smooth val="0"/>
        <c:axId val="288975160"/>
        <c:axId val="288976336"/>
      </c:lineChart>
      <c:catAx>
        <c:axId val="288975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976336"/>
        <c:crosses val="autoZero"/>
        <c:auto val="1"/>
        <c:lblAlgn val="ctr"/>
        <c:lblOffset val="100"/>
        <c:noMultiLvlLbl val="0"/>
      </c:catAx>
      <c:valAx>
        <c:axId val="288976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Capital (Rs.</a:t>
                </a:r>
                <a:r>
                  <a:rPr lang="en-IN" baseline="0"/>
                  <a:t> Lakhs)</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975160"/>
        <c:crosses val="autoZero"/>
        <c:crossBetween val="between"/>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CAGR!$P$3</c:f>
              <c:strCache>
                <c:ptCount val="1"/>
                <c:pt idx="0">
                  <c:v>Share Capital Mobilised (Rs Lakhs)</c:v>
                </c:pt>
              </c:strCache>
            </c:strRef>
          </c:tx>
          <c:spPr>
            <a:ln w="28575" cap="rnd">
              <a:solidFill>
                <a:schemeClr val="accent1"/>
              </a:solidFill>
              <a:round/>
            </a:ln>
            <a:effectLst/>
          </c:spPr>
          <c:marker>
            <c:symbol val="none"/>
          </c:marker>
          <c:cat>
            <c:strRef>
              <c:f>CAGR!$O$4:$O$14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CAGR!$P$4:$P$14</c:f>
              <c:numCache>
                <c:formatCode>General</c:formatCode>
                <c:ptCount val="11"/>
                <c:pt idx="0">
                  <c:v>50</c:v>
                </c:pt>
                <c:pt idx="1">
                  <c:v>100</c:v>
                </c:pt>
                <c:pt idx="2">
                  <c:v>120</c:v>
                </c:pt>
                <c:pt idx="3">
                  <c:v>140</c:v>
                </c:pt>
                <c:pt idx="4">
                  <c:v>160</c:v>
                </c:pt>
                <c:pt idx="5">
                  <c:v>250</c:v>
                </c:pt>
                <c:pt idx="6">
                  <c:v>300</c:v>
                </c:pt>
                <c:pt idx="7">
                  <c:v>350</c:v>
                </c:pt>
                <c:pt idx="8">
                  <c:v>450</c:v>
                </c:pt>
                <c:pt idx="9">
                  <c:v>500</c:v>
                </c:pt>
                <c:pt idx="10">
                  <c:v>750</c:v>
                </c:pt>
              </c:numCache>
            </c:numRef>
          </c:val>
          <c:smooth val="0"/>
          <c:extLst>
            <c:ext xmlns:c16="http://schemas.microsoft.com/office/drawing/2014/chart" uri="{C3380CC4-5D6E-409C-BE32-E72D297353CC}">
              <c16:uniqueId val="{00000000-1EE8-43CD-8F67-BB14437F836B}"/>
            </c:ext>
          </c:extLst>
        </c:ser>
        <c:ser>
          <c:idx val="1"/>
          <c:order val="1"/>
          <c:tx>
            <c:strRef>
              <c:f>CAGR!$Q$3</c:f>
              <c:strCache>
                <c:ptCount val="1"/>
                <c:pt idx="0">
                  <c:v>Aggregate Turnover (Rs. Lakhs)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CAGR!$O$4:$O$14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CAGR!$Q$4:$Q$14</c:f>
              <c:numCache>
                <c:formatCode>#,##0</c:formatCode>
                <c:ptCount val="11"/>
                <c:pt idx="0">
                  <c:v>2500</c:v>
                </c:pt>
                <c:pt idx="1">
                  <c:v>4000</c:v>
                </c:pt>
                <c:pt idx="2">
                  <c:v>12000</c:v>
                </c:pt>
                <c:pt idx="3">
                  <c:v>15000</c:v>
                </c:pt>
                <c:pt idx="4">
                  <c:v>18500</c:v>
                </c:pt>
                <c:pt idx="5">
                  <c:v>22000</c:v>
                </c:pt>
                <c:pt idx="6">
                  <c:v>26000</c:v>
                </c:pt>
                <c:pt idx="7">
                  <c:v>31000</c:v>
                </c:pt>
                <c:pt idx="8">
                  <c:v>38000</c:v>
                </c:pt>
                <c:pt idx="9">
                  <c:v>45000</c:v>
                </c:pt>
                <c:pt idx="10">
                  <c:v>50000</c:v>
                </c:pt>
              </c:numCache>
            </c:numRef>
          </c:val>
          <c:smooth val="0"/>
          <c:extLst>
            <c:ext xmlns:c16="http://schemas.microsoft.com/office/drawing/2014/chart" uri="{C3380CC4-5D6E-409C-BE32-E72D297353CC}">
              <c16:uniqueId val="{00000002-1EE8-43CD-8F67-BB14437F836B}"/>
            </c:ext>
          </c:extLst>
        </c:ser>
        <c:ser>
          <c:idx val="2"/>
          <c:order val="2"/>
          <c:tx>
            <c:strRef>
              <c:f>CAGR!$R$3</c:f>
              <c:strCache>
                <c:ptCount val="1"/>
                <c:pt idx="0">
                  <c:v>Net Profit / Surplus (Rs. Lakhs)</c:v>
                </c:pt>
              </c:strCache>
            </c:strRef>
          </c:tx>
          <c:spPr>
            <a:ln w="28575" cap="rnd">
              <a:solidFill>
                <a:schemeClr val="accent3"/>
              </a:solidFill>
              <a:round/>
            </a:ln>
            <a:effectLst/>
          </c:spPr>
          <c:marker>
            <c:symbol val="none"/>
          </c:marker>
          <c:trendline>
            <c:spPr>
              <a:ln w="19050" cap="rnd">
                <a:solidFill>
                  <a:schemeClr val="accent3"/>
                </a:solidFill>
                <a:prstDash val="sysDot"/>
              </a:ln>
              <a:effectLst/>
            </c:spPr>
            <c:trendlineType val="linear"/>
            <c:dispRSqr val="0"/>
            <c:dispEq val="0"/>
          </c:trendline>
          <c:trendline>
            <c:spPr>
              <a:ln w="19050" cap="rnd">
                <a:solidFill>
                  <a:schemeClr val="accent3"/>
                </a:solidFill>
                <a:prstDash val="sysDot"/>
              </a:ln>
              <a:effectLst/>
            </c:spPr>
            <c:trendlineType val="linear"/>
            <c:dispRSqr val="0"/>
            <c:dispEq val="1"/>
            <c:trendlineLbl>
              <c:layout>
                <c:manualLayout>
                  <c:x val="8.3125318181966834E-2"/>
                  <c:y val="1.0700874728921362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20.09x - 140.91</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CAGR!$O$4:$O$14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CAGR!$R$4:$R$14</c:f>
              <c:numCache>
                <c:formatCode>General</c:formatCode>
                <c:ptCount val="11"/>
                <c:pt idx="0">
                  <c:v>200</c:v>
                </c:pt>
                <c:pt idx="1">
                  <c:v>450</c:v>
                </c:pt>
                <c:pt idx="2">
                  <c:v>600</c:v>
                </c:pt>
                <c:pt idx="3">
                  <c:v>800</c:v>
                </c:pt>
                <c:pt idx="4">
                  <c:v>850</c:v>
                </c:pt>
                <c:pt idx="5">
                  <c:v>1000</c:v>
                </c:pt>
                <c:pt idx="6">
                  <c:v>1500</c:v>
                </c:pt>
                <c:pt idx="7">
                  <c:v>1650</c:v>
                </c:pt>
                <c:pt idx="8" formatCode="#,##0">
                  <c:v>1850</c:v>
                </c:pt>
                <c:pt idx="9" formatCode="#,##0">
                  <c:v>2000</c:v>
                </c:pt>
                <c:pt idx="10" formatCode="#,##0">
                  <c:v>3000</c:v>
                </c:pt>
              </c:numCache>
            </c:numRef>
          </c:val>
          <c:smooth val="0"/>
          <c:extLst>
            <c:ext xmlns:c16="http://schemas.microsoft.com/office/drawing/2014/chart" uri="{C3380CC4-5D6E-409C-BE32-E72D297353CC}">
              <c16:uniqueId val="{00000005-1EE8-43CD-8F67-BB14437F836B}"/>
            </c:ext>
          </c:extLst>
        </c:ser>
        <c:dLbls>
          <c:showLegendKey val="0"/>
          <c:showVal val="0"/>
          <c:showCatName val="0"/>
          <c:showSerName val="0"/>
          <c:showPercent val="0"/>
          <c:showBubbleSize val="0"/>
        </c:dLbls>
        <c:smooth val="0"/>
        <c:axId val="364465960"/>
        <c:axId val="364467920"/>
      </c:lineChart>
      <c:catAx>
        <c:axId val="364465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67920"/>
        <c:crosses val="autoZero"/>
        <c:auto val="1"/>
        <c:lblAlgn val="ctr"/>
        <c:lblOffset val="100"/>
        <c:noMultiLvlLbl val="0"/>
      </c:catAx>
      <c:valAx>
        <c:axId val="364467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Amount</a:t>
                </a:r>
                <a:r>
                  <a:rPr lang="en-IN" baseline="0"/>
                  <a:t> (Rs. Lakhs)</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65960"/>
        <c:crosses val="autoZero"/>
        <c:crossBetween val="between"/>
      </c:valAx>
      <c:spPr>
        <a:noFill/>
        <a:ln>
          <a:noFill/>
        </a:ln>
        <a:effectLst/>
      </c:spPr>
    </c:plotArea>
    <c:legend>
      <c:legendPos val="b"/>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CAGR!$X$3</c:f>
              <c:strCache>
                <c:ptCount val="1"/>
                <c:pt idx="0">
                  <c:v>Bank Credit Availed(Rs.lakhs)</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CAGR!$W$4:$W$14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CAGR!$X$4:$X$14</c:f>
              <c:numCache>
                <c:formatCode>General</c:formatCode>
                <c:ptCount val="11"/>
                <c:pt idx="0">
                  <c:v>500</c:v>
                </c:pt>
                <c:pt idx="1">
                  <c:v>1000</c:v>
                </c:pt>
                <c:pt idx="2" formatCode="#,##0">
                  <c:v>1850</c:v>
                </c:pt>
                <c:pt idx="3" formatCode="#,##0">
                  <c:v>2100</c:v>
                </c:pt>
                <c:pt idx="4" formatCode="#,##0">
                  <c:v>2750</c:v>
                </c:pt>
                <c:pt idx="5" formatCode="#,##0">
                  <c:v>3600</c:v>
                </c:pt>
                <c:pt idx="6" formatCode="#,##0">
                  <c:v>4850</c:v>
                </c:pt>
                <c:pt idx="7" formatCode="#,##0">
                  <c:v>6200</c:v>
                </c:pt>
                <c:pt idx="8" formatCode="#,##0">
                  <c:v>8750</c:v>
                </c:pt>
                <c:pt idx="9" formatCode="#,##0">
                  <c:v>10000</c:v>
                </c:pt>
                <c:pt idx="10" formatCode="#,##0">
                  <c:v>12000</c:v>
                </c:pt>
              </c:numCache>
            </c:numRef>
          </c:val>
          <c:smooth val="0"/>
          <c:extLst>
            <c:ext xmlns:c16="http://schemas.microsoft.com/office/drawing/2014/chart" uri="{C3380CC4-5D6E-409C-BE32-E72D297353CC}">
              <c16:uniqueId val="{00000001-2653-4179-B927-5BBB7979E7FE}"/>
            </c:ext>
          </c:extLst>
        </c:ser>
        <c:ser>
          <c:idx val="1"/>
          <c:order val="1"/>
          <c:tx>
            <c:strRef>
              <c:f>CAGR!$Y$3</c:f>
              <c:strCache>
                <c:ptCount val="1"/>
                <c:pt idx="0">
                  <c:v>Equity Grant Received(Rs. lakhs)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CAGR!$W$4:$W$14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CAGR!$Y$4:$Y$14</c:f>
              <c:numCache>
                <c:formatCode>General</c:formatCode>
                <c:ptCount val="11"/>
                <c:pt idx="0">
                  <c:v>250</c:v>
                </c:pt>
                <c:pt idx="1">
                  <c:v>350</c:v>
                </c:pt>
                <c:pt idx="2">
                  <c:v>500</c:v>
                </c:pt>
                <c:pt idx="3">
                  <c:v>550</c:v>
                </c:pt>
                <c:pt idx="4">
                  <c:v>640</c:v>
                </c:pt>
                <c:pt idx="5">
                  <c:v>820</c:v>
                </c:pt>
                <c:pt idx="6" formatCode="#,##0">
                  <c:v>1250</c:v>
                </c:pt>
                <c:pt idx="7" formatCode="#,##0">
                  <c:v>1980</c:v>
                </c:pt>
                <c:pt idx="8" formatCode="#,##0">
                  <c:v>2950</c:v>
                </c:pt>
                <c:pt idx="9" formatCode="#,##0">
                  <c:v>3850</c:v>
                </c:pt>
                <c:pt idx="10" formatCode="#,##0">
                  <c:v>4900</c:v>
                </c:pt>
              </c:numCache>
            </c:numRef>
          </c:val>
          <c:smooth val="0"/>
          <c:extLst>
            <c:ext xmlns:c16="http://schemas.microsoft.com/office/drawing/2014/chart" uri="{C3380CC4-5D6E-409C-BE32-E72D297353CC}">
              <c16:uniqueId val="{00000003-2653-4179-B927-5BBB7979E7FE}"/>
            </c:ext>
          </c:extLst>
        </c:ser>
        <c:dLbls>
          <c:showLegendKey val="0"/>
          <c:showVal val="0"/>
          <c:showCatName val="0"/>
          <c:showSerName val="0"/>
          <c:showPercent val="0"/>
          <c:showBubbleSize val="0"/>
        </c:dLbls>
        <c:smooth val="0"/>
        <c:axId val="364467528"/>
        <c:axId val="364468312"/>
      </c:lineChart>
      <c:catAx>
        <c:axId val="364467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layout>
            <c:manualLayout>
              <c:xMode val="edge"/>
              <c:yMode val="edge"/>
              <c:x val="0.49962547844040511"/>
              <c:y val="0.7691728965840369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68312"/>
        <c:crosses val="autoZero"/>
        <c:auto val="1"/>
        <c:lblAlgn val="ctr"/>
        <c:lblOffset val="100"/>
        <c:noMultiLvlLbl val="0"/>
      </c:catAx>
      <c:valAx>
        <c:axId val="36446831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Amount</a:t>
                </a:r>
                <a:r>
                  <a:rPr lang="en-IN" baseline="0"/>
                  <a:t> (Rs. Lakhs)</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67528"/>
        <c:crosses val="autoZero"/>
        <c:crossBetween val="between"/>
        <c:majorUnit val="2000"/>
      </c:valAx>
      <c:spPr>
        <a:noFill/>
        <a:ln>
          <a:noFill/>
        </a:ln>
        <a:effectLst/>
      </c:spPr>
    </c:plotArea>
    <c:legend>
      <c:legendPos val="b"/>
      <c:legendEntry>
        <c:idx val="2"/>
        <c:delete val="1"/>
      </c:legendEntry>
      <c:legendEntry>
        <c:idx val="3"/>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CAGR!$BS$3</c:f>
              <c:strCache>
                <c:ptCount val="1"/>
                <c:pt idx="0">
                  <c:v>No. of Women-led FPOs</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CAGR!$BR$4:$BR$14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CAGR!$BS$4:$BS$14</c:f>
              <c:numCache>
                <c:formatCode>General</c:formatCode>
                <c:ptCount val="11"/>
                <c:pt idx="0">
                  <c:v>1</c:v>
                </c:pt>
                <c:pt idx="1">
                  <c:v>4</c:v>
                </c:pt>
                <c:pt idx="2">
                  <c:v>32</c:v>
                </c:pt>
                <c:pt idx="3">
                  <c:v>36</c:v>
                </c:pt>
                <c:pt idx="4">
                  <c:v>45</c:v>
                </c:pt>
                <c:pt idx="5">
                  <c:v>55</c:v>
                </c:pt>
                <c:pt idx="6">
                  <c:v>68</c:v>
                </c:pt>
                <c:pt idx="7">
                  <c:v>75</c:v>
                </c:pt>
                <c:pt idx="8">
                  <c:v>82</c:v>
                </c:pt>
                <c:pt idx="9">
                  <c:v>90</c:v>
                </c:pt>
                <c:pt idx="10">
                  <c:v>98</c:v>
                </c:pt>
              </c:numCache>
            </c:numRef>
          </c:val>
          <c:smooth val="0"/>
          <c:extLst>
            <c:ext xmlns:c16="http://schemas.microsoft.com/office/drawing/2014/chart" uri="{C3380CC4-5D6E-409C-BE32-E72D297353CC}">
              <c16:uniqueId val="{00000001-1045-4858-A5D5-324A48F1D47E}"/>
            </c:ext>
          </c:extLst>
        </c:ser>
        <c:ser>
          <c:idx val="1"/>
          <c:order val="1"/>
          <c:tx>
            <c:strRef>
              <c:f>CAGR!$BT$3</c:f>
              <c:strCache>
                <c:ptCount val="1"/>
                <c:pt idx="0">
                  <c:v>FPOs Linked to e-NAM / Retail Chains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trendline>
            <c:spPr>
              <a:ln w="19050" cap="rnd">
                <a:solidFill>
                  <a:schemeClr val="accent2"/>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CAGR!$BR$4:$BR$14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CAGR!$BT$4:$BT$14</c:f>
              <c:numCache>
                <c:formatCode>General</c:formatCode>
                <c:ptCount val="11"/>
                <c:pt idx="0">
                  <c:v>10</c:v>
                </c:pt>
                <c:pt idx="1">
                  <c:v>50</c:v>
                </c:pt>
                <c:pt idx="2">
                  <c:v>100</c:v>
                </c:pt>
                <c:pt idx="3">
                  <c:v>150</c:v>
                </c:pt>
                <c:pt idx="4">
                  <c:v>200</c:v>
                </c:pt>
                <c:pt idx="5">
                  <c:v>220</c:v>
                </c:pt>
                <c:pt idx="6">
                  <c:v>250</c:v>
                </c:pt>
                <c:pt idx="7">
                  <c:v>275</c:v>
                </c:pt>
                <c:pt idx="8">
                  <c:v>300</c:v>
                </c:pt>
                <c:pt idx="9">
                  <c:v>320</c:v>
                </c:pt>
                <c:pt idx="10">
                  <c:v>350</c:v>
                </c:pt>
              </c:numCache>
            </c:numRef>
          </c:val>
          <c:smooth val="0"/>
          <c:extLst>
            <c:ext xmlns:c16="http://schemas.microsoft.com/office/drawing/2014/chart" uri="{C3380CC4-5D6E-409C-BE32-E72D297353CC}">
              <c16:uniqueId val="{00000003-1045-4858-A5D5-324A48F1D47E}"/>
            </c:ext>
          </c:extLst>
        </c:ser>
        <c:dLbls>
          <c:showLegendKey val="0"/>
          <c:showVal val="0"/>
          <c:showCatName val="0"/>
          <c:showSerName val="0"/>
          <c:showPercent val="0"/>
          <c:showBubbleSize val="0"/>
        </c:dLbls>
        <c:smooth val="0"/>
        <c:axId val="364468704"/>
        <c:axId val="364466744"/>
      </c:lineChart>
      <c:catAx>
        <c:axId val="364468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66744"/>
        <c:crosses val="autoZero"/>
        <c:auto val="1"/>
        <c:lblAlgn val="ctr"/>
        <c:lblOffset val="100"/>
        <c:noMultiLvlLbl val="0"/>
      </c:catAx>
      <c:valAx>
        <c:axId val="364466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Number of women led FPOs/ FPOs</a:t>
                </a:r>
                <a:r>
                  <a:rPr lang="en-IN" baseline="0"/>
                  <a:t> linked to e-NAM</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68704"/>
        <c:crosses val="autoZero"/>
        <c:crossBetween val="between"/>
      </c:valAx>
      <c:spPr>
        <a:noFill/>
        <a:ln>
          <a:noFill/>
        </a:ln>
        <a:effectLst/>
      </c:spPr>
    </c:plotArea>
    <c:legend>
      <c:legendPos val="b"/>
      <c:legendEntry>
        <c:idx val="2"/>
        <c:delete val="1"/>
      </c:legendEntry>
      <c:legendEntry>
        <c:idx val="3"/>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0.57677</cdr:x>
      <cdr:y>0.43871</cdr:y>
    </cdr:from>
    <cdr:to>
      <cdr:x>0.79212</cdr:x>
      <cdr:y>0.54466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645404" y="1205698"/>
          <a:ext cx="987748" cy="29116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A1057-F732-45B1-BB3B-145A1D28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13</Pages>
  <Words>3175</Words>
  <Characters>18102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yogitha Yogitha</dc:creator>
  <cp:keywords/>
  <dc:description/>
  <cp:lastModifiedBy>SDI PC New 16</cp:lastModifiedBy>
  <cp:revision>54</cp:revision>
  <cp:lastPrinted>2026-02-15T16:38:00Z</cp:lastPrinted>
  <dcterms:created xsi:type="dcterms:W3CDTF">2026-02-14T05:47:00Z</dcterms:created>
  <dcterms:modified xsi:type="dcterms:W3CDTF">2026-04-02T12:32:00Z</dcterms:modified>
</cp:coreProperties>
</file>