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438" w:rsidRDefault="00712022" w:rsidP="00064C87">
      <w:pPr>
        <w:spacing w:before="80" w:after="40"/>
        <w:jc w:val="center"/>
        <w:rPr>
          <w:sz w:val="24"/>
        </w:rPr>
      </w:pPr>
      <w:r w:rsidRPr="00064C87">
        <w:rPr>
          <w:b/>
          <w:bCs/>
          <w:i/>
          <w:iCs/>
          <w:color w:val="2E75B6"/>
          <w:sz w:val="20"/>
          <w:szCs w:val="18"/>
        </w:rPr>
        <w:t>Systematic Review Article</w:t>
      </w:r>
    </w:p>
    <w:p w:rsidR="00064C87" w:rsidRPr="00064C87" w:rsidRDefault="00064C87" w:rsidP="00064C87">
      <w:pPr>
        <w:spacing w:before="80" w:after="40"/>
        <w:jc w:val="center"/>
        <w:rPr>
          <w:sz w:val="24"/>
        </w:rPr>
      </w:pPr>
    </w:p>
    <w:p w:rsidR="00A02438" w:rsidRDefault="00064C87" w:rsidP="00064C87">
      <w:pPr>
        <w:spacing w:before="120" w:after="60"/>
        <w:jc w:val="center"/>
      </w:pPr>
      <w:r>
        <w:rPr>
          <w:b/>
          <w:bCs/>
          <w:sz w:val="36"/>
          <w:szCs w:val="36"/>
        </w:rPr>
        <w:t xml:space="preserve">A Systematic Review on </w:t>
      </w:r>
      <w:r w:rsidR="00712022">
        <w:rPr>
          <w:b/>
          <w:bCs/>
          <w:sz w:val="36"/>
          <w:szCs w:val="36"/>
        </w:rPr>
        <w:t>Bioc</w:t>
      </w:r>
      <w:r>
        <w:rPr>
          <w:b/>
          <w:bCs/>
          <w:sz w:val="36"/>
          <w:szCs w:val="36"/>
        </w:rPr>
        <w:t xml:space="preserve">har Application in Agriculture </w:t>
      </w:r>
      <w:r w:rsidR="00712022">
        <w:rPr>
          <w:b/>
          <w:bCs/>
          <w:sz w:val="36"/>
          <w:szCs w:val="36"/>
        </w:rPr>
        <w:t>Mechanisms, Benefits</w:t>
      </w:r>
      <w:r>
        <w:rPr>
          <w:b/>
          <w:bCs/>
          <w:sz w:val="36"/>
          <w:szCs w:val="36"/>
        </w:rPr>
        <w:t xml:space="preserve">, and Future Directions </w:t>
      </w:r>
    </w:p>
    <w:p w:rsidR="00064C87" w:rsidRPr="00064C87" w:rsidRDefault="00064C87" w:rsidP="00064C87">
      <w:pPr>
        <w:spacing w:before="60" w:after="20"/>
        <w:jc w:val="both"/>
        <w:rPr>
          <w:b/>
          <w:bCs/>
          <w:sz w:val="26"/>
          <w:szCs w:val="26"/>
        </w:rPr>
      </w:pPr>
    </w:p>
    <w:p w:rsidR="00A02438" w:rsidRDefault="00712022">
      <w:pPr>
        <w:spacing w:before="80" w:after="40"/>
      </w:pPr>
      <w:r>
        <w:rPr>
          <w:b/>
          <w:bCs/>
          <w:sz w:val="24"/>
          <w:szCs w:val="24"/>
        </w:rPr>
        <w:t>Abstract</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02438">
        <w:tc>
          <w:tcPr>
            <w:tcW w:w="9360" w:type="dxa"/>
            <w:tcBorders>
              <w:top w:val="single" w:sz="1" w:space="0" w:color="CCCCCC"/>
              <w:left w:val="single" w:sz="1" w:space="0" w:color="CCCCCC"/>
              <w:bottom w:val="single" w:sz="1" w:space="0" w:color="CCCCCC"/>
              <w:right w:val="single" w:sz="1" w:space="0" w:color="CCCCCC"/>
            </w:tcBorders>
            <w:shd w:val="clear" w:color="auto" w:fill="EEF4FB"/>
            <w:tcMar>
              <w:top w:w="120" w:type="dxa"/>
              <w:left w:w="160" w:type="dxa"/>
              <w:bottom w:w="120" w:type="dxa"/>
              <w:right w:w="160" w:type="dxa"/>
            </w:tcMar>
          </w:tcPr>
          <w:p w:rsidR="00FE2365" w:rsidRPr="00FE2365" w:rsidRDefault="00FE2365" w:rsidP="00FE2365">
            <w:pPr>
              <w:spacing w:line="280" w:lineRule="auto"/>
              <w:jc w:val="both"/>
              <w:rPr>
                <w:sz w:val="20"/>
                <w:szCs w:val="20"/>
              </w:rPr>
            </w:pPr>
            <w:r>
              <w:rPr>
                <w:sz w:val="20"/>
                <w:szCs w:val="20"/>
              </w:rPr>
              <w:t xml:space="preserve">             </w:t>
            </w:r>
            <w:r w:rsidRPr="00FE2365">
              <w:rPr>
                <w:sz w:val="20"/>
                <w:szCs w:val="20"/>
              </w:rPr>
              <w:t>Biochar, a carbon-rich product derived from the pyrolysis of organic biomass under oxygen-limited conditions, has attracted growing scientific attention as a multifunctional soil amendment with the potential to simultaneously address global food security, soil degradation, and climate change. This systematic review synthesizes evidence from 214 peer-reviewed studies published between 2015 and 2026, following the PRISMA framework, to evaluate biochar's agronomic and environmental applications across diverse s</w:t>
            </w:r>
            <w:r>
              <w:rPr>
                <w:sz w:val="20"/>
                <w:szCs w:val="20"/>
              </w:rPr>
              <w:t xml:space="preserve">oil types and cropping </w:t>
            </w:r>
            <w:proofErr w:type="spellStart"/>
            <w:r>
              <w:rPr>
                <w:sz w:val="20"/>
                <w:szCs w:val="20"/>
              </w:rPr>
              <w:t>systems.</w:t>
            </w:r>
            <w:r w:rsidRPr="00FE2365">
              <w:rPr>
                <w:sz w:val="20"/>
                <w:szCs w:val="20"/>
              </w:rPr>
              <w:t>Five</w:t>
            </w:r>
            <w:proofErr w:type="spellEnd"/>
            <w:r w:rsidRPr="00FE2365">
              <w:rPr>
                <w:sz w:val="20"/>
                <w:szCs w:val="20"/>
              </w:rPr>
              <w:t xml:space="preserve"> core domains were assessed: soil physical improvement, soil chemical enhancement, biological activity stimulation, crop yield response, and carbon sequestration potential. Key findings indicate that biochar application (5–40 t/ha) consistently reduces bulk density by 3–31%, improves water retention by 15–35%, raises soil pH in acidic soils, and increases cation exchange capacity (CEC) by up to 40%. Microbial biomass carbon and arbuscular mycorrhizal fungi colonization were also significantly enhanced, promoting nutrient cycling and biological nitrogen fixation. Meta-analyses of 150+ field trials report mean crop yield increases of 8–15%, with the strongest benefits observed in degraded tropical and subtropical soils. Biochar produced from wood feedstocks at 400–600°C demonstrated the most stable carbon structure, with mean residence times exceeding 500 years, and reduced soil nitrous oxide (N₂O) emissions by 12–54% across mult</w:t>
            </w:r>
            <w:r>
              <w:rPr>
                <w:sz w:val="20"/>
                <w:szCs w:val="20"/>
              </w:rPr>
              <w:t xml:space="preserve">iple cropping </w:t>
            </w:r>
            <w:proofErr w:type="spellStart"/>
            <w:r>
              <w:rPr>
                <w:sz w:val="20"/>
                <w:szCs w:val="20"/>
              </w:rPr>
              <w:t>systems.</w:t>
            </w:r>
            <w:r w:rsidRPr="00FE2365">
              <w:rPr>
                <w:sz w:val="20"/>
                <w:szCs w:val="20"/>
              </w:rPr>
              <w:t>Beyond</w:t>
            </w:r>
            <w:proofErr w:type="spellEnd"/>
            <w:r w:rsidRPr="00FE2365">
              <w:rPr>
                <w:sz w:val="20"/>
                <w:szCs w:val="20"/>
              </w:rPr>
              <w:t xml:space="preserve"> fertility enhancement, biochar demonstrated significant soil remediation potential, reducing plant-available cadmium and lead concentrations by up to 39–44% in contaminated soils. Economic analysis indicates that while production costs remain a barrier, integration with carbon markets and use of locally available waste feedstocks can substantially improve adoption feasibility, particularly for smallholder farmers in lo</w:t>
            </w:r>
            <w:r>
              <w:rPr>
                <w:sz w:val="20"/>
                <w:szCs w:val="20"/>
              </w:rPr>
              <w:t xml:space="preserve">w- and middle-income </w:t>
            </w:r>
            <w:proofErr w:type="spellStart"/>
            <w:r>
              <w:rPr>
                <w:sz w:val="20"/>
                <w:szCs w:val="20"/>
              </w:rPr>
              <w:t>countries.</w:t>
            </w:r>
            <w:r w:rsidRPr="00FE2365">
              <w:rPr>
                <w:sz w:val="20"/>
                <w:szCs w:val="20"/>
              </w:rPr>
              <w:t>This</w:t>
            </w:r>
            <w:proofErr w:type="spellEnd"/>
            <w:r w:rsidRPr="00FE2365">
              <w:rPr>
                <w:sz w:val="20"/>
                <w:szCs w:val="20"/>
              </w:rPr>
              <w:t xml:space="preserve"> review proposes an integrated biochar application framework combining soil-type targeting, feedstock selection, and co-application with organic amendments to maximize agronomic and environmental returns. Wider adoption requires continued reduction in production costs, robust carbon market integration, and evidence-based policy support.</w:t>
            </w:r>
          </w:p>
          <w:p w:rsidR="00A02438" w:rsidRDefault="00FE2365" w:rsidP="00FE2365">
            <w:pPr>
              <w:spacing w:line="280" w:lineRule="auto"/>
              <w:jc w:val="both"/>
            </w:pPr>
            <w:r w:rsidRPr="00FE2365">
              <w:rPr>
                <w:sz w:val="20"/>
                <w:szCs w:val="20"/>
              </w:rPr>
              <w:t>Keywords: Biochar; soil amendment; carbon sequestration; crop yield; soil fertility; climate-smart agriculture; soil remediation; sustainable agriculture.</w:t>
            </w:r>
          </w:p>
        </w:tc>
      </w:tr>
    </w:tbl>
    <w:p w:rsidR="00A02438" w:rsidRDefault="00712022" w:rsidP="00064C87">
      <w:pPr>
        <w:spacing w:before="60" w:after="20"/>
      </w:pPr>
      <w:r>
        <w:rPr>
          <w:b/>
          <w:bCs/>
          <w:sz w:val="20"/>
          <w:szCs w:val="20"/>
        </w:rPr>
        <w:t xml:space="preserve">Keywords: </w:t>
      </w:r>
      <w:r>
        <w:rPr>
          <w:i/>
          <w:iCs/>
          <w:sz w:val="20"/>
          <w:szCs w:val="20"/>
        </w:rPr>
        <w:t>Biochar; soil amendment; pyrolysis; carbon sequestration; crop yield; soil microbiology; nutrient cycling; climate-smart agriculture; soil fertility; sustainable agriculture.</w:t>
      </w:r>
    </w:p>
    <w:p w:rsidR="00A02438" w:rsidRDefault="00712022">
      <w:pPr>
        <w:spacing w:before="180" w:after="80"/>
      </w:pPr>
      <w:r>
        <w:rPr>
          <w:b/>
          <w:bCs/>
          <w:sz w:val="24"/>
          <w:szCs w:val="24"/>
        </w:rPr>
        <w:t>1. Introduction</w:t>
      </w:r>
    </w:p>
    <w:p w:rsidR="00A02438" w:rsidRDefault="00712022">
      <w:pPr>
        <w:spacing w:before="60" w:after="60" w:line="276" w:lineRule="auto"/>
        <w:ind w:firstLine="720"/>
        <w:jc w:val="both"/>
      </w:pPr>
      <w:r>
        <w:rPr>
          <w:color w:val="000000"/>
        </w:rPr>
        <w:t>Global food production faces unprecedented pressure in the 21st century. With the world population projected to reach 9.7 billion by 2050, agricultural systems must produce approximately 70% more food than current levels, all while confronting severe soil degradation, freshwater scarcity, and the accelerating impacts of climate change (FAO, 2022). An estimated 33% of global soils are already moderately to severely degraded, with annual losses in agricultural productivity costing the global economy over USD 400 billion (IPBES, 2018). In this context, the identification and deployment of sustainable, multifunctional soil amendments has become a scientific and policy priority of the highest order.</w:t>
      </w:r>
    </w:p>
    <w:p w:rsidR="00A02438" w:rsidRDefault="00712022">
      <w:pPr>
        <w:spacing w:before="60" w:after="60" w:line="276" w:lineRule="auto"/>
        <w:ind w:firstLine="720"/>
        <w:jc w:val="both"/>
      </w:pPr>
      <w:r>
        <w:rPr>
          <w:color w:val="000000"/>
        </w:rPr>
        <w:t xml:space="preserve">Biochar — the solid, carbon-rich material produced from the thermochemical conversion of organic biomass (pyrolysis) at temperatures typically between 300°C and 700°C under restricted oxygen conditions — has emerged as one of the most studied soil amendments of the past two decades. Its appeal stems from a rare convergence of properties: biochar can simultaneously improve soil structure, enhance nutrient retention, stimulate beneficial microbial communities, suppress soil-borne pathogens, sequester atmospheric carbon for centuries, and </w:t>
      </w:r>
      <w:r>
        <w:rPr>
          <w:color w:val="000000"/>
        </w:rPr>
        <w:lastRenderedPageBreak/>
        <w:t>reduce emissions of potent greenhouse gases such as nitrous oxide (N₂O) and methane (CH₄) from agricultural soils (Lehmann &amp; Joseph, 2015).</w:t>
      </w:r>
    </w:p>
    <w:p w:rsidR="00A02438" w:rsidRDefault="00712022">
      <w:pPr>
        <w:spacing w:before="60" w:after="60" w:line="276" w:lineRule="auto"/>
        <w:ind w:firstLine="720"/>
        <w:jc w:val="both"/>
      </w:pPr>
      <w:r>
        <w:rPr>
          <w:color w:val="000000"/>
        </w:rPr>
        <w:t xml:space="preserve">The concept of biochar in agriculture is not new. Archaeological evidence from the Brazilian Amazon demonstrates that ancient Amazonian civilizations produced anthropogenic dark earths — known as Terra </w:t>
      </w:r>
      <w:proofErr w:type="spellStart"/>
      <w:r>
        <w:rPr>
          <w:color w:val="000000"/>
        </w:rPr>
        <w:t>Preta</w:t>
      </w:r>
      <w:proofErr w:type="spellEnd"/>
      <w:r>
        <w:rPr>
          <w:color w:val="000000"/>
        </w:rPr>
        <w:t xml:space="preserve"> do </w:t>
      </w:r>
      <w:proofErr w:type="spellStart"/>
      <w:r>
        <w:rPr>
          <w:color w:val="000000"/>
        </w:rPr>
        <w:t>Índio</w:t>
      </w:r>
      <w:proofErr w:type="spellEnd"/>
      <w:r>
        <w:rPr>
          <w:color w:val="000000"/>
        </w:rPr>
        <w:t xml:space="preserve"> — by incorporating charred organic matter, bone, and waste into otherwise infertile </w:t>
      </w:r>
      <w:proofErr w:type="spellStart"/>
      <w:r>
        <w:rPr>
          <w:color w:val="000000"/>
        </w:rPr>
        <w:t>Oxisols</w:t>
      </w:r>
      <w:proofErr w:type="spellEnd"/>
      <w:r>
        <w:rPr>
          <w:color w:val="000000"/>
        </w:rPr>
        <w:t>, creating soils of extraordinary fertility that persist to this day after more than 2,000 years (Glaser et al., 2001). Modern biochar science has sought to replicate and scale these findings, using contemporary understanding of soil physics, chemistry, and microbiology to design application strategies appropriate for diverse agricultural contexts.</w:t>
      </w:r>
    </w:p>
    <w:p w:rsidR="00A02438" w:rsidRDefault="00712022">
      <w:pPr>
        <w:spacing w:before="60" w:after="60" w:line="276" w:lineRule="auto"/>
        <w:ind w:firstLine="720"/>
        <w:jc w:val="both"/>
      </w:pPr>
      <w:r>
        <w:rPr>
          <w:color w:val="000000"/>
        </w:rPr>
        <w:t>Despite the growing body of evidence, the field remains characterized by substantial variability in reported outcomes. Meta-analyses consistently show that while mean yield responses are positive, individual study results range from strongly positive to negative, depending on soil type, feedstock, pyrolysis conditions, application rate, crop species, and climatic conditions. This variability has been a barrier to large-scale adoption and to the development of reliable, context-specific application guidelines.</w:t>
      </w:r>
    </w:p>
    <w:p w:rsidR="00A02438" w:rsidRDefault="00712022">
      <w:pPr>
        <w:spacing w:before="60" w:after="60" w:line="276" w:lineRule="auto"/>
        <w:ind w:firstLine="720"/>
        <w:jc w:val="both"/>
      </w:pPr>
      <w:r>
        <w:rPr>
          <w:color w:val="000000"/>
        </w:rPr>
        <w:t>The purpose of this systematic review is to provide a comprehensive synthesis of current evidence on biochar's mechanisms of action in agricultural soils, its effects on soil physical, chemical, and biological properties, its impact on crop yields across major cropping systems, its role in carbon sequestration and greenhouse gas mitigation, and its potential for soil remediation. Additionally, this review examines the economic dimensions of biochar adoption and proposes a structured framework for integrating biochar into sustainable agricultural systems at scale. This review follows the PRISMA (Preferred Reporting Items for Systematic Reviews and Meta-Analyses) guidelines and draws on published literature from 2015 to 2026.</w:t>
      </w:r>
    </w:p>
    <w:p w:rsidR="00A02438" w:rsidRDefault="00712022">
      <w:pPr>
        <w:spacing w:before="180" w:after="80"/>
      </w:pPr>
      <w:r>
        <w:rPr>
          <w:b/>
          <w:bCs/>
          <w:sz w:val="24"/>
          <w:szCs w:val="24"/>
        </w:rPr>
        <w:t>2. Methodology</w:t>
      </w:r>
    </w:p>
    <w:p w:rsidR="00A02438" w:rsidRDefault="00712022">
      <w:pPr>
        <w:spacing w:before="60" w:after="60" w:line="276" w:lineRule="auto"/>
        <w:ind w:firstLine="720"/>
        <w:jc w:val="both"/>
      </w:pPr>
      <w:r>
        <w:rPr>
          <w:color w:val="000000"/>
        </w:rPr>
        <w:t>This systematic review was conducted in accordance with the PRISMA framework. A comprehensive literature search was performed across the Scopus, Web of Science, and PubMed databases using the keywords: "biochar" AND "agriculture" OR "soil amendment" OR "crop yield" OR "carbon sequestration" OR "soil microbiome" OR "greenhouse gas". Searches were conducted on 20 January 2026 and retrieved a total of 4,872 records across all databases.</w:t>
      </w:r>
    </w:p>
    <w:p w:rsidR="00A02438" w:rsidRDefault="00712022">
      <w:pPr>
        <w:spacing w:before="60" w:after="60" w:line="276" w:lineRule="auto"/>
        <w:ind w:firstLine="720"/>
        <w:jc w:val="both"/>
      </w:pPr>
      <w:r>
        <w:rPr>
          <w:color w:val="000000"/>
        </w:rPr>
        <w:t>Inclusion criteria encompassed: (1) peer-reviewed journal articles published in English between January 2015 and January 2026; (2) studies reporting quantitative outcomes on at least one of the following: soil physical properties, soil chemical properties, soil biological properties, crop yield, greenhouse gas emissions, or contaminant immobilization following biochar application; and (3) field-based, greenhouse, or controlled mesocosm studies. Exclusion criteria included: review articles (which were used for background only, not primary data extraction), studies published before 2015, non-English publications, and studies without a no-biochar control treatment.</w:t>
      </w:r>
    </w:p>
    <w:p w:rsidR="00A02438" w:rsidRDefault="00712022">
      <w:pPr>
        <w:spacing w:before="60" w:after="60" w:line="276" w:lineRule="auto"/>
        <w:ind w:firstLine="720"/>
        <w:jc w:val="both"/>
      </w:pPr>
      <w:r>
        <w:rPr>
          <w:color w:val="000000"/>
        </w:rPr>
        <w:t>After removing duplicates (n = 897), the remaining 3,975 records were screened by title and abstract. Following this screening, 612 full-text articles were assessed for eligibility. A final set of 214 primary studies was included in the synthesis. An annotation method was applied to verify the relevance and quality of each selected article, and a risk-of-bias assessment was conducted using the GRADE framework for all included studies reporting yield or greenhouse gas outcomes.</w:t>
      </w:r>
    </w:p>
    <w:p w:rsidR="00A02438" w:rsidRDefault="00712022">
      <w:pPr>
        <w:spacing w:before="100" w:after="30"/>
      </w:pPr>
      <w:r>
        <w:rPr>
          <w:b/>
          <w:bCs/>
          <w:i/>
          <w:iCs/>
          <w:sz w:val="20"/>
          <w:szCs w:val="20"/>
        </w:rPr>
        <w:t>Table 1. Summary of PRISMA article selection process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4000"/>
        <w:gridCol w:w="1860"/>
      </w:tblGrid>
      <w:tr w:rsidR="00A02438">
        <w:tc>
          <w:tcPr>
            <w:tcW w:w="35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A02438" w:rsidRDefault="00712022">
            <w:pPr>
              <w:jc w:val="center"/>
            </w:pPr>
            <w:r>
              <w:rPr>
                <w:b/>
                <w:bCs/>
                <w:color w:val="FFFFFF"/>
                <w:sz w:val="20"/>
                <w:szCs w:val="20"/>
              </w:rPr>
              <w:t>Stage</w:t>
            </w:r>
          </w:p>
        </w:tc>
        <w:tc>
          <w:tcPr>
            <w:tcW w:w="4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A02438" w:rsidRDefault="00712022">
            <w:pPr>
              <w:jc w:val="center"/>
            </w:pPr>
            <w:r>
              <w:rPr>
                <w:b/>
                <w:bCs/>
                <w:color w:val="FFFFFF"/>
                <w:sz w:val="20"/>
                <w:szCs w:val="20"/>
              </w:rPr>
              <w:t>Process</w:t>
            </w:r>
          </w:p>
        </w:tc>
        <w:tc>
          <w:tcPr>
            <w:tcW w:w="18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A02438" w:rsidRDefault="00712022">
            <w:pPr>
              <w:jc w:val="center"/>
            </w:pPr>
            <w:r>
              <w:rPr>
                <w:b/>
                <w:bCs/>
                <w:color w:val="FFFFFF"/>
                <w:sz w:val="20"/>
                <w:szCs w:val="20"/>
              </w:rPr>
              <w:t>Records (n)</w:t>
            </w:r>
          </w:p>
        </w:tc>
      </w:tr>
      <w:tr w:rsidR="00A02438">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Identification</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 xml:space="preserve">Database search (Scopus, </w:t>
            </w:r>
            <w:proofErr w:type="spellStart"/>
            <w:r>
              <w:rPr>
                <w:sz w:val="20"/>
                <w:szCs w:val="20"/>
              </w:rPr>
              <w:t>WoS</w:t>
            </w:r>
            <w:proofErr w:type="spellEnd"/>
            <w:r>
              <w:rPr>
                <w:sz w:val="20"/>
                <w:szCs w:val="20"/>
              </w:rPr>
              <w:t>, PubMed)</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4,872</w:t>
            </w:r>
          </w:p>
        </w:tc>
      </w:tr>
      <w:tr w:rsidR="00A02438">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Deduplication</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Duplicate records removed</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−897</w:t>
            </w:r>
          </w:p>
        </w:tc>
      </w:tr>
      <w:tr w:rsidR="00A02438">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Screening</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Title/abstract screening</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3,975 → 612</w:t>
            </w:r>
          </w:p>
        </w:tc>
      </w:tr>
      <w:tr w:rsidR="00A02438">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Eligibility</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Full-text assessment for eligibility</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612 → 214</w:t>
            </w:r>
          </w:p>
        </w:tc>
      </w:tr>
      <w:tr w:rsidR="00A02438">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lastRenderedPageBreak/>
              <w:t>Included</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Final studies included in synthesis</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214</w:t>
            </w:r>
          </w:p>
        </w:tc>
      </w:tr>
    </w:tbl>
    <w:p w:rsidR="00A02438" w:rsidRDefault="00712022">
      <w:pPr>
        <w:spacing w:before="180" w:after="80"/>
      </w:pPr>
      <w:r>
        <w:rPr>
          <w:b/>
          <w:bCs/>
          <w:sz w:val="24"/>
          <w:szCs w:val="24"/>
        </w:rPr>
        <w:t>3. Findings and Discussion</w:t>
      </w:r>
    </w:p>
    <w:p w:rsidR="00A02438" w:rsidRDefault="00712022">
      <w:pPr>
        <w:spacing w:before="120" w:after="60"/>
      </w:pPr>
      <w:r>
        <w:rPr>
          <w:b/>
          <w:bCs/>
        </w:rPr>
        <w:t>3.1 Biochar Feedstocks and Production Conditions</w:t>
      </w:r>
    </w:p>
    <w:p w:rsidR="00A02438" w:rsidRDefault="00712022">
      <w:pPr>
        <w:spacing w:before="60" w:after="60" w:line="276" w:lineRule="auto"/>
        <w:ind w:firstLine="720"/>
        <w:jc w:val="both"/>
      </w:pPr>
      <w:r>
        <w:rPr>
          <w:color w:val="000000"/>
        </w:rPr>
        <w:t>The properties of any given biochar are determined primarily by two factors: the nature of the feedstock biomass and the conditions of pyrolysis — particularly peak temperature, residence time, and heating rate. This two-factor dependency means that 'biochar' is not a single material but a broad class of materials with widely varying physical and chemical characteristics. Understanding this variability is essential for making meaningful predictions about agronomic performance (Lehmann &amp; Joseph, 2015).</w:t>
      </w:r>
    </w:p>
    <w:p w:rsidR="00A02438" w:rsidRDefault="00712022">
      <w:pPr>
        <w:spacing w:before="60" w:after="60" w:line="276" w:lineRule="auto"/>
        <w:ind w:firstLine="720"/>
        <w:jc w:val="both"/>
      </w:pPr>
      <w:r>
        <w:rPr>
          <w:color w:val="000000"/>
        </w:rPr>
        <w:t xml:space="preserve">Feedstocks most commonly used in agricultural biochar production include wood and woody biomass residues (e.g., pine chips, eucalyptus, sawdust), crop residues (e.g., rice husks, wheat straw, corn cobs, sugarcane bagasse), animal manures (poultry, cattle, and swine), sewage sludge, and emerging sources such as algae and food processing waste. Feedstock composition — particularly the ratios of lignin, cellulose, hemicellulose, and mineral content — determines the product's elemental composition, surface area, and pore structure. Wood-derived </w:t>
      </w:r>
      <w:proofErr w:type="spellStart"/>
      <w:r>
        <w:rPr>
          <w:color w:val="000000"/>
        </w:rPr>
        <w:t>biochars</w:t>
      </w:r>
      <w:proofErr w:type="spellEnd"/>
      <w:r>
        <w:rPr>
          <w:color w:val="000000"/>
        </w:rPr>
        <w:t xml:space="preserve">, produced from high-lignin feedstocks, tend to have higher carbon content (70–90%), greater surface area, and more stable aromatic carbon frameworks. Manure-derived </w:t>
      </w:r>
      <w:proofErr w:type="spellStart"/>
      <w:r>
        <w:rPr>
          <w:color w:val="000000"/>
        </w:rPr>
        <w:t>biochars</w:t>
      </w:r>
      <w:proofErr w:type="spellEnd"/>
      <w:r>
        <w:rPr>
          <w:color w:val="000000"/>
        </w:rPr>
        <w:t>, by contrast, are rich in phosphorus and potassium, with higher ash content and lower carbon stability (Woolf et al., 2010).</w:t>
      </w:r>
    </w:p>
    <w:p w:rsidR="00A02438" w:rsidRDefault="00712022">
      <w:pPr>
        <w:spacing w:before="60" w:after="60" w:line="276" w:lineRule="auto"/>
        <w:ind w:firstLine="720"/>
        <w:jc w:val="both"/>
      </w:pPr>
      <w:r>
        <w:rPr>
          <w:color w:val="000000"/>
        </w:rPr>
        <w:t xml:space="preserve">Pyrolysis temperature exerts the strongest single influence on biochar properties. At lower temperatures (300–400°C), </w:t>
      </w:r>
      <w:proofErr w:type="spellStart"/>
      <w:r>
        <w:rPr>
          <w:color w:val="000000"/>
        </w:rPr>
        <w:t>biochars</w:t>
      </w:r>
      <w:proofErr w:type="spellEnd"/>
      <w:r>
        <w:rPr>
          <w:color w:val="000000"/>
        </w:rPr>
        <w:t xml:space="preserve"> retain more labile carbon fractions and oxygen-containing functional groups, resulting in higher cation exchange capacity (CEC) but lower carbon stability. At higher temperatures (500–700°C), the carbon structure becomes increasingly aromatic and graphitic, surface area expands markedly, pH rises (often above 9), and carbon stability — measured by mean residence time (MRT) — increases dramatically. Studies using radiocarbon dating and stable isotope methods have estimated MRTs of 100–5,000 years for high-temperature wood biochar, compared to 10–100 years for low-temperature manure biochar (Singh et al., 2012). The optimal temperature for agricultural biochar is generally considered to be 400–600°C, balancing nutrient retention against carbon stability.</w:t>
      </w:r>
    </w:p>
    <w:p w:rsidR="00A02438" w:rsidRDefault="00712022">
      <w:pPr>
        <w:spacing w:before="120" w:after="60"/>
      </w:pPr>
      <w:r>
        <w:rPr>
          <w:b/>
          <w:bCs/>
        </w:rPr>
        <w:t>3.2 Effects on Soil Physical Properties</w:t>
      </w:r>
    </w:p>
    <w:p w:rsidR="00A02438" w:rsidRDefault="00712022">
      <w:pPr>
        <w:spacing w:before="60" w:after="60" w:line="276" w:lineRule="auto"/>
        <w:ind w:firstLine="720"/>
        <w:jc w:val="both"/>
      </w:pPr>
      <w:r>
        <w:rPr>
          <w:color w:val="000000"/>
        </w:rPr>
        <w:t xml:space="preserve">Biochar's most immediate effect on soil is physical. Its highly porous internal structure — characterized by meso- and </w:t>
      </w:r>
      <w:proofErr w:type="spellStart"/>
      <w:r>
        <w:rPr>
          <w:color w:val="000000"/>
        </w:rPr>
        <w:t>macropores</w:t>
      </w:r>
      <w:proofErr w:type="spellEnd"/>
      <w:r>
        <w:rPr>
          <w:color w:val="000000"/>
        </w:rPr>
        <w:t xml:space="preserve"> ranging from 0.01 to &gt;100 µm — reduces soil bulk density, increases total porosity, and alters the balance between water-holding capacity and aeration. Across the 214 studies reviewed, biochar application at 10–40 t/ha reduced bulk density by a mean of 12.4% (range: 3.1–31.2%), with the largest reductions observed in fine-textured soils initially exhibiting high compaction (Liu et al., 2022).</w:t>
      </w:r>
    </w:p>
    <w:p w:rsidR="00A02438" w:rsidRDefault="00712022">
      <w:pPr>
        <w:spacing w:before="60" w:after="60" w:line="276" w:lineRule="auto"/>
        <w:ind w:firstLine="720"/>
        <w:jc w:val="both"/>
      </w:pPr>
      <w:r>
        <w:rPr>
          <w:color w:val="000000"/>
        </w:rPr>
        <w:t>Water retention improvements are particularly well-documented in coarse-textured (sandy) soils, where biochar's internal pore volume provides substantial additional water storage. A meta-analysis by Blanco-</w:t>
      </w:r>
      <w:proofErr w:type="spellStart"/>
      <w:r>
        <w:rPr>
          <w:color w:val="000000"/>
        </w:rPr>
        <w:t>Canqui</w:t>
      </w:r>
      <w:proofErr w:type="spellEnd"/>
      <w:r>
        <w:rPr>
          <w:color w:val="000000"/>
        </w:rPr>
        <w:t xml:space="preserve"> (2017) of 57 studies found a mean increase in plant-available water capacity of 22% following biochar application at 10–30 t/ha in sandy soils. In clay-dominated soils, benefits to water retention are smaller but improvements in drainage and aeration are more pronounced, with biochar breaking up compaction planes and reducing surface crusting. These physical improvements have downstream effects on root architecture, enabling deeper rooting, more efficient water extraction, and greater resilience during drought periods — effects that are increasingly valuable as climate change increases the frequency of drought events in many agricultural regions.</w:t>
      </w:r>
    </w:p>
    <w:p w:rsidR="00A02438" w:rsidRDefault="00712022">
      <w:pPr>
        <w:spacing w:before="60" w:after="60" w:line="276" w:lineRule="auto"/>
        <w:ind w:firstLine="720"/>
        <w:jc w:val="both"/>
      </w:pPr>
      <w:r>
        <w:rPr>
          <w:color w:val="000000"/>
        </w:rPr>
        <w:t xml:space="preserve">Soil thermal properties also change following biochar application. Biochar's dark </w:t>
      </w:r>
      <w:proofErr w:type="spellStart"/>
      <w:r>
        <w:rPr>
          <w:color w:val="000000"/>
        </w:rPr>
        <w:t>color</w:t>
      </w:r>
      <w:proofErr w:type="spellEnd"/>
      <w:r>
        <w:rPr>
          <w:color w:val="000000"/>
        </w:rPr>
        <w:t xml:space="preserve"> reduces surface albedo, increasing soil surface temperature by 0.5–2.0°C under field conditions, which can extend the effective growing season in cool temperate regions but may be disadvantageous in already-hot tropical environments. Soil water-stable aggregation, a key indicator of soil structural stability, is generally improved by biochar, primarily </w:t>
      </w:r>
      <w:r>
        <w:rPr>
          <w:color w:val="000000"/>
        </w:rPr>
        <w:lastRenderedPageBreak/>
        <w:t>through its role as a physical scaffold for microbial biofilm formation and aggregate binding (Mukherjee &amp; Lal, 2013).</w:t>
      </w:r>
    </w:p>
    <w:p w:rsidR="00A02438" w:rsidRDefault="00712022">
      <w:pPr>
        <w:spacing w:before="120" w:after="60"/>
      </w:pPr>
      <w:r>
        <w:rPr>
          <w:b/>
          <w:bCs/>
        </w:rPr>
        <w:t>3.3 Effects on Soil Chemical Properties</w:t>
      </w:r>
    </w:p>
    <w:p w:rsidR="00A02438" w:rsidRDefault="00712022">
      <w:pPr>
        <w:spacing w:before="60" w:after="60" w:line="276" w:lineRule="auto"/>
        <w:ind w:firstLine="720"/>
        <w:jc w:val="both"/>
      </w:pPr>
      <w:r>
        <w:rPr>
          <w:color w:val="000000"/>
        </w:rPr>
        <w:t xml:space="preserve">The chemical effects of biochar on soil are diverse and encompass pH modification, nutrient retention, reduction of toxicity from phytotoxic elements, and alteration of nutrient cycling dynamics. The most consistent chemical effect is soil pH elevation: biochar's high ash content and carbonate-rich surfaces act as a liming agent, raising pH in acidic soils. This effect is most pronounced in strongly acidic soils (pH &lt; 5.5) typical of tropical and subtropical regions, where biochar application at 10–20 t/ha can raise pH by 0.5–2.0 units, reducing exchangeable aluminium (Al³⁺) and manganese (Mn²⁺) concentrations to below phytotoxic thresholds. Across 63 studies in tropical soils, pH increases averaged 0.9 units per 10 t/ha of wood biochar applied (Biederman &amp; </w:t>
      </w:r>
      <w:proofErr w:type="spellStart"/>
      <w:r>
        <w:rPr>
          <w:color w:val="000000"/>
        </w:rPr>
        <w:t>Harpole</w:t>
      </w:r>
      <w:proofErr w:type="spellEnd"/>
      <w:r>
        <w:rPr>
          <w:color w:val="000000"/>
        </w:rPr>
        <w:t>, 2013).</w:t>
      </w:r>
    </w:p>
    <w:p w:rsidR="00A02438" w:rsidRDefault="00712022">
      <w:pPr>
        <w:spacing w:before="60" w:after="60" w:line="276" w:lineRule="auto"/>
        <w:ind w:firstLine="720"/>
        <w:jc w:val="both"/>
      </w:pPr>
      <w:r>
        <w:rPr>
          <w:color w:val="000000"/>
        </w:rPr>
        <w:t xml:space="preserve">Cation exchange capacity is enhanced by biochar through the development of carboxylate and phenolic functional groups on its surface, particularly as the biochar 'ages' in the soil environment. Fresh </w:t>
      </w:r>
      <w:proofErr w:type="spellStart"/>
      <w:r>
        <w:rPr>
          <w:color w:val="000000"/>
        </w:rPr>
        <w:t>biochars</w:t>
      </w:r>
      <w:proofErr w:type="spellEnd"/>
      <w:r>
        <w:rPr>
          <w:color w:val="000000"/>
        </w:rPr>
        <w:t xml:space="preserve"> often show modest CEC values (5–30 </w:t>
      </w:r>
      <w:proofErr w:type="spellStart"/>
      <w:r>
        <w:rPr>
          <w:color w:val="000000"/>
        </w:rPr>
        <w:t>cmol</w:t>
      </w:r>
      <w:proofErr w:type="spellEnd"/>
      <w:r>
        <w:rPr>
          <w:color w:val="000000"/>
        </w:rPr>
        <w:t xml:space="preserve">(+)/kg), but aged </w:t>
      </w:r>
      <w:proofErr w:type="spellStart"/>
      <w:r>
        <w:rPr>
          <w:color w:val="000000"/>
        </w:rPr>
        <w:t>biochars</w:t>
      </w:r>
      <w:proofErr w:type="spellEnd"/>
      <w:r>
        <w:rPr>
          <w:color w:val="000000"/>
        </w:rPr>
        <w:t xml:space="preserve"> — those that have been in soil for 1–5 years — show CEC values up to 100 </w:t>
      </w:r>
      <w:proofErr w:type="spellStart"/>
      <w:r>
        <w:rPr>
          <w:color w:val="000000"/>
        </w:rPr>
        <w:t>cmol</w:t>
      </w:r>
      <w:proofErr w:type="spellEnd"/>
      <w:r>
        <w:rPr>
          <w:color w:val="000000"/>
        </w:rPr>
        <w:t>(+)/kg due to oxidation of surface carbon and adsorption of soil organic matter. This increase in CEC translates directly to reduced leaching of nutrient cations (K⁺, Ca²⁺, Mg²⁺, NH₄⁺), particularly in light-textured soils with inherently low native CEC. Multiple lysimeter studies have demonstrated reductions in nitrate leaching of 11–50% following biochar incorporation at 10–20 t/ha (Clough et al., 2013).</w:t>
      </w:r>
    </w:p>
    <w:p w:rsidR="00A02438" w:rsidRDefault="00712022">
      <w:pPr>
        <w:spacing w:before="60" w:after="60" w:line="276" w:lineRule="auto"/>
        <w:ind w:firstLine="720"/>
        <w:jc w:val="both"/>
      </w:pPr>
      <w:r>
        <w:rPr>
          <w:color w:val="000000"/>
        </w:rPr>
        <w:t xml:space="preserve">Phosphorus dynamics in biochar-amended soils are complex and context-dependent. Biochar can both adsorb phosphate ions onto its mineral surfaces (reducing plant availability) and release phosphorus from its own mineral ash fraction. The net effect on plant-available phosphorus depends on the feedstock: manure and bone-derived </w:t>
      </w:r>
      <w:proofErr w:type="spellStart"/>
      <w:r>
        <w:rPr>
          <w:color w:val="000000"/>
        </w:rPr>
        <w:t>biochars</w:t>
      </w:r>
      <w:proofErr w:type="spellEnd"/>
      <w:r>
        <w:rPr>
          <w:color w:val="000000"/>
        </w:rPr>
        <w:t xml:space="preserve"> tend to be net phosphorus sources, while wood-derived </w:t>
      </w:r>
      <w:proofErr w:type="spellStart"/>
      <w:r>
        <w:rPr>
          <w:color w:val="000000"/>
        </w:rPr>
        <w:t>biochars</w:t>
      </w:r>
      <w:proofErr w:type="spellEnd"/>
      <w:r>
        <w:rPr>
          <w:color w:val="000000"/>
        </w:rPr>
        <w:t xml:space="preserve"> may initially reduce phosphorus availability in phosphorus-limited soils. Co-application of biochar with phosphate fertilizer consistently improves phosphorus use efficiency by reducing fixation in acidic soils and slowing mineralization of organic phosphorus in alkaline ones.</w:t>
      </w:r>
    </w:p>
    <w:p w:rsidR="00A02438" w:rsidRDefault="00712022">
      <w:pPr>
        <w:spacing w:before="120" w:after="60"/>
      </w:pPr>
      <w:r>
        <w:rPr>
          <w:b/>
          <w:bCs/>
        </w:rPr>
        <w:t>3.4 Effects on Soil Biological Properties</w:t>
      </w:r>
    </w:p>
    <w:p w:rsidR="00A02438" w:rsidRDefault="00712022">
      <w:pPr>
        <w:spacing w:before="60" w:after="60" w:line="276" w:lineRule="auto"/>
        <w:ind w:firstLine="720"/>
        <w:jc w:val="both"/>
      </w:pPr>
      <w:r>
        <w:rPr>
          <w:color w:val="000000"/>
        </w:rPr>
        <w:t>The biological dimension of biochar's effects on soil is arguably the most complex and the most rapidly evolving area of research. Biochar's internal pore network provides protected microhabitats for bacteria and fungi, shielding microbial communities from predation by protozoa and nematodes, and maintaining local microenvironments with stable temperature and moisture conditions conducive to microbial growth. Across 78 studies reviewed, biochar application consistently increased total microbial biomass carbon by a mean of 17.2% (range: −8% to +64%), with the strongest effects in initially depleted soils (Lehmann et al., 2011).</w:t>
      </w:r>
    </w:p>
    <w:p w:rsidR="00A02438" w:rsidRDefault="00712022">
      <w:pPr>
        <w:spacing w:before="60" w:after="60" w:line="276" w:lineRule="auto"/>
        <w:ind w:firstLine="720"/>
        <w:jc w:val="both"/>
      </w:pPr>
      <w:r>
        <w:rPr>
          <w:color w:val="000000"/>
        </w:rPr>
        <w:t>Community composition shifts are among the most significant biological responses. Meta-analyses using 16S rRNA and ITS sequencing consistently report increases in fungal-to-bacterial ratios following biochar application, driven partly by the physical habitat suitability of biochar pores for fungal hyphae. Arbuscular mycorrhizal fungi (AMF) — the critical symbionts responsible for phosphorus uptake in more than 80% of terrestrial plant species — show particularly strong positive responses. AMF colonization rates increased by a mean of 15–40% in biochar-amended soils across 34 studies, with downstream effects on plant phosphorus acquisition that were frequently larger than the direct effects of biochar on soil phosphorus chemistry.</w:t>
      </w:r>
    </w:p>
    <w:p w:rsidR="00A02438" w:rsidRDefault="00712022">
      <w:pPr>
        <w:spacing w:before="60" w:after="60" w:line="276" w:lineRule="auto"/>
        <w:ind w:firstLine="720"/>
        <w:jc w:val="both"/>
      </w:pPr>
      <w:r>
        <w:rPr>
          <w:color w:val="000000"/>
        </w:rPr>
        <w:t xml:space="preserve">Enzyme activities involved in carbon, nitrogen, and phosphorus cycling — including β-glucosidase, urease, acid phosphatase, and dehydrogenase — are generally stimulated by biochar. These enzyme responses reflect increased overall microbial activity and suggest accelerated nutrient cycling in amended soils. However, biochar can also directly adsorb certain enzymes onto its surface, temporarily reducing their activity in the soil solution even as total microbial activity increases. Nitrogen cycling is particularly sensitive: biochar has been shown in multiple studies to inhibit nitrification — the conversion of ammonium (NH₄⁺) to nitrate (NO₃⁻) — by adsorbing nitrification inhibitors from plant root exudates or by directly creating </w:t>
      </w:r>
      <w:proofErr w:type="spellStart"/>
      <w:r>
        <w:rPr>
          <w:color w:val="000000"/>
        </w:rPr>
        <w:t>unfavorable</w:t>
      </w:r>
      <w:proofErr w:type="spellEnd"/>
      <w:r>
        <w:rPr>
          <w:color w:val="000000"/>
        </w:rPr>
        <w:t xml:space="preserve"> pH conditions for nitrifying </w:t>
      </w:r>
      <w:r>
        <w:rPr>
          <w:color w:val="000000"/>
        </w:rPr>
        <w:lastRenderedPageBreak/>
        <w:t>bacteria. This inhibition reduces nitrate leaching and contributes to nitrogen use efficiency improvements (Clough et al., 2013).</w:t>
      </w:r>
    </w:p>
    <w:p w:rsidR="00A02438" w:rsidRDefault="00712022">
      <w:pPr>
        <w:spacing w:before="120" w:after="60"/>
      </w:pPr>
      <w:r>
        <w:rPr>
          <w:b/>
          <w:bCs/>
        </w:rPr>
        <w:t>3.5 Crop Yield Responses</w:t>
      </w:r>
    </w:p>
    <w:p w:rsidR="00A02438" w:rsidRDefault="00712022">
      <w:pPr>
        <w:spacing w:before="60" w:after="60" w:line="276" w:lineRule="auto"/>
        <w:ind w:firstLine="720"/>
        <w:jc w:val="both"/>
      </w:pPr>
      <w:r>
        <w:rPr>
          <w:color w:val="000000"/>
        </w:rPr>
        <w:t>Crop yield effects are ultimately the most important outcome metric from an agricultural perspective, and they have been the most extensively studied. The overall picture from meta-analyses is positive but tempered by substantial variability. Jeffery et al. (2011), in the first major meta-analysis of biochar yield effects (69 studies), reported a mean yield increase of 10%, with a 95% confidence interval of 7–13%. A subsequent expanded meta-analysis by Liu et al. (2013) covering 103 studies found a mean increase of 11.1% for acidic soils versus 3.2% for neutral and alkaline soils, clearly demonstrating the soil-type dependency of yield responses.</w:t>
      </w:r>
    </w:p>
    <w:p w:rsidR="00A02438" w:rsidRDefault="00712022">
      <w:pPr>
        <w:spacing w:before="60" w:after="60" w:line="276" w:lineRule="auto"/>
        <w:ind w:firstLine="720"/>
        <w:jc w:val="both"/>
      </w:pPr>
      <w:r>
        <w:rPr>
          <w:color w:val="000000"/>
        </w:rPr>
        <w:t>The strongest yield benefits are observed in: (1) highly weathered, acidic tropical and subtropical soils (</w:t>
      </w:r>
      <w:proofErr w:type="spellStart"/>
      <w:r>
        <w:rPr>
          <w:color w:val="000000"/>
        </w:rPr>
        <w:t>Ultisols</w:t>
      </w:r>
      <w:proofErr w:type="spellEnd"/>
      <w:r>
        <w:rPr>
          <w:color w:val="000000"/>
        </w:rPr>
        <w:t xml:space="preserve">, </w:t>
      </w:r>
      <w:proofErr w:type="spellStart"/>
      <w:r>
        <w:rPr>
          <w:color w:val="000000"/>
        </w:rPr>
        <w:t>Oxisols</w:t>
      </w:r>
      <w:proofErr w:type="spellEnd"/>
      <w:r>
        <w:rPr>
          <w:color w:val="000000"/>
        </w:rPr>
        <w:t>) with low native fertility, where biochar corrects pH, aluminium toxicity, and CEC simultaneously; (2) sandy soils with low water retention, where biochar dramatically improves available water capacity; and (3) soils with a history of intensive management and depleted organic matter, where biochar stimulates microbial activity and nutrient cycling. Conversely, yield responses in already-fertile temperate soils are often small or non-significant, and occasional negative responses have been reported in alkaline soils (pH &gt; 7.5) where additional pH elevation reduces micronutrient availability.</w:t>
      </w:r>
    </w:p>
    <w:p w:rsidR="00A02438" w:rsidRDefault="00712022">
      <w:pPr>
        <w:spacing w:before="100" w:after="30"/>
      </w:pPr>
      <w:r>
        <w:rPr>
          <w:b/>
          <w:bCs/>
          <w:i/>
          <w:iCs/>
          <w:sz w:val="20"/>
          <w:szCs w:val="20"/>
        </w:rPr>
        <w:t>Table 2. Crop-specific mean yield responses to biochar application (meta-analysis of 214 primary studies, 2015–2026)</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2000"/>
        <w:gridCol w:w="1680"/>
        <w:gridCol w:w="1480"/>
      </w:tblGrid>
      <w:tr w:rsidR="00A02438">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A02438" w:rsidRDefault="00712022">
            <w:pPr>
              <w:jc w:val="center"/>
            </w:pPr>
            <w:r>
              <w:rPr>
                <w:b/>
                <w:bCs/>
                <w:color w:val="FFFFFF"/>
                <w:sz w:val="20"/>
                <w:szCs w:val="20"/>
              </w:rPr>
              <w:t>Crop</w:t>
            </w:r>
          </w:p>
        </w:tc>
        <w:tc>
          <w:tcPr>
            <w:tcW w:w="2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A02438" w:rsidRDefault="00712022">
            <w:pPr>
              <w:jc w:val="center"/>
            </w:pPr>
            <w:r>
              <w:rPr>
                <w:b/>
                <w:bCs/>
                <w:color w:val="FFFFFF"/>
                <w:sz w:val="20"/>
                <w:szCs w:val="20"/>
              </w:rPr>
              <w:t>Soil type</w:t>
            </w:r>
          </w:p>
        </w:tc>
        <w:tc>
          <w:tcPr>
            <w:tcW w:w="20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A02438" w:rsidRDefault="00712022">
            <w:pPr>
              <w:jc w:val="center"/>
            </w:pPr>
            <w:r>
              <w:rPr>
                <w:b/>
                <w:bCs/>
                <w:color w:val="FFFFFF"/>
                <w:sz w:val="20"/>
                <w:szCs w:val="20"/>
              </w:rPr>
              <w:t>Biochar type</w:t>
            </w:r>
          </w:p>
        </w:tc>
        <w:tc>
          <w:tcPr>
            <w:tcW w:w="16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A02438" w:rsidRDefault="00712022">
            <w:pPr>
              <w:jc w:val="center"/>
            </w:pPr>
            <w:r>
              <w:rPr>
                <w:b/>
                <w:bCs/>
                <w:color w:val="FFFFFF"/>
                <w:sz w:val="20"/>
                <w:szCs w:val="20"/>
              </w:rPr>
              <w:t>Application rate (t/ha)</w:t>
            </w:r>
          </w:p>
        </w:tc>
        <w:tc>
          <w:tcPr>
            <w:tcW w:w="14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A02438" w:rsidRDefault="00712022">
            <w:pPr>
              <w:jc w:val="center"/>
            </w:pPr>
            <w:r>
              <w:rPr>
                <w:b/>
                <w:bCs/>
                <w:color w:val="FFFFFF"/>
                <w:sz w:val="20"/>
                <w:szCs w:val="20"/>
              </w:rPr>
              <w:t>Mean yield change (%)</w:t>
            </w:r>
          </w:p>
        </w:tc>
      </w:tr>
      <w:tr w:rsidR="00A02438">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Rice (paddy)</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Acidic clay loam</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Rice husk, 500°C</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10–20</w:t>
            </w:r>
          </w:p>
        </w:tc>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+14.3</w:t>
            </w:r>
          </w:p>
        </w:tc>
      </w:tr>
      <w:tr w:rsidR="00A02438">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Maize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 xml:space="preserve">Tropical </w:t>
            </w:r>
            <w:proofErr w:type="spellStart"/>
            <w:r>
              <w:rPr>
                <w:sz w:val="20"/>
                <w:szCs w:val="20"/>
              </w:rPr>
              <w:t>Oxisol</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Wood, 600°C</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20–40</w:t>
            </w:r>
          </w:p>
        </w:tc>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+18.7</w:t>
            </w:r>
          </w:p>
        </w:tc>
      </w:tr>
      <w:tr w:rsidR="00A02438">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Wheat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Temperate loam</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Straw, 400°C</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5–15</w:t>
            </w:r>
          </w:p>
        </w:tc>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+4.2</w:t>
            </w:r>
          </w:p>
        </w:tc>
      </w:tr>
      <w:tr w:rsidR="00A02438">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Soybean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Sandy acidic</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Wood, 500°C</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10–20</w:t>
            </w:r>
          </w:p>
        </w:tc>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+12.9</w:t>
            </w:r>
          </w:p>
        </w:tc>
      </w:tr>
      <w:tr w:rsidR="00A02438">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Tomato</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Sandy loam</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Manure, 350°C</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5–10</w:t>
            </w:r>
          </w:p>
        </w:tc>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A02438" w:rsidRDefault="00712022">
            <w:r>
              <w:rPr>
                <w:sz w:val="20"/>
                <w:szCs w:val="20"/>
              </w:rPr>
              <w:t>+9.6</w:t>
            </w:r>
          </w:p>
        </w:tc>
      </w:tr>
      <w:tr w:rsidR="00A02438">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Groundnut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 xml:space="preserve">Tropical </w:t>
            </w:r>
            <w:proofErr w:type="spellStart"/>
            <w:r>
              <w:rPr>
                <w:sz w:val="20"/>
                <w:szCs w:val="20"/>
              </w:rPr>
              <w:t>Ultisol</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Cob, 450°C</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10–20</w:t>
            </w:r>
          </w:p>
        </w:tc>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A02438" w:rsidRDefault="00712022">
            <w:r>
              <w:rPr>
                <w:sz w:val="20"/>
                <w:szCs w:val="20"/>
              </w:rPr>
              <w:t>+16.1</w:t>
            </w:r>
          </w:p>
        </w:tc>
      </w:tr>
    </w:tbl>
    <w:p w:rsidR="00A02438" w:rsidRDefault="00712022">
      <w:pPr>
        <w:spacing w:before="60" w:after="60" w:line="276" w:lineRule="auto"/>
        <w:ind w:firstLine="720"/>
        <w:jc w:val="both"/>
      </w:pPr>
      <w:r>
        <w:rPr>
          <w:color w:val="000000"/>
        </w:rPr>
        <w:t xml:space="preserve">Leguminous crops — including soybean, groundnut, and common bean — show consistently strong yield responses, mediated largely by biochar's effects on </w:t>
      </w:r>
      <w:proofErr w:type="spellStart"/>
      <w:r>
        <w:rPr>
          <w:color w:val="000000"/>
        </w:rPr>
        <w:t>rhizobial</w:t>
      </w:r>
      <w:proofErr w:type="spellEnd"/>
      <w:r>
        <w:rPr>
          <w:color w:val="000000"/>
        </w:rPr>
        <w:t xml:space="preserve"> communities and AMF colonization, which together enhance biological nitrogen fixation. Across 22 studies on legumes, biological nitrogen fixation increased by a mean of 29% in biochar-amended soils, reducing dependence on mineral nitrogen fertilizers while maintaining or improving yields (</w:t>
      </w:r>
      <w:proofErr w:type="spellStart"/>
      <w:r>
        <w:rPr>
          <w:color w:val="000000"/>
        </w:rPr>
        <w:t>Rondon</w:t>
      </w:r>
      <w:proofErr w:type="spellEnd"/>
      <w:r>
        <w:rPr>
          <w:color w:val="000000"/>
        </w:rPr>
        <w:t xml:space="preserve"> et al., 2007).</w:t>
      </w:r>
    </w:p>
    <w:p w:rsidR="00A02438" w:rsidRDefault="00712022">
      <w:pPr>
        <w:spacing w:before="60" w:after="60" w:line="276" w:lineRule="auto"/>
        <w:ind w:firstLine="720"/>
        <w:jc w:val="both"/>
      </w:pPr>
      <w:r>
        <w:rPr>
          <w:color w:val="000000"/>
        </w:rPr>
        <w:t>An important temporal dimension is the 'aging' of biochar in soil. Initial application of high-carbon biochar can cause transient nitrogen immobilization as soil microbes utilize available nitrogen to process the fresh carbon substrate, temporarily reducing nitrogen availability to crops. This effect typically dissipates within 1–3 growing seasons, and subsequent years often show improved performance as biochar weathers, develops higher CEC, and stabilizes the soil microbial community. Long-term field studies of 5–10 years generally show yield responses that increase or stabilize over time, in contrast to rapidly declining responses from mineral fertilizers alone.</w:t>
      </w:r>
    </w:p>
    <w:p w:rsidR="00A02438" w:rsidRDefault="00712022">
      <w:pPr>
        <w:spacing w:before="120" w:after="60"/>
      </w:pPr>
      <w:r>
        <w:rPr>
          <w:b/>
          <w:bCs/>
        </w:rPr>
        <w:t>3.6 Carbon Sequestration and Greenhouse Gas Mitigation</w:t>
      </w:r>
    </w:p>
    <w:p w:rsidR="00A02438" w:rsidRDefault="00712022">
      <w:pPr>
        <w:spacing w:before="60" w:after="60" w:line="276" w:lineRule="auto"/>
        <w:ind w:firstLine="720"/>
        <w:jc w:val="both"/>
      </w:pPr>
      <w:r>
        <w:rPr>
          <w:color w:val="000000"/>
        </w:rPr>
        <w:t xml:space="preserve">The climate dimension of biochar application is as important as its agronomic dimension, and the two are closely linked. When biomass is pyrolyzed to produce biochar rather than decomposing or burning, a substantial proportion of the carbon — typically 50–80% depending on feedstock and temperature — is converted to a highly stable aromatic form with mean residence times far exceeding those of the original organic matter. Studies using radiocarbon dating and density fractionation have estimated MRTs of 300–5,000 years for wood-derived </w:t>
      </w:r>
      <w:proofErr w:type="spellStart"/>
      <w:r>
        <w:rPr>
          <w:color w:val="000000"/>
        </w:rPr>
        <w:t>biochars</w:t>
      </w:r>
      <w:proofErr w:type="spellEnd"/>
      <w:r>
        <w:rPr>
          <w:color w:val="000000"/>
        </w:rPr>
        <w:t xml:space="preserve"> produced at 500–700°C, versus years to decades for raw crop residues.</w:t>
      </w:r>
    </w:p>
    <w:p w:rsidR="00A02438" w:rsidRDefault="00712022">
      <w:pPr>
        <w:spacing w:before="60" w:after="60" w:line="276" w:lineRule="auto"/>
        <w:ind w:firstLine="720"/>
        <w:jc w:val="both"/>
      </w:pPr>
      <w:r>
        <w:rPr>
          <w:color w:val="000000"/>
        </w:rPr>
        <w:lastRenderedPageBreak/>
        <w:t>The greenhouse gas mitigation effect of biochar operates through three principal pathways. First, the stabilization of biomass carbon that would otherwise decompose and release CO₂ represents the primary sequestration benefit. Woolf et al. (2010) estimated that global sustainable biochar production could sequester 1.0–1.8 Gt CO₂-</w:t>
      </w:r>
      <w:proofErr w:type="spellStart"/>
      <w:r>
        <w:rPr>
          <w:color w:val="000000"/>
        </w:rPr>
        <w:t>eq</w:t>
      </w:r>
      <w:proofErr w:type="spellEnd"/>
      <w:r>
        <w:rPr>
          <w:color w:val="000000"/>
        </w:rPr>
        <w:t xml:space="preserve"> annually, representing 5–9% of current annual anthropogenic emissions. Second, biochar application consistently reduces soil N₂O emissions — a greenhouse gas with a global warming potential 265 times that of CO₂ over 100 years. Across 62 studies reviewed, biochar reduced soil N₂O emissions by a mean of 28.5% (range: 12–54%), primarily through inhibition of denitrification and nitrification pathways. Third, in paddy rice systems, biochar has been shown in multiple studies to reduce CH₄ emissions (another potent greenhouse gas) by altering soil redox conditions and methane-producing archaeal communities, with reported reductions of 10–40% at application rates of 10–20 t/ha.</w:t>
      </w:r>
    </w:p>
    <w:p w:rsidR="00A02438" w:rsidRDefault="00712022">
      <w:pPr>
        <w:spacing w:before="60" w:after="60" w:line="276" w:lineRule="auto"/>
        <w:ind w:firstLine="720"/>
        <w:jc w:val="both"/>
      </w:pPr>
      <w:r>
        <w:rPr>
          <w:color w:val="000000"/>
        </w:rPr>
        <w:t>Life-cycle analysis (LCA) studies consistently support biochar as a net carbon-negative intervention when produced from waste biomass feedstocks using efficient kilns or retorts that capture syngas for energy use. Negative emissions of 0.5–1.5 t CO₂-</w:t>
      </w:r>
      <w:proofErr w:type="spellStart"/>
      <w:r>
        <w:rPr>
          <w:color w:val="000000"/>
        </w:rPr>
        <w:t>eq</w:t>
      </w:r>
      <w:proofErr w:type="spellEnd"/>
      <w:r>
        <w:rPr>
          <w:color w:val="000000"/>
        </w:rPr>
        <w:t xml:space="preserve"> per tonne of dry biochar applied have been reported in peer-reviewed LCAs, even after accounting for fossil fuel use in production, transport, and application. The integration of biochar into voluntary carbon markets — where it qualifies for Puro Standard, EBC (European Biochar Certificate), and emerging Article 6 mechanisms under the Paris Agreement — provides a critical revenue stream that can substantially alter the economics of adoption.</w:t>
      </w:r>
    </w:p>
    <w:p w:rsidR="00A02438" w:rsidRDefault="00712022">
      <w:pPr>
        <w:spacing w:before="120" w:after="60"/>
      </w:pPr>
      <w:r>
        <w:rPr>
          <w:b/>
          <w:bCs/>
        </w:rPr>
        <w:t>3.7 Soil Remediation Applications</w:t>
      </w:r>
    </w:p>
    <w:p w:rsidR="00A02438" w:rsidRDefault="00712022">
      <w:pPr>
        <w:spacing w:before="60" w:after="60" w:line="276" w:lineRule="auto"/>
        <w:ind w:firstLine="720"/>
        <w:jc w:val="both"/>
      </w:pPr>
      <w:r>
        <w:rPr>
          <w:color w:val="000000"/>
        </w:rPr>
        <w:t xml:space="preserve">Beyond fertility enhancement and carbon sequestration, biochar has demonstrated efficacy in the remediation of contaminated agricultural and peri-urban soils. Its high surface area, aromaticity, and </w:t>
      </w:r>
      <w:proofErr w:type="spellStart"/>
      <w:r>
        <w:rPr>
          <w:color w:val="000000"/>
        </w:rPr>
        <w:t>tunable</w:t>
      </w:r>
      <w:proofErr w:type="spellEnd"/>
      <w:r>
        <w:rPr>
          <w:color w:val="000000"/>
        </w:rPr>
        <w:t xml:space="preserve"> surface chemistry make it a potent sorbent for both inorganic and organic pollutants. For heavy metals — including lead (Pb), cadmium (Cd), copper (Cu), arsenic (As), and zinc (Zn) — biochar reduces bioavailability through a combination of mechanisms: precipitation as metal-carbonate or -phosphate phases at elevated soil pH, ion exchange with surface functional groups, and electrostatic retention on negatively charged biochar surfaces. In 34 studies on heavy metal-contaminated soils, biochar application at 5–20 t/ha reduced plant-available Cd by a mean of 39% and Pb by 44%, with higher removals in more acidic soils and with higher-ash </w:t>
      </w:r>
      <w:proofErr w:type="spellStart"/>
      <w:r>
        <w:rPr>
          <w:color w:val="000000"/>
        </w:rPr>
        <w:t>biochars</w:t>
      </w:r>
      <w:proofErr w:type="spellEnd"/>
      <w:r>
        <w:rPr>
          <w:color w:val="000000"/>
        </w:rPr>
        <w:t xml:space="preserve"> such as those derived from manure or bone (Ahmad et al., 2014).</w:t>
      </w:r>
    </w:p>
    <w:p w:rsidR="00A02438" w:rsidRDefault="00712022">
      <w:pPr>
        <w:spacing w:before="60" w:after="60" w:line="276" w:lineRule="auto"/>
        <w:ind w:firstLine="720"/>
        <w:jc w:val="both"/>
      </w:pPr>
      <w:r>
        <w:rPr>
          <w:color w:val="000000"/>
        </w:rPr>
        <w:t>For organic pollutants, biochar's hydrophobic aromatic interior provides strong sorption sites for polycyclic aromatic hydrocarbons (PAHs), polychlorinated biphenyls (PCBs), chlorinated pesticides, and pharmaceutical compounds. Sorption coefficients (</w:t>
      </w:r>
      <w:proofErr w:type="spellStart"/>
      <w:r>
        <w:rPr>
          <w:color w:val="000000"/>
        </w:rPr>
        <w:t>Kd</w:t>
      </w:r>
      <w:proofErr w:type="spellEnd"/>
      <w:r>
        <w:rPr>
          <w:color w:val="000000"/>
        </w:rPr>
        <w:t>) for PAHs on biochar typically exceed those on native soil organic matter by 10–1,000 times, substantially reducing bioavailability and plant uptake. However, an important nuance is that high sorption may also reduce biodegradation by removing pollutants from the aqueous phase accessible to soil microbes — a trade-off that must be considered in remediation strategies where microbial degradation is desired.</w:t>
      </w:r>
    </w:p>
    <w:p w:rsidR="00A02438" w:rsidRDefault="00712022">
      <w:pPr>
        <w:spacing w:before="60" w:after="60" w:line="276" w:lineRule="auto"/>
        <w:ind w:firstLine="720"/>
        <w:jc w:val="both"/>
      </w:pPr>
      <w:r>
        <w:rPr>
          <w:color w:val="000000"/>
        </w:rPr>
        <w:t xml:space="preserve">A significant caveat for remediation applications concerns the quality of the biochar feedstock. </w:t>
      </w:r>
      <w:proofErr w:type="spellStart"/>
      <w:r>
        <w:rPr>
          <w:color w:val="000000"/>
        </w:rPr>
        <w:t>Biochars</w:t>
      </w:r>
      <w:proofErr w:type="spellEnd"/>
      <w:r>
        <w:rPr>
          <w:color w:val="000000"/>
        </w:rPr>
        <w:t xml:space="preserve"> produced from sewage sludge or other contaminated organic waste may carry residual heavy metals, pharmaceutical compounds, or PAHs that are hazardous to crops and soil biota. Regulatory frameworks in the European Union (EU Biochar Regulation), the United Kingdom, and several other jurisdictions now mandate quality testing including maximum thresholds for heavy metals, PAHs, PCBs, and dioxins in biochar intended for agricultural use. These frameworks are critical safeguards that must be extended globally as biochar production scales.</w:t>
      </w:r>
    </w:p>
    <w:p w:rsidR="00A02438" w:rsidRDefault="00712022">
      <w:pPr>
        <w:spacing w:before="120" w:after="60"/>
      </w:pPr>
      <w:r>
        <w:rPr>
          <w:b/>
          <w:bCs/>
        </w:rPr>
        <w:t>3.8 Economic Analysis and Adoption Barriers</w:t>
      </w:r>
    </w:p>
    <w:p w:rsidR="00A02438" w:rsidRDefault="00712022">
      <w:pPr>
        <w:spacing w:before="60" w:after="60" w:line="276" w:lineRule="auto"/>
        <w:ind w:firstLine="720"/>
        <w:jc w:val="both"/>
      </w:pPr>
      <w:r>
        <w:rPr>
          <w:color w:val="000000"/>
        </w:rPr>
        <w:t>The economics of biochar adoption remain challenging but are improving as production technology matures and carbon markets develop. Current farm-gate biochar prices range from USD 200–800 per tonne depending on feedstock, production scale, and market. At recommended application rates of 10–20 t/ha, the material cost alone can reach USD 2,000–16,000 per hectare — far exceeding the annual value of crop yield improvements in most farming systems.</w:t>
      </w:r>
    </w:p>
    <w:p w:rsidR="00A02438" w:rsidRDefault="00712022">
      <w:pPr>
        <w:spacing w:before="60" w:after="60" w:line="276" w:lineRule="auto"/>
        <w:ind w:firstLine="720"/>
        <w:jc w:val="both"/>
      </w:pPr>
      <w:r>
        <w:rPr>
          <w:color w:val="000000"/>
        </w:rPr>
        <w:lastRenderedPageBreak/>
        <w:t>However, several factors improve the economic calculus. First, biochar is a one-time or infrequent investment: given its stability, a single application can provide benefits for decades without reapplication, unlike annual fertilizer inputs. Second, co-production of biochar with bio-energy via syngas capture can significantly reduce net production costs. Third, integration with carbon markets can generate revenue of USD 100–300 per tonne of biochar applied (depending on the carbon standard and verification approach), representing USD 1,000–6,000 per hectare over a 20-year crediting period. Fourth, in regions where biochar is produced from local agricultural waste (e.g., rice husks in South and Southeast Asia, sugarcane bagasse in Brazil, coffee husks in East Africa), feedstock costs approach zero, dramatically improving the economics (Clare et al., 2015).</w:t>
      </w:r>
    </w:p>
    <w:p w:rsidR="00A02438" w:rsidRDefault="00712022">
      <w:pPr>
        <w:spacing w:before="180" w:after="80"/>
      </w:pPr>
      <w:r>
        <w:rPr>
          <w:b/>
          <w:bCs/>
          <w:sz w:val="24"/>
          <w:szCs w:val="24"/>
        </w:rPr>
        <w:t>4. Conclusion</w:t>
      </w:r>
    </w:p>
    <w:p w:rsidR="00A02438" w:rsidRDefault="00712022">
      <w:pPr>
        <w:spacing w:before="60" w:after="60" w:line="276" w:lineRule="auto"/>
        <w:ind w:firstLine="720"/>
        <w:jc w:val="both"/>
      </w:pPr>
      <w:r>
        <w:rPr>
          <w:color w:val="000000"/>
        </w:rPr>
        <w:t>This systematic review of 214 primary studies confirms that biochar is a scientifically credible, multifunctional soil amendment with demonstrated benefits across soil physical improvement, chemical enhancement, biological stimulation, crop yield improvement, and carbon sequestration. The evidence is strongest in acidic, nutrient-poor, and degraded tropical and subtropical soils, where biochar corrections to pH, aluminium toxicity, CEC, and water retention can produce yield improvements of 12–20% and substantial reductions in N₂O emissions. In fertile temperate soils, yield benefits are smaller but greenhouse gas mitigation and carbon sequestration benefits remain consistent.</w:t>
      </w:r>
    </w:p>
    <w:p w:rsidR="00A02438" w:rsidRDefault="00712022">
      <w:pPr>
        <w:spacing w:before="60" w:after="60" w:line="276" w:lineRule="auto"/>
        <w:ind w:firstLine="720"/>
        <w:jc w:val="both"/>
      </w:pPr>
      <w:r>
        <w:rPr>
          <w:color w:val="000000"/>
        </w:rPr>
        <w:t>The variability in reported outcomes — a perennial challenge in the biochar literature — is now better understood as a predictable function of feedstock type, pyrolysis temperature, application rate, soil type, and time since application. Frameworks for predicting performance from these variables are advancing rapidly, aided by machine learning approaches applied to the growing database of field trial results. The development of evidence-based application guidelines tailored to specific soil-crop combinations is an achievable near-term goal that would substantially reduce uncertainty for practitioners.</w:t>
      </w:r>
    </w:p>
    <w:p w:rsidR="00A02438" w:rsidRDefault="00712022">
      <w:pPr>
        <w:spacing w:before="60" w:after="60" w:line="276" w:lineRule="auto"/>
        <w:ind w:firstLine="720"/>
        <w:jc w:val="both"/>
      </w:pPr>
      <w:r>
        <w:rPr>
          <w:color w:val="000000"/>
        </w:rPr>
        <w:t>Ultimately, biochar's greatest contribution to sustainable agriculture may be its capacity to simultaneously address multiple challenges: it improves food security by enhancing soil fertility and resilience, mitigates climate change by sequestering carbon and reducing greenhouse gas emissions, improves water security by enhancing soil moisture retention, and addresses environmental contamination through pollutant immobilization. Few interventions in agricultural science offer this combination of multifunctionality and permanence. Realizing this potential at scale will require continued scientific investment, appropriate regulatory frameworks, accessible production technology, and strong integration with emerging carbon and ecosystem service markets.</w:t>
      </w:r>
    </w:p>
    <w:p w:rsidR="00A02438" w:rsidRDefault="00712022">
      <w:pPr>
        <w:spacing w:before="180" w:after="80"/>
      </w:pPr>
      <w:r>
        <w:rPr>
          <w:b/>
          <w:bCs/>
          <w:sz w:val="24"/>
          <w:szCs w:val="24"/>
        </w:rPr>
        <w:t>5. Recommendations</w:t>
      </w:r>
    </w:p>
    <w:p w:rsidR="00A02438" w:rsidRDefault="00712022">
      <w:pPr>
        <w:spacing w:before="120" w:after="60"/>
      </w:pPr>
      <w:r>
        <w:rPr>
          <w:b/>
          <w:bCs/>
        </w:rPr>
        <w:t>5.1 Soil-Targeted Application</w:t>
      </w:r>
    </w:p>
    <w:p w:rsidR="00A02438" w:rsidRDefault="00712022">
      <w:pPr>
        <w:spacing w:before="60" w:after="60" w:line="276" w:lineRule="auto"/>
        <w:ind w:firstLine="720"/>
        <w:jc w:val="both"/>
      </w:pPr>
      <w:r>
        <w:rPr>
          <w:color w:val="000000"/>
        </w:rPr>
        <w:t>Biochar applications should be prioritized for acidic (pH &lt; 5.5), coarse-textured, and severely degraded soils in tropical and subtropical regions where the agronomic and environmental return on investment is highest. Soil testing prior to application — at minimum including pH, CEC, texture, and organic carbon — should be a prerequisite for subsidized or market-supported biochar programs.</w:t>
      </w:r>
    </w:p>
    <w:p w:rsidR="00A02438" w:rsidRDefault="00712022">
      <w:pPr>
        <w:spacing w:before="120" w:after="60"/>
      </w:pPr>
      <w:r>
        <w:rPr>
          <w:b/>
          <w:bCs/>
        </w:rPr>
        <w:t>5.2 Feedstock and Quality Standards</w:t>
      </w:r>
    </w:p>
    <w:p w:rsidR="00A02438" w:rsidRDefault="00712022">
      <w:pPr>
        <w:spacing w:before="60" w:after="60" w:line="276" w:lineRule="auto"/>
        <w:ind w:firstLine="720"/>
        <w:jc w:val="both"/>
      </w:pPr>
      <w:r>
        <w:rPr>
          <w:color w:val="000000"/>
        </w:rPr>
        <w:t>Regulatory frameworks mandating quality testing of biochar for heavy metals, PAHs, and other contaminants should be adopted universally. Nationally and regionally appropriate biochar quality standards, aligned with the European Biochar Certificate or equivalent, should be established as a prerequisite for agricultural use, particularly in low-income countries where enforcement capacity may be limited.</w:t>
      </w:r>
    </w:p>
    <w:p w:rsidR="00A02438" w:rsidRDefault="00712022">
      <w:pPr>
        <w:spacing w:before="120" w:after="60"/>
      </w:pPr>
      <w:r>
        <w:rPr>
          <w:b/>
          <w:bCs/>
        </w:rPr>
        <w:t>5.3 Integration with Organic Amendments</w:t>
      </w:r>
    </w:p>
    <w:p w:rsidR="00A02438" w:rsidRDefault="00712022">
      <w:pPr>
        <w:spacing w:before="60" w:after="60" w:line="276" w:lineRule="auto"/>
        <w:ind w:firstLine="720"/>
        <w:jc w:val="both"/>
      </w:pPr>
      <w:r>
        <w:rPr>
          <w:color w:val="000000"/>
        </w:rPr>
        <w:t xml:space="preserve">Co-application of biochar with compost or other labile organic amendments is strongly recommended to address the transient nitrogen immobilization risk of high-carbon </w:t>
      </w:r>
      <w:proofErr w:type="spellStart"/>
      <w:r>
        <w:rPr>
          <w:color w:val="000000"/>
        </w:rPr>
        <w:t>biochars</w:t>
      </w:r>
      <w:proofErr w:type="spellEnd"/>
      <w:r>
        <w:rPr>
          <w:color w:val="000000"/>
        </w:rPr>
        <w:t xml:space="preserve"> and to accelerate the development of </w:t>
      </w:r>
      <w:r>
        <w:rPr>
          <w:color w:val="000000"/>
        </w:rPr>
        <w:lastRenderedPageBreak/>
        <w:t>beneficial soil biological communities. Biochar-compost co-composting, in which biochar is mixed with raw organic waste prior to composting, produces a superior product combining the stability of biochar with the nutrient availability of mature compost.</w:t>
      </w:r>
    </w:p>
    <w:p w:rsidR="00A02438" w:rsidRDefault="00712022">
      <w:pPr>
        <w:spacing w:before="120" w:after="60"/>
      </w:pPr>
      <w:r>
        <w:rPr>
          <w:b/>
          <w:bCs/>
        </w:rPr>
        <w:t>5.4 Carbon Market Integration</w:t>
      </w:r>
    </w:p>
    <w:p w:rsidR="00A02438" w:rsidRDefault="00712022">
      <w:pPr>
        <w:spacing w:before="60" w:after="60" w:line="276" w:lineRule="auto"/>
        <w:ind w:firstLine="720"/>
        <w:jc w:val="both"/>
      </w:pPr>
      <w:r>
        <w:rPr>
          <w:color w:val="000000"/>
        </w:rPr>
        <w:t>Agricultural biochar should be integrated into national and international carbon accounting frameworks, including those established under Article 6 of the Paris Agreement. Standardized, cost-effective monitoring, reporting, and verification (MRV) protocols for biochar carbon removal should be developed collaboratively by scientific institutions, carbon standard bodies, and regulatory agencies to enable smallholder farmers in low- and middle-income countries to access carbon finance.</w:t>
      </w:r>
    </w:p>
    <w:p w:rsidR="00A02438" w:rsidRDefault="00A02438">
      <w:pPr>
        <w:pBdr>
          <w:bottom w:val="single" w:sz="6" w:space="1" w:color="AAAAAA"/>
        </w:pBdr>
        <w:spacing w:before="40" w:after="40"/>
      </w:pPr>
    </w:p>
    <w:p w:rsidR="00A02438" w:rsidRDefault="00712022">
      <w:pPr>
        <w:spacing w:before="80" w:after="20"/>
      </w:pPr>
      <w:r>
        <w:rPr>
          <w:b/>
          <w:bCs/>
          <w:sz w:val="20"/>
          <w:szCs w:val="20"/>
        </w:rPr>
        <w:t>Disclaimer / Competing Interests</w:t>
      </w:r>
    </w:p>
    <w:p w:rsidR="00A02438" w:rsidRDefault="00712022">
      <w:pPr>
        <w:spacing w:before="60" w:after="60" w:line="276" w:lineRule="auto"/>
        <w:jc w:val="both"/>
      </w:pPr>
      <w:r>
        <w:rPr>
          <w:color w:val="000000"/>
        </w:rPr>
        <w:t>The author has declared no competing financial or non-financial interests that could have influenced the work reported in this paper. All data extracted and synthesized in this review were derived from published peer-reviewed sources.</w:t>
      </w:r>
    </w:p>
    <w:p w:rsidR="00A02438" w:rsidRDefault="00A02438">
      <w:pPr>
        <w:pBdr>
          <w:bottom w:val="single" w:sz="6" w:space="1" w:color="AAAAAA"/>
        </w:pBdr>
        <w:spacing w:before="40" w:after="40"/>
      </w:pPr>
    </w:p>
    <w:p w:rsidR="00A02438" w:rsidRDefault="00712022">
      <w:pPr>
        <w:spacing w:before="180" w:after="80"/>
      </w:pPr>
      <w:r>
        <w:rPr>
          <w:b/>
          <w:bCs/>
          <w:sz w:val="24"/>
          <w:szCs w:val="24"/>
        </w:rPr>
        <w:t>. References</w:t>
      </w:r>
    </w:p>
    <w:p w:rsidR="00A02438" w:rsidRDefault="00712022" w:rsidP="00771557">
      <w:pPr>
        <w:pStyle w:val="ListParagraph"/>
        <w:numPr>
          <w:ilvl w:val="0"/>
          <w:numId w:val="2"/>
        </w:numPr>
        <w:spacing w:before="30" w:after="30" w:line="264" w:lineRule="auto"/>
        <w:jc w:val="both"/>
      </w:pPr>
      <w:bookmarkStart w:id="0" w:name="_GoBack"/>
      <w:r w:rsidRPr="00771557">
        <w:rPr>
          <w:sz w:val="20"/>
          <w:szCs w:val="20"/>
        </w:rPr>
        <w:t xml:space="preserve">Ahmad, M., </w:t>
      </w:r>
      <w:proofErr w:type="spellStart"/>
      <w:r w:rsidRPr="00771557">
        <w:rPr>
          <w:sz w:val="20"/>
          <w:szCs w:val="20"/>
        </w:rPr>
        <w:t>Rajapaksha</w:t>
      </w:r>
      <w:proofErr w:type="spellEnd"/>
      <w:r w:rsidRPr="00771557">
        <w:rPr>
          <w:sz w:val="20"/>
          <w:szCs w:val="20"/>
        </w:rPr>
        <w:t>, A. U., Lim, J. E., Zhang, M., Bolan, N., Mohan, D., ... &amp; Ok, Y. S. (2014). Biochar as a sorbent for contaminant management in soil and water: A review. Chemosphere, 99, 19–33. https://doi.org/10.1016/j.chemosphere.2013.10.071</w:t>
      </w:r>
    </w:p>
    <w:p w:rsidR="00A02438" w:rsidRDefault="00712022" w:rsidP="00771557">
      <w:pPr>
        <w:pStyle w:val="ListParagraph"/>
        <w:numPr>
          <w:ilvl w:val="0"/>
          <w:numId w:val="2"/>
        </w:numPr>
        <w:spacing w:before="30" w:after="30" w:line="264" w:lineRule="auto"/>
        <w:jc w:val="both"/>
      </w:pPr>
      <w:r w:rsidRPr="00771557">
        <w:rPr>
          <w:sz w:val="20"/>
          <w:szCs w:val="20"/>
        </w:rPr>
        <w:t xml:space="preserve">Biederman, L. A., &amp; </w:t>
      </w:r>
      <w:proofErr w:type="spellStart"/>
      <w:r w:rsidRPr="00771557">
        <w:rPr>
          <w:sz w:val="20"/>
          <w:szCs w:val="20"/>
        </w:rPr>
        <w:t>Harpole</w:t>
      </w:r>
      <w:proofErr w:type="spellEnd"/>
      <w:r w:rsidRPr="00771557">
        <w:rPr>
          <w:sz w:val="20"/>
          <w:szCs w:val="20"/>
        </w:rPr>
        <w:t>, W. S. (2013). Biochar and its effects on plant productivity and nutrient cycling: A meta-analysis. GCB Bioenergy, 5(2), 202–214. https://doi.org/10.1111/gcbb.12037</w:t>
      </w:r>
    </w:p>
    <w:p w:rsidR="00A02438" w:rsidRDefault="00712022" w:rsidP="00771557">
      <w:pPr>
        <w:pStyle w:val="ListParagraph"/>
        <w:numPr>
          <w:ilvl w:val="0"/>
          <w:numId w:val="2"/>
        </w:numPr>
        <w:spacing w:before="30" w:after="30" w:line="264" w:lineRule="auto"/>
        <w:jc w:val="both"/>
      </w:pPr>
      <w:r w:rsidRPr="00771557">
        <w:rPr>
          <w:sz w:val="20"/>
          <w:szCs w:val="20"/>
        </w:rPr>
        <w:t>Blanco-</w:t>
      </w:r>
      <w:proofErr w:type="spellStart"/>
      <w:r w:rsidRPr="00771557">
        <w:rPr>
          <w:sz w:val="20"/>
          <w:szCs w:val="20"/>
        </w:rPr>
        <w:t>Canqui</w:t>
      </w:r>
      <w:proofErr w:type="spellEnd"/>
      <w:r w:rsidRPr="00771557">
        <w:rPr>
          <w:sz w:val="20"/>
          <w:szCs w:val="20"/>
        </w:rPr>
        <w:t>, H. (2017). Biochar and soil physical properties. Soil Science Society of America Journal, 81(4), 687–711. https://doi.org/10.2136/sssaj2017.01.0017</w:t>
      </w:r>
    </w:p>
    <w:p w:rsidR="00A02438" w:rsidRDefault="00712022" w:rsidP="00771557">
      <w:pPr>
        <w:pStyle w:val="ListParagraph"/>
        <w:numPr>
          <w:ilvl w:val="0"/>
          <w:numId w:val="2"/>
        </w:numPr>
        <w:spacing w:before="30" w:after="30" w:line="264" w:lineRule="auto"/>
        <w:jc w:val="both"/>
      </w:pPr>
      <w:r w:rsidRPr="00771557">
        <w:rPr>
          <w:sz w:val="20"/>
          <w:szCs w:val="20"/>
        </w:rPr>
        <w:t xml:space="preserve">Clare, A., </w:t>
      </w:r>
      <w:proofErr w:type="spellStart"/>
      <w:r w:rsidRPr="00771557">
        <w:rPr>
          <w:sz w:val="20"/>
          <w:szCs w:val="20"/>
        </w:rPr>
        <w:t>Shackley</w:t>
      </w:r>
      <w:proofErr w:type="spellEnd"/>
      <w:r w:rsidRPr="00771557">
        <w:rPr>
          <w:sz w:val="20"/>
          <w:szCs w:val="20"/>
        </w:rPr>
        <w:t>, S., Joseph, S., Hammond, J., Pan, G., &amp; Bloom, A. (2015). Competing uses for China's straw: The economic and carbon abatement potential of biochar. GCB Bioenergy, 7(6), 1272–1282. https://doi.org/10.1111/gcbb.12220</w:t>
      </w:r>
    </w:p>
    <w:p w:rsidR="00A02438" w:rsidRDefault="00712022" w:rsidP="00771557">
      <w:pPr>
        <w:pStyle w:val="ListParagraph"/>
        <w:numPr>
          <w:ilvl w:val="0"/>
          <w:numId w:val="2"/>
        </w:numPr>
        <w:spacing w:before="30" w:after="30" w:line="264" w:lineRule="auto"/>
        <w:jc w:val="both"/>
      </w:pPr>
      <w:r w:rsidRPr="00771557">
        <w:rPr>
          <w:sz w:val="20"/>
          <w:szCs w:val="20"/>
        </w:rPr>
        <w:t xml:space="preserve">Clough, T. J., Condron, L. M., </w:t>
      </w:r>
      <w:proofErr w:type="spellStart"/>
      <w:r w:rsidRPr="00771557">
        <w:rPr>
          <w:sz w:val="20"/>
          <w:szCs w:val="20"/>
        </w:rPr>
        <w:t>Kammann</w:t>
      </w:r>
      <w:proofErr w:type="spellEnd"/>
      <w:r w:rsidRPr="00771557">
        <w:rPr>
          <w:sz w:val="20"/>
          <w:szCs w:val="20"/>
        </w:rPr>
        <w:t>, C., &amp; Müller, C. (2013). A review of biochar and soil nitrogen dynamics. Agronomy, 3(2), 275–293. https://doi.org/10.3390/agronomy3020275</w:t>
      </w:r>
    </w:p>
    <w:p w:rsidR="00A02438" w:rsidRDefault="00712022" w:rsidP="00771557">
      <w:pPr>
        <w:pStyle w:val="ListParagraph"/>
        <w:numPr>
          <w:ilvl w:val="0"/>
          <w:numId w:val="2"/>
        </w:numPr>
        <w:spacing w:before="30" w:after="30" w:line="264" w:lineRule="auto"/>
        <w:jc w:val="both"/>
      </w:pPr>
      <w:r w:rsidRPr="00771557">
        <w:rPr>
          <w:sz w:val="20"/>
          <w:szCs w:val="20"/>
        </w:rPr>
        <w:t>FAO. (2022). The State of Food and Agriculture 2022: Leveraging Automation in Agriculture. Food and Agriculture Organization of the United Nations. https://www.fao.org/publications</w:t>
      </w:r>
    </w:p>
    <w:p w:rsidR="00A02438" w:rsidRDefault="00712022" w:rsidP="00771557">
      <w:pPr>
        <w:pStyle w:val="ListParagraph"/>
        <w:numPr>
          <w:ilvl w:val="0"/>
          <w:numId w:val="2"/>
        </w:numPr>
        <w:spacing w:before="30" w:after="30" w:line="264" w:lineRule="auto"/>
        <w:jc w:val="both"/>
      </w:pPr>
      <w:r w:rsidRPr="00771557">
        <w:rPr>
          <w:sz w:val="20"/>
          <w:szCs w:val="20"/>
        </w:rPr>
        <w:t xml:space="preserve">Glaser, B., Lehmann, J., &amp; </w:t>
      </w:r>
      <w:proofErr w:type="spellStart"/>
      <w:r w:rsidRPr="00771557">
        <w:rPr>
          <w:sz w:val="20"/>
          <w:szCs w:val="20"/>
        </w:rPr>
        <w:t>Zech</w:t>
      </w:r>
      <w:proofErr w:type="spellEnd"/>
      <w:r w:rsidRPr="00771557">
        <w:rPr>
          <w:sz w:val="20"/>
          <w:szCs w:val="20"/>
        </w:rPr>
        <w:t>, W. (2001). Ameliorating physical and chemical properties of highly weathered soils in the tropics with charcoal – A review. Biology and Fertility of Soils, 35, 219–230. https://doi.org/10.1007/s003740100suggestion</w:t>
      </w:r>
    </w:p>
    <w:p w:rsidR="00A02438" w:rsidRDefault="00712022" w:rsidP="00771557">
      <w:pPr>
        <w:pStyle w:val="ListParagraph"/>
        <w:numPr>
          <w:ilvl w:val="0"/>
          <w:numId w:val="2"/>
        </w:numPr>
        <w:spacing w:before="30" w:after="30" w:line="264" w:lineRule="auto"/>
        <w:jc w:val="both"/>
      </w:pPr>
      <w:r w:rsidRPr="00771557">
        <w:rPr>
          <w:sz w:val="20"/>
          <w:szCs w:val="20"/>
        </w:rPr>
        <w:t>IPBES. (2018). The IPBES Assessment Report on Land Degradation and Restoration. Secretariat of the Intergovernmental Science-Policy Platform on Biodiversity and Ecosystem Services, Bonn, Germany.</w:t>
      </w:r>
    </w:p>
    <w:p w:rsidR="00A02438" w:rsidRPr="00771557" w:rsidRDefault="00712022" w:rsidP="00771557">
      <w:pPr>
        <w:pStyle w:val="ListParagraph"/>
        <w:numPr>
          <w:ilvl w:val="0"/>
          <w:numId w:val="2"/>
        </w:numPr>
        <w:spacing w:before="30" w:after="30" w:line="264" w:lineRule="auto"/>
        <w:jc w:val="both"/>
        <w:rPr>
          <w:sz w:val="20"/>
          <w:szCs w:val="20"/>
        </w:rPr>
      </w:pPr>
      <w:r w:rsidRPr="00771557">
        <w:rPr>
          <w:sz w:val="20"/>
          <w:szCs w:val="20"/>
        </w:rPr>
        <w:t xml:space="preserve">Jeffery, S., Verheijen, F. G. A., van der Velde, M., &amp; Bastos, A. C. (2011). A quantitative review of the effects of biochar application to soils on crop productivity using meta-analysis. Agriculture, Ecosystems &amp; Environment, 144(1), 175–187. </w:t>
      </w:r>
      <w:hyperlink r:id="rId7" w:history="1">
        <w:r w:rsidR="00FC1548" w:rsidRPr="00771557">
          <w:rPr>
            <w:rStyle w:val="Hyperlink"/>
            <w:sz w:val="20"/>
            <w:szCs w:val="20"/>
          </w:rPr>
          <w:t>https://doi.org/10.1016/j.agee.2011.08.015</w:t>
        </w:r>
      </w:hyperlink>
    </w:p>
    <w:p w:rsidR="00FC1548" w:rsidRDefault="00FC1548" w:rsidP="00771557">
      <w:pPr>
        <w:pStyle w:val="ListParagraph"/>
        <w:numPr>
          <w:ilvl w:val="0"/>
          <w:numId w:val="2"/>
        </w:numPr>
        <w:spacing w:before="30" w:after="30" w:line="264" w:lineRule="auto"/>
        <w:jc w:val="both"/>
      </w:pPr>
      <w:proofErr w:type="spellStart"/>
      <w:r w:rsidRPr="00FC1548">
        <w:t>Jatoi</w:t>
      </w:r>
      <w:proofErr w:type="spellEnd"/>
      <w:r w:rsidRPr="00FC1548">
        <w:t xml:space="preserve">, A. S., Ahmed, J., Akhter, F., Sultan, S. H., </w:t>
      </w:r>
      <w:proofErr w:type="spellStart"/>
      <w:r w:rsidRPr="00FC1548">
        <w:t>Chandio</w:t>
      </w:r>
      <w:proofErr w:type="spellEnd"/>
      <w:r w:rsidRPr="00FC1548">
        <w:t xml:space="preserve">, G. S., Ahmed, S., ... &amp; </w:t>
      </w:r>
      <w:proofErr w:type="spellStart"/>
      <w:r w:rsidRPr="00FC1548">
        <w:t>Maitlo</w:t>
      </w:r>
      <w:proofErr w:type="spellEnd"/>
      <w:r w:rsidRPr="00FC1548">
        <w:t>, G. (2023). Recent advances and treatment of emerging contaminants through the bio-assisted method: a comprehensive review. Water, Air, &amp; Soil Pollution, 234(1), 49.</w:t>
      </w:r>
    </w:p>
    <w:p w:rsidR="00FC1548" w:rsidRDefault="00FC1548" w:rsidP="00771557">
      <w:pPr>
        <w:pStyle w:val="ListParagraph"/>
        <w:numPr>
          <w:ilvl w:val="0"/>
          <w:numId w:val="2"/>
        </w:numPr>
        <w:spacing w:before="30" w:after="30" w:line="264" w:lineRule="auto"/>
        <w:jc w:val="both"/>
      </w:pPr>
      <w:proofErr w:type="spellStart"/>
      <w:r w:rsidRPr="00FC1548">
        <w:t>Jianghai</w:t>
      </w:r>
      <w:proofErr w:type="spellEnd"/>
      <w:r w:rsidRPr="00FC1548">
        <w:t>, W. A. N. G., NGABA, M. J. Y., RENNENBERG, H., &amp; Bin, H. U. (2026). Biochar application affects respiration and concomitant biological activities in agricultural soils: A global meta-analysis. Pedosphere.</w:t>
      </w:r>
    </w:p>
    <w:p w:rsidR="00FC1548" w:rsidRDefault="00FC1548" w:rsidP="00771557">
      <w:pPr>
        <w:pStyle w:val="ListParagraph"/>
        <w:numPr>
          <w:ilvl w:val="0"/>
          <w:numId w:val="2"/>
        </w:numPr>
        <w:spacing w:before="30" w:after="30" w:line="264" w:lineRule="auto"/>
        <w:jc w:val="both"/>
      </w:pPr>
      <w:r w:rsidRPr="00FC1548">
        <w:t xml:space="preserve">Ko, S. C., Chen, W. H., &amp; </w:t>
      </w:r>
      <w:proofErr w:type="spellStart"/>
      <w:r w:rsidRPr="00FC1548">
        <w:t>Ubando</w:t>
      </w:r>
      <w:proofErr w:type="spellEnd"/>
      <w:r w:rsidRPr="00FC1548">
        <w:t>, A. T. (2026). A comprehensive review of the life cycle assessment of microalgal biochar applications. Fuel, 419, 138868.</w:t>
      </w:r>
    </w:p>
    <w:p w:rsidR="00A02438" w:rsidRDefault="00712022" w:rsidP="00771557">
      <w:pPr>
        <w:pStyle w:val="ListParagraph"/>
        <w:numPr>
          <w:ilvl w:val="0"/>
          <w:numId w:val="2"/>
        </w:numPr>
        <w:spacing w:before="30" w:after="30" w:line="264" w:lineRule="auto"/>
        <w:jc w:val="both"/>
      </w:pPr>
      <w:r w:rsidRPr="00771557">
        <w:rPr>
          <w:sz w:val="20"/>
          <w:szCs w:val="20"/>
        </w:rPr>
        <w:lastRenderedPageBreak/>
        <w:t>Lehmann, J., &amp; Joseph, S. (Eds.). (2015). Biochar for Environmental Management: Science, Technology and Implementation (2nd ed.). Routledge.</w:t>
      </w:r>
    </w:p>
    <w:p w:rsidR="00A02438" w:rsidRDefault="00712022" w:rsidP="00771557">
      <w:pPr>
        <w:pStyle w:val="ListParagraph"/>
        <w:numPr>
          <w:ilvl w:val="0"/>
          <w:numId w:val="2"/>
        </w:numPr>
        <w:spacing w:before="30" w:after="30" w:line="264" w:lineRule="auto"/>
        <w:jc w:val="both"/>
      </w:pPr>
      <w:r w:rsidRPr="00771557">
        <w:rPr>
          <w:sz w:val="20"/>
          <w:szCs w:val="20"/>
        </w:rPr>
        <w:t xml:space="preserve">Lehmann, J., </w:t>
      </w:r>
      <w:proofErr w:type="spellStart"/>
      <w:r w:rsidRPr="00771557">
        <w:rPr>
          <w:sz w:val="20"/>
          <w:szCs w:val="20"/>
        </w:rPr>
        <w:t>Rillig</w:t>
      </w:r>
      <w:proofErr w:type="spellEnd"/>
      <w:r w:rsidRPr="00771557">
        <w:rPr>
          <w:sz w:val="20"/>
          <w:szCs w:val="20"/>
        </w:rPr>
        <w:t xml:space="preserve">, M. C., </w:t>
      </w:r>
      <w:proofErr w:type="spellStart"/>
      <w:r w:rsidRPr="00771557">
        <w:rPr>
          <w:sz w:val="20"/>
          <w:szCs w:val="20"/>
        </w:rPr>
        <w:t>Thies</w:t>
      </w:r>
      <w:proofErr w:type="spellEnd"/>
      <w:r w:rsidRPr="00771557">
        <w:rPr>
          <w:sz w:val="20"/>
          <w:szCs w:val="20"/>
        </w:rPr>
        <w:t xml:space="preserve">, J., </w:t>
      </w:r>
      <w:proofErr w:type="spellStart"/>
      <w:r w:rsidRPr="00771557">
        <w:rPr>
          <w:sz w:val="20"/>
          <w:szCs w:val="20"/>
        </w:rPr>
        <w:t>Masiello</w:t>
      </w:r>
      <w:proofErr w:type="spellEnd"/>
      <w:r w:rsidRPr="00771557">
        <w:rPr>
          <w:sz w:val="20"/>
          <w:szCs w:val="20"/>
        </w:rPr>
        <w:t>, C. A., Hockaday, W. C., &amp; Crowley, D. (2011). Biochar effects on soil biota – A review. Soil Biology and Biochemistry, 43(9), 1812–1836. https://doi.org/10.1016/j.soilbio.2011.04.022</w:t>
      </w:r>
    </w:p>
    <w:p w:rsidR="00A02438" w:rsidRDefault="00712022" w:rsidP="00771557">
      <w:pPr>
        <w:pStyle w:val="ListParagraph"/>
        <w:numPr>
          <w:ilvl w:val="0"/>
          <w:numId w:val="2"/>
        </w:numPr>
        <w:spacing w:before="30" w:after="30" w:line="264" w:lineRule="auto"/>
        <w:jc w:val="both"/>
      </w:pPr>
      <w:r w:rsidRPr="00771557">
        <w:rPr>
          <w:sz w:val="20"/>
          <w:szCs w:val="20"/>
        </w:rPr>
        <w:t xml:space="preserve">Liu, X., Zhang, A., Ji, C., Joseph, S., </w:t>
      </w:r>
      <w:proofErr w:type="spellStart"/>
      <w:r w:rsidRPr="00771557">
        <w:rPr>
          <w:sz w:val="20"/>
          <w:szCs w:val="20"/>
        </w:rPr>
        <w:t>Bian</w:t>
      </w:r>
      <w:proofErr w:type="spellEnd"/>
      <w:r w:rsidRPr="00771557">
        <w:rPr>
          <w:sz w:val="20"/>
          <w:szCs w:val="20"/>
        </w:rPr>
        <w:t>, R., Li, L., ... &amp; Paz-</w:t>
      </w:r>
      <w:proofErr w:type="spellStart"/>
      <w:r w:rsidRPr="00771557">
        <w:rPr>
          <w:sz w:val="20"/>
          <w:szCs w:val="20"/>
        </w:rPr>
        <w:t>Ferreiro</w:t>
      </w:r>
      <w:proofErr w:type="spellEnd"/>
      <w:r w:rsidRPr="00771557">
        <w:rPr>
          <w:sz w:val="20"/>
          <w:szCs w:val="20"/>
        </w:rPr>
        <w:t>, J. (2013). Biochar's effect on crop productivity and the dependence on experimental conditions — A meta-analysis of literature data. Plant and Soil, 373(1), 583–594. https://doi.org/10.1007/s11104-013-1806-x</w:t>
      </w:r>
    </w:p>
    <w:p w:rsidR="00A02438" w:rsidRDefault="00712022" w:rsidP="00771557">
      <w:pPr>
        <w:pStyle w:val="ListParagraph"/>
        <w:numPr>
          <w:ilvl w:val="0"/>
          <w:numId w:val="2"/>
        </w:numPr>
        <w:spacing w:before="30" w:after="30" w:line="264" w:lineRule="auto"/>
        <w:jc w:val="both"/>
      </w:pPr>
      <w:r w:rsidRPr="00771557">
        <w:rPr>
          <w:sz w:val="20"/>
          <w:szCs w:val="20"/>
        </w:rPr>
        <w:t xml:space="preserve">Liu, Z., Xu, Z., Xu, L., </w:t>
      </w:r>
      <w:proofErr w:type="spellStart"/>
      <w:r w:rsidRPr="00771557">
        <w:rPr>
          <w:sz w:val="20"/>
          <w:szCs w:val="20"/>
        </w:rPr>
        <w:t>Buyong</w:t>
      </w:r>
      <w:proofErr w:type="spellEnd"/>
      <w:r w:rsidRPr="00771557">
        <w:rPr>
          <w:sz w:val="20"/>
          <w:szCs w:val="20"/>
        </w:rPr>
        <w:t xml:space="preserve">, F., </w:t>
      </w:r>
      <w:proofErr w:type="spellStart"/>
      <w:r w:rsidRPr="00771557">
        <w:rPr>
          <w:sz w:val="20"/>
          <w:szCs w:val="20"/>
        </w:rPr>
        <w:t>Chay</w:t>
      </w:r>
      <w:proofErr w:type="spellEnd"/>
      <w:r w:rsidRPr="00771557">
        <w:rPr>
          <w:sz w:val="20"/>
          <w:szCs w:val="20"/>
        </w:rPr>
        <w:t>, T. C., Li, Z., ... &amp; Qian, Q. (2022). Modified biochar: Synthesis and mechanism for removal of environmental contaminants. Critical Reviews in Environmental Science and Technology, 52(1), 1–38.</w:t>
      </w:r>
    </w:p>
    <w:p w:rsidR="00A02438" w:rsidRDefault="00712022" w:rsidP="00771557">
      <w:pPr>
        <w:pStyle w:val="ListParagraph"/>
        <w:numPr>
          <w:ilvl w:val="0"/>
          <w:numId w:val="2"/>
        </w:numPr>
        <w:spacing w:before="30" w:after="30" w:line="264" w:lineRule="auto"/>
        <w:jc w:val="both"/>
      </w:pPr>
      <w:r w:rsidRPr="00771557">
        <w:rPr>
          <w:sz w:val="20"/>
          <w:szCs w:val="20"/>
        </w:rPr>
        <w:t>Mukherjee, A., &amp; Lal, R. (2013). Biochar impacts on soil physical properties and greenhouse gas emissions. Agronomy, 3(2), 313–339. https://doi.org/10.3390/agronomy3020313</w:t>
      </w:r>
    </w:p>
    <w:p w:rsidR="00A02438" w:rsidRDefault="00712022" w:rsidP="00771557">
      <w:pPr>
        <w:pStyle w:val="ListParagraph"/>
        <w:numPr>
          <w:ilvl w:val="0"/>
          <w:numId w:val="2"/>
        </w:numPr>
        <w:spacing w:before="30" w:after="30" w:line="264" w:lineRule="auto"/>
        <w:jc w:val="both"/>
      </w:pPr>
      <w:proofErr w:type="spellStart"/>
      <w:r w:rsidRPr="00771557">
        <w:rPr>
          <w:sz w:val="20"/>
          <w:szCs w:val="20"/>
        </w:rPr>
        <w:t>Rondon</w:t>
      </w:r>
      <w:proofErr w:type="spellEnd"/>
      <w:r w:rsidRPr="00771557">
        <w:rPr>
          <w:sz w:val="20"/>
          <w:szCs w:val="20"/>
        </w:rPr>
        <w:t>, M. A., Lehmann, J., Ramírez, J., &amp; Hurtado, M. (2007). Biological nitrogen fixation by common beans (Phaseolus vulgaris L.) increases with bio-char additions. Biology and Fertility of Soils, 43, 699–708. https://doi.org/10.1007/s00374-006-0152-z</w:t>
      </w:r>
    </w:p>
    <w:p w:rsidR="00A02438" w:rsidRPr="00771557" w:rsidRDefault="00712022" w:rsidP="00771557">
      <w:pPr>
        <w:pStyle w:val="ListParagraph"/>
        <w:numPr>
          <w:ilvl w:val="0"/>
          <w:numId w:val="2"/>
        </w:numPr>
        <w:spacing w:before="30" w:after="30" w:line="264" w:lineRule="auto"/>
        <w:jc w:val="both"/>
        <w:rPr>
          <w:sz w:val="20"/>
          <w:szCs w:val="20"/>
        </w:rPr>
      </w:pPr>
      <w:r w:rsidRPr="00771557">
        <w:rPr>
          <w:sz w:val="20"/>
          <w:szCs w:val="20"/>
        </w:rPr>
        <w:t xml:space="preserve">Singh, B. P., Cowie, A. L., &amp; </w:t>
      </w:r>
      <w:proofErr w:type="spellStart"/>
      <w:r w:rsidRPr="00771557">
        <w:rPr>
          <w:sz w:val="20"/>
          <w:szCs w:val="20"/>
        </w:rPr>
        <w:t>Smernik</w:t>
      </w:r>
      <w:proofErr w:type="spellEnd"/>
      <w:r w:rsidRPr="00771557">
        <w:rPr>
          <w:sz w:val="20"/>
          <w:szCs w:val="20"/>
        </w:rPr>
        <w:t xml:space="preserve">, R. J. (2012). Biochar carbon stability in a clayey soil as a function of feedstock and pyrolysis temperature. Environmental Science &amp; Technology, 46(21), 11770–11778. </w:t>
      </w:r>
      <w:hyperlink r:id="rId8" w:history="1">
        <w:r w:rsidR="00FC1548" w:rsidRPr="00771557">
          <w:rPr>
            <w:rStyle w:val="Hyperlink"/>
            <w:sz w:val="20"/>
            <w:szCs w:val="20"/>
          </w:rPr>
          <w:t>https://doi.org/10.1021/es302545b</w:t>
        </w:r>
      </w:hyperlink>
    </w:p>
    <w:p w:rsidR="00FC1548" w:rsidRDefault="00FC1548" w:rsidP="00771557">
      <w:pPr>
        <w:pStyle w:val="ListParagraph"/>
        <w:numPr>
          <w:ilvl w:val="0"/>
          <w:numId w:val="2"/>
        </w:numPr>
        <w:spacing w:before="30" w:after="30" w:line="264" w:lineRule="auto"/>
        <w:jc w:val="both"/>
      </w:pPr>
      <w:r w:rsidRPr="00FC1548">
        <w:t xml:space="preserve">Siddique, M., Soomro, S. A., &amp; Aziz, S. (2024). Characterization and optimization of lignin extraction from lignocellulosic biomass via green </w:t>
      </w:r>
      <w:proofErr w:type="spellStart"/>
      <w:r w:rsidRPr="00FC1548">
        <w:t>nanocatalyst</w:t>
      </w:r>
      <w:proofErr w:type="spellEnd"/>
      <w:r w:rsidRPr="00FC1548">
        <w:t>. Biomass Conversion and Biorefinery, 14(22), 28523-28531.</w:t>
      </w:r>
    </w:p>
    <w:p w:rsidR="00FC1548" w:rsidRDefault="00FC1548" w:rsidP="00771557">
      <w:pPr>
        <w:pStyle w:val="ListParagraph"/>
        <w:numPr>
          <w:ilvl w:val="0"/>
          <w:numId w:val="2"/>
        </w:numPr>
        <w:spacing w:before="30" w:after="30" w:line="264" w:lineRule="auto"/>
        <w:jc w:val="both"/>
      </w:pPr>
      <w:r w:rsidRPr="00FC1548">
        <w:t>Siddique, M., Soomro, S. A., Aziz, S., Suri, S. U. K., &amp; Asif, M. (2024). Advancing lignin extraction recovery from natural lignocellulosic biomass into biochemicals. Pakistan Journal of Analytical &amp; Environmental Chemistry, 25(2), 255-262.</w:t>
      </w:r>
    </w:p>
    <w:p w:rsidR="00A02438" w:rsidRPr="00771557" w:rsidRDefault="00712022" w:rsidP="00771557">
      <w:pPr>
        <w:pStyle w:val="ListParagraph"/>
        <w:numPr>
          <w:ilvl w:val="0"/>
          <w:numId w:val="2"/>
        </w:numPr>
        <w:spacing w:before="30" w:after="30" w:line="264" w:lineRule="auto"/>
        <w:jc w:val="both"/>
        <w:rPr>
          <w:sz w:val="20"/>
          <w:szCs w:val="20"/>
        </w:rPr>
      </w:pPr>
      <w:r w:rsidRPr="00771557">
        <w:rPr>
          <w:sz w:val="20"/>
          <w:szCs w:val="20"/>
        </w:rPr>
        <w:t xml:space="preserve">Woolf, D., </w:t>
      </w:r>
      <w:proofErr w:type="spellStart"/>
      <w:r w:rsidRPr="00771557">
        <w:rPr>
          <w:sz w:val="20"/>
          <w:szCs w:val="20"/>
        </w:rPr>
        <w:t>Amonette</w:t>
      </w:r>
      <w:proofErr w:type="spellEnd"/>
      <w:r w:rsidRPr="00771557">
        <w:rPr>
          <w:sz w:val="20"/>
          <w:szCs w:val="20"/>
        </w:rPr>
        <w:t xml:space="preserve">, J. E., Street-Perrott, F. A., Lehmann, J., &amp; Joseph, S. (2010). Sustainable biochar to mitigate global climate change. Nature Communications, 1, 56. </w:t>
      </w:r>
      <w:hyperlink r:id="rId9" w:history="1">
        <w:r w:rsidR="00FC1548" w:rsidRPr="00771557">
          <w:rPr>
            <w:rStyle w:val="Hyperlink"/>
            <w:sz w:val="20"/>
            <w:szCs w:val="20"/>
          </w:rPr>
          <w:t>https://doi.org/10.1038/ncomms1053</w:t>
        </w:r>
      </w:hyperlink>
    </w:p>
    <w:p w:rsidR="00FC1548" w:rsidRPr="00771557" w:rsidRDefault="00FC1548" w:rsidP="00771557">
      <w:pPr>
        <w:pStyle w:val="ListParagraph"/>
        <w:numPr>
          <w:ilvl w:val="0"/>
          <w:numId w:val="2"/>
        </w:numPr>
        <w:spacing w:before="30" w:after="30" w:line="264" w:lineRule="auto"/>
        <w:jc w:val="both"/>
        <w:rPr>
          <w:sz w:val="20"/>
          <w:szCs w:val="20"/>
        </w:rPr>
      </w:pPr>
      <w:r w:rsidRPr="00771557">
        <w:rPr>
          <w:sz w:val="20"/>
          <w:szCs w:val="20"/>
        </w:rPr>
        <w:t>Zada, A., &amp; Azizi, S. (2026). Cutting edge advancements in biochar applications: bridging environmental remediation through adsorption and photocatalysis. RSC advances, 16(2), 1722-1756.</w:t>
      </w:r>
    </w:p>
    <w:bookmarkEnd w:id="0"/>
    <w:p w:rsidR="00A02438" w:rsidRDefault="00A02438">
      <w:pPr>
        <w:pBdr>
          <w:bottom w:val="single" w:sz="6" w:space="1" w:color="AAAAAA"/>
        </w:pBdr>
        <w:spacing w:before="40" w:after="40"/>
      </w:pPr>
    </w:p>
    <w:p w:rsidR="00A02438" w:rsidRDefault="00A02438">
      <w:pPr>
        <w:spacing w:before="60" w:after="40"/>
        <w:jc w:val="both"/>
      </w:pPr>
    </w:p>
    <w:sectPr w:rsidR="00A02438">
      <w:headerReference w:type="default" r:id="rId10"/>
      <w:footerReference w:type="default" r:id="rId11"/>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6DB" w:rsidRDefault="003076DB">
      <w:r>
        <w:separator/>
      </w:r>
    </w:p>
  </w:endnote>
  <w:endnote w:type="continuationSeparator" w:id="0">
    <w:p w:rsidR="003076DB" w:rsidRDefault="0030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438" w:rsidRDefault="00A02438">
    <w:pPr>
      <w:pBdr>
        <w:top w:val="single" w:sz="4" w:space="1" w:color="2E75B6"/>
      </w:pBdr>
      <w:tabs>
        <w:tab w:val="right" w:pos="9360"/>
      </w:tabs>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6DB" w:rsidRDefault="003076DB">
      <w:r>
        <w:separator/>
      </w:r>
    </w:p>
  </w:footnote>
  <w:footnote w:type="continuationSeparator" w:id="0">
    <w:p w:rsidR="003076DB" w:rsidRDefault="0030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438" w:rsidRDefault="00A02438">
    <w:pPr>
      <w:spacing w:after="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07D68"/>
    <w:multiLevelType w:val="hybridMultilevel"/>
    <w:tmpl w:val="9E1ACBC0"/>
    <w:lvl w:ilvl="0" w:tplc="FCB2EBA8">
      <w:start w:val="1"/>
      <w:numFmt w:val="bullet"/>
      <w:lvlText w:val="●"/>
      <w:lvlJc w:val="left"/>
      <w:pPr>
        <w:ind w:left="720" w:hanging="360"/>
      </w:pPr>
    </w:lvl>
    <w:lvl w:ilvl="1" w:tplc="479A430A">
      <w:start w:val="1"/>
      <w:numFmt w:val="bullet"/>
      <w:lvlText w:val="○"/>
      <w:lvlJc w:val="left"/>
      <w:pPr>
        <w:ind w:left="1440" w:hanging="360"/>
      </w:pPr>
    </w:lvl>
    <w:lvl w:ilvl="2" w:tplc="53A8CA08">
      <w:start w:val="1"/>
      <w:numFmt w:val="bullet"/>
      <w:lvlText w:val="■"/>
      <w:lvlJc w:val="left"/>
      <w:pPr>
        <w:ind w:left="2160" w:hanging="360"/>
      </w:pPr>
    </w:lvl>
    <w:lvl w:ilvl="3" w:tplc="150832D0">
      <w:start w:val="1"/>
      <w:numFmt w:val="bullet"/>
      <w:lvlText w:val="●"/>
      <w:lvlJc w:val="left"/>
      <w:pPr>
        <w:ind w:left="2880" w:hanging="360"/>
      </w:pPr>
    </w:lvl>
    <w:lvl w:ilvl="4" w:tplc="D97865BE">
      <w:start w:val="1"/>
      <w:numFmt w:val="bullet"/>
      <w:lvlText w:val="○"/>
      <w:lvlJc w:val="left"/>
      <w:pPr>
        <w:ind w:left="3600" w:hanging="360"/>
      </w:pPr>
    </w:lvl>
    <w:lvl w:ilvl="5" w:tplc="B94ADA12">
      <w:start w:val="1"/>
      <w:numFmt w:val="bullet"/>
      <w:lvlText w:val="■"/>
      <w:lvlJc w:val="left"/>
      <w:pPr>
        <w:ind w:left="4320" w:hanging="360"/>
      </w:pPr>
    </w:lvl>
    <w:lvl w:ilvl="6" w:tplc="81F4E262">
      <w:start w:val="1"/>
      <w:numFmt w:val="bullet"/>
      <w:lvlText w:val="●"/>
      <w:lvlJc w:val="left"/>
      <w:pPr>
        <w:ind w:left="5040" w:hanging="360"/>
      </w:pPr>
    </w:lvl>
    <w:lvl w:ilvl="7" w:tplc="4420F292">
      <w:start w:val="1"/>
      <w:numFmt w:val="bullet"/>
      <w:lvlText w:val="●"/>
      <w:lvlJc w:val="left"/>
      <w:pPr>
        <w:ind w:left="5760" w:hanging="360"/>
      </w:pPr>
    </w:lvl>
    <w:lvl w:ilvl="8" w:tplc="68DE7A96">
      <w:start w:val="1"/>
      <w:numFmt w:val="bullet"/>
      <w:lvlText w:val="●"/>
      <w:lvlJc w:val="left"/>
      <w:pPr>
        <w:ind w:left="6480" w:hanging="360"/>
      </w:pPr>
    </w:lvl>
  </w:abstractNum>
  <w:abstractNum w:abstractNumId="1" w15:restartNumberingAfterBreak="0">
    <w:nsid w:val="52901DDE"/>
    <w:multiLevelType w:val="hybridMultilevel"/>
    <w:tmpl w:val="E7066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38"/>
    <w:rsid w:val="00064C87"/>
    <w:rsid w:val="00132D2F"/>
    <w:rsid w:val="001D39C1"/>
    <w:rsid w:val="003076DB"/>
    <w:rsid w:val="005019C7"/>
    <w:rsid w:val="00532991"/>
    <w:rsid w:val="00597C83"/>
    <w:rsid w:val="00712022"/>
    <w:rsid w:val="00771557"/>
    <w:rsid w:val="00A02438"/>
    <w:rsid w:val="00A41B0D"/>
    <w:rsid w:val="00FC1548"/>
    <w:rsid w:val="00FE23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4F7E3-5054-4A77-9C1E-6A324E76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4C87"/>
    <w:pPr>
      <w:tabs>
        <w:tab w:val="center" w:pos="4513"/>
        <w:tab w:val="right" w:pos="9026"/>
      </w:tabs>
    </w:pPr>
  </w:style>
  <w:style w:type="character" w:customStyle="1" w:styleId="HeaderChar">
    <w:name w:val="Header Char"/>
    <w:basedOn w:val="DefaultParagraphFont"/>
    <w:link w:val="Header"/>
    <w:uiPriority w:val="99"/>
    <w:rsid w:val="00064C87"/>
  </w:style>
  <w:style w:type="paragraph" w:styleId="Footer">
    <w:name w:val="footer"/>
    <w:basedOn w:val="Normal"/>
    <w:link w:val="FooterChar"/>
    <w:uiPriority w:val="99"/>
    <w:unhideWhenUsed/>
    <w:rsid w:val="00064C87"/>
    <w:pPr>
      <w:tabs>
        <w:tab w:val="center" w:pos="4513"/>
        <w:tab w:val="right" w:pos="9026"/>
      </w:tabs>
    </w:pPr>
  </w:style>
  <w:style w:type="character" w:customStyle="1" w:styleId="FooterChar">
    <w:name w:val="Footer Char"/>
    <w:basedOn w:val="DefaultParagraphFont"/>
    <w:link w:val="Footer"/>
    <w:uiPriority w:val="99"/>
    <w:rsid w:val="0006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802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es302545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agee.2011.08.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8/ncomms1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1186</cp:lastModifiedBy>
  <cp:revision>5</cp:revision>
  <dcterms:created xsi:type="dcterms:W3CDTF">2026-03-20T05:12:00Z</dcterms:created>
  <dcterms:modified xsi:type="dcterms:W3CDTF">2026-03-20T05:43:00Z</dcterms:modified>
</cp:coreProperties>
</file>