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4E0C0" w14:textId="77777777" w:rsidR="00772DFC" w:rsidRDefault="00772DFC">
      <w:pPr>
        <w:spacing w:after="120"/>
        <w:jc w:val="center"/>
        <w:rPr>
          <w:rFonts w:ascii="Arial" w:eastAsia="Arial" w:hAnsi="Arial" w:cs="Arial"/>
          <w:b/>
          <w:bCs/>
          <w:sz w:val="24"/>
          <w:szCs w:val="24"/>
        </w:rPr>
      </w:pPr>
      <w:r w:rsidRPr="00772DFC">
        <w:rPr>
          <w:rFonts w:ascii="Arial" w:eastAsia="Arial" w:hAnsi="Arial" w:cs="Arial"/>
          <w:b/>
          <w:bCs/>
          <w:sz w:val="24"/>
          <w:szCs w:val="24"/>
        </w:rPr>
        <w:t>short communication</w:t>
      </w:r>
    </w:p>
    <w:p w14:paraId="2F64101C" w14:textId="0122A5F2" w:rsidR="00F5390F" w:rsidRDefault="00EF0F69">
      <w:pPr>
        <w:spacing w:after="120"/>
        <w:jc w:val="center"/>
        <w:rPr>
          <w:rFonts w:ascii="Arial" w:eastAsia="Arial" w:hAnsi="Arial" w:cs="Arial"/>
          <w:sz w:val="24"/>
          <w:szCs w:val="24"/>
        </w:rPr>
      </w:pPr>
      <w:r>
        <w:rPr>
          <w:rFonts w:ascii="Arial" w:eastAsia="Arial" w:hAnsi="Arial" w:cs="Arial"/>
          <w:b/>
          <w:bCs/>
          <w:sz w:val="24"/>
          <w:szCs w:val="24"/>
        </w:rPr>
        <w:t>ANTIMICROBIAL EFFICACY OF SILVER NANOPARTICLES (</w:t>
      </w:r>
      <w:proofErr w:type="spellStart"/>
      <w:r>
        <w:rPr>
          <w:rFonts w:ascii="Arial" w:eastAsia="Arial" w:hAnsi="Arial" w:cs="Arial"/>
          <w:b/>
          <w:bCs/>
          <w:sz w:val="24"/>
          <w:szCs w:val="24"/>
        </w:rPr>
        <w:t>AgNPs</w:t>
      </w:r>
      <w:proofErr w:type="spellEnd"/>
      <w:r>
        <w:rPr>
          <w:rFonts w:ascii="Arial" w:eastAsia="Arial" w:hAnsi="Arial" w:cs="Arial"/>
          <w:b/>
          <w:bCs/>
          <w:sz w:val="24"/>
          <w:szCs w:val="24"/>
        </w:rPr>
        <w:t>) IN COMBINATION WITH HAND SANITIZER AGAINST FOODBORNE AND SPOILAGE BACTERIA</w:t>
      </w:r>
    </w:p>
    <w:p w14:paraId="28CD3C76" w14:textId="77777777" w:rsidR="002542D0" w:rsidRDefault="002542D0">
      <w:pPr>
        <w:spacing w:before="120" w:after="80"/>
        <w:rPr>
          <w:rFonts w:ascii="Arial" w:eastAsia="Arial" w:hAnsi="Arial" w:cs="Arial"/>
          <w:b/>
          <w:bCs/>
          <w:sz w:val="22"/>
          <w:szCs w:val="22"/>
        </w:rPr>
      </w:pPr>
    </w:p>
    <w:p w14:paraId="4BD4A3FC" w14:textId="77777777" w:rsidR="002542D0" w:rsidRDefault="002542D0">
      <w:pPr>
        <w:spacing w:before="120" w:after="80"/>
        <w:rPr>
          <w:rFonts w:ascii="Arial" w:eastAsia="Arial" w:hAnsi="Arial" w:cs="Arial"/>
          <w:b/>
          <w:bCs/>
          <w:sz w:val="22"/>
          <w:szCs w:val="22"/>
        </w:rPr>
      </w:pPr>
    </w:p>
    <w:p w14:paraId="58559B9A" w14:textId="649539BB" w:rsidR="00F5390F" w:rsidRDefault="00EF0F69">
      <w:pPr>
        <w:spacing w:before="120" w:after="80"/>
        <w:rPr>
          <w:rFonts w:ascii="Arial" w:eastAsia="Arial" w:hAnsi="Arial" w:cs="Arial"/>
          <w:sz w:val="22"/>
          <w:szCs w:val="22"/>
        </w:rPr>
      </w:pPr>
      <w:r>
        <w:rPr>
          <w:rFonts w:ascii="Arial" w:eastAsia="Arial" w:hAnsi="Arial" w:cs="Arial"/>
          <w:b/>
          <w:bCs/>
          <w:sz w:val="22"/>
          <w:szCs w:val="22"/>
        </w:rPr>
        <w:t>ABSTRACT</w:t>
      </w:r>
    </w:p>
    <w:p w14:paraId="673F5608" w14:textId="77777777" w:rsidR="00F5390F" w:rsidRDefault="00EF0F69">
      <w:pPr>
        <w:spacing w:after="80"/>
        <w:jc w:val="both"/>
        <w:rPr>
          <w:rFonts w:ascii="Arial" w:eastAsia="Arial" w:hAnsi="Arial" w:cs="Arial"/>
          <w:sz w:val="20"/>
          <w:szCs w:val="20"/>
        </w:rPr>
      </w:pPr>
      <w:r>
        <w:rPr>
          <w:rFonts w:ascii="Arial" w:eastAsia="Arial" w:hAnsi="Arial" w:cs="Arial"/>
          <w:sz w:val="20"/>
          <w:szCs w:val="20"/>
        </w:rPr>
        <w:t>Silver nanoparticles (</w:t>
      </w:r>
      <w:proofErr w:type="spellStart"/>
      <w:r>
        <w:rPr>
          <w:rFonts w:ascii="Arial" w:eastAsia="Arial" w:hAnsi="Arial" w:cs="Arial"/>
          <w:sz w:val="20"/>
          <w:szCs w:val="20"/>
        </w:rPr>
        <w:t>AgNPs</w:t>
      </w:r>
      <w:proofErr w:type="spellEnd"/>
      <w:r>
        <w:rPr>
          <w:rFonts w:ascii="Arial" w:eastAsia="Arial" w:hAnsi="Arial" w:cs="Arial"/>
          <w:sz w:val="20"/>
          <w:szCs w:val="20"/>
        </w:rPr>
        <w:t xml:space="preserve">) are recognized for their broad-spectrum antimicrobial properties against foodborne bacteria, including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This study investigated whether </w:t>
      </w:r>
      <w:proofErr w:type="spellStart"/>
      <w:r>
        <w:rPr>
          <w:rFonts w:ascii="Arial" w:eastAsia="Arial" w:hAnsi="Arial" w:cs="Arial"/>
          <w:sz w:val="20"/>
          <w:szCs w:val="20"/>
        </w:rPr>
        <w:t>AgNPs</w:t>
      </w:r>
      <w:proofErr w:type="spellEnd"/>
      <w:r>
        <w:rPr>
          <w:rFonts w:ascii="Arial" w:eastAsia="Arial" w:hAnsi="Arial" w:cs="Arial"/>
          <w:sz w:val="20"/>
          <w:szCs w:val="20"/>
        </w:rPr>
        <w:t xml:space="preserve"> at varying concentrations (0.10%, 0.25%, 0.50%) could enhance the antimicrobial efficacy of a diluted hand sanitizer (1%) against these three strains. Bacterial growth was monitored by optical density (OD</w:t>
      </w:r>
      <w:r>
        <w:rPr>
          <w:rFonts w:ascii="Arial" w:eastAsia="Arial" w:hAnsi="Arial" w:cs="Arial"/>
          <w:sz w:val="20"/>
          <w:szCs w:val="20"/>
          <w:vertAlign w:val="subscript"/>
        </w:rPr>
        <w:t>600</w:t>
      </w:r>
      <w:r>
        <w:rPr>
          <w:rFonts w:ascii="Arial" w:eastAsia="Arial" w:hAnsi="Arial" w:cs="Arial"/>
          <w:sz w:val="20"/>
          <w:szCs w:val="20"/>
        </w:rPr>
        <w:t xml:space="preserve">) at 2, 4, and 24 hours post-inoculation. UV-Visible spectroscopy confirmed </w:t>
      </w:r>
      <w:proofErr w:type="spellStart"/>
      <w:r>
        <w:rPr>
          <w:rFonts w:ascii="Arial" w:eastAsia="Arial" w:hAnsi="Arial" w:cs="Arial"/>
          <w:sz w:val="20"/>
          <w:szCs w:val="20"/>
        </w:rPr>
        <w:t>AgNP</w:t>
      </w:r>
      <w:proofErr w:type="spellEnd"/>
      <w:r>
        <w:rPr>
          <w:rFonts w:ascii="Arial" w:eastAsia="Arial" w:hAnsi="Arial" w:cs="Arial"/>
          <w:sz w:val="20"/>
          <w:szCs w:val="20"/>
        </w:rPr>
        <w:t xml:space="preserve"> synthesis (SPR peak at 430 nm). The optimum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was organism-dependent: 0.25% </w:t>
      </w:r>
      <w:proofErr w:type="spellStart"/>
      <w:r>
        <w:rPr>
          <w:rFonts w:ascii="Arial" w:eastAsia="Arial" w:hAnsi="Arial" w:cs="Arial"/>
          <w:sz w:val="20"/>
          <w:szCs w:val="20"/>
        </w:rPr>
        <w:t>AgNPs</w:t>
      </w:r>
      <w:proofErr w:type="spellEnd"/>
      <w:r>
        <w:rPr>
          <w:rFonts w:ascii="Arial" w:eastAsia="Arial" w:hAnsi="Arial" w:cs="Arial"/>
          <w:sz w:val="20"/>
          <w:szCs w:val="20"/>
        </w:rPr>
        <w:t xml:space="preserve"> with 1% sanitizer produced greatest inhibition of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at 4 hours, while 0.50% </w:t>
      </w:r>
      <w:proofErr w:type="spellStart"/>
      <w:r>
        <w:rPr>
          <w:rFonts w:ascii="Arial" w:eastAsia="Arial" w:hAnsi="Arial" w:cs="Arial"/>
          <w:sz w:val="20"/>
          <w:szCs w:val="20"/>
        </w:rPr>
        <w:t>AgNPs</w:t>
      </w:r>
      <w:proofErr w:type="spellEnd"/>
      <w:r>
        <w:rPr>
          <w:rFonts w:ascii="Arial" w:eastAsia="Arial" w:hAnsi="Arial" w:cs="Arial"/>
          <w:sz w:val="20"/>
          <w:szCs w:val="20"/>
        </w:rPr>
        <w:t xml:space="preserve"> showed superior and sustained inhibition of </w:t>
      </w:r>
      <w:r>
        <w:rPr>
          <w:rFonts w:ascii="Arial" w:eastAsia="Arial" w:hAnsi="Arial" w:cs="Arial"/>
          <w:i/>
          <w:iCs/>
          <w:sz w:val="20"/>
          <w:szCs w:val="20"/>
        </w:rPr>
        <w:t>S. aureus</w:t>
      </w:r>
      <w:r>
        <w:rPr>
          <w:rFonts w:ascii="Arial" w:eastAsia="Arial" w:hAnsi="Arial" w:cs="Arial"/>
          <w:sz w:val="20"/>
          <w:szCs w:val="20"/>
        </w:rPr>
        <w:t xml:space="preserve"> at 4 and 24 hours. These differences are attributed to cell wall architecture. </w:t>
      </w:r>
      <w:proofErr w:type="spellStart"/>
      <w:r>
        <w:rPr>
          <w:rFonts w:ascii="Arial" w:eastAsia="Arial" w:hAnsi="Arial" w:cs="Arial"/>
          <w:sz w:val="20"/>
          <w:szCs w:val="20"/>
        </w:rPr>
        <w:t>AgNP</w:t>
      </w:r>
      <w:proofErr w:type="spellEnd"/>
      <w:r>
        <w:rPr>
          <w:rFonts w:ascii="Arial" w:eastAsia="Arial" w:hAnsi="Arial" w:cs="Arial"/>
          <w:sz w:val="20"/>
          <w:szCs w:val="20"/>
        </w:rPr>
        <w:t>-enhanced sanitizers show potential for food safety applications, though cytotoxicity concerns require resolution before human use.</w:t>
      </w:r>
    </w:p>
    <w:p w14:paraId="03D4711D" w14:textId="77777777" w:rsidR="00F5390F" w:rsidRDefault="00EF0F69">
      <w:pPr>
        <w:spacing w:before="80" w:after="160"/>
        <w:rPr>
          <w:rFonts w:ascii="Arial" w:eastAsia="Arial" w:hAnsi="Arial" w:cs="Arial"/>
          <w:sz w:val="20"/>
          <w:szCs w:val="20"/>
        </w:rPr>
      </w:pPr>
      <w:r>
        <w:rPr>
          <w:rFonts w:ascii="Arial" w:eastAsia="Arial" w:hAnsi="Arial" w:cs="Arial"/>
          <w:b/>
          <w:bCs/>
          <w:sz w:val="20"/>
          <w:szCs w:val="20"/>
        </w:rPr>
        <w:t xml:space="preserve">Keywords: </w:t>
      </w:r>
      <w:r>
        <w:rPr>
          <w:rFonts w:ascii="Arial" w:eastAsia="Arial" w:hAnsi="Arial" w:cs="Arial"/>
          <w:sz w:val="20"/>
          <w:szCs w:val="20"/>
        </w:rPr>
        <w:t xml:space="preserve">silver nanoparticles, </w:t>
      </w:r>
      <w:proofErr w:type="spellStart"/>
      <w:r>
        <w:rPr>
          <w:rFonts w:ascii="Arial" w:eastAsia="Arial" w:hAnsi="Arial" w:cs="Arial"/>
          <w:sz w:val="20"/>
          <w:szCs w:val="20"/>
        </w:rPr>
        <w:t>AgNPs</w:t>
      </w:r>
      <w:proofErr w:type="spellEnd"/>
      <w:r>
        <w:rPr>
          <w:rFonts w:ascii="Arial" w:eastAsia="Arial" w:hAnsi="Arial" w:cs="Arial"/>
          <w:sz w:val="20"/>
          <w:szCs w:val="20"/>
        </w:rPr>
        <w:t xml:space="preserve">, antimicrobial activity, hand sanitizer, optical density,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w:t>
      </w:r>
      <w:r>
        <w:rPr>
          <w:rFonts w:ascii="Arial" w:eastAsia="Arial" w:hAnsi="Arial" w:cs="Arial"/>
          <w:i/>
          <w:iCs/>
          <w:sz w:val="20"/>
          <w:szCs w:val="20"/>
        </w:rPr>
        <w:t>B. subtilis</w:t>
      </w:r>
    </w:p>
    <w:p w14:paraId="080410D9" w14:textId="77777777" w:rsidR="00F5390F" w:rsidRDefault="00EF0F69">
      <w:pPr>
        <w:spacing w:before="160" w:after="80"/>
        <w:rPr>
          <w:rFonts w:ascii="Arial" w:eastAsia="Arial" w:hAnsi="Arial" w:cs="Arial"/>
          <w:sz w:val="22"/>
          <w:szCs w:val="22"/>
        </w:rPr>
      </w:pPr>
      <w:r>
        <w:rPr>
          <w:rFonts w:ascii="Arial" w:eastAsia="Arial" w:hAnsi="Arial" w:cs="Arial"/>
          <w:b/>
          <w:bCs/>
          <w:smallCaps/>
          <w:sz w:val="22"/>
          <w:szCs w:val="22"/>
        </w:rPr>
        <w:t>INTRODUCTION</w:t>
      </w:r>
    </w:p>
    <w:p w14:paraId="1F0707DC" w14:textId="77777777" w:rsidR="00F5390F" w:rsidRDefault="00EF0F69">
      <w:pPr>
        <w:spacing w:after="80"/>
        <w:jc w:val="both"/>
        <w:rPr>
          <w:rFonts w:ascii="Arial" w:eastAsia="Arial" w:hAnsi="Arial" w:cs="Arial"/>
          <w:sz w:val="20"/>
          <w:szCs w:val="20"/>
        </w:rPr>
      </w:pPr>
      <w:r>
        <w:rPr>
          <w:rFonts w:ascii="Arial" w:eastAsia="Arial" w:hAnsi="Arial" w:cs="Arial"/>
          <w:sz w:val="20"/>
          <w:szCs w:val="20"/>
        </w:rPr>
        <w:t>Silver nanoparticles (</w:t>
      </w:r>
      <w:proofErr w:type="spellStart"/>
      <w:r>
        <w:rPr>
          <w:rFonts w:ascii="Arial" w:eastAsia="Arial" w:hAnsi="Arial" w:cs="Arial"/>
          <w:sz w:val="20"/>
          <w:szCs w:val="20"/>
        </w:rPr>
        <w:t>AgNPs</w:t>
      </w:r>
      <w:proofErr w:type="spellEnd"/>
      <w:r>
        <w:rPr>
          <w:rFonts w:ascii="Arial" w:eastAsia="Arial" w:hAnsi="Arial" w:cs="Arial"/>
          <w:sz w:val="20"/>
          <w:szCs w:val="20"/>
        </w:rPr>
        <w:t xml:space="preserve">) have garnered considerable attention as potent antimicrobial agents due to their unique physicochemical properties and broad-spectrum activity against a wide range of microorganisms. Their effectiveness against bacteria, fungi, and viruses has been extensively reported, making them a promising candidate for incorporation into disinfectant and hygiene products (Rai et al., 2009). Hand sanitizers are widely used to reduce microbial contamination on skin surfaces. According to the </w:t>
      </w:r>
      <w:proofErr w:type="spellStart"/>
      <w:r>
        <w:rPr>
          <w:rFonts w:ascii="Arial" w:eastAsia="Arial" w:hAnsi="Arial" w:cs="Arial"/>
          <w:sz w:val="20"/>
          <w:szCs w:val="20"/>
        </w:rPr>
        <w:t>Centers</w:t>
      </w:r>
      <w:proofErr w:type="spellEnd"/>
      <w:r>
        <w:rPr>
          <w:rFonts w:ascii="Arial" w:eastAsia="Arial" w:hAnsi="Arial" w:cs="Arial"/>
          <w:sz w:val="20"/>
          <w:szCs w:val="20"/>
        </w:rPr>
        <w:t xml:space="preserve"> for Disease Control and Prevention (CDC), hand sanitizers containing 60–95% alcohol are most effective at inactivating microorganisms, whereas formulations containing less than 60% alcohol demonstrate reduced efficacy (CDC, 2024). A study testing 18 commercial hand sanitizers against five bacteria associated with hospital-acquired infections found that only four (22%) were effective against all bacteria tested, and just five (27%) significantly reduced bacterial load on hands, highlighting that most hand sanitizers may not reliably prevent infection without proper formulation (</w:t>
      </w:r>
      <w:proofErr w:type="spellStart"/>
      <w:r>
        <w:rPr>
          <w:rFonts w:ascii="Arial" w:eastAsia="Arial" w:hAnsi="Arial" w:cs="Arial"/>
          <w:sz w:val="20"/>
          <w:szCs w:val="20"/>
        </w:rPr>
        <w:t>Muleba</w:t>
      </w:r>
      <w:proofErr w:type="spellEnd"/>
      <w:r>
        <w:rPr>
          <w:rFonts w:ascii="Arial" w:eastAsia="Arial" w:hAnsi="Arial" w:cs="Arial"/>
          <w:sz w:val="20"/>
          <w:szCs w:val="20"/>
        </w:rPr>
        <w:t xml:space="preserve"> et al., 2022). </w:t>
      </w:r>
    </w:p>
    <w:p w14:paraId="6BC55125" w14:textId="77777777" w:rsidR="00F5390F" w:rsidRDefault="00EF0F69">
      <w:pPr>
        <w:spacing w:after="80"/>
        <w:jc w:val="both"/>
        <w:rPr>
          <w:rFonts w:ascii="Arial" w:eastAsia="Arial" w:hAnsi="Arial" w:cs="Arial"/>
          <w:sz w:val="20"/>
          <w:szCs w:val="20"/>
        </w:rPr>
      </w:pPr>
      <w:r>
        <w:rPr>
          <w:rFonts w:ascii="Arial" w:eastAsia="Arial" w:hAnsi="Arial" w:cs="Arial"/>
          <w:sz w:val="20"/>
          <w:szCs w:val="20"/>
        </w:rPr>
        <w:t xml:space="preserve">This research study investigated whether the incorporation of </w:t>
      </w:r>
      <w:proofErr w:type="spellStart"/>
      <w:r>
        <w:rPr>
          <w:rFonts w:ascii="Arial" w:eastAsia="Arial" w:hAnsi="Arial" w:cs="Arial"/>
          <w:sz w:val="20"/>
          <w:szCs w:val="20"/>
        </w:rPr>
        <w:t>AgNPs</w:t>
      </w:r>
      <w:proofErr w:type="spellEnd"/>
      <w:r>
        <w:rPr>
          <w:rFonts w:ascii="Arial" w:eastAsia="Arial" w:hAnsi="Arial" w:cs="Arial"/>
          <w:sz w:val="20"/>
          <w:szCs w:val="20"/>
        </w:rPr>
        <w:t xml:space="preserve"> at varying concentrations could enhance the antimicrobial efficacy of a commercially available hand sanitizer against three clinically and environmentally relevant bacterial strains: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w:t>
      </w:r>
    </w:p>
    <w:p w14:paraId="0BC6EA90" w14:textId="77777777" w:rsidR="00F5390F" w:rsidRDefault="00EF0F69">
      <w:pPr>
        <w:spacing w:after="80"/>
        <w:jc w:val="both"/>
        <w:rPr>
          <w:rFonts w:ascii="Arial" w:eastAsia="Arial" w:hAnsi="Arial" w:cs="Arial"/>
          <w:sz w:val="20"/>
          <w:szCs w:val="20"/>
        </w:rPr>
      </w:pPr>
      <w:r>
        <w:rPr>
          <w:rFonts w:ascii="Arial" w:eastAsia="Arial" w:hAnsi="Arial" w:cs="Arial"/>
          <w:i/>
          <w:iCs/>
          <w:sz w:val="20"/>
          <w:szCs w:val="20"/>
        </w:rPr>
        <w:t>Escherichia coli</w:t>
      </w:r>
      <w:r>
        <w:rPr>
          <w:rFonts w:ascii="Arial" w:eastAsia="Arial" w:hAnsi="Arial" w:cs="Arial"/>
          <w:sz w:val="20"/>
          <w:szCs w:val="20"/>
        </w:rPr>
        <w:t xml:space="preserve"> is a Gram-negative, rod-shaped, facultative anaerobic bacterium. Enterohemorrhagic </w:t>
      </w:r>
      <w:r>
        <w:rPr>
          <w:rFonts w:ascii="Arial" w:eastAsia="Arial" w:hAnsi="Arial" w:cs="Arial"/>
          <w:i/>
          <w:iCs/>
          <w:sz w:val="20"/>
          <w:szCs w:val="20"/>
        </w:rPr>
        <w:t>E. coli</w:t>
      </w:r>
      <w:r>
        <w:rPr>
          <w:rFonts w:ascii="Arial" w:eastAsia="Arial" w:hAnsi="Arial" w:cs="Arial"/>
          <w:sz w:val="20"/>
          <w:szCs w:val="20"/>
        </w:rPr>
        <w:t xml:space="preserve"> (EHEC), particularly serotype O157:H7, produces Shiga toxins and is a major cause of foodborne illness, leading to </w:t>
      </w:r>
      <w:proofErr w:type="spellStart"/>
      <w:r>
        <w:rPr>
          <w:rFonts w:ascii="Arial" w:eastAsia="Arial" w:hAnsi="Arial" w:cs="Arial"/>
          <w:sz w:val="20"/>
          <w:szCs w:val="20"/>
        </w:rPr>
        <w:t>hemorrhagic</w:t>
      </w:r>
      <w:proofErr w:type="spellEnd"/>
      <w:r>
        <w:rPr>
          <w:rFonts w:ascii="Arial" w:eastAsia="Arial" w:hAnsi="Arial" w:cs="Arial"/>
          <w:sz w:val="20"/>
          <w:szCs w:val="20"/>
        </w:rPr>
        <w:t xml:space="preserve"> colitis and </w:t>
      </w:r>
      <w:proofErr w:type="spellStart"/>
      <w:r>
        <w:rPr>
          <w:rFonts w:ascii="Arial" w:eastAsia="Arial" w:hAnsi="Arial" w:cs="Arial"/>
          <w:sz w:val="20"/>
          <w:szCs w:val="20"/>
        </w:rPr>
        <w:t>hemolytic</w:t>
      </w:r>
      <w:proofErr w:type="spellEnd"/>
      <w:r>
        <w:rPr>
          <w:rFonts w:ascii="Arial" w:eastAsia="Arial" w:hAnsi="Arial" w:cs="Arial"/>
          <w:sz w:val="20"/>
          <w:szCs w:val="20"/>
        </w:rPr>
        <w:t xml:space="preserve"> uremic syndrome (Lim et al., 2010). </w:t>
      </w:r>
      <w:r>
        <w:rPr>
          <w:rFonts w:ascii="Arial" w:eastAsia="Arial" w:hAnsi="Arial" w:cs="Arial"/>
          <w:i/>
          <w:iCs/>
          <w:sz w:val="20"/>
          <w:szCs w:val="20"/>
        </w:rPr>
        <w:t>Bacillus subtilis</w:t>
      </w:r>
      <w:r>
        <w:rPr>
          <w:rFonts w:ascii="Arial" w:eastAsia="Arial" w:hAnsi="Arial" w:cs="Arial"/>
          <w:sz w:val="20"/>
          <w:szCs w:val="20"/>
        </w:rPr>
        <w:t xml:space="preserve"> is a Gram-positive, aerobic, spore-forming bacterium with an optimal growth temperature of 30–35 °C. While generally regarded as safe, it has been implicated in cases of </w:t>
      </w:r>
      <w:proofErr w:type="spellStart"/>
      <w:r>
        <w:rPr>
          <w:rFonts w:ascii="Arial" w:eastAsia="Arial" w:hAnsi="Arial" w:cs="Arial"/>
          <w:sz w:val="20"/>
          <w:szCs w:val="20"/>
        </w:rPr>
        <w:t>bacteremia</w:t>
      </w:r>
      <w:proofErr w:type="spellEnd"/>
      <w:r>
        <w:rPr>
          <w:rFonts w:ascii="Arial" w:eastAsia="Arial" w:hAnsi="Arial" w:cs="Arial"/>
          <w:sz w:val="20"/>
          <w:szCs w:val="20"/>
        </w:rPr>
        <w:t xml:space="preserve"> (</w:t>
      </w:r>
      <w:proofErr w:type="spellStart"/>
      <w:r>
        <w:rPr>
          <w:rFonts w:ascii="Arial" w:eastAsia="Arial" w:hAnsi="Arial" w:cs="Arial"/>
          <w:sz w:val="20"/>
          <w:szCs w:val="20"/>
        </w:rPr>
        <w:t>Tokano</w:t>
      </w:r>
      <w:proofErr w:type="spellEnd"/>
      <w:r>
        <w:rPr>
          <w:rFonts w:ascii="Arial" w:eastAsia="Arial" w:hAnsi="Arial" w:cs="Arial"/>
          <w:sz w:val="20"/>
          <w:szCs w:val="20"/>
        </w:rPr>
        <w:t xml:space="preserve"> et al., 2023) and food spoilage, particularly of dairy desserts under temperature-abuse conditions (</w:t>
      </w:r>
      <w:proofErr w:type="spellStart"/>
      <w:r>
        <w:rPr>
          <w:rFonts w:ascii="Arial" w:eastAsia="Arial" w:hAnsi="Arial" w:cs="Arial"/>
          <w:sz w:val="20"/>
          <w:szCs w:val="20"/>
        </w:rPr>
        <w:t>Moschonas</w:t>
      </w:r>
      <w:proofErr w:type="spellEnd"/>
      <w:r>
        <w:rPr>
          <w:rFonts w:ascii="Arial" w:eastAsia="Arial" w:hAnsi="Arial" w:cs="Arial"/>
          <w:sz w:val="20"/>
          <w:szCs w:val="20"/>
        </w:rPr>
        <w:t xml:space="preserve"> et al., 2021). </w:t>
      </w:r>
      <w:r>
        <w:rPr>
          <w:rFonts w:ascii="Arial" w:eastAsia="Arial" w:hAnsi="Arial" w:cs="Arial"/>
          <w:i/>
          <w:iCs/>
          <w:sz w:val="20"/>
          <w:szCs w:val="20"/>
        </w:rPr>
        <w:t>Staphylococcus aureus</w:t>
      </w:r>
      <w:r>
        <w:rPr>
          <w:rFonts w:ascii="Arial" w:eastAsia="Arial" w:hAnsi="Arial" w:cs="Arial"/>
          <w:sz w:val="20"/>
          <w:szCs w:val="20"/>
        </w:rPr>
        <w:t xml:space="preserve"> is a Gram-positive, coagulase-positive coccus that colonizes skin and mucous membranes. Staphylococcal food-borne disease, caused by preformed enterotoxins, is a leading foodborne illness worldwide, with prevention relying on safe food handling and hygiene practices (Taylor et al., 2025).</w:t>
      </w:r>
    </w:p>
    <w:p w14:paraId="69213C00" w14:textId="77777777" w:rsidR="00F5390F" w:rsidRDefault="00EF0F69">
      <w:pPr>
        <w:spacing w:before="160" w:after="80"/>
        <w:rPr>
          <w:rFonts w:ascii="Arial" w:eastAsia="Arial" w:hAnsi="Arial" w:cs="Arial"/>
          <w:sz w:val="22"/>
          <w:szCs w:val="22"/>
        </w:rPr>
      </w:pPr>
      <w:r>
        <w:rPr>
          <w:rFonts w:ascii="Arial" w:eastAsia="Arial" w:hAnsi="Arial" w:cs="Arial"/>
          <w:b/>
          <w:bCs/>
          <w:smallCaps/>
          <w:sz w:val="22"/>
          <w:szCs w:val="22"/>
        </w:rPr>
        <w:t>RESULTS AND DISCUSSION</w:t>
      </w:r>
    </w:p>
    <w:p w14:paraId="3B07B3DA"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UV-Visible spectroscopic analysis of the chemically synthesized </w:t>
      </w:r>
      <w:proofErr w:type="spellStart"/>
      <w:r>
        <w:rPr>
          <w:rFonts w:ascii="Arial" w:eastAsia="Arial" w:hAnsi="Arial" w:cs="Arial"/>
          <w:sz w:val="20"/>
          <w:szCs w:val="20"/>
        </w:rPr>
        <w:t>AgNPs</w:t>
      </w:r>
      <w:proofErr w:type="spellEnd"/>
      <w:r>
        <w:rPr>
          <w:rFonts w:ascii="Arial" w:eastAsia="Arial" w:hAnsi="Arial" w:cs="Arial"/>
          <w:sz w:val="20"/>
          <w:szCs w:val="20"/>
        </w:rPr>
        <w:t xml:space="preserve"> revealed a characteristic absorption peak at 430 nm, confirming successful nanoparticle synthesis and stability. Sigma (industrially produced) </w:t>
      </w:r>
      <w:proofErr w:type="spellStart"/>
      <w:r>
        <w:rPr>
          <w:rFonts w:ascii="Arial" w:eastAsia="Arial" w:hAnsi="Arial" w:cs="Arial"/>
          <w:sz w:val="20"/>
          <w:szCs w:val="20"/>
        </w:rPr>
        <w:t>AgNPs</w:t>
      </w:r>
      <w:proofErr w:type="spellEnd"/>
      <w:r>
        <w:rPr>
          <w:rFonts w:ascii="Arial" w:eastAsia="Arial" w:hAnsi="Arial" w:cs="Arial"/>
          <w:sz w:val="20"/>
          <w:szCs w:val="20"/>
        </w:rPr>
        <w:t xml:space="preserve"> exhibited an absorption peak in the range of 400–450 nm, consistent with the surface plasmon resonance (SPR) properties of silver nanoparticles reported in the literature (</w:t>
      </w:r>
      <w:proofErr w:type="spellStart"/>
      <w:r>
        <w:rPr>
          <w:rFonts w:ascii="Arial" w:eastAsia="Arial" w:hAnsi="Arial" w:cs="Arial"/>
          <w:sz w:val="20"/>
          <w:szCs w:val="20"/>
        </w:rPr>
        <w:t>Choukade</w:t>
      </w:r>
      <w:proofErr w:type="spellEnd"/>
      <w:r>
        <w:rPr>
          <w:rFonts w:ascii="Arial" w:eastAsia="Arial" w:hAnsi="Arial" w:cs="Arial"/>
          <w:sz w:val="20"/>
          <w:szCs w:val="20"/>
        </w:rPr>
        <w:t xml:space="preserve"> et al., 2020).</w:t>
      </w:r>
    </w:p>
    <w:p w14:paraId="318B8298"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The average OD</w:t>
      </w:r>
      <w:r>
        <w:rPr>
          <w:rFonts w:ascii="Arial" w:eastAsia="Arial" w:hAnsi="Arial" w:cs="Arial"/>
          <w:sz w:val="20"/>
          <w:szCs w:val="20"/>
          <w:vertAlign w:val="subscript"/>
        </w:rPr>
        <w:t>600</w:t>
      </w:r>
      <w:r>
        <w:rPr>
          <w:rFonts w:ascii="Arial" w:eastAsia="Arial" w:hAnsi="Arial" w:cs="Arial"/>
          <w:sz w:val="20"/>
          <w:szCs w:val="20"/>
        </w:rPr>
        <w:t xml:space="preserve"> values recorded at 2, 4, and 24 hours for all three bacterial strains are presented in Table 1 (experimental conditions described in Table 1 footnote). The 4-hour time point represented the period of maximum divergence between treatment groups (Figure 2). The OD values reflect relative bacterial growth, with higher OD indicating greater cell density and lower OD indicating reduced growth or cell death.</w:t>
      </w:r>
    </w:p>
    <w:p w14:paraId="501DD73C"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The results reveal organism-dependent variation in the optimum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For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the combination of 1% sanitizer with 0.25% </w:t>
      </w:r>
      <w:proofErr w:type="spellStart"/>
      <w:r>
        <w:rPr>
          <w:rFonts w:ascii="Arial" w:eastAsia="Arial" w:hAnsi="Arial" w:cs="Arial"/>
          <w:sz w:val="20"/>
          <w:szCs w:val="20"/>
        </w:rPr>
        <w:t>AgNPs</w:t>
      </w:r>
      <w:proofErr w:type="spellEnd"/>
      <w:r>
        <w:rPr>
          <w:rFonts w:ascii="Arial" w:eastAsia="Arial" w:hAnsi="Arial" w:cs="Arial"/>
          <w:sz w:val="20"/>
          <w:szCs w:val="20"/>
        </w:rPr>
        <w:t xml:space="preserve"> produced the greatest reduction in OD values at 4 hours post-inoculation (OD</w:t>
      </w:r>
      <w:r>
        <w:rPr>
          <w:rFonts w:ascii="Arial" w:eastAsia="Arial" w:hAnsi="Arial" w:cs="Arial"/>
          <w:sz w:val="20"/>
          <w:szCs w:val="20"/>
          <w:vertAlign w:val="subscript"/>
        </w:rPr>
        <w:t>600</w:t>
      </w:r>
      <w:r>
        <w:rPr>
          <w:rFonts w:ascii="Arial" w:eastAsia="Arial" w:hAnsi="Arial" w:cs="Arial"/>
          <w:sz w:val="20"/>
          <w:szCs w:val="20"/>
        </w:rPr>
        <w:t xml:space="preserve"> = 0.504 and 0.520 respectively), suggesting that 0.25% represents the optimum </w:t>
      </w:r>
      <w:r>
        <w:rPr>
          <w:rFonts w:ascii="Arial" w:eastAsia="Arial" w:hAnsi="Arial" w:cs="Arial"/>
          <w:sz w:val="20"/>
          <w:szCs w:val="20"/>
        </w:rPr>
        <w:lastRenderedPageBreak/>
        <w:t xml:space="preserve">concentration for these strains. In contrast, </w:t>
      </w:r>
      <w:r>
        <w:rPr>
          <w:rFonts w:ascii="Arial" w:eastAsia="Arial" w:hAnsi="Arial" w:cs="Arial"/>
          <w:i/>
          <w:iCs/>
          <w:sz w:val="20"/>
          <w:szCs w:val="20"/>
        </w:rPr>
        <w:t>S. aureus</w:t>
      </w:r>
      <w:r>
        <w:rPr>
          <w:rFonts w:ascii="Arial" w:eastAsia="Arial" w:hAnsi="Arial" w:cs="Arial"/>
          <w:sz w:val="20"/>
          <w:szCs w:val="20"/>
        </w:rPr>
        <w:t xml:space="preserve"> exhibited a different response, with the 0.50% </w:t>
      </w:r>
      <w:proofErr w:type="spellStart"/>
      <w:r>
        <w:rPr>
          <w:rFonts w:ascii="Arial" w:eastAsia="Arial" w:hAnsi="Arial" w:cs="Arial"/>
          <w:sz w:val="20"/>
          <w:szCs w:val="20"/>
        </w:rPr>
        <w:t>AgNP</w:t>
      </w:r>
      <w:proofErr w:type="spellEnd"/>
      <w:r>
        <w:rPr>
          <w:rFonts w:ascii="Arial" w:eastAsia="Arial" w:hAnsi="Arial" w:cs="Arial"/>
          <w:sz w:val="20"/>
          <w:szCs w:val="20"/>
        </w:rPr>
        <w:t xml:space="preserve"> group recording a lower OD (1.608) than the 0.25% group (2.067) at 4 hours, and the lowest OD across all treatment groups (1.322) at 24 hours, indicating that 0.50% is more effective for this strain over prolonged exposure.</w:t>
      </w:r>
    </w:p>
    <w:p w14:paraId="23D706B8"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The reference control (RC) containing </w:t>
      </w:r>
      <w:proofErr w:type="spellStart"/>
      <w:r>
        <w:rPr>
          <w:rFonts w:ascii="Arial" w:eastAsia="Arial" w:hAnsi="Arial" w:cs="Arial"/>
          <w:sz w:val="20"/>
          <w:szCs w:val="20"/>
        </w:rPr>
        <w:t>AgNPs</w:t>
      </w:r>
      <w:proofErr w:type="spellEnd"/>
      <w:r>
        <w:rPr>
          <w:rFonts w:ascii="Arial" w:eastAsia="Arial" w:hAnsi="Arial" w:cs="Arial"/>
          <w:sz w:val="20"/>
          <w:szCs w:val="20"/>
        </w:rPr>
        <w:t xml:space="preserve"> without sanitizer also demonstrated a reduction in OD after 4 hours, further supporting the inherent antimicrobial activity of </w:t>
      </w:r>
      <w:proofErr w:type="spellStart"/>
      <w:r>
        <w:rPr>
          <w:rFonts w:ascii="Arial" w:eastAsia="Arial" w:hAnsi="Arial" w:cs="Arial"/>
          <w:sz w:val="20"/>
          <w:szCs w:val="20"/>
        </w:rPr>
        <w:t>AgNPs</w:t>
      </w:r>
      <w:proofErr w:type="spellEnd"/>
      <w:r>
        <w:rPr>
          <w:rFonts w:ascii="Arial" w:eastAsia="Arial" w:hAnsi="Arial" w:cs="Arial"/>
          <w:sz w:val="20"/>
          <w:szCs w:val="20"/>
        </w:rPr>
        <w:t xml:space="preserve"> independent of the sanitizer. The negative control (NC) showed the highest OD values at 4 hours across all strains, confirming uninhibited bacterial growth in the absence of any antimicrobial agent. The general decline in OD values at 24 hours across most groups, including the negative controls, is attributed to the transition into the stationary or decline phase of growth, nutrient depletion, or accumulation of metabolic waste products in the closed-tube environment (Gonzalez &amp; Aranda, 2023).</w:t>
      </w:r>
    </w:p>
    <w:p w14:paraId="0B29863B"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The organism-specific optimum concentrations can be explained by differences in cell wall architecture. Gram-negative bacteria such as </w:t>
      </w:r>
      <w:r>
        <w:rPr>
          <w:rFonts w:ascii="Arial" w:eastAsia="Arial" w:hAnsi="Arial" w:cs="Arial"/>
          <w:i/>
          <w:iCs/>
          <w:sz w:val="20"/>
          <w:szCs w:val="20"/>
        </w:rPr>
        <w:t>E. coli</w:t>
      </w:r>
      <w:r>
        <w:rPr>
          <w:rFonts w:ascii="Arial" w:eastAsia="Arial" w:hAnsi="Arial" w:cs="Arial"/>
          <w:sz w:val="20"/>
          <w:szCs w:val="20"/>
        </w:rPr>
        <w:t xml:space="preserve"> possess a thinner peptidoglycan layer (~3–4 nm) and an outer membrane containing lipopolysaccharides (LPS) that promote nanoparticle attachment through electrostatic interactions, resulting in increased inhibition even at lower concentrations (Pal et al., 2007). In contrast, Gram-positive bacteria have a much thicker peptidoglycan layer (~30 nm) that acts as a protective barrier (Shrivastava et al., 2007). This architectural difference likely explains why </w:t>
      </w:r>
      <w:r>
        <w:rPr>
          <w:rFonts w:ascii="Arial" w:eastAsia="Arial" w:hAnsi="Arial" w:cs="Arial"/>
          <w:i/>
          <w:iCs/>
          <w:sz w:val="20"/>
          <w:szCs w:val="20"/>
        </w:rPr>
        <w:t>S. aureus</w:t>
      </w:r>
      <w:r>
        <w:rPr>
          <w:rFonts w:ascii="Arial" w:eastAsia="Arial" w:hAnsi="Arial" w:cs="Arial"/>
          <w:sz w:val="20"/>
          <w:szCs w:val="20"/>
        </w:rPr>
        <w:t xml:space="preserve"> requires a higher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for equivalent antimicrobial effect.</w:t>
      </w:r>
    </w:p>
    <w:p w14:paraId="530F408D"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Once inside bacterial cells, </w:t>
      </w:r>
      <w:proofErr w:type="spellStart"/>
      <w:r>
        <w:rPr>
          <w:rFonts w:ascii="Arial" w:eastAsia="Arial" w:hAnsi="Arial" w:cs="Arial"/>
          <w:sz w:val="20"/>
          <w:szCs w:val="20"/>
        </w:rPr>
        <w:t>AgNPs</w:t>
      </w:r>
      <w:proofErr w:type="spellEnd"/>
      <w:r>
        <w:rPr>
          <w:rFonts w:ascii="Arial" w:eastAsia="Arial" w:hAnsi="Arial" w:cs="Arial"/>
          <w:sz w:val="20"/>
          <w:szCs w:val="20"/>
        </w:rPr>
        <w:t xml:space="preserve"> disrupt vital intracellular functions by interacting with enzymes and proteins, displacing essential metal ions such as zinc and iron, and inhibiting key metabolic pathways. </w:t>
      </w:r>
      <w:proofErr w:type="spellStart"/>
      <w:r>
        <w:rPr>
          <w:rFonts w:ascii="Arial" w:eastAsia="Arial" w:hAnsi="Arial" w:cs="Arial"/>
          <w:sz w:val="20"/>
          <w:szCs w:val="20"/>
        </w:rPr>
        <w:t>AgNPs</w:t>
      </w:r>
      <w:proofErr w:type="spellEnd"/>
      <w:r>
        <w:rPr>
          <w:rFonts w:ascii="Arial" w:eastAsia="Arial" w:hAnsi="Arial" w:cs="Arial"/>
          <w:sz w:val="20"/>
          <w:szCs w:val="20"/>
        </w:rPr>
        <w:t xml:space="preserve"> also target DNA, inducing structural changes that hinder replication and transcription, with Ag</w:t>
      </w:r>
      <w:r>
        <w:rPr>
          <w:rFonts w:ascii="Arial" w:eastAsia="Arial" w:hAnsi="Arial" w:cs="Arial"/>
          <w:sz w:val="20"/>
          <w:szCs w:val="20"/>
          <w:vertAlign w:val="superscript"/>
        </w:rPr>
        <w:t>+</w:t>
      </w:r>
      <w:r>
        <w:rPr>
          <w:rFonts w:ascii="Arial" w:eastAsia="Arial" w:hAnsi="Arial" w:cs="Arial"/>
          <w:sz w:val="20"/>
          <w:szCs w:val="20"/>
        </w:rPr>
        <w:t xml:space="preserve"> ions inserting between base pairs and condensing the DNA helix (</w:t>
      </w:r>
      <w:proofErr w:type="spellStart"/>
      <w:r>
        <w:rPr>
          <w:rFonts w:ascii="Arial" w:eastAsia="Arial" w:hAnsi="Arial" w:cs="Arial"/>
          <w:sz w:val="20"/>
          <w:szCs w:val="20"/>
        </w:rPr>
        <w:t>Morones</w:t>
      </w:r>
      <w:proofErr w:type="spellEnd"/>
      <w:r>
        <w:rPr>
          <w:rFonts w:ascii="Arial" w:eastAsia="Arial" w:hAnsi="Arial" w:cs="Arial"/>
          <w:sz w:val="20"/>
          <w:szCs w:val="20"/>
        </w:rPr>
        <w:t xml:space="preserve"> et al., 2005). Furthermore, Ag</w:t>
      </w:r>
      <w:r>
        <w:rPr>
          <w:rFonts w:ascii="Arial" w:eastAsia="Arial" w:hAnsi="Arial" w:cs="Arial"/>
          <w:sz w:val="20"/>
          <w:szCs w:val="20"/>
          <w:vertAlign w:val="superscript"/>
        </w:rPr>
        <w:t>+</w:t>
      </w:r>
      <w:r>
        <w:rPr>
          <w:rFonts w:ascii="Arial" w:eastAsia="Arial" w:hAnsi="Arial" w:cs="Arial"/>
          <w:sz w:val="20"/>
          <w:szCs w:val="20"/>
        </w:rPr>
        <w:t xml:space="preserve"> binds to thiol groups in proteins, forming stable Ag–S bonds that impair ATP generation, ion transport, and protein activity (Fahim et al., 2024).</w:t>
      </w:r>
    </w:p>
    <w:p w14:paraId="0B2C4721"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The finding that 0.10% </w:t>
      </w:r>
      <w:proofErr w:type="spellStart"/>
      <w:r>
        <w:rPr>
          <w:rFonts w:ascii="Arial" w:eastAsia="Arial" w:hAnsi="Arial" w:cs="Arial"/>
          <w:sz w:val="20"/>
          <w:szCs w:val="20"/>
        </w:rPr>
        <w:t>AgNPs</w:t>
      </w:r>
      <w:proofErr w:type="spellEnd"/>
      <w:r>
        <w:rPr>
          <w:rFonts w:ascii="Arial" w:eastAsia="Arial" w:hAnsi="Arial" w:cs="Arial"/>
          <w:sz w:val="20"/>
          <w:szCs w:val="20"/>
        </w:rPr>
        <w:t xml:space="preserve"> was less effective than both 0.25% and 0.50% across all strains confirms that sub-optimal concentrations are insufficient for significant antimicrobial enhancement. The failure of 0.50% </w:t>
      </w:r>
      <w:proofErr w:type="spellStart"/>
      <w:r>
        <w:rPr>
          <w:rFonts w:ascii="Arial" w:eastAsia="Arial" w:hAnsi="Arial" w:cs="Arial"/>
          <w:sz w:val="20"/>
          <w:szCs w:val="20"/>
        </w:rPr>
        <w:t>AgNPs</w:t>
      </w:r>
      <w:proofErr w:type="spellEnd"/>
      <w:r>
        <w:rPr>
          <w:rFonts w:ascii="Arial" w:eastAsia="Arial" w:hAnsi="Arial" w:cs="Arial"/>
          <w:sz w:val="20"/>
          <w:szCs w:val="20"/>
        </w:rPr>
        <w:t xml:space="preserve"> to outperform 0.25% for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may be due to nanoparticle aggregation or reduced bioavailability of silver ions at higher concentrations (Liao et al., 2019). These findings highlight the potential of </w:t>
      </w:r>
      <w:proofErr w:type="spellStart"/>
      <w:r>
        <w:rPr>
          <w:rFonts w:ascii="Arial" w:eastAsia="Arial" w:hAnsi="Arial" w:cs="Arial"/>
          <w:sz w:val="20"/>
          <w:szCs w:val="20"/>
        </w:rPr>
        <w:t>AgNP</w:t>
      </w:r>
      <w:proofErr w:type="spellEnd"/>
      <w:r>
        <w:rPr>
          <w:rFonts w:ascii="Arial" w:eastAsia="Arial" w:hAnsi="Arial" w:cs="Arial"/>
          <w:sz w:val="20"/>
          <w:szCs w:val="20"/>
        </w:rPr>
        <w:t xml:space="preserve">-enhanced sanitizer formulations as antibacterial sprays in food safety and hygiene management. However, </w:t>
      </w:r>
      <w:proofErr w:type="spellStart"/>
      <w:r>
        <w:rPr>
          <w:rFonts w:ascii="Arial" w:eastAsia="Arial" w:hAnsi="Arial" w:cs="Arial"/>
          <w:sz w:val="20"/>
          <w:szCs w:val="20"/>
        </w:rPr>
        <w:t>AgNPs</w:t>
      </w:r>
      <w:proofErr w:type="spellEnd"/>
      <w:r>
        <w:rPr>
          <w:rFonts w:ascii="Arial" w:eastAsia="Arial" w:hAnsi="Arial" w:cs="Arial"/>
          <w:sz w:val="20"/>
          <w:szCs w:val="20"/>
        </w:rPr>
        <w:t xml:space="preserve"> have been reported to induce oxidative stress, DNA damage, and cytotoxic effects in mammalian cells upon direct application, raising safety concerns for dermal or mucosal exposure (Arora et al., 2008). Therefore, strategies to reduce toxicity — such as surface coating, encapsulation, or the use of biologically synthesized nanoparticles — must be investigated before </w:t>
      </w:r>
      <w:proofErr w:type="spellStart"/>
      <w:r>
        <w:rPr>
          <w:rFonts w:ascii="Arial" w:eastAsia="Arial" w:hAnsi="Arial" w:cs="Arial"/>
          <w:sz w:val="20"/>
          <w:szCs w:val="20"/>
        </w:rPr>
        <w:t>AgNP</w:t>
      </w:r>
      <w:proofErr w:type="spellEnd"/>
      <w:r>
        <w:rPr>
          <w:rFonts w:ascii="Arial" w:eastAsia="Arial" w:hAnsi="Arial" w:cs="Arial"/>
          <w:sz w:val="20"/>
          <w:szCs w:val="20"/>
        </w:rPr>
        <w:t>-enhanced sanitizers can be recommended for human use.</w:t>
      </w:r>
    </w:p>
    <w:p w14:paraId="3CB171AA" w14:textId="77777777" w:rsidR="00F5390F" w:rsidRDefault="00EF0F69">
      <w:pPr>
        <w:spacing w:before="160" w:after="80"/>
        <w:rPr>
          <w:rFonts w:ascii="Arial" w:eastAsia="Arial" w:hAnsi="Arial" w:cs="Arial"/>
          <w:sz w:val="20"/>
          <w:szCs w:val="20"/>
        </w:rPr>
      </w:pPr>
      <w:r>
        <w:rPr>
          <w:rFonts w:ascii="Arial" w:eastAsia="Arial" w:hAnsi="Arial" w:cs="Arial"/>
          <w:b/>
          <w:bCs/>
          <w:sz w:val="20"/>
          <w:szCs w:val="20"/>
        </w:rPr>
        <w:t xml:space="preserve">Table 1 </w:t>
      </w:r>
      <w:r>
        <w:rPr>
          <w:rFonts w:ascii="Arial" w:eastAsia="Arial" w:hAnsi="Arial" w:cs="Arial"/>
          <w:sz w:val="20"/>
          <w:szCs w:val="20"/>
        </w:rPr>
        <w:t>Average Optical Density (OD</w:t>
      </w:r>
      <w:r>
        <w:rPr>
          <w:rFonts w:ascii="Arial" w:eastAsia="Arial" w:hAnsi="Arial" w:cs="Arial"/>
          <w:sz w:val="20"/>
          <w:szCs w:val="20"/>
          <w:vertAlign w:val="subscript"/>
        </w:rPr>
        <w:t>600</w:t>
      </w:r>
      <w:r>
        <w:rPr>
          <w:rFonts w:ascii="Arial" w:eastAsia="Arial" w:hAnsi="Arial" w:cs="Arial"/>
          <w:sz w:val="20"/>
          <w:szCs w:val="20"/>
        </w:rPr>
        <w:t>) Values of Bacterial Cultures at Different Time Intervals</w:t>
      </w:r>
    </w:p>
    <w:tbl>
      <w:tblPr>
        <w:tblStyle w:val="a"/>
        <w:tblW w:w="9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5"/>
        <w:gridCol w:w="645"/>
        <w:gridCol w:w="795"/>
        <w:gridCol w:w="1095"/>
        <w:gridCol w:w="1200"/>
        <w:gridCol w:w="1590"/>
        <w:gridCol w:w="1545"/>
        <w:gridCol w:w="1470"/>
      </w:tblGrid>
      <w:tr w:rsidR="00F5390F" w14:paraId="034A28A4" w14:textId="77777777">
        <w:trPr>
          <w:tblHeader/>
        </w:trPr>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7E6254D4" w14:textId="77777777" w:rsidR="00F5390F" w:rsidRDefault="00EF0F69">
            <w:pPr>
              <w:jc w:val="center"/>
              <w:rPr>
                <w:rFonts w:ascii="Arial" w:eastAsia="Arial" w:hAnsi="Arial" w:cs="Arial"/>
                <w:sz w:val="20"/>
                <w:szCs w:val="20"/>
              </w:rPr>
            </w:pPr>
            <w:r>
              <w:rPr>
                <w:rFonts w:ascii="Arial" w:eastAsia="Arial" w:hAnsi="Arial" w:cs="Arial"/>
                <w:b/>
                <w:bCs/>
                <w:sz w:val="20"/>
                <w:szCs w:val="20"/>
              </w:rPr>
              <w:t>Organism</w:t>
            </w:r>
          </w:p>
        </w:tc>
        <w:tc>
          <w:tcPr>
            <w:tcW w:w="64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1D5D538F" w14:textId="77777777" w:rsidR="00F5390F" w:rsidRDefault="00EF0F69">
            <w:pPr>
              <w:jc w:val="center"/>
              <w:rPr>
                <w:rFonts w:ascii="Arial" w:eastAsia="Arial" w:hAnsi="Arial" w:cs="Arial"/>
                <w:sz w:val="20"/>
                <w:szCs w:val="20"/>
              </w:rPr>
            </w:pPr>
            <w:r>
              <w:rPr>
                <w:rFonts w:ascii="Arial" w:eastAsia="Arial" w:hAnsi="Arial" w:cs="Arial"/>
                <w:b/>
                <w:bCs/>
                <w:sz w:val="20"/>
                <w:szCs w:val="20"/>
              </w:rPr>
              <w:t>Time (h)</w:t>
            </w:r>
          </w:p>
        </w:tc>
        <w:tc>
          <w:tcPr>
            <w:tcW w:w="79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205B693F" w14:textId="77777777" w:rsidR="00F5390F" w:rsidRDefault="00EF0F69">
            <w:pPr>
              <w:jc w:val="center"/>
              <w:rPr>
                <w:rFonts w:ascii="Arial" w:eastAsia="Arial" w:hAnsi="Arial" w:cs="Arial"/>
                <w:sz w:val="20"/>
                <w:szCs w:val="20"/>
              </w:rPr>
            </w:pPr>
            <w:r>
              <w:rPr>
                <w:rFonts w:ascii="Arial" w:eastAsia="Arial" w:hAnsi="Arial" w:cs="Arial"/>
                <w:b/>
                <w:bCs/>
                <w:sz w:val="20"/>
                <w:szCs w:val="20"/>
              </w:rPr>
              <w:t>PC (San)</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6DE1569F" w14:textId="77777777" w:rsidR="00F5390F" w:rsidRDefault="00EF0F69">
            <w:pPr>
              <w:jc w:val="center"/>
              <w:rPr>
                <w:rFonts w:ascii="Arial" w:eastAsia="Arial" w:hAnsi="Arial" w:cs="Arial"/>
                <w:sz w:val="20"/>
                <w:szCs w:val="20"/>
              </w:rPr>
            </w:pPr>
            <w:r>
              <w:rPr>
                <w:rFonts w:ascii="Arial" w:eastAsia="Arial" w:hAnsi="Arial" w:cs="Arial"/>
                <w:b/>
                <w:bCs/>
                <w:sz w:val="20"/>
                <w:szCs w:val="20"/>
              </w:rPr>
              <w:t>RC (NP)</w:t>
            </w:r>
          </w:p>
        </w:tc>
        <w:tc>
          <w:tcPr>
            <w:tcW w:w="12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78C50F90" w14:textId="77777777" w:rsidR="00F5390F" w:rsidRDefault="00EF0F69">
            <w:pPr>
              <w:jc w:val="center"/>
              <w:rPr>
                <w:rFonts w:ascii="Arial" w:eastAsia="Arial" w:hAnsi="Arial" w:cs="Arial"/>
                <w:sz w:val="20"/>
                <w:szCs w:val="20"/>
              </w:rPr>
            </w:pPr>
            <w:r>
              <w:rPr>
                <w:rFonts w:ascii="Arial" w:eastAsia="Arial" w:hAnsi="Arial" w:cs="Arial"/>
                <w:b/>
                <w:bCs/>
                <w:sz w:val="20"/>
                <w:szCs w:val="20"/>
              </w:rPr>
              <w:t>NC (Microbe)</w:t>
            </w:r>
          </w:p>
        </w:tc>
        <w:tc>
          <w:tcPr>
            <w:tcW w:w="15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3AF3069E" w14:textId="77777777" w:rsidR="00F5390F" w:rsidRDefault="00EF0F69">
            <w:pPr>
              <w:jc w:val="center"/>
              <w:rPr>
                <w:rFonts w:ascii="Arial" w:eastAsia="Arial" w:hAnsi="Arial" w:cs="Arial"/>
                <w:sz w:val="20"/>
                <w:szCs w:val="20"/>
              </w:rPr>
            </w:pPr>
            <w:r>
              <w:rPr>
                <w:rFonts w:ascii="Arial" w:eastAsia="Arial" w:hAnsi="Arial" w:cs="Arial"/>
                <w:b/>
                <w:bCs/>
                <w:sz w:val="20"/>
                <w:szCs w:val="20"/>
              </w:rPr>
              <w:t>0.1% NP + 1% San</w:t>
            </w:r>
          </w:p>
        </w:tc>
        <w:tc>
          <w:tcPr>
            <w:tcW w:w="154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1851A641" w14:textId="77777777" w:rsidR="00F5390F" w:rsidRDefault="00EF0F69">
            <w:pPr>
              <w:jc w:val="center"/>
              <w:rPr>
                <w:rFonts w:ascii="Arial" w:eastAsia="Arial" w:hAnsi="Arial" w:cs="Arial"/>
                <w:sz w:val="20"/>
                <w:szCs w:val="20"/>
              </w:rPr>
            </w:pPr>
            <w:r>
              <w:rPr>
                <w:rFonts w:ascii="Arial" w:eastAsia="Arial" w:hAnsi="Arial" w:cs="Arial"/>
                <w:b/>
                <w:bCs/>
                <w:sz w:val="20"/>
                <w:szCs w:val="20"/>
              </w:rPr>
              <w:t>0.25% NP + 1% San</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0F63D0B3" w14:textId="77777777" w:rsidR="00F5390F" w:rsidRDefault="00EF0F69">
            <w:pPr>
              <w:jc w:val="center"/>
              <w:rPr>
                <w:rFonts w:ascii="Arial" w:eastAsia="Arial" w:hAnsi="Arial" w:cs="Arial"/>
                <w:sz w:val="20"/>
                <w:szCs w:val="20"/>
              </w:rPr>
            </w:pPr>
            <w:r>
              <w:rPr>
                <w:rFonts w:ascii="Arial" w:eastAsia="Arial" w:hAnsi="Arial" w:cs="Arial"/>
                <w:b/>
                <w:bCs/>
                <w:sz w:val="20"/>
                <w:szCs w:val="20"/>
              </w:rPr>
              <w:t>0.5% NP + 1% San</w:t>
            </w:r>
          </w:p>
        </w:tc>
      </w:tr>
      <w:tr w:rsidR="00F5390F" w14:paraId="579F8400"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F05C53D" w14:textId="77777777" w:rsidR="00F5390F" w:rsidRDefault="00EF0F69">
            <w:pPr>
              <w:jc w:val="center"/>
              <w:rPr>
                <w:rFonts w:ascii="Arial" w:eastAsia="Arial" w:hAnsi="Arial" w:cs="Arial"/>
                <w:sz w:val="20"/>
                <w:szCs w:val="20"/>
              </w:rPr>
            </w:pPr>
            <w:r>
              <w:rPr>
                <w:rFonts w:ascii="Arial" w:eastAsia="Arial" w:hAnsi="Arial" w:cs="Arial"/>
                <w:sz w:val="20"/>
                <w:szCs w:val="20"/>
              </w:rPr>
              <w:t>S. aureus</w:t>
            </w: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B6C8EB4" w14:textId="77777777" w:rsidR="00F5390F" w:rsidRDefault="00EF0F69">
            <w:pPr>
              <w:jc w:val="center"/>
              <w:rPr>
                <w:rFonts w:ascii="Arial" w:eastAsia="Arial" w:hAnsi="Arial" w:cs="Arial"/>
                <w:sz w:val="20"/>
                <w:szCs w:val="20"/>
              </w:rPr>
            </w:pPr>
            <w:r>
              <w:rPr>
                <w:rFonts w:ascii="Arial" w:eastAsia="Arial" w:hAnsi="Arial" w:cs="Arial"/>
                <w:sz w:val="20"/>
                <w:szCs w:val="20"/>
              </w:rPr>
              <w:t>2</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EAB5C30" w14:textId="77777777" w:rsidR="00F5390F" w:rsidRDefault="00EF0F69">
            <w:pPr>
              <w:jc w:val="center"/>
              <w:rPr>
                <w:rFonts w:ascii="Arial" w:eastAsia="Arial" w:hAnsi="Arial" w:cs="Arial"/>
                <w:sz w:val="20"/>
                <w:szCs w:val="20"/>
              </w:rPr>
            </w:pPr>
            <w:r>
              <w:rPr>
                <w:rFonts w:ascii="Arial" w:eastAsia="Arial" w:hAnsi="Arial" w:cs="Arial"/>
                <w:sz w:val="20"/>
                <w:szCs w:val="20"/>
              </w:rPr>
              <w:t>1.635</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EFCA49D" w14:textId="77777777" w:rsidR="00F5390F" w:rsidRDefault="00EF0F69">
            <w:pPr>
              <w:jc w:val="center"/>
              <w:rPr>
                <w:rFonts w:ascii="Arial" w:eastAsia="Arial" w:hAnsi="Arial" w:cs="Arial"/>
                <w:sz w:val="20"/>
                <w:szCs w:val="20"/>
              </w:rPr>
            </w:pPr>
            <w:r>
              <w:rPr>
                <w:rFonts w:ascii="Arial" w:eastAsia="Arial" w:hAnsi="Arial" w:cs="Arial"/>
                <w:sz w:val="20"/>
                <w:szCs w:val="20"/>
              </w:rPr>
              <w:t>1.675</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D43C23A" w14:textId="77777777" w:rsidR="00F5390F" w:rsidRDefault="00EF0F69">
            <w:pPr>
              <w:jc w:val="center"/>
              <w:rPr>
                <w:rFonts w:ascii="Arial" w:eastAsia="Arial" w:hAnsi="Arial" w:cs="Arial"/>
                <w:sz w:val="20"/>
                <w:szCs w:val="20"/>
              </w:rPr>
            </w:pPr>
            <w:r>
              <w:rPr>
                <w:rFonts w:ascii="Arial" w:eastAsia="Arial" w:hAnsi="Arial" w:cs="Arial"/>
                <w:sz w:val="20"/>
                <w:szCs w:val="20"/>
              </w:rPr>
              <w:t>1.645</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B7EDE78" w14:textId="77777777" w:rsidR="00F5390F" w:rsidRDefault="00EF0F69">
            <w:pPr>
              <w:jc w:val="center"/>
              <w:rPr>
                <w:rFonts w:ascii="Arial" w:eastAsia="Arial" w:hAnsi="Arial" w:cs="Arial"/>
                <w:sz w:val="20"/>
                <w:szCs w:val="20"/>
              </w:rPr>
            </w:pPr>
            <w:r>
              <w:rPr>
                <w:rFonts w:ascii="Arial" w:eastAsia="Arial" w:hAnsi="Arial" w:cs="Arial"/>
                <w:sz w:val="20"/>
                <w:szCs w:val="20"/>
              </w:rPr>
              <w:t>1.651</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D2992A9" w14:textId="77777777" w:rsidR="00F5390F" w:rsidRDefault="00EF0F69">
            <w:pPr>
              <w:jc w:val="center"/>
              <w:rPr>
                <w:rFonts w:ascii="Arial" w:eastAsia="Arial" w:hAnsi="Arial" w:cs="Arial"/>
                <w:sz w:val="20"/>
                <w:szCs w:val="20"/>
              </w:rPr>
            </w:pPr>
            <w:r>
              <w:rPr>
                <w:rFonts w:ascii="Arial" w:eastAsia="Arial" w:hAnsi="Arial" w:cs="Arial"/>
                <w:sz w:val="20"/>
                <w:szCs w:val="20"/>
              </w:rPr>
              <w:t>1.676</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EEC3AFB" w14:textId="77777777" w:rsidR="00F5390F" w:rsidRDefault="00EF0F69">
            <w:pPr>
              <w:jc w:val="center"/>
              <w:rPr>
                <w:rFonts w:ascii="Arial" w:eastAsia="Arial" w:hAnsi="Arial" w:cs="Arial"/>
                <w:sz w:val="20"/>
                <w:szCs w:val="20"/>
              </w:rPr>
            </w:pPr>
            <w:r>
              <w:rPr>
                <w:rFonts w:ascii="Arial" w:eastAsia="Arial" w:hAnsi="Arial" w:cs="Arial"/>
                <w:sz w:val="20"/>
                <w:szCs w:val="20"/>
              </w:rPr>
              <w:t>1.638</w:t>
            </w:r>
          </w:p>
        </w:tc>
      </w:tr>
      <w:tr w:rsidR="00F5390F" w14:paraId="4B9B48C1"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D97E585"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74CD9E9" w14:textId="77777777" w:rsidR="00F5390F" w:rsidRDefault="00EF0F69">
            <w:pPr>
              <w:jc w:val="center"/>
              <w:rPr>
                <w:rFonts w:ascii="Arial" w:eastAsia="Arial" w:hAnsi="Arial" w:cs="Arial"/>
                <w:sz w:val="20"/>
                <w:szCs w:val="20"/>
              </w:rPr>
            </w:pPr>
            <w:r>
              <w:rPr>
                <w:rFonts w:ascii="Arial" w:eastAsia="Arial" w:hAnsi="Arial" w:cs="Arial"/>
                <w:sz w:val="20"/>
                <w:szCs w:val="20"/>
              </w:rPr>
              <w:t>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A509B23" w14:textId="77777777" w:rsidR="00F5390F" w:rsidRDefault="00EF0F69">
            <w:pPr>
              <w:jc w:val="center"/>
              <w:rPr>
                <w:rFonts w:ascii="Arial" w:eastAsia="Arial" w:hAnsi="Arial" w:cs="Arial"/>
                <w:sz w:val="20"/>
                <w:szCs w:val="20"/>
              </w:rPr>
            </w:pPr>
            <w:r>
              <w:rPr>
                <w:rFonts w:ascii="Arial" w:eastAsia="Arial" w:hAnsi="Arial" w:cs="Arial"/>
                <w:sz w:val="20"/>
                <w:szCs w:val="20"/>
              </w:rPr>
              <w:t>2.029</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15C38DF" w14:textId="77777777" w:rsidR="00F5390F" w:rsidRDefault="00EF0F69">
            <w:pPr>
              <w:jc w:val="center"/>
              <w:rPr>
                <w:rFonts w:ascii="Arial" w:eastAsia="Arial" w:hAnsi="Arial" w:cs="Arial"/>
                <w:sz w:val="20"/>
                <w:szCs w:val="20"/>
              </w:rPr>
            </w:pPr>
            <w:r>
              <w:rPr>
                <w:rFonts w:ascii="Arial" w:eastAsia="Arial" w:hAnsi="Arial" w:cs="Arial"/>
                <w:sz w:val="20"/>
                <w:szCs w:val="20"/>
              </w:rPr>
              <w:t>1.519</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9FEB4D4" w14:textId="77777777" w:rsidR="00F5390F" w:rsidRDefault="00EF0F69">
            <w:pPr>
              <w:jc w:val="center"/>
              <w:rPr>
                <w:rFonts w:ascii="Arial" w:eastAsia="Arial" w:hAnsi="Arial" w:cs="Arial"/>
                <w:sz w:val="20"/>
                <w:szCs w:val="20"/>
              </w:rPr>
            </w:pPr>
            <w:r>
              <w:rPr>
                <w:rFonts w:ascii="Arial" w:eastAsia="Arial" w:hAnsi="Arial" w:cs="Arial"/>
                <w:sz w:val="20"/>
                <w:szCs w:val="20"/>
              </w:rPr>
              <w:t>2.484</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B6BFF7C" w14:textId="77777777" w:rsidR="00F5390F" w:rsidRDefault="00EF0F69">
            <w:pPr>
              <w:jc w:val="center"/>
              <w:rPr>
                <w:rFonts w:ascii="Arial" w:eastAsia="Arial" w:hAnsi="Arial" w:cs="Arial"/>
                <w:sz w:val="20"/>
                <w:szCs w:val="20"/>
              </w:rPr>
            </w:pPr>
            <w:r>
              <w:rPr>
                <w:rFonts w:ascii="Arial" w:eastAsia="Arial" w:hAnsi="Arial" w:cs="Arial"/>
                <w:sz w:val="20"/>
                <w:szCs w:val="20"/>
              </w:rPr>
              <w:t>2.016</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935030E" w14:textId="77777777" w:rsidR="00F5390F" w:rsidRDefault="00EF0F69">
            <w:pPr>
              <w:jc w:val="center"/>
              <w:rPr>
                <w:rFonts w:ascii="Arial" w:eastAsia="Arial" w:hAnsi="Arial" w:cs="Arial"/>
                <w:sz w:val="20"/>
                <w:szCs w:val="20"/>
              </w:rPr>
            </w:pPr>
            <w:r>
              <w:rPr>
                <w:rFonts w:ascii="Arial" w:eastAsia="Arial" w:hAnsi="Arial" w:cs="Arial"/>
                <w:sz w:val="20"/>
                <w:szCs w:val="20"/>
              </w:rPr>
              <w:t>2.067</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1C2DCBF" w14:textId="77777777" w:rsidR="00F5390F" w:rsidRDefault="00EF0F69">
            <w:pPr>
              <w:jc w:val="center"/>
              <w:rPr>
                <w:rFonts w:ascii="Arial" w:eastAsia="Arial" w:hAnsi="Arial" w:cs="Arial"/>
                <w:sz w:val="20"/>
                <w:szCs w:val="20"/>
              </w:rPr>
            </w:pPr>
            <w:r>
              <w:rPr>
                <w:rFonts w:ascii="Arial" w:eastAsia="Arial" w:hAnsi="Arial" w:cs="Arial"/>
                <w:sz w:val="20"/>
                <w:szCs w:val="20"/>
              </w:rPr>
              <w:t>1.608</w:t>
            </w:r>
          </w:p>
        </w:tc>
      </w:tr>
      <w:tr w:rsidR="00F5390F" w14:paraId="587764A7"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F42E4E3"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453AAF6" w14:textId="77777777" w:rsidR="00F5390F" w:rsidRDefault="00EF0F69">
            <w:pPr>
              <w:jc w:val="center"/>
              <w:rPr>
                <w:rFonts w:ascii="Arial" w:eastAsia="Arial" w:hAnsi="Arial" w:cs="Arial"/>
                <w:sz w:val="20"/>
                <w:szCs w:val="20"/>
              </w:rPr>
            </w:pPr>
            <w:r>
              <w:rPr>
                <w:rFonts w:ascii="Arial" w:eastAsia="Arial" w:hAnsi="Arial" w:cs="Arial"/>
                <w:sz w:val="20"/>
                <w:szCs w:val="20"/>
              </w:rPr>
              <w:t>24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8D278AE" w14:textId="77777777" w:rsidR="00F5390F" w:rsidRDefault="00EF0F69">
            <w:pPr>
              <w:jc w:val="center"/>
              <w:rPr>
                <w:rFonts w:ascii="Arial" w:eastAsia="Arial" w:hAnsi="Arial" w:cs="Arial"/>
                <w:sz w:val="20"/>
                <w:szCs w:val="20"/>
              </w:rPr>
            </w:pPr>
            <w:r>
              <w:rPr>
                <w:rFonts w:ascii="Arial" w:eastAsia="Arial" w:hAnsi="Arial" w:cs="Arial"/>
                <w:sz w:val="20"/>
                <w:szCs w:val="20"/>
              </w:rPr>
              <w:t>1.348</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D6C98D5" w14:textId="77777777" w:rsidR="00F5390F" w:rsidRDefault="00EF0F69">
            <w:pPr>
              <w:jc w:val="center"/>
              <w:rPr>
                <w:rFonts w:ascii="Arial" w:eastAsia="Arial" w:hAnsi="Arial" w:cs="Arial"/>
                <w:sz w:val="20"/>
                <w:szCs w:val="20"/>
              </w:rPr>
            </w:pPr>
            <w:r>
              <w:rPr>
                <w:rFonts w:ascii="Arial" w:eastAsia="Arial" w:hAnsi="Arial" w:cs="Arial"/>
                <w:sz w:val="20"/>
                <w:szCs w:val="20"/>
              </w:rPr>
              <w:t>1.48</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A2FF355" w14:textId="77777777" w:rsidR="00F5390F" w:rsidRDefault="00EF0F69">
            <w:pPr>
              <w:jc w:val="center"/>
              <w:rPr>
                <w:rFonts w:ascii="Arial" w:eastAsia="Arial" w:hAnsi="Arial" w:cs="Arial"/>
                <w:sz w:val="20"/>
                <w:szCs w:val="20"/>
              </w:rPr>
            </w:pPr>
            <w:r>
              <w:rPr>
                <w:rFonts w:ascii="Arial" w:eastAsia="Arial" w:hAnsi="Arial" w:cs="Arial"/>
                <w:sz w:val="20"/>
                <w:szCs w:val="20"/>
              </w:rPr>
              <w:t>1.337</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C96B016" w14:textId="77777777" w:rsidR="00F5390F" w:rsidRDefault="00EF0F69">
            <w:pPr>
              <w:jc w:val="center"/>
              <w:rPr>
                <w:rFonts w:ascii="Arial" w:eastAsia="Arial" w:hAnsi="Arial" w:cs="Arial"/>
                <w:sz w:val="20"/>
                <w:szCs w:val="20"/>
              </w:rPr>
            </w:pPr>
            <w:r>
              <w:rPr>
                <w:rFonts w:ascii="Arial" w:eastAsia="Arial" w:hAnsi="Arial" w:cs="Arial"/>
                <w:sz w:val="20"/>
                <w:szCs w:val="20"/>
              </w:rPr>
              <w:t>1.346</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BEE1C46" w14:textId="77777777" w:rsidR="00F5390F" w:rsidRDefault="00EF0F69">
            <w:pPr>
              <w:jc w:val="center"/>
              <w:rPr>
                <w:rFonts w:ascii="Arial" w:eastAsia="Arial" w:hAnsi="Arial" w:cs="Arial"/>
                <w:sz w:val="20"/>
                <w:szCs w:val="20"/>
              </w:rPr>
            </w:pPr>
            <w:r>
              <w:rPr>
                <w:rFonts w:ascii="Arial" w:eastAsia="Arial" w:hAnsi="Arial" w:cs="Arial"/>
                <w:sz w:val="20"/>
                <w:szCs w:val="20"/>
              </w:rPr>
              <w:t>1.359</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8BF9301" w14:textId="77777777" w:rsidR="00F5390F" w:rsidRDefault="00EF0F69">
            <w:pPr>
              <w:jc w:val="center"/>
              <w:rPr>
                <w:rFonts w:ascii="Arial" w:eastAsia="Arial" w:hAnsi="Arial" w:cs="Arial"/>
                <w:sz w:val="20"/>
                <w:szCs w:val="20"/>
              </w:rPr>
            </w:pPr>
            <w:r>
              <w:rPr>
                <w:rFonts w:ascii="Arial" w:eastAsia="Arial" w:hAnsi="Arial" w:cs="Arial"/>
                <w:sz w:val="20"/>
                <w:szCs w:val="20"/>
              </w:rPr>
              <w:t>1.322</w:t>
            </w:r>
          </w:p>
        </w:tc>
      </w:tr>
      <w:tr w:rsidR="00F5390F" w14:paraId="67D23134"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75D4BF5" w14:textId="77777777" w:rsidR="00F5390F" w:rsidRDefault="00EF0F69">
            <w:pPr>
              <w:jc w:val="center"/>
              <w:rPr>
                <w:rFonts w:ascii="Arial" w:eastAsia="Arial" w:hAnsi="Arial" w:cs="Arial"/>
                <w:sz w:val="20"/>
                <w:szCs w:val="20"/>
              </w:rPr>
            </w:pPr>
            <w:r>
              <w:rPr>
                <w:rFonts w:ascii="Arial" w:eastAsia="Arial" w:hAnsi="Arial" w:cs="Arial"/>
                <w:sz w:val="20"/>
                <w:szCs w:val="20"/>
              </w:rPr>
              <w:t>E. coli</w:t>
            </w: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137E86B" w14:textId="77777777" w:rsidR="00F5390F" w:rsidRDefault="00EF0F69">
            <w:pPr>
              <w:jc w:val="center"/>
              <w:rPr>
                <w:rFonts w:ascii="Arial" w:eastAsia="Arial" w:hAnsi="Arial" w:cs="Arial"/>
                <w:sz w:val="20"/>
                <w:szCs w:val="20"/>
              </w:rPr>
            </w:pPr>
            <w:r>
              <w:rPr>
                <w:rFonts w:ascii="Arial" w:eastAsia="Arial" w:hAnsi="Arial" w:cs="Arial"/>
                <w:sz w:val="20"/>
                <w:szCs w:val="20"/>
              </w:rPr>
              <w:t>2</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8DC38CB" w14:textId="77777777" w:rsidR="00F5390F" w:rsidRDefault="00EF0F69">
            <w:pPr>
              <w:jc w:val="center"/>
              <w:rPr>
                <w:rFonts w:ascii="Arial" w:eastAsia="Arial" w:hAnsi="Arial" w:cs="Arial"/>
                <w:sz w:val="20"/>
                <w:szCs w:val="20"/>
              </w:rPr>
            </w:pPr>
            <w:r>
              <w:rPr>
                <w:rFonts w:ascii="Arial" w:eastAsia="Arial" w:hAnsi="Arial" w:cs="Arial"/>
                <w:sz w:val="20"/>
                <w:szCs w:val="20"/>
              </w:rPr>
              <w:t>1.563</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37BC179" w14:textId="77777777" w:rsidR="00F5390F" w:rsidRDefault="00EF0F69">
            <w:pPr>
              <w:jc w:val="center"/>
              <w:rPr>
                <w:rFonts w:ascii="Arial" w:eastAsia="Arial" w:hAnsi="Arial" w:cs="Arial"/>
                <w:sz w:val="20"/>
                <w:szCs w:val="20"/>
              </w:rPr>
            </w:pPr>
            <w:r>
              <w:rPr>
                <w:rFonts w:ascii="Arial" w:eastAsia="Arial" w:hAnsi="Arial" w:cs="Arial"/>
                <w:sz w:val="20"/>
                <w:szCs w:val="20"/>
              </w:rPr>
              <w:t>1.577</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DBA3738" w14:textId="77777777" w:rsidR="00F5390F" w:rsidRDefault="00EF0F69">
            <w:pPr>
              <w:jc w:val="center"/>
              <w:rPr>
                <w:rFonts w:ascii="Arial" w:eastAsia="Arial" w:hAnsi="Arial" w:cs="Arial"/>
                <w:sz w:val="20"/>
                <w:szCs w:val="20"/>
              </w:rPr>
            </w:pPr>
            <w:r>
              <w:rPr>
                <w:rFonts w:ascii="Arial" w:eastAsia="Arial" w:hAnsi="Arial" w:cs="Arial"/>
                <w:sz w:val="20"/>
                <w:szCs w:val="20"/>
              </w:rPr>
              <w:t>1.54</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BE52747" w14:textId="77777777" w:rsidR="00F5390F" w:rsidRDefault="00EF0F69">
            <w:pPr>
              <w:jc w:val="center"/>
              <w:rPr>
                <w:rFonts w:ascii="Arial" w:eastAsia="Arial" w:hAnsi="Arial" w:cs="Arial"/>
                <w:sz w:val="20"/>
                <w:szCs w:val="20"/>
              </w:rPr>
            </w:pPr>
            <w:r>
              <w:rPr>
                <w:rFonts w:ascii="Arial" w:eastAsia="Arial" w:hAnsi="Arial" w:cs="Arial"/>
                <w:sz w:val="20"/>
                <w:szCs w:val="20"/>
              </w:rPr>
              <w:t>1.555</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12090A7" w14:textId="77777777" w:rsidR="00F5390F" w:rsidRDefault="00EF0F69">
            <w:pPr>
              <w:jc w:val="center"/>
              <w:rPr>
                <w:rFonts w:ascii="Arial" w:eastAsia="Arial" w:hAnsi="Arial" w:cs="Arial"/>
                <w:sz w:val="20"/>
                <w:szCs w:val="20"/>
              </w:rPr>
            </w:pPr>
            <w:r>
              <w:rPr>
                <w:rFonts w:ascii="Arial" w:eastAsia="Arial" w:hAnsi="Arial" w:cs="Arial"/>
                <w:sz w:val="20"/>
                <w:szCs w:val="20"/>
              </w:rPr>
              <w:t>1.531</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95A49E9" w14:textId="77777777" w:rsidR="00F5390F" w:rsidRDefault="00EF0F69">
            <w:pPr>
              <w:jc w:val="center"/>
              <w:rPr>
                <w:rFonts w:ascii="Arial" w:eastAsia="Arial" w:hAnsi="Arial" w:cs="Arial"/>
                <w:sz w:val="20"/>
                <w:szCs w:val="20"/>
              </w:rPr>
            </w:pPr>
            <w:r>
              <w:rPr>
                <w:rFonts w:ascii="Arial" w:eastAsia="Arial" w:hAnsi="Arial" w:cs="Arial"/>
                <w:sz w:val="20"/>
                <w:szCs w:val="20"/>
              </w:rPr>
              <w:t>1.578</w:t>
            </w:r>
          </w:p>
        </w:tc>
      </w:tr>
      <w:tr w:rsidR="00F5390F" w14:paraId="3A930C31"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5B695A0"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896C6A8" w14:textId="77777777" w:rsidR="00F5390F" w:rsidRDefault="00EF0F69">
            <w:pPr>
              <w:jc w:val="center"/>
              <w:rPr>
                <w:rFonts w:ascii="Arial" w:eastAsia="Arial" w:hAnsi="Arial" w:cs="Arial"/>
                <w:sz w:val="20"/>
                <w:szCs w:val="20"/>
              </w:rPr>
            </w:pPr>
            <w:r>
              <w:rPr>
                <w:rFonts w:ascii="Arial" w:eastAsia="Arial" w:hAnsi="Arial" w:cs="Arial"/>
                <w:sz w:val="20"/>
                <w:szCs w:val="20"/>
              </w:rPr>
              <w:t>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B500953" w14:textId="77777777" w:rsidR="00F5390F" w:rsidRDefault="00EF0F69">
            <w:pPr>
              <w:jc w:val="center"/>
              <w:rPr>
                <w:rFonts w:ascii="Arial" w:eastAsia="Arial" w:hAnsi="Arial" w:cs="Arial"/>
                <w:sz w:val="20"/>
                <w:szCs w:val="20"/>
              </w:rPr>
            </w:pPr>
            <w:r>
              <w:rPr>
                <w:rFonts w:ascii="Arial" w:eastAsia="Arial" w:hAnsi="Arial" w:cs="Arial"/>
                <w:sz w:val="20"/>
                <w:szCs w:val="20"/>
              </w:rPr>
              <w:t>0.551</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8829D61" w14:textId="77777777" w:rsidR="00F5390F" w:rsidRDefault="00EF0F69">
            <w:pPr>
              <w:jc w:val="center"/>
              <w:rPr>
                <w:rFonts w:ascii="Arial" w:eastAsia="Arial" w:hAnsi="Arial" w:cs="Arial"/>
                <w:sz w:val="20"/>
                <w:szCs w:val="20"/>
              </w:rPr>
            </w:pPr>
            <w:r>
              <w:rPr>
                <w:rFonts w:ascii="Arial" w:eastAsia="Arial" w:hAnsi="Arial" w:cs="Arial"/>
                <w:sz w:val="20"/>
                <w:szCs w:val="20"/>
              </w:rPr>
              <w:t>0.435</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5DC5F1E" w14:textId="77777777" w:rsidR="00F5390F" w:rsidRDefault="00EF0F69">
            <w:pPr>
              <w:jc w:val="center"/>
              <w:rPr>
                <w:rFonts w:ascii="Arial" w:eastAsia="Arial" w:hAnsi="Arial" w:cs="Arial"/>
                <w:sz w:val="20"/>
                <w:szCs w:val="20"/>
              </w:rPr>
            </w:pPr>
            <w:r>
              <w:rPr>
                <w:rFonts w:ascii="Arial" w:eastAsia="Arial" w:hAnsi="Arial" w:cs="Arial"/>
                <w:sz w:val="20"/>
                <w:szCs w:val="20"/>
              </w:rPr>
              <w:t>1.629</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239C34F" w14:textId="77777777" w:rsidR="00F5390F" w:rsidRDefault="00EF0F69">
            <w:pPr>
              <w:jc w:val="center"/>
              <w:rPr>
                <w:rFonts w:ascii="Arial" w:eastAsia="Arial" w:hAnsi="Arial" w:cs="Arial"/>
                <w:sz w:val="20"/>
                <w:szCs w:val="20"/>
              </w:rPr>
            </w:pPr>
            <w:r>
              <w:rPr>
                <w:rFonts w:ascii="Arial" w:eastAsia="Arial" w:hAnsi="Arial" w:cs="Arial"/>
                <w:sz w:val="20"/>
                <w:szCs w:val="20"/>
              </w:rPr>
              <w:t>1.967</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D069D7E" w14:textId="77777777" w:rsidR="00F5390F" w:rsidRDefault="00EF0F69">
            <w:pPr>
              <w:jc w:val="center"/>
              <w:rPr>
                <w:rFonts w:ascii="Arial" w:eastAsia="Arial" w:hAnsi="Arial" w:cs="Arial"/>
                <w:sz w:val="20"/>
                <w:szCs w:val="20"/>
              </w:rPr>
            </w:pPr>
            <w:r>
              <w:rPr>
                <w:rFonts w:ascii="Arial" w:eastAsia="Arial" w:hAnsi="Arial" w:cs="Arial"/>
                <w:sz w:val="20"/>
                <w:szCs w:val="20"/>
              </w:rPr>
              <w:t>0.504</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1D4C4E9" w14:textId="77777777" w:rsidR="00F5390F" w:rsidRDefault="00EF0F69">
            <w:pPr>
              <w:jc w:val="center"/>
              <w:rPr>
                <w:rFonts w:ascii="Arial" w:eastAsia="Arial" w:hAnsi="Arial" w:cs="Arial"/>
                <w:sz w:val="20"/>
                <w:szCs w:val="20"/>
              </w:rPr>
            </w:pPr>
            <w:r>
              <w:rPr>
                <w:rFonts w:ascii="Arial" w:eastAsia="Arial" w:hAnsi="Arial" w:cs="Arial"/>
                <w:sz w:val="20"/>
                <w:szCs w:val="20"/>
              </w:rPr>
              <w:t>0.972</w:t>
            </w:r>
          </w:p>
        </w:tc>
      </w:tr>
      <w:tr w:rsidR="00F5390F" w14:paraId="50F49D29"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6477CB5"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F87FB7A" w14:textId="77777777" w:rsidR="00F5390F" w:rsidRDefault="00EF0F69">
            <w:pPr>
              <w:jc w:val="center"/>
              <w:rPr>
                <w:rFonts w:ascii="Arial" w:eastAsia="Arial" w:hAnsi="Arial" w:cs="Arial"/>
                <w:sz w:val="20"/>
                <w:szCs w:val="20"/>
              </w:rPr>
            </w:pPr>
            <w:r>
              <w:rPr>
                <w:rFonts w:ascii="Arial" w:eastAsia="Arial" w:hAnsi="Arial" w:cs="Arial"/>
                <w:sz w:val="20"/>
                <w:szCs w:val="20"/>
              </w:rPr>
              <w:t>24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EC75B59" w14:textId="77777777" w:rsidR="00F5390F" w:rsidRDefault="00EF0F69">
            <w:pPr>
              <w:jc w:val="center"/>
              <w:rPr>
                <w:rFonts w:ascii="Arial" w:eastAsia="Arial" w:hAnsi="Arial" w:cs="Arial"/>
                <w:sz w:val="20"/>
                <w:szCs w:val="20"/>
              </w:rPr>
            </w:pPr>
            <w:r>
              <w:rPr>
                <w:rFonts w:ascii="Arial" w:eastAsia="Arial" w:hAnsi="Arial" w:cs="Arial"/>
                <w:sz w:val="20"/>
                <w:szCs w:val="20"/>
              </w:rPr>
              <w:t>1.202</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108520D" w14:textId="77777777" w:rsidR="00F5390F" w:rsidRDefault="00EF0F69">
            <w:pPr>
              <w:jc w:val="center"/>
              <w:rPr>
                <w:rFonts w:ascii="Arial" w:eastAsia="Arial" w:hAnsi="Arial" w:cs="Arial"/>
                <w:sz w:val="20"/>
                <w:szCs w:val="20"/>
              </w:rPr>
            </w:pPr>
            <w:r>
              <w:rPr>
                <w:rFonts w:ascii="Arial" w:eastAsia="Arial" w:hAnsi="Arial" w:cs="Arial"/>
                <w:sz w:val="20"/>
                <w:szCs w:val="20"/>
              </w:rPr>
              <w:t>1.152</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740AC11" w14:textId="77777777" w:rsidR="00F5390F" w:rsidRDefault="00EF0F69">
            <w:pPr>
              <w:jc w:val="center"/>
              <w:rPr>
                <w:rFonts w:ascii="Arial" w:eastAsia="Arial" w:hAnsi="Arial" w:cs="Arial"/>
                <w:sz w:val="20"/>
                <w:szCs w:val="20"/>
              </w:rPr>
            </w:pPr>
            <w:r>
              <w:rPr>
                <w:rFonts w:ascii="Arial" w:eastAsia="Arial" w:hAnsi="Arial" w:cs="Arial"/>
                <w:sz w:val="20"/>
                <w:szCs w:val="20"/>
              </w:rPr>
              <w:t>1.086</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715DEDF" w14:textId="77777777" w:rsidR="00F5390F" w:rsidRDefault="00EF0F69">
            <w:pPr>
              <w:jc w:val="center"/>
              <w:rPr>
                <w:rFonts w:ascii="Arial" w:eastAsia="Arial" w:hAnsi="Arial" w:cs="Arial"/>
                <w:sz w:val="20"/>
                <w:szCs w:val="20"/>
              </w:rPr>
            </w:pPr>
            <w:r>
              <w:rPr>
                <w:rFonts w:ascii="Arial" w:eastAsia="Arial" w:hAnsi="Arial" w:cs="Arial"/>
                <w:sz w:val="20"/>
                <w:szCs w:val="20"/>
              </w:rPr>
              <w:t>1.134</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D13CA8F" w14:textId="77777777" w:rsidR="00F5390F" w:rsidRDefault="00EF0F69">
            <w:pPr>
              <w:jc w:val="center"/>
              <w:rPr>
                <w:rFonts w:ascii="Arial" w:eastAsia="Arial" w:hAnsi="Arial" w:cs="Arial"/>
                <w:sz w:val="20"/>
                <w:szCs w:val="20"/>
              </w:rPr>
            </w:pPr>
            <w:r>
              <w:rPr>
                <w:rFonts w:ascii="Arial" w:eastAsia="Arial" w:hAnsi="Arial" w:cs="Arial"/>
                <w:sz w:val="20"/>
                <w:szCs w:val="20"/>
              </w:rPr>
              <w:t>1.168</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B4E969B" w14:textId="77777777" w:rsidR="00F5390F" w:rsidRDefault="00EF0F69">
            <w:pPr>
              <w:jc w:val="center"/>
              <w:rPr>
                <w:rFonts w:ascii="Arial" w:eastAsia="Arial" w:hAnsi="Arial" w:cs="Arial"/>
                <w:sz w:val="20"/>
                <w:szCs w:val="20"/>
              </w:rPr>
            </w:pPr>
            <w:r>
              <w:rPr>
                <w:rFonts w:ascii="Arial" w:eastAsia="Arial" w:hAnsi="Arial" w:cs="Arial"/>
                <w:sz w:val="20"/>
                <w:szCs w:val="20"/>
              </w:rPr>
              <w:t>0.937</w:t>
            </w:r>
          </w:p>
        </w:tc>
      </w:tr>
      <w:tr w:rsidR="00F5390F" w14:paraId="5DA8AB1D"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33E1A77" w14:textId="77777777" w:rsidR="00F5390F" w:rsidRDefault="00EF0F69">
            <w:pPr>
              <w:jc w:val="center"/>
              <w:rPr>
                <w:rFonts w:ascii="Arial" w:eastAsia="Arial" w:hAnsi="Arial" w:cs="Arial"/>
                <w:sz w:val="20"/>
                <w:szCs w:val="20"/>
              </w:rPr>
            </w:pPr>
            <w:r>
              <w:rPr>
                <w:rFonts w:ascii="Arial" w:eastAsia="Arial" w:hAnsi="Arial" w:cs="Arial"/>
                <w:sz w:val="20"/>
                <w:szCs w:val="20"/>
              </w:rPr>
              <w:t>B. subtilis</w:t>
            </w: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08A28A4" w14:textId="77777777" w:rsidR="00F5390F" w:rsidRDefault="00EF0F69">
            <w:pPr>
              <w:jc w:val="center"/>
              <w:rPr>
                <w:rFonts w:ascii="Arial" w:eastAsia="Arial" w:hAnsi="Arial" w:cs="Arial"/>
                <w:sz w:val="20"/>
                <w:szCs w:val="20"/>
              </w:rPr>
            </w:pPr>
            <w:r>
              <w:rPr>
                <w:rFonts w:ascii="Arial" w:eastAsia="Arial" w:hAnsi="Arial" w:cs="Arial"/>
                <w:sz w:val="20"/>
                <w:szCs w:val="20"/>
              </w:rPr>
              <w:t>2</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F45D427" w14:textId="77777777" w:rsidR="00F5390F" w:rsidRDefault="00EF0F69">
            <w:pPr>
              <w:jc w:val="center"/>
              <w:rPr>
                <w:rFonts w:ascii="Arial" w:eastAsia="Arial" w:hAnsi="Arial" w:cs="Arial"/>
                <w:sz w:val="20"/>
                <w:szCs w:val="20"/>
              </w:rPr>
            </w:pPr>
            <w:r>
              <w:rPr>
                <w:rFonts w:ascii="Arial" w:eastAsia="Arial" w:hAnsi="Arial" w:cs="Arial"/>
                <w:sz w:val="20"/>
                <w:szCs w:val="20"/>
              </w:rPr>
              <w:t>1.511</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4E894F6" w14:textId="77777777" w:rsidR="00F5390F" w:rsidRDefault="00EF0F69">
            <w:pPr>
              <w:jc w:val="center"/>
              <w:rPr>
                <w:rFonts w:ascii="Arial" w:eastAsia="Arial" w:hAnsi="Arial" w:cs="Arial"/>
                <w:sz w:val="20"/>
                <w:szCs w:val="20"/>
              </w:rPr>
            </w:pPr>
            <w:r>
              <w:rPr>
                <w:rFonts w:ascii="Arial" w:eastAsia="Arial" w:hAnsi="Arial" w:cs="Arial"/>
                <w:sz w:val="20"/>
                <w:szCs w:val="20"/>
              </w:rPr>
              <w:t>1.547</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9A7956E" w14:textId="77777777" w:rsidR="00F5390F" w:rsidRDefault="00EF0F69">
            <w:pPr>
              <w:jc w:val="center"/>
              <w:rPr>
                <w:rFonts w:ascii="Arial" w:eastAsia="Arial" w:hAnsi="Arial" w:cs="Arial"/>
                <w:sz w:val="20"/>
                <w:szCs w:val="20"/>
              </w:rPr>
            </w:pPr>
            <w:r>
              <w:rPr>
                <w:rFonts w:ascii="Arial" w:eastAsia="Arial" w:hAnsi="Arial" w:cs="Arial"/>
                <w:sz w:val="20"/>
                <w:szCs w:val="20"/>
              </w:rPr>
              <w:t>1.518</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D1C84AA" w14:textId="77777777" w:rsidR="00F5390F" w:rsidRDefault="00EF0F69">
            <w:pPr>
              <w:jc w:val="center"/>
              <w:rPr>
                <w:rFonts w:ascii="Arial" w:eastAsia="Arial" w:hAnsi="Arial" w:cs="Arial"/>
                <w:sz w:val="20"/>
                <w:szCs w:val="20"/>
              </w:rPr>
            </w:pPr>
            <w:r>
              <w:rPr>
                <w:rFonts w:ascii="Arial" w:eastAsia="Arial" w:hAnsi="Arial" w:cs="Arial"/>
                <w:sz w:val="20"/>
                <w:szCs w:val="20"/>
              </w:rPr>
              <w:t>1.521</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A1A3038" w14:textId="77777777" w:rsidR="00F5390F" w:rsidRDefault="00EF0F69">
            <w:pPr>
              <w:jc w:val="center"/>
              <w:rPr>
                <w:rFonts w:ascii="Arial" w:eastAsia="Arial" w:hAnsi="Arial" w:cs="Arial"/>
                <w:sz w:val="20"/>
                <w:szCs w:val="20"/>
              </w:rPr>
            </w:pPr>
            <w:r>
              <w:rPr>
                <w:rFonts w:ascii="Arial" w:eastAsia="Arial" w:hAnsi="Arial" w:cs="Arial"/>
                <w:sz w:val="20"/>
                <w:szCs w:val="20"/>
              </w:rPr>
              <w:t>1.512</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9B8B29B" w14:textId="77777777" w:rsidR="00F5390F" w:rsidRDefault="00EF0F69">
            <w:pPr>
              <w:jc w:val="center"/>
              <w:rPr>
                <w:rFonts w:ascii="Arial" w:eastAsia="Arial" w:hAnsi="Arial" w:cs="Arial"/>
                <w:sz w:val="20"/>
                <w:szCs w:val="20"/>
              </w:rPr>
            </w:pPr>
            <w:r>
              <w:rPr>
                <w:rFonts w:ascii="Arial" w:eastAsia="Arial" w:hAnsi="Arial" w:cs="Arial"/>
                <w:sz w:val="20"/>
                <w:szCs w:val="20"/>
              </w:rPr>
              <w:t>1.488</w:t>
            </w:r>
          </w:p>
        </w:tc>
      </w:tr>
      <w:tr w:rsidR="00F5390F" w14:paraId="4476DC7A"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AB96A54"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630D67C" w14:textId="77777777" w:rsidR="00F5390F" w:rsidRDefault="00EF0F69">
            <w:pPr>
              <w:jc w:val="center"/>
              <w:rPr>
                <w:rFonts w:ascii="Arial" w:eastAsia="Arial" w:hAnsi="Arial" w:cs="Arial"/>
                <w:sz w:val="20"/>
                <w:szCs w:val="20"/>
              </w:rPr>
            </w:pPr>
            <w:r>
              <w:rPr>
                <w:rFonts w:ascii="Arial" w:eastAsia="Arial" w:hAnsi="Arial" w:cs="Arial"/>
                <w:sz w:val="20"/>
                <w:szCs w:val="20"/>
              </w:rPr>
              <w:t>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AA10ED7" w14:textId="77777777" w:rsidR="00F5390F" w:rsidRDefault="00EF0F69">
            <w:pPr>
              <w:jc w:val="center"/>
              <w:rPr>
                <w:rFonts w:ascii="Arial" w:eastAsia="Arial" w:hAnsi="Arial" w:cs="Arial"/>
                <w:sz w:val="20"/>
                <w:szCs w:val="20"/>
              </w:rPr>
            </w:pPr>
            <w:r>
              <w:rPr>
                <w:rFonts w:ascii="Arial" w:eastAsia="Arial" w:hAnsi="Arial" w:cs="Arial"/>
                <w:sz w:val="20"/>
                <w:szCs w:val="20"/>
              </w:rPr>
              <w:t>0.622</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FC325FF" w14:textId="77777777" w:rsidR="00F5390F" w:rsidRDefault="00EF0F69">
            <w:pPr>
              <w:jc w:val="center"/>
              <w:rPr>
                <w:rFonts w:ascii="Arial" w:eastAsia="Arial" w:hAnsi="Arial" w:cs="Arial"/>
                <w:sz w:val="20"/>
                <w:szCs w:val="20"/>
              </w:rPr>
            </w:pPr>
            <w:r>
              <w:rPr>
                <w:rFonts w:ascii="Arial" w:eastAsia="Arial" w:hAnsi="Arial" w:cs="Arial"/>
                <w:sz w:val="20"/>
                <w:szCs w:val="20"/>
              </w:rPr>
              <w:t>0.53</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C9583F4" w14:textId="77777777" w:rsidR="00F5390F" w:rsidRDefault="00EF0F69">
            <w:pPr>
              <w:jc w:val="center"/>
              <w:rPr>
                <w:rFonts w:ascii="Arial" w:eastAsia="Arial" w:hAnsi="Arial" w:cs="Arial"/>
                <w:sz w:val="20"/>
                <w:szCs w:val="20"/>
              </w:rPr>
            </w:pPr>
            <w:r>
              <w:rPr>
                <w:rFonts w:ascii="Arial" w:eastAsia="Arial" w:hAnsi="Arial" w:cs="Arial"/>
                <w:sz w:val="20"/>
                <w:szCs w:val="20"/>
              </w:rPr>
              <w:t>1.816</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EF3D2B9" w14:textId="77777777" w:rsidR="00F5390F" w:rsidRDefault="00EF0F69">
            <w:pPr>
              <w:jc w:val="center"/>
              <w:rPr>
                <w:rFonts w:ascii="Arial" w:eastAsia="Arial" w:hAnsi="Arial" w:cs="Arial"/>
                <w:sz w:val="20"/>
                <w:szCs w:val="20"/>
              </w:rPr>
            </w:pPr>
            <w:r>
              <w:rPr>
                <w:rFonts w:ascii="Arial" w:eastAsia="Arial" w:hAnsi="Arial" w:cs="Arial"/>
                <w:sz w:val="20"/>
                <w:szCs w:val="20"/>
              </w:rPr>
              <w:t>1.999</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AE7EE0E" w14:textId="77777777" w:rsidR="00F5390F" w:rsidRDefault="00EF0F69">
            <w:pPr>
              <w:jc w:val="center"/>
              <w:rPr>
                <w:rFonts w:ascii="Arial" w:eastAsia="Arial" w:hAnsi="Arial" w:cs="Arial"/>
                <w:sz w:val="20"/>
                <w:szCs w:val="20"/>
              </w:rPr>
            </w:pPr>
            <w:r>
              <w:rPr>
                <w:rFonts w:ascii="Arial" w:eastAsia="Arial" w:hAnsi="Arial" w:cs="Arial"/>
                <w:sz w:val="20"/>
                <w:szCs w:val="20"/>
              </w:rPr>
              <w:t>0.52</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EA469AD" w14:textId="77777777" w:rsidR="00F5390F" w:rsidRDefault="00EF0F69">
            <w:pPr>
              <w:jc w:val="center"/>
              <w:rPr>
                <w:rFonts w:ascii="Arial" w:eastAsia="Arial" w:hAnsi="Arial" w:cs="Arial"/>
                <w:sz w:val="20"/>
                <w:szCs w:val="20"/>
              </w:rPr>
            </w:pPr>
            <w:r>
              <w:rPr>
                <w:rFonts w:ascii="Arial" w:eastAsia="Arial" w:hAnsi="Arial" w:cs="Arial"/>
                <w:sz w:val="20"/>
                <w:szCs w:val="20"/>
              </w:rPr>
              <w:t>0.966</w:t>
            </w:r>
          </w:p>
        </w:tc>
      </w:tr>
      <w:tr w:rsidR="00F5390F" w14:paraId="5D64C51A"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EF50ADD"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9AE9242" w14:textId="77777777" w:rsidR="00F5390F" w:rsidRDefault="00EF0F69">
            <w:pPr>
              <w:jc w:val="center"/>
              <w:rPr>
                <w:rFonts w:ascii="Arial" w:eastAsia="Arial" w:hAnsi="Arial" w:cs="Arial"/>
                <w:sz w:val="20"/>
                <w:szCs w:val="20"/>
              </w:rPr>
            </w:pPr>
            <w:r>
              <w:rPr>
                <w:rFonts w:ascii="Arial" w:eastAsia="Arial" w:hAnsi="Arial" w:cs="Arial"/>
                <w:sz w:val="20"/>
                <w:szCs w:val="20"/>
              </w:rPr>
              <w:t>24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92DBCDF" w14:textId="77777777" w:rsidR="00F5390F" w:rsidRDefault="00EF0F69">
            <w:pPr>
              <w:jc w:val="center"/>
              <w:rPr>
                <w:rFonts w:ascii="Arial" w:eastAsia="Arial" w:hAnsi="Arial" w:cs="Arial"/>
                <w:sz w:val="20"/>
                <w:szCs w:val="20"/>
              </w:rPr>
            </w:pPr>
            <w:r>
              <w:rPr>
                <w:rFonts w:ascii="Arial" w:eastAsia="Arial" w:hAnsi="Arial" w:cs="Arial"/>
                <w:sz w:val="20"/>
                <w:szCs w:val="20"/>
              </w:rPr>
              <w:t>0.688</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AB3C17A" w14:textId="77777777" w:rsidR="00F5390F" w:rsidRDefault="00EF0F69">
            <w:pPr>
              <w:jc w:val="center"/>
              <w:rPr>
                <w:rFonts w:ascii="Arial" w:eastAsia="Arial" w:hAnsi="Arial" w:cs="Arial"/>
                <w:sz w:val="20"/>
                <w:szCs w:val="20"/>
              </w:rPr>
            </w:pPr>
            <w:r>
              <w:rPr>
                <w:rFonts w:ascii="Arial" w:eastAsia="Arial" w:hAnsi="Arial" w:cs="Arial"/>
                <w:sz w:val="20"/>
                <w:szCs w:val="20"/>
              </w:rPr>
              <w:t>0.657</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D1258F0" w14:textId="77777777" w:rsidR="00F5390F" w:rsidRDefault="00EF0F69">
            <w:pPr>
              <w:jc w:val="center"/>
              <w:rPr>
                <w:rFonts w:ascii="Arial" w:eastAsia="Arial" w:hAnsi="Arial" w:cs="Arial"/>
                <w:sz w:val="20"/>
                <w:szCs w:val="20"/>
              </w:rPr>
            </w:pPr>
            <w:r>
              <w:rPr>
                <w:rFonts w:ascii="Arial" w:eastAsia="Arial" w:hAnsi="Arial" w:cs="Arial"/>
                <w:sz w:val="20"/>
                <w:szCs w:val="20"/>
              </w:rPr>
              <w:t>0.638</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3EAAD15" w14:textId="77777777" w:rsidR="00F5390F" w:rsidRDefault="00EF0F69">
            <w:pPr>
              <w:jc w:val="center"/>
              <w:rPr>
                <w:rFonts w:ascii="Arial" w:eastAsia="Arial" w:hAnsi="Arial" w:cs="Arial"/>
                <w:sz w:val="20"/>
                <w:szCs w:val="20"/>
              </w:rPr>
            </w:pPr>
            <w:r>
              <w:rPr>
                <w:rFonts w:ascii="Arial" w:eastAsia="Arial" w:hAnsi="Arial" w:cs="Arial"/>
                <w:sz w:val="20"/>
                <w:szCs w:val="20"/>
              </w:rPr>
              <w:t>0.671</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CFEB374" w14:textId="77777777" w:rsidR="00F5390F" w:rsidRDefault="00EF0F69">
            <w:pPr>
              <w:jc w:val="center"/>
              <w:rPr>
                <w:rFonts w:ascii="Arial" w:eastAsia="Arial" w:hAnsi="Arial" w:cs="Arial"/>
                <w:sz w:val="20"/>
                <w:szCs w:val="20"/>
              </w:rPr>
            </w:pPr>
            <w:r>
              <w:rPr>
                <w:rFonts w:ascii="Arial" w:eastAsia="Arial" w:hAnsi="Arial" w:cs="Arial"/>
                <w:sz w:val="20"/>
                <w:szCs w:val="20"/>
              </w:rPr>
              <w:t>0.665</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2374527" w14:textId="77777777" w:rsidR="00F5390F" w:rsidRDefault="00EF0F69">
            <w:pPr>
              <w:jc w:val="center"/>
              <w:rPr>
                <w:rFonts w:ascii="Arial" w:eastAsia="Arial" w:hAnsi="Arial" w:cs="Arial"/>
                <w:sz w:val="20"/>
                <w:szCs w:val="20"/>
              </w:rPr>
            </w:pPr>
            <w:r>
              <w:rPr>
                <w:rFonts w:ascii="Arial" w:eastAsia="Arial" w:hAnsi="Arial" w:cs="Arial"/>
                <w:sz w:val="20"/>
                <w:szCs w:val="20"/>
              </w:rPr>
              <w:t>0.643</w:t>
            </w:r>
          </w:p>
        </w:tc>
      </w:tr>
    </w:tbl>
    <w:p w14:paraId="7DEA71C6" w14:textId="77777777" w:rsidR="00F5390F" w:rsidRDefault="00EF0F69">
      <w:pPr>
        <w:spacing w:before="80" w:after="160"/>
        <w:rPr>
          <w:rFonts w:ascii="Arial" w:eastAsia="Arial" w:hAnsi="Arial" w:cs="Arial"/>
          <w:sz w:val="20"/>
          <w:szCs w:val="20"/>
        </w:rPr>
      </w:pPr>
      <w:r>
        <w:rPr>
          <w:rFonts w:ascii="Arial" w:eastAsia="Arial" w:hAnsi="Arial" w:cs="Arial"/>
          <w:i/>
          <w:iCs/>
          <w:sz w:val="20"/>
          <w:szCs w:val="20"/>
        </w:rPr>
        <w:t xml:space="preserve">PC = Positive Control (1% sanitizer only); RC = Reference Control (sigma </w:t>
      </w:r>
      <w:proofErr w:type="spellStart"/>
      <w:r>
        <w:rPr>
          <w:rFonts w:ascii="Arial" w:eastAsia="Arial" w:hAnsi="Arial" w:cs="Arial"/>
          <w:i/>
          <w:iCs/>
          <w:sz w:val="20"/>
          <w:szCs w:val="20"/>
        </w:rPr>
        <w:t>AgNPs</w:t>
      </w:r>
      <w:proofErr w:type="spellEnd"/>
      <w:r>
        <w:rPr>
          <w:rFonts w:ascii="Arial" w:eastAsia="Arial" w:hAnsi="Arial" w:cs="Arial"/>
          <w:i/>
          <w:iCs/>
          <w:sz w:val="20"/>
          <w:szCs w:val="20"/>
        </w:rPr>
        <w:t xml:space="preserve"> only, no sanitizer); NC = Negative Control (bacterial culture only, no treatment); San = Sanitizer; NP = Silver Nanoparticles. Experimental procedure: Three bacterial strains (B. subtilis, S. aureus, E. coli) were inoculated (0.4% v/v, 200 µL) into 50 mL Luria Broth (1.25 g/50 mL distilled water, autoclaved at 121°C for 15-20 min) and incubated at room temperature on a shaker for 20-24 h. </w:t>
      </w:r>
      <w:proofErr w:type="spellStart"/>
      <w:r>
        <w:rPr>
          <w:rFonts w:ascii="Arial" w:eastAsia="Arial" w:hAnsi="Arial" w:cs="Arial"/>
          <w:i/>
          <w:iCs/>
          <w:sz w:val="20"/>
          <w:szCs w:val="20"/>
        </w:rPr>
        <w:t>AgNPs</w:t>
      </w:r>
      <w:proofErr w:type="spellEnd"/>
      <w:r>
        <w:rPr>
          <w:rFonts w:ascii="Arial" w:eastAsia="Arial" w:hAnsi="Arial" w:cs="Arial"/>
          <w:i/>
          <w:iCs/>
          <w:sz w:val="20"/>
          <w:szCs w:val="20"/>
        </w:rPr>
        <w:t xml:space="preserve"> were chemically synthesized and characterized by UV-Visible spectroscopy. Six treatment groups were prepared per strain in 5 mL LB medium: (1) PC: 1% sanitizer only; (2) RC: </w:t>
      </w:r>
      <w:proofErr w:type="spellStart"/>
      <w:r>
        <w:rPr>
          <w:rFonts w:ascii="Arial" w:eastAsia="Arial" w:hAnsi="Arial" w:cs="Arial"/>
          <w:i/>
          <w:iCs/>
          <w:sz w:val="20"/>
          <w:szCs w:val="20"/>
        </w:rPr>
        <w:t>AgNPs</w:t>
      </w:r>
      <w:proofErr w:type="spellEnd"/>
      <w:r>
        <w:rPr>
          <w:rFonts w:ascii="Arial" w:eastAsia="Arial" w:hAnsi="Arial" w:cs="Arial"/>
          <w:i/>
          <w:iCs/>
          <w:sz w:val="20"/>
          <w:szCs w:val="20"/>
        </w:rPr>
        <w:t xml:space="preserve"> only; (3) NC: bacteria only; (4) 1% sanitizer + 0.10% </w:t>
      </w:r>
      <w:proofErr w:type="spellStart"/>
      <w:r>
        <w:rPr>
          <w:rFonts w:ascii="Arial" w:eastAsia="Arial" w:hAnsi="Arial" w:cs="Arial"/>
          <w:i/>
          <w:iCs/>
          <w:sz w:val="20"/>
          <w:szCs w:val="20"/>
        </w:rPr>
        <w:t>AgNPs</w:t>
      </w:r>
      <w:proofErr w:type="spellEnd"/>
      <w:r>
        <w:rPr>
          <w:rFonts w:ascii="Arial" w:eastAsia="Arial" w:hAnsi="Arial" w:cs="Arial"/>
          <w:i/>
          <w:iCs/>
          <w:sz w:val="20"/>
          <w:szCs w:val="20"/>
        </w:rPr>
        <w:t xml:space="preserve">; (5) 1% sanitizer + 0.25% </w:t>
      </w:r>
      <w:proofErr w:type="spellStart"/>
      <w:r>
        <w:rPr>
          <w:rFonts w:ascii="Arial" w:eastAsia="Arial" w:hAnsi="Arial" w:cs="Arial"/>
          <w:i/>
          <w:iCs/>
          <w:sz w:val="20"/>
          <w:szCs w:val="20"/>
        </w:rPr>
        <w:t>AgNPs</w:t>
      </w:r>
      <w:proofErr w:type="spellEnd"/>
      <w:r>
        <w:rPr>
          <w:rFonts w:ascii="Arial" w:eastAsia="Arial" w:hAnsi="Arial" w:cs="Arial"/>
          <w:i/>
          <w:iCs/>
          <w:sz w:val="20"/>
          <w:szCs w:val="20"/>
        </w:rPr>
        <w:t xml:space="preserve">; (6) 1% sanitizer + 0.50% </w:t>
      </w:r>
      <w:proofErr w:type="spellStart"/>
      <w:r>
        <w:rPr>
          <w:rFonts w:ascii="Arial" w:eastAsia="Arial" w:hAnsi="Arial" w:cs="Arial"/>
          <w:i/>
          <w:iCs/>
          <w:sz w:val="20"/>
          <w:szCs w:val="20"/>
        </w:rPr>
        <w:t>AgNPs</w:t>
      </w:r>
      <w:proofErr w:type="spellEnd"/>
      <w:r>
        <w:rPr>
          <w:rFonts w:ascii="Arial" w:eastAsia="Arial" w:hAnsi="Arial" w:cs="Arial"/>
          <w:i/>
          <w:iCs/>
          <w:sz w:val="20"/>
          <w:szCs w:val="20"/>
        </w:rPr>
        <w:t>. OD600 was measured at 2, 4, and 24 h post-inoculation. All measurements performed in triplicate; average values reported.</w:t>
      </w:r>
    </w:p>
    <w:p w14:paraId="261BB862" w14:textId="77777777" w:rsidR="00F5390F" w:rsidRDefault="00F5390F">
      <w:pPr>
        <w:spacing w:before="160" w:after="80"/>
        <w:rPr>
          <w:rFonts w:ascii="Arial" w:eastAsia="Arial" w:hAnsi="Arial" w:cs="Arial"/>
          <w:sz w:val="20"/>
          <w:szCs w:val="20"/>
        </w:rPr>
      </w:pPr>
    </w:p>
    <w:p w14:paraId="107D6065" w14:textId="77777777" w:rsidR="00F5390F" w:rsidRDefault="00EF0F69">
      <w:pPr>
        <w:spacing w:after="160"/>
        <w:rPr>
          <w:rFonts w:ascii="Arial" w:eastAsia="Arial" w:hAnsi="Arial" w:cs="Arial"/>
          <w:sz w:val="20"/>
          <w:szCs w:val="20"/>
        </w:rPr>
      </w:pPr>
      <w:r>
        <w:rPr>
          <w:rFonts w:ascii="Arial" w:eastAsia="Arial" w:hAnsi="Arial" w:cs="Arial"/>
          <w:noProof/>
          <w:sz w:val="20"/>
          <w:szCs w:val="20"/>
        </w:rPr>
        <w:drawing>
          <wp:inline distT="0" distB="0" distL="0" distR="0" wp14:anchorId="6988CC68" wp14:editId="4016997B">
            <wp:extent cx="6237923" cy="32956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237923" cy="3295650"/>
                    </a:xfrm>
                    <a:prstGeom prst="rect">
                      <a:avLst/>
                    </a:prstGeom>
                    <a:ln/>
                  </pic:spPr>
                </pic:pic>
              </a:graphicData>
            </a:graphic>
          </wp:inline>
        </w:drawing>
      </w:r>
      <w:r>
        <w:rPr>
          <w:rFonts w:ascii="Arial" w:eastAsia="Arial" w:hAnsi="Arial" w:cs="Arial"/>
          <w:b/>
          <w:bCs/>
          <w:sz w:val="20"/>
          <w:szCs w:val="20"/>
        </w:rPr>
        <w:t xml:space="preserve">Figure 1 </w:t>
      </w:r>
      <w:r>
        <w:rPr>
          <w:rFonts w:ascii="Arial" w:eastAsia="Arial" w:hAnsi="Arial" w:cs="Arial"/>
          <w:sz w:val="20"/>
          <w:szCs w:val="20"/>
        </w:rPr>
        <w:t>Time-course optical density (OD</w:t>
      </w:r>
      <w:r>
        <w:rPr>
          <w:rFonts w:ascii="Arial" w:eastAsia="Arial" w:hAnsi="Arial" w:cs="Arial"/>
          <w:sz w:val="20"/>
          <w:szCs w:val="20"/>
          <w:vertAlign w:val="subscript"/>
        </w:rPr>
        <w:t>600</w:t>
      </w:r>
      <w:r>
        <w:rPr>
          <w:rFonts w:ascii="Arial" w:eastAsia="Arial" w:hAnsi="Arial" w:cs="Arial"/>
          <w:sz w:val="20"/>
          <w:szCs w:val="20"/>
        </w:rPr>
        <w:t xml:space="preserve">) of (A) </w:t>
      </w:r>
      <w:r>
        <w:rPr>
          <w:rFonts w:ascii="Arial" w:eastAsia="Arial" w:hAnsi="Arial" w:cs="Arial"/>
          <w:i/>
          <w:iCs/>
          <w:sz w:val="20"/>
          <w:szCs w:val="20"/>
        </w:rPr>
        <w:t>S. aureus</w:t>
      </w:r>
      <w:r>
        <w:rPr>
          <w:rFonts w:ascii="Arial" w:eastAsia="Arial" w:hAnsi="Arial" w:cs="Arial"/>
          <w:sz w:val="20"/>
          <w:szCs w:val="20"/>
        </w:rPr>
        <w:t xml:space="preserve">, (B) </w:t>
      </w:r>
      <w:r>
        <w:rPr>
          <w:rFonts w:ascii="Arial" w:eastAsia="Arial" w:hAnsi="Arial" w:cs="Arial"/>
          <w:i/>
          <w:iCs/>
          <w:sz w:val="20"/>
          <w:szCs w:val="20"/>
        </w:rPr>
        <w:t>E. coli</w:t>
      </w:r>
      <w:r>
        <w:rPr>
          <w:rFonts w:ascii="Arial" w:eastAsia="Arial" w:hAnsi="Arial" w:cs="Arial"/>
          <w:sz w:val="20"/>
          <w:szCs w:val="20"/>
        </w:rPr>
        <w:t xml:space="preserve">, and (C) </w:t>
      </w:r>
      <w:r>
        <w:rPr>
          <w:rFonts w:ascii="Arial" w:eastAsia="Arial" w:hAnsi="Arial" w:cs="Arial"/>
          <w:i/>
          <w:iCs/>
          <w:sz w:val="20"/>
          <w:szCs w:val="20"/>
        </w:rPr>
        <w:t>B. subtilis</w:t>
      </w:r>
      <w:r>
        <w:rPr>
          <w:rFonts w:ascii="Arial" w:eastAsia="Arial" w:hAnsi="Arial" w:cs="Arial"/>
          <w:sz w:val="20"/>
          <w:szCs w:val="20"/>
        </w:rPr>
        <w:t xml:space="preserve"> cultures treated with 1% hand sanitizer combined with varying concentrations of </w:t>
      </w:r>
      <w:proofErr w:type="spellStart"/>
      <w:r>
        <w:rPr>
          <w:rFonts w:ascii="Arial" w:eastAsia="Arial" w:hAnsi="Arial" w:cs="Arial"/>
          <w:sz w:val="20"/>
          <w:szCs w:val="20"/>
        </w:rPr>
        <w:t>AgNPs</w:t>
      </w:r>
      <w:proofErr w:type="spellEnd"/>
      <w:r>
        <w:rPr>
          <w:rFonts w:ascii="Arial" w:eastAsia="Arial" w:hAnsi="Arial" w:cs="Arial"/>
          <w:sz w:val="20"/>
          <w:szCs w:val="20"/>
        </w:rPr>
        <w:t xml:space="preserve">. PC =positive control (1% sanitizer only); RC = reference control (sigma </w:t>
      </w:r>
      <w:proofErr w:type="spellStart"/>
      <w:r>
        <w:rPr>
          <w:rFonts w:ascii="Arial" w:eastAsia="Arial" w:hAnsi="Arial" w:cs="Arial"/>
          <w:sz w:val="20"/>
          <w:szCs w:val="20"/>
        </w:rPr>
        <w:t>AgNPs</w:t>
      </w:r>
      <w:proofErr w:type="spellEnd"/>
      <w:r>
        <w:rPr>
          <w:rFonts w:ascii="Arial" w:eastAsia="Arial" w:hAnsi="Arial" w:cs="Arial"/>
          <w:sz w:val="20"/>
          <w:szCs w:val="20"/>
        </w:rPr>
        <w:t xml:space="preserve"> only, no sanitizer); NC = negative control (bacterial culture only, no treatment). Data points represent mean values of three independent experiments.</w:t>
      </w:r>
    </w:p>
    <w:p w14:paraId="34E7BF89" w14:textId="77777777" w:rsidR="00F5390F" w:rsidRDefault="00EF0F69">
      <w:pPr>
        <w:spacing w:before="80" w:after="80"/>
        <w:jc w:val="center"/>
        <w:rPr>
          <w:rFonts w:ascii="Arial" w:eastAsia="Arial" w:hAnsi="Arial" w:cs="Arial"/>
          <w:sz w:val="20"/>
          <w:szCs w:val="20"/>
        </w:rPr>
      </w:pPr>
      <w:r>
        <w:rPr>
          <w:rFonts w:ascii="Arial" w:eastAsia="Arial" w:hAnsi="Arial" w:cs="Arial"/>
          <w:noProof/>
          <w:sz w:val="20"/>
          <w:szCs w:val="20"/>
        </w:rPr>
        <w:drawing>
          <wp:inline distT="0" distB="0" distL="0" distR="0" wp14:anchorId="3E0AEC82" wp14:editId="4420157D">
            <wp:extent cx="5926113" cy="277082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26113" cy="2770823"/>
                    </a:xfrm>
                    <a:prstGeom prst="rect">
                      <a:avLst/>
                    </a:prstGeom>
                    <a:ln/>
                  </pic:spPr>
                </pic:pic>
              </a:graphicData>
            </a:graphic>
          </wp:inline>
        </w:drawing>
      </w:r>
    </w:p>
    <w:p w14:paraId="39ABB121" w14:textId="77777777" w:rsidR="00F5390F" w:rsidRDefault="00EF0F69">
      <w:pPr>
        <w:spacing w:after="160"/>
        <w:rPr>
          <w:rFonts w:ascii="Arial" w:eastAsia="Arial" w:hAnsi="Arial" w:cs="Arial"/>
          <w:sz w:val="20"/>
          <w:szCs w:val="20"/>
        </w:rPr>
      </w:pPr>
      <w:r>
        <w:rPr>
          <w:rFonts w:ascii="Arial" w:eastAsia="Arial" w:hAnsi="Arial" w:cs="Arial"/>
          <w:b/>
          <w:bCs/>
          <w:sz w:val="20"/>
          <w:szCs w:val="20"/>
        </w:rPr>
        <w:t xml:space="preserve">Figure 2 </w:t>
      </w:r>
      <w:r>
        <w:rPr>
          <w:rFonts w:ascii="Arial" w:eastAsia="Arial" w:hAnsi="Arial" w:cs="Arial"/>
          <w:sz w:val="20"/>
          <w:szCs w:val="20"/>
        </w:rPr>
        <w:t>Comparative OD</w:t>
      </w:r>
      <w:r>
        <w:rPr>
          <w:rFonts w:ascii="Arial" w:eastAsia="Arial" w:hAnsi="Arial" w:cs="Arial"/>
          <w:sz w:val="20"/>
          <w:szCs w:val="20"/>
          <w:vertAlign w:val="subscript"/>
        </w:rPr>
        <w:t>600</w:t>
      </w:r>
      <w:r>
        <w:rPr>
          <w:rFonts w:ascii="Arial" w:eastAsia="Arial" w:hAnsi="Arial" w:cs="Arial"/>
          <w:sz w:val="20"/>
          <w:szCs w:val="20"/>
        </w:rPr>
        <w:t xml:space="preserve"> values at 4 h post-inoculation across all treatment groups for </w:t>
      </w:r>
      <w:r>
        <w:rPr>
          <w:rFonts w:ascii="Arial" w:eastAsia="Arial" w:hAnsi="Arial" w:cs="Arial"/>
          <w:i/>
          <w:iCs/>
          <w:sz w:val="20"/>
          <w:szCs w:val="20"/>
        </w:rPr>
        <w:t>S. aureus</w:t>
      </w:r>
      <w:r>
        <w:rPr>
          <w:rFonts w:ascii="Arial" w:eastAsia="Arial" w:hAnsi="Arial" w:cs="Arial"/>
          <w:sz w:val="20"/>
          <w:szCs w:val="20"/>
        </w:rPr>
        <w:t xml:space="preserve">,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The 4-hour time point represents the period of maximum divergence between treatment groups. Bars represent mean values of three independent experiments. PC = positive control (sanitizer only); RC = reference control (sigma </w:t>
      </w:r>
      <w:proofErr w:type="spellStart"/>
      <w:r>
        <w:rPr>
          <w:rFonts w:ascii="Arial" w:eastAsia="Arial" w:hAnsi="Arial" w:cs="Arial"/>
          <w:sz w:val="20"/>
          <w:szCs w:val="20"/>
        </w:rPr>
        <w:t>AgNPs</w:t>
      </w:r>
      <w:proofErr w:type="spellEnd"/>
      <w:r>
        <w:rPr>
          <w:rFonts w:ascii="Arial" w:eastAsia="Arial" w:hAnsi="Arial" w:cs="Arial"/>
          <w:sz w:val="20"/>
          <w:szCs w:val="20"/>
        </w:rPr>
        <w:t xml:space="preserve"> only); NC = negative control (bacteria only).</w:t>
      </w:r>
    </w:p>
    <w:p w14:paraId="0AB707F9" w14:textId="77777777" w:rsidR="00F5390F" w:rsidRDefault="00F5390F">
      <w:pPr>
        <w:spacing w:before="160" w:after="80"/>
        <w:rPr>
          <w:rFonts w:ascii="Arial" w:eastAsia="Arial" w:hAnsi="Arial" w:cs="Arial"/>
          <w:sz w:val="20"/>
          <w:szCs w:val="20"/>
        </w:rPr>
      </w:pPr>
    </w:p>
    <w:p w14:paraId="2AB98BCA" w14:textId="77777777" w:rsidR="00F5390F" w:rsidRDefault="00EF0F69">
      <w:pPr>
        <w:spacing w:before="160" w:after="80"/>
        <w:rPr>
          <w:rFonts w:ascii="Arial" w:eastAsia="Arial" w:hAnsi="Arial" w:cs="Arial"/>
          <w:sz w:val="22"/>
          <w:szCs w:val="22"/>
        </w:rPr>
      </w:pPr>
      <w:r>
        <w:rPr>
          <w:rFonts w:ascii="Arial" w:eastAsia="Arial" w:hAnsi="Arial" w:cs="Arial"/>
          <w:b/>
          <w:bCs/>
          <w:smallCaps/>
          <w:sz w:val="22"/>
          <w:szCs w:val="22"/>
        </w:rPr>
        <w:t>CONCLUSION</w:t>
      </w:r>
    </w:p>
    <w:p w14:paraId="2B347DEE"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This study demonstrates that the incorporation of silver nanoparticles into hand sanitizer formulations can significantly enhance antimicrobial efficacy against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The optimum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was organism-dependent: 0.25% </w:t>
      </w:r>
      <w:proofErr w:type="spellStart"/>
      <w:r>
        <w:rPr>
          <w:rFonts w:ascii="Arial" w:eastAsia="Arial" w:hAnsi="Arial" w:cs="Arial"/>
          <w:sz w:val="20"/>
          <w:szCs w:val="20"/>
        </w:rPr>
        <w:t>AgNP</w:t>
      </w:r>
      <w:proofErr w:type="spellEnd"/>
      <w:r>
        <w:rPr>
          <w:rFonts w:ascii="Arial" w:eastAsia="Arial" w:hAnsi="Arial" w:cs="Arial"/>
          <w:sz w:val="20"/>
          <w:szCs w:val="20"/>
        </w:rPr>
        <w:t xml:space="preserve"> combined with 1% sanitizer was most effective against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while 0.50% </w:t>
      </w:r>
      <w:proofErr w:type="spellStart"/>
      <w:r>
        <w:rPr>
          <w:rFonts w:ascii="Arial" w:eastAsia="Arial" w:hAnsi="Arial" w:cs="Arial"/>
          <w:sz w:val="20"/>
          <w:szCs w:val="20"/>
        </w:rPr>
        <w:t>AgNP</w:t>
      </w:r>
      <w:proofErr w:type="spellEnd"/>
      <w:r>
        <w:rPr>
          <w:rFonts w:ascii="Arial" w:eastAsia="Arial" w:hAnsi="Arial" w:cs="Arial"/>
          <w:sz w:val="20"/>
          <w:szCs w:val="20"/>
        </w:rPr>
        <w:t xml:space="preserve"> demonstrated superior and sustained inhibition of </w:t>
      </w:r>
      <w:r>
        <w:rPr>
          <w:rFonts w:ascii="Arial" w:eastAsia="Arial" w:hAnsi="Arial" w:cs="Arial"/>
          <w:i/>
          <w:iCs/>
          <w:sz w:val="20"/>
          <w:szCs w:val="20"/>
        </w:rPr>
        <w:t>S. aureus</w:t>
      </w:r>
      <w:r>
        <w:rPr>
          <w:rFonts w:ascii="Arial" w:eastAsia="Arial" w:hAnsi="Arial" w:cs="Arial"/>
          <w:sz w:val="20"/>
          <w:szCs w:val="20"/>
        </w:rPr>
        <w:t xml:space="preserve">. These findings support the potential application of </w:t>
      </w:r>
      <w:proofErr w:type="spellStart"/>
      <w:r>
        <w:rPr>
          <w:rFonts w:ascii="Arial" w:eastAsia="Arial" w:hAnsi="Arial" w:cs="Arial"/>
          <w:sz w:val="20"/>
          <w:szCs w:val="20"/>
        </w:rPr>
        <w:t>AgNP</w:t>
      </w:r>
      <w:proofErr w:type="spellEnd"/>
      <w:r>
        <w:rPr>
          <w:rFonts w:ascii="Arial" w:eastAsia="Arial" w:hAnsi="Arial" w:cs="Arial"/>
          <w:sz w:val="20"/>
          <w:szCs w:val="20"/>
        </w:rPr>
        <w:t xml:space="preserve">-enhanced sanitizer sprays in food safety and hygiene management, and highlight the importance of tailoring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to the target organism. However, the cytotoxicity of </w:t>
      </w:r>
      <w:proofErr w:type="spellStart"/>
      <w:r>
        <w:rPr>
          <w:rFonts w:ascii="Arial" w:eastAsia="Arial" w:hAnsi="Arial" w:cs="Arial"/>
          <w:sz w:val="20"/>
          <w:szCs w:val="20"/>
        </w:rPr>
        <w:t>AgNPs</w:t>
      </w:r>
      <w:proofErr w:type="spellEnd"/>
      <w:r>
        <w:rPr>
          <w:rFonts w:ascii="Arial" w:eastAsia="Arial" w:hAnsi="Arial" w:cs="Arial"/>
          <w:sz w:val="20"/>
          <w:szCs w:val="20"/>
        </w:rPr>
        <w:t xml:space="preserve"> remains a critical barrier to their direct use in human-applicable formulations. Future </w:t>
      </w:r>
      <w:r>
        <w:rPr>
          <w:rFonts w:ascii="Arial" w:eastAsia="Arial" w:hAnsi="Arial" w:cs="Arial"/>
          <w:sz w:val="20"/>
          <w:szCs w:val="20"/>
        </w:rPr>
        <w:lastRenderedPageBreak/>
        <w:t xml:space="preserve">research should focus on reducing the toxicity of </w:t>
      </w:r>
      <w:proofErr w:type="spellStart"/>
      <w:r>
        <w:rPr>
          <w:rFonts w:ascii="Arial" w:eastAsia="Arial" w:hAnsi="Arial" w:cs="Arial"/>
          <w:sz w:val="20"/>
          <w:szCs w:val="20"/>
        </w:rPr>
        <w:t>AgNPs</w:t>
      </w:r>
      <w:proofErr w:type="spellEnd"/>
      <w:r>
        <w:rPr>
          <w:rFonts w:ascii="Arial" w:eastAsia="Arial" w:hAnsi="Arial" w:cs="Arial"/>
          <w:sz w:val="20"/>
          <w:szCs w:val="20"/>
        </w:rPr>
        <w:t xml:space="preserve"> through surface modification, biological synthesis, or encapsulation techniques, and should evaluate their safety profiles through comprehensive in vitro and in vivo toxicological studies.</w:t>
      </w:r>
    </w:p>
    <w:p w14:paraId="17CFDA1F" w14:textId="77777777" w:rsidR="00F5390F" w:rsidRDefault="00F5390F">
      <w:pPr>
        <w:spacing w:after="80"/>
        <w:ind w:firstLine="360"/>
        <w:jc w:val="both"/>
        <w:rPr>
          <w:rFonts w:ascii="Arial" w:eastAsia="Arial" w:hAnsi="Arial" w:cs="Arial"/>
          <w:sz w:val="20"/>
          <w:szCs w:val="20"/>
        </w:rPr>
      </w:pPr>
    </w:p>
    <w:p w14:paraId="1BEF95C1" w14:textId="77777777" w:rsidR="00F5390F" w:rsidRDefault="00EF0F69">
      <w:pPr>
        <w:spacing w:before="160" w:after="80"/>
        <w:rPr>
          <w:rFonts w:ascii="Arial" w:eastAsia="Arial" w:hAnsi="Arial" w:cs="Arial"/>
          <w:sz w:val="22"/>
          <w:szCs w:val="22"/>
        </w:rPr>
      </w:pPr>
      <w:r>
        <w:rPr>
          <w:rFonts w:ascii="Arial" w:eastAsia="Arial" w:hAnsi="Arial" w:cs="Arial"/>
          <w:b/>
          <w:bCs/>
          <w:smallCaps/>
          <w:sz w:val="22"/>
          <w:szCs w:val="22"/>
        </w:rPr>
        <w:t>CONFLICT OF INTEREST</w:t>
      </w:r>
    </w:p>
    <w:p w14:paraId="5150D352" w14:textId="77777777" w:rsidR="00F5390F" w:rsidRDefault="00EF0F69">
      <w:pPr>
        <w:spacing w:after="80"/>
        <w:jc w:val="both"/>
        <w:rPr>
          <w:rFonts w:ascii="Arial" w:eastAsia="Arial" w:hAnsi="Arial" w:cs="Arial"/>
          <w:sz w:val="20"/>
          <w:szCs w:val="20"/>
        </w:rPr>
      </w:pPr>
      <w:r>
        <w:rPr>
          <w:rFonts w:ascii="Arial" w:eastAsia="Arial" w:hAnsi="Arial" w:cs="Arial"/>
          <w:sz w:val="20"/>
          <w:szCs w:val="20"/>
        </w:rPr>
        <w:t>The authors declare no conflict of interest.</w:t>
      </w:r>
    </w:p>
    <w:p w14:paraId="24C7D233" w14:textId="77777777" w:rsidR="00F5390F" w:rsidRDefault="00F5390F">
      <w:pPr>
        <w:spacing w:after="80"/>
        <w:jc w:val="both"/>
        <w:rPr>
          <w:rFonts w:ascii="Arial" w:eastAsia="Arial" w:hAnsi="Arial" w:cs="Arial"/>
          <w:sz w:val="20"/>
          <w:szCs w:val="20"/>
        </w:rPr>
      </w:pPr>
    </w:p>
    <w:p w14:paraId="00309D3A" w14:textId="77777777" w:rsidR="00F5390F" w:rsidRDefault="00F5390F">
      <w:pPr>
        <w:spacing w:after="80"/>
        <w:jc w:val="both"/>
        <w:rPr>
          <w:rFonts w:ascii="Arial" w:eastAsia="Arial" w:hAnsi="Arial" w:cs="Arial"/>
          <w:sz w:val="20"/>
          <w:szCs w:val="20"/>
        </w:rPr>
      </w:pPr>
    </w:p>
    <w:p w14:paraId="640C7B68" w14:textId="77777777" w:rsidR="00F5390F" w:rsidRDefault="00EF0F69">
      <w:pPr>
        <w:spacing w:before="160" w:after="80"/>
        <w:rPr>
          <w:rFonts w:ascii="Arial" w:eastAsia="Arial" w:hAnsi="Arial" w:cs="Arial"/>
          <w:sz w:val="22"/>
          <w:szCs w:val="22"/>
        </w:rPr>
      </w:pPr>
      <w:r>
        <w:rPr>
          <w:rFonts w:ascii="Arial" w:eastAsia="Arial" w:hAnsi="Arial" w:cs="Arial"/>
          <w:b/>
          <w:bCs/>
          <w:smallCaps/>
          <w:sz w:val="22"/>
          <w:szCs w:val="22"/>
        </w:rPr>
        <w:t>REFERENCES</w:t>
      </w:r>
    </w:p>
    <w:p w14:paraId="4DE72D9B" w14:textId="77777777" w:rsidR="00F5390F" w:rsidRDefault="00EF0F69">
      <w:pPr>
        <w:spacing w:after="80"/>
        <w:ind w:left="360" w:hanging="360"/>
        <w:rPr>
          <w:rFonts w:ascii="Arial" w:eastAsia="Arial" w:hAnsi="Arial" w:cs="Arial"/>
          <w:sz w:val="20"/>
          <w:szCs w:val="20"/>
        </w:rPr>
      </w:pPr>
      <w:commentRangeStart w:id="0"/>
      <w:r>
        <w:rPr>
          <w:rFonts w:ascii="Arial" w:eastAsia="Arial" w:hAnsi="Arial" w:cs="Arial"/>
          <w:sz w:val="20"/>
          <w:szCs w:val="20"/>
        </w:rPr>
        <w:t xml:space="preserve">Arora, S., Jain, J., </w:t>
      </w:r>
      <w:proofErr w:type="spellStart"/>
      <w:r>
        <w:rPr>
          <w:rFonts w:ascii="Arial" w:eastAsia="Arial" w:hAnsi="Arial" w:cs="Arial"/>
          <w:sz w:val="20"/>
          <w:szCs w:val="20"/>
        </w:rPr>
        <w:t>Rajwade</w:t>
      </w:r>
      <w:proofErr w:type="spellEnd"/>
      <w:r>
        <w:rPr>
          <w:rFonts w:ascii="Arial" w:eastAsia="Arial" w:hAnsi="Arial" w:cs="Arial"/>
          <w:sz w:val="20"/>
          <w:szCs w:val="20"/>
        </w:rPr>
        <w:t xml:space="preserve">, J. M., &amp; </w:t>
      </w:r>
      <w:proofErr w:type="spellStart"/>
      <w:r>
        <w:rPr>
          <w:rFonts w:ascii="Arial" w:eastAsia="Arial" w:hAnsi="Arial" w:cs="Arial"/>
          <w:sz w:val="20"/>
          <w:szCs w:val="20"/>
        </w:rPr>
        <w:t>Paknikar</w:t>
      </w:r>
      <w:proofErr w:type="spellEnd"/>
      <w:r>
        <w:rPr>
          <w:rFonts w:ascii="Arial" w:eastAsia="Arial" w:hAnsi="Arial" w:cs="Arial"/>
          <w:sz w:val="20"/>
          <w:szCs w:val="20"/>
        </w:rPr>
        <w:t>, K. M. (2008). Cellular responses induced by silver nanoparticles: In vitro studies. Toxicology Letters, 179(2), 93-100. https://doi.org/10.1016/j.toxlet.2008.04.009</w:t>
      </w:r>
    </w:p>
    <w:p w14:paraId="38CD7FF5"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CDC. (2024, June 13). Hand sanitizer facts. Clean Hands. https://www.cdc.gov/clean-hands/data-research/facts-stats/hand-sanitizer-facts.html</w:t>
      </w:r>
    </w:p>
    <w:p w14:paraId="3EB29C04"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Choukade</w:t>
      </w:r>
      <w:proofErr w:type="spellEnd"/>
      <w:r>
        <w:rPr>
          <w:rFonts w:ascii="Arial" w:eastAsia="Arial" w:hAnsi="Arial" w:cs="Arial"/>
          <w:sz w:val="20"/>
          <w:szCs w:val="20"/>
        </w:rPr>
        <w:t>, R., Jaiswal, A., &amp; Kango, N. (2020). Characterization of biogenically synthesized silver nanoparticles for therapeutic applications and enzyme nanocomplex generation. 3 Biotech, 10(11), 462. https://doi.org/10.1007/s13205-020-02450-8</w:t>
      </w:r>
    </w:p>
    <w:p w14:paraId="65182044"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Fahim, M., Shahzaib, A., Nishat, N., Jahan, A., Bhat, T. A., &amp; </w:t>
      </w:r>
      <w:proofErr w:type="spellStart"/>
      <w:r>
        <w:rPr>
          <w:rFonts w:ascii="Arial" w:eastAsia="Arial" w:hAnsi="Arial" w:cs="Arial"/>
          <w:sz w:val="20"/>
          <w:szCs w:val="20"/>
        </w:rPr>
        <w:t>Inam</w:t>
      </w:r>
      <w:proofErr w:type="spellEnd"/>
      <w:r>
        <w:rPr>
          <w:rFonts w:ascii="Arial" w:eastAsia="Arial" w:hAnsi="Arial" w:cs="Arial"/>
          <w:sz w:val="20"/>
          <w:szCs w:val="20"/>
        </w:rPr>
        <w:t>, A. (2024). Green synthesis of silver nanoparticles: A comprehensive review of methods, influencing factors, and applications. JCIS Open, 16, 100125. https://doi.org/10.1016/j.jciso.2024.100125</w:t>
      </w:r>
    </w:p>
    <w:p w14:paraId="699AB03C"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Gonzalez, J. M., &amp; Aranda, B. (2023). Microbial growth under limiting conditions: Future perspectives. Microorganisms, 11(7), 1641. https://doi.org/10.3390/microorganisms11071641</w:t>
      </w:r>
    </w:p>
    <w:p w14:paraId="6E67DE56"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Liao, C., Li, Y., &amp; </w:t>
      </w:r>
      <w:proofErr w:type="spellStart"/>
      <w:r>
        <w:rPr>
          <w:rFonts w:ascii="Arial" w:eastAsia="Arial" w:hAnsi="Arial" w:cs="Arial"/>
          <w:sz w:val="20"/>
          <w:szCs w:val="20"/>
        </w:rPr>
        <w:t>Tjong</w:t>
      </w:r>
      <w:proofErr w:type="spellEnd"/>
      <w:r>
        <w:rPr>
          <w:rFonts w:ascii="Arial" w:eastAsia="Arial" w:hAnsi="Arial" w:cs="Arial"/>
          <w:sz w:val="20"/>
          <w:szCs w:val="20"/>
        </w:rPr>
        <w:t>, S. C. (2019). Bactericidal and cytotoxic properties of silver nanoparticles. International Journal of Molecular Sciences, 20(2), 449. https://doi.org/10.3390/ijms20020449</w:t>
      </w:r>
    </w:p>
    <w:p w14:paraId="21C982B4"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Lim, J. Y., Yoon, J. W., &amp; </w:t>
      </w:r>
      <w:proofErr w:type="spellStart"/>
      <w:r>
        <w:rPr>
          <w:rFonts w:ascii="Arial" w:eastAsia="Arial" w:hAnsi="Arial" w:cs="Arial"/>
          <w:sz w:val="20"/>
          <w:szCs w:val="20"/>
        </w:rPr>
        <w:t>Hovde</w:t>
      </w:r>
      <w:proofErr w:type="spellEnd"/>
      <w:r>
        <w:rPr>
          <w:rFonts w:ascii="Arial" w:eastAsia="Arial" w:hAnsi="Arial" w:cs="Arial"/>
          <w:sz w:val="20"/>
          <w:szCs w:val="20"/>
        </w:rPr>
        <w:t>, C. J. (2010). A brief overview of Escherichia coli O157:H7 and its plasmid O157. Journal of Microbiology and Biotechnology, 20(1), 5-14.</w:t>
      </w:r>
    </w:p>
    <w:p w14:paraId="4AA7F7CD"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Morones</w:t>
      </w:r>
      <w:proofErr w:type="spellEnd"/>
      <w:r>
        <w:rPr>
          <w:rFonts w:ascii="Arial" w:eastAsia="Arial" w:hAnsi="Arial" w:cs="Arial"/>
          <w:sz w:val="20"/>
          <w:szCs w:val="20"/>
        </w:rPr>
        <w:t xml:space="preserve">, J. R., </w:t>
      </w:r>
      <w:proofErr w:type="spellStart"/>
      <w:r>
        <w:rPr>
          <w:rFonts w:ascii="Arial" w:eastAsia="Arial" w:hAnsi="Arial" w:cs="Arial"/>
          <w:sz w:val="20"/>
          <w:szCs w:val="20"/>
        </w:rPr>
        <w:t>Elechiguerra</w:t>
      </w:r>
      <w:proofErr w:type="spellEnd"/>
      <w:r>
        <w:rPr>
          <w:rFonts w:ascii="Arial" w:eastAsia="Arial" w:hAnsi="Arial" w:cs="Arial"/>
          <w:sz w:val="20"/>
          <w:szCs w:val="20"/>
        </w:rPr>
        <w:t xml:space="preserve">, J. L., Camacho, A., Holt, K., </w:t>
      </w:r>
      <w:proofErr w:type="spellStart"/>
      <w:r>
        <w:rPr>
          <w:rFonts w:ascii="Arial" w:eastAsia="Arial" w:hAnsi="Arial" w:cs="Arial"/>
          <w:sz w:val="20"/>
          <w:szCs w:val="20"/>
        </w:rPr>
        <w:t>Kouri</w:t>
      </w:r>
      <w:proofErr w:type="spellEnd"/>
      <w:r>
        <w:rPr>
          <w:rFonts w:ascii="Arial" w:eastAsia="Arial" w:hAnsi="Arial" w:cs="Arial"/>
          <w:sz w:val="20"/>
          <w:szCs w:val="20"/>
        </w:rPr>
        <w:t xml:space="preserve">, J. B., Ramirez, J. T., &amp; </w:t>
      </w:r>
      <w:proofErr w:type="spellStart"/>
      <w:r>
        <w:rPr>
          <w:rFonts w:ascii="Arial" w:eastAsia="Arial" w:hAnsi="Arial" w:cs="Arial"/>
          <w:sz w:val="20"/>
          <w:szCs w:val="20"/>
        </w:rPr>
        <w:t>Yacaman</w:t>
      </w:r>
      <w:proofErr w:type="spellEnd"/>
      <w:r>
        <w:rPr>
          <w:rFonts w:ascii="Arial" w:eastAsia="Arial" w:hAnsi="Arial" w:cs="Arial"/>
          <w:sz w:val="20"/>
          <w:szCs w:val="20"/>
        </w:rPr>
        <w:t>, M. J. (2005). The bactericidal effect of silver nanoparticles. Nanotechnology, 16(10), 2346-2353. https://doi.org/10.1088/0957-4484/16/10/059</w:t>
      </w:r>
    </w:p>
    <w:p w14:paraId="28DA4718"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Moschonas</w:t>
      </w:r>
      <w:proofErr w:type="spellEnd"/>
      <w:r>
        <w:rPr>
          <w:rFonts w:ascii="Arial" w:eastAsia="Arial" w:hAnsi="Arial" w:cs="Arial"/>
          <w:sz w:val="20"/>
          <w:szCs w:val="20"/>
        </w:rPr>
        <w:t xml:space="preserve">, G., </w:t>
      </w:r>
      <w:proofErr w:type="spellStart"/>
      <w:r>
        <w:rPr>
          <w:rFonts w:ascii="Arial" w:eastAsia="Arial" w:hAnsi="Arial" w:cs="Arial"/>
          <w:sz w:val="20"/>
          <w:szCs w:val="20"/>
        </w:rPr>
        <w:t>Lianou</w:t>
      </w:r>
      <w:proofErr w:type="spellEnd"/>
      <w:r>
        <w:rPr>
          <w:rFonts w:ascii="Arial" w:eastAsia="Arial" w:hAnsi="Arial" w:cs="Arial"/>
          <w:sz w:val="20"/>
          <w:szCs w:val="20"/>
        </w:rPr>
        <w:t xml:space="preserve">, A., </w:t>
      </w:r>
      <w:proofErr w:type="spellStart"/>
      <w:r>
        <w:rPr>
          <w:rFonts w:ascii="Arial" w:eastAsia="Arial" w:hAnsi="Arial" w:cs="Arial"/>
          <w:sz w:val="20"/>
          <w:szCs w:val="20"/>
        </w:rPr>
        <w:t>Nychas</w:t>
      </w:r>
      <w:proofErr w:type="spellEnd"/>
      <w:r>
        <w:rPr>
          <w:rFonts w:ascii="Arial" w:eastAsia="Arial" w:hAnsi="Arial" w:cs="Arial"/>
          <w:sz w:val="20"/>
          <w:szCs w:val="20"/>
        </w:rPr>
        <w:t xml:space="preserve">, G. J. E., &amp; </w:t>
      </w:r>
      <w:proofErr w:type="spellStart"/>
      <w:r>
        <w:rPr>
          <w:rFonts w:ascii="Arial" w:eastAsia="Arial" w:hAnsi="Arial" w:cs="Arial"/>
          <w:sz w:val="20"/>
          <w:szCs w:val="20"/>
        </w:rPr>
        <w:t>Panagou</w:t>
      </w:r>
      <w:proofErr w:type="spellEnd"/>
      <w:r>
        <w:rPr>
          <w:rFonts w:ascii="Arial" w:eastAsia="Arial" w:hAnsi="Arial" w:cs="Arial"/>
          <w:sz w:val="20"/>
          <w:szCs w:val="20"/>
        </w:rPr>
        <w:t>, E. Z. (2021). Spoilage potential of Bacillus subtilis in a neutral-pH dairy dessert. Food Microbiology, 95, 103715. https://doi.org/10.1016/j.fm.2020.103715</w:t>
      </w:r>
    </w:p>
    <w:p w14:paraId="58E63278"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Muleba</w:t>
      </w:r>
      <w:proofErr w:type="spellEnd"/>
      <w:r>
        <w:rPr>
          <w:rFonts w:ascii="Arial" w:eastAsia="Arial" w:hAnsi="Arial" w:cs="Arial"/>
          <w:sz w:val="20"/>
          <w:szCs w:val="20"/>
        </w:rPr>
        <w:t xml:space="preserve">, L., Van </w:t>
      </w:r>
      <w:proofErr w:type="spellStart"/>
      <w:r>
        <w:rPr>
          <w:rFonts w:ascii="Arial" w:eastAsia="Arial" w:hAnsi="Arial" w:cs="Arial"/>
          <w:sz w:val="20"/>
          <w:szCs w:val="20"/>
        </w:rPr>
        <w:t>Wyk</w:t>
      </w:r>
      <w:proofErr w:type="spellEnd"/>
      <w:r>
        <w:rPr>
          <w:rFonts w:ascii="Arial" w:eastAsia="Arial" w:hAnsi="Arial" w:cs="Arial"/>
          <w:sz w:val="20"/>
          <w:szCs w:val="20"/>
        </w:rPr>
        <w:t xml:space="preserve">, R., Pienaar, J., </w:t>
      </w:r>
      <w:proofErr w:type="spellStart"/>
      <w:r>
        <w:rPr>
          <w:rFonts w:ascii="Arial" w:eastAsia="Arial" w:hAnsi="Arial" w:cs="Arial"/>
          <w:sz w:val="20"/>
          <w:szCs w:val="20"/>
        </w:rPr>
        <w:t>Ratshikhopha</w:t>
      </w:r>
      <w:proofErr w:type="spellEnd"/>
      <w:r>
        <w:rPr>
          <w:rFonts w:ascii="Arial" w:eastAsia="Arial" w:hAnsi="Arial" w:cs="Arial"/>
          <w:sz w:val="20"/>
          <w:szCs w:val="20"/>
        </w:rPr>
        <w:t>, E., &amp; Singh, T. (2022). Assessment of anti-bacterial effectiveness of hand sanitizers commonly used in South Africa. International Journal of Environmental Research and Public Health, 19(15), 9245. https://doi.org/10.3390/ijerph19159245</w:t>
      </w:r>
    </w:p>
    <w:p w14:paraId="122AFBC4"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Pal, S., </w:t>
      </w:r>
      <w:proofErr w:type="spellStart"/>
      <w:r>
        <w:rPr>
          <w:rFonts w:ascii="Arial" w:eastAsia="Arial" w:hAnsi="Arial" w:cs="Arial"/>
          <w:sz w:val="20"/>
          <w:szCs w:val="20"/>
        </w:rPr>
        <w:t>Tak</w:t>
      </w:r>
      <w:proofErr w:type="spellEnd"/>
      <w:r>
        <w:rPr>
          <w:rFonts w:ascii="Arial" w:eastAsia="Arial" w:hAnsi="Arial" w:cs="Arial"/>
          <w:sz w:val="20"/>
          <w:szCs w:val="20"/>
        </w:rPr>
        <w:t>, Y. K., &amp; Song, J. M. (2007). Does the antibacterial activity of silver nanoparticles depend on the shape of the nanoparticle? A study of the Gram-negative bacterium Escherichia coli. Applied and Environmental Microbiology, 73(6), 1712-1720. https://doi.org/10.1128/AEM.02218-06</w:t>
      </w:r>
    </w:p>
    <w:p w14:paraId="16093D56"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Rai, M., Yadav, A., &amp; </w:t>
      </w:r>
      <w:proofErr w:type="spellStart"/>
      <w:r>
        <w:rPr>
          <w:rFonts w:ascii="Arial" w:eastAsia="Arial" w:hAnsi="Arial" w:cs="Arial"/>
          <w:sz w:val="20"/>
          <w:szCs w:val="20"/>
        </w:rPr>
        <w:t>Gade</w:t>
      </w:r>
      <w:proofErr w:type="spellEnd"/>
      <w:r>
        <w:rPr>
          <w:rFonts w:ascii="Arial" w:eastAsia="Arial" w:hAnsi="Arial" w:cs="Arial"/>
          <w:sz w:val="20"/>
          <w:szCs w:val="20"/>
        </w:rPr>
        <w:t>, A. (2009). Silver nanoparticles as a new generation of antimicrobials. Biotechnology Advances, 27(1), 76-83. https://doi.org/10.1016/j.biotechadv.2008.09.002</w:t>
      </w:r>
    </w:p>
    <w:p w14:paraId="7B82C961"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Shrivastava, S., </w:t>
      </w:r>
      <w:proofErr w:type="spellStart"/>
      <w:r>
        <w:rPr>
          <w:rFonts w:ascii="Arial" w:eastAsia="Arial" w:hAnsi="Arial" w:cs="Arial"/>
          <w:sz w:val="20"/>
          <w:szCs w:val="20"/>
        </w:rPr>
        <w:t>Bera</w:t>
      </w:r>
      <w:proofErr w:type="spellEnd"/>
      <w:r>
        <w:rPr>
          <w:rFonts w:ascii="Arial" w:eastAsia="Arial" w:hAnsi="Arial" w:cs="Arial"/>
          <w:sz w:val="20"/>
          <w:szCs w:val="20"/>
        </w:rPr>
        <w:t xml:space="preserve">, T., Roy, A., Singh, G., </w:t>
      </w:r>
      <w:proofErr w:type="spellStart"/>
      <w:r>
        <w:rPr>
          <w:rFonts w:ascii="Arial" w:eastAsia="Arial" w:hAnsi="Arial" w:cs="Arial"/>
          <w:sz w:val="20"/>
          <w:szCs w:val="20"/>
        </w:rPr>
        <w:t>Ramachandrarao</w:t>
      </w:r>
      <w:proofErr w:type="spellEnd"/>
      <w:r>
        <w:rPr>
          <w:rFonts w:ascii="Arial" w:eastAsia="Arial" w:hAnsi="Arial" w:cs="Arial"/>
          <w:sz w:val="20"/>
          <w:szCs w:val="20"/>
        </w:rPr>
        <w:t>, P., &amp; Dash, D. (2007). Characterization of enhanced antibacterial effects of novel silver nanoparticles. Nanotechnology, 18(22), 225103. https://doi.org/10.1088/0957-4484/18/22/225103</w:t>
      </w:r>
    </w:p>
    <w:p w14:paraId="637496D5"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Su</w:t>
      </w:r>
      <w:proofErr w:type="spellEnd"/>
      <w:r>
        <w:rPr>
          <w:rFonts w:ascii="Arial" w:eastAsia="Arial" w:hAnsi="Arial" w:cs="Arial"/>
          <w:sz w:val="20"/>
          <w:szCs w:val="20"/>
        </w:rPr>
        <w:t>, Y., Liu, C., Fang, H., &amp; Zhang, D. (2020). Bacillus subtilis: A universal cell factory for industry, agriculture, biomaterials and medicine. Microbial Cell Factories, 19(1), 173. https://doi.org/10.1186/s12934-020-01436-8</w:t>
      </w:r>
    </w:p>
    <w:p w14:paraId="0ACB4851"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Taylor, T. A., Tobin, E. H., &amp; </w:t>
      </w:r>
      <w:proofErr w:type="spellStart"/>
      <w:r>
        <w:rPr>
          <w:rFonts w:ascii="Arial" w:eastAsia="Arial" w:hAnsi="Arial" w:cs="Arial"/>
          <w:sz w:val="20"/>
          <w:szCs w:val="20"/>
        </w:rPr>
        <w:t>Unakal</w:t>
      </w:r>
      <w:proofErr w:type="spellEnd"/>
      <w:r>
        <w:rPr>
          <w:rFonts w:ascii="Arial" w:eastAsia="Arial" w:hAnsi="Arial" w:cs="Arial"/>
          <w:sz w:val="20"/>
          <w:szCs w:val="20"/>
        </w:rPr>
        <w:t xml:space="preserve">, C. G. (2025). Staphylococcus aureus infection. In </w:t>
      </w:r>
      <w:proofErr w:type="spellStart"/>
      <w:r>
        <w:rPr>
          <w:rFonts w:ascii="Arial" w:eastAsia="Arial" w:hAnsi="Arial" w:cs="Arial"/>
          <w:sz w:val="20"/>
          <w:szCs w:val="20"/>
        </w:rPr>
        <w:t>StatPearls</w:t>
      </w:r>
      <w:proofErr w:type="spellEnd"/>
      <w:r>
        <w:rPr>
          <w:rFonts w:ascii="Arial" w:eastAsia="Arial" w:hAnsi="Arial" w:cs="Arial"/>
          <w:sz w:val="20"/>
          <w:szCs w:val="20"/>
        </w:rPr>
        <w:t xml:space="preserve">. </w:t>
      </w:r>
      <w:proofErr w:type="spellStart"/>
      <w:r>
        <w:rPr>
          <w:rFonts w:ascii="Arial" w:eastAsia="Arial" w:hAnsi="Arial" w:cs="Arial"/>
          <w:sz w:val="20"/>
          <w:szCs w:val="20"/>
        </w:rPr>
        <w:t>StatPearls</w:t>
      </w:r>
      <w:proofErr w:type="spellEnd"/>
      <w:r>
        <w:rPr>
          <w:rFonts w:ascii="Arial" w:eastAsia="Arial" w:hAnsi="Arial" w:cs="Arial"/>
          <w:sz w:val="20"/>
          <w:szCs w:val="20"/>
        </w:rPr>
        <w:t xml:space="preserve"> Publishing. http://www.ncbi.nlm.nih.gov/books/NBK441868/</w:t>
      </w:r>
    </w:p>
    <w:p w14:paraId="33A20439"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Tokano</w:t>
      </w:r>
      <w:proofErr w:type="spellEnd"/>
      <w:r>
        <w:rPr>
          <w:rFonts w:ascii="Arial" w:eastAsia="Arial" w:hAnsi="Arial" w:cs="Arial"/>
          <w:sz w:val="20"/>
          <w:szCs w:val="20"/>
        </w:rPr>
        <w:t xml:space="preserve">, M., </w:t>
      </w:r>
      <w:proofErr w:type="spellStart"/>
      <w:r>
        <w:rPr>
          <w:rFonts w:ascii="Arial" w:eastAsia="Arial" w:hAnsi="Arial" w:cs="Arial"/>
          <w:sz w:val="20"/>
          <w:szCs w:val="20"/>
        </w:rPr>
        <w:t>Tarumoto</w:t>
      </w:r>
      <w:proofErr w:type="spellEnd"/>
      <w:r>
        <w:rPr>
          <w:rFonts w:ascii="Arial" w:eastAsia="Arial" w:hAnsi="Arial" w:cs="Arial"/>
          <w:sz w:val="20"/>
          <w:szCs w:val="20"/>
        </w:rPr>
        <w:t>, N., Imai, K., et al. (2023). Bacterial meningitis caused by Bacillus subtilis var. natto. Internal Medicine, 62(13), 1989-1993. https://doi.org/10.2169/internalmedicine.0768-22</w:t>
      </w:r>
      <w:commentRangeEnd w:id="0"/>
      <w:r w:rsidR="00C364C2">
        <w:rPr>
          <w:rStyle w:val="CommentReference"/>
        </w:rPr>
        <w:commentReference w:id="0"/>
      </w:r>
    </w:p>
    <w:sectPr w:rsidR="00F5390F">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8" w:footer="708" w:gutter="0"/>
      <w:pgNumType w:start="1"/>
      <w:cols w:space="720" w:equalWidth="0">
        <w:col w:w="9637" w:space="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ANANI" w:date="2026-04-03T11:50:00Z" w:initials="J">
    <w:p w14:paraId="491BFCD6" w14:textId="62BD91A5" w:rsidR="00C364C2" w:rsidRDefault="00C364C2">
      <w:pPr>
        <w:pStyle w:val="CommentText"/>
      </w:pPr>
      <w:r>
        <w:rPr>
          <w:rStyle w:val="CommentReference"/>
        </w:rPr>
        <w:annotationRef/>
      </w:r>
      <w:r>
        <w:t xml:space="preserve">Check the alignment and the </w:t>
      </w:r>
      <w:proofErr w:type="spellStart"/>
      <w:r>
        <w:t>apa</w:t>
      </w:r>
      <w:proofErr w:type="spellEnd"/>
      <w:r>
        <w:t xml:space="preserve"> format </w:t>
      </w:r>
      <w:bookmarkStart w:id="1" w:name="_GoBack"/>
      <w:bookmarkEnd w:id="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1BFC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1BFCD6" w16cid:durableId="2D7A28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FCE32" w14:textId="77777777" w:rsidR="00276737" w:rsidRDefault="00276737" w:rsidP="002542D0">
      <w:r>
        <w:separator/>
      </w:r>
    </w:p>
  </w:endnote>
  <w:endnote w:type="continuationSeparator" w:id="0">
    <w:p w14:paraId="4A8E1DF1" w14:textId="77777777" w:rsidR="00276737" w:rsidRDefault="00276737" w:rsidP="00254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5721D79-DD01-48AC-94D3-F5695C983BE7}"/>
  </w:font>
  <w:font w:name="Segoe UI">
    <w:panose1 w:val="020B0502040204020203"/>
    <w:charset w:val="00"/>
    <w:family w:val="swiss"/>
    <w:pitch w:val="variable"/>
    <w:sig w:usb0="E4002EFF" w:usb1="C000E47F" w:usb2="00000009" w:usb3="00000000" w:csb0="000001FF" w:csb1="00000000"/>
    <w:embedRegular r:id="rId2" w:fontKey="{BCB21F13-BC5B-4E32-92D5-BA4FCC38CC9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3694E672-8C2C-4709-AF9D-F9B1CB5C6AB3}"/>
  </w:font>
  <w:font w:name="Cambria">
    <w:panose1 w:val="02040503050406030204"/>
    <w:charset w:val="00"/>
    <w:family w:val="roman"/>
    <w:pitch w:val="variable"/>
    <w:sig w:usb0="E00006FF" w:usb1="420024FF" w:usb2="02000000" w:usb3="00000000" w:csb0="0000019F" w:csb1="00000000"/>
    <w:embedRegular r:id="rId4" w:fontKey="{23383BA7-0206-4BA6-A577-5E32DEF21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FBDBD" w14:textId="77777777" w:rsidR="002542D0" w:rsidRDefault="002542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F0E3B" w14:textId="77777777" w:rsidR="002542D0" w:rsidRDefault="002542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936F5" w14:textId="77777777" w:rsidR="002542D0" w:rsidRDefault="00254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6FD23" w14:textId="77777777" w:rsidR="00276737" w:rsidRDefault="00276737" w:rsidP="002542D0">
      <w:r>
        <w:separator/>
      </w:r>
    </w:p>
  </w:footnote>
  <w:footnote w:type="continuationSeparator" w:id="0">
    <w:p w14:paraId="1BEF268A" w14:textId="77777777" w:rsidR="00276737" w:rsidRDefault="00276737" w:rsidP="00254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1054C" w14:textId="27C105DE" w:rsidR="002542D0" w:rsidRDefault="00276737">
    <w:pPr>
      <w:pStyle w:val="Header"/>
    </w:pPr>
    <w:r>
      <w:rPr>
        <w:noProof/>
      </w:rPr>
      <w:pict w14:anchorId="15F9B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85391" o:spid="_x0000_s2050" type="#_x0000_t136" style="position:absolute;margin-left:0;margin-top:0;width:610.5pt;height:68.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7AB66" w14:textId="5849BD5C" w:rsidR="002542D0" w:rsidRDefault="00276737">
    <w:pPr>
      <w:pStyle w:val="Header"/>
    </w:pPr>
    <w:r>
      <w:rPr>
        <w:noProof/>
      </w:rPr>
      <w:pict w14:anchorId="610A0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85392" o:spid="_x0000_s2051" type="#_x0000_t136" style="position:absolute;margin-left:0;margin-top:0;width:610.5pt;height:68.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7C2A0" w14:textId="6F1CA650" w:rsidR="002542D0" w:rsidRDefault="00276737">
    <w:pPr>
      <w:pStyle w:val="Header"/>
    </w:pPr>
    <w:r>
      <w:rPr>
        <w:noProof/>
      </w:rPr>
      <w:pict w14:anchorId="49CA40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85390" o:spid="_x0000_s2049" type="#_x0000_t136" style="position:absolute;margin-left:0;margin-top:0;width:610.5pt;height:68.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ANI">
    <w15:presenceInfo w15:providerId="Windows Live" w15:userId="ec791cb25cd471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90F"/>
    <w:rsid w:val="002542D0"/>
    <w:rsid w:val="00276737"/>
    <w:rsid w:val="00772DFC"/>
    <w:rsid w:val="007F095F"/>
    <w:rsid w:val="00C364C2"/>
    <w:rsid w:val="00EF0F69"/>
    <w:rsid w:val="00F47ECE"/>
    <w:rsid w:val="00F53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11B76B"/>
  <w15:docId w15:val="{A968F4FB-81EC-4BA9-96D6-2BC99813C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16"/>
        <w:szCs w:val="16"/>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UnresolvedMention">
    <w:name w:val="Unresolved Mention"/>
    <w:basedOn w:val="DefaultParagraphFont"/>
    <w:uiPriority w:val="99"/>
    <w:semiHidden/>
    <w:unhideWhenUsed/>
    <w:rsid w:val="00F47ECE"/>
    <w:rPr>
      <w:color w:val="605E5C"/>
      <w:shd w:val="clear" w:color="auto" w:fill="E1DFDD"/>
    </w:rPr>
  </w:style>
  <w:style w:type="paragraph" w:styleId="Header">
    <w:name w:val="header"/>
    <w:basedOn w:val="Normal"/>
    <w:link w:val="HeaderChar"/>
    <w:uiPriority w:val="99"/>
    <w:unhideWhenUsed/>
    <w:rsid w:val="002542D0"/>
    <w:pPr>
      <w:tabs>
        <w:tab w:val="center" w:pos="4680"/>
        <w:tab w:val="right" w:pos="9360"/>
      </w:tabs>
    </w:pPr>
  </w:style>
  <w:style w:type="character" w:customStyle="1" w:styleId="HeaderChar">
    <w:name w:val="Header Char"/>
    <w:basedOn w:val="DefaultParagraphFont"/>
    <w:link w:val="Header"/>
    <w:uiPriority w:val="99"/>
    <w:rsid w:val="002542D0"/>
  </w:style>
  <w:style w:type="paragraph" w:styleId="Footer">
    <w:name w:val="footer"/>
    <w:basedOn w:val="Normal"/>
    <w:link w:val="FooterChar"/>
    <w:uiPriority w:val="99"/>
    <w:unhideWhenUsed/>
    <w:rsid w:val="002542D0"/>
    <w:pPr>
      <w:tabs>
        <w:tab w:val="center" w:pos="4680"/>
        <w:tab w:val="right" w:pos="9360"/>
      </w:tabs>
    </w:pPr>
  </w:style>
  <w:style w:type="character" w:customStyle="1" w:styleId="FooterChar">
    <w:name w:val="Footer Char"/>
    <w:basedOn w:val="DefaultParagraphFont"/>
    <w:link w:val="Footer"/>
    <w:uiPriority w:val="99"/>
    <w:rsid w:val="002542D0"/>
  </w:style>
  <w:style w:type="character" w:styleId="CommentReference">
    <w:name w:val="annotation reference"/>
    <w:basedOn w:val="DefaultParagraphFont"/>
    <w:uiPriority w:val="99"/>
    <w:semiHidden/>
    <w:unhideWhenUsed/>
    <w:rsid w:val="00C364C2"/>
    <w:rPr>
      <w:sz w:val="16"/>
      <w:szCs w:val="16"/>
    </w:rPr>
  </w:style>
  <w:style w:type="paragraph" w:styleId="CommentText">
    <w:name w:val="annotation text"/>
    <w:basedOn w:val="Normal"/>
    <w:link w:val="CommentTextChar"/>
    <w:uiPriority w:val="99"/>
    <w:semiHidden/>
    <w:unhideWhenUsed/>
    <w:rsid w:val="00C364C2"/>
    <w:rPr>
      <w:sz w:val="20"/>
      <w:szCs w:val="20"/>
    </w:rPr>
  </w:style>
  <w:style w:type="character" w:customStyle="1" w:styleId="CommentTextChar">
    <w:name w:val="Comment Text Char"/>
    <w:basedOn w:val="DefaultParagraphFont"/>
    <w:link w:val="CommentText"/>
    <w:uiPriority w:val="99"/>
    <w:semiHidden/>
    <w:rsid w:val="00C364C2"/>
    <w:rPr>
      <w:sz w:val="20"/>
      <w:szCs w:val="20"/>
    </w:rPr>
  </w:style>
  <w:style w:type="paragraph" w:styleId="CommentSubject">
    <w:name w:val="annotation subject"/>
    <w:basedOn w:val="CommentText"/>
    <w:next w:val="CommentText"/>
    <w:link w:val="CommentSubjectChar"/>
    <w:uiPriority w:val="99"/>
    <w:semiHidden/>
    <w:unhideWhenUsed/>
    <w:rsid w:val="00C364C2"/>
    <w:rPr>
      <w:b/>
      <w:bCs/>
    </w:rPr>
  </w:style>
  <w:style w:type="character" w:customStyle="1" w:styleId="CommentSubjectChar">
    <w:name w:val="Comment Subject Char"/>
    <w:basedOn w:val="CommentTextChar"/>
    <w:link w:val="CommentSubject"/>
    <w:uiPriority w:val="99"/>
    <w:semiHidden/>
    <w:rsid w:val="00C364C2"/>
    <w:rPr>
      <w:b/>
      <w:bCs/>
      <w:sz w:val="20"/>
      <w:szCs w:val="20"/>
    </w:rPr>
  </w:style>
  <w:style w:type="paragraph" w:styleId="BalloonText">
    <w:name w:val="Balloon Text"/>
    <w:basedOn w:val="Normal"/>
    <w:link w:val="BalloonTextChar"/>
    <w:uiPriority w:val="99"/>
    <w:semiHidden/>
    <w:unhideWhenUsed/>
    <w:rsid w:val="00C364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4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oter" Target="footer2.xml"/><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yU4s+kkQ4QcmW/LrohDvnQOuMQ==">CgMxLjA4AHIhMXh1SDY5V3dJd3FVeWE5Z3FrbnJtanhGUGdWdHprNVVt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Pages>
  <Words>2225</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JANANI</cp:lastModifiedBy>
  <cp:revision>5</cp:revision>
  <dcterms:created xsi:type="dcterms:W3CDTF">2026-03-01T08:43:00Z</dcterms:created>
  <dcterms:modified xsi:type="dcterms:W3CDTF">2026-04-03T06:21:00Z</dcterms:modified>
</cp:coreProperties>
</file>