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D442E" w:rsidRPr="00E13013">
        <w:trPr>
          <w:trHeight w:val="20"/>
          <w:jc w:val="center"/>
        </w:trPr>
        <w:tc>
          <w:tcPr>
            <w:tcW w:w="1186" w:type="pct"/>
          </w:tcPr>
          <w:p w:rsidR="006D442E" w:rsidRPr="00E13013" w:rsidRDefault="00F90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6D442E" w:rsidRPr="00E13013" w:rsidRDefault="00F90A7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6D442E" w:rsidRPr="00E13013">
        <w:trPr>
          <w:trHeight w:val="20"/>
          <w:jc w:val="center"/>
        </w:trPr>
        <w:tc>
          <w:tcPr>
            <w:tcW w:w="1186" w:type="pct"/>
          </w:tcPr>
          <w:p w:rsidR="006D442E" w:rsidRPr="00E13013" w:rsidRDefault="00F90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6D442E" w:rsidRPr="00E13013" w:rsidRDefault="00F9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Ms_JSRR_156644</w:t>
            </w:r>
          </w:p>
        </w:tc>
      </w:tr>
      <w:tr w:rsidR="006D442E" w:rsidRPr="00E13013">
        <w:trPr>
          <w:trHeight w:val="20"/>
          <w:jc w:val="center"/>
        </w:trPr>
        <w:tc>
          <w:tcPr>
            <w:tcW w:w="1186" w:type="pct"/>
          </w:tcPr>
          <w:p w:rsidR="006D442E" w:rsidRPr="00E13013" w:rsidRDefault="00F90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6D442E" w:rsidRPr="00E13013" w:rsidRDefault="00F9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Assessing the Effectiveness of District Agrometeorological Units (DAMUs) in Farm Planning and Management: An Empirical Analysis of </w:t>
            </w:r>
            <w:proofErr w:type="spellStart"/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>-Advisory Services</w:t>
            </w:r>
          </w:p>
        </w:tc>
      </w:tr>
      <w:tr w:rsidR="006D442E" w:rsidRPr="00E13013">
        <w:trPr>
          <w:trHeight w:val="20"/>
          <w:jc w:val="center"/>
        </w:trPr>
        <w:tc>
          <w:tcPr>
            <w:tcW w:w="1186" w:type="pct"/>
          </w:tcPr>
          <w:p w:rsidR="006D442E" w:rsidRPr="00E13013" w:rsidRDefault="00F90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6D442E" w:rsidRPr="00E13013" w:rsidRDefault="00F9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D442E" w:rsidRPr="00E13013" w:rsidRDefault="006D44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D442E" w:rsidRPr="00E13013" w:rsidRDefault="006D44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D442E" w:rsidRPr="00E13013" w:rsidRDefault="00F90A7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1301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1301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D442E" w:rsidRPr="00E13013" w:rsidRDefault="006D44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D442E" w:rsidRPr="00E13013">
        <w:trPr>
          <w:trHeight w:val="20"/>
          <w:jc w:val="center"/>
        </w:trPr>
        <w:tc>
          <w:tcPr>
            <w:tcW w:w="1789" w:type="pct"/>
            <w:noWrap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3013">
              <w:rPr>
                <w:rFonts w:ascii="Arial" w:hAnsi="Arial" w:cs="Arial"/>
                <w:lang w:val="en-GB" w:eastAsia="en-US"/>
              </w:rPr>
              <w:t xml:space="preserve">Comments of the </w:t>
            </w:r>
            <w:r w:rsidRPr="00E13013">
              <w:rPr>
                <w:rFonts w:ascii="Arial" w:hAnsi="Arial" w:cs="Arial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6D442E" w:rsidRPr="00E13013" w:rsidRDefault="00F90A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30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30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89" w:type="pct"/>
            <w:noWrap/>
          </w:tcPr>
          <w:p w:rsidR="006D442E" w:rsidRPr="00E13013" w:rsidRDefault="00F90A7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D442E" w:rsidRPr="00E13013" w:rsidRDefault="00F90A7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This manuscript addresses a highly relevant issue in climate-resilient agriculture by evaluating the effectiveness of District Agrometeorological Units (DAMUs). It contributes to the literature by empirically examining </w:t>
            </w:r>
            <w:proofErr w:type="spellStart"/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agro</w:t>
            </w:r>
            <w:proofErr w:type="spellEnd"/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-advisory services and their role</w:t>
            </w: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in farm decision-making. The comparative analysis between beneficiaries and non-beneficiaries provides useful policy insights. The study is particularly valuable for improving ICT-based agricultural extension systems.</w:t>
            </w:r>
          </w:p>
          <w:p w:rsidR="006D442E" w:rsidRPr="00E13013" w:rsidRDefault="006D442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442E" w:rsidRPr="00E13013" w:rsidRDefault="006D442E">
      <w:pPr>
        <w:rPr>
          <w:rFonts w:ascii="Arial" w:hAnsi="Arial" w:cs="Arial"/>
          <w:sz w:val="20"/>
          <w:szCs w:val="20"/>
          <w:lang w:val="en-GB"/>
        </w:rPr>
      </w:pPr>
    </w:p>
    <w:p w:rsidR="006D442E" w:rsidRPr="00E13013" w:rsidRDefault="006D442E">
      <w:pPr>
        <w:rPr>
          <w:rFonts w:ascii="Arial" w:hAnsi="Arial" w:cs="Arial"/>
          <w:sz w:val="20"/>
          <w:szCs w:val="20"/>
          <w:lang w:val="en-GB"/>
        </w:rPr>
      </w:pPr>
    </w:p>
    <w:p w:rsidR="006D442E" w:rsidRPr="00E13013" w:rsidRDefault="006D442E">
      <w:pPr>
        <w:rPr>
          <w:rFonts w:ascii="Arial" w:hAnsi="Arial" w:cs="Arial"/>
          <w:sz w:val="20"/>
          <w:szCs w:val="20"/>
          <w:lang w:val="en-GB"/>
        </w:rPr>
      </w:pPr>
    </w:p>
    <w:p w:rsidR="006D442E" w:rsidRPr="00E13013" w:rsidRDefault="00F90A7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1301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D442E" w:rsidRPr="00E13013" w:rsidRDefault="006D44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D442E" w:rsidRPr="00E13013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301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6D442E" w:rsidRPr="00E13013" w:rsidRDefault="00F90A7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30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301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01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01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01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01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01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013">
              <w:rPr>
                <w:rFonts w:ascii="Arial" w:hAnsi="Arial" w:cs="Arial"/>
                <w:lang w:val="en-GB"/>
              </w:rPr>
              <w:t xml:space="preserve">8. Were </w:t>
            </w:r>
            <w:r w:rsidRPr="00E13013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</w:t>
            </w: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findings to existing literature?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</w:t>
            </w: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</w:t>
            </w: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number)?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790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442E" w:rsidRPr="00E13013" w:rsidRDefault="00F9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442E" w:rsidRPr="00E13013" w:rsidRDefault="006D44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442E" w:rsidRPr="00E13013" w:rsidRDefault="006D44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442E" w:rsidRPr="00E13013" w:rsidRDefault="006D44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442E" w:rsidRPr="00E13013" w:rsidRDefault="00F90A7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1301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D442E" w:rsidRPr="00E13013" w:rsidRDefault="006D44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D442E" w:rsidRPr="00E13013">
        <w:trPr>
          <w:trHeight w:val="20"/>
          <w:jc w:val="center"/>
        </w:trPr>
        <w:tc>
          <w:tcPr>
            <w:tcW w:w="1672" w:type="pct"/>
            <w:noWrap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301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D442E" w:rsidRPr="00E13013" w:rsidRDefault="006D4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6D442E" w:rsidRPr="00E13013" w:rsidRDefault="00F90A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30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30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672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</w:t>
            </w: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article suitable?</w:t>
            </w:r>
          </w:p>
          <w:p w:rsidR="006D442E" w:rsidRPr="00E13013" w:rsidRDefault="006D44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D442E" w:rsidRPr="00E13013" w:rsidRDefault="00F9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672" w:type="pct"/>
            <w:noWrap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301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D442E" w:rsidRPr="00E13013" w:rsidRDefault="006D44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D442E" w:rsidRPr="00E13013" w:rsidRDefault="00F9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(minor clarity</w:t>
            </w: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improvement needed)</w:t>
            </w:r>
          </w:p>
        </w:tc>
        <w:tc>
          <w:tcPr>
            <w:tcW w:w="1543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672" w:type="pct"/>
            <w:noWrap/>
          </w:tcPr>
          <w:p w:rsidR="006D442E" w:rsidRPr="00E13013" w:rsidRDefault="00F90A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1301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13013">
              <w:rPr>
                <w:rFonts w:ascii="Arial" w:hAnsi="Arial" w:cs="Arial"/>
                <w:lang w:val="en-GB" w:eastAsia="en-US"/>
              </w:rPr>
              <w:br/>
            </w:r>
          </w:p>
          <w:p w:rsidR="006D442E" w:rsidRPr="00E13013" w:rsidRDefault="00F9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(needs minor refinement in interpretation)</w:t>
            </w:r>
          </w:p>
        </w:tc>
        <w:tc>
          <w:tcPr>
            <w:tcW w:w="1543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1672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D442E" w:rsidRPr="00E13013" w:rsidRDefault="00F90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D442E" w:rsidRPr="00E13013" w:rsidRDefault="006D44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442E" w:rsidRPr="00E13013" w:rsidRDefault="00F9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</w:t>
            </w: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your answer is NO, please provide clear suggestion for improvement.</w:t>
            </w:r>
          </w:p>
        </w:tc>
        <w:tc>
          <w:tcPr>
            <w:tcW w:w="1786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442E" w:rsidRPr="00E13013">
        <w:trPr>
          <w:trHeight w:val="896"/>
          <w:jc w:val="center"/>
        </w:trPr>
        <w:tc>
          <w:tcPr>
            <w:tcW w:w="1672" w:type="pct"/>
            <w:noWrap/>
          </w:tcPr>
          <w:p w:rsidR="006D442E" w:rsidRPr="00E13013" w:rsidRDefault="00F9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D442E" w:rsidRPr="00E13013" w:rsidRDefault="00F90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D442E" w:rsidRPr="00E13013" w:rsidRDefault="006D44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442E" w:rsidRPr="00E13013" w:rsidRDefault="00F90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D442E" w:rsidRPr="00E13013" w:rsidRDefault="006D44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6D442E" w:rsidRPr="00E13013" w:rsidRDefault="00F9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6D442E" w:rsidRPr="00E13013" w:rsidRDefault="006D44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442E" w:rsidRPr="00E13013" w:rsidRDefault="006D442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D442E" w:rsidRPr="00E13013" w:rsidRDefault="00F90A7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1301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6D442E" w:rsidRPr="00E13013" w:rsidRDefault="006D44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D442E" w:rsidRPr="00E13013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6D442E" w:rsidRPr="00E13013" w:rsidRDefault="00F9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30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</w:t>
            </w:r>
            <w:r w:rsidRPr="00E130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reserved for the comments from journal editorial office and editors):</w:t>
            </w:r>
          </w:p>
          <w:p w:rsidR="006D442E" w:rsidRPr="00E13013" w:rsidRDefault="006D44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D442E" w:rsidRPr="00E13013">
        <w:trPr>
          <w:trHeight w:val="20"/>
          <w:jc w:val="center"/>
        </w:trPr>
        <w:tc>
          <w:tcPr>
            <w:tcW w:w="2784" w:type="pct"/>
            <w:noWrap/>
          </w:tcPr>
          <w:p w:rsidR="006D442E" w:rsidRPr="00E13013" w:rsidRDefault="006D44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6D442E" w:rsidRPr="00E13013" w:rsidRDefault="00F9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D442E" w:rsidRPr="00E13013">
        <w:trPr>
          <w:trHeight w:val="20"/>
          <w:jc w:val="center"/>
        </w:trPr>
        <w:tc>
          <w:tcPr>
            <w:tcW w:w="2784" w:type="pct"/>
            <w:noWrap/>
          </w:tcPr>
          <w:p w:rsidR="006D442E" w:rsidRPr="00E13013" w:rsidRDefault="00F9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sz w:val="20"/>
                <w:szCs w:val="20"/>
                <w:lang w:val="en-GB"/>
              </w:rPr>
              <w:t>The manuscript is sound but requires language polishing and stronger linkage between results and theory.</w:t>
            </w:r>
          </w:p>
          <w:p w:rsidR="006D442E" w:rsidRPr="00E13013" w:rsidRDefault="006D442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42E" w:rsidRPr="00E13013" w:rsidRDefault="006D442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42E" w:rsidRPr="00E13013" w:rsidRDefault="00F90A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sz w:val="20"/>
                <w:szCs w:val="20"/>
                <w:lang w:val="en-GB"/>
              </w:rPr>
              <w:t>Improve grammar and academic writing quality.</w:t>
            </w:r>
          </w:p>
          <w:p w:rsidR="006D442E" w:rsidRPr="00E13013" w:rsidRDefault="00F90A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sz w:val="20"/>
                <w:szCs w:val="20"/>
                <w:lang w:val="en-GB"/>
              </w:rPr>
              <w:t xml:space="preserve">Expand </w:t>
            </w:r>
            <w:r w:rsidRPr="00E13013">
              <w:rPr>
                <w:rFonts w:ascii="Arial" w:hAnsi="Arial" w:cs="Arial"/>
                <w:sz w:val="20"/>
                <w:szCs w:val="20"/>
                <w:lang w:val="en-GB"/>
              </w:rPr>
              <w:t>literature review with recent empirical studies.</w:t>
            </w:r>
          </w:p>
          <w:p w:rsidR="006D442E" w:rsidRPr="00E13013" w:rsidRDefault="00F90A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sz w:val="20"/>
                <w:szCs w:val="20"/>
                <w:lang w:val="en-GB"/>
              </w:rPr>
              <w:t>Clearly state limitations.</w:t>
            </w:r>
          </w:p>
          <w:p w:rsidR="006D442E" w:rsidRPr="00E13013" w:rsidRDefault="00F90A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13">
              <w:rPr>
                <w:rFonts w:ascii="Arial" w:hAnsi="Arial" w:cs="Arial"/>
                <w:sz w:val="20"/>
                <w:szCs w:val="20"/>
                <w:lang w:val="en-GB"/>
              </w:rPr>
              <w:t>Strengthen theoretical linkage in discussion.</w:t>
            </w:r>
          </w:p>
        </w:tc>
        <w:tc>
          <w:tcPr>
            <w:tcW w:w="2216" w:type="pct"/>
          </w:tcPr>
          <w:p w:rsidR="006D442E" w:rsidRPr="00E13013" w:rsidRDefault="006D44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D442E" w:rsidRPr="00E13013" w:rsidRDefault="006D44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9256B" w:rsidRPr="00E13013" w:rsidRDefault="0089256B" w:rsidP="008925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3013">
        <w:rPr>
          <w:rFonts w:ascii="Arial" w:hAnsi="Arial" w:cs="Arial"/>
          <w:b/>
          <w:u w:val="single"/>
        </w:rPr>
        <w:t>Reviewer details:</w:t>
      </w:r>
    </w:p>
    <w:p w:rsidR="006D442E" w:rsidRPr="00E13013" w:rsidRDefault="006D44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9256B" w:rsidRPr="00E13013" w:rsidRDefault="0089256B" w:rsidP="0089256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E13013">
        <w:rPr>
          <w:rFonts w:ascii="Arial" w:eastAsia="Arial Unicode MS" w:hAnsi="Arial" w:cs="Arial"/>
          <w:b/>
          <w:bCs/>
          <w:sz w:val="20"/>
          <w:szCs w:val="20"/>
          <w:lang w:val="en-GB"/>
        </w:rPr>
        <w:t>J. Suresh Kumar</w:t>
      </w:r>
      <w:r w:rsidRPr="00E130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13013">
        <w:rPr>
          <w:rFonts w:ascii="Arial" w:eastAsia="Arial Unicode MS" w:hAnsi="Arial" w:cs="Arial"/>
          <w:b/>
          <w:bCs/>
          <w:sz w:val="20"/>
          <w:szCs w:val="20"/>
          <w:lang w:val="en-GB"/>
        </w:rPr>
        <w:t>St. Joseph University,</w:t>
      </w:r>
      <w:r w:rsidRPr="00E130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E13013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89256B" w:rsidRPr="00E1301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A78" w:rsidRDefault="00F90A78">
      <w:r>
        <w:separator/>
      </w:r>
    </w:p>
  </w:endnote>
  <w:endnote w:type="continuationSeparator" w:id="0">
    <w:p w:rsidR="00F90A78" w:rsidRDefault="00F9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42E" w:rsidRDefault="006D442E">
    <w:pPr>
      <w:pStyle w:val="Footer"/>
      <w:jc w:val="right"/>
    </w:pPr>
  </w:p>
  <w:p w:rsidR="006D442E" w:rsidRDefault="00F90A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6D442E" w:rsidRDefault="00F90A7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D442E" w:rsidRDefault="006D442E">
    <w:pPr>
      <w:pStyle w:val="Footer"/>
      <w:jc w:val="right"/>
    </w:pPr>
  </w:p>
  <w:p w:rsidR="006D442E" w:rsidRDefault="006D44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A78" w:rsidRDefault="00F90A78">
      <w:r>
        <w:separator/>
      </w:r>
    </w:p>
  </w:footnote>
  <w:footnote w:type="continuationSeparator" w:id="0">
    <w:p w:rsidR="00F90A78" w:rsidRDefault="00F9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42E" w:rsidRDefault="006D44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D442E" w:rsidRDefault="00F90A7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0654D0"/>
    <w:multiLevelType w:val="hybridMultilevel"/>
    <w:tmpl w:val="01F0A9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42E"/>
    <w:rsid w:val="006D442E"/>
    <w:rsid w:val="0089256B"/>
    <w:rsid w:val="00E13013"/>
    <w:rsid w:val="00F9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2AB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25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29</cp:revision>
  <dcterms:created xsi:type="dcterms:W3CDTF">2026-03-24T06:15:00Z</dcterms:created>
  <dcterms:modified xsi:type="dcterms:W3CDTF">2026-04-15T06:23:00Z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