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E71FDF" w14:paraId="5F2DED8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52A2C9" w14:textId="77777777" w:rsidR="00212DC3" w:rsidRPr="00E71FDF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33BFB8B" w14:textId="77777777" w:rsidR="00212DC3" w:rsidRPr="00E71FDF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E71FDF" w14:paraId="3389D41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FDE20D" w14:textId="77777777" w:rsidR="00212DC3" w:rsidRPr="00E71FDF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9D60BA7" w14:textId="77777777" w:rsidR="00212DC3" w:rsidRPr="00E71FDF" w:rsidRDefault="00417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Ms_JPRI_156934</w:t>
            </w:r>
          </w:p>
        </w:tc>
      </w:tr>
      <w:tr w:rsidR="00212DC3" w:rsidRPr="00E71FDF" w14:paraId="69528A5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99B638E" w14:textId="77777777" w:rsidR="00212DC3" w:rsidRPr="00E71FDF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9472490" w14:textId="77777777" w:rsidR="00212DC3" w:rsidRPr="00E71FDF" w:rsidRDefault="00417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Plant-Derived Polysaccharides as Next-Generation Drug Delivery Carriers: Opportunities, Challenges, and Future Perspectives</w:t>
            </w:r>
          </w:p>
        </w:tc>
      </w:tr>
      <w:tr w:rsidR="00212DC3" w:rsidRPr="00E71FDF" w14:paraId="21E9F4C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E9135BF" w14:textId="77777777" w:rsidR="00212DC3" w:rsidRPr="00E71FDF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3C79E94" w14:textId="77777777" w:rsidR="00212DC3" w:rsidRPr="00E71FDF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C1B6476" w14:textId="77777777" w:rsidR="00212DC3" w:rsidRPr="00E71FDF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FB7E95" w14:textId="77777777" w:rsidR="00212DC3" w:rsidRPr="00E71FDF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E33FD8E" w14:textId="77777777" w:rsidR="00212DC3" w:rsidRPr="00E71FDF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1F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B933237" w14:textId="77777777" w:rsidR="00212DC3" w:rsidRPr="00E71FDF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8FA24BF" w14:textId="77777777" w:rsidR="00212DC3" w:rsidRPr="00E71FDF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E71FDF" w14:paraId="091FB4B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F609924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7DFC72D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F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EE90607" w14:textId="77777777" w:rsidR="00212DC3" w:rsidRPr="00E71FDF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1F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1F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991DF9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209FB99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064D9D4" w14:textId="77777777" w:rsidR="00212DC3" w:rsidRPr="00E71FDF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8054B78" w14:textId="77777777" w:rsidR="00212DC3" w:rsidRPr="00E71FDF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5E2D0FF0" w14:textId="3A5BF28D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sz w:val="20"/>
                <w:szCs w:val="20"/>
              </w:rPr>
              <w:t>This manuscript is significant as it consolidates emerging insights on rare plant-derived polysaccharides as promising, sustainable drug delivery materials. It provides a clear framework on their properties, applications, and advantages while addressing key challenges, thereby guiding future research and innovation in next-generation pharmaceutical systems.</w:t>
            </w:r>
          </w:p>
        </w:tc>
        <w:tc>
          <w:tcPr>
            <w:tcW w:w="1367" w:type="pct"/>
            <w:shd w:val="clear" w:color="auto" w:fill="auto"/>
          </w:tcPr>
          <w:p w14:paraId="01C93FC2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062DAD" w14:textId="77777777" w:rsidR="00212DC3" w:rsidRPr="00E71FDF" w:rsidRDefault="00212DC3">
      <w:pPr>
        <w:rPr>
          <w:rFonts w:ascii="Arial" w:hAnsi="Arial" w:cs="Arial"/>
          <w:sz w:val="20"/>
          <w:szCs w:val="20"/>
          <w:lang w:val="en-GB"/>
        </w:rPr>
      </w:pPr>
    </w:p>
    <w:p w14:paraId="76132A40" w14:textId="77777777" w:rsidR="00212DC3" w:rsidRPr="00E71FDF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71FD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848C260" w14:textId="77777777" w:rsidR="00212DC3" w:rsidRPr="00E71FDF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E71FDF" w14:paraId="1A8E0675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A55B0B7" w14:textId="77777777" w:rsidR="00212DC3" w:rsidRPr="00E71FDF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696680" w14:textId="77777777" w:rsidR="00212DC3" w:rsidRPr="00E71FDF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E71FDF" w14:paraId="1A7F32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9A74B2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17BA15D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F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1EEA3851" w14:textId="77777777" w:rsidR="00212DC3" w:rsidRPr="00E71FDF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1F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DC3" w:rsidRPr="00E71FDF" w14:paraId="1E4154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C11F62" w14:textId="77777777" w:rsidR="00212DC3" w:rsidRPr="00E71FDF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7DDC5FF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1A7D8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90EC00" w14:textId="7E083ADA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6BA905E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4E8661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48BBAA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F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05441FF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4BA49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1B7CE1" w14:textId="1CC6AF3D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1928F0A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35B6BB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584B4B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A4D2828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A4AF1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E9D32C" w14:textId="0D3D7C53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5B570DBC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082E5B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4299B9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1031B7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FF559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843630" w14:textId="0AD7225F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D1FCDFE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4FADC5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6C6EEA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BE7EF3B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19DBF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9D9721" w14:textId="7A4E3C0C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FBBB8D0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698826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845316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7744E67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0B655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8FD0D0" w14:textId="266298A3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4C4AB82B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5A2A44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2CB2E3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8D76695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76433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1C0552" w14:textId="2F867DDB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4904D9F4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168980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873B36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8F74290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14DC8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D19F5E" w14:textId="55970FD3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EDB84FC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5E2D9D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1321CD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71FD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D048442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2C4D0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551FDA" w14:textId="1F47069E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FB3C230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1523BB9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EDFD79" w14:textId="77777777" w:rsidR="00212DC3" w:rsidRPr="00E71FDF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71FD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321BBF6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49E45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A85EA1" w14:textId="02D5A3A2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3F435514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152C27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E0ECE6" w14:textId="77777777" w:rsidR="00212DC3" w:rsidRPr="00E71FDF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DECE0E3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7C3A30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D0EF1F" w14:textId="58F33539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2D724E22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086822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064915" w14:textId="77777777" w:rsidR="00212DC3" w:rsidRPr="00E71FDF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E2E8B5D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5355F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FD3508" w14:textId="054DAE78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2E86499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52D199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04C37E" w14:textId="77777777" w:rsidR="00212DC3" w:rsidRPr="00E71FDF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71FD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7CC862D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4382D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2BE94C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FA1BF02" w14:textId="102AE526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B2984A0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19B261F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094FF0" w14:textId="77777777" w:rsidR="00212DC3" w:rsidRPr="00E71FDF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64C860C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F6EB9" w14:textId="77777777" w:rsidR="00212DC3" w:rsidRPr="00E71FDF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B078C6B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49DF1E1" w14:textId="77777777" w:rsidR="00212DC3" w:rsidRPr="00E71FDF" w:rsidRDefault="00212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5AE9A" w14:textId="4D0C89E7" w:rsidR="00FB26DA" w:rsidRPr="00E71FDF" w:rsidRDefault="00FB26D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4BA2BD36" w14:textId="7E122726" w:rsidR="00FB26DA" w:rsidRPr="00E71FDF" w:rsidRDefault="00FB26DA" w:rsidP="00FB26DA">
            <w:pPr>
              <w:rPr>
                <w:rFonts w:ascii="Arial" w:hAnsi="Arial" w:cs="Arial"/>
                <w:sz w:val="20"/>
                <w:szCs w:val="20"/>
                <w:lang w:val="id-ID" w:eastAsia="id-ID"/>
              </w:rPr>
            </w:pPr>
            <w:r w:rsidRPr="00E71FDF">
              <w:rPr>
                <w:rFonts w:ascii="Arial" w:hAnsi="Arial" w:cs="Arial"/>
                <w:sz w:val="20"/>
                <w:szCs w:val="20"/>
                <w:lang w:val="id-ID" w:eastAsia="id-ID"/>
              </w:rPr>
              <w:t>Requires professional language editing,</w:t>
            </w: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id-ID" w:eastAsia="id-ID"/>
              </w:rPr>
              <w:t xml:space="preserve"> </w:t>
            </w:r>
            <w:r w:rsidRPr="00E71FDF">
              <w:rPr>
                <w:rFonts w:ascii="Arial" w:hAnsi="Arial" w:cs="Arial"/>
                <w:sz w:val="20"/>
                <w:szCs w:val="20"/>
                <w:lang w:val="id-ID" w:eastAsia="id-ID"/>
              </w:rPr>
              <w:t xml:space="preserve">Improve </w:t>
            </w:r>
            <w:r w:rsidRPr="00E71FDF">
              <w:rPr>
                <w:rFonts w:ascii="Arial" w:hAnsi="Arial" w:cs="Arial"/>
                <w:sz w:val="20"/>
                <w:szCs w:val="20"/>
                <w:lang w:val="id-ID" w:eastAsia="id-ID"/>
              </w:rPr>
              <w:lastRenderedPageBreak/>
              <w:t>academic tone and conciseness</w:t>
            </w:r>
          </w:p>
        </w:tc>
        <w:tc>
          <w:tcPr>
            <w:tcW w:w="1367" w:type="pct"/>
            <w:shd w:val="clear" w:color="auto" w:fill="auto"/>
          </w:tcPr>
          <w:p w14:paraId="3D41A060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CAF172" w14:textId="77777777" w:rsidR="00212DC3" w:rsidRPr="00E71FDF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9D64CD" w14:textId="77777777" w:rsidR="00212DC3" w:rsidRPr="00E71FDF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71F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930E3C3" w14:textId="77777777" w:rsidR="00212DC3" w:rsidRPr="00E71FDF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E71FDF" w14:paraId="2B8BE0A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39EA122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7986168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F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BDD9444" w14:textId="77777777" w:rsidR="00212DC3" w:rsidRPr="00E71FDF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2E8DEB77" w14:textId="77777777" w:rsidR="00212DC3" w:rsidRPr="00E71FDF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1F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1F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8F0A53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05F41CBB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037347A" w14:textId="77777777" w:rsidR="00212DC3" w:rsidRPr="00E71FDF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E4E7D0" w14:textId="77777777" w:rsidR="00212DC3" w:rsidRPr="00E71FDF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9DF8F1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F642258" w14:textId="6F90C73B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1F868048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4A9D367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0FEEBDB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71F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AAF3B2" w14:textId="77777777" w:rsidR="00212DC3" w:rsidRPr="00E71FDF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53C3EB" w14:textId="77777777" w:rsidR="00212DC3" w:rsidRPr="00E71FDF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B8FBB8E" w14:textId="5986BAE2" w:rsidR="00212DC3" w:rsidRPr="00E71FDF" w:rsidRDefault="007F4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41AFE5D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0C89253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C3E3BE2" w14:textId="77777777" w:rsidR="00212DC3" w:rsidRPr="00E71FDF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71F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71FDF">
              <w:rPr>
                <w:rFonts w:ascii="Arial" w:hAnsi="Arial" w:cs="Arial"/>
                <w:lang w:val="en-GB" w:eastAsia="en-US"/>
              </w:rPr>
              <w:br/>
            </w:r>
          </w:p>
          <w:p w14:paraId="4A8C14BC" w14:textId="77777777" w:rsidR="00212DC3" w:rsidRPr="00E71FDF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B043CA5" w14:textId="20BC5961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C9789AA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0AB41C0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464619B" w14:textId="77777777" w:rsidR="00212DC3" w:rsidRPr="00E71FDF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012F82" w14:textId="77777777" w:rsidR="00212DC3" w:rsidRPr="00E71FDF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884A8B" w14:textId="77777777" w:rsidR="00212DC3" w:rsidRPr="00E71FDF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9A098CE" w14:textId="74BD9994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112D64D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E71FDF" w14:paraId="3180D3B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AA4A431" w14:textId="77777777" w:rsidR="00212DC3" w:rsidRPr="00E71FDF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3BCF9B" w14:textId="77777777" w:rsidR="00212DC3" w:rsidRPr="00E71FDF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98450C" w14:textId="77777777" w:rsidR="00212DC3" w:rsidRPr="00E71FDF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9DD218" w14:textId="77777777" w:rsidR="00212DC3" w:rsidRPr="00E71FDF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91E2C6" w14:textId="77777777" w:rsidR="00212DC3" w:rsidRPr="00E71FDF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5EB589BD" w14:textId="78AA7F26" w:rsidR="00212DC3" w:rsidRPr="00E71FDF" w:rsidRDefault="007F46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71FDF">
              <w:rPr>
                <w:rFonts w:ascii="Arial" w:hAnsi="Arial" w:cs="Arial"/>
                <w:bCs/>
                <w:sz w:val="20"/>
                <w:szCs w:val="20"/>
                <w:lang w:val="id-ID"/>
              </w:rPr>
              <w:t>NO</w:t>
            </w: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14:paraId="75720042" w14:textId="77777777" w:rsidR="00212DC3" w:rsidRPr="00E71FDF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4626E9" w14:textId="77777777" w:rsidR="00212DC3" w:rsidRPr="00E71FDF" w:rsidRDefault="00212DC3">
      <w:pPr>
        <w:rPr>
          <w:rFonts w:ascii="Arial" w:hAnsi="Arial" w:cs="Arial"/>
          <w:sz w:val="20"/>
          <w:szCs w:val="20"/>
          <w:lang w:val="en-GB"/>
        </w:rPr>
      </w:pPr>
    </w:p>
    <w:p w14:paraId="4600B9FF" w14:textId="77777777" w:rsidR="00E71FDF" w:rsidRPr="00E71FDF" w:rsidRDefault="00E71FDF" w:rsidP="00E71F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1FDF">
        <w:rPr>
          <w:rFonts w:ascii="Arial" w:hAnsi="Arial" w:cs="Arial"/>
          <w:b/>
          <w:u w:val="single"/>
        </w:rPr>
        <w:t>Reviewer details:</w:t>
      </w:r>
    </w:p>
    <w:p w14:paraId="24EC475A" w14:textId="77777777" w:rsidR="00E71FDF" w:rsidRPr="00E71FDF" w:rsidRDefault="00E71FDF" w:rsidP="00E71FDF">
      <w:pPr>
        <w:rPr>
          <w:rFonts w:ascii="Arial" w:hAnsi="Arial" w:cs="Arial"/>
          <w:sz w:val="20"/>
          <w:szCs w:val="20"/>
        </w:rPr>
      </w:pPr>
      <w:proofErr w:type="spellStart"/>
      <w:r w:rsidRPr="00E71FDF">
        <w:rPr>
          <w:rFonts w:ascii="Arial" w:hAnsi="Arial" w:cs="Arial"/>
          <w:color w:val="000000"/>
          <w:sz w:val="20"/>
          <w:szCs w:val="20"/>
        </w:rPr>
        <w:t>Hermalina</w:t>
      </w:r>
      <w:proofErr w:type="spellEnd"/>
      <w:r w:rsidRPr="00E71FD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71FDF">
        <w:rPr>
          <w:rFonts w:ascii="Arial" w:hAnsi="Arial" w:cs="Arial"/>
          <w:color w:val="000000"/>
          <w:sz w:val="20"/>
          <w:szCs w:val="20"/>
        </w:rPr>
        <w:t>Sinay</w:t>
      </w:r>
      <w:proofErr w:type="spellEnd"/>
      <w:r w:rsidRPr="00E71FDF">
        <w:rPr>
          <w:rFonts w:ascii="Arial" w:hAnsi="Arial" w:cs="Arial"/>
          <w:color w:val="000000"/>
          <w:sz w:val="20"/>
          <w:szCs w:val="20"/>
        </w:rPr>
        <w:t xml:space="preserve">, University of </w:t>
      </w:r>
      <w:proofErr w:type="spellStart"/>
      <w:r w:rsidRPr="00E71FDF">
        <w:rPr>
          <w:rFonts w:ascii="Arial" w:hAnsi="Arial" w:cs="Arial"/>
          <w:color w:val="000000"/>
          <w:sz w:val="20"/>
          <w:szCs w:val="20"/>
        </w:rPr>
        <w:t>Pattimura</w:t>
      </w:r>
      <w:proofErr w:type="spellEnd"/>
      <w:r w:rsidRPr="00E71FDF">
        <w:rPr>
          <w:rFonts w:ascii="Arial" w:hAnsi="Arial" w:cs="Arial"/>
          <w:color w:val="000000"/>
          <w:sz w:val="20"/>
          <w:szCs w:val="20"/>
        </w:rPr>
        <w:t>, Indonesia</w:t>
      </w:r>
      <w:r w:rsidRPr="00E71FDF">
        <w:rPr>
          <w:rFonts w:ascii="Arial" w:hAnsi="Arial" w:cs="Arial"/>
          <w:color w:val="000000"/>
          <w:sz w:val="20"/>
          <w:szCs w:val="20"/>
        </w:rPr>
        <w:br/>
      </w:r>
    </w:p>
    <w:p w14:paraId="3C4F8AEB" w14:textId="77777777" w:rsidR="00212DC3" w:rsidRPr="00E71FDF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12DC3" w:rsidRPr="00E71FD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023EC" w14:textId="77777777" w:rsidR="00F111F2" w:rsidRDefault="00F111F2">
      <w:r>
        <w:separator/>
      </w:r>
    </w:p>
  </w:endnote>
  <w:endnote w:type="continuationSeparator" w:id="0">
    <w:p w14:paraId="25F8D8E8" w14:textId="77777777" w:rsidR="00F111F2" w:rsidRDefault="00F1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EEB39" w14:textId="77777777"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1B2C5A5" w14:textId="77777777" w:rsidR="00212DC3" w:rsidRDefault="00212DC3">
    <w:pPr>
      <w:pStyle w:val="Footer"/>
      <w:jc w:val="right"/>
    </w:pPr>
  </w:p>
  <w:p w14:paraId="62551FE9" w14:textId="77777777"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87CEB" w14:textId="77777777" w:rsidR="00F111F2" w:rsidRDefault="00F111F2">
      <w:r>
        <w:separator/>
      </w:r>
    </w:p>
  </w:footnote>
  <w:footnote w:type="continuationSeparator" w:id="0">
    <w:p w14:paraId="3E13013C" w14:textId="77777777" w:rsidR="00F111F2" w:rsidRDefault="00F1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DDB94" w14:textId="77777777"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0DA8AB" w14:textId="77777777"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F111F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DC3"/>
    <w:rsid w:val="00060E32"/>
    <w:rsid w:val="001813D6"/>
    <w:rsid w:val="00212DC3"/>
    <w:rsid w:val="0032061A"/>
    <w:rsid w:val="00417B82"/>
    <w:rsid w:val="00432951"/>
    <w:rsid w:val="00517B83"/>
    <w:rsid w:val="00707135"/>
    <w:rsid w:val="007F464B"/>
    <w:rsid w:val="00A37C2A"/>
    <w:rsid w:val="00C5135C"/>
    <w:rsid w:val="00C97332"/>
    <w:rsid w:val="00CE5E68"/>
    <w:rsid w:val="00E71FDF"/>
    <w:rsid w:val="00EE0242"/>
    <w:rsid w:val="00F111F2"/>
    <w:rsid w:val="00FA3938"/>
    <w:rsid w:val="00FB26DA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D1EF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B26DA"/>
    <w:rPr>
      <w:b/>
      <w:bCs/>
    </w:rPr>
  </w:style>
  <w:style w:type="paragraph" w:customStyle="1" w:styleId="Affiliation">
    <w:name w:val="Affiliation"/>
    <w:basedOn w:val="Normal"/>
    <w:rsid w:val="00E71F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2026-03-24T06:32:00Z</dcterms:created>
  <dcterms:modified xsi:type="dcterms:W3CDTF">2026-04-20T10:38:00Z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