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E00E" w14:textId="77777777" w:rsidR="00D03E04" w:rsidRDefault="00D03E04" w:rsidP="00D849FA">
      <w:pPr>
        <w:pBdr>
          <w:top w:val="nil"/>
          <w:left w:val="nil"/>
          <w:bottom w:val="nil"/>
          <w:right w:val="nil"/>
          <w:between w:val="nil"/>
        </w:pBdr>
        <w:spacing w:after="140" w:line="360" w:lineRule="auto"/>
        <w:jc w:val="center"/>
        <w:rPr>
          <w:rFonts w:ascii="Times New Roman" w:eastAsia="Times New Roman" w:hAnsi="Times New Roman" w:cs="Times New Roman"/>
          <w:b/>
          <w:color w:val="000000"/>
          <w:sz w:val="28"/>
          <w:szCs w:val="28"/>
        </w:rPr>
      </w:pPr>
      <w:commentRangeStart w:id="0"/>
      <w:r w:rsidRPr="00D03E04">
        <w:rPr>
          <w:rFonts w:ascii="Times New Roman" w:eastAsia="Times New Roman" w:hAnsi="Times New Roman" w:cs="Times New Roman"/>
          <w:b/>
          <w:color w:val="000000"/>
          <w:sz w:val="28"/>
          <w:szCs w:val="28"/>
        </w:rPr>
        <w:t xml:space="preserve">Review Article </w:t>
      </w:r>
      <w:commentRangeEnd w:id="0"/>
      <w:r w:rsidR="00DF2C04">
        <w:rPr>
          <w:rStyle w:val="AklamaBavurusu"/>
        </w:rPr>
        <w:commentReference w:id="0"/>
      </w:r>
    </w:p>
    <w:p w14:paraId="572DC34F" w14:textId="26D67233" w:rsidR="00AE5E4D" w:rsidRDefault="00AE5E4D" w:rsidP="00D849FA">
      <w:pPr>
        <w:pBdr>
          <w:top w:val="nil"/>
          <w:left w:val="nil"/>
          <w:bottom w:val="nil"/>
          <w:right w:val="nil"/>
          <w:between w:val="nil"/>
        </w:pBdr>
        <w:spacing w:after="14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The Digital Reset: Cultivating Digital Discipline and Inner Balance</w:t>
      </w:r>
    </w:p>
    <w:p w14:paraId="5F65D03C" w14:textId="77777777" w:rsidR="00E133A4" w:rsidRDefault="00E133A4" w:rsidP="000907F9">
      <w:pPr>
        <w:pStyle w:val="NormalWeb"/>
        <w:spacing w:line="360" w:lineRule="auto"/>
        <w:jc w:val="both"/>
        <w:rPr>
          <w:b/>
          <w:bCs/>
        </w:rPr>
      </w:pPr>
    </w:p>
    <w:p w14:paraId="5B312533" w14:textId="3329A32D" w:rsidR="00AE5E4D" w:rsidRDefault="00AE5E4D" w:rsidP="000907F9">
      <w:pPr>
        <w:pStyle w:val="NormalWeb"/>
        <w:spacing w:line="360" w:lineRule="auto"/>
        <w:jc w:val="both"/>
      </w:pPr>
      <w:r w:rsidRPr="00D849FA">
        <w:rPr>
          <w:b/>
          <w:bCs/>
        </w:rPr>
        <w:t>Abstract</w:t>
      </w:r>
      <w:r>
        <w:t>:</w:t>
      </w:r>
    </w:p>
    <w:p w14:paraId="2938BB6B" w14:textId="68E6D423" w:rsidR="00AE5E4D" w:rsidRDefault="00AE5E4D" w:rsidP="000907F9">
      <w:pPr>
        <w:pStyle w:val="NormalWeb"/>
        <w:spacing w:line="360" w:lineRule="auto"/>
        <w:jc w:val="both"/>
      </w:pPr>
      <w:r>
        <w:t xml:space="preserve">The world </w:t>
      </w:r>
      <w:r w:rsidR="007C1E88">
        <w:t xml:space="preserve">is </w:t>
      </w:r>
      <w:r>
        <w:t xml:space="preserve">becoming increasingly interconnected by technology, </w:t>
      </w:r>
      <w:r w:rsidR="007C1E88">
        <w:t xml:space="preserve">leading to </w:t>
      </w:r>
      <w:r>
        <w:t xml:space="preserve">digital addiction </w:t>
      </w:r>
      <w:r w:rsidR="007C1E88">
        <w:t>with</w:t>
      </w:r>
      <w:r>
        <w:t xml:space="preserve"> adverse effects (cognitive impairment, sleep </w:t>
      </w:r>
      <w:r w:rsidR="00971AFB">
        <w:t>disruptions,</w:t>
      </w:r>
      <w:r>
        <w:t xml:space="preserve"> and workplace productivity) </w:t>
      </w:r>
      <w:r w:rsidR="007C1E88">
        <w:t xml:space="preserve">that </w:t>
      </w:r>
      <w:r>
        <w:t xml:space="preserve">have been amplified. </w:t>
      </w:r>
      <w:r w:rsidR="004E7364">
        <w:t>Therefore,</w:t>
      </w:r>
      <w:r>
        <w:t xml:space="preserve"> digital well-being</w:t>
      </w:r>
      <w:r w:rsidR="004E7364">
        <w:t xml:space="preserve"> is being </w:t>
      </w:r>
      <w:r w:rsidR="00971AFB">
        <w:t>emphasized,</w:t>
      </w:r>
      <w:r w:rsidR="004E7364">
        <w:t xml:space="preserve"> which describes a mindful, measured, and deliberate attitude toward</w:t>
      </w:r>
      <w:r>
        <w:t xml:space="preserve"> our relationship with digital technologies. Digital well-being is not intended to pull us away from disconnections; it aims for healthy interactions that build psychological resilience, emotional </w:t>
      </w:r>
      <w:r w:rsidR="00971AFB">
        <w:t>regulation,</w:t>
      </w:r>
      <w:r>
        <w:t xml:space="preserve"> and physical health. The fundamental </w:t>
      </w:r>
      <w:r w:rsidR="004E7364">
        <w:t>backing</w:t>
      </w:r>
      <w:r>
        <w:t xml:space="preserve"> of digital well-being is self-regulation. Users take preventative measures like screen-time or app-based restrictions, tech-free zones and digital detoxes. While many users want to reduce their smartphone or other digital device usage, changing </w:t>
      </w:r>
      <w:r w:rsidR="004E7364">
        <w:t>behaviour is often a challenging task</w:t>
      </w:r>
      <w:r>
        <w:t xml:space="preserve"> to achieve. While the landscape of popular digital wellness tools and apps in this space has exploded to aid in this, evidence-based research exploring their efficacy is very limited</w:t>
      </w:r>
      <w:r w:rsidR="00C716DF">
        <w:t xml:space="preserve">, </w:t>
      </w:r>
      <w:r>
        <w:t xml:space="preserve">and the onus for implementation most often falls on an individual’s ability to push through and avoid temptation from the reclamation of one’s attention that awaits us digitally. This paper </w:t>
      </w:r>
      <w:r w:rsidR="00891C39">
        <w:t>provides that definition, and through it, awareness is raised of the significance of digital hygiene as a means for both personal well-being and environmental conservation</w:t>
      </w:r>
      <w:r>
        <w:t>.</w:t>
      </w:r>
    </w:p>
    <w:p w14:paraId="4711E46B" w14:textId="7F8270BA" w:rsidR="00D849FA" w:rsidRDefault="00D849FA" w:rsidP="000907F9">
      <w:pPr>
        <w:pStyle w:val="NormalWeb"/>
        <w:spacing w:line="360" w:lineRule="auto"/>
        <w:jc w:val="both"/>
      </w:pPr>
      <w:r w:rsidRPr="00D849FA">
        <w:rPr>
          <w:b/>
          <w:bCs/>
        </w:rPr>
        <w:t>Keywords</w:t>
      </w:r>
      <w:r>
        <w:t>: Digital hygiene, digital addiction, digital detox, mental health, environmental sustainability, screen time management.</w:t>
      </w:r>
    </w:p>
    <w:p w14:paraId="534DEEE7" w14:textId="0D33D7E8" w:rsidR="00C716DF" w:rsidRDefault="00C716DF" w:rsidP="000907F9">
      <w:pPr>
        <w:pStyle w:val="NormalWeb"/>
        <w:spacing w:line="360" w:lineRule="auto"/>
        <w:jc w:val="both"/>
      </w:pPr>
    </w:p>
    <w:p w14:paraId="18EE94DC" w14:textId="13D16A88" w:rsidR="00C716DF" w:rsidRDefault="00C716DF" w:rsidP="000907F9">
      <w:pPr>
        <w:pStyle w:val="NormalWeb"/>
        <w:spacing w:line="360" w:lineRule="auto"/>
        <w:jc w:val="both"/>
      </w:pPr>
    </w:p>
    <w:p w14:paraId="63F09621" w14:textId="1FBC6F12" w:rsidR="00C716DF" w:rsidRDefault="00C716DF" w:rsidP="000907F9">
      <w:pPr>
        <w:pStyle w:val="NormalWeb"/>
        <w:spacing w:line="360" w:lineRule="auto"/>
        <w:jc w:val="both"/>
      </w:pPr>
    </w:p>
    <w:p w14:paraId="1AFDBB6A" w14:textId="130B9BFD" w:rsidR="00C716DF" w:rsidRDefault="00C716DF" w:rsidP="000907F9">
      <w:pPr>
        <w:pStyle w:val="NormalWeb"/>
        <w:spacing w:line="360" w:lineRule="auto"/>
        <w:jc w:val="both"/>
      </w:pPr>
    </w:p>
    <w:p w14:paraId="1583E2C6" w14:textId="7F9F8AB6" w:rsidR="00C716DF" w:rsidRDefault="00C716DF" w:rsidP="000907F9">
      <w:pPr>
        <w:pStyle w:val="NormalWeb"/>
        <w:spacing w:line="360" w:lineRule="auto"/>
        <w:jc w:val="both"/>
      </w:pPr>
    </w:p>
    <w:p w14:paraId="09740BF1" w14:textId="6E403A4F" w:rsidR="002347F8" w:rsidRPr="002347F8" w:rsidRDefault="00372C26" w:rsidP="000907F9">
      <w:pPr>
        <w:pStyle w:val="NormalWeb"/>
        <w:spacing w:line="360" w:lineRule="auto"/>
        <w:jc w:val="both"/>
        <w:rPr>
          <w:b/>
          <w:bCs/>
        </w:rPr>
      </w:pPr>
      <w:r>
        <w:rPr>
          <w:b/>
          <w:bCs/>
        </w:rPr>
        <w:lastRenderedPageBreak/>
        <w:t xml:space="preserve">1. </w:t>
      </w:r>
      <w:r w:rsidR="002347F8" w:rsidRPr="002347F8">
        <w:rPr>
          <w:b/>
          <w:bCs/>
        </w:rPr>
        <w:t>Introduction</w:t>
      </w:r>
    </w:p>
    <w:p w14:paraId="0DCE8645" w14:textId="7D5D55CE" w:rsidR="000907F9" w:rsidRDefault="00273511" w:rsidP="000907F9">
      <w:pPr>
        <w:pStyle w:val="NormalWeb"/>
        <w:spacing w:line="360" w:lineRule="auto"/>
        <w:jc w:val="both"/>
      </w:pPr>
      <w:r>
        <w:t xml:space="preserve">Technology has been influencing all aspects of life. </w:t>
      </w:r>
      <w:r w:rsidR="002347F8">
        <w:t>The pervasive media is providing many benefits and challenges, which means that connectivity comes with a lot of information alongside opportunities against fears of digital addiction and its widespread impact</w:t>
      </w:r>
      <w:r w:rsidR="000907F9">
        <w:t xml:space="preserve"> </w:t>
      </w:r>
      <w:r w:rsidR="000907F9">
        <w:rPr>
          <w:color w:val="000000"/>
        </w:rPr>
        <w:t>(</w:t>
      </w:r>
      <w:commentRangeStart w:id="1"/>
      <w:r w:rsidR="000907F9">
        <w:rPr>
          <w:color w:val="000000"/>
        </w:rPr>
        <w:t>Twenge and Campbell, 2018; Przybylski and Weinstein, 2017</w:t>
      </w:r>
      <w:commentRangeEnd w:id="1"/>
      <w:r w:rsidR="00A94D9C">
        <w:rPr>
          <w:rStyle w:val="AklamaBavurusu"/>
          <w:rFonts w:asciiTheme="minorHAnsi" w:eastAsiaTheme="minorHAnsi" w:hAnsiTheme="minorHAnsi" w:cstheme="minorBidi"/>
          <w:lang w:eastAsia="en-US"/>
        </w:rPr>
        <w:commentReference w:id="1"/>
      </w:r>
      <w:r w:rsidR="000907F9">
        <w:rPr>
          <w:color w:val="000000"/>
        </w:rPr>
        <w:t>)</w:t>
      </w:r>
      <w:r w:rsidR="002347F8">
        <w:t xml:space="preserve">. Digital devices are deeply integrated into our life influencing every aspect of life; therefore, </w:t>
      </w:r>
      <w:r w:rsidR="004A6DCC">
        <w:t>practising</w:t>
      </w:r>
      <w:r w:rsidR="002347F8">
        <w:t xml:space="preserve"> digital hygiene through mindfulness practices can be really helpful to communicate better, </w:t>
      </w:r>
      <w:r w:rsidR="004A6DCC">
        <w:t>learn,</w:t>
      </w:r>
      <w:r w:rsidR="002347F8">
        <w:t xml:space="preserve"> and relax. We now have technology cynicism: smartphones, computers and gadgets of all kinds hold us hostage to prolonged screen time, which is closely associated with decreased productivity, sleep issues and worse cognitive function, three major impediments to reaching our highest self. However, excessive usage can be detrimental due to negative outcomes like digital fatigue, reduced attention, disturbed sleep and social isolation. Digital wellness is a unique tool that is the intentional and conscious use of digital technology to improve the physical, emotional and psychological well-being</w:t>
      </w:r>
      <w:r w:rsidR="000907F9">
        <w:t xml:space="preserve"> </w:t>
      </w:r>
      <w:r w:rsidR="000907F9">
        <w:rPr>
          <w:color w:val="000000"/>
        </w:rPr>
        <w:t>(Beetham, 2016)</w:t>
      </w:r>
      <w:r w:rsidR="002347F8">
        <w:t xml:space="preserve">. </w:t>
      </w:r>
      <w:r w:rsidR="00855449">
        <w:t xml:space="preserve">Given these hurdles, the needs and practices of Digital Wellness (DW) </w:t>
      </w:r>
      <w:r w:rsidR="002347F8">
        <w:t>are becoming clearer and gaining traction</w:t>
      </w:r>
      <w:r w:rsidR="004265F8">
        <w:t xml:space="preserve">. </w:t>
      </w:r>
      <w:r w:rsidR="00855449">
        <w:t>More importantly, digital health is not only personal but also a global dimension. And how we make, use and discard digital technology</w:t>
      </w:r>
      <w:r w:rsidR="002347F8">
        <w:t xml:space="preserve"> </w:t>
      </w:r>
      <w:r w:rsidR="00855449">
        <w:t xml:space="preserve">from the growing piles of e-waste to energy-guzzling data </w:t>
      </w:r>
      <w:r w:rsidR="00C12E2E">
        <w:t>centres,</w:t>
      </w:r>
      <w:r w:rsidR="00855449">
        <w:t xml:space="preserve"> affects our environment for the worse</w:t>
      </w:r>
      <w:r w:rsidR="000907F9">
        <w:t xml:space="preserve"> </w:t>
      </w:r>
      <w:r w:rsidR="000907F9">
        <w:rPr>
          <w:color w:val="000000"/>
        </w:rPr>
        <w:t>(</w:t>
      </w:r>
      <w:proofErr w:type="spellStart"/>
      <w:r w:rsidR="000907F9">
        <w:rPr>
          <w:color w:val="000000"/>
        </w:rPr>
        <w:t>Belkhir</w:t>
      </w:r>
      <w:proofErr w:type="spellEnd"/>
      <w:r w:rsidR="000907F9">
        <w:rPr>
          <w:color w:val="000000"/>
        </w:rPr>
        <w:t xml:space="preserve"> and </w:t>
      </w:r>
      <w:proofErr w:type="spellStart"/>
      <w:r w:rsidR="000907F9">
        <w:rPr>
          <w:color w:val="000000"/>
        </w:rPr>
        <w:t>Elmeligi</w:t>
      </w:r>
      <w:proofErr w:type="spellEnd"/>
      <w:r w:rsidR="000907F9">
        <w:rPr>
          <w:color w:val="000000"/>
        </w:rPr>
        <w:t xml:space="preserve">, 2018; </w:t>
      </w:r>
      <w:proofErr w:type="spellStart"/>
      <w:r w:rsidR="000907F9">
        <w:rPr>
          <w:color w:val="000000"/>
        </w:rPr>
        <w:t>Hertlein</w:t>
      </w:r>
      <w:proofErr w:type="spellEnd"/>
      <w:r w:rsidR="000907F9">
        <w:rPr>
          <w:color w:val="000000"/>
        </w:rPr>
        <w:t xml:space="preserve"> et al., 2021). </w:t>
      </w:r>
    </w:p>
    <w:p w14:paraId="5623F955" w14:textId="402D94CB" w:rsidR="000D5773" w:rsidRDefault="00855449" w:rsidP="000907F9">
      <w:pPr>
        <w:pStyle w:val="NormalWeb"/>
        <w:spacing w:line="360" w:lineRule="auto"/>
        <w:jc w:val="both"/>
        <w:rPr>
          <w:color w:val="000000"/>
        </w:rPr>
      </w:pPr>
      <w:r>
        <w:t xml:space="preserve">Digital Wellness connects health to the larger issue of environmental sustainability through </w:t>
      </w:r>
      <w:r w:rsidR="00C12E2E">
        <w:t>the</w:t>
      </w:r>
      <w:r>
        <w:t xml:space="preserve"> implementation </w:t>
      </w:r>
      <w:r w:rsidR="00C12E2E">
        <w:t>of applications,</w:t>
      </w:r>
      <w:r>
        <w:t xml:space="preserve"> tracking </w:t>
      </w:r>
      <w:r w:rsidR="00C12E2E">
        <w:t>devices,</w:t>
      </w:r>
      <w:r>
        <w:t xml:space="preserve"> and </w:t>
      </w:r>
      <w:r w:rsidR="002347F8">
        <w:t>behavioural</w:t>
      </w:r>
      <w:r>
        <w:t xml:space="preserve"> interventions that build on technology in itself, thereby enabling a balanced use of technology, paving the way towards stress reduction</w:t>
      </w:r>
      <w:r w:rsidR="00C12E2E">
        <w:t>,</w:t>
      </w:r>
      <w:r>
        <w:t xml:space="preserve"> an essential element for achieving a smooth work-life balance. </w:t>
      </w:r>
      <w:r w:rsidR="002D22B0">
        <w:t>This review examines</w:t>
      </w:r>
      <w:r w:rsidR="00891C39">
        <w:t xml:space="preserve"> the paradoxical </w:t>
      </w:r>
      <w:r w:rsidR="002D22B0">
        <w:t xml:space="preserve">terrain </w:t>
      </w:r>
      <w:r w:rsidR="002347F8">
        <w:t>that digital wellness occupies, situated between promoting better habits, increasing productivity, and fostering more sustainable engagement with technology</w:t>
      </w:r>
      <w:r>
        <w:t xml:space="preserve"> itself.</w:t>
      </w:r>
      <w:r w:rsidR="000907F9">
        <w:t xml:space="preserve"> </w:t>
      </w:r>
      <w:r w:rsidR="000D5773">
        <w:t xml:space="preserve">The </w:t>
      </w:r>
      <w:r w:rsidR="00891C39">
        <w:t>role</w:t>
      </w:r>
      <w:r w:rsidR="000D5773">
        <w:t xml:space="preserve"> of Digital Wellness (DW) has </w:t>
      </w:r>
      <w:r w:rsidR="00891C39">
        <w:t>developed</w:t>
      </w:r>
      <w:r w:rsidR="000D5773">
        <w:t xml:space="preserve"> as a crucial counterpoint to </w:t>
      </w:r>
      <w:r w:rsidR="00891C39">
        <w:t>various</w:t>
      </w:r>
      <w:r w:rsidR="000D5773">
        <w:t xml:space="preserve"> challenges posed by excessive technology use. Digital wellness describes the practice of taking advantage of the benefits that digital tools can offer while limiting the downsides they can create, like burnout, anxiety and social disconnection</w:t>
      </w:r>
      <w:r w:rsidR="000907F9">
        <w:t xml:space="preserve"> </w:t>
      </w:r>
      <w:r w:rsidR="000907F9">
        <w:rPr>
          <w:color w:val="000000"/>
        </w:rPr>
        <w:t>(</w:t>
      </w:r>
      <w:r w:rsidR="000907F9" w:rsidRPr="000907F9">
        <w:rPr>
          <w:bCs/>
          <w:color w:val="000000"/>
        </w:rPr>
        <w:t>Figure 1</w:t>
      </w:r>
      <w:r w:rsidR="000907F9">
        <w:rPr>
          <w:color w:val="000000"/>
        </w:rPr>
        <w:t>) (</w:t>
      </w:r>
      <w:proofErr w:type="spellStart"/>
      <w:r w:rsidR="000907F9">
        <w:rPr>
          <w:color w:val="000000"/>
        </w:rPr>
        <w:t>Kushlev</w:t>
      </w:r>
      <w:proofErr w:type="spellEnd"/>
      <w:r w:rsidR="000907F9">
        <w:rPr>
          <w:color w:val="000000"/>
        </w:rPr>
        <w:t xml:space="preserve"> and </w:t>
      </w:r>
      <w:proofErr w:type="spellStart"/>
      <w:r w:rsidR="000907F9">
        <w:rPr>
          <w:color w:val="000000"/>
        </w:rPr>
        <w:t>Leitao</w:t>
      </w:r>
      <w:proofErr w:type="spellEnd"/>
      <w:r w:rsidR="000907F9">
        <w:rPr>
          <w:color w:val="000000"/>
        </w:rPr>
        <w:t>, 2020).</w:t>
      </w:r>
    </w:p>
    <w:p w14:paraId="6913825F" w14:textId="77777777" w:rsidR="00891C39" w:rsidRDefault="00891C39" w:rsidP="000907F9">
      <w:pPr>
        <w:pStyle w:val="NormalWeb"/>
        <w:spacing w:line="360" w:lineRule="auto"/>
        <w:jc w:val="both"/>
      </w:pPr>
    </w:p>
    <w:p w14:paraId="11CAE6D0" w14:textId="0603252C" w:rsidR="000907F9" w:rsidRDefault="000907F9" w:rsidP="000907F9">
      <w:pPr>
        <w:pStyle w:val="NormalWeb"/>
        <w:spacing w:line="360" w:lineRule="auto"/>
        <w:jc w:val="both"/>
      </w:pPr>
      <w:r>
        <w:rPr>
          <w:noProof/>
        </w:rPr>
        <w:lastRenderedPageBreak/>
        <w:drawing>
          <wp:anchor distT="0" distB="0" distL="0" distR="0" simplePos="0" relativeHeight="251659264" behindDoc="0" locked="0" layoutInCell="1" hidden="0" allowOverlap="1" wp14:anchorId="3B7079D4" wp14:editId="132B7B20">
            <wp:simplePos x="0" y="0"/>
            <wp:positionH relativeFrom="column">
              <wp:posOffset>819150</wp:posOffset>
            </wp:positionH>
            <wp:positionV relativeFrom="paragraph">
              <wp:posOffset>13970</wp:posOffset>
            </wp:positionV>
            <wp:extent cx="4295775" cy="204787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Lst>
                    </a:blip>
                    <a:srcRect l="3339" t="16807" r="2545" b="10901"/>
                    <a:stretch>
                      <a:fillRect/>
                    </a:stretch>
                  </pic:blipFill>
                  <pic:spPr>
                    <a:xfrm>
                      <a:off x="0" y="0"/>
                      <a:ext cx="4295775" cy="2047875"/>
                    </a:xfrm>
                    <a:prstGeom prst="rect">
                      <a:avLst/>
                    </a:prstGeom>
                    <a:ln/>
                  </pic:spPr>
                </pic:pic>
              </a:graphicData>
            </a:graphic>
          </wp:anchor>
        </w:drawing>
      </w:r>
    </w:p>
    <w:p w14:paraId="5E962360" w14:textId="0DBF7BF5" w:rsidR="000907F9" w:rsidRDefault="000907F9" w:rsidP="000907F9">
      <w:pPr>
        <w:pStyle w:val="NormalWeb"/>
        <w:spacing w:line="360" w:lineRule="auto"/>
        <w:jc w:val="both"/>
      </w:pPr>
    </w:p>
    <w:p w14:paraId="130B6B84" w14:textId="3828630C" w:rsidR="002347F8" w:rsidRDefault="002347F8" w:rsidP="000907F9">
      <w:pPr>
        <w:pStyle w:val="NormalWeb"/>
        <w:spacing w:line="360" w:lineRule="auto"/>
        <w:jc w:val="both"/>
      </w:pPr>
    </w:p>
    <w:p w14:paraId="006C90C4" w14:textId="5FFA54AA" w:rsidR="002347F8" w:rsidRDefault="002347F8" w:rsidP="000907F9">
      <w:pPr>
        <w:pStyle w:val="NormalWeb"/>
        <w:spacing w:line="360" w:lineRule="auto"/>
        <w:jc w:val="both"/>
      </w:pPr>
    </w:p>
    <w:p w14:paraId="218EF712" w14:textId="52AAFE4B" w:rsidR="002347F8" w:rsidRDefault="002347F8" w:rsidP="000907F9">
      <w:pPr>
        <w:pStyle w:val="NormalWeb"/>
        <w:spacing w:line="360" w:lineRule="auto"/>
        <w:jc w:val="both"/>
      </w:pPr>
    </w:p>
    <w:p w14:paraId="04EA584B" w14:textId="34BB853D" w:rsidR="000907F9" w:rsidRDefault="000907F9" w:rsidP="000907F9">
      <w:pPr>
        <w:pStyle w:val="NormalWeb"/>
        <w:spacing w:line="360" w:lineRule="auto"/>
        <w:jc w:val="center"/>
      </w:pPr>
      <w:r w:rsidRPr="00D849FA">
        <w:rPr>
          <w:b/>
          <w:bCs/>
        </w:rPr>
        <w:t>Figure 1. Balancing Digital Benefits and Risk</w:t>
      </w:r>
      <w:r>
        <w:t xml:space="preserve"> (</w:t>
      </w:r>
      <w:proofErr w:type="spellStart"/>
      <w:r>
        <w:t>Kushley</w:t>
      </w:r>
      <w:proofErr w:type="spellEnd"/>
      <w:r>
        <w:t xml:space="preserve"> </w:t>
      </w:r>
      <w:r w:rsidR="002D22B0">
        <w:t xml:space="preserve">and </w:t>
      </w:r>
      <w:proofErr w:type="spellStart"/>
      <w:r w:rsidR="002D22B0">
        <w:t>Leitao</w:t>
      </w:r>
      <w:proofErr w:type="spellEnd"/>
      <w:r>
        <w:t>, 2020)</w:t>
      </w:r>
    </w:p>
    <w:p w14:paraId="08EB7DB7" w14:textId="77777777" w:rsidR="000907F9" w:rsidRPr="00D849FA" w:rsidRDefault="000907F9" w:rsidP="000907F9">
      <w:pPr>
        <w:pStyle w:val="NormalWeb"/>
        <w:rPr>
          <w:b/>
          <w:bCs/>
        </w:rPr>
      </w:pPr>
      <w:commentRangeStart w:id="2"/>
      <w:r w:rsidRPr="00D849FA">
        <w:rPr>
          <w:b/>
          <w:bCs/>
        </w:rPr>
        <w:t>What is Digital Wellness?</w:t>
      </w:r>
      <w:commentRangeEnd w:id="2"/>
      <w:r w:rsidR="00A94D9C">
        <w:rPr>
          <w:rStyle w:val="AklamaBavurusu"/>
          <w:rFonts w:asciiTheme="minorHAnsi" w:eastAsiaTheme="minorHAnsi" w:hAnsiTheme="minorHAnsi" w:cstheme="minorBidi"/>
          <w:lang w:eastAsia="en-US"/>
        </w:rPr>
        <w:commentReference w:id="2"/>
      </w:r>
    </w:p>
    <w:p w14:paraId="4D4278FF" w14:textId="3F09C39D" w:rsidR="000907F9" w:rsidRPr="002D22B0" w:rsidRDefault="000907F9" w:rsidP="00D849FA">
      <w:pPr>
        <w:pStyle w:val="NormalWeb"/>
        <w:spacing w:line="360" w:lineRule="auto"/>
        <w:jc w:val="both"/>
        <w:rPr>
          <w:color w:val="7030A0"/>
        </w:rPr>
      </w:pPr>
      <w:r>
        <w:t xml:space="preserve">Digital wellness refers to the intentional and conscious development of self-consciousness in addition to creating appropriate uses for technology, such as limiting activities and reducing </w:t>
      </w:r>
      <w:r w:rsidR="00D849FA">
        <w:t xml:space="preserve">the </w:t>
      </w:r>
      <w:r>
        <w:t>bad side effects. With the unquenchable thirst for technology pervading almost every aspect of life, the deliberate development of self-awareness along with engaging in healthy technology practices will be core to reducing the adverse effects caused by excess digital engagement and thus embodying what it means to live well in a world filled with devices (Chaudhary &amp; Sharma, 2022). This idea has the potential to ensure that how you use technology aligns with what you value most in your life, personally, professionally, and societally</w:t>
      </w:r>
      <w:r w:rsidR="00D849FA">
        <w:t xml:space="preserve">, </w:t>
      </w:r>
      <w:r>
        <w:t xml:space="preserve">a process that can effectively turn technology from a source of distraction into a tool for self-improvement. </w:t>
      </w:r>
      <w:r w:rsidR="002D22B0" w:rsidRPr="002D22B0">
        <w:t>Digital wellness</w:t>
      </w:r>
      <w:r w:rsidR="002D22B0">
        <w:t xml:space="preserve"> is to</w:t>
      </w:r>
      <w:r w:rsidR="002D22B0" w:rsidRPr="002D22B0">
        <w:t xml:space="preserve"> focus in the presence of distractions and </w:t>
      </w:r>
      <w:r w:rsidR="002D22B0">
        <w:t>to</w:t>
      </w:r>
      <w:r w:rsidR="002D22B0" w:rsidRPr="002D22B0">
        <w:t xml:space="preserve"> have control (Mark et al.,</w:t>
      </w:r>
      <w:r w:rsidR="002D22B0">
        <w:t xml:space="preserve"> </w:t>
      </w:r>
      <w:r w:rsidR="002D22B0" w:rsidRPr="002D22B0">
        <w:t xml:space="preserve">2017), facilitating deeper connections with meaningful </w:t>
      </w:r>
      <w:r w:rsidR="002D22B0">
        <w:t>offline</w:t>
      </w:r>
      <w:r w:rsidR="002D22B0" w:rsidRPr="002D22B0">
        <w:t xml:space="preserve"> events (Uhls et al., 2014),</w:t>
      </w:r>
      <w:r w:rsidR="002D22B0">
        <w:t xml:space="preserve"> </w:t>
      </w:r>
      <w:r w:rsidR="002D22B0" w:rsidRPr="002D22B0">
        <w:t>engaging in weekly physical activity, and often possessing outdoor experiences</w:t>
      </w:r>
      <w:r w:rsidR="002D22B0">
        <w:t>,</w:t>
      </w:r>
      <w:r w:rsidR="002D22B0" w:rsidRPr="002D22B0">
        <w:t xml:space="preserve"> which</w:t>
      </w:r>
      <w:r w:rsidR="002D22B0">
        <w:t xml:space="preserve"> </w:t>
      </w:r>
      <w:r w:rsidR="002D22B0" w:rsidRPr="002D22B0">
        <w:t>rejuvenate body and mind (Rosen et al., 2016), while balancing technology use with other</w:t>
      </w:r>
      <w:r w:rsidR="002D22B0">
        <w:t xml:space="preserve"> </w:t>
      </w:r>
      <w:r w:rsidR="002D22B0" w:rsidRPr="002D22B0">
        <w:t>keeping psychological chronic fatigue at bay or sustaining digital citizenship within parts of life</w:t>
      </w:r>
      <w:r w:rsidR="002D22B0">
        <w:t xml:space="preserve"> </w:t>
      </w:r>
      <w:r w:rsidR="002D22B0" w:rsidRPr="002D22B0">
        <w:t>which ends up being an ethical issue in responsibility.</w:t>
      </w:r>
      <w:r w:rsidR="002D22B0">
        <w:rPr>
          <w:color w:val="7030A0"/>
        </w:rPr>
        <w:t xml:space="preserve"> </w:t>
      </w:r>
      <w:r>
        <w:t>Regular commitment to the domain of digital well-being can lead to better mental health, higher productivity, and stronger relationships while allowing for a life that is more balanced and satisfying. Building mindful tech habits into our daily lives will better arm us against the onslaught of cognitive overload, emotional exhaustion and sedentary behaviours whilst enabling us to carve opportunities for reflection, creativity and intentional engagement in the personal and professional sphere. Accordingly, digital well-being stands as an empowering and preventative way to manoeuvre an ever-more technology-driven environment (Figure 2) (</w:t>
      </w:r>
      <w:proofErr w:type="spellStart"/>
      <w:r>
        <w:t>Kushlev</w:t>
      </w:r>
      <w:proofErr w:type="spellEnd"/>
      <w:r>
        <w:t xml:space="preserve"> et al., 2016</w:t>
      </w:r>
      <w:r w:rsidR="00C12E2E">
        <w:t>a</w:t>
      </w:r>
      <w:r>
        <w:t>).</w:t>
      </w:r>
    </w:p>
    <w:p w14:paraId="076A754A" w14:textId="736DB3D7" w:rsidR="00832A32" w:rsidRDefault="00832A32" w:rsidP="00D849FA">
      <w:pPr>
        <w:pStyle w:val="NormalWeb"/>
        <w:spacing w:line="360" w:lineRule="auto"/>
        <w:jc w:val="both"/>
      </w:pPr>
      <w:r>
        <w:rPr>
          <w:noProof/>
        </w:rPr>
        <w:lastRenderedPageBreak/>
        <w:drawing>
          <wp:anchor distT="0" distB="0" distL="0" distR="0" simplePos="0" relativeHeight="251663360" behindDoc="0" locked="0" layoutInCell="1" hidden="0" allowOverlap="1" wp14:anchorId="280B5C66" wp14:editId="6BFFED2B">
            <wp:simplePos x="0" y="0"/>
            <wp:positionH relativeFrom="margin">
              <wp:align>center</wp:align>
            </wp:positionH>
            <wp:positionV relativeFrom="paragraph">
              <wp:posOffset>11430</wp:posOffset>
            </wp:positionV>
            <wp:extent cx="3952875" cy="2466975"/>
            <wp:effectExtent l="0" t="0" r="9525" b="9525"/>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BEBA8EAE-BF5A-486C-A8C5-ECC9F3942E4B}">
                          <a14:imgProps xmlns:a14="http://schemas.microsoft.com/office/drawing/2010/main">
                            <a14:imgLayer r:embed="rId14">
                              <a14:imgEffect>
                                <a14:sharpenSoften amount="50000"/>
                              </a14:imgEffect>
                              <a14:imgEffect>
                                <a14:brightnessContrast contrast="-40000"/>
                              </a14:imgEffect>
                            </a14:imgLayer>
                          </a14:imgProps>
                        </a:ext>
                      </a:extLst>
                    </a:blip>
                    <a:srcRect l="3332" t="20401" r="4471" b="10075"/>
                    <a:stretch>
                      <a:fillRect/>
                    </a:stretch>
                  </pic:blipFill>
                  <pic:spPr>
                    <a:xfrm>
                      <a:off x="0" y="0"/>
                      <a:ext cx="3952875" cy="2466975"/>
                    </a:xfrm>
                    <a:prstGeom prst="rect">
                      <a:avLst/>
                    </a:prstGeom>
                    <a:ln/>
                  </pic:spPr>
                </pic:pic>
              </a:graphicData>
            </a:graphic>
          </wp:anchor>
        </w:drawing>
      </w:r>
    </w:p>
    <w:p w14:paraId="2E957269" w14:textId="7EADFA71" w:rsidR="00832A32" w:rsidRDefault="00832A32" w:rsidP="00D849FA">
      <w:pPr>
        <w:pStyle w:val="NormalWeb"/>
        <w:spacing w:line="360" w:lineRule="auto"/>
        <w:jc w:val="both"/>
      </w:pPr>
    </w:p>
    <w:p w14:paraId="7A6FA8F9" w14:textId="08931401" w:rsidR="00832A32" w:rsidRDefault="00832A32" w:rsidP="00D849FA">
      <w:pPr>
        <w:pStyle w:val="NormalWeb"/>
        <w:spacing w:line="360" w:lineRule="auto"/>
        <w:jc w:val="both"/>
        <w:rPr>
          <w:noProof/>
        </w:rPr>
      </w:pPr>
    </w:p>
    <w:p w14:paraId="0D7328A2" w14:textId="0FDEE600" w:rsidR="00832A32" w:rsidRDefault="00832A32" w:rsidP="00D849FA">
      <w:pPr>
        <w:pStyle w:val="NormalWeb"/>
        <w:spacing w:line="360" w:lineRule="auto"/>
        <w:jc w:val="both"/>
        <w:rPr>
          <w:noProof/>
        </w:rPr>
      </w:pPr>
    </w:p>
    <w:p w14:paraId="752A515C" w14:textId="73801B92" w:rsidR="00832A32" w:rsidRDefault="00832A32" w:rsidP="00D849FA">
      <w:pPr>
        <w:pStyle w:val="NormalWeb"/>
        <w:spacing w:line="360" w:lineRule="auto"/>
        <w:jc w:val="both"/>
        <w:rPr>
          <w:noProof/>
        </w:rPr>
      </w:pPr>
    </w:p>
    <w:p w14:paraId="14AEB8A3" w14:textId="0DEDFDCA" w:rsidR="00832A32" w:rsidRDefault="00832A32" w:rsidP="00832A32">
      <w:pPr>
        <w:pStyle w:val="NormalWeb"/>
        <w:spacing w:before="0" w:beforeAutospacing="0" w:after="0" w:afterAutospacing="0" w:line="360" w:lineRule="auto"/>
        <w:jc w:val="both"/>
        <w:rPr>
          <w:noProof/>
        </w:rPr>
      </w:pPr>
    </w:p>
    <w:p w14:paraId="1B25E582" w14:textId="77777777" w:rsidR="00832A32" w:rsidRDefault="00832A32" w:rsidP="00832A32">
      <w:pPr>
        <w:pStyle w:val="NormalWeb"/>
        <w:spacing w:before="0" w:beforeAutospacing="0" w:after="0" w:afterAutospacing="0" w:line="360" w:lineRule="auto"/>
        <w:jc w:val="center"/>
        <w:rPr>
          <w:noProof/>
        </w:rPr>
      </w:pPr>
    </w:p>
    <w:p w14:paraId="13EF0228" w14:textId="4516EA43" w:rsidR="00832A32" w:rsidRPr="00832A32" w:rsidRDefault="00832A32" w:rsidP="00832A32">
      <w:pPr>
        <w:pStyle w:val="NormalWeb"/>
        <w:spacing w:before="0" w:beforeAutospacing="0" w:after="0" w:afterAutospacing="0" w:line="360" w:lineRule="auto"/>
        <w:jc w:val="center"/>
        <w:rPr>
          <w:b/>
          <w:bCs/>
          <w:noProof/>
        </w:rPr>
      </w:pPr>
      <w:r w:rsidRPr="00832A32">
        <w:rPr>
          <w:b/>
          <w:bCs/>
          <w:noProof/>
        </w:rPr>
        <w:t xml:space="preserve">Figure 2. Key strategies for achieving digital wellness with sustainability </w:t>
      </w:r>
    </w:p>
    <w:p w14:paraId="7E2DE72D" w14:textId="4E2C48BB" w:rsidR="00832A32" w:rsidRDefault="00832A32" w:rsidP="00832A32">
      <w:pPr>
        <w:pStyle w:val="NormalWeb"/>
        <w:spacing w:before="0" w:beforeAutospacing="0" w:after="0" w:afterAutospacing="0" w:line="360" w:lineRule="auto"/>
        <w:jc w:val="center"/>
        <w:rPr>
          <w:noProof/>
        </w:rPr>
      </w:pPr>
      <w:r>
        <w:rPr>
          <w:color w:val="000000"/>
        </w:rPr>
        <w:t>(</w:t>
      </w:r>
      <w:proofErr w:type="spellStart"/>
      <w:r>
        <w:rPr>
          <w:color w:val="000000"/>
        </w:rPr>
        <w:t>Kushlev</w:t>
      </w:r>
      <w:proofErr w:type="spellEnd"/>
      <w:r>
        <w:rPr>
          <w:color w:val="000000"/>
        </w:rPr>
        <w:t xml:space="preserve"> et al., 2016)</w:t>
      </w:r>
    </w:p>
    <w:p w14:paraId="2C45ACEC" w14:textId="77777777" w:rsidR="00832A32" w:rsidRDefault="00832A32" w:rsidP="00D849FA">
      <w:pPr>
        <w:pStyle w:val="NormalWeb"/>
        <w:spacing w:line="360" w:lineRule="auto"/>
        <w:jc w:val="both"/>
      </w:pPr>
    </w:p>
    <w:p w14:paraId="07288010" w14:textId="77777777" w:rsidR="00D849FA" w:rsidRDefault="00D849FA" w:rsidP="00D849FA">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Methods for deliberate engagement and sustainable health</w:t>
      </w:r>
    </w:p>
    <w:p w14:paraId="1B3F68CD" w14:textId="77777777" w:rsidR="00A035F9" w:rsidRDefault="00A035F9" w:rsidP="00C86DA8">
      <w:pPr>
        <w:pStyle w:val="NormalWeb"/>
        <w:spacing w:line="360" w:lineRule="auto"/>
        <w:jc w:val="both"/>
      </w:pPr>
      <w:r>
        <w:t>Mindful and sustainable tech practices are critical for individual health as well as planetary health. In this age of digital interaction, implementing some structured strategies can help to minimize the downsides of too much screen time while improving productivity and quality of life.</w:t>
      </w:r>
    </w:p>
    <w:p w14:paraId="3930FE78" w14:textId="77777777" w:rsidR="00E20306" w:rsidRDefault="00E20306" w:rsidP="00C86DA8">
      <w:pPr>
        <w:pStyle w:val="NormalWeb"/>
        <w:spacing w:line="360" w:lineRule="auto"/>
      </w:pPr>
      <w:r>
        <w:t>a. Managing Screen Time</w:t>
      </w:r>
    </w:p>
    <w:p w14:paraId="0ECB255A" w14:textId="59C2F854" w:rsidR="002D22B0" w:rsidRPr="002D22B0" w:rsidRDefault="00E20306" w:rsidP="002D22B0">
      <w:pPr>
        <w:pStyle w:val="NormalWeb"/>
        <w:spacing w:line="360" w:lineRule="auto"/>
        <w:jc w:val="both"/>
      </w:pPr>
      <w:r>
        <w:t xml:space="preserve">Daily limitations on the use of entertainment and social media applications have been repeatedly </w:t>
      </w:r>
      <w:r w:rsidR="00A035F9">
        <w:t>proven</w:t>
      </w:r>
      <w:r>
        <w:t xml:space="preserve"> to reduce digital </w:t>
      </w:r>
      <w:r w:rsidR="00971AFB">
        <w:t>distractions and</w:t>
      </w:r>
      <w:r>
        <w:t xml:space="preserve"> mental </w:t>
      </w:r>
      <w:r w:rsidR="00971AFB">
        <w:t>fatigue and</w:t>
      </w:r>
      <w:r>
        <w:t xml:space="preserve"> mitigate information overload (Panova &amp; Carbonell, 2018). </w:t>
      </w:r>
      <w:bookmarkStart w:id="3" w:name="_Hlk227451750"/>
      <w:r>
        <w:t xml:space="preserve">Digital </w:t>
      </w:r>
      <w:r w:rsidR="00971AFB">
        <w:t>wellbeing</w:t>
      </w:r>
      <w:r>
        <w:t xml:space="preserve"> dashboards or </w:t>
      </w:r>
      <w:r w:rsidR="00971AFB">
        <w:t>screen time</w:t>
      </w:r>
      <w:r>
        <w:t xml:space="preserve"> trackers are invaluable feedback mechanisms that help users </w:t>
      </w:r>
      <w:r w:rsidR="002D22B0">
        <w:t xml:space="preserve">achieve </w:t>
      </w:r>
      <w:r>
        <w:t xml:space="preserve">a greater degree of self-regulation when it comes to their screen usage habits. </w:t>
      </w:r>
      <w:r w:rsidR="002D22B0">
        <w:t>T</w:t>
      </w:r>
      <w:r w:rsidR="002D22B0" w:rsidRPr="002D22B0">
        <w:t>he 20-20-20 rule is an ergonomic technique to</w:t>
      </w:r>
      <w:r w:rsidR="002D22B0">
        <w:t xml:space="preserve"> relieve</w:t>
      </w:r>
      <w:r w:rsidR="002D22B0" w:rsidRPr="002D22B0">
        <w:t xml:space="preserve"> digital eye strain in which a person </w:t>
      </w:r>
      <w:r w:rsidR="002D22B0">
        <w:t>observes</w:t>
      </w:r>
      <w:r w:rsidR="002D22B0" w:rsidRPr="002D22B0">
        <w:t xml:space="preserve"> something about 20 feet</w:t>
      </w:r>
      <w:r w:rsidR="002D22B0">
        <w:t xml:space="preserve"> </w:t>
      </w:r>
      <w:r w:rsidR="002D22B0" w:rsidRPr="002D22B0">
        <w:t xml:space="preserve">from </w:t>
      </w:r>
      <w:r w:rsidR="002D22B0">
        <w:t>the</w:t>
      </w:r>
      <w:r w:rsidR="002D22B0" w:rsidRPr="002D22B0">
        <w:t xml:space="preserve"> device </w:t>
      </w:r>
      <w:r w:rsidR="002D22B0">
        <w:t>used</w:t>
      </w:r>
      <w:r w:rsidR="002D22B0" w:rsidRPr="002D22B0">
        <w:t xml:space="preserve"> every 20 minutes for at least 20 seconds (Sheppard and </w:t>
      </w:r>
      <w:proofErr w:type="spellStart"/>
      <w:r w:rsidR="002D22B0" w:rsidRPr="002D22B0">
        <w:t>Wolffsohn</w:t>
      </w:r>
      <w:proofErr w:type="spellEnd"/>
      <w:r w:rsidR="002D22B0" w:rsidRPr="002D22B0">
        <w:t>,</w:t>
      </w:r>
      <w:r w:rsidR="002D22B0">
        <w:t xml:space="preserve"> </w:t>
      </w:r>
      <w:r w:rsidR="002D22B0" w:rsidRPr="002D22B0">
        <w:t xml:space="preserve">2018). </w:t>
      </w:r>
      <w:bookmarkEnd w:id="3"/>
      <w:r w:rsidR="002D22B0" w:rsidRPr="002D22B0">
        <w:t>These scientifically driven interventions are crucial in trying to balance the scales of better online</w:t>
      </w:r>
      <w:r w:rsidR="002D22B0">
        <w:t xml:space="preserve"> </w:t>
      </w:r>
      <w:r w:rsidR="002D22B0" w:rsidRPr="002D22B0">
        <w:t>and life offline, all the while promoting productivity and wellbeing.</w:t>
      </w:r>
    </w:p>
    <w:p w14:paraId="38FFEE6D" w14:textId="77777777" w:rsidR="002D22B0" w:rsidRDefault="002D22B0" w:rsidP="00C86DA8">
      <w:pPr>
        <w:pStyle w:val="NormalWeb"/>
        <w:spacing w:line="360" w:lineRule="auto"/>
        <w:jc w:val="both"/>
      </w:pPr>
    </w:p>
    <w:p w14:paraId="38165F8E" w14:textId="7FAD5E19" w:rsidR="00A035F9" w:rsidRDefault="00E20306" w:rsidP="00C86DA8">
      <w:pPr>
        <w:pStyle w:val="NormalWeb"/>
        <w:spacing w:line="360" w:lineRule="auto"/>
        <w:jc w:val="both"/>
      </w:pPr>
      <w:r>
        <w:lastRenderedPageBreak/>
        <w:t xml:space="preserve">Equally if not more important are the environmental and </w:t>
      </w:r>
      <w:r w:rsidR="00A035F9">
        <w:t>behavioural</w:t>
      </w:r>
      <w:r>
        <w:t xml:space="preserve"> changes, such as creating tech-free areas inside the home and imposing digital curfews (especially in the hours before bedtime) to foster restorative sleep and encourage mental clarity (Christensen et al., 2016). </w:t>
      </w:r>
    </w:p>
    <w:p w14:paraId="4D5C92E4" w14:textId="6DA6AB2D" w:rsidR="00A035F9" w:rsidRDefault="00A035F9" w:rsidP="00C86DA8">
      <w:pPr>
        <w:pStyle w:val="NormalWeb"/>
        <w:spacing w:line="360" w:lineRule="auto"/>
        <w:jc w:val="both"/>
      </w:pPr>
      <w:r>
        <w:t>Such practices are the most impactful for kids who have shown a gradual shift from playing outside and moving their bodies to leading more sedentary lifestyles that centre around screen consumption and entertainment. This significant change has been linked to a decrease in physical activity, an increase in stress levels as well as weakening of familial bonds. This negative turn, along with the persistence of social distancing precautions, can be countered by encouraging outdoor sports, unstructured play and hobbies that require a mind-based approach to tasks; strengthening social ties in this manner will yield holistic developmental benefits across all ages (</w:t>
      </w:r>
      <w:r w:rsidRPr="00A035F9">
        <w:rPr>
          <w:bCs/>
        </w:rPr>
        <w:t>Figure 3</w:t>
      </w:r>
      <w:r>
        <w:t>) (Tremblay et al., 2011).</w:t>
      </w:r>
    </w:p>
    <w:p w14:paraId="404103D6" w14:textId="193CF4A6" w:rsidR="00A035F9" w:rsidRDefault="00A035F9" w:rsidP="00D849FA">
      <w:pPr>
        <w:pStyle w:val="NormalWeb"/>
        <w:spacing w:line="360" w:lineRule="auto"/>
        <w:jc w:val="both"/>
      </w:pPr>
    </w:p>
    <w:p w14:paraId="528237DB" w14:textId="1D45F722" w:rsidR="00A035F9" w:rsidRDefault="00A035F9" w:rsidP="00D849FA">
      <w:pPr>
        <w:pStyle w:val="NormalWeb"/>
        <w:spacing w:line="360" w:lineRule="auto"/>
        <w:jc w:val="both"/>
      </w:pPr>
      <w:r>
        <w:rPr>
          <w:noProof/>
        </w:rPr>
        <w:drawing>
          <wp:anchor distT="0" distB="0" distL="0" distR="0" simplePos="0" relativeHeight="251661312" behindDoc="0" locked="0" layoutInCell="1" hidden="0" allowOverlap="1" wp14:anchorId="35BF6ACC" wp14:editId="6A277B6E">
            <wp:simplePos x="0" y="0"/>
            <wp:positionH relativeFrom="margin">
              <wp:align>center</wp:align>
            </wp:positionH>
            <wp:positionV relativeFrom="paragraph">
              <wp:posOffset>9525</wp:posOffset>
            </wp:positionV>
            <wp:extent cx="3990975" cy="2667000"/>
            <wp:effectExtent l="0" t="0" r="9525" b="0"/>
            <wp:wrapSquare wrapText="bothSides" distT="0" distB="0" distL="0" distR="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rcRect l="3486" t="14997" r="3925" b="7244"/>
                    <a:stretch>
                      <a:fillRect/>
                    </a:stretch>
                  </pic:blipFill>
                  <pic:spPr>
                    <a:xfrm>
                      <a:off x="0" y="0"/>
                      <a:ext cx="3990975" cy="2667000"/>
                    </a:xfrm>
                    <a:prstGeom prst="rect">
                      <a:avLst/>
                    </a:prstGeom>
                    <a:ln/>
                  </pic:spPr>
                </pic:pic>
              </a:graphicData>
            </a:graphic>
          </wp:anchor>
        </w:drawing>
      </w:r>
    </w:p>
    <w:p w14:paraId="5EA6B7D3" w14:textId="5208237B" w:rsidR="000907F9" w:rsidRDefault="000907F9" w:rsidP="000907F9">
      <w:pPr>
        <w:pStyle w:val="NormalWeb"/>
        <w:spacing w:line="360" w:lineRule="auto"/>
      </w:pPr>
    </w:p>
    <w:p w14:paraId="698C4F4B" w14:textId="46CAD806" w:rsidR="002347F8" w:rsidRDefault="002347F8" w:rsidP="000907F9">
      <w:pPr>
        <w:pStyle w:val="NormalWeb"/>
        <w:spacing w:line="360" w:lineRule="auto"/>
        <w:jc w:val="both"/>
      </w:pPr>
    </w:p>
    <w:p w14:paraId="6ECE279B" w14:textId="75D265CF" w:rsidR="002347F8" w:rsidRDefault="002347F8" w:rsidP="000907F9">
      <w:pPr>
        <w:pStyle w:val="NormalWeb"/>
        <w:spacing w:line="360" w:lineRule="auto"/>
        <w:jc w:val="both"/>
      </w:pPr>
    </w:p>
    <w:p w14:paraId="2398A3D2" w14:textId="31D17F3D" w:rsidR="002347F8" w:rsidRDefault="002347F8" w:rsidP="000907F9">
      <w:pPr>
        <w:pStyle w:val="NormalWeb"/>
        <w:spacing w:line="360" w:lineRule="auto"/>
        <w:jc w:val="both"/>
      </w:pPr>
    </w:p>
    <w:p w14:paraId="4D0B19BB" w14:textId="039BC756" w:rsidR="002347F8" w:rsidRDefault="002347F8" w:rsidP="000907F9">
      <w:pPr>
        <w:pStyle w:val="NormalWeb"/>
        <w:spacing w:line="360" w:lineRule="auto"/>
        <w:jc w:val="both"/>
      </w:pPr>
    </w:p>
    <w:p w14:paraId="0A3AD283" w14:textId="2880A703" w:rsidR="00A035F9" w:rsidRDefault="00A035F9" w:rsidP="000907F9">
      <w:pPr>
        <w:pStyle w:val="NormalWeb"/>
        <w:spacing w:line="360" w:lineRule="auto"/>
        <w:jc w:val="both"/>
      </w:pPr>
    </w:p>
    <w:p w14:paraId="6A93F322" w14:textId="242B2C71" w:rsidR="00A035F9" w:rsidRDefault="00A035F9" w:rsidP="00C86DA8">
      <w:pPr>
        <w:pStyle w:val="NormalWeb"/>
        <w:spacing w:line="360" w:lineRule="auto"/>
        <w:jc w:val="center"/>
      </w:pPr>
      <w:r w:rsidRPr="00C86DA8">
        <w:rPr>
          <w:b/>
          <w:bCs/>
        </w:rPr>
        <w:t xml:space="preserve">Figure 3. </w:t>
      </w:r>
      <w:bookmarkStart w:id="4" w:name="_Hlk227451909"/>
      <w:r w:rsidRPr="00C86DA8">
        <w:rPr>
          <w:b/>
          <w:bCs/>
        </w:rPr>
        <w:t>Cycle of Healthy Screen Time Management</w:t>
      </w:r>
      <w:r>
        <w:t xml:space="preserve"> (Tremblay et al., 2011)</w:t>
      </w:r>
    </w:p>
    <w:bookmarkEnd w:id="4"/>
    <w:p w14:paraId="600C1A1F" w14:textId="77777777" w:rsidR="00C86DA8" w:rsidRDefault="00C86DA8" w:rsidP="00C86DA8">
      <w:pPr>
        <w:pStyle w:val="NormalWeb"/>
      </w:pPr>
      <w:r>
        <w:t>b. Purposeful Technology Use</w:t>
      </w:r>
    </w:p>
    <w:p w14:paraId="4B52F2D3" w14:textId="0735A249" w:rsidR="00C86DA8" w:rsidRPr="00A432E9" w:rsidRDefault="00A432E9" w:rsidP="00A432E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432E9">
        <w:rPr>
          <w:rFonts w:ascii="Times New Roman" w:eastAsia="Times New Roman" w:hAnsi="Times New Roman" w:cs="Times New Roman"/>
          <w:sz w:val="24"/>
          <w:szCs w:val="24"/>
          <w:lang w:eastAsia="en-IN"/>
        </w:rPr>
        <w:t xml:space="preserve">Intentional engagement with technology emphasizes digital tools as resources for creativity, learning and relationships with a person performs; people should </w:t>
      </w:r>
      <w:r>
        <w:rPr>
          <w:rFonts w:ascii="Times New Roman" w:eastAsia="Times New Roman" w:hAnsi="Times New Roman" w:cs="Times New Roman"/>
          <w:sz w:val="24"/>
          <w:szCs w:val="24"/>
          <w:lang w:eastAsia="en-IN"/>
        </w:rPr>
        <w:t>be interested in developing</w:t>
      </w:r>
      <w:r w:rsidRPr="00A432E9">
        <w:rPr>
          <w:rFonts w:ascii="Times New Roman" w:eastAsia="Times New Roman" w:hAnsi="Times New Roman" w:cs="Times New Roman"/>
          <w:sz w:val="24"/>
          <w:szCs w:val="24"/>
          <w:lang w:eastAsia="en-IN"/>
        </w:rPr>
        <w:t xml:space="preserve"> passive </w:t>
      </w:r>
      <w:commentRangeStart w:id="5"/>
      <w:r w:rsidRPr="00A432E9">
        <w:rPr>
          <w:rFonts w:ascii="Times New Roman" w:eastAsia="Times New Roman" w:hAnsi="Times New Roman" w:cs="Times New Roman"/>
          <w:sz w:val="24"/>
          <w:szCs w:val="24"/>
          <w:lang w:eastAsia="en-IN"/>
        </w:rPr>
        <w:t xml:space="preserve">(2020) </w:t>
      </w:r>
      <w:commentRangeEnd w:id="5"/>
      <w:r w:rsidR="000E284F">
        <w:rPr>
          <w:rStyle w:val="AklamaBavurusu"/>
        </w:rPr>
        <w:commentReference w:id="5"/>
      </w:r>
      <w:r w:rsidRPr="00A432E9">
        <w:rPr>
          <w:rFonts w:ascii="Times New Roman" w:eastAsia="Times New Roman" w:hAnsi="Times New Roman" w:cs="Times New Roman"/>
          <w:sz w:val="24"/>
          <w:szCs w:val="24"/>
          <w:lang w:eastAsia="en-IN"/>
        </w:rPr>
        <w:t xml:space="preserve">consumption patterns. For younger age children, </w:t>
      </w:r>
      <w:r>
        <w:rPr>
          <w:rFonts w:ascii="Times New Roman" w:eastAsia="Times New Roman" w:hAnsi="Times New Roman" w:cs="Times New Roman"/>
          <w:sz w:val="24"/>
          <w:szCs w:val="24"/>
          <w:lang w:eastAsia="en-IN"/>
        </w:rPr>
        <w:t xml:space="preserve">various ways of introducing engaging sessions can be introduced through </w:t>
      </w:r>
      <w:r w:rsidRPr="00A432E9">
        <w:rPr>
          <w:rFonts w:ascii="Times New Roman" w:eastAsia="Times New Roman" w:hAnsi="Times New Roman" w:cs="Times New Roman"/>
          <w:sz w:val="24"/>
          <w:szCs w:val="24"/>
          <w:lang w:eastAsia="en-IN"/>
        </w:rPr>
        <w:t xml:space="preserve">diversion apps for educational structures and ability builders, </w:t>
      </w:r>
      <w:r>
        <w:rPr>
          <w:rFonts w:ascii="Times New Roman" w:eastAsia="Times New Roman" w:hAnsi="Times New Roman" w:cs="Times New Roman"/>
          <w:sz w:val="24"/>
          <w:szCs w:val="24"/>
          <w:lang w:eastAsia="en-IN"/>
        </w:rPr>
        <w:t xml:space="preserve">like </w:t>
      </w:r>
      <w:proofErr w:type="spellStart"/>
      <w:r w:rsidRPr="00A432E9">
        <w:rPr>
          <w:rFonts w:ascii="Times New Roman" w:eastAsia="Times New Roman" w:hAnsi="Times New Roman" w:cs="Times New Roman"/>
          <w:sz w:val="24"/>
          <w:szCs w:val="24"/>
          <w:lang w:eastAsia="en-IN"/>
        </w:rPr>
        <w:t>MyHome</w:t>
      </w:r>
      <w:proofErr w:type="spellEnd"/>
      <w:r w:rsidRPr="00A432E9">
        <w:rPr>
          <w:rFonts w:ascii="Times New Roman" w:eastAsia="Times New Roman" w:hAnsi="Times New Roman" w:cs="Times New Roman"/>
          <w:sz w:val="24"/>
          <w:szCs w:val="24"/>
          <w:lang w:eastAsia="en-IN"/>
        </w:rPr>
        <w:t xml:space="preserve">-work for keeping academics organized, Seesaw for interactive </w:t>
      </w:r>
      <w:r w:rsidRPr="00A432E9">
        <w:rPr>
          <w:rFonts w:ascii="Times New Roman" w:eastAsia="Times New Roman" w:hAnsi="Times New Roman" w:cs="Times New Roman"/>
          <w:sz w:val="24"/>
          <w:szCs w:val="24"/>
          <w:lang w:eastAsia="en-IN"/>
        </w:rPr>
        <w:lastRenderedPageBreak/>
        <w:t xml:space="preserve">learning, or nature- and tech-exploration apps that merge the two worlds of nerdy curiosity. These habits foster that calling, leadership and cognitive risk-taking while reducing the dangers of the death of genuine interaction through mindless scrolling and constant exposure to non-value-added material. Guiding users in setting concrete aims before engaging with devices, digital mindfulness is supposed to soothe context to ensure that online activity is consistent with your values, priorities, and goals for well-being </w:t>
      </w:r>
      <w:r w:rsidR="00C86DA8" w:rsidRPr="00A432E9">
        <w:rPr>
          <w:rFonts w:ascii="Times New Roman" w:hAnsi="Times New Roman" w:cs="Times New Roman"/>
          <w:sz w:val="24"/>
          <w:szCs w:val="24"/>
        </w:rPr>
        <w:t>(</w:t>
      </w:r>
      <w:proofErr w:type="spellStart"/>
      <w:r w:rsidR="00C86DA8" w:rsidRPr="00A432E9">
        <w:rPr>
          <w:rFonts w:ascii="Times New Roman" w:hAnsi="Times New Roman" w:cs="Times New Roman"/>
          <w:sz w:val="24"/>
          <w:szCs w:val="24"/>
        </w:rPr>
        <w:t>Throuvala</w:t>
      </w:r>
      <w:proofErr w:type="spellEnd"/>
      <w:r w:rsidR="00C86DA8" w:rsidRPr="00A432E9">
        <w:rPr>
          <w:rFonts w:ascii="Times New Roman" w:hAnsi="Times New Roman" w:cs="Times New Roman"/>
          <w:sz w:val="24"/>
          <w:szCs w:val="24"/>
        </w:rPr>
        <w:t xml:space="preserve"> et al., 2019). This allows individuals to audit their goals, communication </w:t>
      </w:r>
      <w:r w:rsidR="00971AFB">
        <w:rPr>
          <w:rFonts w:ascii="Times New Roman" w:hAnsi="Times New Roman" w:cs="Times New Roman"/>
          <w:sz w:val="24"/>
          <w:szCs w:val="24"/>
        </w:rPr>
        <w:t>vectors,</w:t>
      </w:r>
      <w:r w:rsidR="00C86DA8" w:rsidRPr="00A432E9">
        <w:rPr>
          <w:rFonts w:ascii="Times New Roman" w:hAnsi="Times New Roman" w:cs="Times New Roman"/>
          <w:sz w:val="24"/>
          <w:szCs w:val="24"/>
        </w:rPr>
        <w:t xml:space="preserve"> and work-life dichotomies within the context of their digital behaviours (Gergen, 2009) as they purposely choose technologies that support introspection, productivity and reflection. Combined, these approaches transform technology from a distracting force into an intentional ally for personal growth and overall well-being.</w:t>
      </w:r>
    </w:p>
    <w:p w14:paraId="483A6124" w14:textId="77777777" w:rsidR="00C86DA8" w:rsidRDefault="00C86DA8" w:rsidP="00C86DA8">
      <w:pPr>
        <w:pStyle w:val="NormalWeb"/>
      </w:pPr>
      <w:r>
        <w:t>c. Intentionally Using Devices in a Green Environment</w:t>
      </w:r>
    </w:p>
    <w:p w14:paraId="02AD8FC7" w14:textId="4DC1832F" w:rsidR="00C86DA8" w:rsidRDefault="00C86DA8" w:rsidP="00C86DA8">
      <w:pPr>
        <w:pStyle w:val="NormalWeb"/>
        <w:spacing w:line="360" w:lineRule="auto"/>
        <w:jc w:val="both"/>
      </w:pPr>
      <w:r>
        <w:t>Technology has a massive environmental footprint, and several ways of using it sustainably are essential</w:t>
      </w:r>
      <w:r w:rsidR="00B208D4">
        <w:t xml:space="preserve"> </w:t>
      </w:r>
      <w:r>
        <w:t xml:space="preserve">(Balde et al., 2017). Using energy-efficient </w:t>
      </w:r>
      <w:r w:rsidR="00B208D4">
        <w:t>devices/tools</w:t>
      </w:r>
      <w:r>
        <w:t xml:space="preserve"> and </w:t>
      </w:r>
      <w:r w:rsidR="00B208D4">
        <w:t>turning</w:t>
      </w:r>
      <w:r>
        <w:t xml:space="preserve"> off unused electronic</w:t>
      </w:r>
      <w:r w:rsidR="00B208D4">
        <w:t xml:space="preserve"> devices can</w:t>
      </w:r>
      <w:r>
        <w:t xml:space="preserve"> help reduce energy use in this system (</w:t>
      </w:r>
      <w:proofErr w:type="spellStart"/>
      <w:r>
        <w:t>Belkhir</w:t>
      </w:r>
      <w:proofErr w:type="spellEnd"/>
      <w:r>
        <w:t xml:space="preserve"> &amp; </w:t>
      </w:r>
      <w:proofErr w:type="spellStart"/>
      <w:r>
        <w:t>Elmeligi</w:t>
      </w:r>
      <w:proofErr w:type="spellEnd"/>
      <w:r>
        <w:t>, 2018). In addition, the responsible recycling of end-of-life devices protects harmful substances from leaking into the environment and supports material recovery (Forti et al., 2020). More generally, industry-level initiatives such as Green IT and green nanotechnology reduce the carbon footprint of the digital age. Such techniques involve innovations such as energy-efficient servers, green materials and the design of software to reduce power consumption by data centres (Zhou et al., 2021). By integrating individual behavioural changes and system-level technological developments, we could massively reduce the environmental costs of the digital age.</w:t>
      </w:r>
    </w:p>
    <w:p w14:paraId="577175C5" w14:textId="77777777" w:rsidR="00C86DA8" w:rsidRDefault="00C86DA8" w:rsidP="00C86DA8">
      <w:pPr>
        <w:pStyle w:val="NormalWeb"/>
      </w:pPr>
      <w:r>
        <w:t>d. Sustainable Data Practices</w:t>
      </w:r>
    </w:p>
    <w:p w14:paraId="36BFF46A" w14:textId="742B82AC" w:rsidR="00C86DA8" w:rsidRDefault="00C86DA8" w:rsidP="00C86DA8">
      <w:pPr>
        <w:pStyle w:val="NormalWeb"/>
        <w:spacing w:line="360" w:lineRule="auto"/>
        <w:jc w:val="both"/>
      </w:pPr>
      <w:r>
        <w:t xml:space="preserve">Data centres, powering the infrastructure of our digital universe and often requiring immense electricity at a high baseline level, culminating in power levels comparable to small cities (Jones 2018), have large constant data transfer rates feeding powerful cooling systems and active server life that together result in an outsized portion of this energy expenditure. People can help reduce this footprint by measures such as deleting unused files, apps and backups (Corcoran 2019). Moreover, choosing cloud service providers based on their use of renewable energy sources makes it possible to reduce carbon emissions associated with data hosting (Cook et al., 2017). This balance between individual-level digital hygiene and systemic green </w:t>
      </w:r>
      <w:r>
        <w:lastRenderedPageBreak/>
        <w:t xml:space="preserve">data practices allows society to attack one of the most energy-demanding aspects of our digital infrastructure, whilst continuing to reap the benefits well connected technology has brought. </w:t>
      </w:r>
      <w:r w:rsidR="00A432E9">
        <w:t xml:space="preserve">Therefore, by avoiding large file transfers and unnecessary streaming, better usage practices can be planned effectively </w:t>
      </w:r>
      <w:r w:rsidR="00286DD0">
        <w:t>(Aslan et al., 2018).</w:t>
      </w:r>
    </w:p>
    <w:p w14:paraId="44BEDBBD" w14:textId="77777777" w:rsidR="00286DD0" w:rsidRDefault="00286DD0" w:rsidP="00673528">
      <w:pPr>
        <w:pStyle w:val="NormalWeb"/>
        <w:spacing w:line="360" w:lineRule="auto"/>
      </w:pPr>
      <w:r>
        <w:t>e. Digital Cleanness</w:t>
      </w:r>
    </w:p>
    <w:p w14:paraId="1A65A947" w14:textId="74A0BB55" w:rsidR="004B5191" w:rsidRDefault="004B5191" w:rsidP="004E1066">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Intentional practice of maintaining an organised and mindful digital environment can help reduce excessive screen usage</w:t>
      </w:r>
      <w:r w:rsidR="004A70F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4A70F5">
        <w:rPr>
          <w:rFonts w:ascii="Times New Roman" w:eastAsia="Times New Roman" w:hAnsi="Times New Roman" w:cs="Times New Roman"/>
          <w:sz w:val="24"/>
          <w:szCs w:val="24"/>
          <w:lang w:eastAsia="en-IN"/>
        </w:rPr>
        <w:t xml:space="preserve">bring down </w:t>
      </w:r>
      <w:r>
        <w:rPr>
          <w:rFonts w:ascii="Times New Roman" w:eastAsia="Times New Roman" w:hAnsi="Times New Roman" w:cs="Times New Roman"/>
          <w:sz w:val="24"/>
          <w:szCs w:val="24"/>
          <w:lang w:eastAsia="en-IN"/>
        </w:rPr>
        <w:t>digital clutter</w:t>
      </w:r>
      <w:r w:rsidR="004A70F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and </w:t>
      </w:r>
      <w:r w:rsidR="004A70F5">
        <w:rPr>
          <w:rFonts w:ascii="Times New Roman" w:eastAsia="Times New Roman" w:hAnsi="Times New Roman" w:cs="Times New Roman"/>
          <w:sz w:val="24"/>
          <w:szCs w:val="24"/>
          <w:lang w:eastAsia="en-IN"/>
        </w:rPr>
        <w:t xml:space="preserve">enable </w:t>
      </w:r>
      <w:r>
        <w:rPr>
          <w:rFonts w:ascii="Times New Roman" w:eastAsia="Times New Roman" w:hAnsi="Times New Roman" w:cs="Times New Roman"/>
          <w:sz w:val="24"/>
          <w:szCs w:val="24"/>
          <w:lang w:eastAsia="en-IN"/>
        </w:rPr>
        <w:t xml:space="preserve">purposeful technology usage. Unregulated digital usage, long screen time, and excessive notifications can lead to reduced attention, stress and cognitive overload </w:t>
      </w:r>
      <w:r w:rsidRPr="004B5191">
        <w:rPr>
          <w:rFonts w:ascii="Times New Roman" w:eastAsia="Times New Roman" w:hAnsi="Times New Roman" w:cs="Times New Roman"/>
          <w:sz w:val="24"/>
          <w:szCs w:val="24"/>
          <w:lang w:eastAsia="en-IN"/>
        </w:rPr>
        <w:t>(Mark et al., 2018; Montag &amp; Walla, 2016)</w:t>
      </w:r>
      <w:r w:rsidR="004A70F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4A70F5">
        <w:rPr>
          <w:rFonts w:ascii="Times New Roman" w:eastAsia="Times New Roman" w:hAnsi="Times New Roman" w:cs="Times New Roman"/>
          <w:sz w:val="24"/>
          <w:szCs w:val="24"/>
          <w:lang w:eastAsia="en-IN"/>
        </w:rPr>
        <w:t>Therefore,</w:t>
      </w:r>
      <w:r>
        <w:rPr>
          <w:rFonts w:ascii="Times New Roman" w:eastAsia="Times New Roman" w:hAnsi="Times New Roman" w:cs="Times New Roman"/>
          <w:sz w:val="24"/>
          <w:szCs w:val="24"/>
          <w:lang w:eastAsia="en-IN"/>
        </w:rPr>
        <w:t xml:space="preserve"> adopting a digital routine </w:t>
      </w:r>
      <w:r w:rsidR="004A70F5">
        <w:rPr>
          <w:rFonts w:ascii="Times New Roman" w:eastAsia="Times New Roman" w:hAnsi="Times New Roman" w:cs="Times New Roman"/>
          <w:sz w:val="24"/>
          <w:szCs w:val="24"/>
          <w:lang w:eastAsia="en-IN"/>
        </w:rPr>
        <w:t>that regulates</w:t>
      </w:r>
      <w:r>
        <w:rPr>
          <w:rFonts w:ascii="Times New Roman" w:eastAsia="Times New Roman" w:hAnsi="Times New Roman" w:cs="Times New Roman"/>
          <w:sz w:val="24"/>
          <w:szCs w:val="24"/>
          <w:lang w:eastAsia="en-IN"/>
        </w:rPr>
        <w:t xml:space="preserve"> actions by decluttering notes, files</w:t>
      </w:r>
      <w:r w:rsidR="004A70F5">
        <w:rPr>
          <w:rFonts w:ascii="Times New Roman" w:eastAsia="Times New Roman" w:hAnsi="Times New Roman" w:cs="Times New Roman"/>
          <w:sz w:val="24"/>
          <w:szCs w:val="24"/>
          <w:lang w:eastAsia="en-IN"/>
        </w:rPr>
        <w:t>, and</w:t>
      </w:r>
      <w:r>
        <w:rPr>
          <w:rFonts w:ascii="Times New Roman" w:eastAsia="Times New Roman" w:hAnsi="Times New Roman" w:cs="Times New Roman"/>
          <w:sz w:val="24"/>
          <w:szCs w:val="24"/>
          <w:lang w:eastAsia="en-IN"/>
        </w:rPr>
        <w:t xml:space="preserve"> limiting essential </w:t>
      </w:r>
      <w:r w:rsidR="004A70F5">
        <w:rPr>
          <w:rFonts w:ascii="Times New Roman" w:eastAsia="Times New Roman" w:hAnsi="Times New Roman" w:cs="Times New Roman"/>
          <w:sz w:val="24"/>
          <w:szCs w:val="24"/>
          <w:lang w:eastAsia="en-IN"/>
        </w:rPr>
        <w:t>device</w:t>
      </w:r>
      <w:r>
        <w:rPr>
          <w:rFonts w:ascii="Times New Roman" w:eastAsia="Times New Roman" w:hAnsi="Times New Roman" w:cs="Times New Roman"/>
          <w:sz w:val="24"/>
          <w:szCs w:val="24"/>
          <w:lang w:eastAsia="en-IN"/>
        </w:rPr>
        <w:t xml:space="preserve"> use </w:t>
      </w:r>
      <w:r w:rsidR="004A70F5">
        <w:rPr>
          <w:rFonts w:ascii="Times New Roman" w:eastAsia="Times New Roman" w:hAnsi="Times New Roman" w:cs="Times New Roman"/>
          <w:sz w:val="24"/>
          <w:szCs w:val="24"/>
          <w:lang w:eastAsia="en-IN"/>
        </w:rPr>
        <w:t>contributes</w:t>
      </w:r>
      <w:r>
        <w:rPr>
          <w:rFonts w:ascii="Times New Roman" w:eastAsia="Times New Roman" w:hAnsi="Times New Roman" w:cs="Times New Roman"/>
          <w:sz w:val="24"/>
          <w:szCs w:val="24"/>
          <w:lang w:eastAsia="en-IN"/>
        </w:rPr>
        <w:t xml:space="preserve"> to improvement in emotional </w:t>
      </w:r>
      <w:r w:rsidR="004A70F5">
        <w:rPr>
          <w:rFonts w:ascii="Times New Roman" w:eastAsia="Times New Roman" w:hAnsi="Times New Roman" w:cs="Times New Roman"/>
          <w:sz w:val="24"/>
          <w:szCs w:val="24"/>
          <w:lang w:eastAsia="en-IN"/>
        </w:rPr>
        <w:t>well-being</w:t>
      </w:r>
      <w:r>
        <w:rPr>
          <w:rFonts w:ascii="Times New Roman" w:eastAsia="Times New Roman" w:hAnsi="Times New Roman" w:cs="Times New Roman"/>
          <w:sz w:val="24"/>
          <w:szCs w:val="24"/>
          <w:lang w:eastAsia="en-IN"/>
        </w:rPr>
        <w:t xml:space="preserve"> through healthier behavioural patterns </w:t>
      </w:r>
      <w:r w:rsidRPr="004B5191">
        <w:rPr>
          <w:rFonts w:ascii="Times New Roman" w:eastAsia="Times New Roman" w:hAnsi="Times New Roman" w:cs="Times New Roman"/>
          <w:sz w:val="24"/>
          <w:szCs w:val="24"/>
          <w:lang w:eastAsia="en-IN"/>
        </w:rPr>
        <w:t>(</w:t>
      </w:r>
      <w:proofErr w:type="spellStart"/>
      <w:r w:rsidRPr="000E284F">
        <w:rPr>
          <w:rFonts w:ascii="Times New Roman" w:eastAsia="Times New Roman" w:hAnsi="Times New Roman" w:cs="Times New Roman"/>
          <w:sz w:val="24"/>
          <w:szCs w:val="24"/>
          <w:highlight w:val="yellow"/>
          <w:lang w:eastAsia="en-IN"/>
        </w:rPr>
        <w:t>Kushlev</w:t>
      </w:r>
      <w:proofErr w:type="spellEnd"/>
      <w:r w:rsidRPr="000E284F">
        <w:rPr>
          <w:rFonts w:ascii="Times New Roman" w:eastAsia="Times New Roman" w:hAnsi="Times New Roman" w:cs="Times New Roman"/>
          <w:sz w:val="24"/>
          <w:szCs w:val="24"/>
          <w:highlight w:val="yellow"/>
          <w:lang w:eastAsia="en-IN"/>
        </w:rPr>
        <w:t xml:space="preserve"> et al., 2016</w:t>
      </w:r>
      <w:r w:rsidR="00C12E2E" w:rsidRPr="000E284F">
        <w:rPr>
          <w:rFonts w:ascii="Times New Roman" w:eastAsia="Times New Roman" w:hAnsi="Times New Roman" w:cs="Times New Roman"/>
          <w:sz w:val="24"/>
          <w:szCs w:val="24"/>
          <w:highlight w:val="yellow"/>
          <w:lang w:eastAsia="en-IN"/>
        </w:rPr>
        <w:t>a</w:t>
      </w:r>
      <w:r w:rsidRPr="000E284F">
        <w:rPr>
          <w:rFonts w:ascii="Times New Roman" w:eastAsia="Times New Roman" w:hAnsi="Times New Roman" w:cs="Times New Roman"/>
          <w:sz w:val="24"/>
          <w:szCs w:val="24"/>
          <w:highlight w:val="yellow"/>
          <w:lang w:eastAsia="en-IN"/>
        </w:rPr>
        <w:t>; Duke &amp; Montag, 2017</w:t>
      </w:r>
      <w:r w:rsidRPr="004B519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Mindful digital practices can </w:t>
      </w:r>
      <w:r w:rsidR="004A70F5">
        <w:rPr>
          <w:rFonts w:ascii="Times New Roman" w:eastAsia="Times New Roman" w:hAnsi="Times New Roman" w:cs="Times New Roman"/>
          <w:sz w:val="24"/>
          <w:szCs w:val="24"/>
          <w:lang w:eastAsia="en-IN"/>
        </w:rPr>
        <w:t xml:space="preserve">reduce energy demands, thereby minimising unnecessary data usage and contributing to personal well-being </w:t>
      </w:r>
      <w:r w:rsidR="004A70F5" w:rsidRPr="004B5191">
        <w:rPr>
          <w:rFonts w:ascii="Times New Roman" w:eastAsia="Times New Roman" w:hAnsi="Times New Roman" w:cs="Times New Roman"/>
          <w:sz w:val="24"/>
          <w:szCs w:val="24"/>
          <w:lang w:eastAsia="en-IN"/>
        </w:rPr>
        <w:t>(Jones, 2018)</w:t>
      </w:r>
      <w:r w:rsidR="004A70F5">
        <w:rPr>
          <w:rFonts w:ascii="Times New Roman" w:eastAsia="Times New Roman" w:hAnsi="Times New Roman" w:cs="Times New Roman"/>
          <w:sz w:val="24"/>
          <w:szCs w:val="24"/>
          <w:lang w:eastAsia="en-IN"/>
        </w:rPr>
        <w:t>.</w:t>
      </w:r>
    </w:p>
    <w:p w14:paraId="1BCE6B08" w14:textId="160FBBB5" w:rsidR="00F03536" w:rsidRPr="00C12E2E" w:rsidRDefault="00F03536" w:rsidP="004E106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12E2E">
        <w:rPr>
          <w:rFonts w:ascii="Times New Roman" w:eastAsia="Times New Roman" w:hAnsi="Times New Roman" w:cs="Times New Roman"/>
          <w:sz w:val="24"/>
          <w:szCs w:val="24"/>
          <w:lang w:eastAsia="en-IN"/>
        </w:rPr>
        <w:t xml:space="preserve">Research says that digital cleanness </w:t>
      </w:r>
      <w:r w:rsidR="00722A48" w:rsidRPr="00C12E2E">
        <w:rPr>
          <w:rFonts w:ascii="Times New Roman" w:eastAsia="Times New Roman" w:hAnsi="Times New Roman" w:cs="Times New Roman"/>
          <w:sz w:val="24"/>
          <w:szCs w:val="24"/>
          <w:lang w:eastAsia="en-IN"/>
        </w:rPr>
        <w:t>can be beneficial by</w:t>
      </w:r>
      <w:r w:rsidRPr="00C12E2E">
        <w:rPr>
          <w:rFonts w:ascii="Times New Roman" w:eastAsia="Times New Roman" w:hAnsi="Times New Roman" w:cs="Times New Roman"/>
          <w:sz w:val="24"/>
          <w:szCs w:val="24"/>
          <w:lang w:eastAsia="en-IN"/>
        </w:rPr>
        <w:t xml:space="preserve"> enhancing emotional regulation and cognitive efficiency through intentional engagement with digital environments. Therefore, </w:t>
      </w:r>
      <w:r w:rsidR="00722A48" w:rsidRPr="00C12E2E">
        <w:rPr>
          <w:rFonts w:ascii="Times New Roman" w:eastAsia="Times New Roman" w:hAnsi="Times New Roman" w:cs="Times New Roman"/>
          <w:sz w:val="24"/>
          <w:szCs w:val="24"/>
          <w:lang w:eastAsia="en-IN"/>
        </w:rPr>
        <w:t xml:space="preserve">it is very important to reduce constant digital </w:t>
      </w:r>
      <w:r w:rsidR="00C12E2E">
        <w:rPr>
          <w:rFonts w:ascii="Times New Roman" w:eastAsia="Times New Roman" w:hAnsi="Times New Roman" w:cs="Times New Roman"/>
          <w:sz w:val="24"/>
          <w:szCs w:val="24"/>
          <w:lang w:eastAsia="en-IN"/>
        </w:rPr>
        <w:t>multitasking,</w:t>
      </w:r>
      <w:r w:rsidR="00C753EB" w:rsidRPr="00C12E2E">
        <w:rPr>
          <w:rFonts w:ascii="Times New Roman" w:eastAsia="Times New Roman" w:hAnsi="Times New Roman" w:cs="Times New Roman"/>
          <w:sz w:val="24"/>
          <w:szCs w:val="24"/>
          <w:lang w:eastAsia="en-IN"/>
        </w:rPr>
        <w:t xml:space="preserve"> which would cause mental fatigue, impair memory, and bring down productivity </w:t>
      </w:r>
      <w:r w:rsidR="00C753EB" w:rsidRPr="00C12E2E">
        <w:rPr>
          <w:rFonts w:ascii="Times New Roman" w:hAnsi="Times New Roman" w:cs="Times New Roman"/>
          <w:sz w:val="24"/>
          <w:szCs w:val="24"/>
        </w:rPr>
        <w:t>(Ophir et al., 2009; Rosen et al., 2013). Practices such as screen time management, disengagement and mindful content consumption from digital platforms can restore and improve cognitive function. Moreover, excessive digital usage has been linked with poor sleep quality and anxiety and depression</w:t>
      </w:r>
      <w:r w:rsidR="00C12E2E">
        <w:rPr>
          <w:rFonts w:ascii="Times New Roman" w:hAnsi="Times New Roman" w:cs="Times New Roman"/>
          <w:sz w:val="24"/>
          <w:szCs w:val="24"/>
        </w:rPr>
        <w:t>;</w:t>
      </w:r>
      <w:r w:rsidR="00C753EB" w:rsidRPr="00C12E2E">
        <w:rPr>
          <w:rFonts w:ascii="Times New Roman" w:hAnsi="Times New Roman" w:cs="Times New Roman"/>
          <w:sz w:val="24"/>
          <w:szCs w:val="24"/>
        </w:rPr>
        <w:t xml:space="preserve"> therefore</w:t>
      </w:r>
      <w:r w:rsidR="00C12E2E">
        <w:rPr>
          <w:rFonts w:ascii="Times New Roman" w:hAnsi="Times New Roman" w:cs="Times New Roman"/>
          <w:sz w:val="24"/>
          <w:szCs w:val="24"/>
        </w:rPr>
        <w:t>,</w:t>
      </w:r>
      <w:r w:rsidR="00C753EB" w:rsidRPr="00C12E2E">
        <w:rPr>
          <w:rFonts w:ascii="Times New Roman" w:hAnsi="Times New Roman" w:cs="Times New Roman"/>
          <w:sz w:val="24"/>
          <w:szCs w:val="24"/>
        </w:rPr>
        <w:t xml:space="preserve"> reducing digital engagement can help adolescents and adults with good sleep and better </w:t>
      </w:r>
      <w:r w:rsidR="00C12E2E" w:rsidRPr="00C12E2E">
        <w:rPr>
          <w:rFonts w:ascii="Times New Roman" w:hAnsi="Times New Roman" w:cs="Times New Roman"/>
          <w:sz w:val="24"/>
          <w:szCs w:val="24"/>
        </w:rPr>
        <w:t>performance (</w:t>
      </w:r>
      <w:r w:rsidR="00C753EB" w:rsidRPr="000E284F">
        <w:rPr>
          <w:rFonts w:ascii="Times New Roman" w:hAnsi="Times New Roman" w:cs="Times New Roman"/>
          <w:sz w:val="24"/>
          <w:szCs w:val="24"/>
          <w:highlight w:val="yellow"/>
        </w:rPr>
        <w:t xml:space="preserve">Twenge et al., 2018; </w:t>
      </w:r>
      <w:proofErr w:type="spellStart"/>
      <w:r w:rsidR="00C753EB" w:rsidRPr="000E284F">
        <w:rPr>
          <w:rFonts w:ascii="Times New Roman" w:hAnsi="Times New Roman" w:cs="Times New Roman"/>
          <w:sz w:val="24"/>
          <w:szCs w:val="24"/>
          <w:highlight w:val="yellow"/>
        </w:rPr>
        <w:t>Exelmans</w:t>
      </w:r>
      <w:proofErr w:type="spellEnd"/>
      <w:r w:rsidR="00C753EB" w:rsidRPr="000E284F">
        <w:rPr>
          <w:rFonts w:ascii="Times New Roman" w:hAnsi="Times New Roman" w:cs="Times New Roman"/>
          <w:sz w:val="24"/>
          <w:szCs w:val="24"/>
          <w:highlight w:val="yellow"/>
        </w:rPr>
        <w:t xml:space="preserve"> &amp; Van den Bulck, 201</w:t>
      </w:r>
      <w:r w:rsidR="00C753EB" w:rsidRPr="00C12E2E">
        <w:rPr>
          <w:rFonts w:ascii="Times New Roman" w:hAnsi="Times New Roman" w:cs="Times New Roman"/>
          <w:sz w:val="24"/>
          <w:szCs w:val="24"/>
        </w:rPr>
        <w:t>6). Therefore, digital cleanness can support mental clarity</w:t>
      </w:r>
      <w:r w:rsidR="00C12E2E">
        <w:rPr>
          <w:rFonts w:ascii="Times New Roman" w:hAnsi="Times New Roman" w:cs="Times New Roman"/>
          <w:sz w:val="24"/>
          <w:szCs w:val="24"/>
        </w:rPr>
        <w:t>,</w:t>
      </w:r>
      <w:r w:rsidR="00C753EB" w:rsidRPr="00C12E2E">
        <w:rPr>
          <w:rFonts w:ascii="Times New Roman" w:hAnsi="Times New Roman" w:cs="Times New Roman"/>
          <w:sz w:val="24"/>
          <w:szCs w:val="24"/>
        </w:rPr>
        <w:t xml:space="preserve"> further contributing significantly to psychological flexibility and holistic/overall well-being.</w:t>
      </w:r>
    </w:p>
    <w:p w14:paraId="65EA3D62" w14:textId="77777777" w:rsidR="004D4B94" w:rsidRDefault="004D4B94" w:rsidP="00673528">
      <w:pPr>
        <w:pStyle w:val="NormalWeb"/>
        <w:spacing w:line="360" w:lineRule="auto"/>
        <w:jc w:val="both"/>
      </w:pPr>
    </w:p>
    <w:p w14:paraId="5D57FE81" w14:textId="157F671D" w:rsidR="00286DD0" w:rsidRPr="00B229EB" w:rsidRDefault="00B229EB" w:rsidP="00673528">
      <w:pPr>
        <w:pStyle w:val="NormalWeb"/>
        <w:spacing w:line="360" w:lineRule="auto"/>
        <w:rPr>
          <w:b/>
          <w:bCs/>
        </w:rPr>
      </w:pPr>
      <w:r w:rsidRPr="00B229EB">
        <w:rPr>
          <w:b/>
          <w:bCs/>
        </w:rPr>
        <w:t xml:space="preserve">3. </w:t>
      </w:r>
      <w:r w:rsidR="00286DD0" w:rsidRPr="00B229EB">
        <w:rPr>
          <w:b/>
          <w:bCs/>
        </w:rPr>
        <w:t>Public Health and Education Digital Wellness</w:t>
      </w:r>
    </w:p>
    <w:p w14:paraId="5FF91391" w14:textId="5F0D5143" w:rsidR="00554AE0" w:rsidRDefault="00554AE0" w:rsidP="004E1066">
      <w:pPr>
        <w:pStyle w:val="NormalWeb"/>
        <w:spacing w:line="360" w:lineRule="auto"/>
        <w:jc w:val="both"/>
      </w:pPr>
      <w:r>
        <w:t xml:space="preserve">Digital wellness has been advanced largely by the public health and education </w:t>
      </w:r>
      <w:r w:rsidR="00670EE2">
        <w:t xml:space="preserve">sectors </w:t>
      </w:r>
      <w:r>
        <w:t xml:space="preserve">by equipping young leaders with skills </w:t>
      </w:r>
      <w:r w:rsidR="00670EE2">
        <w:t xml:space="preserve">to harness digital environments responsibly. Therefore, </w:t>
      </w:r>
      <w:r w:rsidR="00670EE2">
        <w:lastRenderedPageBreak/>
        <w:t xml:space="preserve">integrating digital wellness programs into various educational frameworks helps students to learn self-regulation, protect mental well-being, and adopt respectful online communities (Livingstone et al., 2017; OECD, 2021). At a broader level, digital health innovations such as telemonitoring and e-health platforms have demonstrated significant potential to improve patient outcomes, accessibility, and healthcare efficiency (WHO, 2019). These also bring some concerns related to waste generation, energy </w:t>
      </w:r>
      <w:r w:rsidR="00C12E2E">
        <w:t>consumption,</w:t>
      </w:r>
      <w:r w:rsidR="00670EE2">
        <w:t xml:space="preserve"> and environmental footprint. There is a need to implement a “green by design” method in digital health, warranting that technological progress aligns with sustainability ideologies while preserving clinical efficacy and economic viability (Bree et al., 2000).</w:t>
      </w:r>
    </w:p>
    <w:p w14:paraId="600D1DC6" w14:textId="723C2ED6" w:rsidR="00B229EB" w:rsidRDefault="00B229EB" w:rsidP="00673528">
      <w:pPr>
        <w:pStyle w:val="NormalWeb"/>
        <w:spacing w:line="360" w:lineRule="auto"/>
        <w:jc w:val="both"/>
      </w:pPr>
    </w:p>
    <w:p w14:paraId="07A2696B" w14:textId="75060A4E" w:rsidR="00B229EB" w:rsidRPr="00B229EB" w:rsidRDefault="00B229EB" w:rsidP="00673528">
      <w:pPr>
        <w:pStyle w:val="Balk2"/>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Challenges and Future Directions</w:t>
      </w:r>
    </w:p>
    <w:p w14:paraId="3C7854B6" w14:textId="173B1415" w:rsidR="00356E07" w:rsidRDefault="00356E07" w:rsidP="00673528">
      <w:pPr>
        <w:pStyle w:val="NormalWeb"/>
        <w:spacing w:line="360" w:lineRule="auto"/>
        <w:jc w:val="both"/>
      </w:pPr>
      <w:r>
        <w:t xml:space="preserve">Digital wellness poses several challenges </w:t>
      </w:r>
      <w:r w:rsidR="00A809B0">
        <w:t>that extend beyond public health, influencing education, technology, individual behaviour,</w:t>
      </w:r>
      <w:r>
        <w:t xml:space="preserve"> and environmental sustainability. </w:t>
      </w:r>
      <w:r w:rsidR="00032A0F">
        <w:t>The overuse of digital gadgets arises from</w:t>
      </w:r>
      <w:r w:rsidR="00ED553F">
        <w:t xml:space="preserve"> addictive behaviours, perpetual connectivity, shortened </w:t>
      </w:r>
      <w:r w:rsidR="00C12E2E">
        <w:t>attention,</w:t>
      </w:r>
      <w:r w:rsidR="00ED553F">
        <w:t xml:space="preserve"> and impaired emotional and mental well-being </w:t>
      </w:r>
      <w:r w:rsidR="00ED553F" w:rsidRPr="00356E07">
        <w:t xml:space="preserve">(Montag and Walla 2016; Rosen et al. 2013). </w:t>
      </w:r>
      <w:r w:rsidR="00E032CD">
        <w:t xml:space="preserve">The rapid growth of digital infrastructure leads to environmental problems (Jones, 2018), resulting in </w:t>
      </w:r>
      <w:r w:rsidR="00A809B0">
        <w:t>interrelated electronic waste issues that underscore the importance of an integrated strategy with</w:t>
      </w:r>
      <w:r w:rsidR="00E032CD">
        <w:t xml:space="preserve"> </w:t>
      </w:r>
      <w:r w:rsidR="00971AFB">
        <w:t>behavioural</w:t>
      </w:r>
      <w:r w:rsidR="00E032CD">
        <w:t xml:space="preserve"> alteration </w:t>
      </w:r>
      <w:r w:rsidR="00E032CD" w:rsidRPr="00356E07">
        <w:t>(</w:t>
      </w:r>
      <w:proofErr w:type="spellStart"/>
      <w:r w:rsidR="00E032CD" w:rsidRPr="00356E07">
        <w:t>Floridi</w:t>
      </w:r>
      <w:proofErr w:type="spellEnd"/>
      <w:r w:rsidR="00E032CD" w:rsidRPr="00356E07">
        <w:t xml:space="preserve"> et al., 2018).</w:t>
      </w:r>
      <w:r w:rsidR="00A809B0">
        <w:t xml:space="preserve"> The overgrowth of digital infrastructure is causing many environmental problems, such as carbon emissions and high energy consumption, </w:t>
      </w:r>
      <w:r w:rsidR="00C12E2E">
        <w:t>that produce</w:t>
      </w:r>
      <w:r w:rsidR="00A809B0">
        <w:t xml:space="preserve"> excess electronic waste. There are no studies on the </w:t>
      </w:r>
      <w:r w:rsidR="002C6BC2">
        <w:t>long-term</w:t>
      </w:r>
      <w:r w:rsidR="00A809B0">
        <w:t xml:space="preserve"> effect</w:t>
      </w:r>
      <w:r w:rsidR="002C6BC2">
        <w:t>iveness</w:t>
      </w:r>
      <w:r w:rsidR="00A809B0">
        <w:t xml:space="preserve"> of digital </w:t>
      </w:r>
      <w:r w:rsidR="002C6BC2">
        <w:t xml:space="preserve">wellness </w:t>
      </w:r>
      <w:r w:rsidR="00A809B0">
        <w:t xml:space="preserve">(Chaudhary &amp; Sharma, 2022). </w:t>
      </w:r>
    </w:p>
    <w:p w14:paraId="0068F390" w14:textId="55547A08" w:rsidR="002347F8" w:rsidRDefault="002347F8" w:rsidP="00673528">
      <w:pPr>
        <w:pStyle w:val="NormalWeb"/>
        <w:spacing w:line="360" w:lineRule="auto"/>
        <w:jc w:val="both"/>
      </w:pPr>
    </w:p>
    <w:p w14:paraId="446B94C6" w14:textId="77777777" w:rsidR="00B229EB" w:rsidRDefault="00B229EB" w:rsidP="00673528">
      <w:pPr>
        <w:pStyle w:val="Balk2"/>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Conclusion</w:t>
      </w:r>
    </w:p>
    <w:p w14:paraId="785177EF" w14:textId="6B85BE60" w:rsidR="006228EB" w:rsidRPr="006228EB" w:rsidRDefault="00333B52" w:rsidP="006228EB">
      <w:pPr>
        <w:pStyle w:val="NormalWeb"/>
        <w:spacing w:line="360" w:lineRule="auto"/>
        <w:jc w:val="both"/>
      </w:pPr>
      <w:r>
        <w:t>Excessive digital engagement has been associated with several detrimental effects</w:t>
      </w:r>
      <w:r w:rsidR="006228EB">
        <w:t xml:space="preserve"> viz.,</w:t>
      </w:r>
      <w:r>
        <w:t xml:space="preserve"> poor work performance, disturbed sleep patterns and low cognitive function</w:t>
      </w:r>
      <w:r w:rsidR="006228EB">
        <w:t>,</w:t>
      </w:r>
      <w:r>
        <w:t xml:space="preserve"> preventing people from performing at their best. Digital wellness has become an essential guideline </w:t>
      </w:r>
      <w:r w:rsidR="006228EB">
        <w:t>that</w:t>
      </w:r>
      <w:r>
        <w:t xml:space="preserve"> promotes a healthy interaction through digital gadgets without interrupting mental and physical </w:t>
      </w:r>
      <w:r w:rsidR="006228EB">
        <w:t>well-being</w:t>
      </w:r>
      <w:r>
        <w:t xml:space="preserve"> and environmental sustainability.</w:t>
      </w:r>
      <w:r w:rsidR="006228EB">
        <w:t xml:space="preserve"> </w:t>
      </w:r>
      <w:r w:rsidR="006228EB" w:rsidRPr="006228EB">
        <w:t>The interconnected association between</w:t>
      </w:r>
      <w:r w:rsidR="006228EB">
        <w:t xml:space="preserve"> human well-</w:t>
      </w:r>
      <w:r w:rsidR="006228EB" w:rsidRPr="006228EB">
        <w:t xml:space="preserve">being and environmental sustainability is more relevant in our present times. Whether innovations </w:t>
      </w:r>
      <w:r w:rsidR="006228EB" w:rsidRPr="006228EB">
        <w:lastRenderedPageBreak/>
        <w:t xml:space="preserve">are done with the ethics of sustainability (in itself based on foundation principles) will be an important factor that will </w:t>
      </w:r>
      <w:r w:rsidR="006228EB">
        <w:t>ensure</w:t>
      </w:r>
      <w:r w:rsidR="006228EB" w:rsidRPr="006228EB">
        <w:t xml:space="preserve"> the extraordinary </w:t>
      </w:r>
      <w:r w:rsidR="006228EB">
        <w:t>progress</w:t>
      </w:r>
      <w:r w:rsidR="006228EB" w:rsidRPr="006228EB">
        <w:t xml:space="preserve"> in digital technology </w:t>
      </w:r>
      <w:r w:rsidR="006228EB">
        <w:t>doesn't</w:t>
      </w:r>
      <w:r w:rsidR="006228EB" w:rsidRPr="006228EB">
        <w:t xml:space="preserve"> come </w:t>
      </w:r>
      <w:r w:rsidR="006228EB">
        <w:t>at the</w:t>
      </w:r>
      <w:r w:rsidR="006228EB" w:rsidRPr="006228EB">
        <w:t xml:space="preserve"> cost </w:t>
      </w:r>
      <w:r w:rsidR="006228EB">
        <w:t xml:space="preserve">of </w:t>
      </w:r>
      <w:r w:rsidR="006228EB" w:rsidRPr="006228EB">
        <w:t xml:space="preserve">our </w:t>
      </w:r>
      <w:r w:rsidR="006228EB">
        <w:t>planet's</w:t>
      </w:r>
      <w:r w:rsidR="006228EB" w:rsidRPr="006228EB">
        <w:t xml:space="preserve"> health and </w:t>
      </w:r>
      <w:r w:rsidR="006228EB">
        <w:t>vitality</w:t>
      </w:r>
      <w:r w:rsidR="006228EB" w:rsidRPr="006228EB">
        <w:t>. Th</w:t>
      </w:r>
      <w:r w:rsidR="00C12E2E">
        <w:t>ese</w:t>
      </w:r>
      <w:r w:rsidR="006228EB" w:rsidRPr="006228EB">
        <w:t xml:space="preserve"> innumerable examples, alongside an infinite number of other representations of simple yet purposeful actions, </w:t>
      </w:r>
      <w:r w:rsidR="00C12E2E">
        <w:t xml:space="preserve">provide </w:t>
      </w:r>
      <w:r w:rsidR="006228EB" w:rsidRPr="006228EB">
        <w:t xml:space="preserve">people </w:t>
      </w:r>
      <w:r w:rsidR="00C12E2E">
        <w:t>with</w:t>
      </w:r>
      <w:r w:rsidR="006228EB" w:rsidRPr="006228EB">
        <w:t xml:space="preserve"> the opportunity to live healthier lives that </w:t>
      </w:r>
      <w:r w:rsidR="00B17C3C">
        <w:t>help them find personal growth and lead</w:t>
      </w:r>
      <w:r w:rsidR="006228EB" w:rsidRPr="006228EB">
        <w:t xml:space="preserve"> to a drastically lower digital carbon footprint.</w:t>
      </w:r>
      <w:r w:rsidR="006228EB">
        <w:t xml:space="preserve"> </w:t>
      </w:r>
      <w:r w:rsidR="006228EB" w:rsidRPr="006228EB">
        <w:t xml:space="preserve">The more we explore this hypothesis, the more obvious it becomes that digital wellness is a </w:t>
      </w:r>
      <w:r w:rsidR="00B17C3C">
        <w:t xml:space="preserve">crucial step towards our personal well-being and ultimately </w:t>
      </w:r>
      <w:proofErr w:type="gramStart"/>
      <w:r w:rsidR="00B17C3C">
        <w:t>a more eco-friendly</w:t>
      </w:r>
      <w:proofErr w:type="gramEnd"/>
      <w:r w:rsidR="006228EB" w:rsidRPr="006228EB">
        <w:t xml:space="preserve"> post-carbon society. By intentionally making our online decisions in accordance with our fundamental beliefs and ethics, we become architects of a future where tech enables us to live fuller lives without sacrificing the quality of human connection while also preserving a more sustainable planet for those who come after.</w:t>
      </w:r>
    </w:p>
    <w:p w14:paraId="2CA200E3" w14:textId="77777777" w:rsidR="00673528" w:rsidRDefault="00673528" w:rsidP="00673528">
      <w:pPr>
        <w:pStyle w:val="NormalWeb"/>
        <w:spacing w:line="360" w:lineRule="auto"/>
        <w:jc w:val="both"/>
      </w:pPr>
    </w:p>
    <w:p w14:paraId="03EE1A9C" w14:textId="279A60F8" w:rsidR="006228EB" w:rsidRPr="006228EB" w:rsidRDefault="006228EB" w:rsidP="006228EB">
      <w:pPr>
        <w:spacing w:line="360" w:lineRule="auto"/>
        <w:jc w:val="both"/>
        <w:rPr>
          <w:rFonts w:ascii="Times New Roman" w:eastAsia="Times New Roman" w:hAnsi="Times New Roman" w:cs="Times New Roman"/>
          <w:b/>
          <w:bCs/>
          <w:sz w:val="24"/>
          <w:szCs w:val="24"/>
        </w:rPr>
      </w:pPr>
      <w:r w:rsidRPr="006228EB">
        <w:rPr>
          <w:rFonts w:ascii="Times New Roman" w:eastAsia="Times New Roman" w:hAnsi="Times New Roman" w:cs="Times New Roman"/>
          <w:b/>
          <w:bCs/>
          <w:sz w:val="24"/>
          <w:szCs w:val="24"/>
        </w:rPr>
        <w:t>References</w:t>
      </w:r>
    </w:p>
    <w:p w14:paraId="607F9309"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 A. (2017). </w:t>
      </w:r>
      <w:r>
        <w:rPr>
          <w:rFonts w:ascii="Times New Roman" w:eastAsia="Times New Roman" w:hAnsi="Times New Roman" w:cs="Times New Roman"/>
          <w:i/>
          <w:sz w:val="24"/>
          <w:szCs w:val="24"/>
        </w:rPr>
        <w:t>Irresistible: The rise of addictive technology and the business of keeping us hooked</w:t>
      </w:r>
      <w:r>
        <w:rPr>
          <w:rFonts w:ascii="Times New Roman" w:eastAsia="Times New Roman" w:hAnsi="Times New Roman" w:cs="Times New Roman"/>
          <w:sz w:val="24"/>
          <w:szCs w:val="24"/>
        </w:rPr>
        <w:t>. Penguin Press.</w:t>
      </w:r>
    </w:p>
    <w:p w14:paraId="19389B3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Aslan, J., Mayers, K., Koomey, J. G., &amp; France, C. (2018). Electricity intensity of internet data transmission: Untangling the estimates. </w:t>
      </w:r>
      <w:r>
        <w:rPr>
          <w:rFonts w:ascii="Times New Roman" w:eastAsia="Times New Roman" w:hAnsi="Times New Roman" w:cs="Times New Roman"/>
          <w:i/>
          <w:sz w:val="24"/>
          <w:szCs w:val="24"/>
        </w:rPr>
        <w:t>Journal of Industrial Ecology, 22</w:t>
      </w:r>
      <w:r>
        <w:rPr>
          <w:rFonts w:ascii="Times New Roman" w:eastAsia="Times New Roman" w:hAnsi="Times New Roman" w:cs="Times New Roman"/>
          <w:sz w:val="24"/>
          <w:szCs w:val="24"/>
        </w:rPr>
        <w:t>(4), 785–798. https://doi.org/10.1111/jiec.12630</w:t>
      </w:r>
    </w:p>
    <w:p w14:paraId="2BA813E8"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Babu, A., &amp; Joseph, A. P. (2025). Digital wellness or digital dependency? a critical examination of mental health apps and their implications. </w:t>
      </w:r>
      <w:r>
        <w:rPr>
          <w:rFonts w:ascii="Times New Roman" w:eastAsia="Times New Roman" w:hAnsi="Times New Roman" w:cs="Times New Roman"/>
          <w:i/>
          <w:color w:val="000000"/>
          <w:sz w:val="24"/>
          <w:szCs w:val="24"/>
          <w:highlight w:val="white"/>
        </w:rPr>
        <w:t>Frontiers in Psychiatry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16</w:t>
      </w:r>
      <w:r>
        <w:rPr>
          <w:rFonts w:ascii="Times New Roman" w:eastAsia="Times New Roman" w:hAnsi="Times New Roman" w:cs="Times New Roman"/>
          <w:color w:val="000000"/>
          <w:sz w:val="24"/>
          <w:szCs w:val="24"/>
          <w:highlight w:val="white"/>
        </w:rPr>
        <w:t>, 1581779.</w:t>
      </w:r>
    </w:p>
    <w:p w14:paraId="6A106D3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Balde, C. P., Forti, V., Gray, V., Kuehr, R., &amp; Stegmann, P. (2017). </w:t>
      </w:r>
      <w:r>
        <w:rPr>
          <w:rFonts w:ascii="Times New Roman" w:eastAsia="Times New Roman" w:hAnsi="Times New Roman" w:cs="Times New Roman"/>
          <w:i/>
          <w:sz w:val="24"/>
          <w:szCs w:val="24"/>
        </w:rPr>
        <w:t>The global e-waste monitor 2017: Quantities, flows, and resources</w:t>
      </w:r>
      <w:r>
        <w:rPr>
          <w:rFonts w:ascii="Times New Roman" w:eastAsia="Times New Roman" w:hAnsi="Times New Roman" w:cs="Times New Roman"/>
          <w:sz w:val="24"/>
          <w:szCs w:val="24"/>
        </w:rPr>
        <w:t>. United Nations University.</w:t>
      </w:r>
    </w:p>
    <w:p w14:paraId="133AD13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Beetham, H. (2016). Digital capability framework. </w:t>
      </w:r>
      <w:r>
        <w:rPr>
          <w:rFonts w:ascii="Times New Roman" w:eastAsia="Times New Roman" w:hAnsi="Times New Roman" w:cs="Times New Roman"/>
          <w:i/>
          <w:sz w:val="24"/>
          <w:szCs w:val="24"/>
        </w:rPr>
        <w:t>Jisc</w:t>
      </w:r>
      <w:r>
        <w:rPr>
          <w:rFonts w:ascii="Times New Roman" w:eastAsia="Times New Roman" w:hAnsi="Times New Roman" w:cs="Times New Roman"/>
          <w:sz w:val="24"/>
          <w:szCs w:val="24"/>
        </w:rPr>
        <w:t>. https://www.jisc.ac.uk</w:t>
      </w:r>
    </w:p>
    <w:p w14:paraId="5278021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Belkhir, L., &amp; </w:t>
      </w:r>
      <w:proofErr w:type="spellStart"/>
      <w:r>
        <w:rPr>
          <w:rFonts w:ascii="Times New Roman" w:eastAsia="Times New Roman" w:hAnsi="Times New Roman" w:cs="Times New Roman"/>
          <w:sz w:val="24"/>
          <w:szCs w:val="24"/>
        </w:rPr>
        <w:t>Elmeligi</w:t>
      </w:r>
      <w:proofErr w:type="spellEnd"/>
      <w:r>
        <w:rPr>
          <w:rFonts w:ascii="Times New Roman" w:eastAsia="Times New Roman" w:hAnsi="Times New Roman" w:cs="Times New Roman"/>
          <w:sz w:val="24"/>
          <w:szCs w:val="24"/>
        </w:rPr>
        <w:t xml:space="preserve">, A. (2018). Assessing ICT global emissions footprint: Trends to 2040 &amp; recommendations. </w:t>
      </w:r>
      <w:r>
        <w:rPr>
          <w:rFonts w:ascii="Times New Roman" w:eastAsia="Times New Roman" w:hAnsi="Times New Roman" w:cs="Times New Roman"/>
          <w:i/>
          <w:sz w:val="24"/>
          <w:szCs w:val="24"/>
        </w:rPr>
        <w:t>Journal of Cleaner Production, 177</w:t>
      </w:r>
      <w:r>
        <w:rPr>
          <w:rFonts w:ascii="Times New Roman" w:eastAsia="Times New Roman" w:hAnsi="Times New Roman" w:cs="Times New Roman"/>
          <w:sz w:val="24"/>
          <w:szCs w:val="24"/>
        </w:rPr>
        <w:t>, 448–463. https://doi.org/10.1016/j.jclepro.2017.12.239</w:t>
      </w:r>
    </w:p>
    <w:p w14:paraId="60F51C85"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Chaudhary, R., &amp; Sharma, M. (2022). Digital wellness: Concept, components, and practices. </w:t>
      </w:r>
      <w:r>
        <w:rPr>
          <w:rFonts w:ascii="Times New Roman" w:eastAsia="Times New Roman" w:hAnsi="Times New Roman" w:cs="Times New Roman"/>
          <w:i/>
          <w:sz w:val="24"/>
          <w:szCs w:val="24"/>
        </w:rPr>
        <w:t>Journal of Technology and Society, 14</w:t>
      </w:r>
      <w:r>
        <w:rPr>
          <w:rFonts w:ascii="Times New Roman" w:eastAsia="Times New Roman" w:hAnsi="Times New Roman" w:cs="Times New Roman"/>
          <w:sz w:val="24"/>
          <w:szCs w:val="24"/>
        </w:rPr>
        <w:t>(2), 45–53.</w:t>
      </w:r>
    </w:p>
    <w:p w14:paraId="3654174C"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Chisholm, A., &amp; Hartman-Caverly, S. (2022). Privacy literacy: From doomscrolling to digital wellness. </w:t>
      </w:r>
      <w:r>
        <w:rPr>
          <w:rFonts w:ascii="Times New Roman" w:eastAsia="Times New Roman" w:hAnsi="Times New Roman" w:cs="Times New Roman"/>
          <w:i/>
          <w:color w:val="000000"/>
          <w:sz w:val="24"/>
          <w:szCs w:val="24"/>
          <w:highlight w:val="white"/>
        </w:rPr>
        <w:t>portal: Libraries and the Academy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22</w:t>
      </w:r>
      <w:r>
        <w:rPr>
          <w:rFonts w:ascii="Times New Roman" w:eastAsia="Times New Roman" w:hAnsi="Times New Roman" w:cs="Times New Roman"/>
          <w:color w:val="000000"/>
          <w:sz w:val="24"/>
          <w:szCs w:val="24"/>
          <w:highlight w:val="white"/>
        </w:rPr>
        <w:t>(1), 53-79.</w:t>
      </w:r>
    </w:p>
    <w:p w14:paraId="530E978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Christensen, M. A., Bettencourt, L., Kaye, L., </w:t>
      </w:r>
      <w:proofErr w:type="spellStart"/>
      <w:r>
        <w:rPr>
          <w:rFonts w:ascii="Times New Roman" w:eastAsia="Times New Roman" w:hAnsi="Times New Roman" w:cs="Times New Roman"/>
          <w:sz w:val="24"/>
          <w:szCs w:val="24"/>
        </w:rPr>
        <w:t>Moturu</w:t>
      </w:r>
      <w:proofErr w:type="spellEnd"/>
      <w:r>
        <w:rPr>
          <w:rFonts w:ascii="Times New Roman" w:eastAsia="Times New Roman" w:hAnsi="Times New Roman" w:cs="Times New Roman"/>
          <w:sz w:val="24"/>
          <w:szCs w:val="24"/>
        </w:rPr>
        <w:t xml:space="preserve">, S. T., Nguyen, K. T., Olgin, J. E., ... &amp; Marcus, G. M. (2016). Direct measurements of smartphone screen-time: Relationships with demographics and sleep.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 11</w:t>
      </w:r>
      <w:r>
        <w:rPr>
          <w:rFonts w:ascii="Times New Roman" w:eastAsia="Times New Roman" w:hAnsi="Times New Roman" w:cs="Times New Roman"/>
          <w:sz w:val="24"/>
          <w:szCs w:val="24"/>
        </w:rPr>
        <w:t>(11), e0165331. https://doi.org/10.1371/journal.pone.0165331</w:t>
      </w:r>
    </w:p>
    <w:p w14:paraId="71D8C700"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 G., Van Horn, J., &amp; Matthews, H. S. (2017). Clicking clean: Who is winning the race to build a green internet? </w:t>
      </w:r>
      <w:r>
        <w:rPr>
          <w:rFonts w:ascii="Times New Roman" w:eastAsia="Times New Roman" w:hAnsi="Times New Roman" w:cs="Times New Roman"/>
          <w:i/>
          <w:sz w:val="24"/>
          <w:szCs w:val="24"/>
        </w:rPr>
        <w:t>Greenpeace International</w:t>
      </w:r>
      <w:r>
        <w:rPr>
          <w:rFonts w:ascii="Times New Roman" w:eastAsia="Times New Roman" w:hAnsi="Times New Roman" w:cs="Times New Roman"/>
          <w:sz w:val="24"/>
          <w:szCs w:val="24"/>
        </w:rPr>
        <w:t>.</w:t>
      </w:r>
    </w:p>
    <w:p w14:paraId="24572F7B"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Corcoran, P. (2019). Energy efficiency of cloud computing: Technologies and trends. </w:t>
      </w:r>
      <w:r>
        <w:rPr>
          <w:rFonts w:ascii="Times New Roman" w:eastAsia="Times New Roman" w:hAnsi="Times New Roman" w:cs="Times New Roman"/>
          <w:i/>
          <w:sz w:val="24"/>
          <w:szCs w:val="24"/>
        </w:rPr>
        <w:t>Computer, 52</w:t>
      </w:r>
      <w:r>
        <w:rPr>
          <w:rFonts w:ascii="Times New Roman" w:eastAsia="Times New Roman" w:hAnsi="Times New Roman" w:cs="Times New Roman"/>
          <w:sz w:val="24"/>
          <w:szCs w:val="24"/>
        </w:rPr>
        <w:t>(8), 28–36. https://doi.org/10.1109/MC.2019.2921234</w:t>
      </w:r>
    </w:p>
    <w:p w14:paraId="3FC54B7D" w14:textId="77777777" w:rsidR="006228EB" w:rsidRPr="004A70F5" w:rsidRDefault="006228EB" w:rsidP="004A70F5">
      <w:pPr>
        <w:spacing w:after="0" w:line="240" w:lineRule="auto"/>
        <w:rPr>
          <w:rFonts w:ascii="Times New Roman" w:eastAsia="Times New Roman" w:hAnsi="Times New Roman" w:cs="Times New Roman"/>
          <w:sz w:val="24"/>
          <w:szCs w:val="24"/>
          <w:lang w:eastAsia="en-IN"/>
        </w:rPr>
      </w:pPr>
      <w:r w:rsidRPr="004A70F5">
        <w:rPr>
          <w:rFonts w:ascii="Times New Roman" w:eastAsia="Times New Roman" w:hAnsi="Times New Roman" w:cs="Times New Roman"/>
          <w:sz w:val="24"/>
          <w:szCs w:val="24"/>
          <w:lang w:eastAsia="en-IN"/>
        </w:rPr>
        <w:t xml:space="preserve">Duke, É., &amp; Montag, C. (2017). Smartphone addiction, daily interruptions and self-reported productivity. </w:t>
      </w:r>
      <w:r w:rsidRPr="004A70F5">
        <w:rPr>
          <w:rFonts w:ascii="Times New Roman" w:eastAsia="Times New Roman" w:hAnsi="Times New Roman" w:cs="Times New Roman"/>
          <w:i/>
          <w:iCs/>
          <w:sz w:val="24"/>
          <w:szCs w:val="24"/>
          <w:lang w:eastAsia="en-IN"/>
        </w:rPr>
        <w:t xml:space="preserve">Addictive </w:t>
      </w:r>
      <w:proofErr w:type="spellStart"/>
      <w:r w:rsidRPr="004A70F5">
        <w:rPr>
          <w:rFonts w:ascii="Times New Roman" w:eastAsia="Times New Roman" w:hAnsi="Times New Roman" w:cs="Times New Roman"/>
          <w:i/>
          <w:iCs/>
          <w:sz w:val="24"/>
          <w:szCs w:val="24"/>
          <w:lang w:eastAsia="en-IN"/>
        </w:rPr>
        <w:t>Behaviors</w:t>
      </w:r>
      <w:proofErr w:type="spellEnd"/>
      <w:r w:rsidRPr="004A70F5">
        <w:rPr>
          <w:rFonts w:ascii="Times New Roman" w:eastAsia="Times New Roman" w:hAnsi="Times New Roman" w:cs="Times New Roman"/>
          <w:i/>
          <w:iCs/>
          <w:sz w:val="24"/>
          <w:szCs w:val="24"/>
          <w:lang w:eastAsia="en-IN"/>
        </w:rPr>
        <w:t xml:space="preserve"> Reports</w:t>
      </w:r>
      <w:r w:rsidRPr="004A70F5">
        <w:rPr>
          <w:rFonts w:ascii="Times New Roman" w:eastAsia="Times New Roman" w:hAnsi="Times New Roman" w:cs="Times New Roman"/>
          <w:sz w:val="24"/>
          <w:szCs w:val="24"/>
          <w:lang w:eastAsia="en-IN"/>
        </w:rPr>
        <w:t xml:space="preserve">, 6, 90–95. </w:t>
      </w:r>
    </w:p>
    <w:p w14:paraId="452D46D3"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5478D27B" w14:textId="4C53C805" w:rsidR="006228EB" w:rsidRPr="00333B52" w:rsidRDefault="006228EB" w:rsidP="00333B52">
      <w:pPr>
        <w:spacing w:after="0" w:line="240" w:lineRule="auto"/>
        <w:rPr>
          <w:rFonts w:ascii="Times New Roman" w:eastAsia="Times New Roman" w:hAnsi="Times New Roman" w:cs="Times New Roman"/>
          <w:sz w:val="24"/>
          <w:szCs w:val="24"/>
          <w:lang w:eastAsia="en-IN"/>
        </w:rPr>
      </w:pPr>
      <w:proofErr w:type="spellStart"/>
      <w:r w:rsidRPr="00333B52">
        <w:rPr>
          <w:rFonts w:ascii="Times New Roman" w:eastAsia="Times New Roman" w:hAnsi="Times New Roman" w:cs="Times New Roman"/>
          <w:sz w:val="24"/>
          <w:szCs w:val="24"/>
          <w:lang w:eastAsia="en-IN"/>
        </w:rPr>
        <w:t>Exelmans</w:t>
      </w:r>
      <w:proofErr w:type="spellEnd"/>
      <w:r w:rsidRPr="00333B52">
        <w:rPr>
          <w:rFonts w:ascii="Times New Roman" w:eastAsia="Times New Roman" w:hAnsi="Times New Roman" w:cs="Times New Roman"/>
          <w:sz w:val="24"/>
          <w:szCs w:val="24"/>
          <w:lang w:eastAsia="en-IN"/>
        </w:rPr>
        <w:t xml:space="preserve">, L., &amp; Van den Bulck, J. (2016). Bedtime mobile phone use and sleep in adults. </w:t>
      </w:r>
      <w:r w:rsidRPr="00333B52">
        <w:rPr>
          <w:rFonts w:ascii="Times New Roman" w:eastAsia="Times New Roman" w:hAnsi="Times New Roman" w:cs="Times New Roman"/>
          <w:i/>
          <w:iCs/>
          <w:sz w:val="24"/>
          <w:szCs w:val="24"/>
          <w:lang w:eastAsia="en-IN"/>
        </w:rPr>
        <w:t>Social Science &amp; Medicine</w:t>
      </w:r>
      <w:r w:rsidRPr="00333B52">
        <w:rPr>
          <w:rFonts w:ascii="Times New Roman" w:eastAsia="Times New Roman" w:hAnsi="Times New Roman" w:cs="Times New Roman"/>
          <w:sz w:val="24"/>
          <w:szCs w:val="24"/>
          <w:lang w:eastAsia="en-IN"/>
        </w:rPr>
        <w:t xml:space="preserve">, 148, 93–101. </w:t>
      </w:r>
    </w:p>
    <w:p w14:paraId="3A2FA9D3" w14:textId="77777777" w:rsidR="006228EB" w:rsidRDefault="006228EB" w:rsidP="00673528">
      <w:pPr>
        <w:spacing w:before="280" w:after="2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Floridi</w:t>
      </w:r>
      <w:proofErr w:type="spellEnd"/>
      <w:r>
        <w:rPr>
          <w:rFonts w:ascii="Times New Roman" w:eastAsia="Times New Roman" w:hAnsi="Times New Roman" w:cs="Times New Roman"/>
          <w:sz w:val="24"/>
          <w:szCs w:val="24"/>
        </w:rPr>
        <w:t xml:space="preserve">, L. (2014). </w:t>
      </w:r>
      <w:r>
        <w:rPr>
          <w:rFonts w:ascii="Times New Roman" w:eastAsia="Times New Roman" w:hAnsi="Times New Roman" w:cs="Times New Roman"/>
          <w:i/>
          <w:sz w:val="24"/>
          <w:szCs w:val="24"/>
        </w:rPr>
        <w:t>The ethics of information</w:t>
      </w:r>
      <w:r>
        <w:rPr>
          <w:rFonts w:ascii="Times New Roman" w:eastAsia="Times New Roman" w:hAnsi="Times New Roman" w:cs="Times New Roman"/>
          <w:sz w:val="24"/>
          <w:szCs w:val="24"/>
        </w:rPr>
        <w:t>. Oxford University Press.</w:t>
      </w:r>
    </w:p>
    <w:p w14:paraId="5192E821" w14:textId="77777777" w:rsidR="006228EB" w:rsidRDefault="006228EB" w:rsidP="00333B52">
      <w:pPr>
        <w:spacing w:before="280" w:after="280"/>
        <w:jc w:val="both"/>
        <w:rPr>
          <w:rFonts w:ascii="Times New Roman" w:eastAsia="Times New Roman" w:hAnsi="Times New Roman" w:cs="Times New Roman"/>
          <w:sz w:val="24"/>
          <w:szCs w:val="24"/>
        </w:rPr>
      </w:pPr>
      <w:proofErr w:type="spellStart"/>
      <w:r w:rsidRPr="00333B52">
        <w:rPr>
          <w:rFonts w:ascii="Times New Roman" w:eastAsia="Times New Roman" w:hAnsi="Times New Roman" w:cs="Times New Roman"/>
          <w:sz w:val="24"/>
          <w:szCs w:val="24"/>
          <w:lang w:eastAsia="en-IN"/>
        </w:rPr>
        <w:t>Floridi</w:t>
      </w:r>
      <w:proofErr w:type="spellEnd"/>
      <w:r w:rsidRPr="00333B52">
        <w:rPr>
          <w:rFonts w:ascii="Times New Roman" w:eastAsia="Times New Roman" w:hAnsi="Times New Roman" w:cs="Times New Roman"/>
          <w:sz w:val="24"/>
          <w:szCs w:val="24"/>
          <w:lang w:eastAsia="en-IN"/>
        </w:rPr>
        <w:t xml:space="preserve">, L., Cowls, J., </w:t>
      </w:r>
      <w:proofErr w:type="spellStart"/>
      <w:r w:rsidRPr="00333B52">
        <w:rPr>
          <w:rFonts w:ascii="Times New Roman" w:eastAsia="Times New Roman" w:hAnsi="Times New Roman" w:cs="Times New Roman"/>
          <w:sz w:val="24"/>
          <w:szCs w:val="24"/>
          <w:lang w:eastAsia="en-IN"/>
        </w:rPr>
        <w:t>Beltrametti</w:t>
      </w:r>
      <w:proofErr w:type="spellEnd"/>
      <w:r w:rsidRPr="00333B52">
        <w:rPr>
          <w:rFonts w:ascii="Times New Roman" w:eastAsia="Times New Roman" w:hAnsi="Times New Roman" w:cs="Times New Roman"/>
          <w:sz w:val="24"/>
          <w:szCs w:val="24"/>
          <w:lang w:eastAsia="en-IN"/>
        </w:rPr>
        <w:t xml:space="preserve">, M., Chatila, R., </w:t>
      </w:r>
      <w:proofErr w:type="spellStart"/>
      <w:r w:rsidRPr="00333B52">
        <w:rPr>
          <w:rFonts w:ascii="Times New Roman" w:eastAsia="Times New Roman" w:hAnsi="Times New Roman" w:cs="Times New Roman"/>
          <w:sz w:val="24"/>
          <w:szCs w:val="24"/>
          <w:lang w:eastAsia="en-IN"/>
        </w:rPr>
        <w:t>Chazerand</w:t>
      </w:r>
      <w:proofErr w:type="spellEnd"/>
      <w:r w:rsidRPr="00333B52">
        <w:rPr>
          <w:rFonts w:ascii="Times New Roman" w:eastAsia="Times New Roman" w:hAnsi="Times New Roman" w:cs="Times New Roman"/>
          <w:sz w:val="24"/>
          <w:szCs w:val="24"/>
          <w:lang w:eastAsia="en-IN"/>
        </w:rPr>
        <w:t xml:space="preserve">, P., Dignum, V., … &amp; </w:t>
      </w:r>
      <w:proofErr w:type="spellStart"/>
      <w:r w:rsidRPr="00333B52">
        <w:rPr>
          <w:rFonts w:ascii="Times New Roman" w:eastAsia="Times New Roman" w:hAnsi="Times New Roman" w:cs="Times New Roman"/>
          <w:sz w:val="24"/>
          <w:szCs w:val="24"/>
          <w:lang w:eastAsia="en-IN"/>
        </w:rPr>
        <w:t>Vayena</w:t>
      </w:r>
      <w:proofErr w:type="spellEnd"/>
      <w:r w:rsidRPr="00333B52">
        <w:rPr>
          <w:rFonts w:ascii="Times New Roman" w:eastAsia="Times New Roman" w:hAnsi="Times New Roman" w:cs="Times New Roman"/>
          <w:sz w:val="24"/>
          <w:szCs w:val="24"/>
          <w:lang w:eastAsia="en-IN"/>
        </w:rPr>
        <w:t xml:space="preserve">, E. (2018). AI4People—An ethical framework for a good AI society: Opportunities, risks, principles, and recommendations. </w:t>
      </w:r>
      <w:r w:rsidRPr="00333B52">
        <w:rPr>
          <w:rFonts w:ascii="Times New Roman" w:eastAsia="Times New Roman" w:hAnsi="Times New Roman" w:cs="Times New Roman"/>
          <w:i/>
          <w:iCs/>
          <w:sz w:val="24"/>
          <w:szCs w:val="24"/>
          <w:lang w:eastAsia="en-IN"/>
        </w:rPr>
        <w:t>Minds and Machines</w:t>
      </w:r>
      <w:r w:rsidRPr="00333B52">
        <w:rPr>
          <w:rFonts w:ascii="Times New Roman" w:eastAsia="Times New Roman" w:hAnsi="Times New Roman" w:cs="Times New Roman"/>
          <w:sz w:val="24"/>
          <w:szCs w:val="24"/>
          <w:lang w:eastAsia="en-IN"/>
        </w:rPr>
        <w:t>, 28(4), 689–707.</w:t>
      </w:r>
    </w:p>
    <w:p w14:paraId="0BE02A16"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Forti, V., Baldé, C. P., </w:t>
      </w:r>
      <w:proofErr w:type="spellStart"/>
      <w:r>
        <w:rPr>
          <w:rFonts w:ascii="Times New Roman" w:eastAsia="Times New Roman" w:hAnsi="Times New Roman" w:cs="Times New Roman"/>
          <w:sz w:val="24"/>
          <w:szCs w:val="24"/>
        </w:rPr>
        <w:t>Kuehr</w:t>
      </w:r>
      <w:proofErr w:type="spellEnd"/>
      <w:r>
        <w:rPr>
          <w:rFonts w:ascii="Times New Roman" w:eastAsia="Times New Roman" w:hAnsi="Times New Roman" w:cs="Times New Roman"/>
          <w:sz w:val="24"/>
          <w:szCs w:val="24"/>
        </w:rPr>
        <w:t xml:space="preserve">, R., &amp; Bel, G. (2020). </w:t>
      </w:r>
      <w:r>
        <w:rPr>
          <w:rFonts w:ascii="Times New Roman" w:eastAsia="Times New Roman" w:hAnsi="Times New Roman" w:cs="Times New Roman"/>
          <w:i/>
          <w:sz w:val="24"/>
          <w:szCs w:val="24"/>
        </w:rPr>
        <w:t>The global e-waste monitor 2020: Quantities, flows and the circular economy potential</w:t>
      </w:r>
      <w:r>
        <w:rPr>
          <w:rFonts w:ascii="Times New Roman" w:eastAsia="Times New Roman" w:hAnsi="Times New Roman" w:cs="Times New Roman"/>
          <w:sz w:val="24"/>
          <w:szCs w:val="24"/>
        </w:rPr>
        <w:t>. United Nations University.</w:t>
      </w:r>
    </w:p>
    <w:p w14:paraId="31BB374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Frick, N. R., Matthes, J., &amp; Birkner, T. (2021). Digital detox: An analysis of digital abstinence in the context of environmental sustainability. </w:t>
      </w:r>
      <w:r>
        <w:rPr>
          <w:rFonts w:ascii="Times New Roman" w:eastAsia="Times New Roman" w:hAnsi="Times New Roman" w:cs="Times New Roman"/>
          <w:i/>
          <w:sz w:val="24"/>
          <w:szCs w:val="24"/>
        </w:rPr>
        <w:t>Sustainability, 13</w:t>
      </w:r>
      <w:r>
        <w:rPr>
          <w:rFonts w:ascii="Times New Roman" w:eastAsia="Times New Roman" w:hAnsi="Times New Roman" w:cs="Times New Roman"/>
          <w:sz w:val="24"/>
          <w:szCs w:val="24"/>
        </w:rPr>
        <w:t>(5), 2780. https://doi.org/10.3390/su13052780</w:t>
      </w:r>
    </w:p>
    <w:p w14:paraId="76447BDA"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Gergen, K. J. (2009). </w:t>
      </w:r>
      <w:r>
        <w:rPr>
          <w:rFonts w:ascii="Times New Roman" w:eastAsia="Times New Roman" w:hAnsi="Times New Roman" w:cs="Times New Roman"/>
          <w:i/>
          <w:sz w:val="24"/>
          <w:szCs w:val="24"/>
        </w:rPr>
        <w:t>Relational being: Beyond self and community</w:t>
      </w:r>
      <w:r>
        <w:rPr>
          <w:rFonts w:ascii="Times New Roman" w:eastAsia="Times New Roman" w:hAnsi="Times New Roman" w:cs="Times New Roman"/>
          <w:sz w:val="24"/>
          <w:szCs w:val="24"/>
        </w:rPr>
        <w:t>. Oxford University Press.</w:t>
      </w:r>
    </w:p>
    <w:p w14:paraId="3C504AF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R., León, A., &amp; Ordóñez, C. (2020). Digital mindfulness: Reducing stress and improving well-being through intentional technology use.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Reports, 2</w:t>
      </w:r>
      <w:r>
        <w:rPr>
          <w:rFonts w:ascii="Times New Roman" w:eastAsia="Times New Roman" w:hAnsi="Times New Roman" w:cs="Times New Roman"/>
          <w:sz w:val="24"/>
          <w:szCs w:val="24"/>
        </w:rPr>
        <w:t>, 100024. https://doi.org/10.1016/j.chbr.2020.100024</w:t>
      </w:r>
    </w:p>
    <w:p w14:paraId="6F58A77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Greenhalgh, T., </w:t>
      </w:r>
      <w:proofErr w:type="spellStart"/>
      <w:r>
        <w:rPr>
          <w:rFonts w:ascii="Times New Roman" w:eastAsia="Times New Roman" w:hAnsi="Times New Roman" w:cs="Times New Roman"/>
          <w:sz w:val="24"/>
          <w:szCs w:val="24"/>
        </w:rPr>
        <w:t>Wherton</w:t>
      </w:r>
      <w:proofErr w:type="spellEnd"/>
      <w:r>
        <w:rPr>
          <w:rFonts w:ascii="Times New Roman" w:eastAsia="Times New Roman" w:hAnsi="Times New Roman" w:cs="Times New Roman"/>
          <w:sz w:val="24"/>
          <w:szCs w:val="24"/>
        </w:rPr>
        <w:t xml:space="preserve">, J., Papoutsi, C., Lynch, J., &amp; Hughes, G. (2017). Beyond adoption: A new framework for theorizing and evaluating </w:t>
      </w:r>
      <w:proofErr w:type="spellStart"/>
      <w:r>
        <w:rPr>
          <w:rFonts w:ascii="Times New Roman" w:eastAsia="Times New Roman" w:hAnsi="Times New Roman" w:cs="Times New Roman"/>
          <w:sz w:val="24"/>
          <w:szCs w:val="24"/>
        </w:rPr>
        <w:t>nonadoption</w:t>
      </w:r>
      <w:proofErr w:type="spellEnd"/>
      <w:r>
        <w:rPr>
          <w:rFonts w:ascii="Times New Roman" w:eastAsia="Times New Roman" w:hAnsi="Times New Roman" w:cs="Times New Roman"/>
          <w:sz w:val="24"/>
          <w:szCs w:val="24"/>
        </w:rPr>
        <w:t xml:space="preserve">, abandonment, and challenges to the scale-up, spread, and sustainability of health and care technologies. </w:t>
      </w:r>
      <w:r>
        <w:rPr>
          <w:rFonts w:ascii="Times New Roman" w:eastAsia="Times New Roman" w:hAnsi="Times New Roman" w:cs="Times New Roman"/>
          <w:i/>
          <w:sz w:val="24"/>
          <w:szCs w:val="24"/>
        </w:rPr>
        <w:t>Journal of Medical Internet Research, 19</w:t>
      </w:r>
      <w:r>
        <w:rPr>
          <w:rFonts w:ascii="Times New Roman" w:eastAsia="Times New Roman" w:hAnsi="Times New Roman" w:cs="Times New Roman"/>
          <w:sz w:val="24"/>
          <w:szCs w:val="24"/>
        </w:rPr>
        <w:t>(11), e367. https://doi.org/10.2196/jmir.8775</w:t>
      </w:r>
    </w:p>
    <w:p w14:paraId="371C7F5B"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Harwood, J., Dooley, J. J., Scott, A. J., &amp; Joiner, R. (2014). Constantly connected – The effects of smart-devices on mental health.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34</w:t>
      </w:r>
      <w:r>
        <w:rPr>
          <w:rFonts w:ascii="Times New Roman" w:eastAsia="Times New Roman" w:hAnsi="Times New Roman" w:cs="Times New Roman"/>
          <w:sz w:val="24"/>
          <w:szCs w:val="24"/>
        </w:rPr>
        <w:t>, 267–272. https://doi.org/10.1016/j.chb.2014.02.006</w:t>
      </w:r>
    </w:p>
    <w:p w14:paraId="5B4E8FB6"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Hayama, Y., &amp; Desai, H. (2025). Digital Wellbeing. In </w:t>
      </w:r>
      <w:r>
        <w:rPr>
          <w:rFonts w:ascii="Times New Roman" w:eastAsia="Times New Roman" w:hAnsi="Times New Roman" w:cs="Times New Roman"/>
          <w:i/>
          <w:color w:val="000000"/>
          <w:sz w:val="24"/>
          <w:szCs w:val="24"/>
          <w:highlight w:val="white"/>
        </w:rPr>
        <w:t>Digital Futures in Human-Computer Interaction</w:t>
      </w:r>
      <w:r>
        <w:rPr>
          <w:rFonts w:ascii="Times New Roman" w:eastAsia="Times New Roman" w:hAnsi="Times New Roman" w:cs="Times New Roman"/>
          <w:color w:val="000000"/>
          <w:sz w:val="24"/>
          <w:szCs w:val="24"/>
          <w:highlight w:val="white"/>
        </w:rPr>
        <w:t xml:space="preserve"> (pp. 224-242). CRC Press.</w:t>
      </w:r>
    </w:p>
    <w:p w14:paraId="6FEC2829"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Hertlein, K. M., Blumer, M. L., &amp; Smith, J. M. (2021). Digital wellness: A framework for digital media use in couples and families. </w:t>
      </w:r>
      <w:r>
        <w:rPr>
          <w:rFonts w:ascii="Times New Roman" w:eastAsia="Times New Roman" w:hAnsi="Times New Roman" w:cs="Times New Roman"/>
          <w:i/>
          <w:sz w:val="24"/>
          <w:szCs w:val="24"/>
        </w:rPr>
        <w:t>Journal of Family Theory &amp; Review, 13</w:t>
      </w:r>
      <w:r>
        <w:rPr>
          <w:rFonts w:ascii="Times New Roman" w:eastAsia="Times New Roman" w:hAnsi="Times New Roman" w:cs="Times New Roman"/>
          <w:sz w:val="24"/>
          <w:szCs w:val="24"/>
        </w:rPr>
        <w:t>(4), 442–457. https://doi.org/10.1111/jftr.12427</w:t>
      </w:r>
    </w:p>
    <w:p w14:paraId="51CD8E13"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N. (2018). How to stop data centres from gobbling up the world’s electricity. </w:t>
      </w:r>
      <w:r>
        <w:rPr>
          <w:rFonts w:ascii="Times New Roman" w:eastAsia="Times New Roman" w:hAnsi="Times New Roman" w:cs="Times New Roman"/>
          <w:i/>
          <w:sz w:val="24"/>
          <w:szCs w:val="24"/>
        </w:rPr>
        <w:t>Nature, 561</w:t>
      </w:r>
      <w:r>
        <w:rPr>
          <w:rFonts w:ascii="Times New Roman" w:eastAsia="Times New Roman" w:hAnsi="Times New Roman" w:cs="Times New Roman"/>
          <w:sz w:val="24"/>
          <w:szCs w:val="24"/>
        </w:rPr>
        <w:t>(7722), 163–166. https://doi.org/10.1038/d41586-018-06610-y</w:t>
      </w:r>
    </w:p>
    <w:p w14:paraId="0D28AC3D"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highlight w:val="white"/>
        </w:rPr>
      </w:pPr>
    </w:p>
    <w:p w14:paraId="0EE4DB09" w14:textId="7502F2C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Jr </w:t>
      </w:r>
      <w:proofErr w:type="spellStart"/>
      <w:r>
        <w:rPr>
          <w:rFonts w:ascii="Times New Roman" w:eastAsia="Times New Roman" w:hAnsi="Times New Roman" w:cs="Times New Roman"/>
          <w:color w:val="000000"/>
          <w:sz w:val="24"/>
          <w:szCs w:val="24"/>
          <w:highlight w:val="white"/>
        </w:rPr>
        <w:t>Rogayan</w:t>
      </w:r>
      <w:proofErr w:type="spellEnd"/>
      <w:r>
        <w:rPr>
          <w:rFonts w:ascii="Times New Roman" w:eastAsia="Times New Roman" w:hAnsi="Times New Roman" w:cs="Times New Roman"/>
          <w:color w:val="000000"/>
          <w:sz w:val="24"/>
          <w:szCs w:val="24"/>
          <w:highlight w:val="white"/>
        </w:rPr>
        <w:t xml:space="preserve">, D. V., &amp; </w:t>
      </w:r>
      <w:proofErr w:type="spellStart"/>
      <w:r>
        <w:rPr>
          <w:rFonts w:ascii="Times New Roman" w:eastAsia="Times New Roman" w:hAnsi="Times New Roman" w:cs="Times New Roman"/>
          <w:color w:val="000000"/>
          <w:sz w:val="24"/>
          <w:szCs w:val="24"/>
          <w:highlight w:val="white"/>
        </w:rPr>
        <w:t>Dollete</w:t>
      </w:r>
      <w:proofErr w:type="spellEnd"/>
      <w:r>
        <w:rPr>
          <w:rFonts w:ascii="Times New Roman" w:eastAsia="Times New Roman" w:hAnsi="Times New Roman" w:cs="Times New Roman"/>
          <w:color w:val="000000"/>
          <w:sz w:val="24"/>
          <w:szCs w:val="24"/>
          <w:highlight w:val="white"/>
        </w:rPr>
        <w:t xml:space="preserve">, L. F. (2025). Gearing up for the era of digital wellness: challenges and opportunities. </w:t>
      </w:r>
      <w:r>
        <w:rPr>
          <w:rFonts w:ascii="Times New Roman" w:eastAsia="Times New Roman" w:hAnsi="Times New Roman" w:cs="Times New Roman"/>
          <w:i/>
          <w:color w:val="000000"/>
          <w:sz w:val="24"/>
          <w:szCs w:val="24"/>
          <w:highlight w:val="white"/>
        </w:rPr>
        <w:t>Journal of Public Health</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47</w:t>
      </w:r>
      <w:r>
        <w:rPr>
          <w:rFonts w:ascii="Times New Roman" w:eastAsia="Times New Roman" w:hAnsi="Times New Roman" w:cs="Times New Roman"/>
          <w:color w:val="000000"/>
          <w:sz w:val="24"/>
          <w:szCs w:val="24"/>
          <w:highlight w:val="white"/>
        </w:rPr>
        <w:t>(1), e140-e141.</w:t>
      </w:r>
    </w:p>
    <w:p w14:paraId="62114D0E"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7CB3B48B" w14:textId="6C646205"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Kickbusch, I., Piselli, D., Agrawal, A., </w:t>
      </w:r>
      <w:proofErr w:type="spellStart"/>
      <w:r w:rsidRPr="00333B52">
        <w:rPr>
          <w:rFonts w:ascii="Times New Roman" w:eastAsia="Times New Roman" w:hAnsi="Times New Roman" w:cs="Times New Roman"/>
          <w:sz w:val="24"/>
          <w:szCs w:val="24"/>
          <w:lang w:eastAsia="en-IN"/>
        </w:rPr>
        <w:t>Balicer</w:t>
      </w:r>
      <w:proofErr w:type="spellEnd"/>
      <w:r w:rsidRPr="00333B52">
        <w:rPr>
          <w:rFonts w:ascii="Times New Roman" w:eastAsia="Times New Roman" w:hAnsi="Times New Roman" w:cs="Times New Roman"/>
          <w:sz w:val="24"/>
          <w:szCs w:val="24"/>
          <w:lang w:eastAsia="en-IN"/>
        </w:rPr>
        <w:t xml:space="preserve">, R., Banner, O., Adelhardt, M., &amp; Capobianco, E. (2021). The Lancet and Financial Times Commission on governing health futures 2030: Growing up in a digital world. </w:t>
      </w:r>
      <w:r w:rsidRPr="00333B52">
        <w:rPr>
          <w:rFonts w:ascii="Times New Roman" w:eastAsia="Times New Roman" w:hAnsi="Times New Roman" w:cs="Times New Roman"/>
          <w:i/>
          <w:iCs/>
          <w:sz w:val="24"/>
          <w:szCs w:val="24"/>
          <w:lang w:eastAsia="en-IN"/>
        </w:rPr>
        <w:t>The Lancet</w:t>
      </w:r>
      <w:r w:rsidRPr="00333B52">
        <w:rPr>
          <w:rFonts w:ascii="Times New Roman" w:eastAsia="Times New Roman" w:hAnsi="Times New Roman" w:cs="Times New Roman"/>
          <w:sz w:val="24"/>
          <w:szCs w:val="24"/>
          <w:lang w:eastAsia="en-IN"/>
        </w:rPr>
        <w:t xml:space="preserve">, 398(10312), 1727–1776. </w:t>
      </w:r>
    </w:p>
    <w:p w14:paraId="1522354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Kushlev, K., &amp; Leitao, M. R. (2020). The effects of smartphones on well-being: Theoretical integration and research agenda. </w:t>
      </w:r>
      <w:r>
        <w:rPr>
          <w:rFonts w:ascii="Times New Roman" w:eastAsia="Times New Roman" w:hAnsi="Times New Roman" w:cs="Times New Roman"/>
          <w:i/>
          <w:sz w:val="24"/>
          <w:szCs w:val="24"/>
        </w:rPr>
        <w:t>Current Opinion in Psychology, 36</w:t>
      </w:r>
      <w:r>
        <w:rPr>
          <w:rFonts w:ascii="Times New Roman" w:eastAsia="Times New Roman" w:hAnsi="Times New Roman" w:cs="Times New Roman"/>
          <w:sz w:val="24"/>
          <w:szCs w:val="24"/>
        </w:rPr>
        <w:t>, 72–77. https://doi.org/10.1016/j.copsyc.2020.04.001</w:t>
      </w:r>
    </w:p>
    <w:p w14:paraId="5C61C2B9"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Kushlev, K., Dwyer, R., &amp; Dunn, E. W. (2016). The social price of constant connectivity: Smartphones impose subtle costs on well-being. </w:t>
      </w:r>
      <w:r>
        <w:rPr>
          <w:rFonts w:ascii="Times New Roman" w:eastAsia="Times New Roman" w:hAnsi="Times New Roman" w:cs="Times New Roman"/>
          <w:i/>
          <w:sz w:val="24"/>
          <w:szCs w:val="24"/>
        </w:rPr>
        <w:t>Current Directions in Psychological Science, 25</w:t>
      </w:r>
      <w:r>
        <w:rPr>
          <w:rFonts w:ascii="Times New Roman" w:eastAsia="Times New Roman" w:hAnsi="Times New Roman" w:cs="Times New Roman"/>
          <w:sz w:val="24"/>
          <w:szCs w:val="24"/>
        </w:rPr>
        <w:t>(6), 515–521. https://doi.org/10.1177/0963721416663193</w:t>
      </w:r>
    </w:p>
    <w:p w14:paraId="2D781152" w14:textId="7A146F8E" w:rsidR="006228EB" w:rsidRPr="004A70F5" w:rsidRDefault="006228EB" w:rsidP="004A70F5">
      <w:pPr>
        <w:spacing w:after="0" w:line="240" w:lineRule="auto"/>
        <w:rPr>
          <w:rFonts w:ascii="Times New Roman" w:eastAsia="Times New Roman" w:hAnsi="Times New Roman" w:cs="Times New Roman"/>
          <w:sz w:val="24"/>
          <w:szCs w:val="24"/>
          <w:lang w:eastAsia="en-IN"/>
        </w:rPr>
      </w:pPr>
      <w:r w:rsidRPr="004A70F5">
        <w:rPr>
          <w:rFonts w:ascii="Times New Roman" w:eastAsia="Times New Roman" w:hAnsi="Times New Roman" w:cs="Times New Roman"/>
          <w:sz w:val="24"/>
          <w:szCs w:val="24"/>
          <w:lang w:eastAsia="en-IN"/>
        </w:rPr>
        <w:t>Kushlev, K., Proulx, J., &amp; Dunn, E. W. (2016</w:t>
      </w:r>
      <w:r>
        <w:rPr>
          <w:rFonts w:ascii="Times New Roman" w:eastAsia="Times New Roman" w:hAnsi="Times New Roman" w:cs="Times New Roman"/>
          <w:sz w:val="24"/>
          <w:szCs w:val="24"/>
          <w:lang w:eastAsia="en-IN"/>
        </w:rPr>
        <w:t>a</w:t>
      </w:r>
      <w:r w:rsidRPr="004A70F5">
        <w:rPr>
          <w:rFonts w:ascii="Times New Roman" w:eastAsia="Times New Roman" w:hAnsi="Times New Roman" w:cs="Times New Roman"/>
          <w:sz w:val="24"/>
          <w:szCs w:val="24"/>
          <w:lang w:eastAsia="en-IN"/>
        </w:rPr>
        <w:t xml:space="preserve">). Silence your phones: Smartphone notifications increase inattention and hyperactivity symptoms. </w:t>
      </w:r>
      <w:r w:rsidRPr="004A70F5">
        <w:rPr>
          <w:rFonts w:ascii="Times New Roman" w:eastAsia="Times New Roman" w:hAnsi="Times New Roman" w:cs="Times New Roman"/>
          <w:i/>
          <w:iCs/>
          <w:sz w:val="24"/>
          <w:szCs w:val="24"/>
          <w:lang w:eastAsia="en-IN"/>
        </w:rPr>
        <w:t>Proceedings of the 2016 CHI Conference on Human Factors in Computing Systems</w:t>
      </w:r>
      <w:r w:rsidRPr="004A70F5">
        <w:rPr>
          <w:rFonts w:ascii="Times New Roman" w:eastAsia="Times New Roman" w:hAnsi="Times New Roman" w:cs="Times New Roman"/>
          <w:sz w:val="24"/>
          <w:szCs w:val="24"/>
          <w:lang w:eastAsia="en-IN"/>
        </w:rPr>
        <w:t xml:space="preserve">, 1011–1020. </w:t>
      </w:r>
    </w:p>
    <w:p w14:paraId="62151C74"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72BDE559"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305A3B11" w14:textId="5EF18666"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Livingstone, S., </w:t>
      </w:r>
      <w:proofErr w:type="spellStart"/>
      <w:r w:rsidRPr="00333B52">
        <w:rPr>
          <w:rFonts w:ascii="Times New Roman" w:eastAsia="Times New Roman" w:hAnsi="Times New Roman" w:cs="Times New Roman"/>
          <w:sz w:val="24"/>
          <w:szCs w:val="24"/>
          <w:lang w:eastAsia="en-IN"/>
        </w:rPr>
        <w:t>Mascheroni</w:t>
      </w:r>
      <w:proofErr w:type="spellEnd"/>
      <w:r w:rsidRPr="00333B52">
        <w:rPr>
          <w:rFonts w:ascii="Times New Roman" w:eastAsia="Times New Roman" w:hAnsi="Times New Roman" w:cs="Times New Roman"/>
          <w:sz w:val="24"/>
          <w:szCs w:val="24"/>
          <w:lang w:eastAsia="en-IN"/>
        </w:rPr>
        <w:t xml:space="preserve">, G., &amp; </w:t>
      </w:r>
      <w:proofErr w:type="spellStart"/>
      <w:r w:rsidRPr="00333B52">
        <w:rPr>
          <w:rFonts w:ascii="Times New Roman" w:eastAsia="Times New Roman" w:hAnsi="Times New Roman" w:cs="Times New Roman"/>
          <w:sz w:val="24"/>
          <w:szCs w:val="24"/>
          <w:lang w:eastAsia="en-IN"/>
        </w:rPr>
        <w:t>Staksrud</w:t>
      </w:r>
      <w:proofErr w:type="spellEnd"/>
      <w:r w:rsidRPr="00333B52">
        <w:rPr>
          <w:rFonts w:ascii="Times New Roman" w:eastAsia="Times New Roman" w:hAnsi="Times New Roman" w:cs="Times New Roman"/>
          <w:sz w:val="24"/>
          <w:szCs w:val="24"/>
          <w:lang w:eastAsia="en-IN"/>
        </w:rPr>
        <w:t xml:space="preserve">, E. (2017). European research on children’s internet use: Assessing the past and anticipating the future. </w:t>
      </w:r>
      <w:r w:rsidRPr="00333B52">
        <w:rPr>
          <w:rFonts w:ascii="Times New Roman" w:eastAsia="Times New Roman" w:hAnsi="Times New Roman" w:cs="Times New Roman"/>
          <w:i/>
          <w:iCs/>
          <w:sz w:val="24"/>
          <w:szCs w:val="24"/>
          <w:lang w:eastAsia="en-IN"/>
        </w:rPr>
        <w:t>New Media &amp; Society</w:t>
      </w:r>
      <w:r w:rsidRPr="00333B52">
        <w:rPr>
          <w:rFonts w:ascii="Times New Roman" w:eastAsia="Times New Roman" w:hAnsi="Times New Roman" w:cs="Times New Roman"/>
          <w:sz w:val="24"/>
          <w:szCs w:val="24"/>
          <w:lang w:eastAsia="en-IN"/>
        </w:rPr>
        <w:t xml:space="preserve">, 20(3), 1103–1122. </w:t>
      </w:r>
    </w:p>
    <w:p w14:paraId="1098B88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G., </w:t>
      </w:r>
      <w:proofErr w:type="spellStart"/>
      <w:r>
        <w:rPr>
          <w:rFonts w:ascii="Times New Roman" w:eastAsia="Times New Roman" w:hAnsi="Times New Roman" w:cs="Times New Roman"/>
          <w:sz w:val="24"/>
          <w:szCs w:val="24"/>
        </w:rPr>
        <w:t>Gudith</w:t>
      </w:r>
      <w:proofErr w:type="spellEnd"/>
      <w:r>
        <w:rPr>
          <w:rFonts w:ascii="Times New Roman" w:eastAsia="Times New Roman" w:hAnsi="Times New Roman" w:cs="Times New Roman"/>
          <w:sz w:val="24"/>
          <w:szCs w:val="24"/>
        </w:rPr>
        <w:t xml:space="preserve">, D., &amp; Klocke, U. (2017). The cost of interrupted work: More speed and stress. </w:t>
      </w:r>
      <w:r>
        <w:rPr>
          <w:rFonts w:ascii="Times New Roman" w:eastAsia="Times New Roman" w:hAnsi="Times New Roman" w:cs="Times New Roman"/>
          <w:i/>
          <w:sz w:val="24"/>
          <w:szCs w:val="24"/>
        </w:rPr>
        <w:t>Proceedings of the SIGCHI Conference on Human Factors in Computing Systems</w:t>
      </w:r>
      <w:r>
        <w:rPr>
          <w:rFonts w:ascii="Times New Roman" w:eastAsia="Times New Roman" w:hAnsi="Times New Roman" w:cs="Times New Roman"/>
          <w:sz w:val="24"/>
          <w:szCs w:val="24"/>
        </w:rPr>
        <w:t>, 107–110. https://doi.org/10.1145/3025453.3026021</w:t>
      </w:r>
    </w:p>
    <w:p w14:paraId="6C9977A0" w14:textId="7D088DE6" w:rsidR="006228EB" w:rsidRDefault="006228EB" w:rsidP="004A70F5">
      <w:pPr>
        <w:spacing w:after="0" w:line="240" w:lineRule="auto"/>
        <w:rPr>
          <w:rFonts w:ascii="Times New Roman" w:eastAsia="Times New Roman" w:hAnsi="Times New Roman" w:cs="Times New Roman"/>
          <w:sz w:val="24"/>
          <w:szCs w:val="24"/>
          <w:lang w:eastAsia="en-IN"/>
        </w:rPr>
      </w:pPr>
      <w:r w:rsidRPr="004A70F5">
        <w:rPr>
          <w:rFonts w:ascii="Times New Roman" w:eastAsia="Times New Roman" w:hAnsi="Times New Roman" w:cs="Times New Roman"/>
          <w:sz w:val="24"/>
          <w:szCs w:val="24"/>
          <w:lang w:eastAsia="en-IN"/>
        </w:rPr>
        <w:t xml:space="preserve">Montag, C., &amp; Walla, P. (2016). Carpe diem instead of losing your social mind: Beyond digital addiction and why we all suffer from digital overuse. </w:t>
      </w:r>
      <w:r w:rsidRPr="004A70F5">
        <w:rPr>
          <w:rFonts w:ascii="Times New Roman" w:eastAsia="Times New Roman" w:hAnsi="Times New Roman" w:cs="Times New Roman"/>
          <w:i/>
          <w:iCs/>
          <w:sz w:val="24"/>
          <w:szCs w:val="24"/>
          <w:lang w:eastAsia="en-IN"/>
        </w:rPr>
        <w:t>Cogent Psychology</w:t>
      </w:r>
      <w:r w:rsidRPr="004A70F5">
        <w:rPr>
          <w:rFonts w:ascii="Times New Roman" w:eastAsia="Times New Roman" w:hAnsi="Times New Roman" w:cs="Times New Roman"/>
          <w:sz w:val="24"/>
          <w:szCs w:val="24"/>
          <w:lang w:eastAsia="en-IN"/>
        </w:rPr>
        <w:t xml:space="preserve">, 3(1), 1157281. </w:t>
      </w:r>
    </w:p>
    <w:p w14:paraId="4C389F60" w14:textId="77777777" w:rsidR="006228EB" w:rsidRPr="004A70F5" w:rsidRDefault="006228EB" w:rsidP="004A70F5">
      <w:pPr>
        <w:spacing w:after="0" w:line="240" w:lineRule="auto"/>
        <w:rPr>
          <w:rFonts w:ascii="Times New Roman" w:eastAsia="Times New Roman" w:hAnsi="Times New Roman" w:cs="Times New Roman"/>
          <w:sz w:val="24"/>
          <w:szCs w:val="24"/>
          <w:lang w:eastAsia="en-IN"/>
        </w:rPr>
      </w:pPr>
    </w:p>
    <w:p w14:paraId="43C7786E"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p>
    <w:p w14:paraId="4C34C956"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OECD. (2021). </w:t>
      </w:r>
      <w:r w:rsidRPr="00333B52">
        <w:rPr>
          <w:rFonts w:ascii="Times New Roman" w:eastAsia="Times New Roman" w:hAnsi="Times New Roman" w:cs="Times New Roman"/>
          <w:i/>
          <w:iCs/>
          <w:sz w:val="24"/>
          <w:szCs w:val="24"/>
          <w:lang w:eastAsia="en-IN"/>
        </w:rPr>
        <w:t>21st-century readers: Developing literacy skills in a digital world</w:t>
      </w:r>
      <w:r w:rsidRPr="00333B52">
        <w:rPr>
          <w:rFonts w:ascii="Times New Roman" w:eastAsia="Times New Roman" w:hAnsi="Times New Roman" w:cs="Times New Roman"/>
          <w:sz w:val="24"/>
          <w:szCs w:val="24"/>
          <w:lang w:eastAsia="en-IN"/>
        </w:rPr>
        <w:t xml:space="preserve">. Organisation for Economic Co-operation and Development. </w:t>
      </w:r>
    </w:p>
    <w:p w14:paraId="5483CDAD"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201CBAD1" w14:textId="5663FA3D"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Ophir, E., Nass, C., &amp; Wagner, A. D. (2009). Cognitive control in media multitaskers. </w:t>
      </w:r>
      <w:r w:rsidRPr="00333B52">
        <w:rPr>
          <w:rFonts w:ascii="Times New Roman" w:eastAsia="Times New Roman" w:hAnsi="Times New Roman" w:cs="Times New Roman"/>
          <w:i/>
          <w:iCs/>
          <w:sz w:val="24"/>
          <w:szCs w:val="24"/>
          <w:lang w:eastAsia="en-IN"/>
        </w:rPr>
        <w:t>Proceedings of the National Academy of Sciences</w:t>
      </w:r>
      <w:r w:rsidRPr="00333B52">
        <w:rPr>
          <w:rFonts w:ascii="Times New Roman" w:eastAsia="Times New Roman" w:hAnsi="Times New Roman" w:cs="Times New Roman"/>
          <w:sz w:val="24"/>
          <w:szCs w:val="24"/>
          <w:lang w:eastAsia="en-IN"/>
        </w:rPr>
        <w:t xml:space="preserve">, 106(37), 15583–15587. </w:t>
      </w:r>
    </w:p>
    <w:p w14:paraId="09379DD9"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lastRenderedPageBreak/>
        <w:t>Palalas</w:t>
      </w:r>
      <w:proofErr w:type="spellEnd"/>
      <w:r>
        <w:rPr>
          <w:rFonts w:ascii="Times New Roman" w:eastAsia="Times New Roman" w:hAnsi="Times New Roman" w:cs="Times New Roman"/>
          <w:color w:val="000000"/>
          <w:sz w:val="24"/>
          <w:szCs w:val="24"/>
          <w:highlight w:val="white"/>
        </w:rPr>
        <w:t xml:space="preserve">, A., &amp; Doran, M. (2023). Digital wellness framework for online learning. </w:t>
      </w:r>
      <w:r>
        <w:rPr>
          <w:rFonts w:ascii="Times New Roman" w:eastAsia="Times New Roman" w:hAnsi="Times New Roman" w:cs="Times New Roman"/>
          <w:i/>
          <w:color w:val="000000"/>
          <w:sz w:val="24"/>
          <w:szCs w:val="24"/>
          <w:highlight w:val="white"/>
        </w:rPr>
        <w:t>Canadian Journal of Learning and Technology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49</w:t>
      </w:r>
      <w:r>
        <w:rPr>
          <w:rFonts w:ascii="Times New Roman" w:eastAsia="Times New Roman" w:hAnsi="Times New Roman" w:cs="Times New Roman"/>
          <w:color w:val="000000"/>
          <w:sz w:val="24"/>
          <w:szCs w:val="24"/>
          <w:highlight w:val="white"/>
        </w:rPr>
        <w:t>(3), 1-25.</w:t>
      </w:r>
    </w:p>
    <w:p w14:paraId="35AF50F8"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Panova, T., &amp; Carbonell, X. (2018). Is smartphone addiction really an addiction? </w:t>
      </w:r>
      <w:r>
        <w:rPr>
          <w:rFonts w:ascii="Times New Roman" w:eastAsia="Times New Roman" w:hAnsi="Times New Roman" w:cs="Times New Roman"/>
          <w:i/>
          <w:sz w:val="24"/>
          <w:szCs w:val="24"/>
        </w:rPr>
        <w:t xml:space="preserve">Journal of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Addictions, 7</w:t>
      </w:r>
      <w:r>
        <w:rPr>
          <w:rFonts w:ascii="Times New Roman" w:eastAsia="Times New Roman" w:hAnsi="Times New Roman" w:cs="Times New Roman"/>
          <w:sz w:val="24"/>
          <w:szCs w:val="24"/>
        </w:rPr>
        <w:t>(2), 252–259. https://doi.org/10.1556/2006.7.2018.49</w:t>
      </w:r>
    </w:p>
    <w:p w14:paraId="21C20A58"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Péréa</w:t>
      </w:r>
      <w:proofErr w:type="spellEnd"/>
      <w:r>
        <w:rPr>
          <w:rFonts w:ascii="Times New Roman" w:eastAsia="Times New Roman" w:hAnsi="Times New Roman" w:cs="Times New Roman"/>
          <w:color w:val="000000"/>
          <w:sz w:val="24"/>
          <w:szCs w:val="24"/>
          <w:highlight w:val="white"/>
        </w:rPr>
        <w:t xml:space="preserve">, C., Gérard, J., &amp; de </w:t>
      </w:r>
      <w:proofErr w:type="spellStart"/>
      <w:r>
        <w:rPr>
          <w:rFonts w:ascii="Times New Roman" w:eastAsia="Times New Roman" w:hAnsi="Times New Roman" w:cs="Times New Roman"/>
          <w:color w:val="000000"/>
          <w:sz w:val="24"/>
          <w:szCs w:val="24"/>
          <w:highlight w:val="white"/>
        </w:rPr>
        <w:t>Benedittis</w:t>
      </w:r>
      <w:proofErr w:type="spellEnd"/>
      <w:r>
        <w:rPr>
          <w:rFonts w:ascii="Times New Roman" w:eastAsia="Times New Roman" w:hAnsi="Times New Roman" w:cs="Times New Roman"/>
          <w:color w:val="000000"/>
          <w:sz w:val="24"/>
          <w:szCs w:val="24"/>
          <w:highlight w:val="white"/>
        </w:rPr>
        <w:t>, J. (2023). Digital sobriety: From awareness of the negative impacts of IT usages to degrowth technology at work. </w:t>
      </w:r>
      <w:r>
        <w:rPr>
          <w:rFonts w:ascii="Times New Roman" w:eastAsia="Times New Roman" w:hAnsi="Times New Roman" w:cs="Times New Roman"/>
          <w:i/>
          <w:color w:val="000000"/>
          <w:sz w:val="24"/>
          <w:szCs w:val="24"/>
          <w:highlight w:val="white"/>
        </w:rPr>
        <w:t>Technological Forecasting and Social Change</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194</w:t>
      </w:r>
      <w:r>
        <w:rPr>
          <w:rFonts w:ascii="Times New Roman" w:eastAsia="Times New Roman" w:hAnsi="Times New Roman" w:cs="Times New Roman"/>
          <w:color w:val="000000"/>
          <w:sz w:val="24"/>
          <w:szCs w:val="24"/>
          <w:highlight w:val="white"/>
        </w:rPr>
        <w:t>, 122670.</w:t>
      </w:r>
    </w:p>
    <w:p w14:paraId="2C139A0D"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Przybylski, A. K., &amp; Weinstein, N. (2017). Digital screen time limits and young children's psychological well-being: Evidence from a population-based study. </w:t>
      </w:r>
      <w:r>
        <w:rPr>
          <w:rFonts w:ascii="Times New Roman" w:eastAsia="Times New Roman" w:hAnsi="Times New Roman" w:cs="Times New Roman"/>
          <w:i/>
          <w:sz w:val="24"/>
          <w:szCs w:val="24"/>
        </w:rPr>
        <w:t>Child Development, 90</w:t>
      </w:r>
      <w:r>
        <w:rPr>
          <w:rFonts w:ascii="Times New Roman" w:eastAsia="Times New Roman" w:hAnsi="Times New Roman" w:cs="Times New Roman"/>
          <w:sz w:val="24"/>
          <w:szCs w:val="24"/>
        </w:rPr>
        <w:t>(1), e56–e65. https://doi.org/10.1111/cdev.13007</w:t>
      </w:r>
    </w:p>
    <w:p w14:paraId="0709B486"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Ribble, M. (2015). </w:t>
      </w:r>
      <w:r>
        <w:rPr>
          <w:rFonts w:ascii="Times New Roman" w:eastAsia="Times New Roman" w:hAnsi="Times New Roman" w:cs="Times New Roman"/>
          <w:i/>
          <w:sz w:val="24"/>
          <w:szCs w:val="24"/>
        </w:rPr>
        <w:t>Digital citizenship in schools: Nine elements all students should know</w:t>
      </w:r>
      <w:r>
        <w:rPr>
          <w:rFonts w:ascii="Times New Roman" w:eastAsia="Times New Roman" w:hAnsi="Times New Roman" w:cs="Times New Roman"/>
          <w:sz w:val="24"/>
          <w:szCs w:val="24"/>
        </w:rPr>
        <w:t xml:space="preserve"> (3rd ed.). International Society for Technology in Education.</w:t>
      </w:r>
    </w:p>
    <w:p w14:paraId="1A5F3D5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 L. D., Carrier, L. M., &amp; Cheever, N. A. (2016). The association of technology-related anxiety and stress with sleep, academic performance, and self-regulation. </w:t>
      </w:r>
      <w:r>
        <w:rPr>
          <w:rFonts w:ascii="Times New Roman" w:eastAsia="Times New Roman" w:hAnsi="Times New Roman" w:cs="Times New Roman"/>
          <w:i/>
          <w:sz w:val="24"/>
          <w:szCs w:val="24"/>
        </w:rPr>
        <w:t>Stress and Health, 32</w:t>
      </w:r>
      <w:r>
        <w:rPr>
          <w:rFonts w:ascii="Times New Roman" w:eastAsia="Times New Roman" w:hAnsi="Times New Roman" w:cs="Times New Roman"/>
          <w:sz w:val="24"/>
          <w:szCs w:val="24"/>
        </w:rPr>
        <w:t>(5), 533–541. https://doi.org/10.1002/smi.2631</w:t>
      </w:r>
    </w:p>
    <w:p w14:paraId="52C00E96"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Rosen, L. D., Lim, A. F., Felt, J., Carrier, L. M., Cheever, N. A., Lara-Ruiz, J. M., Mendoza, J. S., &amp; </w:t>
      </w:r>
      <w:proofErr w:type="spellStart"/>
      <w:r w:rsidRPr="00333B52">
        <w:rPr>
          <w:rFonts w:ascii="Times New Roman" w:eastAsia="Times New Roman" w:hAnsi="Times New Roman" w:cs="Times New Roman"/>
          <w:sz w:val="24"/>
          <w:szCs w:val="24"/>
          <w:lang w:eastAsia="en-IN"/>
        </w:rPr>
        <w:t>Rokkum</w:t>
      </w:r>
      <w:proofErr w:type="spellEnd"/>
      <w:r w:rsidRPr="00333B52">
        <w:rPr>
          <w:rFonts w:ascii="Times New Roman" w:eastAsia="Times New Roman" w:hAnsi="Times New Roman" w:cs="Times New Roman"/>
          <w:sz w:val="24"/>
          <w:szCs w:val="24"/>
          <w:lang w:eastAsia="en-IN"/>
        </w:rPr>
        <w:t xml:space="preserve">, J. (2013). Media and technology use predicts ill-being among children, </w:t>
      </w:r>
      <w:proofErr w:type="gramStart"/>
      <w:r w:rsidRPr="00333B52">
        <w:rPr>
          <w:rFonts w:ascii="Times New Roman" w:eastAsia="Times New Roman" w:hAnsi="Times New Roman" w:cs="Times New Roman"/>
          <w:sz w:val="24"/>
          <w:szCs w:val="24"/>
          <w:lang w:eastAsia="en-IN"/>
        </w:rPr>
        <w:t>preteens</w:t>
      </w:r>
      <w:proofErr w:type="gramEnd"/>
      <w:r w:rsidRPr="00333B52">
        <w:rPr>
          <w:rFonts w:ascii="Times New Roman" w:eastAsia="Times New Roman" w:hAnsi="Times New Roman" w:cs="Times New Roman"/>
          <w:sz w:val="24"/>
          <w:szCs w:val="24"/>
          <w:lang w:eastAsia="en-IN"/>
        </w:rPr>
        <w:t xml:space="preserve"> and teenagers independent of the negative health impacts of exercise and eating habits. </w:t>
      </w:r>
      <w:r w:rsidRPr="00333B52">
        <w:rPr>
          <w:rFonts w:ascii="Times New Roman" w:eastAsia="Times New Roman" w:hAnsi="Times New Roman" w:cs="Times New Roman"/>
          <w:i/>
          <w:iCs/>
          <w:sz w:val="24"/>
          <w:szCs w:val="24"/>
          <w:lang w:eastAsia="en-IN"/>
        </w:rPr>
        <w:t xml:space="preserve">Computers in Human </w:t>
      </w:r>
      <w:proofErr w:type="spellStart"/>
      <w:r w:rsidRPr="00333B52">
        <w:rPr>
          <w:rFonts w:ascii="Times New Roman" w:eastAsia="Times New Roman" w:hAnsi="Times New Roman" w:cs="Times New Roman"/>
          <w:i/>
          <w:iCs/>
          <w:sz w:val="24"/>
          <w:szCs w:val="24"/>
          <w:lang w:eastAsia="en-IN"/>
        </w:rPr>
        <w:t>Behavior</w:t>
      </w:r>
      <w:proofErr w:type="spellEnd"/>
      <w:r w:rsidRPr="00333B52">
        <w:rPr>
          <w:rFonts w:ascii="Times New Roman" w:eastAsia="Times New Roman" w:hAnsi="Times New Roman" w:cs="Times New Roman"/>
          <w:sz w:val="24"/>
          <w:szCs w:val="24"/>
          <w:lang w:eastAsia="en-IN"/>
        </w:rPr>
        <w:t xml:space="preserve">, 29(3), 1243–1250. </w:t>
      </w:r>
    </w:p>
    <w:p w14:paraId="2CFC793E"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Sheppard, A. L., &amp; </w:t>
      </w:r>
      <w:proofErr w:type="spellStart"/>
      <w:r>
        <w:rPr>
          <w:rFonts w:ascii="Times New Roman" w:eastAsia="Times New Roman" w:hAnsi="Times New Roman" w:cs="Times New Roman"/>
          <w:sz w:val="24"/>
          <w:szCs w:val="24"/>
        </w:rPr>
        <w:t>Wolffsohn</w:t>
      </w:r>
      <w:proofErr w:type="spellEnd"/>
      <w:r>
        <w:rPr>
          <w:rFonts w:ascii="Times New Roman" w:eastAsia="Times New Roman" w:hAnsi="Times New Roman" w:cs="Times New Roman"/>
          <w:sz w:val="24"/>
          <w:szCs w:val="24"/>
        </w:rPr>
        <w:t xml:space="preserve">, J. S. (2018). Digital eye strain: Prevalence, measurement and amelioration. </w:t>
      </w:r>
      <w:r>
        <w:rPr>
          <w:rFonts w:ascii="Times New Roman" w:eastAsia="Times New Roman" w:hAnsi="Times New Roman" w:cs="Times New Roman"/>
          <w:i/>
          <w:sz w:val="24"/>
          <w:szCs w:val="24"/>
        </w:rPr>
        <w:t>BMJ Open Ophthalmology, 3</w:t>
      </w:r>
      <w:r>
        <w:rPr>
          <w:rFonts w:ascii="Times New Roman" w:eastAsia="Times New Roman" w:hAnsi="Times New Roman" w:cs="Times New Roman"/>
          <w:sz w:val="24"/>
          <w:szCs w:val="24"/>
        </w:rPr>
        <w:t>(1), e000146. https://doi.org/10.1136/bmjophth-2018-000146</w:t>
      </w:r>
    </w:p>
    <w:p w14:paraId="6CC416D0"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Specker Sullivan, L., &amp; Reiner, P. (2021). Digital wellness and persuasive technologies. </w:t>
      </w:r>
      <w:r>
        <w:rPr>
          <w:rFonts w:ascii="Times New Roman" w:eastAsia="Times New Roman" w:hAnsi="Times New Roman" w:cs="Times New Roman"/>
          <w:i/>
          <w:color w:val="000000"/>
          <w:sz w:val="24"/>
          <w:szCs w:val="24"/>
          <w:highlight w:val="white"/>
        </w:rPr>
        <w:t>Philosophy &amp; Technology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34</w:t>
      </w:r>
      <w:r>
        <w:rPr>
          <w:rFonts w:ascii="Times New Roman" w:eastAsia="Times New Roman" w:hAnsi="Times New Roman" w:cs="Times New Roman"/>
          <w:color w:val="000000"/>
          <w:sz w:val="24"/>
          <w:szCs w:val="24"/>
          <w:highlight w:val="white"/>
        </w:rPr>
        <w:t>(3), 413-424.</w:t>
      </w:r>
    </w:p>
    <w:p w14:paraId="39AC1ADB" w14:textId="77777777" w:rsidR="006228EB" w:rsidRDefault="006228EB" w:rsidP="00673528">
      <w:pPr>
        <w:spacing w:before="280" w:after="2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Throuvala</w:t>
      </w:r>
      <w:proofErr w:type="spellEnd"/>
      <w:r>
        <w:rPr>
          <w:rFonts w:ascii="Times New Roman" w:eastAsia="Times New Roman" w:hAnsi="Times New Roman" w:cs="Times New Roman"/>
          <w:sz w:val="24"/>
          <w:szCs w:val="24"/>
        </w:rPr>
        <w:t xml:space="preserve">, M. A., Griffiths, M. D., </w:t>
      </w:r>
      <w:proofErr w:type="spellStart"/>
      <w:r>
        <w:rPr>
          <w:rFonts w:ascii="Times New Roman" w:eastAsia="Times New Roman" w:hAnsi="Times New Roman" w:cs="Times New Roman"/>
          <w:sz w:val="24"/>
          <w:szCs w:val="24"/>
        </w:rPr>
        <w:t>Rennoldson</w:t>
      </w:r>
      <w:proofErr w:type="spellEnd"/>
      <w:r>
        <w:rPr>
          <w:rFonts w:ascii="Times New Roman" w:eastAsia="Times New Roman" w:hAnsi="Times New Roman" w:cs="Times New Roman"/>
          <w:sz w:val="24"/>
          <w:szCs w:val="24"/>
        </w:rPr>
        <w:t xml:space="preserve">, M., &amp; Kuss, D. J. (2019). Motivational processes and dysfunctional mechanisms of social media use among adolescents: A qualitative focus group study.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93</w:t>
      </w:r>
      <w:r>
        <w:rPr>
          <w:rFonts w:ascii="Times New Roman" w:eastAsia="Times New Roman" w:hAnsi="Times New Roman" w:cs="Times New Roman"/>
          <w:sz w:val="24"/>
          <w:szCs w:val="24"/>
        </w:rPr>
        <w:t>, 164–175. https://doi.org/10.1016/j.chb.2018.12.012.</w:t>
      </w:r>
    </w:p>
    <w:p w14:paraId="1A8F0F9D"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Tremblay, M. S., et al. (2011). Systematic review of sedentary behaviour and health indicators in school-aged children and youth. </w:t>
      </w:r>
      <w:r>
        <w:rPr>
          <w:rFonts w:ascii="Times New Roman" w:eastAsia="Times New Roman" w:hAnsi="Times New Roman" w:cs="Times New Roman"/>
          <w:i/>
          <w:sz w:val="24"/>
          <w:szCs w:val="24"/>
        </w:rPr>
        <w:t xml:space="preserve">International Journal of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Nutrition and Physical Activity, 8</w:t>
      </w:r>
      <w:r>
        <w:rPr>
          <w:rFonts w:ascii="Times New Roman" w:eastAsia="Times New Roman" w:hAnsi="Times New Roman" w:cs="Times New Roman"/>
          <w:sz w:val="24"/>
          <w:szCs w:val="24"/>
        </w:rPr>
        <w:t>, 98. https://doi.org/10.1186/1479-5868-8-98</w:t>
      </w:r>
    </w:p>
    <w:p w14:paraId="0364D415"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Twenge, J. M., Joiner, T. E., Rogers, M. L., &amp; Martin, G. N. (2018). Increases in depressive symptoms, suicide-related outcomes, and suicide rates among U.S. adolescents after 2010 and links to increased new media screen time. </w:t>
      </w:r>
      <w:r w:rsidRPr="00333B52">
        <w:rPr>
          <w:rFonts w:ascii="Times New Roman" w:eastAsia="Times New Roman" w:hAnsi="Times New Roman" w:cs="Times New Roman"/>
          <w:i/>
          <w:iCs/>
          <w:sz w:val="24"/>
          <w:szCs w:val="24"/>
          <w:lang w:eastAsia="en-IN"/>
        </w:rPr>
        <w:t>Clinical Psychological Science</w:t>
      </w:r>
      <w:r w:rsidRPr="00333B52">
        <w:rPr>
          <w:rFonts w:ascii="Times New Roman" w:eastAsia="Times New Roman" w:hAnsi="Times New Roman" w:cs="Times New Roman"/>
          <w:sz w:val="24"/>
          <w:szCs w:val="24"/>
          <w:lang w:eastAsia="en-IN"/>
        </w:rPr>
        <w:t xml:space="preserve">, 6(1), 3–17. </w:t>
      </w:r>
    </w:p>
    <w:p w14:paraId="4E28D95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Uhls, Y. T., et al. (2014). Five days at outdoor education camp without screens improves preteen skills with nonverbal emotion cues.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39</w:t>
      </w:r>
      <w:r>
        <w:rPr>
          <w:rFonts w:ascii="Times New Roman" w:eastAsia="Times New Roman" w:hAnsi="Times New Roman" w:cs="Times New Roman"/>
          <w:sz w:val="24"/>
          <w:szCs w:val="24"/>
        </w:rPr>
        <w:t>, 387–392. https://doi.org/10.1016/j.chb.2014.05.036</w:t>
      </w:r>
    </w:p>
    <w:p w14:paraId="10276CF3"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Bree, R., et al. (2020). Environmental impact of telemonitoring in chronic disease care: A comparative life-cycle assessment. </w:t>
      </w:r>
      <w:r>
        <w:rPr>
          <w:rFonts w:ascii="Times New Roman" w:eastAsia="Times New Roman" w:hAnsi="Times New Roman" w:cs="Times New Roman"/>
          <w:i/>
          <w:sz w:val="24"/>
          <w:szCs w:val="24"/>
        </w:rPr>
        <w:t>Journal of Medical Internet Research, 22</w:t>
      </w:r>
      <w:r>
        <w:rPr>
          <w:rFonts w:ascii="Times New Roman" w:eastAsia="Times New Roman" w:hAnsi="Times New Roman" w:cs="Times New Roman"/>
          <w:sz w:val="24"/>
          <w:szCs w:val="24"/>
        </w:rPr>
        <w:t>(11), e18575. https://doi.org/10.2196/18575</w:t>
      </w:r>
    </w:p>
    <w:p w14:paraId="538B678A" w14:textId="5F7645AE" w:rsidR="006228EB"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van Dijk, J. (2020). </w:t>
      </w:r>
      <w:r w:rsidRPr="00333B52">
        <w:rPr>
          <w:rFonts w:ascii="Times New Roman" w:eastAsia="Times New Roman" w:hAnsi="Times New Roman" w:cs="Times New Roman"/>
          <w:i/>
          <w:iCs/>
          <w:sz w:val="24"/>
          <w:szCs w:val="24"/>
          <w:lang w:eastAsia="en-IN"/>
        </w:rPr>
        <w:t>The digital divide</w:t>
      </w:r>
      <w:r w:rsidRPr="00333B52">
        <w:rPr>
          <w:rFonts w:ascii="Times New Roman" w:eastAsia="Times New Roman" w:hAnsi="Times New Roman" w:cs="Times New Roman"/>
          <w:sz w:val="24"/>
          <w:szCs w:val="24"/>
          <w:lang w:eastAsia="en-IN"/>
        </w:rPr>
        <w:t xml:space="preserve">. Polity Press. </w:t>
      </w:r>
    </w:p>
    <w:p w14:paraId="575C0A43"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p>
    <w:p w14:paraId="260FFAFE"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World Health Organization (WHO). (2019). </w:t>
      </w:r>
      <w:r w:rsidRPr="00333B52">
        <w:rPr>
          <w:rFonts w:ascii="Times New Roman" w:eastAsia="Times New Roman" w:hAnsi="Times New Roman" w:cs="Times New Roman"/>
          <w:i/>
          <w:iCs/>
          <w:sz w:val="24"/>
          <w:szCs w:val="24"/>
          <w:lang w:eastAsia="en-IN"/>
        </w:rPr>
        <w:t>WHO guideline: Recommendations on digital interventions for health system strengthening</w:t>
      </w:r>
      <w:r w:rsidRPr="00333B52">
        <w:rPr>
          <w:rFonts w:ascii="Times New Roman" w:eastAsia="Times New Roman" w:hAnsi="Times New Roman" w:cs="Times New Roman"/>
          <w:sz w:val="24"/>
          <w:szCs w:val="24"/>
          <w:lang w:eastAsia="en-IN"/>
        </w:rPr>
        <w:t xml:space="preserve">. World Health Organization. </w:t>
      </w:r>
    </w:p>
    <w:p w14:paraId="4E1C9E4A"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 Y., Chen, M., &amp; Li, Q. (2021). Green nanotechnology: Concepts, benefits, and challenges. </w:t>
      </w:r>
      <w:r>
        <w:rPr>
          <w:rFonts w:ascii="Times New Roman" w:eastAsia="Times New Roman" w:hAnsi="Times New Roman" w:cs="Times New Roman"/>
          <w:i/>
          <w:sz w:val="24"/>
          <w:szCs w:val="24"/>
        </w:rPr>
        <w:t>Journal of Cleaner Production, 278</w:t>
      </w:r>
      <w:r>
        <w:rPr>
          <w:rFonts w:ascii="Times New Roman" w:eastAsia="Times New Roman" w:hAnsi="Times New Roman" w:cs="Times New Roman"/>
          <w:sz w:val="24"/>
          <w:szCs w:val="24"/>
        </w:rPr>
        <w:t xml:space="preserve">, 123805. </w:t>
      </w:r>
      <w:hyperlink r:id="rId17" w:history="1">
        <w:r w:rsidRPr="00912518">
          <w:rPr>
            <w:rStyle w:val="Kpr"/>
            <w:rFonts w:ascii="Times New Roman" w:eastAsia="Times New Roman" w:hAnsi="Times New Roman" w:cs="Times New Roman"/>
            <w:sz w:val="24"/>
            <w:szCs w:val="24"/>
          </w:rPr>
          <w:t>https://doi.org/10.1016/j.jclepro.2020.123805</w:t>
        </w:r>
      </w:hyperlink>
      <w:r>
        <w:rPr>
          <w:rFonts w:ascii="Times New Roman" w:eastAsia="Times New Roman" w:hAnsi="Times New Roman" w:cs="Times New Roman"/>
          <w:sz w:val="24"/>
          <w:szCs w:val="24"/>
        </w:rPr>
        <w:t>.</w:t>
      </w:r>
    </w:p>
    <w:p w14:paraId="7ACDCE2D" w14:textId="77777777" w:rsidR="00B229EB" w:rsidRDefault="00B229EB" w:rsidP="000907F9">
      <w:pPr>
        <w:pStyle w:val="NormalWeb"/>
        <w:spacing w:line="360" w:lineRule="auto"/>
        <w:jc w:val="both"/>
      </w:pPr>
    </w:p>
    <w:p w14:paraId="24DA70E2" w14:textId="3CE99228" w:rsidR="002347F8" w:rsidRDefault="002347F8" w:rsidP="000907F9">
      <w:pPr>
        <w:pStyle w:val="NormalWeb"/>
        <w:spacing w:line="360" w:lineRule="auto"/>
        <w:jc w:val="both"/>
      </w:pPr>
    </w:p>
    <w:p w14:paraId="32FDA210" w14:textId="77777777" w:rsidR="00F250E2" w:rsidRDefault="00F250E2" w:rsidP="000907F9">
      <w:pPr>
        <w:spacing w:line="360" w:lineRule="auto"/>
        <w:jc w:val="both"/>
      </w:pPr>
    </w:p>
    <w:sectPr w:rsidR="00F250E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YKUT GÜNLÜ" w:date="2026-04-19T00:58:00Z" w:initials="AG">
    <w:p w14:paraId="614E1C37" w14:textId="77777777" w:rsidR="00DF2C04" w:rsidRDefault="00DF2C04" w:rsidP="00800BEC">
      <w:pPr>
        <w:pStyle w:val="AklamaMetni"/>
      </w:pPr>
      <w:r>
        <w:rPr>
          <w:rStyle w:val="AklamaBavurusu"/>
        </w:rPr>
        <w:annotationRef/>
      </w:r>
      <w:r>
        <w:t>While this research review article contributes to the field, it has some shortcomings. One of these is the use of the concepts of "digital wellness" and "digital well-wing" interchangeably. However, these concepts are completely different. Therefore, this conceptual confusion in the text needs to be resolved. Furthermore, the theoretical framework should be strengthened and detailed in line with the literature and within the scope of the research's objectives.</w:t>
      </w:r>
    </w:p>
  </w:comment>
  <w:comment w:id="1" w:author="AYKUT GÜNLÜ" w:date="2026-04-19T00:35:00Z" w:initials="AG">
    <w:p w14:paraId="77C10BB6" w14:textId="440DB823" w:rsidR="00A94D9C" w:rsidRDefault="00A94D9C" w:rsidP="00A2551A">
      <w:pPr>
        <w:pStyle w:val="AklamaMetni"/>
      </w:pPr>
      <w:r>
        <w:rPr>
          <w:rStyle w:val="AklamaBavurusu"/>
        </w:rPr>
        <w:annotationRef/>
      </w:r>
      <w:r>
        <w:t>They should follow alphabetical order. The symbol &amp; should be used instead of and.</w:t>
      </w:r>
    </w:p>
  </w:comment>
  <w:comment w:id="2" w:author="AYKUT GÜNLÜ" w:date="2026-04-19T00:35:00Z" w:initials="AG">
    <w:p w14:paraId="1AD1A6A6" w14:textId="77777777" w:rsidR="00A94D9C" w:rsidRDefault="00A94D9C" w:rsidP="00D32795">
      <w:pPr>
        <w:pStyle w:val="AklamaMetni"/>
      </w:pPr>
      <w:r>
        <w:rPr>
          <w:rStyle w:val="AklamaBavurusu"/>
        </w:rPr>
        <w:annotationRef/>
      </w:r>
      <w:r>
        <w:t>Long sentences make understanding difficult. This sentence can be broken down into two parts.</w:t>
      </w:r>
    </w:p>
  </w:comment>
  <w:comment w:id="5" w:author="AYKUT GÜNLÜ" w:date="2026-04-19T00:46:00Z" w:initials="AG">
    <w:p w14:paraId="0A0254F0" w14:textId="77777777" w:rsidR="000E284F" w:rsidRDefault="000E284F" w:rsidP="003F24C5">
      <w:pPr>
        <w:pStyle w:val="AklamaMetni"/>
      </w:pPr>
      <w:r>
        <w:rPr>
          <w:rStyle w:val="AklamaBavurusu"/>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E1C37" w15:done="0"/>
  <w15:commentEx w15:paraId="77C10BB6" w15:done="0"/>
  <w15:commentEx w15:paraId="1AD1A6A6" w15:done="0"/>
  <w15:commentEx w15:paraId="0A0254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EA73B" w16cex:dateUtc="2026-04-18T21:58:00Z"/>
  <w16cex:commentExtensible w16cex:durableId="2D8EA1C7" w16cex:dateUtc="2026-04-18T21:35:00Z"/>
  <w16cex:commentExtensible w16cex:durableId="2D8EA1D1" w16cex:dateUtc="2026-04-18T21:35:00Z"/>
  <w16cex:commentExtensible w16cex:durableId="2D8EA44B" w16cex:dateUtc="2026-04-18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E1C37" w16cid:durableId="2D8EA73B"/>
  <w16cid:commentId w16cid:paraId="77C10BB6" w16cid:durableId="2D8EA1C7"/>
  <w16cid:commentId w16cid:paraId="1AD1A6A6" w16cid:durableId="2D8EA1D1"/>
  <w16cid:commentId w16cid:paraId="0A0254F0" w16cid:durableId="2D8EA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ACAC" w14:textId="77777777" w:rsidR="00783AC3" w:rsidRDefault="00783AC3" w:rsidP="00E133A4">
      <w:pPr>
        <w:spacing w:after="0" w:line="240" w:lineRule="auto"/>
      </w:pPr>
      <w:r>
        <w:separator/>
      </w:r>
    </w:p>
  </w:endnote>
  <w:endnote w:type="continuationSeparator" w:id="0">
    <w:p w14:paraId="797D838C" w14:textId="77777777" w:rsidR="00783AC3" w:rsidRDefault="00783AC3" w:rsidP="00E1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2E88" w14:textId="77777777" w:rsidR="00E133A4" w:rsidRDefault="00E133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7DB6" w14:textId="77777777" w:rsidR="00E133A4" w:rsidRDefault="00E133A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A16C" w14:textId="77777777" w:rsidR="00E133A4" w:rsidRDefault="00E133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61DC" w14:textId="77777777" w:rsidR="00783AC3" w:rsidRDefault="00783AC3" w:rsidP="00E133A4">
      <w:pPr>
        <w:spacing w:after="0" w:line="240" w:lineRule="auto"/>
      </w:pPr>
      <w:r>
        <w:separator/>
      </w:r>
    </w:p>
  </w:footnote>
  <w:footnote w:type="continuationSeparator" w:id="0">
    <w:p w14:paraId="1D10E86B" w14:textId="77777777" w:rsidR="00783AC3" w:rsidRDefault="00783AC3" w:rsidP="00E1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D47D" w14:textId="3CD8D048" w:rsidR="00E133A4" w:rsidRDefault="00000000">
    <w:pPr>
      <w:pStyle w:val="stBilgi"/>
    </w:pPr>
    <w:r>
      <w:rPr>
        <w:noProof/>
      </w:rPr>
      <w:pict w14:anchorId="27FD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30BC" w14:textId="5582C13B" w:rsidR="00E133A4" w:rsidRDefault="00000000">
    <w:pPr>
      <w:pStyle w:val="stBilgi"/>
    </w:pPr>
    <w:r>
      <w:rPr>
        <w:noProof/>
      </w:rPr>
      <w:pict w14:anchorId="306C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65D1" w14:textId="614072B1" w:rsidR="00E133A4" w:rsidRDefault="00000000">
    <w:pPr>
      <w:pStyle w:val="stBilgi"/>
    </w:pPr>
    <w:r>
      <w:rPr>
        <w:noProof/>
      </w:rPr>
      <w:pict w14:anchorId="41046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KUT GÜNLÜ">
    <w15:presenceInfo w15:providerId="AD" w15:userId="S::agunlu@posta.pau.edu.tr::7f994a72-11f4-4cf4-9932-faf114604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4D"/>
    <w:rsid w:val="00014838"/>
    <w:rsid w:val="00032A0F"/>
    <w:rsid w:val="000907F9"/>
    <w:rsid w:val="000D5773"/>
    <w:rsid w:val="000E284F"/>
    <w:rsid w:val="001D3110"/>
    <w:rsid w:val="00222C6B"/>
    <w:rsid w:val="002347F8"/>
    <w:rsid w:val="00273511"/>
    <w:rsid w:val="00286DD0"/>
    <w:rsid w:val="002C6BC2"/>
    <w:rsid w:val="002D22B0"/>
    <w:rsid w:val="00333B52"/>
    <w:rsid w:val="00356E07"/>
    <w:rsid w:val="00372C26"/>
    <w:rsid w:val="004265F8"/>
    <w:rsid w:val="004A6DCC"/>
    <w:rsid w:val="004A70F5"/>
    <w:rsid w:val="004B5191"/>
    <w:rsid w:val="004D4B94"/>
    <w:rsid w:val="004E1066"/>
    <w:rsid w:val="004E7364"/>
    <w:rsid w:val="00554AE0"/>
    <w:rsid w:val="005718E1"/>
    <w:rsid w:val="005F5C59"/>
    <w:rsid w:val="006228EB"/>
    <w:rsid w:val="00670EE2"/>
    <w:rsid w:val="00673528"/>
    <w:rsid w:val="00691C89"/>
    <w:rsid w:val="00722A48"/>
    <w:rsid w:val="00783AC3"/>
    <w:rsid w:val="007C1E88"/>
    <w:rsid w:val="00832A32"/>
    <w:rsid w:val="00855449"/>
    <w:rsid w:val="00891C39"/>
    <w:rsid w:val="008D1F82"/>
    <w:rsid w:val="00960E50"/>
    <w:rsid w:val="00971AFB"/>
    <w:rsid w:val="009C24B0"/>
    <w:rsid w:val="00A035F9"/>
    <w:rsid w:val="00A432E9"/>
    <w:rsid w:val="00A809B0"/>
    <w:rsid w:val="00A94D9C"/>
    <w:rsid w:val="00AE5E4D"/>
    <w:rsid w:val="00B17C3C"/>
    <w:rsid w:val="00B208D4"/>
    <w:rsid w:val="00B229EB"/>
    <w:rsid w:val="00C12E2E"/>
    <w:rsid w:val="00C716DF"/>
    <w:rsid w:val="00C753EB"/>
    <w:rsid w:val="00C86DA8"/>
    <w:rsid w:val="00CA05D3"/>
    <w:rsid w:val="00D03E04"/>
    <w:rsid w:val="00D849FA"/>
    <w:rsid w:val="00DF2C04"/>
    <w:rsid w:val="00DF3159"/>
    <w:rsid w:val="00E032CD"/>
    <w:rsid w:val="00E133A4"/>
    <w:rsid w:val="00E20306"/>
    <w:rsid w:val="00E4648A"/>
    <w:rsid w:val="00ED553F"/>
    <w:rsid w:val="00F03536"/>
    <w:rsid w:val="00F250E2"/>
    <w:rsid w:val="00F97AF9"/>
    <w:rsid w:val="00FC7C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8DEE"/>
  <w15:chartTrackingRefBased/>
  <w15:docId w15:val="{B4F07D46-BA09-487E-995E-4C4F1C39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0907F9"/>
    <w:pPr>
      <w:keepNext/>
      <w:keepLines/>
      <w:pBdr>
        <w:top w:val="nil"/>
        <w:left w:val="nil"/>
        <w:bottom w:val="nil"/>
        <w:right w:val="nil"/>
        <w:between w:val="nil"/>
      </w:pBdr>
      <w:spacing w:before="360" w:after="120" w:line="240" w:lineRule="auto"/>
      <w:outlineLvl w:val="1"/>
    </w:pPr>
    <w:rPr>
      <w:rFonts w:ascii="Arial" w:eastAsia="Arial" w:hAnsi="Arial" w:cs="Arial"/>
      <w:color w:val="000000"/>
      <w:sz w:val="32"/>
      <w:szCs w:val="32"/>
      <w:lang w:eastAsia="en-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E5E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alk2Char">
    <w:name w:val="Başlık 2 Char"/>
    <w:basedOn w:val="VarsaylanParagrafYazTipi"/>
    <w:link w:val="Balk2"/>
    <w:uiPriority w:val="9"/>
    <w:rsid w:val="000907F9"/>
    <w:rPr>
      <w:rFonts w:ascii="Arial" w:eastAsia="Arial" w:hAnsi="Arial" w:cs="Arial"/>
      <w:color w:val="000000"/>
      <w:sz w:val="32"/>
      <w:szCs w:val="32"/>
      <w:lang w:eastAsia="en-IN"/>
    </w:rPr>
  </w:style>
  <w:style w:type="character" w:styleId="Kpr">
    <w:name w:val="Hyperlink"/>
    <w:basedOn w:val="VarsaylanParagrafYazTipi"/>
    <w:uiPriority w:val="99"/>
    <w:unhideWhenUsed/>
    <w:rsid w:val="004A70F5"/>
    <w:rPr>
      <w:color w:val="0563C1" w:themeColor="hyperlink"/>
      <w:u w:val="single"/>
    </w:rPr>
  </w:style>
  <w:style w:type="character" w:styleId="zmlenmeyenBahsetme">
    <w:name w:val="Unresolved Mention"/>
    <w:basedOn w:val="VarsaylanParagrafYazTipi"/>
    <w:uiPriority w:val="99"/>
    <w:semiHidden/>
    <w:unhideWhenUsed/>
    <w:rsid w:val="004A70F5"/>
    <w:rPr>
      <w:color w:val="605E5C"/>
      <w:shd w:val="clear" w:color="auto" w:fill="E1DFDD"/>
    </w:rPr>
  </w:style>
  <w:style w:type="character" w:styleId="Vurgu">
    <w:name w:val="Emphasis"/>
    <w:basedOn w:val="VarsaylanParagrafYazTipi"/>
    <w:uiPriority w:val="20"/>
    <w:qFormat/>
    <w:rsid w:val="004A70F5"/>
    <w:rPr>
      <w:i/>
      <w:iCs/>
    </w:rPr>
  </w:style>
  <w:style w:type="paragraph" w:styleId="stBilgi">
    <w:name w:val="header"/>
    <w:basedOn w:val="Normal"/>
    <w:link w:val="stBilgiChar"/>
    <w:uiPriority w:val="99"/>
    <w:unhideWhenUsed/>
    <w:rsid w:val="00E133A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133A4"/>
  </w:style>
  <w:style w:type="paragraph" w:styleId="AltBilgi">
    <w:name w:val="footer"/>
    <w:basedOn w:val="Normal"/>
    <w:link w:val="AltBilgiChar"/>
    <w:uiPriority w:val="99"/>
    <w:unhideWhenUsed/>
    <w:rsid w:val="00E133A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E133A4"/>
  </w:style>
  <w:style w:type="character" w:styleId="AklamaBavurusu">
    <w:name w:val="annotation reference"/>
    <w:basedOn w:val="VarsaylanParagrafYazTipi"/>
    <w:uiPriority w:val="99"/>
    <w:semiHidden/>
    <w:unhideWhenUsed/>
    <w:rsid w:val="00A94D9C"/>
    <w:rPr>
      <w:sz w:val="16"/>
      <w:szCs w:val="16"/>
    </w:rPr>
  </w:style>
  <w:style w:type="paragraph" w:styleId="AklamaMetni">
    <w:name w:val="annotation text"/>
    <w:basedOn w:val="Normal"/>
    <w:link w:val="AklamaMetniChar"/>
    <w:uiPriority w:val="99"/>
    <w:unhideWhenUsed/>
    <w:rsid w:val="00A94D9C"/>
    <w:pPr>
      <w:spacing w:line="240" w:lineRule="auto"/>
    </w:pPr>
    <w:rPr>
      <w:sz w:val="20"/>
      <w:szCs w:val="20"/>
    </w:rPr>
  </w:style>
  <w:style w:type="character" w:customStyle="1" w:styleId="AklamaMetniChar">
    <w:name w:val="Açıklama Metni Char"/>
    <w:basedOn w:val="VarsaylanParagrafYazTipi"/>
    <w:link w:val="AklamaMetni"/>
    <w:uiPriority w:val="99"/>
    <w:rsid w:val="00A94D9C"/>
    <w:rPr>
      <w:sz w:val="20"/>
      <w:szCs w:val="20"/>
    </w:rPr>
  </w:style>
  <w:style w:type="paragraph" w:styleId="AklamaKonusu">
    <w:name w:val="annotation subject"/>
    <w:basedOn w:val="AklamaMetni"/>
    <w:next w:val="AklamaMetni"/>
    <w:link w:val="AklamaKonusuChar"/>
    <w:uiPriority w:val="99"/>
    <w:semiHidden/>
    <w:unhideWhenUsed/>
    <w:rsid w:val="00A94D9C"/>
    <w:rPr>
      <w:b/>
      <w:bCs/>
    </w:rPr>
  </w:style>
  <w:style w:type="character" w:customStyle="1" w:styleId="AklamaKonusuChar">
    <w:name w:val="Açıklama Konusu Char"/>
    <w:basedOn w:val="AklamaMetniChar"/>
    <w:link w:val="AklamaKonusu"/>
    <w:uiPriority w:val="99"/>
    <w:semiHidden/>
    <w:rsid w:val="00A94D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790">
      <w:bodyDiv w:val="1"/>
      <w:marLeft w:val="0"/>
      <w:marRight w:val="0"/>
      <w:marTop w:val="0"/>
      <w:marBottom w:val="0"/>
      <w:divBdr>
        <w:top w:val="none" w:sz="0" w:space="0" w:color="auto"/>
        <w:left w:val="none" w:sz="0" w:space="0" w:color="auto"/>
        <w:bottom w:val="none" w:sz="0" w:space="0" w:color="auto"/>
        <w:right w:val="none" w:sz="0" w:space="0" w:color="auto"/>
      </w:divBdr>
    </w:div>
    <w:div w:id="45957674">
      <w:bodyDiv w:val="1"/>
      <w:marLeft w:val="0"/>
      <w:marRight w:val="0"/>
      <w:marTop w:val="0"/>
      <w:marBottom w:val="0"/>
      <w:divBdr>
        <w:top w:val="none" w:sz="0" w:space="0" w:color="auto"/>
        <w:left w:val="none" w:sz="0" w:space="0" w:color="auto"/>
        <w:bottom w:val="none" w:sz="0" w:space="0" w:color="auto"/>
        <w:right w:val="none" w:sz="0" w:space="0" w:color="auto"/>
      </w:divBdr>
    </w:div>
    <w:div w:id="96482678">
      <w:bodyDiv w:val="1"/>
      <w:marLeft w:val="0"/>
      <w:marRight w:val="0"/>
      <w:marTop w:val="0"/>
      <w:marBottom w:val="0"/>
      <w:divBdr>
        <w:top w:val="none" w:sz="0" w:space="0" w:color="auto"/>
        <w:left w:val="none" w:sz="0" w:space="0" w:color="auto"/>
        <w:bottom w:val="none" w:sz="0" w:space="0" w:color="auto"/>
        <w:right w:val="none" w:sz="0" w:space="0" w:color="auto"/>
      </w:divBdr>
    </w:div>
    <w:div w:id="202134132">
      <w:bodyDiv w:val="1"/>
      <w:marLeft w:val="0"/>
      <w:marRight w:val="0"/>
      <w:marTop w:val="0"/>
      <w:marBottom w:val="0"/>
      <w:divBdr>
        <w:top w:val="none" w:sz="0" w:space="0" w:color="auto"/>
        <w:left w:val="none" w:sz="0" w:space="0" w:color="auto"/>
        <w:bottom w:val="none" w:sz="0" w:space="0" w:color="auto"/>
        <w:right w:val="none" w:sz="0" w:space="0" w:color="auto"/>
      </w:divBdr>
    </w:div>
    <w:div w:id="427502354">
      <w:bodyDiv w:val="1"/>
      <w:marLeft w:val="0"/>
      <w:marRight w:val="0"/>
      <w:marTop w:val="0"/>
      <w:marBottom w:val="0"/>
      <w:divBdr>
        <w:top w:val="none" w:sz="0" w:space="0" w:color="auto"/>
        <w:left w:val="none" w:sz="0" w:space="0" w:color="auto"/>
        <w:bottom w:val="none" w:sz="0" w:space="0" w:color="auto"/>
        <w:right w:val="none" w:sz="0" w:space="0" w:color="auto"/>
      </w:divBdr>
    </w:div>
    <w:div w:id="429812387">
      <w:bodyDiv w:val="1"/>
      <w:marLeft w:val="0"/>
      <w:marRight w:val="0"/>
      <w:marTop w:val="0"/>
      <w:marBottom w:val="0"/>
      <w:divBdr>
        <w:top w:val="none" w:sz="0" w:space="0" w:color="auto"/>
        <w:left w:val="none" w:sz="0" w:space="0" w:color="auto"/>
        <w:bottom w:val="none" w:sz="0" w:space="0" w:color="auto"/>
        <w:right w:val="none" w:sz="0" w:space="0" w:color="auto"/>
      </w:divBdr>
    </w:div>
    <w:div w:id="518349763">
      <w:bodyDiv w:val="1"/>
      <w:marLeft w:val="0"/>
      <w:marRight w:val="0"/>
      <w:marTop w:val="0"/>
      <w:marBottom w:val="0"/>
      <w:divBdr>
        <w:top w:val="none" w:sz="0" w:space="0" w:color="auto"/>
        <w:left w:val="none" w:sz="0" w:space="0" w:color="auto"/>
        <w:bottom w:val="none" w:sz="0" w:space="0" w:color="auto"/>
        <w:right w:val="none" w:sz="0" w:space="0" w:color="auto"/>
      </w:divBdr>
    </w:div>
    <w:div w:id="530192144">
      <w:bodyDiv w:val="1"/>
      <w:marLeft w:val="0"/>
      <w:marRight w:val="0"/>
      <w:marTop w:val="0"/>
      <w:marBottom w:val="0"/>
      <w:divBdr>
        <w:top w:val="none" w:sz="0" w:space="0" w:color="auto"/>
        <w:left w:val="none" w:sz="0" w:space="0" w:color="auto"/>
        <w:bottom w:val="none" w:sz="0" w:space="0" w:color="auto"/>
        <w:right w:val="none" w:sz="0" w:space="0" w:color="auto"/>
      </w:divBdr>
    </w:div>
    <w:div w:id="820346749">
      <w:bodyDiv w:val="1"/>
      <w:marLeft w:val="0"/>
      <w:marRight w:val="0"/>
      <w:marTop w:val="0"/>
      <w:marBottom w:val="0"/>
      <w:divBdr>
        <w:top w:val="none" w:sz="0" w:space="0" w:color="auto"/>
        <w:left w:val="none" w:sz="0" w:space="0" w:color="auto"/>
        <w:bottom w:val="none" w:sz="0" w:space="0" w:color="auto"/>
        <w:right w:val="none" w:sz="0" w:space="0" w:color="auto"/>
      </w:divBdr>
    </w:div>
    <w:div w:id="836917829">
      <w:bodyDiv w:val="1"/>
      <w:marLeft w:val="0"/>
      <w:marRight w:val="0"/>
      <w:marTop w:val="0"/>
      <w:marBottom w:val="0"/>
      <w:divBdr>
        <w:top w:val="none" w:sz="0" w:space="0" w:color="auto"/>
        <w:left w:val="none" w:sz="0" w:space="0" w:color="auto"/>
        <w:bottom w:val="none" w:sz="0" w:space="0" w:color="auto"/>
        <w:right w:val="none" w:sz="0" w:space="0" w:color="auto"/>
      </w:divBdr>
    </w:div>
    <w:div w:id="872158850">
      <w:bodyDiv w:val="1"/>
      <w:marLeft w:val="0"/>
      <w:marRight w:val="0"/>
      <w:marTop w:val="0"/>
      <w:marBottom w:val="0"/>
      <w:divBdr>
        <w:top w:val="none" w:sz="0" w:space="0" w:color="auto"/>
        <w:left w:val="none" w:sz="0" w:space="0" w:color="auto"/>
        <w:bottom w:val="none" w:sz="0" w:space="0" w:color="auto"/>
        <w:right w:val="none" w:sz="0" w:space="0" w:color="auto"/>
      </w:divBdr>
    </w:div>
    <w:div w:id="940263040">
      <w:bodyDiv w:val="1"/>
      <w:marLeft w:val="0"/>
      <w:marRight w:val="0"/>
      <w:marTop w:val="0"/>
      <w:marBottom w:val="0"/>
      <w:divBdr>
        <w:top w:val="none" w:sz="0" w:space="0" w:color="auto"/>
        <w:left w:val="none" w:sz="0" w:space="0" w:color="auto"/>
        <w:bottom w:val="none" w:sz="0" w:space="0" w:color="auto"/>
        <w:right w:val="none" w:sz="0" w:space="0" w:color="auto"/>
      </w:divBdr>
    </w:div>
    <w:div w:id="988096061">
      <w:bodyDiv w:val="1"/>
      <w:marLeft w:val="0"/>
      <w:marRight w:val="0"/>
      <w:marTop w:val="0"/>
      <w:marBottom w:val="0"/>
      <w:divBdr>
        <w:top w:val="none" w:sz="0" w:space="0" w:color="auto"/>
        <w:left w:val="none" w:sz="0" w:space="0" w:color="auto"/>
        <w:bottom w:val="none" w:sz="0" w:space="0" w:color="auto"/>
        <w:right w:val="none" w:sz="0" w:space="0" w:color="auto"/>
      </w:divBdr>
    </w:div>
    <w:div w:id="1038243051">
      <w:bodyDiv w:val="1"/>
      <w:marLeft w:val="0"/>
      <w:marRight w:val="0"/>
      <w:marTop w:val="0"/>
      <w:marBottom w:val="0"/>
      <w:divBdr>
        <w:top w:val="none" w:sz="0" w:space="0" w:color="auto"/>
        <w:left w:val="none" w:sz="0" w:space="0" w:color="auto"/>
        <w:bottom w:val="none" w:sz="0" w:space="0" w:color="auto"/>
        <w:right w:val="none" w:sz="0" w:space="0" w:color="auto"/>
      </w:divBdr>
    </w:div>
    <w:div w:id="1176268817">
      <w:bodyDiv w:val="1"/>
      <w:marLeft w:val="0"/>
      <w:marRight w:val="0"/>
      <w:marTop w:val="0"/>
      <w:marBottom w:val="0"/>
      <w:divBdr>
        <w:top w:val="none" w:sz="0" w:space="0" w:color="auto"/>
        <w:left w:val="none" w:sz="0" w:space="0" w:color="auto"/>
        <w:bottom w:val="none" w:sz="0" w:space="0" w:color="auto"/>
        <w:right w:val="none" w:sz="0" w:space="0" w:color="auto"/>
      </w:divBdr>
    </w:div>
    <w:div w:id="1266814265">
      <w:bodyDiv w:val="1"/>
      <w:marLeft w:val="0"/>
      <w:marRight w:val="0"/>
      <w:marTop w:val="0"/>
      <w:marBottom w:val="0"/>
      <w:divBdr>
        <w:top w:val="none" w:sz="0" w:space="0" w:color="auto"/>
        <w:left w:val="none" w:sz="0" w:space="0" w:color="auto"/>
        <w:bottom w:val="none" w:sz="0" w:space="0" w:color="auto"/>
        <w:right w:val="none" w:sz="0" w:space="0" w:color="auto"/>
      </w:divBdr>
    </w:div>
    <w:div w:id="1340691797">
      <w:bodyDiv w:val="1"/>
      <w:marLeft w:val="0"/>
      <w:marRight w:val="0"/>
      <w:marTop w:val="0"/>
      <w:marBottom w:val="0"/>
      <w:divBdr>
        <w:top w:val="none" w:sz="0" w:space="0" w:color="auto"/>
        <w:left w:val="none" w:sz="0" w:space="0" w:color="auto"/>
        <w:bottom w:val="none" w:sz="0" w:space="0" w:color="auto"/>
        <w:right w:val="none" w:sz="0" w:space="0" w:color="auto"/>
      </w:divBdr>
    </w:div>
    <w:div w:id="1479883638">
      <w:bodyDiv w:val="1"/>
      <w:marLeft w:val="0"/>
      <w:marRight w:val="0"/>
      <w:marTop w:val="0"/>
      <w:marBottom w:val="0"/>
      <w:divBdr>
        <w:top w:val="none" w:sz="0" w:space="0" w:color="auto"/>
        <w:left w:val="none" w:sz="0" w:space="0" w:color="auto"/>
        <w:bottom w:val="none" w:sz="0" w:space="0" w:color="auto"/>
        <w:right w:val="none" w:sz="0" w:space="0" w:color="auto"/>
      </w:divBdr>
    </w:div>
    <w:div w:id="1532110543">
      <w:bodyDiv w:val="1"/>
      <w:marLeft w:val="0"/>
      <w:marRight w:val="0"/>
      <w:marTop w:val="0"/>
      <w:marBottom w:val="0"/>
      <w:divBdr>
        <w:top w:val="none" w:sz="0" w:space="0" w:color="auto"/>
        <w:left w:val="none" w:sz="0" w:space="0" w:color="auto"/>
        <w:bottom w:val="none" w:sz="0" w:space="0" w:color="auto"/>
        <w:right w:val="none" w:sz="0" w:space="0" w:color="auto"/>
      </w:divBdr>
    </w:div>
    <w:div w:id="1660692057">
      <w:bodyDiv w:val="1"/>
      <w:marLeft w:val="0"/>
      <w:marRight w:val="0"/>
      <w:marTop w:val="0"/>
      <w:marBottom w:val="0"/>
      <w:divBdr>
        <w:top w:val="none" w:sz="0" w:space="0" w:color="auto"/>
        <w:left w:val="none" w:sz="0" w:space="0" w:color="auto"/>
        <w:bottom w:val="none" w:sz="0" w:space="0" w:color="auto"/>
        <w:right w:val="none" w:sz="0" w:space="0" w:color="auto"/>
      </w:divBdr>
    </w:div>
    <w:div w:id="1745224662">
      <w:bodyDiv w:val="1"/>
      <w:marLeft w:val="0"/>
      <w:marRight w:val="0"/>
      <w:marTop w:val="0"/>
      <w:marBottom w:val="0"/>
      <w:divBdr>
        <w:top w:val="none" w:sz="0" w:space="0" w:color="auto"/>
        <w:left w:val="none" w:sz="0" w:space="0" w:color="auto"/>
        <w:bottom w:val="none" w:sz="0" w:space="0" w:color="auto"/>
        <w:right w:val="none" w:sz="0" w:space="0" w:color="auto"/>
      </w:divBdr>
    </w:div>
    <w:div w:id="1765344378">
      <w:bodyDiv w:val="1"/>
      <w:marLeft w:val="0"/>
      <w:marRight w:val="0"/>
      <w:marTop w:val="0"/>
      <w:marBottom w:val="0"/>
      <w:divBdr>
        <w:top w:val="none" w:sz="0" w:space="0" w:color="auto"/>
        <w:left w:val="none" w:sz="0" w:space="0" w:color="auto"/>
        <w:bottom w:val="none" w:sz="0" w:space="0" w:color="auto"/>
        <w:right w:val="none" w:sz="0" w:space="0" w:color="auto"/>
      </w:divBdr>
    </w:div>
    <w:div w:id="1809278784">
      <w:bodyDiv w:val="1"/>
      <w:marLeft w:val="0"/>
      <w:marRight w:val="0"/>
      <w:marTop w:val="0"/>
      <w:marBottom w:val="0"/>
      <w:divBdr>
        <w:top w:val="none" w:sz="0" w:space="0" w:color="auto"/>
        <w:left w:val="none" w:sz="0" w:space="0" w:color="auto"/>
        <w:bottom w:val="none" w:sz="0" w:space="0" w:color="auto"/>
        <w:right w:val="none" w:sz="0" w:space="0" w:color="auto"/>
      </w:divBdr>
    </w:div>
    <w:div w:id="1847790273">
      <w:bodyDiv w:val="1"/>
      <w:marLeft w:val="0"/>
      <w:marRight w:val="0"/>
      <w:marTop w:val="0"/>
      <w:marBottom w:val="0"/>
      <w:divBdr>
        <w:top w:val="none" w:sz="0" w:space="0" w:color="auto"/>
        <w:left w:val="none" w:sz="0" w:space="0" w:color="auto"/>
        <w:bottom w:val="none" w:sz="0" w:space="0" w:color="auto"/>
        <w:right w:val="none" w:sz="0" w:space="0" w:color="auto"/>
      </w:divBdr>
    </w:div>
    <w:div w:id="19407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microsoft.com/office/2007/relationships/hdphoto" Target="media/hdphoto1.wdp"/><Relationship Id="rId17" Type="http://schemas.openxmlformats.org/officeDocument/2006/relationships/hyperlink" Target="https://doi.org/10.1016/j.jclepro.2020.123805" TargetMode="External"/><Relationship Id="rId25" Type="http://schemas.microsoft.com/office/2011/relationships/people" Target="people.xm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microsoft.com/office/2007/relationships/hdphoto" Target="media/hdphoto2.wdp"/><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55D8-5C6F-45B7-9E0B-2E24F87A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4041</Words>
  <Characters>23035</Characters>
  <Application>Microsoft Office Word</Application>
  <DocSecurity>0</DocSecurity>
  <Lines>191</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Rajeshwari Ullagaddi</dc:creator>
  <cp:keywords/>
  <dc:description/>
  <cp:lastModifiedBy>AYKUT GÜNLÜ</cp:lastModifiedBy>
  <cp:revision>8</cp:revision>
  <cp:lastPrinted>2026-04-02T07:43:00Z</cp:lastPrinted>
  <dcterms:created xsi:type="dcterms:W3CDTF">2026-04-15T08:26:00Z</dcterms:created>
  <dcterms:modified xsi:type="dcterms:W3CDTF">2026-04-18T21:58:00Z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e50612f5-5cfb-4300-99d4-fba02701a500</vt:lpwstr>
  </property>
</Properties>
</file>