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136E" w14:textId="77777777" w:rsidR="00A64327" w:rsidRPr="00A64327" w:rsidRDefault="00A64327" w:rsidP="00A64327">
      <w:pPr>
        <w:spacing w:after="0" w:line="240" w:lineRule="auto"/>
        <w:jc w:val="both"/>
        <w:rPr>
          <w:rFonts w:ascii="Arial" w:eastAsia="Times New Roman" w:hAnsi="Arial" w:cs="Arial"/>
          <w:b/>
          <w:kern w:val="28"/>
          <w:sz w:val="36"/>
          <w:szCs w:val="20"/>
          <w:lang w:val="en-US"/>
          <w14:ligatures w14:val="none"/>
        </w:rPr>
      </w:pPr>
    </w:p>
    <w:p w14:paraId="507B1BE8" w14:textId="2771E35F" w:rsidR="00A64327" w:rsidRDefault="00A64327" w:rsidP="00A64327">
      <w:pPr>
        <w:spacing w:after="0" w:line="240" w:lineRule="auto"/>
        <w:jc w:val="right"/>
        <w:rPr>
          <w:rFonts w:ascii="Arial" w:eastAsia="Times New Roman" w:hAnsi="Arial" w:cs="Arial"/>
          <w:b/>
          <w:bCs/>
          <w:iCs/>
          <w:kern w:val="28"/>
          <w:sz w:val="36"/>
          <w:szCs w:val="20"/>
          <w:lang w:val="en-US"/>
          <w14:ligatures w14:val="none"/>
        </w:rPr>
      </w:pPr>
      <w:r w:rsidRPr="00A64327">
        <w:rPr>
          <w:rFonts w:ascii="Arial" w:eastAsia="Times New Roman" w:hAnsi="Arial" w:cs="Arial"/>
          <w:b/>
          <w:bCs/>
          <w:iCs/>
          <w:kern w:val="28"/>
          <w:sz w:val="36"/>
          <w:szCs w:val="20"/>
          <w:lang w:val="en-US"/>
          <w14:ligatures w14:val="none"/>
        </w:rPr>
        <w:t>Possessions and life experiences of university students from the perspective of behavioral economics, 2026</w:t>
      </w:r>
    </w:p>
    <w:p w14:paraId="13CBDADB" w14:textId="77777777" w:rsidR="00C751E3" w:rsidRPr="00A64327" w:rsidRDefault="00C751E3" w:rsidP="00A64327">
      <w:pPr>
        <w:spacing w:after="0" w:line="240" w:lineRule="auto"/>
        <w:jc w:val="right"/>
        <w:rPr>
          <w:rFonts w:ascii="Arial" w:eastAsia="Times New Roman" w:hAnsi="Arial" w:cs="Arial"/>
          <w:b/>
          <w:kern w:val="0"/>
          <w:sz w:val="36"/>
          <w:szCs w:val="20"/>
          <w:lang w:val="en-US"/>
          <w14:ligatures w14:val="none"/>
        </w:rPr>
      </w:pPr>
    </w:p>
    <w:p w14:paraId="0B2E0476"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7F6DE3FA"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35CFE81B" w14:textId="77777777" w:rsidR="00A64327" w:rsidRPr="00A64327" w:rsidRDefault="00A64327" w:rsidP="00A64327">
      <w:pPr>
        <w:spacing w:after="0" w:line="240" w:lineRule="auto"/>
        <w:jc w:val="both"/>
        <w:rPr>
          <w:rFonts w:ascii="Arial" w:eastAsia="Times New Roman" w:hAnsi="Arial" w:cs="Arial"/>
          <w:kern w:val="0"/>
          <w:sz w:val="16"/>
          <w:szCs w:val="20"/>
          <w:lang w:val="en-US"/>
          <w14:ligatures w14:val="none"/>
        </w:rPr>
        <w:sectPr w:rsidR="00A64327" w:rsidRPr="00A64327" w:rsidSect="008145E7">
          <w:headerReference w:type="even" r:id="rId6"/>
          <w:headerReference w:type="default" r:id="rId7"/>
          <w:footerReference w:type="even" r:id="rId8"/>
          <w:footerReference w:type="default" r:id="rId9"/>
          <w:headerReference w:type="first" r:id="rId10"/>
          <w:footerReference w:type="first" r:id="rId11"/>
          <w:pgSz w:w="12240" w:h="15840" w:code="1"/>
          <w:pgMar w:top="1440" w:right="2016" w:bottom="2016" w:left="2016" w:header="720" w:footer="1296" w:gutter="0"/>
          <w:cols w:space="720"/>
          <w:docGrid w:linePitch="299"/>
        </w:sectPr>
      </w:pPr>
      <w:r w:rsidRPr="00A64327">
        <w:rPr>
          <w:rFonts w:ascii="Arial" w:eastAsia="Times New Roman" w:hAnsi="Arial" w:cs="Arial"/>
          <w:noProof/>
          <w:kern w:val="0"/>
          <w:sz w:val="16"/>
          <w:szCs w:val="20"/>
          <w:lang w:val="en-US"/>
          <w14:ligatures w14:val="none"/>
        </w:rPr>
        <mc:AlternateContent>
          <mc:Choice Requires="wps">
            <w:drawing>
              <wp:inline distT="0" distB="0" distL="0" distR="0" wp14:anchorId="52D59820" wp14:editId="6739EFC8">
                <wp:extent cx="5303520" cy="635"/>
                <wp:effectExtent l="13335" t="13335" r="17145" b="15240"/>
                <wp:docPr id="163335824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6B0018" id="_x0000_t32" coordsize="21600,21600" o:spt="32" o:oned="t" path="m,l21600,21600e" filled="f">
                <v:path arrowok="t" fillok="f" o:connecttype="none"/>
                <o:lock v:ext="edit" shapetype="t"/>
              </v:shapetype>
              <v:shape id="Conector recto de flecha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A64327">
        <w:rPr>
          <w:rFonts w:ascii="Arial" w:eastAsia="Times New Roman" w:hAnsi="Arial" w:cs="Arial"/>
          <w:kern w:val="0"/>
          <w:sz w:val="16"/>
          <w:szCs w:val="20"/>
          <w:lang w:val="en-US"/>
          <w14:ligatures w14:val="none"/>
        </w:rPr>
        <w:t>.</w:t>
      </w:r>
    </w:p>
    <w:p w14:paraId="04081812" w14:textId="77777777" w:rsidR="00A64327" w:rsidRDefault="00A64327" w:rsidP="00A64327">
      <w:pPr>
        <w:keepNext/>
        <w:spacing w:after="0" w:line="240" w:lineRule="auto"/>
        <w:jc w:val="both"/>
        <w:rPr>
          <w:rFonts w:ascii="Arial" w:eastAsia="Times New Roman" w:hAnsi="Arial" w:cs="Arial"/>
          <w:b/>
          <w:caps/>
          <w:kern w:val="0"/>
          <w:szCs w:val="20"/>
          <w:lang w:val="en-US"/>
          <w14:ligatures w14:val="none"/>
        </w:rPr>
      </w:pPr>
      <w:r w:rsidRPr="00A64327">
        <w:rPr>
          <w:rFonts w:ascii="Arial" w:eastAsia="Times New Roman" w:hAnsi="Arial" w:cs="Arial"/>
          <w:b/>
          <w:caps/>
          <w:kern w:val="0"/>
          <w:szCs w:val="20"/>
          <w:lang w:val="en-US"/>
          <w14:ligatures w14:val="none"/>
        </w:rPr>
        <w:t xml:space="preserve">ABSTRACT </w:t>
      </w:r>
    </w:p>
    <w:p w14:paraId="45903039" w14:textId="77777777" w:rsidR="005144FE" w:rsidRPr="00A64327" w:rsidRDefault="005144FE" w:rsidP="00A64327">
      <w:pPr>
        <w:keepNext/>
        <w:spacing w:after="0" w:line="240" w:lineRule="auto"/>
        <w:jc w:val="both"/>
        <w:rPr>
          <w:rFonts w:ascii="Arial" w:eastAsia="Times New Roman" w:hAnsi="Arial" w:cs="Arial"/>
          <w:b/>
          <w:caps/>
          <w:kern w:val="0"/>
          <w:szCs w:val="20"/>
          <w:lang w:val="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64327" w:rsidRPr="00204AF1" w14:paraId="71335440" w14:textId="77777777" w:rsidTr="00077708">
        <w:tc>
          <w:tcPr>
            <w:tcW w:w="9576" w:type="dxa"/>
            <w:shd w:val="clear" w:color="auto" w:fill="F2F2F2"/>
          </w:tcPr>
          <w:p w14:paraId="4796D1B3" w14:textId="77777777" w:rsidR="00A64327" w:rsidRPr="000B6094" w:rsidRDefault="00A64327" w:rsidP="00A64327">
            <w:pPr>
              <w:jc w:val="both"/>
              <w:rPr>
                <w:rFonts w:ascii="Arial" w:hAnsi="Arial" w:cs="Arial"/>
                <w:lang w:val="en-US"/>
              </w:rPr>
            </w:pPr>
            <w:r w:rsidRPr="000B6094">
              <w:rPr>
                <w:rFonts w:ascii="Arial" w:hAnsi="Arial" w:cs="Arial"/>
                <w:lang w:val="en-US"/>
              </w:rPr>
              <w:t xml:space="preserve">Objective: </w:t>
            </w:r>
            <w:commentRangeStart w:id="0"/>
            <w:r w:rsidRPr="000B6094">
              <w:rPr>
                <w:rFonts w:ascii="Arial" w:hAnsi="Arial" w:cs="Arial"/>
                <w:lang w:val="en-US"/>
              </w:rPr>
              <w:t>To analyze the thinking of university students regarding their sense of possessing resources in contexts of economic inequality, in order to recognize their level of acceptance of their current life circumstances, demonstrating that material dependencies are related to the generation of life expectations.</w:t>
            </w:r>
            <w:commentRangeEnd w:id="0"/>
            <w:r w:rsidR="00B6035C" w:rsidRPr="000B6094">
              <w:rPr>
                <w:rStyle w:val="CommentReference"/>
                <w:rFonts w:ascii="Arial" w:hAnsi="Arial" w:cs="Arial"/>
                <w:sz w:val="22"/>
                <w:szCs w:val="22"/>
                <w:lang w:val="en-US"/>
              </w:rPr>
              <w:commentReference w:id="0"/>
            </w:r>
          </w:p>
          <w:p w14:paraId="7FF79571" w14:textId="77777777" w:rsidR="00A64327" w:rsidRPr="000B6094" w:rsidRDefault="00A64327" w:rsidP="00A64327">
            <w:pPr>
              <w:jc w:val="both"/>
              <w:rPr>
                <w:rFonts w:ascii="Arial" w:hAnsi="Arial" w:cs="Arial"/>
                <w:lang w:val="en-US"/>
              </w:rPr>
            </w:pPr>
            <w:r w:rsidRPr="000B6094">
              <w:rPr>
                <w:rFonts w:ascii="Arial" w:hAnsi="Arial" w:cs="Arial"/>
                <w:lang w:val="en-US"/>
              </w:rPr>
              <w:t>Methodological Design</w:t>
            </w:r>
            <w:commentRangeStart w:id="1"/>
            <w:r w:rsidRPr="000B6094">
              <w:rPr>
                <w:rFonts w:ascii="Arial" w:hAnsi="Arial" w:cs="Arial"/>
                <w:lang w:val="en-US"/>
              </w:rPr>
              <w:t>: This study was based on a review of articles, reports, and blogs that demonstrate the importance of subjective feelings in consumer behavior. The analysis investigated the characteristics of consumers that influence rational processes.</w:t>
            </w:r>
            <w:commentRangeEnd w:id="1"/>
            <w:r w:rsidR="00A77A6B" w:rsidRPr="000B6094">
              <w:rPr>
                <w:rStyle w:val="CommentReference"/>
                <w:rFonts w:ascii="Arial" w:hAnsi="Arial" w:cs="Arial"/>
                <w:sz w:val="22"/>
                <w:szCs w:val="22"/>
                <w:lang w:val="en-US"/>
              </w:rPr>
              <w:commentReference w:id="1"/>
            </w:r>
          </w:p>
          <w:p w14:paraId="582D12F3" w14:textId="77777777" w:rsidR="00A64327" w:rsidRPr="000B6094" w:rsidRDefault="00A64327" w:rsidP="00A64327">
            <w:pPr>
              <w:jc w:val="both"/>
              <w:rPr>
                <w:rFonts w:ascii="Arial" w:hAnsi="Arial" w:cs="Arial"/>
                <w:lang w:val="en-US"/>
              </w:rPr>
            </w:pPr>
            <w:r w:rsidRPr="000B6094">
              <w:rPr>
                <w:rFonts w:ascii="Arial" w:hAnsi="Arial" w:cs="Arial"/>
                <w:lang w:val="en-US"/>
              </w:rPr>
              <w:t>Results: The study found that university students—particularly younger generations—are sensitive to life experiences and possessions as a means of achievement. From a cognitive perspective, their experience centered on personal life processes influences the generation of expectations based on past experiences.</w:t>
            </w:r>
          </w:p>
          <w:p w14:paraId="543CDAB4" w14:textId="77777777" w:rsidR="00A64327" w:rsidRPr="000B6094" w:rsidRDefault="00A64327" w:rsidP="00A64327">
            <w:pPr>
              <w:jc w:val="both"/>
              <w:rPr>
                <w:rFonts w:ascii="Arial" w:hAnsi="Arial" w:cs="Arial"/>
                <w:lang w:val="en-US"/>
              </w:rPr>
            </w:pPr>
            <w:r w:rsidRPr="000B6094">
              <w:rPr>
                <w:rFonts w:ascii="Arial" w:hAnsi="Arial" w:cs="Arial"/>
                <w:lang w:val="en-US"/>
              </w:rPr>
              <w:t>Limitations of the Research: Insufficient recent information demonstrating systematized rational thought processes related to life perceptions.</w:t>
            </w:r>
          </w:p>
          <w:p w14:paraId="3D9F10D8" w14:textId="77777777" w:rsidR="00A64327" w:rsidRPr="000B6094" w:rsidRDefault="00A64327" w:rsidP="00A64327">
            <w:pPr>
              <w:jc w:val="both"/>
              <w:rPr>
                <w:rFonts w:ascii="Arial" w:hAnsi="Arial" w:cs="Arial"/>
                <w:lang w:val="en-US"/>
              </w:rPr>
            </w:pPr>
            <w:r w:rsidRPr="000B6094">
              <w:rPr>
                <w:rFonts w:ascii="Arial" w:hAnsi="Arial" w:cs="Arial"/>
                <w:lang w:val="en-US"/>
              </w:rPr>
              <w:t>Findings: Cognitive processes are fundamental to understanding decision-making within the population. Being economically dependent can foster feelings of vulnerability and dissatisfaction with one's personal experiences. However, it is also related to a sense of having made better decisions, demonstrating that family or parental support as the source of resources can contribute to a better-lived life.</w:t>
            </w:r>
          </w:p>
          <w:p w14:paraId="1A560610" w14:textId="77777777" w:rsidR="00A64327" w:rsidRPr="00A64327" w:rsidRDefault="00A64327" w:rsidP="005144FE">
            <w:pPr>
              <w:jc w:val="both"/>
              <w:rPr>
                <w:rFonts w:ascii="Arial" w:hAnsi="Arial" w:cs="Arial"/>
                <w:lang w:val="en-US"/>
              </w:rPr>
            </w:pPr>
            <w:r w:rsidRPr="00C67CB2">
              <w:rPr>
                <w:rFonts w:ascii="Arial" w:hAnsi="Arial" w:cs="Arial"/>
                <w:lang w:val="en-US"/>
              </w:rPr>
              <w:t>Keywords: feelings; expressions and expectations.</w:t>
            </w:r>
          </w:p>
        </w:tc>
      </w:tr>
    </w:tbl>
    <w:p w14:paraId="5933FD2E" w14:textId="77777777" w:rsidR="00A64327" w:rsidRPr="00A64327" w:rsidRDefault="00A64327" w:rsidP="00A64327">
      <w:pPr>
        <w:spacing w:after="0" w:line="240" w:lineRule="auto"/>
        <w:jc w:val="both"/>
        <w:rPr>
          <w:rFonts w:ascii="Arial" w:eastAsia="Times New Roman" w:hAnsi="Arial" w:cs="Arial"/>
          <w:i/>
          <w:kern w:val="0"/>
          <w:sz w:val="20"/>
          <w:szCs w:val="20"/>
          <w:lang w:val="en-US"/>
          <w14:ligatures w14:val="none"/>
        </w:rPr>
      </w:pPr>
    </w:p>
    <w:p w14:paraId="3A84B723" w14:textId="77777777" w:rsidR="00A64327" w:rsidRPr="00A64327" w:rsidRDefault="00A64327" w:rsidP="00A64327">
      <w:pPr>
        <w:jc w:val="both"/>
        <w:rPr>
          <w:rFonts w:ascii="Arial" w:hAnsi="Arial" w:cs="Arial"/>
          <w:i/>
          <w:iCs/>
          <w:sz w:val="20"/>
          <w:szCs w:val="20"/>
          <w:lang w:val="en-US"/>
        </w:rPr>
      </w:pPr>
      <w:r w:rsidRPr="00A64327">
        <w:rPr>
          <w:rFonts w:ascii="Arial" w:hAnsi="Arial" w:cs="Arial"/>
          <w:i/>
          <w:iCs/>
          <w:sz w:val="20"/>
          <w:szCs w:val="20"/>
          <w:lang w:val="en-US"/>
        </w:rPr>
        <w:t>Keywords: feelings; expressions and expectations.</w:t>
      </w:r>
    </w:p>
    <w:p w14:paraId="107282FF" w14:textId="77777777" w:rsidR="00A64327" w:rsidRPr="00A64327" w:rsidRDefault="00A64327" w:rsidP="00A64327">
      <w:pPr>
        <w:spacing w:after="0" w:line="240" w:lineRule="auto"/>
        <w:jc w:val="both"/>
        <w:rPr>
          <w:rFonts w:ascii="Arial" w:eastAsia="Times New Roman" w:hAnsi="Arial" w:cs="Arial"/>
          <w:i/>
          <w:kern w:val="0"/>
          <w:sz w:val="18"/>
          <w:szCs w:val="20"/>
          <w:lang w:val="en-US"/>
          <w14:ligatures w14:val="none"/>
        </w:rPr>
      </w:pPr>
    </w:p>
    <w:p w14:paraId="14183CD8" w14:textId="2A68D7E2" w:rsidR="00A64327" w:rsidRPr="00A64327" w:rsidRDefault="00A64327" w:rsidP="00A64327">
      <w:pPr>
        <w:keepNext/>
        <w:spacing w:after="0" w:line="240" w:lineRule="auto"/>
        <w:jc w:val="both"/>
        <w:rPr>
          <w:rFonts w:ascii="Arial" w:eastAsia="Times New Roman" w:hAnsi="Arial" w:cs="Arial"/>
          <w:b/>
          <w:caps/>
          <w:kern w:val="0"/>
          <w:szCs w:val="20"/>
          <w:lang w:val="en-US"/>
          <w14:ligatures w14:val="none"/>
        </w:rPr>
      </w:pPr>
      <w:r w:rsidRPr="00A64327">
        <w:rPr>
          <w:rFonts w:ascii="Arial" w:eastAsia="Times New Roman" w:hAnsi="Arial" w:cs="Arial"/>
          <w:b/>
          <w:caps/>
          <w:kern w:val="0"/>
          <w:szCs w:val="20"/>
          <w:lang w:val="en-US"/>
          <w14:ligatures w14:val="none"/>
        </w:rPr>
        <w:lastRenderedPageBreak/>
        <w:t xml:space="preserve">1. INTRODUCTION </w:t>
      </w:r>
    </w:p>
    <w:p w14:paraId="00E2D389" w14:textId="77777777" w:rsidR="00A64327" w:rsidRPr="00A64327" w:rsidRDefault="00A64327" w:rsidP="00A64327">
      <w:pPr>
        <w:keepNext/>
        <w:spacing w:after="0" w:line="240" w:lineRule="auto"/>
        <w:jc w:val="both"/>
        <w:rPr>
          <w:rFonts w:ascii="Arial" w:eastAsia="Times New Roman" w:hAnsi="Arial" w:cs="Arial"/>
          <w:b/>
          <w:caps/>
          <w:kern w:val="0"/>
          <w:szCs w:val="20"/>
          <w:lang w:val="en-US"/>
          <w14:ligatures w14:val="none"/>
        </w:rPr>
      </w:pPr>
    </w:p>
    <w:p w14:paraId="18D9D091"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Economic science, from its fundamental notion, has sought to explain how agents and, especially consumers, make decisions based on exercises that represent the sum of experiences combined with an ideological or belief exercise.</w:t>
      </w:r>
    </w:p>
    <w:p w14:paraId="7722FB14"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140720A6"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commentRangeStart w:id="2"/>
      <w:r w:rsidRPr="00A64327">
        <w:rPr>
          <w:rFonts w:ascii="Arial" w:eastAsia="Times New Roman" w:hAnsi="Arial" w:cs="Arial"/>
          <w:kern w:val="0"/>
          <w:sz w:val="20"/>
          <w:szCs w:val="20"/>
          <w:lang w:val="en-US"/>
          <w14:ligatures w14:val="none"/>
        </w:rPr>
        <w:t>Arguments presented by its main defenders of the classical model of the economy and characterized by the rational perspective, have been refuted theoretically and empirically and demonstrated from the neoclassical vision that, even in areas where greater rationality was expected, such as financial markets, there is a need to advance, there is a constructive approach that combines normative theories (about how they should behave in agents) with descriptive theories based on empirical data versed in knowing how they really behave Thaler, R. H. (2016).</w:t>
      </w:r>
      <w:commentRangeEnd w:id="2"/>
      <w:r w:rsidR="00B6035C" w:rsidRPr="00A64327">
        <w:rPr>
          <w:rStyle w:val="CommentReference"/>
          <w:rFonts w:ascii="Arial" w:eastAsia="Times New Roman" w:hAnsi="Arial" w:cs="Arial"/>
          <w:kern w:val="0"/>
          <w:sz w:val="20"/>
          <w:szCs w:val="20"/>
          <w:lang w:val="en-US"/>
          <w14:ligatures w14:val="none"/>
        </w:rPr>
        <w:commentReference w:id="2"/>
      </w:r>
    </w:p>
    <w:p w14:paraId="707C2B3C"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6693A012"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commentRangeStart w:id="3"/>
      <w:r w:rsidRPr="00A64327">
        <w:rPr>
          <w:rFonts w:ascii="Arial" w:eastAsia="Times New Roman" w:hAnsi="Arial" w:cs="Arial"/>
          <w:kern w:val="0"/>
          <w:sz w:val="20"/>
          <w:szCs w:val="20"/>
          <w:lang w:val="en-US"/>
          <w14:ligatures w14:val="none"/>
        </w:rPr>
        <w:t>This situation leads the economy to a context of analysis of the conduct of agent-consumers that based on principles of subjectivity-objectivity make decisions from analytical processes and differentiated situations related to perceptions and materializations.</w:t>
      </w:r>
      <w:commentRangeEnd w:id="3"/>
      <w:r w:rsidR="00A77A6B" w:rsidRPr="00A64327">
        <w:rPr>
          <w:rStyle w:val="CommentReference"/>
          <w:rFonts w:ascii="Arial" w:eastAsia="Times New Roman" w:hAnsi="Arial" w:cs="Arial"/>
          <w:kern w:val="0"/>
          <w:sz w:val="20"/>
          <w:szCs w:val="20"/>
          <w:lang w:val="en-US"/>
          <w14:ligatures w14:val="none"/>
        </w:rPr>
        <w:commentReference w:id="3"/>
      </w:r>
    </w:p>
    <w:p w14:paraId="4870B55F"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26EAC765"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Attributed to its common sense, the study of factors that influence decision-making processes under the perception of the best possible result is an investigative path for economic science. According to Nishant, R., (2024), Max Weber's notions of formal and sustainable rationality (1978) allow us to demonstrate that the impulse driven by a principle of formal rationality is due to quantitative calculations and sets of rigid rules that drive action. However, sustainable rationality is associated with contextually rooted values ​​that drive action Lindebaum D. et al., 2020; Kalberg, 1980.</w:t>
      </w:r>
    </w:p>
    <w:p w14:paraId="17F024EB"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72C4F9D3"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To avoid the consequences of anarchic struggle, agents accept the legal frameworks of property and authority of modern society, built on a democratic and egalitarian principle that inexorably lead to marked inequalities in economic prosperity. According to Hobbes-Locke cited by Foley, D. K. (2004) rationalizing - in reference to tolerating - inequalities of power and economic prosperity result in being a consequence of the interaction of individuals faced as equals who will similarly recognize their capacity to act or respond.</w:t>
      </w:r>
    </w:p>
    <w:p w14:paraId="09B1052C"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672023A7"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In this way, study projects centered on the behavior of users and/or consumers seek to insert rational processes through mechanisms of direct understanding of conveniences and opportunities. However, it is necessary to delve deeper into how the decision maker, the agent, makes decisions through recognition of his own lived experiences.</w:t>
      </w:r>
    </w:p>
    <w:p w14:paraId="5704A01F"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677FB906"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An investigation that adapts and expands the decision-making model of Engel, Kollat ​​and Blackwell (1978) and Engel, Blackwell and Miniard (1986) was the study by Darley, W. K., et al (2010) from which we demonstrated the lack of research in several components of decision-making and inconsistencies in the characterization of the environment. Its evidence demonstrates that the investigation method leans towards the survey rather than the experimentation of the studied agents, where spaces and environmental conditioning factors can be decisive.</w:t>
      </w:r>
    </w:p>
    <w:p w14:paraId="29EA0D5F"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130FC876"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However, understanding the guidelines applied by people when making distributive decisions in resource allocation contexts and criteria can be pursued using different criteria. When the reasoning of justice determines the rule of equity for decision-making, resources and rewards are shared according to the merits attributed to individuals and therefore, the positive assignment of human perceptions is encouraged in the conception of justice and elections Goudarzi, S., Badaan, V., &amp; Knowles, E. D. (2022).</w:t>
      </w:r>
    </w:p>
    <w:p w14:paraId="5F8A0D43"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4E2BBE99"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lastRenderedPageBreak/>
        <w:t>From a theoretical point of view these situations represent a new research paradigm centered on the criteria used to define deliberate judgments. The experience, meanings and feelings of agents can glimpse forms of assignment as expected to achieve or obtain.</w:t>
      </w:r>
    </w:p>
    <w:p w14:paraId="7F3BC5B3"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331C673A" w14:textId="77777777" w:rsid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A particular case, these are studies on agency theory that emphasize the empirical property that connotes intention and consciousness on the part of human beings and is attributed to human intelligence. The incorporation of agency as a natural entity on top of other artificial naturalness helps to systematically incorporate the importance of biological agency and its effects in research programs, thus highlighting cognitive processes Sultan, S. E., Moczek, A. P., &amp; Walsh, D. (2022).</w:t>
      </w:r>
    </w:p>
    <w:p w14:paraId="63B0F801" w14:textId="77777777" w:rsidR="00A64327" w:rsidRDefault="00A64327" w:rsidP="00A64327">
      <w:pPr>
        <w:spacing w:after="0" w:line="240" w:lineRule="auto"/>
        <w:jc w:val="both"/>
        <w:rPr>
          <w:rFonts w:ascii="Arial" w:eastAsia="Times New Roman" w:hAnsi="Arial" w:cs="Arial"/>
          <w:kern w:val="0"/>
          <w:sz w:val="20"/>
          <w:szCs w:val="20"/>
          <w:lang w:val="en-US"/>
          <w14:ligatures w14:val="none"/>
        </w:rPr>
      </w:pPr>
    </w:p>
    <w:p w14:paraId="172739B3"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Within this framework, the economy from its high dosage of selection of rational criteria articulates objective procedures that in a contextual analysis contribute to the analysis of the resulting processes. The ongoing dialogue around the integration of behavioral perspectives in economic analysis addresses challenges to reconcile traditional economic paradigms and advocates for a more holistic understanding of human behavior in economic research. This review highlights the transformative potential of behavioral economics to perfect economic theories and policy frameworks, ultimately promoting a more accurate representation of human decision-making in the face of irrationality. The synthesis of the multidisciplinary perspectives presented in this article provides the basis for future investigations and practical applications in the field in the constant evolution of behavioral economics. Floridi, L., (February 12, 2024).</w:t>
      </w:r>
    </w:p>
    <w:p w14:paraId="56DD3AC1"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0023D6D5"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In this order of ideas there are different research alternatives centered on the economy and behavior, based on the understanding of problems from the heterogeneity of subjects; its local interaction; dependency and dynamics of disequilibrium and emergence. Gomes, O. (2023). The theory of behavioral economics has the potential to transform significant areas of research into information systems. Arnott, D., &amp; Gao, S. (2022).</w:t>
      </w:r>
    </w:p>
    <w:p w14:paraId="79F55F40"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55540B18"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The types of economy centered on behavior establish their own methodologies and solutions based on the complexity of factors and, therefore, exemplify differences between processes and forms of intervention converted into incentives that benefit understanding and importance for contexts. However, there is a lack of consensus at the academic level about how to evaluate them, especially in the context of decision-making processes such as "net impact accounting" in the context of environmental decision-making. Ekchajzer, D., Bornes, L., Combaz, J., Letondal, C., &amp; Vingerhoeds, R. (2024, June).</w:t>
      </w:r>
    </w:p>
    <w:p w14:paraId="143A6EB7"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20B6118A"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To demonstrate the impacts of behavior on economic systems, conduct becomes a means of response to the expectations of achieving and having it. From the information in posesión; Interaction and freedom of expression promote a resilient economic environment. Paliszkiewicz, J., &amp; Gołuchowski, J. (2025).</w:t>
      </w:r>
    </w:p>
    <w:p w14:paraId="03CB914F"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339243B0"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However, the detonator of an expected result of a social environment is from the perceived reality of it, highlighting emotions as the medium through which stimuli are reflected and fundamental courses of action are chosen for the achievement of certain results. Davidson, D. J., &amp; Kecinski, M. (2022).</w:t>
      </w:r>
    </w:p>
    <w:p w14:paraId="0D3B956D"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II. POSESIONS AND FEELING OF DEFICIENCY FROM THE ECONOMY OF BEHAVIOR</w:t>
      </w:r>
    </w:p>
    <w:p w14:paraId="41E02BF2" w14:textId="77777777" w:rsid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The poses in the economy of behavior function in a similar way to the material poses. Personas obtain psychological utility based on tangible assets, as well as their beliefs. Individuals choose, maintain and adjust their belief systems to satisfy psychological needs such as identity, sense of belonging, internal coherence and self-esteem.</w:t>
      </w:r>
    </w:p>
    <w:p w14:paraId="5002C957" w14:textId="77777777" w:rsidR="00B76E71" w:rsidRPr="00A64327" w:rsidRDefault="00B76E71" w:rsidP="00A64327">
      <w:pPr>
        <w:spacing w:after="0" w:line="240" w:lineRule="auto"/>
        <w:jc w:val="both"/>
        <w:rPr>
          <w:rFonts w:ascii="Arial" w:eastAsia="Times New Roman" w:hAnsi="Arial" w:cs="Arial"/>
          <w:kern w:val="0"/>
          <w:sz w:val="20"/>
          <w:szCs w:val="20"/>
          <w:lang w:val="en-US"/>
          <w14:ligatures w14:val="none"/>
        </w:rPr>
      </w:pPr>
    </w:p>
    <w:p w14:paraId="15F2F410" w14:textId="77777777" w:rsid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lastRenderedPageBreak/>
        <w:t>Credentials are not limited by physical resources, but rather by cognitive and social restrictions. Even though people can be motivated to adopt favorable beliefs for their emotional well-being, there are limits imposed by reality, social pressure, logical consistency and available evidence. Therefore, understanding how beliefs are formed, maintained and abandoned is key to explaining contemporary social phenomena such as radicalization, resistance to the change of opinion and ideological conflicts. Gadzali, S. S. (2023).</w:t>
      </w:r>
    </w:p>
    <w:p w14:paraId="2489BB0B" w14:textId="77777777" w:rsidR="00B76E71" w:rsidRPr="00A64327" w:rsidRDefault="00B76E71" w:rsidP="00A64327">
      <w:pPr>
        <w:spacing w:after="0" w:line="240" w:lineRule="auto"/>
        <w:jc w:val="both"/>
        <w:rPr>
          <w:rFonts w:ascii="Arial" w:eastAsia="Times New Roman" w:hAnsi="Arial" w:cs="Arial"/>
          <w:kern w:val="0"/>
          <w:sz w:val="20"/>
          <w:szCs w:val="20"/>
          <w:lang w:val="en-US"/>
          <w14:ligatures w14:val="none"/>
        </w:rPr>
      </w:pPr>
    </w:p>
    <w:p w14:paraId="52D9556F" w14:textId="77777777" w:rsid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The rational response to poses in the economy of behavior is a measure of search before the expectation of an uncertain future life, assuming that people have an accurate perception of probabilities associated with possible future events. In economic terms, people "discover" the future; This is to decide, preferring the present to the future, if everything else remains the same, and taking current actions that maximize the sum discounted from the future. Its actions are consistent over time. This is a variant of the well-known "expected utility" model, which, according to Kahneman and Tversky, does not reflect human behavior (see Chapter 2). Kahneman, D., &amp; Tversky, A. (1979).</w:t>
      </w:r>
    </w:p>
    <w:p w14:paraId="76AF6541" w14:textId="77777777" w:rsidR="00B76E71" w:rsidRPr="00A64327" w:rsidRDefault="00B76E71" w:rsidP="00A64327">
      <w:pPr>
        <w:spacing w:after="0" w:line="240" w:lineRule="auto"/>
        <w:jc w:val="both"/>
        <w:rPr>
          <w:rFonts w:ascii="Arial" w:eastAsia="Times New Roman" w:hAnsi="Arial" w:cs="Arial"/>
          <w:kern w:val="0"/>
          <w:sz w:val="20"/>
          <w:szCs w:val="20"/>
          <w:lang w:val="en-US"/>
          <w14:ligatures w14:val="none"/>
        </w:rPr>
      </w:pPr>
    </w:p>
    <w:p w14:paraId="41CC57F6"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In the theory of the economics of behavior there is no single definition for this term. The theoretical approach to the concept comes from a set of behaviors that seem to deviate from the prediction of traditional models, without building a theory with an integral foundation. However, five fundamental principles have been identified, which allow us to test behavioral hypotheses and develop strategies to influence behavior: limited attention and cognition, inaccurate beliefs, sense of the present, dependence and frame of reference, and preferences and social norms.</w:t>
      </w:r>
    </w:p>
    <w:p w14:paraId="57576131"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4E38730F"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1. Limited attention and cognition</w:t>
      </w:r>
    </w:p>
    <w:p w14:paraId="66A2F39E"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The degree to which people understand, pay attention and process information is crucial in any decision. However, people only pay limited attention to important aspects of their surroundings, often experiencing difficulties in processing information and making cognitive errors even in simple situations.</w:t>
      </w:r>
    </w:p>
    <w:p w14:paraId="1468E731"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177A00C5"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2. Inaccurate beliefs</w:t>
      </w:r>
    </w:p>
    <w:p w14:paraId="3E7C415C"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People often have incorrect perceptions or information about the situations they encounter, the incentives they face, their own abilities and the beliefs of others, often as a result of limited attention or cognition.</w:t>
      </w:r>
    </w:p>
    <w:p w14:paraId="3FE43E50"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32375F60" w14:textId="29E1E88C"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 xml:space="preserve">3. </w:t>
      </w:r>
      <w:r w:rsidR="000A674B" w:rsidRPr="000A674B">
        <w:rPr>
          <w:rFonts w:ascii="Arial" w:eastAsia="Times New Roman" w:hAnsi="Arial" w:cs="Arial"/>
          <w:kern w:val="0"/>
          <w:sz w:val="20"/>
          <w:szCs w:val="20"/>
          <w:lang w:val="en-US"/>
          <w14:ligatures w14:val="none"/>
        </w:rPr>
        <w:t>Present Bias</w:t>
      </w:r>
    </w:p>
    <w:p w14:paraId="1152B753"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People tend to focus disproportionately on issues that exist before them in the present moment, paying less attention to benefits and future consequences. This question has important implications for decisions about consumption, payments and utility.</w:t>
      </w:r>
    </w:p>
    <w:p w14:paraId="2D4FAFA3"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6511DACD"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3. Reference and framing dependency</w:t>
      </w:r>
    </w:p>
    <w:p w14:paraId="7903DB76"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People have to evaluate risk decisions by considering how options relate to a particular point of reference. That is to say, evaluating if a result would be a gain or a loss by comparing the possible results with a single point of reference, such as the current status quo, instead of considering all possible alternatives. Therefore, people are sensitive to the way in which decision problems are raised, which affects the possible results they perceive.</w:t>
      </w:r>
    </w:p>
    <w:p w14:paraId="24073AC6"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4. Preferences and Social Norms</w:t>
      </w:r>
    </w:p>
    <w:p w14:paraId="44668FFA" w14:textId="77777777" w:rsidR="00A64327"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An important aspect of the context for decision-making is the perception of how their own actions relate to others, including others' well-being: people compare themselves to themselves and others, and worry about their social position, how they transmit their values ​​and preferences to others, and how they feel adjusting to social norms. Buttenheim, A., Moffitt, R., &amp; Beatty, A. (2023).</w:t>
      </w:r>
    </w:p>
    <w:p w14:paraId="2DAE3FB1"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p>
    <w:p w14:paraId="10CE22ED"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lastRenderedPageBreak/>
        <w:t>These factors contribute to an understanding by arguing that decisions are influenced by limited understanding capabilities to process information and be free from errors. By deciding, posing ideologies defined in the context and unequal capabilities, you can prioritize the creation of immediate benefits over future consequences.</w:t>
      </w:r>
    </w:p>
    <w:p w14:paraId="4F1E855C"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60EEFB27"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III. EXPECTATION THEORY FROM THE ECONOMY OF BEHAVIOR</w:t>
      </w:r>
    </w:p>
    <w:p w14:paraId="4B25F41D"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0A12DA6D"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Within the scope of the behavioral economy, the expectations of rational agents result in economic decisions about consumption or investment centered on expectations.</w:t>
      </w:r>
    </w:p>
    <w:p w14:paraId="10522B91"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3B5E1458"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The expectations and subsequent decisions determine the most important macroeconomic results, such as aggregate supply and demand, the economic cycle, as well as the booms and financial crises. It can stabilize, but also destabilize, economies and drive major events. The global financial crisis of 2008 demonstrated categorically that the beliefs of agents are important (Gennaioli and Shleifer, 2018).</w:t>
      </w:r>
    </w:p>
    <w:p w14:paraId="233F566D"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4FE360FF"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Several political leaders recognize that shaping beliefs and intervening in the dynamics of expectations could be crucial for the successful governance of the economic system and financial markets. If it is necessary to modify contemporary concepts about expectations, which are too centered on human cognitive capabilities and tend to succumb to feelings and emotions, to imagine and narrate, researchers should not blindly overestimate the importance of technology. In other words, a more detailed investigation is required on how human and algorithmic knowledge, (in)attention, data management, histories, etc., influence the beliefs of markets, homes and companies. Tuckett D. et al. (2020)</w:t>
      </w:r>
    </w:p>
    <w:p w14:paraId="610D08D3"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4C187FF6"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From the theory of games, the criteria of maximin and minimin, based on winning expectations and the smallest possible loss form part of rational thinking. However, information visualization is key in areas such as human-agent collaboration, constituting itself as a decision problem. To attribute the loss to human performance, it is necessary to provide the information that a rational agent needs to identify the normative decision. Hullman, J., Kale, A., &amp; Hartline, J. (2025, April).</w:t>
      </w:r>
    </w:p>
    <w:p w14:paraId="62F1DD20"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73BD0FE1" w14:textId="77777777" w:rsidR="00B76E71" w:rsidRPr="00B76E71" w:rsidRDefault="00B76E71" w:rsidP="00B76E71">
      <w:pPr>
        <w:spacing w:after="0" w:line="240" w:lineRule="auto"/>
        <w:jc w:val="both"/>
        <w:rPr>
          <w:rFonts w:ascii="Arial" w:eastAsia="Times New Roman" w:hAnsi="Arial" w:cs="Arial"/>
          <w:kern w:val="0"/>
          <w:sz w:val="20"/>
          <w:szCs w:val="20"/>
          <w14:ligatures w14:val="none"/>
        </w:rPr>
      </w:pPr>
      <w:r w:rsidRPr="00B76E71">
        <w:rPr>
          <w:rFonts w:ascii="Arial" w:eastAsia="Times New Roman" w:hAnsi="Arial" w:cs="Arial"/>
          <w:kern w:val="0"/>
          <w:sz w:val="20"/>
          <w:szCs w:val="20"/>
          <w:lang w:val="en-US"/>
          <w14:ligatures w14:val="none"/>
        </w:rPr>
        <w:t xml:space="preserve">When making decisions under conditions of uncertainty and waiting for the fulfillment of some expectation, people often deviate from rational behavior, which can be evaluated in three dimensions: preference for risk, consideration of probability and aversion to loss. Given the widespread use of large language models (LLM) to support decision-making processes, it is crucial to evaluate whether your behavior aligns with human norms and ethical expectations or displays possible safe ways. </w:t>
      </w:r>
      <w:r w:rsidRPr="00B76E71">
        <w:rPr>
          <w:rFonts w:ascii="Arial" w:eastAsia="Times New Roman" w:hAnsi="Arial" w:cs="Arial"/>
          <w:kern w:val="0"/>
          <w:sz w:val="20"/>
          <w:szCs w:val="20"/>
          <w14:ligatures w14:val="none"/>
        </w:rPr>
        <w:t>Jia, J., Yuan, Z., Pan, J., McNamara, P. E., &amp; Chen, D. (2024).</w:t>
      </w:r>
    </w:p>
    <w:p w14:paraId="37172339"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However, in the theory of expected utility, implementation problems do not arise: all results are associated with precise probabilities and utilities; Therefore, each option has a precise expected utility, and the order of the options is always well defined. In this sense, the imprecision of value — and the implementation problems that it generates — is no more appropriate in prospective theory than in expected utility theory. This natural strategy undoubtedly contributed to the great influence of prospective theory in economic applications. But it also imported a somewhat realistic idealization of the theory of expected utility to the psychology of decision making: the assumption of precise subjective values ​​and complete classifications.</w:t>
      </w:r>
    </w:p>
    <w:p w14:paraId="0DAF1E8C"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From the theory of management, the theory of games has been explored for the definition of traditional strategies of rational election, which assumes that the preferences of agents are complete and therefore, a division of the theory of rational election is proposed — theory of preference and theory of implementation — that questions the normative adequacy of the theory of expected utility and raises questions about the explanatory scope of prospective theory. Sher, S., Müller-Trede, J., &amp; McKenzie, C. R. (2025).</w:t>
      </w:r>
    </w:p>
    <w:p w14:paraId="1233965C"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lastRenderedPageBreak/>
        <w:t>Individual behavior depends primarily on economic incentives and accessible information, as well as preferences, skills, experiences and other individual characteristics. personal characteristics significantly improve our ability to explain and predict economic achievements in the market Hanlon, M., Yeung, K., &amp; Zuo, L. (2022).</w:t>
      </w:r>
    </w:p>
    <w:p w14:paraId="601C156C"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In such a situation, the feeling of scarcity may depend on personal connotations to feelings of penury. Having your own resources or not, allows you to assume the acceptance or rejection of present and past achievements and expected results in the future. In addition to allowing emotions to develop around the recognition of needs,</w:t>
      </w:r>
    </w:p>
    <w:p w14:paraId="306EAD72" w14:textId="77777777" w:rsidR="00B76E71" w:rsidRPr="00A64327" w:rsidRDefault="00B76E71" w:rsidP="00B76E71">
      <w:pPr>
        <w:spacing w:after="0" w:line="240" w:lineRule="auto"/>
        <w:jc w:val="both"/>
        <w:rPr>
          <w:rFonts w:ascii="Arial" w:eastAsia="Times New Roman" w:hAnsi="Arial" w:cs="Arial"/>
          <w:kern w:val="0"/>
          <w:sz w:val="20"/>
          <w:szCs w:val="20"/>
          <w:lang w:val="en-US"/>
          <w14:ligatures w14:val="none"/>
        </w:rPr>
      </w:pPr>
    </w:p>
    <w:p w14:paraId="2100C6C2" w14:textId="77777777" w:rsidR="00A64327" w:rsidRDefault="00A64327" w:rsidP="00A64327">
      <w:pPr>
        <w:keepNext/>
        <w:spacing w:after="0" w:line="240" w:lineRule="auto"/>
        <w:jc w:val="both"/>
        <w:rPr>
          <w:rFonts w:ascii="Arial" w:eastAsia="Times New Roman" w:hAnsi="Arial" w:cs="Arial"/>
          <w:b/>
          <w:caps/>
          <w:kern w:val="0"/>
          <w:szCs w:val="20"/>
          <w:lang w:val="en-US"/>
          <w14:ligatures w14:val="none"/>
        </w:rPr>
      </w:pPr>
      <w:r w:rsidRPr="00A64327">
        <w:rPr>
          <w:rFonts w:ascii="Arial" w:eastAsia="Times New Roman" w:hAnsi="Arial" w:cs="Arial"/>
          <w:b/>
          <w:caps/>
          <w:kern w:val="0"/>
          <w:szCs w:val="20"/>
          <w:lang w:val="en-US"/>
          <w14:ligatures w14:val="none"/>
        </w:rPr>
        <w:t xml:space="preserve">2. methodology </w:t>
      </w:r>
    </w:p>
    <w:p w14:paraId="35D5B9DF" w14:textId="77777777" w:rsidR="00A64327" w:rsidRPr="00A64327" w:rsidRDefault="00A64327" w:rsidP="00A64327">
      <w:pPr>
        <w:keepNext/>
        <w:spacing w:after="0" w:line="240" w:lineRule="auto"/>
        <w:jc w:val="both"/>
        <w:rPr>
          <w:rFonts w:ascii="Arial" w:eastAsia="Times New Roman" w:hAnsi="Arial" w:cs="Arial"/>
          <w:b/>
          <w:caps/>
          <w:kern w:val="0"/>
          <w:szCs w:val="20"/>
          <w:lang w:val="en-US"/>
          <w14:ligatures w14:val="none"/>
        </w:rPr>
      </w:pPr>
    </w:p>
    <w:p w14:paraId="63487F18" w14:textId="77777777" w:rsidR="00A64327" w:rsidRDefault="00B76E71" w:rsidP="00A64327">
      <w:pPr>
        <w:spacing w:after="0" w:line="240" w:lineRule="auto"/>
        <w:jc w:val="both"/>
        <w:rPr>
          <w:rFonts w:ascii="Arial" w:eastAsia="Times New Roman" w:hAnsi="Arial" w:cs="Arial"/>
          <w:kern w:val="0"/>
          <w:sz w:val="20"/>
          <w:szCs w:val="20"/>
          <w:lang w:val="en-US"/>
          <w14:ligatures w14:val="none"/>
        </w:rPr>
      </w:pPr>
      <w:commentRangeStart w:id="4"/>
      <w:r w:rsidRPr="00B76E71">
        <w:rPr>
          <w:rFonts w:ascii="Arial" w:eastAsia="Times New Roman" w:hAnsi="Arial" w:cs="Arial"/>
          <w:kern w:val="0"/>
          <w:sz w:val="20"/>
          <w:szCs w:val="20"/>
          <w:lang w:val="en-US"/>
          <w14:ligatures w14:val="none"/>
        </w:rPr>
        <w:t>The methodology used in this investigation was designed to identify: 1) the particular characteristics of university students through a representative sample. As well as 2) the perception of university students regarding the personal conditions for generating expectations. For him, the empirical study of identification of perceptions regarding individual feeling from experiences and feelings obtained was applied in a personal way in situ; seeking to analyze data in a descriptive and relational way.</w:t>
      </w:r>
      <w:commentRangeEnd w:id="4"/>
      <w:r w:rsidR="007C60B7">
        <w:rPr>
          <w:rStyle w:val="CommentReference"/>
          <w:rFonts w:ascii="Arial" w:eastAsia="Times New Roman" w:hAnsi="Arial" w:cs="Arial"/>
          <w:kern w:val="0"/>
          <w:sz w:val="20"/>
          <w:szCs w:val="20"/>
          <w:lang w:val="en-US"/>
          <w14:ligatures w14:val="none"/>
        </w:rPr>
        <w:commentReference w:id="4"/>
      </w:r>
    </w:p>
    <w:p w14:paraId="6F40A8D0" w14:textId="77777777" w:rsidR="00B76E71" w:rsidRPr="00A64327" w:rsidRDefault="00B76E71" w:rsidP="00A64327">
      <w:pPr>
        <w:spacing w:after="0" w:line="240" w:lineRule="auto"/>
        <w:jc w:val="both"/>
        <w:rPr>
          <w:rFonts w:ascii="Arial" w:eastAsia="Times New Roman" w:hAnsi="Arial" w:cs="Arial"/>
          <w:kern w:val="0"/>
          <w:sz w:val="20"/>
          <w:szCs w:val="20"/>
          <w:lang w:val="en-US"/>
          <w14:ligatures w14:val="none"/>
        </w:rPr>
      </w:pPr>
    </w:p>
    <w:p w14:paraId="1E991F63"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7355DB20" w14:textId="77777777" w:rsidR="00A64327" w:rsidRPr="00A64327" w:rsidRDefault="00A64327" w:rsidP="00A64327">
      <w:pPr>
        <w:keepNext/>
        <w:spacing w:after="0" w:line="240" w:lineRule="auto"/>
        <w:jc w:val="both"/>
        <w:rPr>
          <w:rFonts w:ascii="Arial" w:eastAsia="Times New Roman" w:hAnsi="Arial" w:cs="Arial"/>
          <w:b/>
          <w:caps/>
          <w:kern w:val="0"/>
          <w:szCs w:val="20"/>
          <w:lang w:val="en-US"/>
          <w14:ligatures w14:val="none"/>
        </w:rPr>
      </w:pPr>
      <w:r w:rsidRPr="00A64327">
        <w:rPr>
          <w:rFonts w:ascii="Arial" w:eastAsia="Times New Roman" w:hAnsi="Arial" w:cs="Arial"/>
          <w:b/>
          <w:caps/>
          <w:kern w:val="0"/>
          <w:szCs w:val="20"/>
          <w:lang w:val="en-US"/>
          <w14:ligatures w14:val="none"/>
        </w:rPr>
        <w:lastRenderedPageBreak/>
        <w:t>3. results and discussion</w:t>
      </w:r>
    </w:p>
    <w:p w14:paraId="3FC44360" w14:textId="77777777" w:rsidR="00A64327" w:rsidRPr="00A64327" w:rsidRDefault="00A64327" w:rsidP="00A64327">
      <w:pPr>
        <w:keepNext/>
        <w:spacing w:after="0" w:line="240" w:lineRule="auto"/>
        <w:jc w:val="both"/>
        <w:rPr>
          <w:rFonts w:ascii="Arial" w:eastAsia="Times New Roman" w:hAnsi="Arial" w:cs="Arial"/>
          <w:b/>
          <w:caps/>
          <w:kern w:val="0"/>
          <w:szCs w:val="20"/>
          <w:lang w:val="en-US"/>
          <w14:ligatures w14:val="none"/>
        </w:rPr>
      </w:pPr>
    </w:p>
    <w:p w14:paraId="67599150" w14:textId="77777777" w:rsidR="00B76E71" w:rsidRPr="00B76E71" w:rsidRDefault="00B76E71" w:rsidP="00B76E71">
      <w:pPr>
        <w:keepNext/>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The results presented were continued by those obtained by the application of the survey disseminated by electronic media from the 8th to the 23rd of January 2026.</w:t>
      </w:r>
    </w:p>
    <w:p w14:paraId="7228A94A" w14:textId="77777777" w:rsidR="00DB03ED" w:rsidRDefault="00DB03ED" w:rsidP="00B76E71">
      <w:pPr>
        <w:keepNext/>
        <w:spacing w:after="0" w:line="240" w:lineRule="auto"/>
        <w:jc w:val="both"/>
        <w:rPr>
          <w:rFonts w:ascii="Arial" w:eastAsia="Times New Roman" w:hAnsi="Arial" w:cs="Arial"/>
          <w:kern w:val="0"/>
          <w:sz w:val="20"/>
          <w:szCs w:val="20"/>
          <w:lang w:val="en-US"/>
          <w14:ligatures w14:val="none"/>
        </w:rPr>
      </w:pPr>
    </w:p>
    <w:p w14:paraId="1CF3660F" w14:textId="77777777" w:rsidR="00B76E71" w:rsidRPr="00B76E71" w:rsidRDefault="00DB03ED" w:rsidP="00B76E71">
      <w:pPr>
        <w:keepNext/>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 presents the university community that practices some sport, highlighting it as a sporting habit among surveyed students.</w:t>
      </w:r>
    </w:p>
    <w:p w14:paraId="409F0FC3" w14:textId="77777777" w:rsidR="00B76E71" w:rsidRPr="00B76E71" w:rsidRDefault="00B76E71" w:rsidP="00B76E71">
      <w:pPr>
        <w:keepNext/>
        <w:spacing w:after="0" w:line="240" w:lineRule="auto"/>
        <w:jc w:val="both"/>
        <w:rPr>
          <w:rFonts w:ascii="Arial" w:eastAsia="Times New Roman" w:hAnsi="Arial" w:cs="Arial"/>
          <w:kern w:val="0"/>
          <w:sz w:val="20"/>
          <w:szCs w:val="20"/>
          <w:lang w:val="en-US"/>
          <w14:ligatures w14:val="none"/>
        </w:rPr>
      </w:pPr>
    </w:p>
    <w:p w14:paraId="312C7C2A" w14:textId="77777777" w:rsidR="00DB03ED"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noProof/>
          <w:kern w:val="0"/>
          <w:sz w:val="20"/>
          <w:szCs w:val="20"/>
          <w:lang w:val="en-US"/>
          <w14:ligatures w14:val="none"/>
        </w:rPr>
        <w:drawing>
          <wp:inline distT="0" distB="0" distL="0" distR="0" wp14:anchorId="66D8CD7B" wp14:editId="34B0C03F">
            <wp:extent cx="3066415" cy="1666875"/>
            <wp:effectExtent l="0" t="0" r="635" b="9525"/>
            <wp:docPr id="1359174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6415" cy="1666875"/>
                    </a:xfrm>
                    <a:prstGeom prst="rect">
                      <a:avLst/>
                    </a:prstGeom>
                    <a:noFill/>
                  </pic:spPr>
                </pic:pic>
              </a:graphicData>
            </a:graphic>
          </wp:inline>
        </w:drawing>
      </w:r>
    </w:p>
    <w:p w14:paraId="12A4264F"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w:t>
      </w:r>
    </w:p>
    <w:p w14:paraId="3E5E7061"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Sports practice</w:t>
      </w:r>
    </w:p>
    <w:p w14:paraId="4809FE3F"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426B9BE4" w14:textId="77777777" w:rsidR="00DB03ED" w:rsidRDefault="00DB03ED" w:rsidP="00DB03ED">
      <w:pPr>
        <w:keepNext/>
        <w:spacing w:after="0" w:line="240" w:lineRule="auto"/>
        <w:jc w:val="center"/>
        <w:rPr>
          <w:rFonts w:ascii="Arial" w:eastAsia="Times New Roman" w:hAnsi="Arial" w:cs="Arial"/>
          <w:kern w:val="0"/>
          <w:sz w:val="20"/>
          <w:szCs w:val="20"/>
          <w:lang w:val="en-US"/>
          <w14:ligatures w14:val="none"/>
        </w:rPr>
      </w:pPr>
    </w:p>
    <w:p w14:paraId="35484DF9"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2 presents a university community that practices some creed or religion, showing that practices are a frequent personal element among students.</w:t>
      </w:r>
    </w:p>
    <w:p w14:paraId="31E4229F"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18110D73" w14:textId="77777777" w:rsidR="00DB03ED" w:rsidRDefault="00DB03ED" w:rsidP="00DB03ED">
      <w:pPr>
        <w:keepNext/>
        <w:spacing w:after="0" w:line="240" w:lineRule="auto"/>
        <w:jc w:val="center"/>
        <w:rPr>
          <w:rFonts w:ascii="Arial" w:eastAsia="Times New Roman" w:hAnsi="Arial" w:cs="Arial"/>
          <w:kern w:val="0"/>
          <w:sz w:val="20"/>
          <w:szCs w:val="20"/>
          <w:lang w:val="en-US"/>
          <w14:ligatures w14:val="none"/>
        </w:rPr>
      </w:pPr>
      <w:r w:rsidRPr="00DB03ED">
        <w:rPr>
          <w:rFonts w:ascii="Arial" w:eastAsia="Calibri" w:hAnsi="Arial" w:cs="Arial"/>
          <w:noProof/>
          <w:kern w:val="0"/>
          <w14:ligatures w14:val="none"/>
        </w:rPr>
        <w:drawing>
          <wp:inline distT="0" distB="0" distL="0" distR="0" wp14:anchorId="7BCBFCA3" wp14:editId="5BA7EB8E">
            <wp:extent cx="3096895" cy="1764665"/>
            <wp:effectExtent l="0" t="0" r="8255" b="6985"/>
            <wp:docPr id="675603197"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3DA687"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2</w:t>
      </w:r>
    </w:p>
    <w:p w14:paraId="152A7A43"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Religious practice</w:t>
      </w:r>
    </w:p>
    <w:p w14:paraId="19A1216D" w14:textId="77777777" w:rsid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558C1834" w14:textId="77777777" w:rsidR="00DB03ED"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p>
    <w:p w14:paraId="7A897946"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3 presents the university community that reaches conclusions of decisions that have been made throughout their lives.</w:t>
      </w:r>
    </w:p>
    <w:p w14:paraId="06FE7256" w14:textId="77777777" w:rsidR="00DB03ED" w:rsidRDefault="00DB03ED" w:rsidP="00DB03ED">
      <w:pPr>
        <w:keepNext/>
        <w:spacing w:after="0" w:line="240" w:lineRule="auto"/>
        <w:jc w:val="center"/>
        <w:rPr>
          <w:rFonts w:ascii="Arial" w:eastAsia="Times New Roman" w:hAnsi="Arial" w:cs="Arial"/>
          <w:kern w:val="0"/>
          <w:sz w:val="20"/>
          <w:szCs w:val="20"/>
          <w:lang w:val="en-US"/>
          <w14:ligatures w14:val="none"/>
        </w:rPr>
      </w:pPr>
    </w:p>
    <w:p w14:paraId="6A75031D" w14:textId="77777777" w:rsidR="00DB03ED"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noProof/>
          <w:kern w:val="0"/>
          <w:sz w:val="20"/>
          <w:szCs w:val="20"/>
          <w:lang w:val="en-US"/>
          <w14:ligatures w14:val="none"/>
        </w:rPr>
        <w:lastRenderedPageBreak/>
        <w:drawing>
          <wp:inline distT="0" distB="0" distL="0" distR="0" wp14:anchorId="75063102" wp14:editId="5404879E">
            <wp:extent cx="3123565" cy="2152650"/>
            <wp:effectExtent l="0" t="0" r="635" b="0"/>
            <wp:docPr id="202869555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3565" cy="2152650"/>
                    </a:xfrm>
                    <a:prstGeom prst="rect">
                      <a:avLst/>
                    </a:prstGeom>
                    <a:noFill/>
                  </pic:spPr>
                </pic:pic>
              </a:graphicData>
            </a:graphic>
          </wp:inline>
        </w:drawing>
      </w:r>
    </w:p>
    <w:p w14:paraId="26056061"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3</w:t>
      </w:r>
    </w:p>
    <w:p w14:paraId="374F31D8"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Self-reflection practice</w:t>
      </w:r>
    </w:p>
    <w:p w14:paraId="743805AE"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43ED8BA"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1A0D1C6F"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4 presents the university community that changes its life plans frequently.</w:t>
      </w:r>
    </w:p>
    <w:p w14:paraId="04087F08"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4CD39ADB" wp14:editId="6CE890F5">
            <wp:extent cx="2887345" cy="1983105"/>
            <wp:effectExtent l="0" t="0" r="8255" b="17145"/>
            <wp:docPr id="1904904238"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FE0BEE"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p>
    <w:p w14:paraId="311C81E1"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4</w:t>
      </w:r>
    </w:p>
    <w:p w14:paraId="2DAF551A"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Changing life plans</w:t>
      </w:r>
    </w:p>
    <w:p w14:paraId="3A60A169"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81D0041"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7B9F7F8C"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5 presents the university community that analyzes how to contribute to the development of other people.</w:t>
      </w:r>
    </w:p>
    <w:p w14:paraId="30ED1812"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12C127E9" w14:textId="77777777" w:rsidR="008352B5" w:rsidRDefault="008352B5">
      <w:pPr>
        <w:spacing w:after="160" w:line="259"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br w:type="page"/>
      </w:r>
    </w:p>
    <w:p w14:paraId="1724C00F"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lastRenderedPageBreak/>
        <w:t xml:space="preserve">Fig. </w:t>
      </w:r>
      <w:r w:rsidR="00B76E71" w:rsidRPr="00B76E71">
        <w:rPr>
          <w:rFonts w:ascii="Arial" w:eastAsia="Times New Roman" w:hAnsi="Arial" w:cs="Arial"/>
          <w:kern w:val="0"/>
          <w:sz w:val="20"/>
          <w:szCs w:val="20"/>
          <w:lang w:val="en-US"/>
          <w14:ligatures w14:val="none"/>
        </w:rPr>
        <w:t xml:space="preserve"> 5</w:t>
      </w:r>
    </w:p>
    <w:p w14:paraId="77E8AB94"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Bonhomie to third parties</w:t>
      </w:r>
    </w:p>
    <w:p w14:paraId="340B4C72"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308078AC" w14:textId="77777777" w:rsidR="00B76E71" w:rsidRPr="00B76E71"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310DF932" wp14:editId="001DC61D">
            <wp:extent cx="2895600" cy="2112645"/>
            <wp:effectExtent l="0" t="0" r="0" b="1905"/>
            <wp:docPr id="1750552089"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BA22E5C"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6 presents the university community that has supported another person in some situation they face, taking into account past experiences.</w:t>
      </w:r>
    </w:p>
    <w:p w14:paraId="27D94B07" w14:textId="77777777" w:rsidR="00DB03ED" w:rsidRDefault="00DB03ED" w:rsidP="00DB03ED">
      <w:pPr>
        <w:keepNext/>
        <w:spacing w:after="0" w:line="240" w:lineRule="auto"/>
        <w:jc w:val="center"/>
        <w:rPr>
          <w:rFonts w:ascii="Arial" w:eastAsia="Times New Roman" w:hAnsi="Arial" w:cs="Arial"/>
          <w:kern w:val="0"/>
          <w:sz w:val="20"/>
          <w:szCs w:val="20"/>
          <w:lang w:val="en-US"/>
          <w14:ligatures w14:val="none"/>
        </w:rPr>
      </w:pPr>
    </w:p>
    <w:p w14:paraId="56200995" w14:textId="77777777" w:rsidR="00DB03ED"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21872C53" wp14:editId="59BC2492">
            <wp:extent cx="2884170" cy="1962785"/>
            <wp:effectExtent l="0" t="0" r="11430" b="18415"/>
            <wp:docPr id="213945738"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1C8241"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6</w:t>
      </w:r>
    </w:p>
    <w:p w14:paraId="2EBDCB62"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Share personal experiences</w:t>
      </w:r>
    </w:p>
    <w:p w14:paraId="42304B4A"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51C523CF"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7 shows the university community that has made decisions based on what other people have done. This assumption shows that cognitive processes are the basis for recognizing </w:t>
      </w:r>
      <w:r w:rsidR="00B76E71" w:rsidRPr="00B76E71">
        <w:rPr>
          <w:rFonts w:ascii="Arial" w:eastAsia="Times New Roman" w:hAnsi="Arial" w:cs="Arial"/>
          <w:kern w:val="0"/>
          <w:sz w:val="20"/>
          <w:szCs w:val="20"/>
          <w:lang w:val="en-US"/>
          <w14:ligatures w14:val="none"/>
        </w:rPr>
        <w:lastRenderedPageBreak/>
        <w:t>decisions between the population. What you can do would depend on the information you have from the experiences of others.</w:t>
      </w:r>
    </w:p>
    <w:p w14:paraId="12FB9272"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582DD583" w14:textId="77777777" w:rsidR="00DB03ED" w:rsidRDefault="008352B5"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noProof/>
          <w:kern w:val="0"/>
          <w:sz w:val="20"/>
          <w:szCs w:val="20"/>
          <w:lang w:val="en-US"/>
          <w14:ligatures w14:val="none"/>
        </w:rPr>
        <w:drawing>
          <wp:inline distT="0" distB="0" distL="0" distR="0" wp14:anchorId="6C47E5B1" wp14:editId="1145FCF0">
            <wp:extent cx="2914015" cy="1981200"/>
            <wp:effectExtent l="0" t="0" r="635" b="0"/>
            <wp:docPr id="176022878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14015" cy="1981200"/>
                    </a:xfrm>
                    <a:prstGeom prst="rect">
                      <a:avLst/>
                    </a:prstGeom>
                    <a:noFill/>
                  </pic:spPr>
                </pic:pic>
              </a:graphicData>
            </a:graphic>
          </wp:inline>
        </w:drawing>
      </w:r>
    </w:p>
    <w:p w14:paraId="7164E1F9"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7</w:t>
      </w:r>
    </w:p>
    <w:p w14:paraId="463DF010"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Third party information for other people's decisions</w:t>
      </w:r>
    </w:p>
    <w:p w14:paraId="512F7126"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414A8C1"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479AC7CF"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8 presents the university community that reflects on the most important/influential decisions in their lives.</w:t>
      </w:r>
    </w:p>
    <w:p w14:paraId="17F025EC" w14:textId="77777777" w:rsid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72EB7A6A" w14:textId="77777777" w:rsidR="00DB03ED" w:rsidRPr="00B76E71"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450531B8" wp14:editId="73514054">
            <wp:extent cx="2922905" cy="2239010"/>
            <wp:effectExtent l="0" t="0" r="10795" b="8890"/>
            <wp:docPr id="454035127"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EC430BD"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8</w:t>
      </w:r>
    </w:p>
    <w:p w14:paraId="578EA2CB"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Practice cognitive self-reflection</w:t>
      </w:r>
    </w:p>
    <w:p w14:paraId="16082150"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50F2AC30"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08C49B23"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9 presents the university community that regrets the decisions it has made in its life.</w:t>
      </w:r>
    </w:p>
    <w:p w14:paraId="79803E31"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p>
    <w:p w14:paraId="47DECBA5"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p>
    <w:p w14:paraId="49375DDF"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p>
    <w:p w14:paraId="6C19012F"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noProof/>
          <w:kern w:val="0"/>
          <w:sz w:val="20"/>
          <w:szCs w:val="20"/>
          <w:lang w:val="en-US"/>
          <w14:ligatures w14:val="none"/>
        </w:rPr>
        <w:lastRenderedPageBreak/>
        <w:drawing>
          <wp:inline distT="0" distB="0" distL="0" distR="0" wp14:anchorId="7D042DCF" wp14:editId="0F1DDCCA">
            <wp:extent cx="3018790" cy="2143125"/>
            <wp:effectExtent l="0" t="0" r="0" b="9525"/>
            <wp:docPr id="125858523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18790" cy="2143125"/>
                    </a:xfrm>
                    <a:prstGeom prst="rect">
                      <a:avLst/>
                    </a:prstGeom>
                    <a:noFill/>
                  </pic:spPr>
                </pic:pic>
              </a:graphicData>
            </a:graphic>
          </wp:inline>
        </w:drawing>
      </w:r>
    </w:p>
    <w:p w14:paraId="164F6BBA"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9</w:t>
      </w:r>
    </w:p>
    <w:p w14:paraId="7FE47796"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Practice self-reflection and sensitivity</w:t>
      </w:r>
    </w:p>
    <w:p w14:paraId="7ACCBE75" w14:textId="77777777" w:rsid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1BB39035" w14:textId="77777777" w:rsidR="00DB03ED"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p>
    <w:p w14:paraId="52B004EA"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10 presents the university community that recognizes the best way to lead life.</w:t>
      </w:r>
    </w:p>
    <w:p w14:paraId="45B95FAC"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noProof/>
          <w:kern w:val="0"/>
          <w:sz w:val="20"/>
          <w:szCs w:val="20"/>
          <w:lang w:val="en-US"/>
          <w14:ligatures w14:val="none"/>
        </w:rPr>
        <w:drawing>
          <wp:inline distT="0" distB="0" distL="0" distR="0" wp14:anchorId="44D0F056" wp14:editId="07ABF80B">
            <wp:extent cx="2780665" cy="2095500"/>
            <wp:effectExtent l="0" t="0" r="635" b="0"/>
            <wp:docPr id="144954548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80665" cy="2095500"/>
                    </a:xfrm>
                    <a:prstGeom prst="rect">
                      <a:avLst/>
                    </a:prstGeom>
                    <a:noFill/>
                  </pic:spPr>
                </pic:pic>
              </a:graphicData>
            </a:graphic>
          </wp:inline>
        </w:drawing>
      </w:r>
    </w:p>
    <w:p w14:paraId="73981B14"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10</w:t>
      </w:r>
    </w:p>
    <w:p w14:paraId="2D53C70D"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Acceptable recognition</w:t>
      </w:r>
    </w:p>
    <w:p w14:paraId="02081013"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0A5D4DEC"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3882FFE0"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11 demonstrates the percentage of the university community that has resources and resources that allow them to achieve their personal goals. In other words, 86% of those </w:t>
      </w:r>
      <w:r w:rsidR="00B76E71" w:rsidRPr="00B76E71">
        <w:rPr>
          <w:rFonts w:ascii="Arial" w:eastAsia="Times New Roman" w:hAnsi="Arial" w:cs="Arial"/>
          <w:kern w:val="0"/>
          <w:sz w:val="20"/>
          <w:szCs w:val="20"/>
          <w:lang w:val="en-US"/>
          <w14:ligatures w14:val="none"/>
        </w:rPr>
        <w:lastRenderedPageBreak/>
        <w:t>surveyed are economic dependents and, therefore, can express vulnerability and be at the same time a characteristic of dissatisfaction with personal experiences.</w:t>
      </w:r>
    </w:p>
    <w:p w14:paraId="149EF422"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310876A6"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6B577C7C" wp14:editId="164F8D9F">
            <wp:extent cx="2779395" cy="2115185"/>
            <wp:effectExtent l="0" t="0" r="1905" b="18415"/>
            <wp:docPr id="587611443"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CBC7DEC"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11</w:t>
      </w:r>
    </w:p>
    <w:p w14:paraId="56378260"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Economic dependence</w:t>
      </w:r>
    </w:p>
    <w:p w14:paraId="2A918D32"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CE2755B"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06BCF4C3"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12 presents a university community that has its own resources and resources that allow them to fulfill their personal goals.</w:t>
      </w:r>
    </w:p>
    <w:p w14:paraId="1A068202" w14:textId="77777777" w:rsid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06B63DCD" w14:textId="77777777" w:rsidR="00DB03ED" w:rsidRPr="00B76E71"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04F8C7E2" wp14:editId="5718E8A4">
            <wp:extent cx="2807970" cy="2171065"/>
            <wp:effectExtent l="0" t="0" r="11430" b="635"/>
            <wp:docPr id="1061819480" name="Gráfic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86DA85C"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12</w:t>
      </w:r>
    </w:p>
    <w:p w14:paraId="41E07E74"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Dependence on personal goals</w:t>
      </w:r>
    </w:p>
    <w:p w14:paraId="5C600859" w14:textId="77777777" w:rsid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6B2D20DC" w14:textId="77777777" w:rsidR="00DB03ED"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p>
    <w:p w14:paraId="3D5292A8"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13 presents a university community that feels attuned to its personal achievements.</w:t>
      </w:r>
    </w:p>
    <w:p w14:paraId="23D0FEE4"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3CF2BB9" w14:textId="77777777" w:rsidR="00DB03ED"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lastRenderedPageBreak/>
        <w:drawing>
          <wp:inline distT="0" distB="0" distL="0" distR="0" wp14:anchorId="71A1B69D" wp14:editId="63E79979">
            <wp:extent cx="2731770" cy="2011680"/>
            <wp:effectExtent l="0" t="0" r="11430" b="7620"/>
            <wp:docPr id="711528216" name="Gráfic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DCD2934"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13</w:t>
      </w:r>
    </w:p>
    <w:p w14:paraId="22B2974B"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Satisfaction with personal achievements</w:t>
      </w:r>
    </w:p>
    <w:p w14:paraId="3862E533"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44FF9DE8"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1D59B8F5"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14 presents the university community that feels valued by the activities it carries out.</w:t>
      </w:r>
    </w:p>
    <w:p w14:paraId="16194328"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sidRPr="001D0958">
        <w:rPr>
          <w:rFonts w:ascii="Arial" w:hAnsi="Arial" w:cs="Arial"/>
          <w:noProof/>
        </w:rPr>
        <w:drawing>
          <wp:inline distT="0" distB="0" distL="0" distR="0" wp14:anchorId="46F79B49" wp14:editId="240D21AD">
            <wp:extent cx="2761615" cy="2078355"/>
            <wp:effectExtent l="0" t="0" r="635" b="17145"/>
            <wp:docPr id="346539227" name="Gráfico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2321931"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14</w:t>
      </w:r>
    </w:p>
    <w:p w14:paraId="36FD4777"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Autovaluation</w:t>
      </w:r>
    </w:p>
    <w:p w14:paraId="2DAB71D4"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53AA470"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15 presents the university community that considers living in the best reality possible.</w:t>
      </w:r>
    </w:p>
    <w:p w14:paraId="55C32F08"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3BF037A6"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26D1C1BE" wp14:editId="58024BF8">
            <wp:extent cx="2743835" cy="2087880"/>
            <wp:effectExtent l="0" t="0" r="18415" b="7620"/>
            <wp:docPr id="313791573" name="Gráfico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993AACF"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15</w:t>
      </w:r>
    </w:p>
    <w:p w14:paraId="010C6FF7"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lastRenderedPageBreak/>
        <w:t>Recognition of possible reality</w:t>
      </w:r>
    </w:p>
    <w:p w14:paraId="55300303"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DF07158"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7C390772"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16, presents the university community that manages to recognize the best way to conduct oneself through life to achieve their personal objectives.</w:t>
      </w:r>
    </w:p>
    <w:p w14:paraId="32DF8F62"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6B2960E7" wp14:editId="2D7768C4">
            <wp:extent cx="2818765" cy="2125980"/>
            <wp:effectExtent l="0" t="0" r="635" b="7620"/>
            <wp:docPr id="79587001" name="Gráfico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58C7CE4"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16</w:t>
      </w:r>
    </w:p>
    <w:p w14:paraId="39A00BF3"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Positive life experience</w:t>
      </w:r>
    </w:p>
    <w:p w14:paraId="4BF729F1"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6410D306"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747C6A2A"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17 presents a university community that has family life plans.</w:t>
      </w:r>
    </w:p>
    <w:p w14:paraId="6401B70E"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58FB01F1" wp14:editId="3086531E">
            <wp:extent cx="2846070" cy="2169160"/>
            <wp:effectExtent l="0" t="0" r="11430" b="2540"/>
            <wp:docPr id="443078983" name="Gráfico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0D88035"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17</w:t>
      </w:r>
    </w:p>
    <w:p w14:paraId="7CBB4F36"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Personal goals based on family life</w:t>
      </w:r>
    </w:p>
    <w:p w14:paraId="38DAC247"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3B5BFAC8"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52B08E17" w14:textId="77777777" w:rsid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18 presents the university community that has future plans that allow it to fulfill its personal goals.</w:t>
      </w:r>
    </w:p>
    <w:p w14:paraId="5A47F47A" w14:textId="77777777" w:rsidR="00DB03ED"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p>
    <w:p w14:paraId="157ACA49" w14:textId="77777777" w:rsidR="00B76E71" w:rsidRPr="00B76E71"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lastRenderedPageBreak/>
        <w:drawing>
          <wp:inline distT="0" distB="0" distL="0" distR="0" wp14:anchorId="2C2F7433" wp14:editId="33899B40">
            <wp:extent cx="2887345" cy="2199005"/>
            <wp:effectExtent l="0" t="0" r="8255" b="10795"/>
            <wp:docPr id="1690062479" name="Gráfico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2AEFD75"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18</w:t>
      </w:r>
    </w:p>
    <w:p w14:paraId="2E3E280E" w14:textId="77777777" w:rsid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Personal goal planning</w:t>
      </w:r>
    </w:p>
    <w:p w14:paraId="21935D8E" w14:textId="77777777" w:rsidR="00B76E71" w:rsidRPr="00B76E71" w:rsidRDefault="00B76E71" w:rsidP="00B76E71">
      <w:pPr>
        <w:keepNext/>
        <w:spacing w:after="0" w:line="240" w:lineRule="auto"/>
        <w:jc w:val="both"/>
        <w:rPr>
          <w:rFonts w:ascii="Arial" w:eastAsia="Times New Roman" w:hAnsi="Arial" w:cs="Arial"/>
          <w:kern w:val="0"/>
          <w:sz w:val="20"/>
          <w:szCs w:val="20"/>
          <w:lang w:val="en-US"/>
          <w14:ligatures w14:val="none"/>
        </w:rPr>
      </w:pPr>
    </w:p>
    <w:p w14:paraId="2D78DA77" w14:textId="77777777" w:rsidR="008352B5" w:rsidRDefault="00B76E71" w:rsidP="00B76E71">
      <w:pPr>
        <w:keepNext/>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Generally speaking, the results show that the university community harmonizes processes of personal self-reflection, influences the environment and personal projection for the future as central elements of decision making and construction of individual life projects concentrated on what they perceive in others and in the individual plan.</w:t>
      </w:r>
    </w:p>
    <w:p w14:paraId="1061E4D2" w14:textId="77777777" w:rsidR="008352B5" w:rsidRDefault="008352B5" w:rsidP="00B76E71">
      <w:pPr>
        <w:keepNext/>
        <w:spacing w:after="0" w:line="240" w:lineRule="auto"/>
        <w:jc w:val="both"/>
        <w:rPr>
          <w:rFonts w:ascii="Arial" w:eastAsia="Times New Roman" w:hAnsi="Arial" w:cs="Arial"/>
          <w:kern w:val="0"/>
          <w:sz w:val="20"/>
          <w:szCs w:val="20"/>
          <w:lang w:val="en-US"/>
          <w14:ligatures w14:val="none"/>
        </w:rPr>
      </w:pPr>
    </w:p>
    <w:p w14:paraId="76AB254A" w14:textId="6F6ABD06" w:rsidR="00783FA0" w:rsidRPr="00B95E37" w:rsidRDefault="00B95E37" w:rsidP="00B76E71">
      <w:pPr>
        <w:keepNext/>
        <w:spacing w:after="0" w:line="240" w:lineRule="auto"/>
        <w:jc w:val="both"/>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xml:space="preserve">4. </w:t>
      </w:r>
      <w:r w:rsidR="00783FA0" w:rsidRPr="00B95E37">
        <w:rPr>
          <w:rFonts w:ascii="Arial" w:eastAsia="Times New Roman" w:hAnsi="Arial" w:cs="Arial"/>
          <w:b/>
          <w:bCs/>
          <w:kern w:val="0"/>
          <w:sz w:val="20"/>
          <w:szCs w:val="20"/>
          <w14:ligatures w14:val="none"/>
        </w:rPr>
        <w:t xml:space="preserve">DISCUSSION </w:t>
      </w:r>
    </w:p>
    <w:p w14:paraId="6F9C55D5" w14:textId="77777777" w:rsidR="00B95E37" w:rsidRDefault="00B95E37" w:rsidP="00783FA0">
      <w:pPr>
        <w:keepNext/>
        <w:spacing w:after="0" w:line="240" w:lineRule="auto"/>
        <w:jc w:val="both"/>
        <w:rPr>
          <w:rFonts w:ascii="Arial" w:eastAsia="Times New Roman" w:hAnsi="Arial" w:cs="Arial"/>
          <w:kern w:val="0"/>
          <w:sz w:val="20"/>
          <w:szCs w:val="20"/>
          <w14:ligatures w14:val="none"/>
        </w:rPr>
      </w:pPr>
    </w:p>
    <w:p w14:paraId="526FBB9E" w14:textId="77777777" w:rsidR="008542B4" w:rsidRPr="008542B4" w:rsidRDefault="008542B4" w:rsidP="008542B4">
      <w:pPr>
        <w:keepNext/>
        <w:spacing w:after="0" w:line="240" w:lineRule="auto"/>
        <w:jc w:val="both"/>
        <w:rPr>
          <w:rFonts w:ascii="Arial" w:eastAsia="Times New Roman" w:hAnsi="Arial" w:cs="Arial"/>
          <w:kern w:val="0"/>
          <w:sz w:val="20"/>
          <w:szCs w:val="20"/>
          <w:lang w:val="en-US"/>
          <w14:ligatures w14:val="none"/>
        </w:rPr>
      </w:pPr>
      <w:commentRangeStart w:id="5"/>
      <w:r w:rsidRPr="008542B4">
        <w:rPr>
          <w:rFonts w:ascii="Arial" w:eastAsia="Times New Roman" w:hAnsi="Arial" w:cs="Arial"/>
          <w:kern w:val="0"/>
          <w:sz w:val="20"/>
          <w:szCs w:val="20"/>
          <w:lang w:val="en-US"/>
          <w14:ligatures w14:val="none"/>
        </w:rPr>
        <w:t>Expectations regarding the future are a topic of interest for current social research because they contribute to recognizing the effectiveness of existing public instruments, as well as the economic conditions that govern both the opportunities and challenges for market participants.</w:t>
      </w:r>
    </w:p>
    <w:p w14:paraId="22FF35BA" w14:textId="77777777" w:rsidR="008542B4" w:rsidRPr="008542B4" w:rsidRDefault="008542B4" w:rsidP="008542B4">
      <w:pPr>
        <w:keepNext/>
        <w:spacing w:after="0" w:line="240" w:lineRule="auto"/>
        <w:jc w:val="both"/>
        <w:rPr>
          <w:rFonts w:ascii="Arial" w:eastAsia="Times New Roman" w:hAnsi="Arial" w:cs="Arial"/>
          <w:kern w:val="0"/>
          <w:sz w:val="20"/>
          <w:szCs w:val="20"/>
          <w:lang w:val="en-US"/>
          <w14:ligatures w14:val="none"/>
        </w:rPr>
      </w:pPr>
      <w:r w:rsidRPr="008542B4">
        <w:rPr>
          <w:rFonts w:ascii="Arial" w:eastAsia="Times New Roman" w:hAnsi="Arial" w:cs="Arial"/>
          <w:kern w:val="0"/>
          <w:sz w:val="20"/>
          <w:szCs w:val="20"/>
          <w:lang w:val="en-US"/>
          <w14:ligatures w14:val="none"/>
        </w:rPr>
        <w:t>Considering both the social roles and responsibilities to which present generations are subjected allows us to glimpse the orientation toward the emerging future. In this case, milestones such as self-sufficiency and the capacity to provide for and care for a family have been crucial indicators of adulthood in contexts such as the United States (Arnett, 2004; Culatta and Clay-Warner, 2021; Lowe et al., 2013). However, contemporary social changes, attributed to pressures in labor markets, have affected key decisions among young people, such as delaying marriage and pursuing higher levels of education, fostering a more flexible path to adulthood today (Cepa and Furstenberg, 2021).</w:t>
      </w:r>
    </w:p>
    <w:p w14:paraId="6E843D81" w14:textId="77777777" w:rsidR="008542B4" w:rsidRPr="008542B4" w:rsidRDefault="008542B4" w:rsidP="008542B4">
      <w:pPr>
        <w:keepNext/>
        <w:spacing w:after="0" w:line="240" w:lineRule="auto"/>
        <w:jc w:val="both"/>
        <w:rPr>
          <w:rFonts w:ascii="Arial" w:eastAsia="Times New Roman" w:hAnsi="Arial" w:cs="Arial"/>
          <w:kern w:val="0"/>
          <w:sz w:val="20"/>
          <w:szCs w:val="20"/>
          <w:lang w:val="en-US"/>
          <w14:ligatures w14:val="none"/>
        </w:rPr>
      </w:pPr>
      <w:r w:rsidRPr="008542B4">
        <w:rPr>
          <w:rFonts w:ascii="Arial" w:eastAsia="Times New Roman" w:hAnsi="Arial" w:cs="Arial"/>
          <w:kern w:val="0"/>
          <w:sz w:val="20"/>
          <w:szCs w:val="20"/>
          <w:lang w:val="en-US"/>
          <w14:ligatures w14:val="none"/>
        </w:rPr>
        <w:t>Indicators of more flexible life processes, limited by perceptions of economic opportunity, have affected the transition to independence and eroded the self-esteem of some young people, as it is achieved in late adulthood (Schoon &amp; Mortimer, 2017; Sharon, 2016). These disruptions can ultimately shape a young person's future orientation by reducing optimism about achieving goals and the belief in controlling future events, such as financial independence in adulthood (Settersten et al., 2020).</w:t>
      </w:r>
    </w:p>
    <w:p w14:paraId="27D9B6EF" w14:textId="77777777" w:rsidR="008542B4" w:rsidRPr="008542B4" w:rsidRDefault="008542B4" w:rsidP="008542B4">
      <w:pPr>
        <w:keepNext/>
        <w:spacing w:after="0" w:line="240" w:lineRule="auto"/>
        <w:jc w:val="both"/>
        <w:rPr>
          <w:rFonts w:ascii="Arial" w:eastAsia="Times New Roman" w:hAnsi="Arial" w:cs="Arial"/>
          <w:kern w:val="0"/>
          <w:sz w:val="20"/>
          <w:szCs w:val="20"/>
          <w:lang w:val="en-US"/>
          <w14:ligatures w14:val="none"/>
        </w:rPr>
      </w:pPr>
      <w:r w:rsidRPr="008542B4">
        <w:rPr>
          <w:rFonts w:ascii="Arial" w:eastAsia="Times New Roman" w:hAnsi="Arial" w:cs="Arial"/>
          <w:kern w:val="0"/>
          <w:sz w:val="20"/>
          <w:szCs w:val="20"/>
          <w:lang w:val="en-US"/>
          <w14:ligatures w14:val="none"/>
        </w:rPr>
        <w:t>Understanding the different social experiences among demographic groups is fundamental for developing instrumental policies and making decisions oriented toward the future of young adults (Rubin et al., 2024). Meanwhile, perceived outcomes are crucial for evaluating the impact of processes related to accessing labor market opportunities and the overall economic context.</w:t>
      </w:r>
    </w:p>
    <w:p w14:paraId="0C10AE57" w14:textId="010839D8" w:rsidR="00EF7D1E" w:rsidRPr="008542B4" w:rsidRDefault="008542B4" w:rsidP="008542B4">
      <w:pPr>
        <w:keepNext/>
        <w:spacing w:after="0" w:line="240" w:lineRule="auto"/>
        <w:jc w:val="both"/>
        <w:rPr>
          <w:rFonts w:ascii="Arial" w:eastAsia="Times New Roman" w:hAnsi="Arial" w:cs="Arial"/>
          <w:kern w:val="0"/>
          <w:sz w:val="20"/>
          <w:szCs w:val="20"/>
          <w:lang w:val="en-US"/>
          <w14:ligatures w14:val="none"/>
        </w:rPr>
      </w:pPr>
      <w:r w:rsidRPr="008542B4">
        <w:rPr>
          <w:rFonts w:ascii="Arial" w:eastAsia="Times New Roman" w:hAnsi="Arial" w:cs="Arial"/>
          <w:kern w:val="0"/>
          <w:sz w:val="20"/>
          <w:szCs w:val="20"/>
          <w:lang w:val="en-US"/>
          <w14:ligatures w14:val="none"/>
        </w:rPr>
        <w:t xml:space="preserve">The perceived opportunity among social groups that promoted self-employment as a source of employment and productivity had meant better opportunities for anyone, identified in the present as a path to achieving better conditions for the future. However, this research has shown that economic dependence can be a factor in recognizing better future conditions, contradicting arguments that highlighted the importance of economic independence as a source of future development, personal improvement, and self-esteem. In reality, the opposite </w:t>
      </w:r>
      <w:r w:rsidRPr="008542B4">
        <w:rPr>
          <w:rFonts w:ascii="Arial" w:eastAsia="Times New Roman" w:hAnsi="Arial" w:cs="Arial"/>
          <w:kern w:val="0"/>
          <w:sz w:val="20"/>
          <w:szCs w:val="20"/>
          <w:lang w:val="en-US"/>
          <w14:ligatures w14:val="none"/>
        </w:rPr>
        <w:lastRenderedPageBreak/>
        <w:t xml:space="preserve">seems to be happening, and thus, economic limitations reflect greater pessimism among current generations toward those young people who are dependent and have greater </w:t>
      </w:r>
      <w:commentRangeEnd w:id="5"/>
      <w:r w:rsidR="007C60B7" w:rsidRPr="008542B4">
        <w:rPr>
          <w:rStyle w:val="CommentReference"/>
          <w:rFonts w:ascii="Arial" w:eastAsia="Times New Roman" w:hAnsi="Arial" w:cs="Arial"/>
          <w:kern w:val="0"/>
          <w:sz w:val="20"/>
          <w:szCs w:val="20"/>
          <w:lang w:val="en-US"/>
          <w14:ligatures w14:val="none"/>
        </w:rPr>
        <w:commentReference w:id="5"/>
      </w:r>
      <w:r w:rsidRPr="008542B4">
        <w:rPr>
          <w:rFonts w:ascii="Arial" w:eastAsia="Times New Roman" w:hAnsi="Arial" w:cs="Arial"/>
          <w:kern w:val="0"/>
          <w:sz w:val="20"/>
          <w:szCs w:val="20"/>
          <w:lang w:val="en-US"/>
          <w14:ligatures w14:val="none"/>
        </w:rPr>
        <w:t>confidence regarding their future.</w:t>
      </w:r>
    </w:p>
    <w:p w14:paraId="7C6077E0" w14:textId="77777777" w:rsidR="00E62BD1" w:rsidRPr="008542B4" w:rsidRDefault="00E62BD1" w:rsidP="00B76E71">
      <w:pPr>
        <w:keepNext/>
        <w:spacing w:after="0" w:line="240" w:lineRule="auto"/>
        <w:jc w:val="both"/>
        <w:rPr>
          <w:rFonts w:ascii="Arial" w:eastAsia="Times New Roman" w:hAnsi="Arial" w:cs="Arial"/>
          <w:kern w:val="0"/>
          <w:sz w:val="20"/>
          <w:szCs w:val="20"/>
          <w:lang w:val="en-US"/>
          <w14:ligatures w14:val="none"/>
        </w:rPr>
      </w:pPr>
    </w:p>
    <w:p w14:paraId="1693FABF" w14:textId="35558FF5" w:rsidR="00A64327" w:rsidRPr="00E62BD1" w:rsidRDefault="00B95E37" w:rsidP="00B76E71">
      <w:pPr>
        <w:keepNext/>
        <w:spacing w:after="0" w:line="240" w:lineRule="auto"/>
        <w:jc w:val="both"/>
        <w:rPr>
          <w:rFonts w:ascii="Arial" w:eastAsia="Times New Roman" w:hAnsi="Arial" w:cs="Arial"/>
          <w:b/>
          <w:caps/>
          <w:kern w:val="0"/>
          <w:szCs w:val="20"/>
          <w14:ligatures w14:val="none"/>
        </w:rPr>
      </w:pPr>
      <w:r w:rsidRPr="00E62BD1">
        <w:rPr>
          <w:rFonts w:ascii="Arial" w:eastAsia="Times New Roman" w:hAnsi="Arial" w:cs="Arial"/>
          <w:b/>
          <w:caps/>
          <w:kern w:val="0"/>
          <w:szCs w:val="20"/>
          <w14:ligatures w14:val="none"/>
        </w:rPr>
        <w:t>5</w:t>
      </w:r>
      <w:r w:rsidR="00A64327" w:rsidRPr="00E62BD1">
        <w:rPr>
          <w:rFonts w:ascii="Arial" w:eastAsia="Times New Roman" w:hAnsi="Arial" w:cs="Arial"/>
          <w:b/>
          <w:caps/>
          <w:kern w:val="0"/>
          <w:szCs w:val="20"/>
          <w14:ligatures w14:val="none"/>
        </w:rPr>
        <w:t>. Conclusion</w:t>
      </w:r>
    </w:p>
    <w:p w14:paraId="46073C8A" w14:textId="77777777" w:rsidR="00A64327" w:rsidRPr="00E62BD1" w:rsidRDefault="00A64327" w:rsidP="00A64327">
      <w:pPr>
        <w:keepNext/>
        <w:spacing w:after="0" w:line="240" w:lineRule="auto"/>
        <w:jc w:val="both"/>
        <w:rPr>
          <w:rFonts w:ascii="Arial" w:eastAsia="Times New Roman" w:hAnsi="Arial" w:cs="Arial"/>
          <w:b/>
          <w:caps/>
          <w:kern w:val="0"/>
          <w:szCs w:val="20"/>
          <w14:ligatures w14:val="none"/>
        </w:rPr>
      </w:pPr>
    </w:p>
    <w:p w14:paraId="1EAA5B18" w14:textId="77777777" w:rsidR="008352B5" w:rsidRPr="008352B5" w:rsidRDefault="008352B5" w:rsidP="008352B5">
      <w:pPr>
        <w:spacing w:after="0" w:line="240" w:lineRule="auto"/>
        <w:jc w:val="both"/>
        <w:rPr>
          <w:rFonts w:ascii="Arial" w:eastAsia="Times New Roman" w:hAnsi="Arial" w:cs="Arial"/>
          <w:kern w:val="0"/>
          <w:sz w:val="20"/>
          <w:szCs w:val="20"/>
          <w:lang w:val="en-US"/>
          <w14:ligatures w14:val="none"/>
        </w:rPr>
      </w:pPr>
      <w:r w:rsidRPr="008352B5">
        <w:rPr>
          <w:rFonts w:ascii="Arial" w:eastAsia="Times New Roman" w:hAnsi="Arial" w:cs="Arial"/>
          <w:kern w:val="0"/>
          <w:sz w:val="20"/>
          <w:szCs w:val="20"/>
          <w:lang w:val="en-US"/>
          <w14:ligatures w14:val="none"/>
        </w:rPr>
        <w:t>A topic of interest especially for the economy is data analysis or information centered on how economic agents behave, as in this case, consumers. Conceptualized as that group that acts as end user to satisfy needs and desires through consumption experiences.</w:t>
      </w:r>
    </w:p>
    <w:p w14:paraId="08755CD9" w14:textId="77777777" w:rsidR="008352B5" w:rsidRPr="008352B5" w:rsidRDefault="008352B5" w:rsidP="008352B5">
      <w:pPr>
        <w:spacing w:after="0" w:line="240" w:lineRule="auto"/>
        <w:jc w:val="both"/>
        <w:rPr>
          <w:rFonts w:ascii="Arial" w:eastAsia="Times New Roman" w:hAnsi="Arial" w:cs="Arial"/>
          <w:kern w:val="0"/>
          <w:sz w:val="20"/>
          <w:szCs w:val="20"/>
          <w:lang w:val="en-US"/>
          <w14:ligatures w14:val="none"/>
        </w:rPr>
      </w:pPr>
      <w:r w:rsidRPr="008352B5">
        <w:rPr>
          <w:rFonts w:ascii="Arial" w:eastAsia="Times New Roman" w:hAnsi="Arial" w:cs="Arial"/>
          <w:kern w:val="0"/>
          <w:sz w:val="20"/>
          <w:szCs w:val="20"/>
          <w:lang w:val="en-US"/>
          <w14:ligatures w14:val="none"/>
        </w:rPr>
        <w:t>Through a research project and a chain of behavior based on perceptions, we seek to directly contribute to the understanding of factors that are associated especially with the way in which the economic reality of people is interpreted.</w:t>
      </w:r>
    </w:p>
    <w:p w14:paraId="19779BFE" w14:textId="77777777" w:rsidR="008352B5" w:rsidRPr="008352B5" w:rsidRDefault="008352B5" w:rsidP="008352B5">
      <w:pPr>
        <w:spacing w:after="0" w:line="240" w:lineRule="auto"/>
        <w:jc w:val="both"/>
        <w:rPr>
          <w:rFonts w:ascii="Arial" w:eastAsia="Times New Roman" w:hAnsi="Arial" w:cs="Arial"/>
          <w:kern w:val="0"/>
          <w:sz w:val="20"/>
          <w:szCs w:val="20"/>
          <w:lang w:val="en-US"/>
          <w14:ligatures w14:val="none"/>
        </w:rPr>
      </w:pPr>
      <w:r w:rsidRPr="008352B5">
        <w:rPr>
          <w:rFonts w:ascii="Arial" w:eastAsia="Times New Roman" w:hAnsi="Arial" w:cs="Arial"/>
          <w:kern w:val="0"/>
          <w:sz w:val="20"/>
          <w:szCs w:val="20"/>
          <w:lang w:val="en-US"/>
          <w14:ligatures w14:val="none"/>
        </w:rPr>
        <w:t>The objective of this research project was to analyze the thinking of university students, faced with the feeling of possession of resources that, characterized by contexts of economic inequality, allows us to recognize the level of acceptance in life, showing that material dependencies are related to the generation of expectations in life.</w:t>
      </w:r>
    </w:p>
    <w:p w14:paraId="1CA82ABB" w14:textId="77777777" w:rsidR="008352B5" w:rsidRPr="008352B5" w:rsidRDefault="008352B5" w:rsidP="008352B5">
      <w:pPr>
        <w:spacing w:after="0" w:line="240" w:lineRule="auto"/>
        <w:jc w:val="both"/>
        <w:rPr>
          <w:rFonts w:ascii="Arial" w:eastAsia="Times New Roman" w:hAnsi="Arial" w:cs="Arial"/>
          <w:kern w:val="0"/>
          <w:sz w:val="20"/>
          <w:szCs w:val="20"/>
          <w:lang w:val="en-US"/>
          <w14:ligatures w14:val="none"/>
        </w:rPr>
      </w:pPr>
      <w:r w:rsidRPr="008352B5">
        <w:rPr>
          <w:rFonts w:ascii="Arial" w:eastAsia="Times New Roman" w:hAnsi="Arial" w:cs="Arial"/>
          <w:kern w:val="0"/>
          <w:sz w:val="20"/>
          <w:szCs w:val="20"/>
          <w:lang w:val="en-US"/>
          <w14:ligatures w14:val="none"/>
        </w:rPr>
        <w:t>Promoting economic independence can be a motivator for consumer experiences through economic freedom and the conception of the free market. However, the experience of this exercise can lead to conscious thoughts and a better life expectancy in terms of the dependence that this represents.</w:t>
      </w:r>
    </w:p>
    <w:p w14:paraId="7A7BF809" w14:textId="77777777" w:rsidR="00A64327" w:rsidRDefault="008352B5" w:rsidP="008352B5">
      <w:pPr>
        <w:spacing w:after="0" w:line="240" w:lineRule="auto"/>
        <w:jc w:val="both"/>
        <w:rPr>
          <w:rFonts w:ascii="Arial" w:eastAsia="Times New Roman" w:hAnsi="Arial" w:cs="Arial"/>
          <w:kern w:val="0"/>
          <w:sz w:val="20"/>
          <w:szCs w:val="20"/>
          <w:lang w:val="en-US"/>
          <w14:ligatures w14:val="none"/>
        </w:rPr>
      </w:pPr>
      <w:r w:rsidRPr="008352B5">
        <w:rPr>
          <w:rFonts w:ascii="Arial" w:eastAsia="Times New Roman" w:hAnsi="Arial" w:cs="Arial"/>
          <w:kern w:val="0"/>
          <w:sz w:val="20"/>
          <w:szCs w:val="20"/>
          <w:lang w:val="en-US"/>
          <w14:ligatures w14:val="none"/>
        </w:rPr>
        <w:t>It will correspond to future exercises of perception between new generations to highlight the importance of independence or economic dependence and with it, to favor processes that represent opportunities for development and better hopes in the future.</w:t>
      </w:r>
    </w:p>
    <w:p w14:paraId="00E762A4" w14:textId="77777777" w:rsidR="00670FB0" w:rsidRDefault="00670FB0" w:rsidP="008352B5">
      <w:pPr>
        <w:spacing w:after="0" w:line="240" w:lineRule="auto"/>
        <w:jc w:val="both"/>
        <w:rPr>
          <w:rFonts w:ascii="Arial" w:eastAsia="Times New Roman" w:hAnsi="Arial" w:cs="Arial"/>
          <w:kern w:val="0"/>
          <w:sz w:val="20"/>
          <w:szCs w:val="20"/>
          <w:lang w:val="en-US"/>
          <w14:ligatures w14:val="none"/>
        </w:rPr>
      </w:pPr>
    </w:p>
    <w:p w14:paraId="47BFDA4F" w14:textId="77777777" w:rsidR="00670FB0" w:rsidRPr="00670FB0" w:rsidRDefault="00670FB0" w:rsidP="008352B5">
      <w:pPr>
        <w:spacing w:after="0" w:line="240" w:lineRule="auto"/>
        <w:jc w:val="both"/>
        <w:rPr>
          <w:rFonts w:ascii="Arial" w:eastAsia="Times New Roman" w:hAnsi="Arial" w:cs="Arial"/>
          <w:b/>
          <w:caps/>
          <w:kern w:val="0"/>
          <w:szCs w:val="20"/>
          <w:lang w:val="en-US"/>
          <w14:ligatures w14:val="none"/>
        </w:rPr>
      </w:pPr>
      <w:r w:rsidRPr="00670FB0">
        <w:rPr>
          <w:rFonts w:ascii="Arial" w:eastAsia="Times New Roman" w:hAnsi="Arial" w:cs="Arial"/>
          <w:b/>
          <w:caps/>
          <w:kern w:val="0"/>
          <w:szCs w:val="20"/>
          <w:lang w:val="en-US"/>
          <w14:ligatures w14:val="none"/>
        </w:rPr>
        <w:t>Disclaimer (Artificial Intelligence)</w:t>
      </w:r>
    </w:p>
    <w:p w14:paraId="2626F366" w14:textId="77777777" w:rsidR="00670FB0" w:rsidRDefault="00670FB0" w:rsidP="008352B5">
      <w:pPr>
        <w:spacing w:after="0" w:line="240" w:lineRule="auto"/>
        <w:jc w:val="both"/>
        <w:rPr>
          <w:rFonts w:ascii="Arial" w:eastAsia="Times New Roman" w:hAnsi="Arial" w:cs="Arial"/>
          <w:kern w:val="0"/>
          <w:sz w:val="20"/>
          <w:szCs w:val="20"/>
          <w:lang w:val="en-US"/>
          <w14:ligatures w14:val="none"/>
        </w:rPr>
      </w:pPr>
    </w:p>
    <w:p w14:paraId="3F54682C" w14:textId="77777777" w:rsidR="00670FB0" w:rsidRDefault="00670FB0" w:rsidP="008352B5">
      <w:pPr>
        <w:spacing w:after="0" w:line="240" w:lineRule="auto"/>
        <w:jc w:val="both"/>
        <w:rPr>
          <w:rFonts w:ascii="Arial" w:eastAsia="Times New Roman" w:hAnsi="Arial" w:cs="Arial"/>
          <w:kern w:val="0"/>
          <w:sz w:val="20"/>
          <w:szCs w:val="20"/>
          <w:lang w:val="en-US"/>
          <w14:ligatures w14:val="none"/>
        </w:rPr>
      </w:pPr>
      <w:r w:rsidRPr="00670FB0">
        <w:rPr>
          <w:rFonts w:ascii="Arial" w:eastAsia="Times New Roman" w:hAnsi="Arial" w:cs="Arial"/>
          <w:kern w:val="0"/>
          <w:sz w:val="20"/>
          <w:szCs w:val="20"/>
          <w:lang w:val="en-US"/>
          <w14:ligatures w14:val="none"/>
        </w:rPr>
        <w:t xml:space="preserve">Authors hereby  declare  that  NO  generative  AI technologies  such  as  Large  Language  Models (ChatGPT,   COPILOT,   etc.)   and   text-to-image generators have been used during the  writing or editing of this manuscript. </w:t>
      </w:r>
    </w:p>
    <w:p w14:paraId="242D2AD7" w14:textId="77777777" w:rsidR="00670FB0" w:rsidRDefault="00670FB0" w:rsidP="008352B5">
      <w:pPr>
        <w:spacing w:after="0" w:line="240" w:lineRule="auto"/>
        <w:jc w:val="both"/>
        <w:rPr>
          <w:rFonts w:ascii="Arial" w:eastAsia="Times New Roman" w:hAnsi="Arial" w:cs="Arial"/>
          <w:kern w:val="0"/>
          <w:sz w:val="20"/>
          <w:szCs w:val="20"/>
          <w:lang w:val="en-US"/>
          <w14:ligatures w14:val="none"/>
        </w:rPr>
      </w:pPr>
    </w:p>
    <w:p w14:paraId="73D13F30" w14:textId="77777777" w:rsidR="00670FB0" w:rsidRPr="00670FB0" w:rsidRDefault="00670FB0" w:rsidP="008352B5">
      <w:pPr>
        <w:spacing w:after="0" w:line="240" w:lineRule="auto"/>
        <w:jc w:val="both"/>
        <w:rPr>
          <w:rFonts w:ascii="Arial" w:eastAsia="Times New Roman" w:hAnsi="Arial" w:cs="Arial"/>
          <w:b/>
          <w:caps/>
          <w:kern w:val="0"/>
          <w:szCs w:val="20"/>
          <w:lang w:val="en-US"/>
          <w14:ligatures w14:val="none"/>
        </w:rPr>
      </w:pPr>
      <w:r w:rsidRPr="00670FB0">
        <w:rPr>
          <w:rFonts w:ascii="Arial" w:eastAsia="Times New Roman" w:hAnsi="Arial" w:cs="Arial"/>
          <w:b/>
          <w:caps/>
          <w:kern w:val="0"/>
          <w:szCs w:val="20"/>
          <w:lang w:val="en-US"/>
          <w14:ligatures w14:val="none"/>
        </w:rPr>
        <w:t>Competing Interests</w:t>
      </w:r>
    </w:p>
    <w:p w14:paraId="3D720069" w14:textId="77777777" w:rsidR="00670FB0" w:rsidRDefault="00670FB0" w:rsidP="008352B5">
      <w:pPr>
        <w:spacing w:after="0" w:line="240" w:lineRule="auto"/>
        <w:jc w:val="both"/>
        <w:rPr>
          <w:rFonts w:ascii="Arial" w:eastAsia="Times New Roman" w:hAnsi="Arial" w:cs="Arial"/>
          <w:kern w:val="0"/>
          <w:sz w:val="20"/>
          <w:szCs w:val="20"/>
          <w:lang w:val="en-US"/>
          <w14:ligatures w14:val="none"/>
        </w:rPr>
      </w:pPr>
    </w:p>
    <w:p w14:paraId="59868C3E" w14:textId="77777777" w:rsidR="00670FB0" w:rsidRDefault="00670FB0" w:rsidP="008352B5">
      <w:pPr>
        <w:spacing w:after="0" w:line="240" w:lineRule="auto"/>
        <w:jc w:val="both"/>
        <w:rPr>
          <w:rFonts w:ascii="Arial" w:eastAsia="Times New Roman" w:hAnsi="Arial" w:cs="Arial"/>
          <w:kern w:val="0"/>
          <w:sz w:val="20"/>
          <w:szCs w:val="20"/>
          <w:lang w:val="en-US"/>
          <w14:ligatures w14:val="none"/>
        </w:rPr>
      </w:pPr>
      <w:r w:rsidRPr="00670FB0">
        <w:rPr>
          <w:rFonts w:ascii="Arial" w:eastAsia="Times New Roman" w:hAnsi="Arial" w:cs="Arial"/>
          <w:kern w:val="0"/>
          <w:sz w:val="20"/>
          <w:szCs w:val="20"/>
          <w:lang w:val="en-US"/>
          <w14:ligatures w14:val="none"/>
        </w:rPr>
        <w:t>Author  hasdeclared  that  no  competing  interests exist.</w:t>
      </w:r>
    </w:p>
    <w:p w14:paraId="19BF0709" w14:textId="77777777" w:rsidR="008352B5" w:rsidRPr="00A64327" w:rsidRDefault="008352B5" w:rsidP="008352B5">
      <w:pPr>
        <w:spacing w:after="0" w:line="240" w:lineRule="auto"/>
        <w:jc w:val="both"/>
        <w:rPr>
          <w:rFonts w:ascii="Arial" w:eastAsia="Times New Roman" w:hAnsi="Arial" w:cs="Arial"/>
          <w:kern w:val="0"/>
          <w:sz w:val="20"/>
          <w:szCs w:val="20"/>
          <w:lang w:val="en-US"/>
          <w14:ligatures w14:val="none"/>
        </w:rPr>
      </w:pPr>
    </w:p>
    <w:p w14:paraId="507D95F2" w14:textId="77777777" w:rsidR="00670FB0" w:rsidRDefault="00A64327" w:rsidP="00A64327">
      <w:pPr>
        <w:keepNext/>
        <w:spacing w:after="0" w:line="240" w:lineRule="auto"/>
        <w:jc w:val="both"/>
        <w:rPr>
          <w:rFonts w:ascii="Arial" w:eastAsia="Times New Roman" w:hAnsi="Arial" w:cs="Arial"/>
          <w:b/>
          <w:caps/>
          <w:kern w:val="0"/>
          <w:szCs w:val="20"/>
          <w:lang w:val="en-US"/>
          <w14:ligatures w14:val="none"/>
        </w:rPr>
      </w:pPr>
      <w:r w:rsidRPr="00A64327">
        <w:rPr>
          <w:rFonts w:ascii="Arial" w:eastAsia="Times New Roman" w:hAnsi="Arial" w:cs="Arial"/>
          <w:b/>
          <w:caps/>
          <w:kern w:val="0"/>
          <w:szCs w:val="20"/>
          <w:lang w:val="en-US"/>
          <w14:ligatures w14:val="none"/>
        </w:rPr>
        <w:t>References</w:t>
      </w:r>
    </w:p>
    <w:p w14:paraId="7CEE4F29" w14:textId="77777777" w:rsidR="00670FB0" w:rsidRPr="00A64327" w:rsidRDefault="00670FB0" w:rsidP="00A64327">
      <w:pPr>
        <w:keepNext/>
        <w:spacing w:after="0" w:line="240" w:lineRule="auto"/>
        <w:jc w:val="both"/>
        <w:rPr>
          <w:rFonts w:ascii="Arial" w:eastAsia="Times New Roman" w:hAnsi="Arial" w:cs="Arial"/>
          <w:b/>
          <w:caps/>
          <w:kern w:val="0"/>
          <w:szCs w:val="20"/>
          <w:lang w:val="en-US"/>
          <w14:ligatures w14:val="none"/>
        </w:rPr>
      </w:pPr>
    </w:p>
    <w:p w14:paraId="5D5FC776" w14:textId="77777777" w:rsidR="00670FB0"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Thaler, Richard H. 2016. "Behavioral Economics: Past, Present, and Future." American Economic Review 106 (7): 1577–1600.DOI: 10.1257/aer.106.7.1577</w:t>
      </w:r>
      <w:r>
        <w:rPr>
          <w:rFonts w:ascii="Helvetica" w:eastAsia="Times New Roman" w:hAnsi="Helvetica" w:cs="Times New Roman"/>
          <w:kern w:val="0"/>
          <w:sz w:val="20"/>
          <w:szCs w:val="20"/>
          <w:lang w:val="en-US"/>
          <w14:ligatures w14:val="none"/>
        </w:rPr>
        <w:t>.</w:t>
      </w:r>
    </w:p>
    <w:p w14:paraId="3E73E58A"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Nishant, R., Schneckenberg, D., &amp; Ravishankar, M. N. (2024). The formal rationality of artificial intelligence-based algorithms and the problem of bias. Journal of Information Technology, 39(1), 19-40.</w:t>
      </w:r>
    </w:p>
    <w:p w14:paraId="7F39B9A5" w14:textId="77777777" w:rsidR="00670FB0" w:rsidRPr="005A2A95" w:rsidRDefault="00670FB0" w:rsidP="00670FB0">
      <w:pPr>
        <w:jc w:val="both"/>
        <w:rPr>
          <w:lang w:val="en-US"/>
        </w:rPr>
      </w:pPr>
      <w:r w:rsidRPr="00AC210B">
        <w:rPr>
          <w:rFonts w:ascii="Helvetica" w:eastAsia="Times New Roman" w:hAnsi="Helvetica" w:cs="Times New Roman"/>
          <w:kern w:val="0"/>
          <w:sz w:val="20"/>
          <w:szCs w:val="20"/>
          <w:lang w:val="en-US"/>
          <w14:ligatures w14:val="none"/>
        </w:rPr>
        <w:t>Weber M (1978) Economy and Society: An Outline of Interpretive Sociology. US: Univ of California Press 1.</w:t>
      </w:r>
    </w:p>
    <w:p w14:paraId="6493D8F7"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Lindebaum D, Vesa M, Den Hond F (2020) Insights from “the machine stops” to better understand rational assumptions in algorithmic decision making and its implications for organizations. Academy of Management Review 45(1): 247–263.</w:t>
      </w:r>
    </w:p>
    <w:p w14:paraId="16F75679"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Kalberg S (1980) Max Weber's types of rationality: Cornerstones for the analysis of rationalization processes in history. American journal of sociology 85(5): 1145–1179.</w:t>
      </w:r>
    </w:p>
    <w:p w14:paraId="29BD1229" w14:textId="77777777" w:rsidR="00670FB0"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lastRenderedPageBreak/>
        <w:t>Foley, D. K. (2004). Rationality and ideology in economics. Social Research: An International Quarterly, 71(2), 329-342</w:t>
      </w:r>
    </w:p>
    <w:p w14:paraId="556E7D32"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5A2A95">
        <w:rPr>
          <w:rFonts w:ascii="Helvetica" w:eastAsia="Times New Roman" w:hAnsi="Helvetica" w:cs="Times New Roman"/>
          <w:kern w:val="0"/>
          <w:sz w:val="20"/>
          <w:szCs w:val="20"/>
          <w14:ligatures w14:val="none"/>
        </w:rPr>
        <w:t xml:space="preserve">Darley, W. K., Blankson, C., &amp; Luethge, D. J. (2010). </w:t>
      </w:r>
      <w:r w:rsidRPr="005A2A95">
        <w:rPr>
          <w:rFonts w:ascii="Helvetica" w:eastAsia="Times New Roman" w:hAnsi="Helvetica" w:cs="Times New Roman"/>
          <w:kern w:val="0"/>
          <w:sz w:val="20"/>
          <w:szCs w:val="20"/>
          <w:lang w:val="en-US"/>
          <w14:ligatures w14:val="none"/>
        </w:rPr>
        <w:t>Toward an integrated framework for online consumer behavior and decision making process: A review. Psychology &amp; marketing, 27(2), 94-116.</w:t>
      </w:r>
    </w:p>
    <w:p w14:paraId="0AC5B9E3"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Goudarzi, S., Badaan, V., &amp; Knowles, E. D. (2022). Neoliberalism and the ideological construction of equity beliefs. Perspectives on Psychological Science, 17(5), 1431-1451.</w:t>
      </w:r>
    </w:p>
    <w:p w14:paraId="5E790152"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Sultan, S. E., Moczek, A. P., &amp; Walsh, D. (2022). Bridging the explanatory gaps: What can we learn from a biological agency perspective?. BioEssays, 44(1), 2100185</w:t>
      </w:r>
    </w:p>
    <w:p w14:paraId="6334880B"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Floridi, Luciano, AI as Agency without Intelligence: On Artificial Intelligence as a New Form of Artificial Agency and the Multiple Realisability of Agency Thesis (February 12, 2024). Available at SSRN: https://ssrn.com/abstract=5135645 or http://dx.doi.org/10.2139/ssrn.5135645</w:t>
      </w:r>
    </w:p>
    <w:p w14:paraId="7154055B" w14:textId="77777777" w:rsidR="00670FB0"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Gomes, O. (2023). Behavioral economics and finance: a selective review of models, methods and tools. Studies in Economics and Finance, 40(3), 393-410.</w:t>
      </w:r>
    </w:p>
    <w:p w14:paraId="3F5E5B76"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32606F">
        <w:rPr>
          <w:rFonts w:ascii="Helvetica" w:eastAsia="Times New Roman" w:hAnsi="Helvetica" w:cs="Times New Roman"/>
          <w:kern w:val="0"/>
          <w:sz w:val="20"/>
          <w:szCs w:val="20"/>
          <w:lang w:val="en-US"/>
          <w14:ligatures w14:val="none"/>
        </w:rPr>
        <w:t>Arnott, D., &amp; Gao, S. (2022). Behavioral economics in information systems research: Critical analysis and research strategies. </w:t>
      </w:r>
      <w:r w:rsidRPr="0032606F">
        <w:rPr>
          <w:rFonts w:ascii="Helvetica" w:eastAsia="Times New Roman" w:hAnsi="Helvetica" w:cs="Times New Roman"/>
          <w:i/>
          <w:iCs/>
          <w:kern w:val="0"/>
          <w:sz w:val="20"/>
          <w:szCs w:val="20"/>
          <w:lang w:val="en-US"/>
          <w14:ligatures w14:val="none"/>
        </w:rPr>
        <w:t>Journal of Information Technology</w:t>
      </w:r>
      <w:r w:rsidRPr="0032606F">
        <w:rPr>
          <w:rFonts w:ascii="Helvetica" w:eastAsia="Times New Roman" w:hAnsi="Helvetica" w:cs="Times New Roman"/>
          <w:kern w:val="0"/>
          <w:sz w:val="20"/>
          <w:szCs w:val="20"/>
          <w:lang w:val="en-US"/>
          <w14:ligatures w14:val="none"/>
        </w:rPr>
        <w:t>, </w:t>
      </w:r>
      <w:r w:rsidRPr="0032606F">
        <w:rPr>
          <w:rFonts w:ascii="Helvetica" w:eastAsia="Times New Roman" w:hAnsi="Helvetica" w:cs="Times New Roman"/>
          <w:i/>
          <w:iCs/>
          <w:kern w:val="0"/>
          <w:sz w:val="20"/>
          <w:szCs w:val="20"/>
          <w:lang w:val="en-US"/>
          <w14:ligatures w14:val="none"/>
        </w:rPr>
        <w:t>37</w:t>
      </w:r>
      <w:r w:rsidRPr="0032606F">
        <w:rPr>
          <w:rFonts w:ascii="Helvetica" w:eastAsia="Times New Roman" w:hAnsi="Helvetica" w:cs="Times New Roman"/>
          <w:kern w:val="0"/>
          <w:sz w:val="20"/>
          <w:szCs w:val="20"/>
          <w:lang w:val="en-US"/>
          <w14:ligatures w14:val="none"/>
        </w:rPr>
        <w:t>(1), 80-117.</w:t>
      </w:r>
    </w:p>
    <w:p w14:paraId="21E78AD2"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Ekchajzer, D., Bornes, L., Combaz, J., Letondal, C., &amp; Vingerhoeds, R. (2024, June). Decision-making under environmental complexity: the need for moving from avoided impacts of ICT solutions to systems thinking approaches. In 2024 10th International Conference on ICT for Sustainability (ICT4S) (pp. 29-40). IEEE.</w:t>
      </w:r>
    </w:p>
    <w:p w14:paraId="4AC562AB" w14:textId="77777777" w:rsidR="00670FB0"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 xml:space="preserve">Paliszkiewicz, J., &amp; Gołuchowski, J. (2025). The role of trust in media and the economy: Future directions. In Trust, Media and the Economy (pp. 3-14). Routledge. </w:t>
      </w:r>
    </w:p>
    <w:p w14:paraId="116725CC"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32606F">
        <w:rPr>
          <w:rFonts w:ascii="Helvetica" w:eastAsia="Times New Roman" w:hAnsi="Helvetica" w:cs="Times New Roman"/>
          <w:kern w:val="0"/>
          <w:sz w:val="20"/>
          <w:szCs w:val="20"/>
          <w:lang w:val="en-US"/>
          <w14:ligatures w14:val="none"/>
        </w:rPr>
        <w:t>Davidson, D. J., &amp; Kecinski, M. (2022). Emotional pathways to climate change responses. Wiley Interdisciplinary Reviews: Climate Change, 13(2), e751.</w:t>
      </w:r>
    </w:p>
    <w:p w14:paraId="3D21B743"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Scherer K. R. (1984). On the nature and function of emotion: A component process approach. In Scherer K. R., Ekman P. (Eds.), Approaches to emotion (pp. 293–317). Erlbaum.</w:t>
      </w:r>
    </w:p>
    <w:p w14:paraId="51804900"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Shaver P., Schwartz J., Kirson D., O’Connor C. (1987). Emotion knowledge: Further exploration of a prototype approach. Journal of Personality and Social Psychology, 52(6), 1061–1086. https://doi.org/10.1037/0022-3514.52.6.1061</w:t>
      </w:r>
    </w:p>
    <w:p w14:paraId="417D5FAA"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Gadzali, S. S. (2023). Determinants of consumer purchases in the perspective of business psychology. Apollo: Journal of Tourism and Business, 1(1), 23-28.</w:t>
      </w:r>
    </w:p>
    <w:p w14:paraId="01CBCE5C"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Kahneman, D., &amp; Tversky, A. (1979). Prospect theory: An analysis of decision under risk. Econometrica, 47(2), 263–291. https://doi.org/10.2307/1914185.</w:t>
      </w:r>
    </w:p>
    <w:p w14:paraId="02B84B7C" w14:textId="77777777" w:rsidR="00670FB0" w:rsidRDefault="00670FB0" w:rsidP="00670FB0">
      <w:pPr>
        <w:jc w:val="both"/>
        <w:rPr>
          <w:rFonts w:ascii="Helvetica" w:eastAsia="Times New Roman" w:hAnsi="Helvetica" w:cs="Times New Roman"/>
          <w:kern w:val="0"/>
          <w:sz w:val="20"/>
          <w:szCs w:val="20"/>
          <w:lang w:val="en-US"/>
          <w14:ligatures w14:val="none"/>
        </w:rPr>
      </w:pPr>
      <w:r w:rsidRPr="0032606F">
        <w:rPr>
          <w:rFonts w:ascii="Helvetica" w:eastAsia="Times New Roman" w:hAnsi="Helvetica" w:cs="Times New Roman"/>
          <w:kern w:val="0"/>
          <w:sz w:val="20"/>
          <w:szCs w:val="20"/>
          <w:lang w:val="en-US"/>
          <w14:ligatures w14:val="none"/>
        </w:rPr>
        <w:t>Buttenheim, A., Moffitt, R., &amp; Beatty, A. (2023). Behavioral Economics. National Academies Press, Washington, DC, doi, 10, 26874.</w:t>
      </w:r>
    </w:p>
    <w:p w14:paraId="73348008"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lastRenderedPageBreak/>
        <w:t>Gennaioli N., Shleifer A. (2018) A Crisis of Beliefs: Investor Psychology and Financial Fragility, Princeton, Princeton University Press.</w:t>
      </w:r>
    </w:p>
    <w:p w14:paraId="40209548"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Tuckett D. et al. (2020) Monetary Policy and the Management of Uncertainty: A Narrative Approach, Staff Working Paper No. 840, Bank of England.</w:t>
      </w:r>
    </w:p>
    <w:p w14:paraId="3D0BD063"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Hullman, J., Kale, A., &amp; Hartline, J. (2025, April). Decision theoretic foundations for experiments evaluating human decisions. In Proceedings of the 2025 CHI Conference on Human Factors in Computing Systems (pp. 1-15).</w:t>
      </w:r>
    </w:p>
    <w:p w14:paraId="094628A8"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14:ligatures w14:val="none"/>
        </w:rPr>
        <w:t xml:space="preserve">Jia, J., Yuan, Z., Pan, J., McNamara, P. E., &amp; Chen, D. (2024). </w:t>
      </w:r>
      <w:r w:rsidRPr="00AC210B">
        <w:rPr>
          <w:rFonts w:ascii="Helvetica" w:eastAsia="Times New Roman" w:hAnsi="Helvetica" w:cs="Times New Roman"/>
          <w:kern w:val="0"/>
          <w:sz w:val="20"/>
          <w:szCs w:val="20"/>
          <w:lang w:val="en-US"/>
          <w14:ligatures w14:val="none"/>
        </w:rPr>
        <w:t>Decision-making behavior evaluation framework for llms under uncertain context. Advances in neural information processing systems, 37, 113360-113382</w:t>
      </w:r>
    </w:p>
    <w:p w14:paraId="63925B78"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Sher, S., Müller-Trede, J., &amp; McKenzie, C. R. (2025). Choices without preferences: Principles of rational arbitrariness. Psychological Review</w:t>
      </w:r>
    </w:p>
    <w:p w14:paraId="00CBEB68" w14:textId="77777777" w:rsidR="00670FB0"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Hanlon, M., Yeung, K., &amp; Zuo, L. (2022). Behavioral economics of accounting: A review of archival research on individual decision makers. Contemporary Accounting Research, 39(2), 1150-1214.</w:t>
      </w:r>
    </w:p>
    <w:p w14:paraId="60319AC8" w14:textId="5ECFF85F" w:rsidR="008542B4" w:rsidRDefault="008542B4" w:rsidP="00670FB0">
      <w:pPr>
        <w:jc w:val="both"/>
        <w:rPr>
          <w:rFonts w:ascii="Helvetica" w:eastAsia="Times New Roman" w:hAnsi="Helvetica" w:cs="Times New Roman"/>
          <w:kern w:val="0"/>
          <w:sz w:val="20"/>
          <w:szCs w:val="20"/>
          <w:lang w:val="en-US"/>
          <w14:ligatures w14:val="none"/>
        </w:rPr>
      </w:pPr>
      <w:r w:rsidRPr="00F82956">
        <w:rPr>
          <w:lang w:val="en-US"/>
        </w:rPr>
        <w:t xml:space="preserve">Arnett J. J. (2004). Emerging adulthood: The winding road from the late teens through the twenties (1st ed.). </w:t>
      </w:r>
      <w:r w:rsidRPr="00A2603A">
        <w:rPr>
          <w:lang w:val="en-US"/>
        </w:rPr>
        <w:t>Oxford University Press.</w:t>
      </w:r>
    </w:p>
    <w:p w14:paraId="284D60CA" w14:textId="6D429D65" w:rsidR="008542B4" w:rsidRDefault="008542B4" w:rsidP="00670FB0">
      <w:pPr>
        <w:jc w:val="both"/>
        <w:rPr>
          <w:rFonts w:ascii="Helvetica" w:eastAsia="Times New Roman" w:hAnsi="Helvetica" w:cs="Times New Roman"/>
          <w:kern w:val="0"/>
          <w:sz w:val="20"/>
          <w:szCs w:val="20"/>
          <w:lang w:val="en-US"/>
          <w14:ligatures w14:val="none"/>
        </w:rPr>
      </w:pPr>
      <w:r w:rsidRPr="008542B4">
        <w:rPr>
          <w:rFonts w:ascii="Helvetica" w:eastAsia="Times New Roman" w:hAnsi="Helvetica" w:cs="Times New Roman"/>
          <w:kern w:val="0"/>
          <w:sz w:val="20"/>
          <w:szCs w:val="20"/>
          <w:lang w:val="en-US"/>
          <w14:ligatures w14:val="none"/>
        </w:rPr>
        <w:t xml:space="preserve">Culatta E., Clay-Warner J. (2021). Falling behind and feeling bad: Unmet expectations and mental health during the transition to adulthood. Society and Mental Health, 11(3), 251–265. </w:t>
      </w:r>
      <w:hyperlink r:id="rId34" w:history="1">
        <w:r w:rsidRPr="006828A9">
          <w:rPr>
            <w:rStyle w:val="Hyperlink"/>
            <w:rFonts w:ascii="Helvetica" w:eastAsia="Times New Roman" w:hAnsi="Helvetica" w:cs="Times New Roman"/>
            <w:kern w:val="0"/>
            <w:sz w:val="20"/>
            <w:szCs w:val="20"/>
            <w:lang w:val="en-US"/>
            <w14:ligatures w14:val="none"/>
          </w:rPr>
          <w:t>https://doi.org/10.1177/2156869321991892</w:t>
        </w:r>
      </w:hyperlink>
      <w:r>
        <w:rPr>
          <w:rFonts w:ascii="Helvetica" w:eastAsia="Times New Roman" w:hAnsi="Helvetica" w:cs="Times New Roman"/>
          <w:kern w:val="0"/>
          <w:sz w:val="20"/>
          <w:szCs w:val="20"/>
          <w:lang w:val="en-US"/>
          <w14:ligatures w14:val="none"/>
        </w:rPr>
        <w:t xml:space="preserve"> </w:t>
      </w:r>
    </w:p>
    <w:p w14:paraId="54895DF4" w14:textId="086F16F0" w:rsidR="008542B4" w:rsidRDefault="008542B4" w:rsidP="00670FB0">
      <w:pPr>
        <w:jc w:val="both"/>
        <w:rPr>
          <w:rFonts w:ascii="Helvetica" w:eastAsia="Times New Roman" w:hAnsi="Helvetica" w:cs="Times New Roman"/>
          <w:kern w:val="0"/>
          <w:sz w:val="20"/>
          <w:szCs w:val="20"/>
          <w:lang w:val="en-US"/>
          <w14:ligatures w14:val="none"/>
        </w:rPr>
      </w:pPr>
      <w:r w:rsidRPr="008542B4">
        <w:rPr>
          <w:rFonts w:ascii="Helvetica" w:eastAsia="Times New Roman" w:hAnsi="Helvetica" w:cs="Times New Roman"/>
          <w:kern w:val="0"/>
          <w:sz w:val="20"/>
          <w:szCs w:val="20"/>
          <w:lang w:val="en-US"/>
          <w14:ligatures w14:val="none"/>
        </w:rPr>
        <w:t xml:space="preserve">Lowe S. R., Dillon C. O., Rhodes J. E., Zwiebach L. (2013). Defining adult experiences: Perspectives of a diverse sample of young adults. Journal of Adolescent Research, 28(1), 31–68. </w:t>
      </w:r>
      <w:hyperlink r:id="rId35" w:history="1">
        <w:r w:rsidRPr="006828A9">
          <w:rPr>
            <w:rStyle w:val="Hyperlink"/>
            <w:rFonts w:ascii="Helvetica" w:eastAsia="Times New Roman" w:hAnsi="Helvetica" w:cs="Times New Roman"/>
            <w:kern w:val="0"/>
            <w:sz w:val="20"/>
            <w:szCs w:val="20"/>
            <w:lang w:val="en-US"/>
            <w14:ligatures w14:val="none"/>
          </w:rPr>
          <w:t>https://doi.org/10.1177/0743558411435854</w:t>
        </w:r>
      </w:hyperlink>
      <w:r>
        <w:rPr>
          <w:rFonts w:ascii="Helvetica" w:eastAsia="Times New Roman" w:hAnsi="Helvetica" w:cs="Times New Roman"/>
          <w:kern w:val="0"/>
          <w:sz w:val="20"/>
          <w:szCs w:val="20"/>
          <w:lang w:val="en-US"/>
          <w14:ligatures w14:val="none"/>
        </w:rPr>
        <w:t xml:space="preserve"> </w:t>
      </w:r>
    </w:p>
    <w:p w14:paraId="164821FE" w14:textId="240E51CC" w:rsidR="008542B4" w:rsidRDefault="008542B4" w:rsidP="00670FB0">
      <w:pPr>
        <w:jc w:val="both"/>
        <w:rPr>
          <w:rFonts w:ascii="Helvetica" w:eastAsia="Times New Roman" w:hAnsi="Helvetica" w:cs="Times New Roman"/>
          <w:kern w:val="0"/>
          <w:sz w:val="20"/>
          <w:szCs w:val="20"/>
          <w:lang w:val="en-US"/>
          <w14:ligatures w14:val="none"/>
        </w:rPr>
      </w:pPr>
      <w:r w:rsidRPr="008542B4">
        <w:rPr>
          <w:rFonts w:ascii="Helvetica" w:eastAsia="Times New Roman" w:hAnsi="Helvetica" w:cs="Times New Roman"/>
          <w:kern w:val="0"/>
          <w:sz w:val="20"/>
          <w:szCs w:val="20"/>
          <w:lang w:val="en-US"/>
          <w14:ligatures w14:val="none"/>
        </w:rPr>
        <w:t xml:space="preserve">Cepa K., Furstenberg F. F. (2021). Reaching adulthood: Persistent beliefs about the importance and timing of adult milestones. Journal of Family Issues, 42(1), 27–57. </w:t>
      </w:r>
      <w:hyperlink r:id="rId36" w:history="1">
        <w:r w:rsidRPr="006828A9">
          <w:rPr>
            <w:rStyle w:val="Hyperlink"/>
            <w:rFonts w:ascii="Helvetica" w:eastAsia="Times New Roman" w:hAnsi="Helvetica" w:cs="Times New Roman"/>
            <w:kern w:val="0"/>
            <w:sz w:val="20"/>
            <w:szCs w:val="20"/>
            <w:lang w:val="en-US"/>
            <w14:ligatures w14:val="none"/>
          </w:rPr>
          <w:t>https://doi.org/10.1177/0192513X20918612</w:t>
        </w:r>
      </w:hyperlink>
      <w:r>
        <w:rPr>
          <w:rFonts w:ascii="Helvetica" w:eastAsia="Times New Roman" w:hAnsi="Helvetica" w:cs="Times New Roman"/>
          <w:kern w:val="0"/>
          <w:sz w:val="20"/>
          <w:szCs w:val="20"/>
          <w:lang w:val="en-US"/>
          <w14:ligatures w14:val="none"/>
        </w:rPr>
        <w:t xml:space="preserve"> </w:t>
      </w:r>
    </w:p>
    <w:p w14:paraId="334B5C67" w14:textId="0B6E2C92" w:rsidR="008542B4" w:rsidRDefault="008542B4" w:rsidP="00670FB0">
      <w:pPr>
        <w:jc w:val="both"/>
        <w:rPr>
          <w:rFonts w:ascii="Helvetica" w:eastAsia="Times New Roman" w:hAnsi="Helvetica" w:cs="Times New Roman"/>
          <w:kern w:val="0"/>
          <w:sz w:val="20"/>
          <w:szCs w:val="20"/>
          <w:lang w:val="en-US"/>
          <w14:ligatures w14:val="none"/>
        </w:rPr>
      </w:pPr>
      <w:r w:rsidRPr="008542B4">
        <w:rPr>
          <w:rFonts w:ascii="Helvetica" w:eastAsia="Times New Roman" w:hAnsi="Helvetica" w:cs="Times New Roman"/>
          <w:kern w:val="0"/>
          <w:sz w:val="20"/>
          <w:szCs w:val="20"/>
          <w:lang w:val="en-US"/>
          <w14:ligatures w14:val="none"/>
        </w:rPr>
        <w:t xml:space="preserve">Schoon I., Mortimer J. (2017). Youth and the Great Recession: Are values, achievement orientation and outlook to the future affected? International Journal of Psychology, 52(1), 1–8. </w:t>
      </w:r>
      <w:hyperlink r:id="rId37" w:history="1">
        <w:r w:rsidRPr="006828A9">
          <w:rPr>
            <w:rStyle w:val="Hyperlink"/>
            <w:rFonts w:ascii="Helvetica" w:eastAsia="Times New Roman" w:hAnsi="Helvetica" w:cs="Times New Roman"/>
            <w:kern w:val="0"/>
            <w:sz w:val="20"/>
            <w:szCs w:val="20"/>
            <w:lang w:val="en-US"/>
            <w14:ligatures w14:val="none"/>
          </w:rPr>
          <w:t>https://doi.org/10.1002/ijop.12400</w:t>
        </w:r>
      </w:hyperlink>
      <w:r>
        <w:rPr>
          <w:rFonts w:ascii="Helvetica" w:eastAsia="Times New Roman" w:hAnsi="Helvetica" w:cs="Times New Roman"/>
          <w:kern w:val="0"/>
          <w:sz w:val="20"/>
          <w:szCs w:val="20"/>
          <w:lang w:val="en-US"/>
          <w14:ligatures w14:val="none"/>
        </w:rPr>
        <w:t xml:space="preserve"> </w:t>
      </w:r>
    </w:p>
    <w:p w14:paraId="10683801" w14:textId="2CC833CE" w:rsidR="008542B4" w:rsidRDefault="008542B4" w:rsidP="00670FB0">
      <w:pPr>
        <w:jc w:val="both"/>
        <w:rPr>
          <w:rFonts w:ascii="Helvetica" w:eastAsia="Times New Roman" w:hAnsi="Helvetica" w:cs="Times New Roman"/>
          <w:kern w:val="0"/>
          <w:sz w:val="20"/>
          <w:szCs w:val="20"/>
          <w:lang w:val="en-US"/>
          <w14:ligatures w14:val="none"/>
        </w:rPr>
      </w:pPr>
      <w:r w:rsidRPr="008542B4">
        <w:rPr>
          <w:rFonts w:ascii="Helvetica" w:eastAsia="Times New Roman" w:hAnsi="Helvetica" w:cs="Times New Roman"/>
          <w:kern w:val="0"/>
          <w:sz w:val="20"/>
          <w:szCs w:val="20"/>
          <w:lang w:val="en-US"/>
          <w14:ligatures w14:val="none"/>
        </w:rPr>
        <w:t xml:space="preserve">Settersten R. A. (2012). The contemporary context of young adulthood in the USA: From demography to development, from private troubles to public issues. In Booth A., Brown S. L., Landale N. S., Manning W. D., McHale S. M. (Eds.), Early adulthood in a family context (pp. 3–26). Springer. </w:t>
      </w:r>
      <w:hyperlink r:id="rId38" w:history="1">
        <w:r w:rsidRPr="006828A9">
          <w:rPr>
            <w:rStyle w:val="Hyperlink"/>
            <w:rFonts w:ascii="Helvetica" w:eastAsia="Times New Roman" w:hAnsi="Helvetica" w:cs="Times New Roman"/>
            <w:kern w:val="0"/>
            <w:sz w:val="20"/>
            <w:szCs w:val="20"/>
            <w:lang w:val="en-US"/>
            <w14:ligatures w14:val="none"/>
          </w:rPr>
          <w:t>https://doi.org/10.1007/978-1-4614-1436-0_1</w:t>
        </w:r>
      </w:hyperlink>
      <w:r>
        <w:rPr>
          <w:rFonts w:ascii="Helvetica" w:eastAsia="Times New Roman" w:hAnsi="Helvetica" w:cs="Times New Roman"/>
          <w:kern w:val="0"/>
          <w:sz w:val="20"/>
          <w:szCs w:val="20"/>
          <w:lang w:val="en-US"/>
          <w14:ligatures w14:val="none"/>
        </w:rPr>
        <w:t xml:space="preserve"> </w:t>
      </w:r>
    </w:p>
    <w:p w14:paraId="67D27AD9" w14:textId="63E7AFB6" w:rsidR="008542B4" w:rsidRPr="00AC210B" w:rsidRDefault="008542B4" w:rsidP="00670FB0">
      <w:pPr>
        <w:jc w:val="both"/>
        <w:rPr>
          <w:rFonts w:ascii="Helvetica" w:eastAsia="Times New Roman" w:hAnsi="Helvetica" w:cs="Times New Roman"/>
          <w:kern w:val="0"/>
          <w:sz w:val="20"/>
          <w:szCs w:val="20"/>
          <w:lang w:val="en-US"/>
          <w14:ligatures w14:val="none"/>
        </w:rPr>
      </w:pPr>
      <w:r w:rsidRPr="008542B4">
        <w:rPr>
          <w:rFonts w:ascii="Helvetica" w:eastAsia="Times New Roman" w:hAnsi="Helvetica" w:cs="Times New Roman"/>
          <w:kern w:val="0"/>
          <w:sz w:val="20"/>
          <w:szCs w:val="20"/>
          <w:lang w:val="en-US"/>
          <w14:ligatures w14:val="none"/>
        </w:rPr>
        <w:t>Rubin, J. D., Chen, K., &amp; Tung, A. (2024). Generation Z’s challenges to financial independence: Adolescents’ and early emerging adults’ perspectives on their financial futures. Journal of Adolescent Research, 07435584241256572</w:t>
      </w:r>
      <w:r>
        <w:rPr>
          <w:rFonts w:ascii="Helvetica" w:eastAsia="Times New Roman" w:hAnsi="Helvetica" w:cs="Times New Roman"/>
          <w:kern w:val="0"/>
          <w:sz w:val="20"/>
          <w:szCs w:val="20"/>
          <w:lang w:val="en-US"/>
          <w14:ligatures w14:val="none"/>
        </w:rPr>
        <w:t>.</w:t>
      </w:r>
    </w:p>
    <w:sectPr w:rsidR="008542B4" w:rsidRPr="00AC210B" w:rsidSect="008145E7">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usnidar Nidar" w:date="2026-04-08T11:50:00Z" w:initials="YN">
    <w:p w14:paraId="34278500" w14:textId="77777777" w:rsidR="00B6035C" w:rsidRDefault="00B6035C" w:rsidP="00B6035C">
      <w:pPr>
        <w:pStyle w:val="CommentText"/>
      </w:pPr>
      <w:r>
        <w:rPr>
          <w:rStyle w:val="CommentReference"/>
        </w:rPr>
        <w:annotationRef/>
      </w:r>
      <w:r>
        <w:t>The name of the University is mentioned</w:t>
      </w:r>
    </w:p>
  </w:comment>
  <w:comment w:id="1" w:author="Yusnidar Nidar" w:date="2026-04-08T12:08:00Z" w:initials="YN">
    <w:p w14:paraId="53DF985C" w14:textId="77777777" w:rsidR="00A77A6B" w:rsidRDefault="00A77A6B" w:rsidP="00A77A6B">
      <w:pPr>
        <w:pStyle w:val="CommentText"/>
      </w:pPr>
      <w:r>
        <w:rPr>
          <w:rStyle w:val="CommentReference"/>
        </w:rPr>
        <w:annotationRef/>
      </w:r>
      <w:r>
        <w:t>The methodology and its problems are explained more explicitly for clarity and coherence.</w:t>
      </w:r>
    </w:p>
  </w:comment>
  <w:comment w:id="2" w:author="Yusnidar Nidar" w:date="2026-04-08T11:56:00Z" w:initials="YN">
    <w:p w14:paraId="691B78B5" w14:textId="77777777" w:rsidR="00B6035C" w:rsidRDefault="00B6035C" w:rsidP="00B6035C">
      <w:pPr>
        <w:pStyle w:val="CommentText"/>
      </w:pPr>
      <w:r>
        <w:rPr>
          <w:rStyle w:val="CommentReference"/>
        </w:rPr>
        <w:annotationRef/>
      </w:r>
      <w:r>
        <w:t>The theoretical foundation is at least from the last 5 years</w:t>
      </w:r>
    </w:p>
  </w:comment>
  <w:comment w:id="3" w:author="Yusnidar Nidar" w:date="2026-04-08T12:04:00Z" w:initials="YN">
    <w:p w14:paraId="25C55BF2" w14:textId="77777777" w:rsidR="00A77A6B" w:rsidRDefault="00A77A6B" w:rsidP="00A77A6B">
      <w:pPr>
        <w:pStyle w:val="CommentText"/>
      </w:pPr>
      <w:r>
        <w:rPr>
          <w:rStyle w:val="CommentReference"/>
        </w:rPr>
        <w:annotationRef/>
      </w:r>
      <w:r>
        <w:t>Sharpen substantially in terms of clarity, methodological accuracy, and academic structure</w:t>
      </w:r>
    </w:p>
  </w:comment>
  <w:comment w:id="4" w:author="Yusnidar Nidar" w:date="2026-04-08T12:16:00Z" w:initials="YN">
    <w:p w14:paraId="67FF6278" w14:textId="77777777" w:rsidR="007C60B7" w:rsidRDefault="007C60B7" w:rsidP="007C60B7">
      <w:pPr>
        <w:pStyle w:val="CommentText"/>
      </w:pPr>
      <w:r>
        <w:rPr>
          <w:rStyle w:val="CommentReference"/>
        </w:rPr>
        <w:annotationRef/>
      </w:r>
      <w:r>
        <w:t>explain in detail about the sample, sampling techniques, data collection methods, measurement instruments, and analysis methods</w:t>
      </w:r>
    </w:p>
  </w:comment>
  <w:comment w:id="5" w:author="Yusnidar Nidar" w:date="2026-04-08T12:13:00Z" w:initials="YN">
    <w:p w14:paraId="0AFC86B9" w14:textId="77777777" w:rsidR="007C60B7" w:rsidRDefault="007C60B7" w:rsidP="007C60B7">
      <w:pPr>
        <w:pStyle w:val="CommentText"/>
      </w:pPr>
      <w:r>
        <w:rPr>
          <w:rStyle w:val="CommentReference"/>
        </w:rPr>
        <w:annotationRef/>
      </w:r>
      <w:r>
        <w:t>Connect the results with previous studies on existing literature to make it more explicit.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278500" w15:done="0"/>
  <w15:commentEx w15:paraId="53DF985C" w15:done="0"/>
  <w15:commentEx w15:paraId="691B78B5" w15:done="0"/>
  <w15:commentEx w15:paraId="25C55BF2" w15:done="0"/>
  <w15:commentEx w15:paraId="67FF6278" w15:done="0"/>
  <w15:commentEx w15:paraId="0AFC86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6350FC" w16cex:dateUtc="2026-04-08T04:50:00Z"/>
  <w16cex:commentExtensible w16cex:durableId="066DD4EA" w16cex:dateUtc="2026-04-08T05:08:00Z"/>
  <w16cex:commentExtensible w16cex:durableId="28B1B4DE" w16cex:dateUtc="2026-04-08T04:56:00Z"/>
  <w16cex:commentExtensible w16cex:durableId="0A19650F" w16cex:dateUtc="2026-04-08T05:04:00Z"/>
  <w16cex:commentExtensible w16cex:durableId="52475A6A" w16cex:dateUtc="2026-04-08T05:16:00Z"/>
  <w16cex:commentExtensible w16cex:durableId="308A3389" w16cex:dateUtc="2026-04-08T0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278500" w16cid:durableId="036350FC"/>
  <w16cid:commentId w16cid:paraId="53DF985C" w16cid:durableId="066DD4EA"/>
  <w16cid:commentId w16cid:paraId="691B78B5" w16cid:durableId="28B1B4DE"/>
  <w16cid:commentId w16cid:paraId="25C55BF2" w16cid:durableId="0A19650F"/>
  <w16cid:commentId w16cid:paraId="67FF6278" w16cid:durableId="52475A6A"/>
  <w16cid:commentId w16cid:paraId="0AFC86B9" w16cid:durableId="308A33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DDAF" w14:textId="77777777" w:rsidR="00723319" w:rsidRDefault="00723319" w:rsidP="00A64327">
      <w:pPr>
        <w:spacing w:after="0" w:line="240" w:lineRule="auto"/>
      </w:pPr>
      <w:r>
        <w:separator/>
      </w:r>
    </w:p>
  </w:endnote>
  <w:endnote w:type="continuationSeparator" w:id="0">
    <w:p w14:paraId="45D79245" w14:textId="77777777" w:rsidR="00723319" w:rsidRDefault="00723319" w:rsidP="00A64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2DB7" w14:textId="77777777" w:rsidR="00154139" w:rsidRDefault="00154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3505" w14:textId="03247C1E" w:rsidR="00A64327" w:rsidRPr="00C751E3" w:rsidRDefault="005144FE" w:rsidP="00C751E3">
    <w:pPr>
      <w:pStyle w:val="Footer"/>
    </w:pPr>
    <w:r w:rsidRPr="00C751E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98C5" w14:textId="382D619A" w:rsidR="00A64327" w:rsidRPr="00154139" w:rsidRDefault="00A64327" w:rsidP="001541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CE76" w14:textId="77777777" w:rsidR="00A64327" w:rsidRPr="00C37E61" w:rsidRDefault="00A6432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F011" w14:textId="77777777" w:rsidR="00723319" w:rsidRDefault="00723319" w:rsidP="00A64327">
      <w:pPr>
        <w:spacing w:after="0" w:line="240" w:lineRule="auto"/>
      </w:pPr>
      <w:r>
        <w:separator/>
      </w:r>
    </w:p>
  </w:footnote>
  <w:footnote w:type="continuationSeparator" w:id="0">
    <w:p w14:paraId="52FA2427" w14:textId="77777777" w:rsidR="00723319" w:rsidRDefault="00723319" w:rsidP="00A64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B9A3" w14:textId="65471494" w:rsidR="00154139" w:rsidRDefault="00000000">
    <w:pPr>
      <w:pStyle w:val="Header"/>
    </w:pPr>
    <w:r>
      <w:rPr>
        <w:noProof/>
      </w:rPr>
      <w:pict w14:anchorId="18E35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40969" o:spid="_x0000_s1026"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2770" w14:textId="201AF9DF" w:rsidR="00154139" w:rsidRDefault="00000000">
    <w:pPr>
      <w:pStyle w:val="Header"/>
    </w:pPr>
    <w:r>
      <w:rPr>
        <w:noProof/>
      </w:rPr>
      <w:pict w14:anchorId="75D8F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40970" o:spid="_x0000_s1027"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951E" w14:textId="19A15E72" w:rsidR="00A64327" w:rsidRPr="00296529" w:rsidRDefault="00000000" w:rsidP="00296529">
    <w:pPr>
      <w:ind w:left="2160"/>
      <w:jc w:val="center"/>
      <w:rPr>
        <w:rFonts w:ascii="Times New Roman" w:eastAsia="Calibri" w:hAnsi="Times New Roman"/>
        <w:i/>
        <w:sz w:val="18"/>
      </w:rPr>
    </w:pPr>
    <w:r>
      <w:rPr>
        <w:noProof/>
      </w:rPr>
      <w:pict w14:anchorId="7AD35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40968" o:spid="_x0000_s1025" type="#_x0000_t136" style="position:absolute;left:0;text-align:left;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B11729F" w14:textId="77777777" w:rsidR="00A64327" w:rsidRPr="00296529" w:rsidRDefault="00A64327"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0767059F" w14:textId="77777777" w:rsidR="00A64327" w:rsidRPr="00296529" w:rsidRDefault="00A64327" w:rsidP="00296529">
    <w:pPr>
      <w:jc w:val="center"/>
      <w:rPr>
        <w:rFonts w:ascii="Times New Roman" w:eastAsia="Calibri" w:hAnsi="Times New Roman"/>
        <w:i/>
        <w:sz w:val="18"/>
      </w:rPr>
    </w:pPr>
    <w:r>
      <w:rPr>
        <w:rFonts w:ascii="Times New Roman" w:eastAsia="Calibri" w:hAnsi="Times New Roman"/>
        <w:i/>
        <w:sz w:val="18"/>
      </w:rPr>
      <w:t>.</w:t>
    </w:r>
  </w:p>
  <w:p w14:paraId="164F5FA9" w14:textId="77777777" w:rsidR="00A64327" w:rsidRPr="00296529" w:rsidRDefault="00A64327" w:rsidP="00296529">
    <w:pPr>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7E158106" w14:textId="77777777" w:rsidR="00A64327" w:rsidRDefault="00A64327"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1A03D0F2" w14:textId="77777777" w:rsidR="00A64327" w:rsidRDefault="00A64327" w:rsidP="00296529">
    <w:pPr>
      <w:tabs>
        <w:tab w:val="left" w:pos="2145"/>
      </w:tabs>
      <w:rPr>
        <w:rFonts w:ascii="Times New Roman" w:eastAsia="Calibri" w:hAnsi="Times New Roman"/>
        <w:i/>
        <w:sz w:val="18"/>
      </w:rPr>
    </w:pPr>
    <w:r>
      <w:rPr>
        <w:rFonts w:ascii="Times New Roman" w:eastAsia="Calibri" w:hAnsi="Times New Roman"/>
        <w:i/>
        <w:sz w:val="18"/>
      </w:rPr>
      <w:tab/>
      <w:t>.</w:t>
    </w:r>
  </w:p>
  <w:p w14:paraId="1F73A0DE" w14:textId="77777777" w:rsidR="00A64327" w:rsidRDefault="00A6432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0912" w14:textId="7DDAAA96" w:rsidR="00154139" w:rsidRDefault="00000000">
    <w:pPr>
      <w:pStyle w:val="Header"/>
    </w:pPr>
    <w:r>
      <w:rPr>
        <w:noProof/>
      </w:rPr>
      <w:pict w14:anchorId="0E26B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40972" o:spid="_x0000_s1029" type="#_x0000_t136" style="position:absolute;margin-left:0;margin-top:0;width:487.2pt;height:91.3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8BB4" w14:textId="04ABD38B" w:rsidR="00154139" w:rsidRDefault="00000000">
    <w:pPr>
      <w:pStyle w:val="Header"/>
    </w:pPr>
    <w:r>
      <w:rPr>
        <w:noProof/>
      </w:rPr>
      <w:pict w14:anchorId="1987A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40973" o:spid="_x0000_s1030" type="#_x0000_t136" style="position:absolute;margin-left:0;margin-top:0;width:487.2pt;height:91.3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DD52" w14:textId="22FCC4CA" w:rsidR="00154139" w:rsidRDefault="00000000">
    <w:pPr>
      <w:pStyle w:val="Header"/>
    </w:pPr>
    <w:r>
      <w:rPr>
        <w:noProof/>
      </w:rPr>
      <w:pict w14:anchorId="6CA8C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40971" o:spid="_x0000_s1028" type="#_x0000_t136" style="position:absolute;margin-left:0;margin-top:0;width:487.2pt;height:91.3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nidar Nidar">
    <w15:presenceInfo w15:providerId="Windows Live" w15:userId="aee174b89ad5ab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27"/>
    <w:rsid w:val="0001411D"/>
    <w:rsid w:val="000A674B"/>
    <w:rsid w:val="00154139"/>
    <w:rsid w:val="001C0FEA"/>
    <w:rsid w:val="001E009F"/>
    <w:rsid w:val="00204AF1"/>
    <w:rsid w:val="00256902"/>
    <w:rsid w:val="002A0B7F"/>
    <w:rsid w:val="002E2D17"/>
    <w:rsid w:val="00341020"/>
    <w:rsid w:val="00346469"/>
    <w:rsid w:val="003B1354"/>
    <w:rsid w:val="00461A68"/>
    <w:rsid w:val="00467F2F"/>
    <w:rsid w:val="00505581"/>
    <w:rsid w:val="005144FE"/>
    <w:rsid w:val="00536E61"/>
    <w:rsid w:val="00670FB0"/>
    <w:rsid w:val="006F40EC"/>
    <w:rsid w:val="006F6D33"/>
    <w:rsid w:val="00723319"/>
    <w:rsid w:val="00783FA0"/>
    <w:rsid w:val="007A6C1A"/>
    <w:rsid w:val="007C60B7"/>
    <w:rsid w:val="008145E7"/>
    <w:rsid w:val="008352B5"/>
    <w:rsid w:val="008542B4"/>
    <w:rsid w:val="00A36310"/>
    <w:rsid w:val="00A62729"/>
    <w:rsid w:val="00A64327"/>
    <w:rsid w:val="00A77A6B"/>
    <w:rsid w:val="00AC210B"/>
    <w:rsid w:val="00B51D1B"/>
    <w:rsid w:val="00B6035C"/>
    <w:rsid w:val="00B76E71"/>
    <w:rsid w:val="00B95E37"/>
    <w:rsid w:val="00BC17AE"/>
    <w:rsid w:val="00C05E2E"/>
    <w:rsid w:val="00C751E3"/>
    <w:rsid w:val="00DB03ED"/>
    <w:rsid w:val="00DE6773"/>
    <w:rsid w:val="00E62BD1"/>
    <w:rsid w:val="00EF7D1E"/>
    <w:rsid w:val="00F0301A"/>
    <w:rsid w:val="00F2396B"/>
    <w:rsid w:val="00F45152"/>
    <w:rsid w:val="00F829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6FA91"/>
  <w15:chartTrackingRefBased/>
  <w15:docId w15:val="{402E2E06-47E0-4150-ABA1-BAA7418D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jc w:val="left"/>
    </w:pPr>
  </w:style>
  <w:style w:type="paragraph" w:styleId="Heading1">
    <w:name w:val="heading 1"/>
    <w:basedOn w:val="Normal"/>
    <w:next w:val="Normal"/>
    <w:link w:val="Heading1Char"/>
    <w:uiPriority w:val="9"/>
    <w:qFormat/>
    <w:rsid w:val="00A643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43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43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43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43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43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3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3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3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3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43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43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43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43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4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327"/>
    <w:rPr>
      <w:rFonts w:eastAsiaTheme="majorEastAsia" w:cstheme="majorBidi"/>
      <w:color w:val="272727" w:themeColor="text1" w:themeTint="D8"/>
    </w:rPr>
  </w:style>
  <w:style w:type="paragraph" w:styleId="Title">
    <w:name w:val="Title"/>
    <w:basedOn w:val="Normal"/>
    <w:next w:val="Normal"/>
    <w:link w:val="TitleChar"/>
    <w:uiPriority w:val="10"/>
    <w:qFormat/>
    <w:rsid w:val="00A64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3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3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4327"/>
    <w:rPr>
      <w:i/>
      <w:iCs/>
      <w:color w:val="404040" w:themeColor="text1" w:themeTint="BF"/>
    </w:rPr>
  </w:style>
  <w:style w:type="paragraph" w:styleId="ListParagraph">
    <w:name w:val="List Paragraph"/>
    <w:basedOn w:val="Normal"/>
    <w:uiPriority w:val="34"/>
    <w:qFormat/>
    <w:rsid w:val="00A64327"/>
    <w:pPr>
      <w:ind w:left="720"/>
      <w:contextualSpacing/>
    </w:pPr>
  </w:style>
  <w:style w:type="character" w:styleId="IntenseEmphasis">
    <w:name w:val="Intense Emphasis"/>
    <w:basedOn w:val="DefaultParagraphFont"/>
    <w:uiPriority w:val="21"/>
    <w:qFormat/>
    <w:rsid w:val="00A64327"/>
    <w:rPr>
      <w:i/>
      <w:iCs/>
      <w:color w:val="2F5496" w:themeColor="accent1" w:themeShade="BF"/>
    </w:rPr>
  </w:style>
  <w:style w:type="paragraph" w:styleId="IntenseQuote">
    <w:name w:val="Intense Quote"/>
    <w:basedOn w:val="Normal"/>
    <w:next w:val="Normal"/>
    <w:link w:val="IntenseQuoteChar"/>
    <w:uiPriority w:val="30"/>
    <w:qFormat/>
    <w:rsid w:val="00A643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4327"/>
    <w:rPr>
      <w:i/>
      <w:iCs/>
      <w:color w:val="2F5496" w:themeColor="accent1" w:themeShade="BF"/>
    </w:rPr>
  </w:style>
  <w:style w:type="character" w:styleId="IntenseReference">
    <w:name w:val="Intense Reference"/>
    <w:basedOn w:val="DefaultParagraphFont"/>
    <w:uiPriority w:val="32"/>
    <w:qFormat/>
    <w:rsid w:val="00A64327"/>
    <w:rPr>
      <w:b/>
      <w:bCs/>
      <w:smallCaps/>
      <w:color w:val="2F5496" w:themeColor="accent1" w:themeShade="BF"/>
      <w:spacing w:val="5"/>
    </w:rPr>
  </w:style>
  <w:style w:type="paragraph" w:styleId="Footer">
    <w:name w:val="footer"/>
    <w:basedOn w:val="Normal"/>
    <w:link w:val="FooterChar"/>
    <w:uiPriority w:val="99"/>
    <w:unhideWhenUsed/>
    <w:rsid w:val="00A64327"/>
    <w:pPr>
      <w:tabs>
        <w:tab w:val="center" w:pos="4419"/>
        <w:tab w:val="right" w:pos="8838"/>
      </w:tabs>
      <w:spacing w:after="0" w:line="240" w:lineRule="auto"/>
    </w:pPr>
  </w:style>
  <w:style w:type="character" w:customStyle="1" w:styleId="FooterChar">
    <w:name w:val="Footer Char"/>
    <w:basedOn w:val="DefaultParagraphFont"/>
    <w:link w:val="Footer"/>
    <w:uiPriority w:val="99"/>
    <w:rsid w:val="00A64327"/>
  </w:style>
  <w:style w:type="paragraph" w:styleId="Header">
    <w:name w:val="header"/>
    <w:basedOn w:val="Normal"/>
    <w:link w:val="HeaderChar"/>
    <w:uiPriority w:val="99"/>
    <w:unhideWhenUsed/>
    <w:rsid w:val="00A64327"/>
    <w:pPr>
      <w:tabs>
        <w:tab w:val="center" w:pos="4419"/>
        <w:tab w:val="right" w:pos="8838"/>
      </w:tabs>
      <w:spacing w:after="0" w:line="240" w:lineRule="auto"/>
    </w:pPr>
  </w:style>
  <w:style w:type="character" w:customStyle="1" w:styleId="HeaderChar">
    <w:name w:val="Header Char"/>
    <w:basedOn w:val="DefaultParagraphFont"/>
    <w:link w:val="Header"/>
    <w:uiPriority w:val="99"/>
    <w:rsid w:val="00A64327"/>
  </w:style>
  <w:style w:type="character" w:styleId="LineNumber">
    <w:name w:val="line number"/>
    <w:basedOn w:val="DefaultParagraphFont"/>
    <w:uiPriority w:val="99"/>
    <w:semiHidden/>
    <w:unhideWhenUsed/>
    <w:rsid w:val="00A64327"/>
  </w:style>
  <w:style w:type="character" w:styleId="Hyperlink">
    <w:name w:val="Hyperlink"/>
    <w:basedOn w:val="DefaultParagraphFont"/>
    <w:uiPriority w:val="99"/>
    <w:unhideWhenUsed/>
    <w:rsid w:val="00A64327"/>
    <w:rPr>
      <w:color w:val="0563C1" w:themeColor="hyperlink"/>
      <w:u w:val="single"/>
    </w:rPr>
  </w:style>
  <w:style w:type="character" w:styleId="UnresolvedMention">
    <w:name w:val="Unresolved Mention"/>
    <w:basedOn w:val="DefaultParagraphFont"/>
    <w:uiPriority w:val="99"/>
    <w:semiHidden/>
    <w:unhideWhenUsed/>
    <w:rsid w:val="00A64327"/>
    <w:rPr>
      <w:color w:val="605E5C"/>
      <w:shd w:val="clear" w:color="auto" w:fill="E1DFDD"/>
    </w:rPr>
  </w:style>
  <w:style w:type="character" w:styleId="CommentReference">
    <w:name w:val="annotation reference"/>
    <w:basedOn w:val="DefaultParagraphFont"/>
    <w:uiPriority w:val="99"/>
    <w:semiHidden/>
    <w:unhideWhenUsed/>
    <w:rsid w:val="00F82956"/>
    <w:rPr>
      <w:sz w:val="16"/>
      <w:szCs w:val="16"/>
    </w:rPr>
  </w:style>
  <w:style w:type="paragraph" w:styleId="CommentText">
    <w:name w:val="annotation text"/>
    <w:basedOn w:val="Normal"/>
    <w:link w:val="CommentTextChar"/>
    <w:uiPriority w:val="99"/>
    <w:unhideWhenUsed/>
    <w:rsid w:val="00F82956"/>
    <w:pPr>
      <w:spacing w:line="240" w:lineRule="auto"/>
    </w:pPr>
    <w:rPr>
      <w:sz w:val="20"/>
      <w:szCs w:val="20"/>
    </w:rPr>
  </w:style>
  <w:style w:type="character" w:customStyle="1" w:styleId="CommentTextChar">
    <w:name w:val="Comment Text Char"/>
    <w:basedOn w:val="DefaultParagraphFont"/>
    <w:link w:val="CommentText"/>
    <w:uiPriority w:val="99"/>
    <w:rsid w:val="00F82956"/>
    <w:rPr>
      <w:sz w:val="20"/>
      <w:szCs w:val="20"/>
    </w:rPr>
  </w:style>
  <w:style w:type="paragraph" w:styleId="CommentSubject">
    <w:name w:val="annotation subject"/>
    <w:basedOn w:val="CommentText"/>
    <w:next w:val="CommentText"/>
    <w:link w:val="CommentSubjectChar"/>
    <w:uiPriority w:val="99"/>
    <w:semiHidden/>
    <w:unhideWhenUsed/>
    <w:rsid w:val="00F82956"/>
    <w:rPr>
      <w:b/>
      <w:bCs/>
    </w:rPr>
  </w:style>
  <w:style w:type="character" w:customStyle="1" w:styleId="CommentSubjectChar">
    <w:name w:val="Comment Subject Char"/>
    <w:basedOn w:val="CommentTextChar"/>
    <w:link w:val="CommentSubject"/>
    <w:uiPriority w:val="99"/>
    <w:semiHidden/>
    <w:rsid w:val="00F829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png"/><Relationship Id="rId26" Type="http://schemas.openxmlformats.org/officeDocument/2006/relationships/chart" Target="charts/chart6.xml"/><Relationship Id="rId39" Type="http://schemas.openxmlformats.org/officeDocument/2006/relationships/header" Target="header4.xml"/><Relationship Id="rId21" Type="http://schemas.openxmlformats.org/officeDocument/2006/relationships/chart" Target="charts/chart4.xml"/><Relationship Id="rId34" Type="http://schemas.openxmlformats.org/officeDocument/2006/relationships/hyperlink" Target="https://doi.org/10.1177/2156869321991892" TargetMode="External"/><Relationship Id="rId42" Type="http://schemas.openxmlformats.org/officeDocument/2006/relationships/header" Target="header6.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image" Target="media/image1.png"/><Relationship Id="rId29" Type="http://schemas.openxmlformats.org/officeDocument/2006/relationships/chart" Target="charts/chart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image" Target="media/image4.png"/><Relationship Id="rId32" Type="http://schemas.openxmlformats.org/officeDocument/2006/relationships/chart" Target="charts/chart12.xml"/><Relationship Id="rId37" Type="http://schemas.openxmlformats.org/officeDocument/2006/relationships/hyperlink" Target="https://doi.org/10.1002/ijop.12400" TargetMode="External"/><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endnotes" Target="endnotes.xml"/><Relationship Id="rId15" Type="http://schemas.microsoft.com/office/2018/08/relationships/commentsExtensible" Target="commentsExtensible.xml"/><Relationship Id="rId23" Type="http://schemas.openxmlformats.org/officeDocument/2006/relationships/chart" Target="charts/chart5.xml"/><Relationship Id="rId28" Type="http://schemas.openxmlformats.org/officeDocument/2006/relationships/chart" Target="charts/chart8.xml"/><Relationship Id="rId36" Type="http://schemas.openxmlformats.org/officeDocument/2006/relationships/hyperlink" Target="https://doi.org/10.1177/0192513X20918612" TargetMode="External"/><Relationship Id="rId10" Type="http://schemas.openxmlformats.org/officeDocument/2006/relationships/header" Target="header3.xml"/><Relationship Id="rId19" Type="http://schemas.openxmlformats.org/officeDocument/2006/relationships/chart" Target="charts/chart2.xml"/><Relationship Id="rId31" Type="http://schemas.openxmlformats.org/officeDocument/2006/relationships/chart" Target="charts/chart11.xml"/><Relationship Id="rId44" Type="http://schemas.microsoft.com/office/2011/relationships/people" Target="people.xml"/><Relationship Id="rId4" Type="http://schemas.openxmlformats.org/officeDocument/2006/relationships/footnotes" Target="footnotes.xml"/><Relationship Id="rId9" Type="http://schemas.openxmlformats.org/officeDocument/2006/relationships/footer" Target="footer2.xml"/><Relationship Id="rId14" Type="http://schemas.microsoft.com/office/2016/09/relationships/commentsIds" Target="commentsIds.xml"/><Relationship Id="rId22" Type="http://schemas.openxmlformats.org/officeDocument/2006/relationships/image" Target="media/image3.png"/><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yperlink" Target="https://doi.org/10.1177/0743558411435854"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chart" Target="charts/chart1.xml"/><Relationship Id="rId25" Type="http://schemas.openxmlformats.org/officeDocument/2006/relationships/image" Target="media/image5.png"/><Relationship Id="rId33" Type="http://schemas.openxmlformats.org/officeDocument/2006/relationships/chart" Target="charts/chart13.xml"/><Relationship Id="rId38" Type="http://schemas.openxmlformats.org/officeDocument/2006/relationships/hyperlink" Target="https://doi.org/10.1007/978-1-4614-1436-0_1" TargetMode="External"/><Relationship Id="rId20" Type="http://schemas.openxmlformats.org/officeDocument/2006/relationships/chart" Target="charts/chart3.xml"/><Relationship Id="rId41"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UV\03%20IIESCA\01%20ART&#205;CULO\ENCUESTA_EXPECTATIVAS_RACIONALES.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D:\UV\03%20IIESCA\01%20ART&#205;CULO\ENCUESTA_EXPECTATIVAS_RACIONALES.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D:\UV\03%20IIESCA\01%20ART&#205;CULO\ENCUESTA_EXPECTATIVAS_RACIONALES.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D:\UV\03%20IIESCA\01%20ART&#205;CULO\ENCUESTA_EXPECTATIVAS_RACIONALES.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D:\UV\03%20IIESCA\01%20ART&#205;CULO\ENCUESTA_EXPECTATIVAS_RACIONALE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UV\03%20IIESCA\01%20ART&#205;CULO\ENCUESTA_EXPECTATIVAS_RACIONALE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UV\03%20IIESCA\01%20ART&#205;CULO\ENCUESTA_EXPECTATIVAS_RACIONALE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UV\03%20IIESCA\01%20ART&#205;CULO\ENCUESTA_EXPECTATIVAS_RACIONALE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UV\03%20IIESCA\01%20ART&#205;CULO\ENCUESTA_EXPECTATIVAS_RACIONALE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UV\03%20IIESCA\01%20ART&#205;CULO\ENCUESTA_EXPECTATIVAS_RACIONALES.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D:\UV\03%20IIESCA\01%20ART&#205;CULO\ENCUESTA_EXPECTATIVAS_RACIONALES.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D:\UV\03%20IIESCA\01%20ART&#205;CULO\ENCUESTA_EXPECTATIVAS_RACIONALES.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D:\UV\03%20IIESCA\01%20ART&#205;CULO\ENCUESTA_EXPECTATIVAS_RACIO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047562111570605"/>
          <c:y val="0.10347118591782829"/>
          <c:w val="0.5037384174041829"/>
          <c:h val="0.7323542907821927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C2C-4FCC-A1A2-2A0012885B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C2C-4FCC-A1A2-2A0012885B7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ESTADÍSTICAS!$AD$2:$AD$3</c:f>
              <c:strCache>
                <c:ptCount val="2"/>
                <c:pt idx="0">
                  <c:v>Si lo practica </c:v>
                </c:pt>
                <c:pt idx="1">
                  <c:v>No lo practica</c:v>
                </c:pt>
              </c:strCache>
            </c:strRef>
          </c:cat>
          <c:val>
            <c:numRef>
              <c:f>ESTADÍSTICAS!$AE$2:$AE$3</c:f>
              <c:numCache>
                <c:formatCode>General</c:formatCode>
                <c:ptCount val="2"/>
                <c:pt idx="0">
                  <c:v>25</c:v>
                </c:pt>
                <c:pt idx="1">
                  <c:v>18</c:v>
                </c:pt>
              </c:numCache>
            </c:numRef>
          </c:val>
          <c:extLst>
            <c:ext xmlns:c16="http://schemas.microsoft.com/office/drawing/2014/chart" uri="{C3380CC4-5D6E-409C-BE32-E72D297353CC}">
              <c16:uniqueId val="{00000004-1C2C-4FCC-A1A2-2A0012885B7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556496761925028"/>
          <c:y val="0.10574118390076941"/>
          <c:w val="0.55981102363949875"/>
          <c:h val="0.7560327965027440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441-4F90-AA04-064B3746DA7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441-4F90-AA04-064B3746DA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ESTADÍSTICAS!$CQ$2:$CQ$3</c:f>
              <c:strCache>
                <c:ptCount val="2"/>
                <c:pt idx="0">
                  <c:v>Si la considera </c:v>
                </c:pt>
                <c:pt idx="1">
                  <c:v>No la considera</c:v>
                </c:pt>
              </c:strCache>
            </c:strRef>
          </c:cat>
          <c:val>
            <c:numRef>
              <c:f>ESTADÍSTICAS!$CR$2:$CR$3</c:f>
              <c:numCache>
                <c:formatCode>General</c:formatCode>
                <c:ptCount val="2"/>
                <c:pt idx="0">
                  <c:v>17</c:v>
                </c:pt>
                <c:pt idx="1">
                  <c:v>26</c:v>
                </c:pt>
              </c:numCache>
            </c:numRef>
          </c:val>
          <c:extLst>
            <c:ext xmlns:c16="http://schemas.microsoft.com/office/drawing/2014/chart" uri="{C3380CC4-5D6E-409C-BE32-E72D297353CC}">
              <c16:uniqueId val="{00000004-D441-4F90-AA04-064B3746DA7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544070272990704"/>
          <c:y val="9.3944847716881302E-2"/>
          <c:w val="0.55615786591462868"/>
          <c:h val="0.7422382692843992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6C0-41D2-9B17-39C64CE6B45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6C0-41D2-9B17-39C64CE6B45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ESTADÍSTICAS!$CV$2:$CV$3</c:f>
              <c:strCache>
                <c:ptCount val="2"/>
                <c:pt idx="0">
                  <c:v>Si la reconoce</c:v>
                </c:pt>
                <c:pt idx="1">
                  <c:v>No la reconoce</c:v>
                </c:pt>
              </c:strCache>
            </c:strRef>
          </c:cat>
          <c:val>
            <c:numRef>
              <c:f>ESTADÍSTICAS!$CW$2:$CW$3</c:f>
              <c:numCache>
                <c:formatCode>General</c:formatCode>
                <c:ptCount val="2"/>
                <c:pt idx="0">
                  <c:v>30</c:v>
                </c:pt>
                <c:pt idx="1">
                  <c:v>13</c:v>
                </c:pt>
              </c:numCache>
            </c:numRef>
          </c:val>
          <c:extLst>
            <c:ext xmlns:c16="http://schemas.microsoft.com/office/drawing/2014/chart" uri="{C3380CC4-5D6E-409C-BE32-E72D297353CC}">
              <c16:uniqueId val="{00000004-06C0-41D2-9B17-39C64CE6B45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492917674539608"/>
          <c:y val="0.10376707152165832"/>
          <c:w val="0.54880549758940789"/>
          <c:h val="0.7364546646715460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4DA-4E2F-9CA2-067D8C4B65F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4DA-4E2F-9CA2-067D8C4B65F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ESTADÍSTICAS!$DA$2:$DA$3</c:f>
              <c:strCache>
                <c:ptCount val="2"/>
                <c:pt idx="0">
                  <c:v>Los tiene</c:v>
                </c:pt>
                <c:pt idx="1">
                  <c:v>No los tiene</c:v>
                </c:pt>
              </c:strCache>
            </c:strRef>
          </c:cat>
          <c:val>
            <c:numRef>
              <c:f>ESTADÍSTICAS!$DB$2:$DB$3</c:f>
              <c:numCache>
                <c:formatCode>General</c:formatCode>
                <c:ptCount val="2"/>
                <c:pt idx="0">
                  <c:v>35</c:v>
                </c:pt>
                <c:pt idx="1">
                  <c:v>8</c:v>
                </c:pt>
              </c:numCache>
            </c:numRef>
          </c:val>
          <c:extLst>
            <c:ext xmlns:c16="http://schemas.microsoft.com/office/drawing/2014/chart" uri="{C3380CC4-5D6E-409C-BE32-E72D297353CC}">
              <c16:uniqueId val="{00000004-24DA-4E2F-9CA2-067D8C4B65F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981640673483279"/>
          <c:y val="0.13200727153665595"/>
          <c:w val="0.53097030148233781"/>
          <c:h val="0.708286945794978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6EF-4745-8BDD-80F5CAFB032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6EF-4745-8BDD-80F5CAFB032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ESTADÍSTICAS!$DF$2:$DF$3</c:f>
              <c:strCache>
                <c:ptCount val="2"/>
                <c:pt idx="0">
                  <c:v>Los tiene</c:v>
                </c:pt>
                <c:pt idx="1">
                  <c:v>No los tiene</c:v>
                </c:pt>
              </c:strCache>
            </c:strRef>
          </c:cat>
          <c:val>
            <c:numRef>
              <c:f>ESTADÍSTICAS!$DG$2:$DG$3</c:f>
              <c:numCache>
                <c:formatCode>General</c:formatCode>
                <c:ptCount val="2"/>
                <c:pt idx="0">
                  <c:v>40</c:v>
                </c:pt>
                <c:pt idx="1">
                  <c:v>3</c:v>
                </c:pt>
              </c:numCache>
            </c:numRef>
          </c:val>
          <c:extLst>
            <c:ext xmlns:c16="http://schemas.microsoft.com/office/drawing/2014/chart" uri="{C3380CC4-5D6E-409C-BE32-E72D297353CC}">
              <c16:uniqueId val="{00000004-A6EF-4745-8BDD-80F5CAFB032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602043150645898"/>
          <c:y val="0.13517880019311257"/>
          <c:w val="0.49824916401464187"/>
          <c:h val="0.7012784204303976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7D-4F61-999E-61A5726C656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7D-4F61-999E-61A5726C656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ESTADÍSTICAS!$AN$2:$AN$3</c:f>
              <c:strCache>
                <c:ptCount val="2"/>
                <c:pt idx="0">
                  <c:v>Cambia frecuentemente</c:v>
                </c:pt>
                <c:pt idx="1">
                  <c:v>No cambia frecuentemente</c:v>
                </c:pt>
              </c:strCache>
            </c:strRef>
          </c:cat>
          <c:val>
            <c:numRef>
              <c:f>ESTADÍSTICAS!$AO$2:$AO$3</c:f>
              <c:numCache>
                <c:formatCode>General</c:formatCode>
                <c:ptCount val="2"/>
                <c:pt idx="0">
                  <c:v>14</c:v>
                </c:pt>
                <c:pt idx="1">
                  <c:v>29</c:v>
                </c:pt>
              </c:numCache>
            </c:numRef>
          </c:val>
          <c:extLst>
            <c:ext xmlns:c16="http://schemas.microsoft.com/office/drawing/2014/chart" uri="{C3380CC4-5D6E-409C-BE32-E72D297353CC}">
              <c16:uniqueId val="{00000004-FA7D-4F61-999E-61A5726C656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712481752575483"/>
          <c:y val="0.12968093724259525"/>
          <c:w val="0.51324666945598996"/>
          <c:h val="0.7172229445628175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894-4402-9D67-B0F0F4D4578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894-4402-9D67-B0F0F4D4578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ESTADÍSTICAS!$AS$2:$AS$3</c:f>
              <c:strCache>
                <c:ptCount val="2"/>
                <c:pt idx="0">
                  <c:v>Si analiza la forma de contribuir</c:v>
                </c:pt>
                <c:pt idx="1">
                  <c:v>No analiza la forma de contribuir</c:v>
                </c:pt>
              </c:strCache>
            </c:strRef>
          </c:cat>
          <c:val>
            <c:numRef>
              <c:f>ESTADÍSTICAS!$AT$2:$AT$3</c:f>
              <c:numCache>
                <c:formatCode>General</c:formatCode>
                <c:ptCount val="2"/>
                <c:pt idx="0">
                  <c:v>30</c:v>
                </c:pt>
                <c:pt idx="1">
                  <c:v>13</c:v>
                </c:pt>
              </c:numCache>
            </c:numRef>
          </c:val>
          <c:extLst>
            <c:ext xmlns:c16="http://schemas.microsoft.com/office/drawing/2014/chart" uri="{C3380CC4-5D6E-409C-BE32-E72D297353CC}">
              <c16:uniqueId val="{00000004-8894-4402-9D67-B0F0F4D4578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778903634387852"/>
          <c:y val="0.11166703362614169"/>
          <c:w val="0.53212346382339781"/>
          <c:h val="0.7396487058984306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3DD-44C9-B7DD-B91B1106433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3DD-44C9-B7DD-B91B1106433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ESTADÍSTICAS!$AX$2:$AX$3</c:f>
              <c:strCache>
                <c:ptCount val="2"/>
                <c:pt idx="0">
                  <c:v>Si ha apoyado</c:v>
                </c:pt>
                <c:pt idx="1">
                  <c:v>No ha apoyado</c:v>
                </c:pt>
              </c:strCache>
            </c:strRef>
          </c:cat>
          <c:val>
            <c:numRef>
              <c:f>ESTADÍSTICAS!$AY$2:$AY$3</c:f>
              <c:numCache>
                <c:formatCode>General</c:formatCode>
                <c:ptCount val="2"/>
                <c:pt idx="0">
                  <c:v>35</c:v>
                </c:pt>
                <c:pt idx="1">
                  <c:v>8</c:v>
                </c:pt>
              </c:numCache>
            </c:numRef>
          </c:val>
          <c:extLst>
            <c:ext xmlns:c16="http://schemas.microsoft.com/office/drawing/2014/chart" uri="{C3380CC4-5D6E-409C-BE32-E72D297353CC}">
              <c16:uniqueId val="{00000004-93DD-44C9-B7DD-B91B1106433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438026737698744"/>
          <c:y val="0.10356834236974963"/>
          <c:w val="0.54225451557477067"/>
          <c:h val="0.7439289280415083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CC5-4C80-855E-326334DC70B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CC5-4C80-855E-326334DC70B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ESTADÍSTICAS!$BH$2:$BH$3</c:f>
              <c:strCache>
                <c:ptCount val="2"/>
                <c:pt idx="0">
                  <c:v>Reflexiona</c:v>
                </c:pt>
                <c:pt idx="1">
                  <c:v>No reflexiona</c:v>
                </c:pt>
              </c:strCache>
            </c:strRef>
          </c:cat>
          <c:val>
            <c:numRef>
              <c:f>ESTADÍSTICAS!$BI$2:$BI$3</c:f>
              <c:numCache>
                <c:formatCode>General</c:formatCode>
                <c:ptCount val="2"/>
                <c:pt idx="0">
                  <c:v>40</c:v>
                </c:pt>
                <c:pt idx="1">
                  <c:v>3</c:v>
                </c:pt>
              </c:numCache>
            </c:numRef>
          </c:val>
          <c:extLst>
            <c:ext xmlns:c16="http://schemas.microsoft.com/office/drawing/2014/chart" uri="{C3380CC4-5D6E-409C-BE32-E72D297353CC}">
              <c16:uniqueId val="{00000004-ACC5-4C80-855E-326334DC70B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253655089109634"/>
          <c:y val="0.10883541633365861"/>
          <c:w val="0.54896236303949142"/>
          <c:h val="0.7403323336571195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8EB-479B-8E39-1FB199E2602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8EB-479B-8E39-1FB199E260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ESTADÍSTICAS!$BW$2:$BW$3</c:f>
              <c:strCache>
                <c:ptCount val="2"/>
                <c:pt idx="0">
                  <c:v>Los tiene</c:v>
                </c:pt>
                <c:pt idx="1">
                  <c:v>No los tiene</c:v>
                </c:pt>
              </c:strCache>
            </c:strRef>
          </c:cat>
          <c:val>
            <c:numRef>
              <c:f>ESTADÍSTICAS!$BX$2:$BX$3</c:f>
              <c:numCache>
                <c:formatCode>General</c:formatCode>
                <c:ptCount val="2"/>
                <c:pt idx="0">
                  <c:v>37</c:v>
                </c:pt>
                <c:pt idx="1">
                  <c:v>6</c:v>
                </c:pt>
              </c:numCache>
            </c:numRef>
          </c:val>
          <c:extLst>
            <c:ext xmlns:c16="http://schemas.microsoft.com/office/drawing/2014/chart" uri="{C3380CC4-5D6E-409C-BE32-E72D297353CC}">
              <c16:uniqueId val="{00000004-48EB-479B-8E39-1FB199E2602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621409182270908"/>
          <c:y val="7.5746110370134567E-2"/>
          <c:w val="0.55564190939293678"/>
          <c:h val="0.7496822167367591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D63-4509-A286-F77A86A9692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D63-4509-A286-F77A86A9692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ESTADÍSTICAS!$CB$2:$CB$3</c:f>
              <c:strCache>
                <c:ptCount val="2"/>
                <c:pt idx="0">
                  <c:v>Son propios</c:v>
                </c:pt>
                <c:pt idx="1">
                  <c:v>No son propios </c:v>
                </c:pt>
              </c:strCache>
            </c:strRef>
          </c:cat>
          <c:val>
            <c:numRef>
              <c:f>ESTADÍSTICAS!$CC$2:$CC$3</c:f>
              <c:numCache>
                <c:formatCode>General</c:formatCode>
                <c:ptCount val="2"/>
                <c:pt idx="0">
                  <c:v>17</c:v>
                </c:pt>
                <c:pt idx="1">
                  <c:v>26</c:v>
                </c:pt>
              </c:numCache>
            </c:numRef>
          </c:val>
          <c:extLst>
            <c:ext xmlns:c16="http://schemas.microsoft.com/office/drawing/2014/chart" uri="{C3380CC4-5D6E-409C-BE32-E72D297353CC}">
              <c16:uniqueId val="{00000004-4D63-4509-A286-F77A86A9692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811434805709333"/>
          <c:y val="8.364739563303851E-2"/>
          <c:w val="0.54801373981337065"/>
          <c:h val="0.7392690271964390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8A-457C-94A8-78B1081CF74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8A-457C-94A8-78B1081CF74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ESTADÍSTICAS!$CG$2:$CG$3</c:f>
              <c:strCache>
                <c:ptCount val="2"/>
                <c:pt idx="0">
                  <c:v>Se siente conforme</c:v>
                </c:pt>
                <c:pt idx="1">
                  <c:v>No se siente conforme</c:v>
                </c:pt>
              </c:strCache>
            </c:strRef>
          </c:cat>
          <c:val>
            <c:numRef>
              <c:f>ESTADÍSTICAS!$CH$2:$CH$3</c:f>
              <c:numCache>
                <c:formatCode>General</c:formatCode>
                <c:ptCount val="2"/>
                <c:pt idx="0">
                  <c:v>24</c:v>
                </c:pt>
                <c:pt idx="1">
                  <c:v>19</c:v>
                </c:pt>
              </c:numCache>
            </c:numRef>
          </c:val>
          <c:extLst>
            <c:ext xmlns:c16="http://schemas.microsoft.com/office/drawing/2014/chart" uri="{C3380CC4-5D6E-409C-BE32-E72D297353CC}">
              <c16:uniqueId val="{00000004-FA8A-457C-94A8-78B1081CF74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040946823356508"/>
          <c:y val="9.9440812772825363E-2"/>
          <c:w val="0.54837258510575904"/>
          <c:h val="0.7381085201573290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768-44ED-8ED5-4DE3453A2C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768-44ED-8ED5-4DE3453A2CC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ESTADÍSTICAS!$CL$2:$CL$3</c:f>
              <c:strCache>
                <c:ptCount val="2"/>
                <c:pt idx="0">
                  <c:v>Se siente valorado</c:v>
                </c:pt>
                <c:pt idx="1">
                  <c:v>No se sinte valorado</c:v>
                </c:pt>
              </c:strCache>
            </c:strRef>
          </c:cat>
          <c:val>
            <c:numRef>
              <c:f>ESTADÍSTICAS!$CM$2:$CM$3</c:f>
              <c:numCache>
                <c:formatCode>General</c:formatCode>
                <c:ptCount val="2"/>
                <c:pt idx="0">
                  <c:v>34</c:v>
                </c:pt>
                <c:pt idx="1">
                  <c:v>9</c:v>
                </c:pt>
              </c:numCache>
            </c:numRef>
          </c:val>
          <c:extLst>
            <c:ext xmlns:c16="http://schemas.microsoft.com/office/drawing/2014/chart" uri="{C3380CC4-5D6E-409C-BE32-E72D297353CC}">
              <c16:uniqueId val="{00000004-3768-44ED-8ED5-4DE3453A2CC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135</TotalTime>
  <Pages>18</Pages>
  <Words>4812</Words>
  <Characters>27430</Characters>
  <Application>Microsoft Office Word</Application>
  <DocSecurity>0</DocSecurity>
  <Lines>228</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gonzalez muñoz</dc:creator>
  <cp:keywords/>
  <dc:description/>
  <cp:lastModifiedBy>Yusnidar Nidar</cp:lastModifiedBy>
  <cp:revision>10</cp:revision>
  <dcterms:created xsi:type="dcterms:W3CDTF">2026-04-01T01:29:00Z</dcterms:created>
  <dcterms:modified xsi:type="dcterms:W3CDTF">2026-04-08T05:16:00Z</dcterms:modified>
</cp:coreProperties>
</file>