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Default="008E39F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C07AC2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Default="005A54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A54C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Ms_JERR_157208</w:t>
            </w:r>
          </w:p>
        </w:tc>
      </w:tr>
      <w:tr w:rsidR="00095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Default="005A54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A54C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of Proton Exchange Membrane Fuel Cell (PEMFC) Bipolar Plate Forming Methods: Comparison of Performance, Scalability and Cost</w:t>
            </w:r>
          </w:p>
        </w:tc>
      </w:tr>
      <w:tr w:rsidR="000953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Default="00DF7E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0953C1" w:rsidRDefault="000953C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0953C1" w:rsidRDefault="000953C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0953C1" w:rsidRDefault="000953C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0953C1" w:rsidRDefault="000953C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0953C1" w:rsidRDefault="00DF7EC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0953C1" w:rsidRDefault="000953C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Default="00DF7EC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Default="00DF7EC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22C63">
              <w:rPr>
                <w:b/>
                <w:bCs/>
                <w:sz w:val="20"/>
                <w:szCs w:val="20"/>
                <w:lang w:val="en-GB"/>
              </w:rPr>
              <w:t>The work discusses PEMFC bipolar plate manufacturing methods, a hot topic in renewable energy systems. Stamping, hydroforming, and additive manufacturing comparisons reveal performance, scalability, and cost trade-offs. This study is relevant for academics and industry professionals attempting to commercialize fuel cell technologies. The article improves PEMFC efficiency and durability by integrating material, process, and economic factors.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953C1" w:rsidRDefault="000953C1">
      <w:pPr>
        <w:rPr>
          <w:sz w:val="22"/>
          <w:szCs w:val="20"/>
          <w:lang w:val="en-GB"/>
        </w:rPr>
      </w:pPr>
    </w:p>
    <w:p w:rsidR="000953C1" w:rsidRDefault="000953C1">
      <w:pPr>
        <w:rPr>
          <w:sz w:val="22"/>
          <w:szCs w:val="20"/>
          <w:lang w:val="en-GB"/>
        </w:rPr>
      </w:pPr>
    </w:p>
    <w:p w:rsidR="000953C1" w:rsidRDefault="000953C1">
      <w:pPr>
        <w:rPr>
          <w:sz w:val="22"/>
          <w:szCs w:val="20"/>
          <w:lang w:val="en-GB"/>
        </w:rPr>
      </w:pPr>
    </w:p>
    <w:p w:rsidR="000953C1" w:rsidRDefault="00DF7ECC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0953C1" w:rsidRDefault="000953C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Default="00DF7EC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 w:rsidP="00A22C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953C1" w:rsidRDefault="000953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953C1" w:rsidRDefault="000953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953C1" w:rsidRDefault="000953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953C1" w:rsidRDefault="00DF7ECC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0953C1" w:rsidRDefault="000953C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0953C1" w:rsidRDefault="000953C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Default="00DF7EC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:rsidR="000953C1" w:rsidRDefault="00DF7EC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:rsidR="000953C1" w:rsidRDefault="00DF7EC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Default="00A22C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Default="00DF7EC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0953C1" w:rsidRDefault="00DF7EC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953C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Default="00A22C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953C1" w:rsidRDefault="000953C1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0953C1" w:rsidRDefault="000953C1">
      <w:pPr>
        <w:rPr>
          <w:highlight w:val="yellow"/>
          <w:lang w:val="en-GB"/>
        </w:rPr>
      </w:pPr>
    </w:p>
    <w:p w:rsidR="000953C1" w:rsidRDefault="000953C1">
      <w:pPr>
        <w:rPr>
          <w:highlight w:val="yellow"/>
          <w:lang w:val="en-GB"/>
        </w:rPr>
      </w:pPr>
    </w:p>
    <w:p w:rsidR="000953C1" w:rsidRDefault="00DF7ECC" w:rsidP="00DE00A0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3</w:t>
      </w:r>
    </w:p>
    <w:p w:rsidR="000953C1" w:rsidRDefault="000953C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0953C1" w:rsidRDefault="000953C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Default="00DF7E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Default="00DF7E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024F6" w:rsidRPr="00A22C63" w:rsidRDefault="001024F6" w:rsidP="001024F6">
            <w:pPr>
              <w:rPr>
                <w:lang w:val="en-IN" w:eastAsia="en-IN"/>
              </w:rPr>
            </w:pPr>
            <w:r w:rsidRPr="00A22C63">
              <w:rPr>
                <w:lang w:val="en-IN" w:eastAsia="en-IN"/>
              </w:rPr>
              <w:t>Well-structured and technically sound manuscript. It balances forming methodologies with industrial scalability insights. While some sections may need clarification and figure explanations improved, the work is ready for publishing.</w:t>
            </w:r>
          </w:p>
          <w:p w:rsidR="001024F6" w:rsidRDefault="001024F6" w:rsidP="001024F6">
            <w:pPr>
              <w:rPr>
                <w:sz w:val="22"/>
                <w:szCs w:val="22"/>
                <w:lang w:val="en-GB"/>
              </w:rPr>
            </w:pPr>
          </w:p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Default="000953C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F1E85" w:rsidRDefault="004F1E85" w:rsidP="004F1E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F1E85" w:rsidRDefault="004F1E85" w:rsidP="004F1E8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F1E85" w:rsidRDefault="004F1E85" w:rsidP="004F1E85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M.Gnanaprakash</w:t>
      </w:r>
      <w:proofErr w:type="spellEnd"/>
      <w:r>
        <w:rPr>
          <w:rFonts w:ascii="Calibri" w:hAnsi="Calibri" w:cs="Calibri"/>
          <w:color w:val="000000"/>
        </w:rPr>
        <w:t>, Anna University</w:t>
      </w:r>
      <w:r w:rsidRPr="004F1E85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0953C1" w:rsidRDefault="000953C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953C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9FF" w:rsidRDefault="008E39FF">
      <w:r>
        <w:separator/>
      </w:r>
    </w:p>
  </w:endnote>
  <w:endnote w:type="continuationSeparator" w:id="0">
    <w:p w:rsidR="008E39FF" w:rsidRDefault="008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9502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9502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9FF" w:rsidRDefault="008E39FF">
      <w:r>
        <w:separator/>
      </w:r>
    </w:p>
  </w:footnote>
  <w:footnote w:type="continuationSeparator" w:id="0">
    <w:p w:rsidR="008E39FF" w:rsidRDefault="008E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1024F6"/>
    <w:rsid w:val="001726C6"/>
    <w:rsid w:val="002F3F44"/>
    <w:rsid w:val="003E5D38"/>
    <w:rsid w:val="004F1E85"/>
    <w:rsid w:val="0050771F"/>
    <w:rsid w:val="005A54C8"/>
    <w:rsid w:val="006542D1"/>
    <w:rsid w:val="008E39FF"/>
    <w:rsid w:val="00900399"/>
    <w:rsid w:val="00A22C63"/>
    <w:rsid w:val="00B107CD"/>
    <w:rsid w:val="00B41760"/>
    <w:rsid w:val="00C07AC2"/>
    <w:rsid w:val="00D95023"/>
    <w:rsid w:val="00DE00A0"/>
    <w:rsid w:val="00D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C47D3-B55E-4EFB-A982-77E6F18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024F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1E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