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70E" w:rsidRPr="00396C9D" w:rsidRDefault="0038470E">
      <w:pPr>
        <w:pStyle w:val="BodyText"/>
        <w:spacing w:before="4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8470E" w:rsidRPr="00396C9D">
        <w:trPr>
          <w:trHeight w:val="290"/>
        </w:trPr>
        <w:tc>
          <w:tcPr>
            <w:tcW w:w="5168" w:type="dxa"/>
          </w:tcPr>
          <w:p w:rsidR="0038470E" w:rsidRPr="00396C9D" w:rsidRDefault="00F06E0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96C9D">
              <w:rPr>
                <w:rFonts w:ascii="Arial" w:hAnsi="Arial" w:cs="Arial"/>
                <w:sz w:val="20"/>
                <w:szCs w:val="20"/>
              </w:rPr>
              <w:t>Journal</w:t>
            </w:r>
            <w:r w:rsidRPr="00396C9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38470E" w:rsidRPr="00396C9D" w:rsidRDefault="00F06E0A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396C9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396C9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396C9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396C9D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396C9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Energy</w:t>
              </w:r>
              <w:r w:rsidRPr="00396C9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396C9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396C9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396C9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396C9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396C9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Reviews</w:t>
              </w:r>
            </w:hyperlink>
          </w:p>
        </w:tc>
      </w:tr>
      <w:tr w:rsidR="0038470E" w:rsidRPr="00396C9D">
        <w:trPr>
          <w:trHeight w:val="290"/>
        </w:trPr>
        <w:tc>
          <w:tcPr>
            <w:tcW w:w="5168" w:type="dxa"/>
          </w:tcPr>
          <w:p w:rsidR="0038470E" w:rsidRPr="00396C9D" w:rsidRDefault="00F06E0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96C9D">
              <w:rPr>
                <w:rFonts w:ascii="Arial" w:hAnsi="Arial" w:cs="Arial"/>
                <w:sz w:val="20"/>
                <w:szCs w:val="20"/>
              </w:rPr>
              <w:t>Manuscript</w:t>
            </w:r>
            <w:r w:rsidRPr="00396C9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38470E" w:rsidRPr="00396C9D" w:rsidRDefault="00F06E0A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Ms_JENRR_155406</w:t>
            </w:r>
          </w:p>
        </w:tc>
      </w:tr>
      <w:tr w:rsidR="0038470E" w:rsidRPr="00396C9D">
        <w:trPr>
          <w:trHeight w:val="650"/>
        </w:trPr>
        <w:tc>
          <w:tcPr>
            <w:tcW w:w="5168" w:type="dxa"/>
          </w:tcPr>
          <w:p w:rsidR="0038470E" w:rsidRPr="00396C9D" w:rsidRDefault="00F06E0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96C9D">
              <w:rPr>
                <w:rFonts w:ascii="Arial" w:hAnsi="Arial" w:cs="Arial"/>
                <w:sz w:val="20"/>
                <w:szCs w:val="20"/>
              </w:rPr>
              <w:t>Title</w:t>
            </w:r>
            <w:r w:rsidRPr="00396C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z w:val="20"/>
                <w:szCs w:val="20"/>
              </w:rPr>
              <w:t>of</w:t>
            </w:r>
            <w:r w:rsidRPr="00396C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38470E" w:rsidRPr="00396C9D" w:rsidRDefault="00F06E0A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Fast</w:t>
            </w:r>
            <w:r w:rsidRPr="00396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96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Physically</w:t>
            </w:r>
            <w:r w:rsidRPr="00396C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Constrained</w:t>
            </w:r>
            <w:r w:rsidRPr="00396C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Modelling</w:t>
            </w:r>
            <w:r w:rsidRPr="00396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Solar</w:t>
            </w:r>
            <w:r w:rsidRPr="00396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PV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Power</w:t>
            </w:r>
            <w:r w:rsidRPr="00396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Output</w:t>
            </w:r>
            <w:r w:rsidRPr="00396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Optimized</w:t>
            </w:r>
            <w:r w:rsidRPr="00396C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Ordinary</w:t>
            </w:r>
            <w:r w:rsidRPr="00396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Differential</w:t>
            </w:r>
            <w:r w:rsidRPr="00396C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Equation</w:t>
            </w:r>
            <w:r w:rsidRPr="00396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>(ODE)</w:t>
            </w:r>
          </w:p>
        </w:tc>
      </w:tr>
      <w:tr w:rsidR="0038470E" w:rsidRPr="00396C9D">
        <w:trPr>
          <w:trHeight w:val="333"/>
        </w:trPr>
        <w:tc>
          <w:tcPr>
            <w:tcW w:w="5168" w:type="dxa"/>
          </w:tcPr>
          <w:p w:rsidR="0038470E" w:rsidRPr="00396C9D" w:rsidRDefault="00F06E0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96C9D">
              <w:rPr>
                <w:rFonts w:ascii="Arial" w:hAnsi="Arial" w:cs="Arial"/>
                <w:sz w:val="20"/>
                <w:szCs w:val="20"/>
              </w:rPr>
              <w:t>Type</w:t>
            </w:r>
            <w:r w:rsidRPr="00396C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z w:val="20"/>
                <w:szCs w:val="20"/>
              </w:rPr>
              <w:t>of</w:t>
            </w:r>
            <w:r w:rsidRPr="00396C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38470E" w:rsidRPr="00396C9D" w:rsidRDefault="00F06E0A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  <w:r w:rsidRPr="00396C9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</w:t>
            </w:r>
          </w:p>
        </w:tc>
      </w:tr>
    </w:tbl>
    <w:p w:rsidR="0038470E" w:rsidRPr="00396C9D" w:rsidRDefault="0038470E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38470E" w:rsidRPr="00396C9D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38470E" w:rsidRPr="00396C9D" w:rsidRDefault="00F06E0A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396C9D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396C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396C9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8470E" w:rsidRPr="00396C9D">
        <w:trPr>
          <w:trHeight w:val="964"/>
        </w:trPr>
        <w:tc>
          <w:tcPr>
            <w:tcW w:w="5352" w:type="dxa"/>
          </w:tcPr>
          <w:p w:rsidR="0038470E" w:rsidRPr="00396C9D" w:rsidRDefault="003847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38470E" w:rsidRPr="00396C9D" w:rsidRDefault="00F06E0A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96C9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8470E" w:rsidRPr="00396C9D" w:rsidRDefault="0038470E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38470E" w:rsidRPr="00396C9D" w:rsidRDefault="00F06E0A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96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z w:val="20"/>
                <w:szCs w:val="20"/>
              </w:rPr>
              <w:t>(It</w:t>
            </w:r>
            <w:r w:rsidRPr="00396C9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z w:val="20"/>
                <w:szCs w:val="20"/>
              </w:rPr>
              <w:t>is</w:t>
            </w:r>
            <w:r w:rsidRPr="00396C9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z w:val="20"/>
                <w:szCs w:val="20"/>
              </w:rPr>
              <w:t>mandatory</w:t>
            </w:r>
            <w:r w:rsidRPr="00396C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z w:val="20"/>
                <w:szCs w:val="20"/>
              </w:rPr>
              <w:t>that</w:t>
            </w:r>
            <w:r w:rsidRPr="00396C9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z w:val="20"/>
                <w:szCs w:val="20"/>
              </w:rPr>
              <w:t>authors</w:t>
            </w:r>
            <w:r w:rsidRPr="00396C9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z w:val="20"/>
                <w:szCs w:val="20"/>
              </w:rPr>
              <w:t>should</w:t>
            </w:r>
            <w:r w:rsidRPr="00396C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z w:val="20"/>
                <w:szCs w:val="20"/>
              </w:rPr>
              <w:t>write</w:t>
            </w:r>
            <w:r w:rsidRPr="00396C9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8470E" w:rsidRPr="00396C9D">
        <w:trPr>
          <w:trHeight w:val="1264"/>
        </w:trPr>
        <w:tc>
          <w:tcPr>
            <w:tcW w:w="5352" w:type="dxa"/>
          </w:tcPr>
          <w:p w:rsidR="0038470E" w:rsidRPr="00396C9D" w:rsidRDefault="00F06E0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96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38470E" w:rsidRPr="00396C9D" w:rsidRDefault="00F06E0A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addresses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enhance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behavior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predictability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PV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systems.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 xml:space="preserve">Therefore, the framework and its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importance, along with its physics-informed basis, demonstrate a reliable method for visualizing the effects of the thermal impact on electrical dynamics governing PV performance. This allows manufacturers, decision-makers, scientists, and other readers to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 xml:space="preserve"> consider it for these systems' forecasting. The physical alignment of parameters provides strong support to this approach.</w:t>
            </w:r>
          </w:p>
        </w:tc>
        <w:tc>
          <w:tcPr>
            <w:tcW w:w="6445" w:type="dxa"/>
          </w:tcPr>
          <w:p w:rsidR="0038470E" w:rsidRPr="00396C9D" w:rsidRDefault="003847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70E" w:rsidRPr="00396C9D">
        <w:trPr>
          <w:trHeight w:val="1262"/>
        </w:trPr>
        <w:tc>
          <w:tcPr>
            <w:tcW w:w="5352" w:type="dxa"/>
          </w:tcPr>
          <w:p w:rsidR="0038470E" w:rsidRPr="00396C9D" w:rsidRDefault="00F06E0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8470E" w:rsidRPr="00396C9D" w:rsidRDefault="00F06E0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38470E" w:rsidRPr="00396C9D" w:rsidRDefault="003847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38470E" w:rsidRPr="00396C9D" w:rsidRDefault="0038470E">
            <w:pPr>
              <w:pStyle w:val="TableParagraph"/>
              <w:spacing w:before="56"/>
              <w:rPr>
                <w:rFonts w:ascii="Arial" w:hAnsi="Arial" w:cs="Arial"/>
                <w:sz w:val="20"/>
                <w:szCs w:val="20"/>
              </w:rPr>
            </w:pPr>
          </w:p>
          <w:p w:rsidR="0038470E" w:rsidRPr="00396C9D" w:rsidRDefault="00F06E0A">
            <w:pPr>
              <w:pStyle w:val="TableParagraph"/>
              <w:spacing w:before="1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38470E" w:rsidRPr="00396C9D" w:rsidRDefault="003847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70E" w:rsidRPr="00396C9D">
        <w:trPr>
          <w:trHeight w:val="1262"/>
        </w:trPr>
        <w:tc>
          <w:tcPr>
            <w:tcW w:w="5352" w:type="dxa"/>
          </w:tcPr>
          <w:p w:rsidR="0038470E" w:rsidRPr="00396C9D" w:rsidRDefault="00F06E0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 xml:space="preserve">Is the abstract of the article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comprehensive? Do you suggest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38470E" w:rsidRPr="00396C9D" w:rsidRDefault="003847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38470E" w:rsidRPr="00396C9D" w:rsidRDefault="0038470E">
            <w:pPr>
              <w:pStyle w:val="TableParagraph"/>
              <w:spacing w:before="56"/>
              <w:rPr>
                <w:rFonts w:ascii="Arial" w:hAnsi="Arial" w:cs="Arial"/>
                <w:sz w:val="20"/>
                <w:szCs w:val="20"/>
              </w:rPr>
            </w:pPr>
          </w:p>
          <w:p w:rsidR="0038470E" w:rsidRPr="00396C9D" w:rsidRDefault="00F06E0A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nothing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>else.</w:t>
            </w:r>
          </w:p>
        </w:tc>
        <w:tc>
          <w:tcPr>
            <w:tcW w:w="6445" w:type="dxa"/>
          </w:tcPr>
          <w:p w:rsidR="0038470E" w:rsidRPr="00396C9D" w:rsidRDefault="003847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70E" w:rsidRPr="00396C9D">
        <w:trPr>
          <w:trHeight w:val="705"/>
        </w:trPr>
        <w:tc>
          <w:tcPr>
            <w:tcW w:w="5352" w:type="dxa"/>
          </w:tcPr>
          <w:p w:rsidR="0038470E" w:rsidRPr="00396C9D" w:rsidRDefault="00F06E0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6C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96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96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96C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96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38470E" w:rsidRPr="00396C9D" w:rsidRDefault="0038470E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:rsidR="0038470E" w:rsidRPr="00396C9D" w:rsidRDefault="00F06E0A">
            <w:pPr>
              <w:pStyle w:val="TableParagraph"/>
              <w:spacing w:before="1"/>
              <w:ind w:left="461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38470E" w:rsidRPr="00396C9D" w:rsidRDefault="003847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70E" w:rsidRPr="00396C9D">
        <w:trPr>
          <w:trHeight w:val="702"/>
        </w:trPr>
        <w:tc>
          <w:tcPr>
            <w:tcW w:w="5352" w:type="dxa"/>
          </w:tcPr>
          <w:p w:rsidR="0038470E" w:rsidRPr="00396C9D" w:rsidRDefault="00F06E0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96C9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38470E" w:rsidRPr="00396C9D" w:rsidRDefault="00F06E0A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396C9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6C9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396C9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396C9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96C9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38470E" w:rsidRPr="00396C9D" w:rsidRDefault="00F06E0A">
            <w:pPr>
              <w:pStyle w:val="TableParagraph"/>
              <w:ind w:left="158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list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updated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increase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bit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>more.</w:t>
            </w:r>
          </w:p>
        </w:tc>
        <w:tc>
          <w:tcPr>
            <w:tcW w:w="6445" w:type="dxa"/>
          </w:tcPr>
          <w:p w:rsidR="0038470E" w:rsidRPr="00396C9D" w:rsidRDefault="003847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70E" w:rsidRPr="00396C9D">
        <w:trPr>
          <w:trHeight w:val="688"/>
        </w:trPr>
        <w:tc>
          <w:tcPr>
            <w:tcW w:w="5352" w:type="dxa"/>
          </w:tcPr>
          <w:p w:rsidR="0038470E" w:rsidRPr="00396C9D" w:rsidRDefault="00F06E0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6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96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6C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 xml:space="preserve">suitable for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scholarly communications?</w:t>
            </w:r>
          </w:p>
        </w:tc>
        <w:tc>
          <w:tcPr>
            <w:tcW w:w="9356" w:type="dxa"/>
          </w:tcPr>
          <w:p w:rsidR="0038470E" w:rsidRPr="00396C9D" w:rsidRDefault="00F06E0A">
            <w:pPr>
              <w:pStyle w:val="TableParagraph"/>
              <w:ind w:left="158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both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>understandable.</w:t>
            </w:r>
          </w:p>
        </w:tc>
        <w:tc>
          <w:tcPr>
            <w:tcW w:w="6445" w:type="dxa"/>
          </w:tcPr>
          <w:p w:rsidR="0038470E" w:rsidRPr="00396C9D" w:rsidRDefault="003847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70E" w:rsidRPr="00396C9D">
        <w:trPr>
          <w:trHeight w:val="5080"/>
        </w:trPr>
        <w:tc>
          <w:tcPr>
            <w:tcW w:w="5352" w:type="dxa"/>
          </w:tcPr>
          <w:p w:rsidR="0038470E" w:rsidRPr="00396C9D" w:rsidRDefault="00F06E0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Optional/General</w:t>
            </w:r>
            <w:r w:rsidRPr="00396C9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38470E" w:rsidRPr="00396C9D" w:rsidRDefault="00F06E0A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reduce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model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underprediction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bias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future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applications:</w:t>
            </w:r>
          </w:p>
          <w:p w:rsidR="0038470E" w:rsidRPr="00396C9D" w:rsidRDefault="0038470E">
            <w:pPr>
              <w:pStyle w:val="TableParagraph"/>
              <w:spacing w:before="49"/>
              <w:rPr>
                <w:rFonts w:ascii="Arial" w:hAnsi="Arial" w:cs="Arial"/>
                <w:sz w:val="20"/>
                <w:szCs w:val="20"/>
              </w:rPr>
            </w:pPr>
          </w:p>
          <w:p w:rsidR="0038470E" w:rsidRPr="00396C9D" w:rsidRDefault="00F06E0A">
            <w:pPr>
              <w:pStyle w:val="TableParagraph"/>
              <w:spacing w:line="242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-The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sensitivity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model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distorted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(underprediction)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input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redundancy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(wind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direction,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pressure, humidity, and other multi-parameter environmental forcing as input parameters).</w:t>
            </w:r>
          </w:p>
          <w:p w:rsidR="0038470E" w:rsidRPr="00396C9D" w:rsidRDefault="0038470E">
            <w:pPr>
              <w:pStyle w:val="TableParagraph"/>
              <w:spacing w:before="47"/>
              <w:rPr>
                <w:rFonts w:ascii="Arial" w:hAnsi="Arial" w:cs="Arial"/>
                <w:sz w:val="20"/>
                <w:szCs w:val="20"/>
              </w:rPr>
            </w:pPr>
          </w:p>
          <w:p w:rsidR="0038470E" w:rsidRPr="00396C9D" w:rsidRDefault="00F06E0A">
            <w:pPr>
              <w:pStyle w:val="TableParagraph"/>
              <w:ind w:left="108" w:right="548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-Treat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humidity,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pressure,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wind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direction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pilot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variables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they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 xml:space="preserve">increase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cross-validation accuracy. Prioritize temperature, wind speed, and irradiance as key predictors.</w:t>
            </w:r>
          </w:p>
          <w:p w:rsidR="0038470E" w:rsidRPr="00396C9D" w:rsidRDefault="0038470E">
            <w:pPr>
              <w:pStyle w:val="TableParagraph"/>
              <w:spacing w:before="51"/>
              <w:rPr>
                <w:rFonts w:ascii="Arial" w:hAnsi="Arial" w:cs="Arial"/>
                <w:sz w:val="20"/>
                <w:szCs w:val="20"/>
              </w:rPr>
            </w:pPr>
          </w:p>
          <w:p w:rsidR="0038470E" w:rsidRPr="00396C9D" w:rsidRDefault="00F06E0A">
            <w:pPr>
              <w:pStyle w:val="TableParagraph"/>
              <w:spacing w:before="1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-In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first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instance,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usually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strong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positive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correlation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temperature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irradiance,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 negative one (cooling effect) between temperature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 xml:space="preserve"> and wind speed. Thus, they are the model main predictors to capture the dominant physical processes governing PV performance.</w:t>
            </w:r>
          </w:p>
          <w:p w:rsidR="0038470E" w:rsidRPr="00396C9D" w:rsidRDefault="0038470E">
            <w:pPr>
              <w:pStyle w:val="TableParagraph"/>
              <w:spacing w:before="50"/>
              <w:rPr>
                <w:rFonts w:ascii="Arial" w:hAnsi="Arial" w:cs="Arial"/>
                <w:sz w:val="20"/>
                <w:szCs w:val="20"/>
              </w:rPr>
            </w:pPr>
          </w:p>
          <w:p w:rsidR="0038470E" w:rsidRPr="00396C9D" w:rsidRDefault="00F06E0A">
            <w:pPr>
              <w:pStyle w:val="TableParagraph"/>
              <w:ind w:left="108" w:right="104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-On the second instance, there is a weak negative correlation between humidity and wind speed, and a</w:t>
            </w:r>
            <w:r w:rsidRPr="00396C9D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weak to moderate negative c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orrelation between humidity and irradiance. In addition, the relationship between pressure and wind direction is weak or nonlinear. RMSE can be increased by including weakly correlated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variables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(such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wind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direction,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pressure,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humidity,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multi-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parameter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environmental forcing as input parameters).</w:t>
            </w:r>
          </w:p>
          <w:p w:rsidR="0038470E" w:rsidRPr="00396C9D" w:rsidRDefault="0038470E">
            <w:pPr>
              <w:pStyle w:val="TableParagraph"/>
              <w:spacing w:before="50"/>
              <w:rPr>
                <w:rFonts w:ascii="Arial" w:hAnsi="Arial" w:cs="Arial"/>
                <w:sz w:val="20"/>
                <w:szCs w:val="20"/>
              </w:rPr>
            </w:pPr>
          </w:p>
          <w:p w:rsidR="0038470E" w:rsidRPr="00396C9D" w:rsidRDefault="00F06E0A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-The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RMSE’s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result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396C9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upper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bound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normalized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acceptable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range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(%),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7 –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 xml:space="preserve">%, (in this model case 20.26 % of mean) to consider a model as a well-behaved predictive one, due to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earlier</w:t>
            </w:r>
          </w:p>
          <w:p w:rsidR="0038470E" w:rsidRPr="00396C9D" w:rsidRDefault="00F06E0A">
            <w:pPr>
              <w:pStyle w:val="TableParagraph"/>
              <w:spacing w:line="208" w:lineRule="exact"/>
              <w:ind w:left="108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>reasons.</w:t>
            </w:r>
          </w:p>
          <w:p w:rsidR="0038470E" w:rsidRPr="00396C9D" w:rsidRDefault="0038470E">
            <w:pPr>
              <w:pStyle w:val="TableParagraph"/>
              <w:spacing w:line="20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470E" w:rsidRPr="00396C9D" w:rsidRDefault="00F06E0A">
            <w:pPr>
              <w:pStyle w:val="TableParagraph"/>
              <w:spacing w:line="20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approve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submission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long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resolution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2,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4,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6,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7,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8,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is enhanced regarding their aspect ratios and the list of references is increased a bit more.</w:t>
            </w:r>
          </w:p>
          <w:p w:rsidR="0038470E" w:rsidRPr="00396C9D" w:rsidRDefault="0038470E">
            <w:pPr>
              <w:pStyle w:val="TableParagraph"/>
              <w:spacing w:line="20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470E" w:rsidRPr="00396C9D" w:rsidRDefault="00F06E0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my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opinion,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addresses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enhance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predictability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PV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systems.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Therefore,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framework</w:t>
            </w:r>
            <w:r w:rsidRPr="00396C9D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importance,</w:t>
            </w:r>
          </w:p>
          <w:p w:rsidR="0038470E" w:rsidRPr="00396C9D" w:rsidRDefault="00F06E0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along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physics-informed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basis,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demonstrate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reliable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visualizing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6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thermal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electrical</w:t>
            </w:r>
            <w:r w:rsidRPr="00396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dynamics</w:t>
            </w:r>
            <w:r w:rsidRPr="00396C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governing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PV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>performance.</w:t>
            </w:r>
          </w:p>
          <w:p w:rsidR="0038470E" w:rsidRPr="00396C9D" w:rsidRDefault="00F06E0A">
            <w:pPr>
              <w:pStyle w:val="TableParagraph"/>
              <w:spacing w:before="1"/>
              <w:ind w:left="107" w:right="405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This allows manufacturers, decision-makers, scientists, and other readers to consider it for these systems' forecasting. The physical alignment of parameters provides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strong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support</w:t>
            </w:r>
            <w:r w:rsidRPr="00396C9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96C9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approach.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Accordingly,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96C9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approve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submission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396C9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long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resolution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2,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4,</w:t>
            </w:r>
            <w:r w:rsidRPr="00396C9D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6,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7,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8,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396C9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enhanced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396C9D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proofErr w:type="gramEnd"/>
          </w:p>
          <w:p w:rsidR="0038470E" w:rsidRPr="00396C9D" w:rsidRDefault="00F06E0A">
            <w:pPr>
              <w:pStyle w:val="TableParagraph"/>
              <w:spacing w:line="20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aspect</w:t>
            </w:r>
            <w:r w:rsidRPr="00396C9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ratios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list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increased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96C9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bit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more.</w:t>
            </w:r>
            <w:r w:rsidRPr="00396C9D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provided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several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96C9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reduce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model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underprediction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bias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396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future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applications,</w:t>
            </w:r>
            <w:r w:rsidRPr="00396C9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which do not contradict my decision regarding its minor revision (in section Optional/General comments).</w:t>
            </w:r>
          </w:p>
        </w:tc>
        <w:tc>
          <w:tcPr>
            <w:tcW w:w="6445" w:type="dxa"/>
          </w:tcPr>
          <w:p w:rsidR="0038470E" w:rsidRPr="00396C9D" w:rsidRDefault="003847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470E" w:rsidRPr="00396C9D" w:rsidRDefault="0038470E">
      <w:pPr>
        <w:pStyle w:val="TableParagraph"/>
        <w:rPr>
          <w:rFonts w:ascii="Arial" w:hAnsi="Arial" w:cs="Arial"/>
          <w:sz w:val="20"/>
          <w:szCs w:val="20"/>
        </w:rPr>
        <w:sectPr w:rsidR="0038470E" w:rsidRPr="00396C9D">
          <w:headerReference w:type="default" r:id="rId7"/>
          <w:footerReference w:type="default" r:id="rId8"/>
          <w:pgSz w:w="23820" w:h="16840" w:orient="landscape"/>
          <w:pgMar w:top="2000" w:right="1275" w:bottom="880" w:left="1275" w:header="1285" w:footer="694" w:gutter="0"/>
          <w:cols w:space="720"/>
        </w:sectPr>
      </w:pPr>
    </w:p>
    <w:p w:rsidR="0038470E" w:rsidRPr="00396C9D" w:rsidRDefault="0038470E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38470E" w:rsidRPr="00396C9D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38470E" w:rsidRPr="00396C9D" w:rsidRDefault="00F06E0A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396C9D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396C9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38470E" w:rsidRPr="00396C9D">
        <w:trPr>
          <w:trHeight w:val="936"/>
        </w:trPr>
        <w:tc>
          <w:tcPr>
            <w:tcW w:w="6831" w:type="dxa"/>
          </w:tcPr>
          <w:p w:rsidR="0038470E" w:rsidRPr="00396C9D" w:rsidRDefault="003847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38470E" w:rsidRPr="00396C9D" w:rsidRDefault="00F06E0A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96C9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38470E" w:rsidRPr="00396C9D" w:rsidRDefault="00F06E0A">
            <w:pPr>
              <w:pStyle w:val="TableParagraph"/>
              <w:spacing w:line="256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96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z w:val="20"/>
                <w:szCs w:val="20"/>
              </w:rPr>
              <w:t>(It</w:t>
            </w:r>
            <w:r w:rsidRPr="00396C9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z w:val="20"/>
                <w:szCs w:val="20"/>
              </w:rPr>
              <w:t>is</w:t>
            </w:r>
            <w:r w:rsidRPr="00396C9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z w:val="20"/>
                <w:szCs w:val="20"/>
              </w:rPr>
              <w:t>mandatory</w:t>
            </w:r>
            <w:r w:rsidRPr="00396C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z w:val="20"/>
                <w:szCs w:val="20"/>
              </w:rPr>
              <w:t>that</w:t>
            </w:r>
            <w:r w:rsidRPr="00396C9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z w:val="20"/>
                <w:szCs w:val="20"/>
              </w:rPr>
              <w:t>authors</w:t>
            </w:r>
            <w:r w:rsidRPr="00396C9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z w:val="20"/>
                <w:szCs w:val="20"/>
              </w:rPr>
              <w:t>should</w:t>
            </w:r>
            <w:r w:rsidRPr="00396C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z w:val="20"/>
                <w:szCs w:val="20"/>
              </w:rPr>
              <w:t>write</w:t>
            </w:r>
            <w:r w:rsidRPr="00396C9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8470E" w:rsidRPr="00396C9D">
        <w:trPr>
          <w:trHeight w:val="918"/>
        </w:trPr>
        <w:tc>
          <w:tcPr>
            <w:tcW w:w="6831" w:type="dxa"/>
          </w:tcPr>
          <w:p w:rsidR="0038470E" w:rsidRPr="00396C9D" w:rsidRDefault="003847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38470E" w:rsidRPr="00396C9D" w:rsidRDefault="00F06E0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396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6C9D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:rsidR="0038470E" w:rsidRPr="00396C9D" w:rsidRDefault="0038470E">
            <w:pPr>
              <w:pStyle w:val="TableParagraph"/>
              <w:spacing w:before="115"/>
              <w:rPr>
                <w:rFonts w:ascii="Arial" w:hAnsi="Arial" w:cs="Arial"/>
                <w:sz w:val="20"/>
                <w:szCs w:val="20"/>
              </w:rPr>
            </w:pPr>
          </w:p>
          <w:p w:rsidR="0038470E" w:rsidRPr="00396C9D" w:rsidRDefault="00F06E0A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96C9D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5678" w:type="dxa"/>
          </w:tcPr>
          <w:p w:rsidR="0038470E" w:rsidRPr="00396C9D" w:rsidRDefault="003847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470E" w:rsidRPr="00396C9D" w:rsidRDefault="0038470E">
      <w:pPr>
        <w:rPr>
          <w:rFonts w:ascii="Arial" w:hAnsi="Arial" w:cs="Arial"/>
          <w:sz w:val="20"/>
          <w:szCs w:val="20"/>
        </w:rPr>
      </w:pPr>
    </w:p>
    <w:p w:rsidR="00396C9D" w:rsidRDefault="00396C9D" w:rsidP="00396C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96C9D">
        <w:rPr>
          <w:rFonts w:ascii="Arial" w:hAnsi="Arial" w:cs="Arial"/>
          <w:b/>
          <w:u w:val="single"/>
        </w:rPr>
        <w:t>Reviewer details:</w:t>
      </w:r>
    </w:p>
    <w:p w:rsidR="00396C9D" w:rsidRPr="00396C9D" w:rsidRDefault="00396C9D" w:rsidP="00396C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396C9D" w:rsidRPr="00396C9D" w:rsidRDefault="00396C9D" w:rsidP="00396C9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96C9D">
        <w:rPr>
          <w:rFonts w:ascii="Arial" w:hAnsi="Arial" w:cs="Arial"/>
          <w:sz w:val="20"/>
          <w:szCs w:val="20"/>
        </w:rPr>
        <w:t>Yhosvany</w:t>
      </w:r>
      <w:proofErr w:type="spellEnd"/>
      <w:r w:rsidRPr="00396C9D">
        <w:rPr>
          <w:rFonts w:ascii="Arial" w:hAnsi="Arial" w:cs="Arial"/>
          <w:sz w:val="20"/>
          <w:szCs w:val="20"/>
        </w:rPr>
        <w:t xml:space="preserve"> Soler Castillo</w:t>
      </w:r>
      <w:r w:rsidRPr="00396C9D">
        <w:rPr>
          <w:rFonts w:ascii="Arial" w:hAnsi="Arial" w:cs="Arial"/>
          <w:sz w:val="20"/>
          <w:szCs w:val="20"/>
        </w:rPr>
        <w:t xml:space="preserve">, </w:t>
      </w:r>
      <w:r w:rsidRPr="00396C9D">
        <w:rPr>
          <w:rFonts w:ascii="Arial" w:hAnsi="Arial" w:cs="Arial"/>
          <w:sz w:val="20"/>
          <w:szCs w:val="20"/>
        </w:rPr>
        <w:t>Autonomous University of the State of Morelos,</w:t>
      </w:r>
      <w:r w:rsidRPr="00396C9D">
        <w:rPr>
          <w:rFonts w:ascii="Arial" w:hAnsi="Arial" w:cs="Arial"/>
          <w:sz w:val="20"/>
          <w:szCs w:val="20"/>
        </w:rPr>
        <w:t xml:space="preserve"> </w:t>
      </w:r>
      <w:r w:rsidRPr="00396C9D">
        <w:rPr>
          <w:rFonts w:ascii="Arial" w:hAnsi="Arial" w:cs="Arial"/>
          <w:sz w:val="20"/>
          <w:szCs w:val="20"/>
        </w:rPr>
        <w:t>Mexico.</w:t>
      </w:r>
      <w:bookmarkEnd w:id="0"/>
    </w:p>
    <w:sectPr w:rsidR="00396C9D" w:rsidRPr="00396C9D"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E0A" w:rsidRDefault="00F06E0A">
      <w:r>
        <w:separator/>
      </w:r>
    </w:p>
  </w:endnote>
  <w:endnote w:type="continuationSeparator" w:id="0">
    <w:p w:rsidR="00F06E0A" w:rsidRDefault="00F0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70E" w:rsidRDefault="00F06E0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470E" w:rsidRDefault="00F06E0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38470E" w:rsidRDefault="00F06E0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470E" w:rsidRDefault="00F06E0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38470E" w:rsidRDefault="00F06E0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470E" w:rsidRDefault="00F06E0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38470E" w:rsidRDefault="00F06E0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470E" w:rsidRDefault="00F06E0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38470E" w:rsidRDefault="00F06E0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E0A" w:rsidRDefault="00F06E0A">
      <w:r>
        <w:separator/>
      </w:r>
    </w:p>
  </w:footnote>
  <w:footnote w:type="continuationSeparator" w:id="0">
    <w:p w:rsidR="00F06E0A" w:rsidRDefault="00F06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70E" w:rsidRDefault="00F06E0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470E" w:rsidRDefault="00F06E0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38470E" w:rsidRDefault="00F06E0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470E"/>
    <w:rsid w:val="0038470E"/>
    <w:rsid w:val="00396C9D"/>
    <w:rsid w:val="00F0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F32A"/>
  <w15:docId w15:val="{DCC417B1-42D4-4869-96B5-CEFB449A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396C9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nrr.com/index.php/JEN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1179</cp:lastModifiedBy>
  <cp:revision>12</cp:revision>
  <dcterms:created xsi:type="dcterms:W3CDTF">2026-03-21T12:56:00Z</dcterms:created>
  <dcterms:modified xsi:type="dcterms:W3CDTF">2026-03-26T05:31:00Z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2026-03-21T00:00:00Z</vt:filetime>
  </property>
  <property fmtid="{D5CDD505-2E9C-101B-9397-08002B2CF9AE}" pid="5" name="Producer">
    <vt:lpwstr>Microsoft® Word for Microsoft 365</vt:lpwstr>
  </property>
</Properties>
</file>