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16522" w14:textId="77777777" w:rsidR="008A31F7" w:rsidRPr="006D334B" w:rsidRDefault="008A31F7" w:rsidP="008A31F7">
      <w:pPr>
        <w:jc w:val="center"/>
        <w:rPr>
          <w:rFonts w:ascii="Times New Roman" w:hAnsi="Times New Roman" w:cs="Times New Roman"/>
          <w:b/>
          <w:sz w:val="24"/>
          <w:szCs w:val="24"/>
        </w:rPr>
      </w:pPr>
      <w:r w:rsidRPr="000A0981">
        <w:rPr>
          <w:rFonts w:ascii="Times New Roman" w:hAnsi="Times New Roman" w:cs="Times New Roman"/>
          <w:b/>
          <w:sz w:val="24"/>
          <w:szCs w:val="24"/>
        </w:rPr>
        <w:t>Regeneration of wilt tolerant interspecific rootstock of guava</w:t>
      </w:r>
      <w:r>
        <w:rPr>
          <w:rFonts w:ascii="Times New Roman" w:hAnsi="Times New Roman" w:cs="Times New Roman"/>
          <w:b/>
          <w:sz w:val="24"/>
          <w:szCs w:val="24"/>
        </w:rPr>
        <w:t xml:space="preserve"> </w:t>
      </w:r>
      <w:r w:rsidRPr="000A0981">
        <w:rPr>
          <w:rFonts w:ascii="Times New Roman" w:hAnsi="Times New Roman" w:cs="Times New Roman"/>
          <w:b/>
          <w:sz w:val="24"/>
          <w:szCs w:val="24"/>
        </w:rPr>
        <w:t xml:space="preserve">using leafy shoot cutting </w:t>
      </w:r>
    </w:p>
    <w:p w14:paraId="57243D71" w14:textId="21986257" w:rsidR="004202D8" w:rsidRDefault="004202D8" w:rsidP="008A31F7">
      <w:pPr>
        <w:jc w:val="center"/>
        <w:rPr>
          <w:rFonts w:ascii="Times New Roman" w:hAnsi="Times New Roman" w:cs="Times New Roman"/>
          <w:sz w:val="24"/>
          <w:szCs w:val="24"/>
        </w:rPr>
      </w:pPr>
    </w:p>
    <w:p w14:paraId="6E015F65" w14:textId="77777777" w:rsidR="00926951" w:rsidRDefault="00926951" w:rsidP="008A31F7">
      <w:pPr>
        <w:jc w:val="center"/>
        <w:rPr>
          <w:rFonts w:ascii="Times New Roman" w:hAnsi="Times New Roman" w:cs="Times New Roman"/>
          <w:sz w:val="24"/>
          <w:szCs w:val="24"/>
        </w:rPr>
      </w:pPr>
    </w:p>
    <w:p w14:paraId="59A3520B" w14:textId="77777777" w:rsidR="008A31F7" w:rsidRPr="006D334B" w:rsidRDefault="008A31F7" w:rsidP="008A31F7">
      <w:pPr>
        <w:jc w:val="center"/>
        <w:rPr>
          <w:rFonts w:ascii="Times New Roman" w:hAnsi="Times New Roman" w:cs="Times New Roman"/>
          <w:b/>
          <w:bCs/>
          <w:sz w:val="24"/>
          <w:szCs w:val="24"/>
        </w:rPr>
      </w:pPr>
      <w:r w:rsidRPr="000A0981">
        <w:rPr>
          <w:rFonts w:ascii="Times New Roman" w:hAnsi="Times New Roman" w:cs="Times New Roman"/>
          <w:b/>
          <w:bCs/>
          <w:sz w:val="24"/>
          <w:szCs w:val="24"/>
        </w:rPr>
        <w:t xml:space="preserve">Abstract </w:t>
      </w:r>
    </w:p>
    <w:p w14:paraId="698F62A2" w14:textId="77777777" w:rsidR="008A31F7" w:rsidRDefault="008A31F7" w:rsidP="008A31F7">
      <w:pPr>
        <w:spacing w:line="360" w:lineRule="auto"/>
        <w:jc w:val="both"/>
        <w:rPr>
          <w:rFonts w:ascii="Times New Roman" w:hAnsi="Times New Roman" w:cs="Times New Roman"/>
          <w:sz w:val="24"/>
          <w:szCs w:val="24"/>
        </w:rPr>
      </w:pPr>
      <w:commentRangeStart w:id="0"/>
      <w:r w:rsidRPr="000A0981">
        <w:rPr>
          <w:rFonts w:ascii="Times New Roman" w:hAnsi="Times New Roman" w:cs="Times New Roman"/>
          <w:sz w:val="24"/>
          <w:szCs w:val="24"/>
        </w:rPr>
        <w:t>A wilt tolerant</w:t>
      </w:r>
      <w:commentRangeEnd w:id="0"/>
      <w:r w:rsidR="0052779C">
        <w:rPr>
          <w:rStyle w:val="CommentReference"/>
        </w:rPr>
        <w:commentReference w:id="0"/>
      </w:r>
      <w:r w:rsidRPr="000A0981">
        <w:rPr>
          <w:rFonts w:ascii="Times New Roman" w:hAnsi="Times New Roman" w:cs="Times New Roman"/>
          <w:sz w:val="24"/>
          <w:szCs w:val="24"/>
        </w:rPr>
        <w:t>, interspecific rootstock of guava (</w:t>
      </w:r>
      <w:proofErr w:type="spellStart"/>
      <w:r w:rsidRPr="000A0981">
        <w:rPr>
          <w:rFonts w:ascii="Times New Roman" w:hAnsi="Times New Roman" w:cs="Times New Roman"/>
          <w:i/>
          <w:sz w:val="24"/>
          <w:szCs w:val="24"/>
        </w:rPr>
        <w:t>Psidium</w:t>
      </w:r>
      <w:proofErr w:type="spellEnd"/>
      <w:r w:rsidRPr="000A0981">
        <w:rPr>
          <w:rFonts w:ascii="Times New Roman" w:hAnsi="Times New Roman" w:cs="Times New Roman"/>
          <w:i/>
          <w:sz w:val="24"/>
          <w:szCs w:val="24"/>
        </w:rPr>
        <w:t xml:space="preserve"> </w:t>
      </w:r>
      <w:proofErr w:type="spellStart"/>
      <w:r w:rsidRPr="000A0981">
        <w:rPr>
          <w:rFonts w:ascii="Times New Roman" w:hAnsi="Times New Roman" w:cs="Times New Roman"/>
          <w:i/>
          <w:sz w:val="24"/>
          <w:szCs w:val="24"/>
        </w:rPr>
        <w:t>molle</w:t>
      </w:r>
      <w:proofErr w:type="spellEnd"/>
      <w:r w:rsidRPr="000A0981">
        <w:rPr>
          <w:rFonts w:ascii="Times New Roman" w:hAnsi="Times New Roman" w:cs="Times New Roman"/>
          <w:sz w:val="24"/>
          <w:szCs w:val="24"/>
        </w:rPr>
        <w:t xml:space="preserve"> </w:t>
      </w:r>
      <w:proofErr w:type="spellStart"/>
      <w:r w:rsidRPr="000A0981">
        <w:rPr>
          <w:rFonts w:ascii="Times New Roman" w:hAnsi="Times New Roman" w:cs="Times New Roman"/>
          <w:sz w:val="24"/>
          <w:szCs w:val="24"/>
        </w:rPr>
        <w:t>Bertol</w:t>
      </w:r>
      <w:proofErr w:type="spellEnd"/>
      <w:r w:rsidRPr="000A0981">
        <w:rPr>
          <w:rFonts w:ascii="Times New Roman" w:hAnsi="Times New Roman" w:cs="Times New Roman"/>
          <w:sz w:val="24"/>
          <w:szCs w:val="24"/>
        </w:rPr>
        <w:t xml:space="preserve"> x </w:t>
      </w:r>
      <w:proofErr w:type="spellStart"/>
      <w:r w:rsidRPr="000A0981">
        <w:rPr>
          <w:rFonts w:ascii="Times New Roman" w:hAnsi="Times New Roman" w:cs="Times New Roman"/>
          <w:i/>
          <w:sz w:val="24"/>
          <w:szCs w:val="24"/>
        </w:rPr>
        <w:t>Psidium</w:t>
      </w:r>
      <w:proofErr w:type="spellEnd"/>
      <w:r w:rsidRPr="000A0981">
        <w:rPr>
          <w:rFonts w:ascii="Times New Roman" w:hAnsi="Times New Roman" w:cs="Times New Roman"/>
          <w:i/>
          <w:sz w:val="24"/>
          <w:szCs w:val="24"/>
        </w:rPr>
        <w:t xml:space="preserve"> </w:t>
      </w:r>
      <w:proofErr w:type="spellStart"/>
      <w:r w:rsidRPr="000A0981">
        <w:rPr>
          <w:rFonts w:ascii="Times New Roman" w:hAnsi="Times New Roman" w:cs="Times New Roman"/>
          <w:i/>
          <w:sz w:val="24"/>
          <w:szCs w:val="24"/>
        </w:rPr>
        <w:t>guajava</w:t>
      </w:r>
      <w:proofErr w:type="spellEnd"/>
      <w:r w:rsidRPr="000A0981">
        <w:rPr>
          <w:rFonts w:ascii="Times New Roman" w:hAnsi="Times New Roman" w:cs="Times New Roman"/>
          <w:sz w:val="24"/>
          <w:szCs w:val="24"/>
        </w:rPr>
        <w:t xml:space="preserve"> L.) developed at ICAR-</w:t>
      </w:r>
      <w:proofErr w:type="gramStart"/>
      <w:r w:rsidRPr="000A0981">
        <w:rPr>
          <w:rFonts w:ascii="Times New Roman" w:hAnsi="Times New Roman" w:cs="Times New Roman"/>
          <w:sz w:val="24"/>
          <w:szCs w:val="24"/>
        </w:rPr>
        <w:t>CISH,</w:t>
      </w:r>
      <w:proofErr w:type="gramEnd"/>
      <w:r w:rsidRPr="000A0981">
        <w:rPr>
          <w:rFonts w:ascii="Times New Roman" w:hAnsi="Times New Roman" w:cs="Times New Roman"/>
          <w:sz w:val="24"/>
          <w:szCs w:val="24"/>
        </w:rPr>
        <w:t xml:space="preserve"> Lucknow was regenerated through leafy shoot cuttings under </w:t>
      </w:r>
      <w:proofErr w:type="spellStart"/>
      <w:r w:rsidRPr="000A0981">
        <w:rPr>
          <w:rFonts w:ascii="Times New Roman" w:hAnsi="Times New Roman" w:cs="Times New Roman"/>
          <w:sz w:val="24"/>
          <w:szCs w:val="24"/>
        </w:rPr>
        <w:t>polyhouse</w:t>
      </w:r>
      <w:proofErr w:type="spellEnd"/>
      <w:r w:rsidRPr="000A0981">
        <w:rPr>
          <w:rFonts w:ascii="Times New Roman" w:hAnsi="Times New Roman" w:cs="Times New Roman"/>
          <w:sz w:val="24"/>
          <w:szCs w:val="24"/>
        </w:rPr>
        <w:t xml:space="preserve"> condition. Leafy shoot explants excised from mature mother trees maintained at institute were rooted under protected</w:t>
      </w:r>
      <w:r>
        <w:rPr>
          <w:rFonts w:ascii="Times New Roman" w:hAnsi="Times New Roman" w:cs="Times New Roman"/>
          <w:sz w:val="24"/>
          <w:szCs w:val="24"/>
        </w:rPr>
        <w:t xml:space="preserve"> conditions by application of 10</w:t>
      </w:r>
      <w:r w:rsidRPr="000A0981">
        <w:rPr>
          <w:rFonts w:ascii="Times New Roman" w:hAnsi="Times New Roman" w:cs="Times New Roman"/>
          <w:sz w:val="24"/>
          <w:szCs w:val="24"/>
        </w:rPr>
        <w:t>00 ppm IBA. Out of different concentration of IBA employed, 1500 ppm IBA took minimum days for root initiation (</w:t>
      </w:r>
      <w:r w:rsidRPr="000A0981">
        <w:rPr>
          <w:rFonts w:ascii="Times New Roman" w:eastAsia="Calibri" w:hAnsi="Times New Roman" w:cs="Times New Roman"/>
          <w:spacing w:val="6"/>
          <w:sz w:val="24"/>
          <w:szCs w:val="24"/>
          <w:lang w:val="en-IN"/>
        </w:rPr>
        <w:t>(20.07)</w:t>
      </w:r>
      <w:r w:rsidRPr="000A0981">
        <w:rPr>
          <w:rFonts w:ascii="Times New Roman" w:hAnsi="Times New Roman" w:cs="Times New Roman"/>
          <w:sz w:val="24"/>
          <w:szCs w:val="24"/>
        </w:rPr>
        <w:t xml:space="preserve"> but rooting percentage (56.16%), number of primary roots (19.67), number of secondary roots (31.69), length of primary roots (8.81 cm) and diameter of primary roots </w:t>
      </w:r>
      <w:r w:rsidRPr="000A0981">
        <w:rPr>
          <w:rFonts w:ascii="Times New Roman" w:eastAsia="Calibri" w:hAnsi="Times New Roman" w:cs="Times New Roman"/>
          <w:spacing w:val="6"/>
          <w:sz w:val="24"/>
          <w:szCs w:val="24"/>
          <w:lang w:val="en-IN"/>
        </w:rPr>
        <w:t>(0.66mm)</w:t>
      </w:r>
      <w:r w:rsidRPr="000A0981">
        <w:rPr>
          <w:rFonts w:ascii="Times New Roman" w:hAnsi="Times New Roman" w:cs="Times New Roman"/>
          <w:sz w:val="24"/>
          <w:szCs w:val="24"/>
        </w:rPr>
        <w:t xml:space="preserve"> were found highest in 1000 ppm IBA compared to 1500 and 700 ppm IBA concentration used during the experiment. Meanwhile, data on potting media revealed that  days taken for root initiation (17.34), rooting percentage (90.01%), number of primary roots (30.50), number of  secondary roots (91.49), length of primary root (15.87 cm) and diameter of primary roots (1.37 mm) was found highest in cocopeat as compared to vermiculite and perlite. The study concludes that appropriate selection of rooting media and IBA concentration enhances propagation efficiency of wilt tolerant interspecific guava rootstock.</w:t>
      </w:r>
    </w:p>
    <w:p w14:paraId="3CC7DD9C" w14:textId="77777777" w:rsidR="008A31F7" w:rsidRPr="006D334B" w:rsidRDefault="008A31F7" w:rsidP="008A31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A0981">
        <w:rPr>
          <w:rFonts w:ascii="Times New Roman" w:eastAsia="Times New Roman" w:hAnsi="Times New Roman" w:cs="Times New Roman"/>
          <w:b/>
          <w:bCs/>
          <w:sz w:val="24"/>
          <w:szCs w:val="24"/>
        </w:rPr>
        <w:t xml:space="preserve">Keywords- </w:t>
      </w:r>
      <w:r w:rsidRPr="000A0981">
        <w:rPr>
          <w:rFonts w:ascii="Times New Roman" w:eastAsia="Times New Roman" w:hAnsi="Times New Roman" w:cs="Times New Roman"/>
          <w:sz w:val="24"/>
          <w:szCs w:val="24"/>
        </w:rPr>
        <w:t>Interspecific hybrid rootstock, wilt tolerant, leafy shoot cutting, IBA, Rooting media, Cocopeat, Perlite, Vermiculite.</w:t>
      </w:r>
    </w:p>
    <w:p w14:paraId="5A8D6DB5" w14:textId="77777777" w:rsidR="008A31F7" w:rsidRPr="006D334B" w:rsidRDefault="008A31F7" w:rsidP="008A31F7">
      <w:pPr>
        <w:pStyle w:val="NormalWeb"/>
        <w:spacing w:line="360" w:lineRule="auto"/>
        <w:jc w:val="both"/>
      </w:pPr>
      <w:r w:rsidRPr="000A0981">
        <w:rPr>
          <w:b/>
          <w:bCs/>
        </w:rPr>
        <w:t xml:space="preserve">1. Introduction: </w:t>
      </w:r>
      <w:r w:rsidRPr="000A0981">
        <w:rPr>
          <w:bCs/>
        </w:rPr>
        <w:t>Guava</w:t>
      </w:r>
      <w:r w:rsidRPr="000A0981">
        <w:rPr>
          <w:b/>
          <w:bCs/>
        </w:rPr>
        <w:t xml:space="preserve"> (</w:t>
      </w:r>
      <w:proofErr w:type="spellStart"/>
      <w:r w:rsidRPr="000A0981">
        <w:rPr>
          <w:i/>
        </w:rPr>
        <w:t>Psidium</w:t>
      </w:r>
      <w:proofErr w:type="spellEnd"/>
      <w:r w:rsidRPr="000A0981">
        <w:rPr>
          <w:i/>
        </w:rPr>
        <w:t xml:space="preserve"> </w:t>
      </w:r>
      <w:proofErr w:type="spellStart"/>
      <w:r w:rsidRPr="000A0981">
        <w:rPr>
          <w:i/>
        </w:rPr>
        <w:t>guajava</w:t>
      </w:r>
      <w:proofErr w:type="spellEnd"/>
      <w:r w:rsidRPr="000A0981">
        <w:t xml:space="preserve"> L.) is one of the most widely recognized species belonging to the </w:t>
      </w:r>
      <w:proofErr w:type="spellStart"/>
      <w:r w:rsidRPr="000A0981">
        <w:t>Myrtaceae</w:t>
      </w:r>
      <w:proofErr w:type="spellEnd"/>
      <w:r w:rsidRPr="000A0981">
        <w:t xml:space="preserve"> family and is cultivated across diverse climatic regions worldwide (Pereira </w:t>
      </w:r>
      <w:r w:rsidRPr="000A0981">
        <w:rPr>
          <w:i/>
        </w:rPr>
        <w:t xml:space="preserve">et al., </w:t>
      </w:r>
      <w:r w:rsidRPr="000A0981">
        <w:t xml:space="preserve">2017). Guava originated in Tropical America, extending from Mexico to Peru. Most commercially grown guava cultivars are diploid with a chromosome number of 2n = 2x = 22. </w:t>
      </w:r>
      <w:commentRangeStart w:id="1"/>
      <w:r w:rsidRPr="000A0981">
        <w:t xml:space="preserve">Among various species, </w:t>
      </w:r>
      <w:proofErr w:type="spellStart"/>
      <w:r w:rsidRPr="000A0981">
        <w:rPr>
          <w:i/>
        </w:rPr>
        <w:t>Psidium</w:t>
      </w:r>
      <w:proofErr w:type="spellEnd"/>
      <w:r w:rsidRPr="000A0981">
        <w:rPr>
          <w:i/>
        </w:rPr>
        <w:t xml:space="preserve"> </w:t>
      </w:r>
      <w:proofErr w:type="spellStart"/>
      <w:r w:rsidRPr="000A0981">
        <w:rPr>
          <w:i/>
        </w:rPr>
        <w:t>guajava</w:t>
      </w:r>
      <w:proofErr w:type="spellEnd"/>
      <w:r w:rsidRPr="000A0981">
        <w:t xml:space="preserve"> is the majorly cultivated species in India as well as in many other countries.</w:t>
      </w:r>
      <w:commentRangeEnd w:id="1"/>
      <w:r w:rsidR="0052779C">
        <w:rPr>
          <w:rStyle w:val="CommentReference"/>
          <w:rFonts w:asciiTheme="minorHAnsi" w:eastAsiaTheme="minorEastAsia" w:hAnsiTheme="minorHAnsi" w:cstheme="minorBidi"/>
        </w:rPr>
        <w:commentReference w:id="1"/>
      </w:r>
    </w:p>
    <w:p w14:paraId="7EB68FE4" w14:textId="77777777" w:rsidR="008A31F7" w:rsidRPr="006D334B" w:rsidRDefault="008A31F7" w:rsidP="008A31F7">
      <w:pPr>
        <w:pStyle w:val="NormalWeb"/>
        <w:spacing w:line="360" w:lineRule="auto"/>
        <w:jc w:val="both"/>
      </w:pPr>
      <w:r w:rsidRPr="000A0981">
        <w:t xml:space="preserve">In India, guava ranks fourth in production after banana, mango, and citrus (NHB, 2024–25). It has gained widespread popularity among consumers due to its </w:t>
      </w:r>
      <w:commentRangeStart w:id="2"/>
      <w:r w:rsidRPr="000A0981">
        <w:t xml:space="preserve">high nutritional value, pleasant taste, appealing </w:t>
      </w:r>
      <w:proofErr w:type="spellStart"/>
      <w:r w:rsidRPr="000A0981">
        <w:t>flavour</w:t>
      </w:r>
      <w:proofErr w:type="spellEnd"/>
      <w:r w:rsidRPr="000A0981">
        <w:t>, year-round availability, and affordable price</w:t>
      </w:r>
      <w:commentRangeEnd w:id="2"/>
      <w:r w:rsidR="0052779C">
        <w:rPr>
          <w:rStyle w:val="CommentReference"/>
          <w:rFonts w:asciiTheme="minorHAnsi" w:eastAsiaTheme="minorEastAsia" w:hAnsiTheme="minorHAnsi" w:cstheme="minorBidi"/>
        </w:rPr>
        <w:commentReference w:id="2"/>
      </w:r>
      <w:r w:rsidRPr="000A0981">
        <w:t xml:space="preserve">. In addition to its nutritive </w:t>
      </w:r>
      <w:r w:rsidRPr="000A0981">
        <w:lastRenderedPageBreak/>
        <w:t>importance, guava is a prolific bearer and serves as a good source of carbohydrates (11–13%), fat (0.5%), and protein (0.71%). It also contains essential minerals such as calcium (29 mg), iron (0.5 mg), and phosphorus (10 mg per 100 g of fresh fruit) (</w:t>
      </w:r>
      <w:proofErr w:type="spellStart"/>
      <w:r w:rsidRPr="000A0981">
        <w:t>Gavhane</w:t>
      </w:r>
      <w:proofErr w:type="spellEnd"/>
      <w:r w:rsidRPr="000A0981">
        <w:t xml:space="preserve"> </w:t>
      </w:r>
      <w:r w:rsidRPr="000A0981">
        <w:rPr>
          <w:i/>
        </w:rPr>
        <w:t>et al.,</w:t>
      </w:r>
      <w:r w:rsidRPr="000A0981">
        <w:t xml:space="preserve"> 2022).</w:t>
      </w:r>
    </w:p>
    <w:p w14:paraId="3CBB278C" w14:textId="77777777" w:rsidR="008A31F7" w:rsidRDefault="008A31F7" w:rsidP="008A31F7">
      <w:pPr>
        <w:pStyle w:val="NormalWeb"/>
        <w:spacing w:line="360" w:lineRule="auto"/>
        <w:jc w:val="both"/>
      </w:pPr>
      <w:commentRangeStart w:id="3"/>
      <w:r w:rsidRPr="000A0981">
        <w:t xml:space="preserve">Guava is widely cultivated in several states of India, including Uttar Pradesh, Bihar, Madhya Pradesh, Maharashtra, Andhra Pradesh, Tamil Nadu, West Bengal, Assam, Odisha, Karnataka, Kerala, Rajasthan, and Gujarat. Among these, Uttar Pradesh is one of the leading guava-producing states, with an area of about 30.488 million hectares and an annual production exceeding 54 lakh metric </w:t>
      </w:r>
      <w:proofErr w:type="spellStart"/>
      <w:r w:rsidRPr="000A0981">
        <w:t>tonnes</w:t>
      </w:r>
      <w:proofErr w:type="spellEnd"/>
      <w:r w:rsidRPr="000A0981">
        <w:t xml:space="preserve"> (Anonymous, 2024–25).</w:t>
      </w:r>
      <w:commentRangeEnd w:id="3"/>
      <w:r w:rsidR="0052779C">
        <w:rPr>
          <w:rStyle w:val="CommentReference"/>
          <w:rFonts w:asciiTheme="minorHAnsi" w:eastAsiaTheme="minorEastAsia" w:hAnsiTheme="minorHAnsi" w:cstheme="minorBidi"/>
        </w:rPr>
        <w:commentReference w:id="3"/>
      </w:r>
    </w:p>
    <w:p w14:paraId="72E8FA4D" w14:textId="0A26139C" w:rsidR="008A31F7" w:rsidRDefault="008A31F7" w:rsidP="008A31F7">
      <w:pPr>
        <w:spacing w:line="360" w:lineRule="auto"/>
        <w:jc w:val="both"/>
        <w:rPr>
          <w:rFonts w:ascii="Times New Roman" w:hAnsi="Times New Roman" w:cs="Times New Roman"/>
          <w:sz w:val="24"/>
          <w:szCs w:val="24"/>
        </w:rPr>
      </w:pPr>
      <w:commentRangeStart w:id="4"/>
      <w:r w:rsidRPr="000A0981">
        <w:rPr>
          <w:rFonts w:ascii="Times New Roman" w:hAnsi="Times New Roman" w:cs="Times New Roman"/>
          <w:sz w:val="24"/>
          <w:szCs w:val="24"/>
        </w:rPr>
        <w:t xml:space="preserve">Guava suffers colossal losses owing to spread of guava wilt disease caused by </w:t>
      </w:r>
      <w:proofErr w:type="spellStart"/>
      <w:r w:rsidRPr="008A31F7">
        <w:rPr>
          <w:rFonts w:ascii="Times New Roman" w:hAnsi="Times New Roman" w:cs="Times New Roman"/>
          <w:i/>
          <w:sz w:val="24"/>
          <w:szCs w:val="24"/>
        </w:rPr>
        <w:t>Fusarium</w:t>
      </w:r>
      <w:proofErr w:type="spellEnd"/>
      <w:r w:rsidRPr="008A31F7">
        <w:rPr>
          <w:rFonts w:ascii="Times New Roman" w:hAnsi="Times New Roman" w:cs="Times New Roman"/>
          <w:i/>
          <w:sz w:val="24"/>
          <w:szCs w:val="24"/>
        </w:rPr>
        <w:t xml:space="preserve"> </w:t>
      </w:r>
      <w:proofErr w:type="spellStart"/>
      <w:r w:rsidRPr="008A31F7">
        <w:rPr>
          <w:rFonts w:ascii="Times New Roman" w:hAnsi="Times New Roman" w:cs="Times New Roman"/>
          <w:i/>
          <w:sz w:val="24"/>
          <w:szCs w:val="24"/>
        </w:rPr>
        <w:t>oxysporum</w:t>
      </w:r>
      <w:proofErr w:type="spellEnd"/>
      <w:r w:rsidRPr="008A31F7">
        <w:rPr>
          <w:rFonts w:ascii="Times New Roman" w:hAnsi="Times New Roman" w:cs="Times New Roman"/>
          <w:i/>
          <w:sz w:val="24"/>
          <w:szCs w:val="24"/>
        </w:rPr>
        <w:t xml:space="preserve"> f. </w:t>
      </w:r>
      <w:r w:rsidR="00537714">
        <w:rPr>
          <w:rFonts w:ascii="Times New Roman" w:hAnsi="Times New Roman" w:cs="Times New Roman"/>
          <w:i/>
          <w:sz w:val="24"/>
          <w:szCs w:val="24"/>
        </w:rPr>
        <w:t xml:space="preserve">sp. </w:t>
      </w:r>
      <w:proofErr w:type="spellStart"/>
      <w:r w:rsidRPr="008A31F7">
        <w:rPr>
          <w:rFonts w:ascii="Times New Roman" w:hAnsi="Times New Roman" w:cs="Times New Roman"/>
          <w:i/>
          <w:sz w:val="24"/>
          <w:szCs w:val="24"/>
        </w:rPr>
        <w:t>psidii</w:t>
      </w:r>
      <w:proofErr w:type="spellEnd"/>
      <w:r w:rsidRPr="008A31F7">
        <w:rPr>
          <w:rFonts w:ascii="Times New Roman" w:hAnsi="Times New Roman" w:cs="Times New Roman"/>
          <w:i/>
          <w:sz w:val="24"/>
          <w:szCs w:val="24"/>
        </w:rPr>
        <w:t>,</w:t>
      </w:r>
      <w:r w:rsidRPr="000A0981">
        <w:rPr>
          <w:rFonts w:ascii="Times New Roman" w:hAnsi="Times New Roman" w:cs="Times New Roman"/>
          <w:sz w:val="24"/>
          <w:szCs w:val="24"/>
        </w:rPr>
        <w:t xml:space="preserve"> a soil born pathogen. </w:t>
      </w:r>
      <w:commentRangeEnd w:id="4"/>
      <w:r w:rsidR="0052779C">
        <w:rPr>
          <w:rStyle w:val="CommentReference"/>
        </w:rPr>
        <w:commentReference w:id="4"/>
      </w:r>
      <w:r w:rsidRPr="000A0981">
        <w:rPr>
          <w:rFonts w:ascii="Times New Roman" w:hAnsi="Times New Roman" w:cs="Times New Roman"/>
          <w:sz w:val="24"/>
          <w:szCs w:val="24"/>
        </w:rPr>
        <w:t xml:space="preserve">The problem gets more severe, if the planting material of infested with root knot nematode. </w:t>
      </w:r>
      <w:commentRangeStart w:id="5"/>
      <w:r w:rsidRPr="000A0981">
        <w:rPr>
          <w:rFonts w:ascii="Times New Roman" w:hAnsi="Times New Roman" w:cs="Times New Roman"/>
          <w:sz w:val="24"/>
          <w:szCs w:val="24"/>
        </w:rPr>
        <w:t>The fungus-nematode nexus can cause havoc for guava p</w:t>
      </w:r>
      <w:r w:rsidR="00537714">
        <w:rPr>
          <w:rFonts w:ascii="Times New Roman" w:hAnsi="Times New Roman" w:cs="Times New Roman"/>
          <w:sz w:val="24"/>
          <w:szCs w:val="24"/>
        </w:rPr>
        <w:t xml:space="preserve">roduction. </w:t>
      </w:r>
      <w:commentRangeEnd w:id="5"/>
      <w:r w:rsidR="0052779C">
        <w:rPr>
          <w:rStyle w:val="CommentReference"/>
        </w:rPr>
        <w:commentReference w:id="5"/>
      </w:r>
      <w:r w:rsidR="00537714">
        <w:rPr>
          <w:rFonts w:ascii="Times New Roman" w:hAnsi="Times New Roman" w:cs="Times New Roman"/>
          <w:sz w:val="24"/>
          <w:szCs w:val="24"/>
        </w:rPr>
        <w:t>Many states are fac</w:t>
      </w:r>
      <w:r w:rsidRPr="000A0981">
        <w:rPr>
          <w:rFonts w:ascii="Times New Roman" w:hAnsi="Times New Roman" w:cs="Times New Roman"/>
          <w:sz w:val="24"/>
          <w:szCs w:val="24"/>
        </w:rPr>
        <w:t xml:space="preserve">ing this great challenge of guava wilt or guava decline complex in their field. </w:t>
      </w:r>
      <w:commentRangeStart w:id="6"/>
      <w:r w:rsidRPr="000A0981">
        <w:rPr>
          <w:rFonts w:ascii="Times New Roman" w:hAnsi="Times New Roman" w:cs="Times New Roman"/>
          <w:sz w:val="24"/>
          <w:szCs w:val="24"/>
        </w:rPr>
        <w:t>Chemi</w:t>
      </w:r>
      <w:r w:rsidR="00537714">
        <w:rPr>
          <w:rFonts w:ascii="Times New Roman" w:hAnsi="Times New Roman" w:cs="Times New Roman"/>
          <w:sz w:val="24"/>
          <w:szCs w:val="24"/>
        </w:rPr>
        <w:t>cal methods have not been effect</w:t>
      </w:r>
      <w:r w:rsidRPr="000A0981">
        <w:rPr>
          <w:rFonts w:ascii="Times New Roman" w:hAnsi="Times New Roman" w:cs="Times New Roman"/>
          <w:sz w:val="24"/>
          <w:szCs w:val="24"/>
        </w:rPr>
        <w:t>ive so far as it’s a soil borne fungus.</w:t>
      </w:r>
      <w:r w:rsidR="006E709F">
        <w:rPr>
          <w:rFonts w:ascii="Times New Roman" w:hAnsi="Times New Roman" w:cs="Times New Roman"/>
          <w:sz w:val="24"/>
          <w:szCs w:val="24"/>
        </w:rPr>
        <w:t xml:space="preserve"> </w:t>
      </w:r>
      <w:commentRangeEnd w:id="6"/>
      <w:r w:rsidR="0052779C">
        <w:rPr>
          <w:rStyle w:val="CommentReference"/>
        </w:rPr>
        <w:commentReference w:id="6"/>
      </w:r>
      <w:commentRangeStart w:id="7"/>
      <w:r w:rsidRPr="000A0981">
        <w:rPr>
          <w:rFonts w:ascii="Times New Roman" w:hAnsi="Times New Roman" w:cs="Times New Roman"/>
          <w:sz w:val="24"/>
          <w:szCs w:val="24"/>
        </w:rPr>
        <w:t xml:space="preserve">ICAR-CISH, </w:t>
      </w:r>
      <w:proofErr w:type="spellStart"/>
      <w:r w:rsidRPr="000A0981">
        <w:rPr>
          <w:rFonts w:ascii="Times New Roman" w:hAnsi="Times New Roman" w:cs="Times New Roman"/>
          <w:sz w:val="24"/>
          <w:szCs w:val="24"/>
        </w:rPr>
        <w:t>Lucknow</w:t>
      </w:r>
      <w:proofErr w:type="spellEnd"/>
      <w:r w:rsidRPr="000A0981">
        <w:rPr>
          <w:rFonts w:ascii="Times New Roman" w:hAnsi="Times New Roman" w:cs="Times New Roman"/>
          <w:sz w:val="24"/>
          <w:szCs w:val="24"/>
        </w:rPr>
        <w:t xml:space="preserve"> bred </w:t>
      </w:r>
      <w:proofErr w:type="spellStart"/>
      <w:r w:rsidRPr="000A0981">
        <w:rPr>
          <w:rFonts w:ascii="Times New Roman" w:hAnsi="Times New Roman" w:cs="Times New Roman"/>
          <w:i/>
          <w:iCs/>
          <w:sz w:val="24"/>
          <w:szCs w:val="24"/>
        </w:rPr>
        <w:t>Psidium</w:t>
      </w:r>
      <w:proofErr w:type="spellEnd"/>
      <w:r w:rsidRPr="000A0981">
        <w:rPr>
          <w:rFonts w:ascii="Times New Roman" w:hAnsi="Times New Roman" w:cs="Times New Roman"/>
          <w:i/>
          <w:iCs/>
          <w:sz w:val="24"/>
          <w:szCs w:val="24"/>
        </w:rPr>
        <w:t xml:space="preserve"> </w:t>
      </w:r>
      <w:proofErr w:type="spellStart"/>
      <w:r w:rsidRPr="000A0981">
        <w:rPr>
          <w:rFonts w:ascii="Times New Roman" w:hAnsi="Times New Roman" w:cs="Times New Roman"/>
          <w:i/>
          <w:iCs/>
          <w:sz w:val="24"/>
          <w:szCs w:val="24"/>
        </w:rPr>
        <w:t>molle</w:t>
      </w:r>
      <w:proofErr w:type="spellEnd"/>
      <w:r w:rsidRPr="000A0981">
        <w:rPr>
          <w:rFonts w:ascii="Times New Roman" w:hAnsi="Times New Roman" w:cs="Times New Roman"/>
          <w:i/>
          <w:iCs/>
          <w:sz w:val="24"/>
          <w:szCs w:val="24"/>
        </w:rPr>
        <w:t xml:space="preserve"> x </w:t>
      </w:r>
      <w:proofErr w:type="spellStart"/>
      <w:r w:rsidRPr="000A0981">
        <w:rPr>
          <w:rFonts w:ascii="Times New Roman" w:hAnsi="Times New Roman" w:cs="Times New Roman"/>
          <w:i/>
          <w:iCs/>
          <w:sz w:val="24"/>
          <w:szCs w:val="24"/>
        </w:rPr>
        <w:t>Psidium</w:t>
      </w:r>
      <w:proofErr w:type="spellEnd"/>
      <w:r w:rsidRPr="000A0981">
        <w:rPr>
          <w:rFonts w:ascii="Times New Roman" w:hAnsi="Times New Roman" w:cs="Times New Roman"/>
          <w:i/>
          <w:iCs/>
          <w:sz w:val="24"/>
          <w:szCs w:val="24"/>
        </w:rPr>
        <w:t xml:space="preserve"> </w:t>
      </w:r>
      <w:proofErr w:type="spellStart"/>
      <w:r w:rsidRPr="000A0981">
        <w:rPr>
          <w:rFonts w:ascii="Times New Roman" w:hAnsi="Times New Roman" w:cs="Times New Roman"/>
          <w:i/>
          <w:iCs/>
          <w:sz w:val="24"/>
          <w:szCs w:val="24"/>
        </w:rPr>
        <w:t>guajava</w:t>
      </w:r>
      <w:proofErr w:type="spellEnd"/>
      <w:r w:rsidRPr="006D334B">
        <w:rPr>
          <w:rFonts w:ascii="Times New Roman" w:hAnsi="Times New Roman" w:cs="Times New Roman"/>
          <w:sz w:val="24"/>
          <w:szCs w:val="24"/>
        </w:rPr>
        <w:t xml:space="preserve"> and found a population of hybrids which with stand with </w:t>
      </w:r>
      <w:r w:rsidRPr="000A0981">
        <w:rPr>
          <w:rFonts w:ascii="Times New Roman" w:hAnsi="Times New Roman" w:cs="Times New Roman"/>
          <w:i/>
          <w:iCs/>
          <w:sz w:val="24"/>
          <w:szCs w:val="24"/>
        </w:rPr>
        <w:t>Fusarium</w:t>
      </w:r>
      <w:r w:rsidRPr="006D334B">
        <w:rPr>
          <w:rFonts w:ascii="Times New Roman" w:hAnsi="Times New Roman" w:cs="Times New Roman"/>
          <w:sz w:val="24"/>
          <w:szCs w:val="24"/>
        </w:rPr>
        <w:t xml:space="preserve"> wilt disease even after challenge inoculation for several years. </w:t>
      </w:r>
      <w:commentRangeEnd w:id="7"/>
      <w:r w:rsidR="004216C2">
        <w:rPr>
          <w:rStyle w:val="CommentReference"/>
        </w:rPr>
        <w:commentReference w:id="7"/>
      </w:r>
      <w:proofErr w:type="gramStart"/>
      <w:r w:rsidRPr="006D334B">
        <w:rPr>
          <w:rFonts w:ascii="Times New Roman" w:hAnsi="Times New Roman" w:cs="Times New Roman"/>
          <w:sz w:val="24"/>
          <w:szCs w:val="24"/>
        </w:rPr>
        <w:t xml:space="preserve">This </w:t>
      </w:r>
      <w:commentRangeStart w:id="8"/>
      <w:r w:rsidRPr="006D334B">
        <w:rPr>
          <w:rFonts w:ascii="Times New Roman" w:hAnsi="Times New Roman" w:cs="Times New Roman"/>
          <w:sz w:val="24"/>
          <w:szCs w:val="24"/>
        </w:rPr>
        <w:t>interspecific hybr</w:t>
      </w:r>
      <w:r w:rsidRPr="000A0981">
        <w:rPr>
          <w:rFonts w:ascii="Times New Roman" w:hAnsi="Times New Roman" w:cs="Times New Roman"/>
          <w:sz w:val="24"/>
          <w:szCs w:val="24"/>
        </w:rPr>
        <w:t xml:space="preserve">id </w:t>
      </w:r>
      <w:commentRangeEnd w:id="8"/>
      <w:r w:rsidR="004216C2">
        <w:rPr>
          <w:rStyle w:val="CommentReference"/>
        </w:rPr>
        <w:commentReference w:id="8"/>
      </w:r>
      <w:r w:rsidRPr="000A0981">
        <w:rPr>
          <w:rFonts w:ascii="Times New Roman" w:hAnsi="Times New Roman" w:cs="Times New Roman"/>
          <w:sz w:val="24"/>
          <w:szCs w:val="24"/>
        </w:rPr>
        <w:t>rootstock of guava have</w:t>
      </w:r>
      <w:proofErr w:type="gramEnd"/>
      <w:r w:rsidRPr="000A0981">
        <w:rPr>
          <w:rFonts w:ascii="Times New Roman" w:hAnsi="Times New Roman" w:cs="Times New Roman"/>
          <w:sz w:val="24"/>
          <w:szCs w:val="24"/>
        </w:rPr>
        <w:t xml:space="preserve"> shown consistence to</w:t>
      </w:r>
      <w:r w:rsidR="00537714">
        <w:rPr>
          <w:rFonts w:ascii="Times New Roman" w:hAnsi="Times New Roman" w:cs="Times New Roman"/>
          <w:sz w:val="24"/>
          <w:szCs w:val="24"/>
        </w:rPr>
        <w:t xml:space="preserve">lerance against </w:t>
      </w:r>
      <w:r w:rsidR="00537714" w:rsidRPr="00537714">
        <w:rPr>
          <w:rFonts w:ascii="Times New Roman" w:hAnsi="Times New Roman" w:cs="Times New Roman"/>
          <w:i/>
          <w:sz w:val="24"/>
          <w:szCs w:val="24"/>
        </w:rPr>
        <w:t xml:space="preserve">F. </w:t>
      </w:r>
      <w:proofErr w:type="spellStart"/>
      <w:r w:rsidR="00537714" w:rsidRPr="00537714">
        <w:rPr>
          <w:rFonts w:ascii="Times New Roman" w:hAnsi="Times New Roman" w:cs="Times New Roman"/>
          <w:i/>
          <w:sz w:val="24"/>
          <w:szCs w:val="24"/>
        </w:rPr>
        <w:t>oxysporum</w:t>
      </w:r>
      <w:proofErr w:type="spellEnd"/>
      <w:r w:rsidR="00537714" w:rsidRPr="00537714">
        <w:rPr>
          <w:rFonts w:ascii="Times New Roman" w:hAnsi="Times New Roman" w:cs="Times New Roman"/>
          <w:i/>
          <w:sz w:val="24"/>
          <w:szCs w:val="24"/>
        </w:rPr>
        <w:t xml:space="preserve"> f. sp. </w:t>
      </w:r>
      <w:proofErr w:type="spellStart"/>
      <w:r w:rsidRPr="00537714">
        <w:rPr>
          <w:rFonts w:ascii="Times New Roman" w:hAnsi="Times New Roman" w:cs="Times New Roman"/>
          <w:i/>
          <w:sz w:val="24"/>
          <w:szCs w:val="24"/>
        </w:rPr>
        <w:t>psidii</w:t>
      </w:r>
      <w:proofErr w:type="spellEnd"/>
      <w:r w:rsidRPr="00537714">
        <w:rPr>
          <w:rFonts w:ascii="Times New Roman" w:hAnsi="Times New Roman" w:cs="Times New Roman"/>
          <w:i/>
          <w:sz w:val="24"/>
          <w:szCs w:val="24"/>
        </w:rPr>
        <w:t xml:space="preserve"> </w:t>
      </w:r>
      <w:r w:rsidRPr="000A0981">
        <w:rPr>
          <w:rFonts w:ascii="Times New Roman" w:hAnsi="Times New Roman" w:cs="Times New Roman"/>
          <w:sz w:val="24"/>
          <w:szCs w:val="24"/>
        </w:rPr>
        <w:t xml:space="preserve">in field condition for several </w:t>
      </w:r>
      <w:r w:rsidR="00537714" w:rsidRPr="000A0981">
        <w:rPr>
          <w:rFonts w:ascii="Times New Roman" w:hAnsi="Times New Roman" w:cs="Times New Roman"/>
          <w:sz w:val="24"/>
          <w:szCs w:val="24"/>
        </w:rPr>
        <w:t>decades</w:t>
      </w:r>
      <w:r w:rsidRPr="000A0981">
        <w:rPr>
          <w:rFonts w:ascii="Times New Roman" w:hAnsi="Times New Roman" w:cs="Times New Roman"/>
          <w:sz w:val="24"/>
          <w:szCs w:val="24"/>
        </w:rPr>
        <w:t xml:space="preserve">. The graft </w:t>
      </w:r>
      <w:r w:rsidR="00537714" w:rsidRPr="000A0981">
        <w:rPr>
          <w:rFonts w:ascii="Times New Roman" w:hAnsi="Times New Roman" w:cs="Times New Roman"/>
          <w:sz w:val="24"/>
          <w:szCs w:val="24"/>
        </w:rPr>
        <w:t>compatibility</w:t>
      </w:r>
      <w:r w:rsidRPr="000A0981">
        <w:rPr>
          <w:rFonts w:ascii="Times New Roman" w:hAnsi="Times New Roman" w:cs="Times New Roman"/>
          <w:sz w:val="24"/>
          <w:szCs w:val="24"/>
        </w:rPr>
        <w:t xml:space="preserve"> of this rootstock has been tested with several commercial scion varieties, However, this rootstock could not be popularized due to lack of a robust propagation system as it is shy to root. </w:t>
      </w:r>
      <w:commentRangeStart w:id="9"/>
      <w:r w:rsidRPr="000A0981">
        <w:rPr>
          <w:rFonts w:ascii="Times New Roman" w:hAnsi="Times New Roman" w:cs="Times New Roman"/>
          <w:sz w:val="24"/>
          <w:szCs w:val="24"/>
        </w:rPr>
        <w:t>Present</w:t>
      </w:r>
      <w:commentRangeEnd w:id="9"/>
      <w:r w:rsidR="004216C2">
        <w:rPr>
          <w:rStyle w:val="CommentReference"/>
        </w:rPr>
        <w:commentReference w:id="9"/>
      </w:r>
      <w:r w:rsidRPr="000A0981">
        <w:rPr>
          <w:rFonts w:ascii="Times New Roman" w:hAnsi="Times New Roman" w:cs="Times New Roman"/>
          <w:sz w:val="24"/>
          <w:szCs w:val="24"/>
        </w:rPr>
        <w:t xml:space="preserve"> paper reports first successful and highly repeatable protocol of propagation using leafy shoot </w:t>
      </w:r>
      <w:commentRangeStart w:id="10"/>
      <w:r w:rsidRPr="000A0981">
        <w:rPr>
          <w:rFonts w:ascii="Times New Roman" w:hAnsi="Times New Roman" w:cs="Times New Roman"/>
          <w:sz w:val="24"/>
          <w:szCs w:val="24"/>
        </w:rPr>
        <w:t>cutting.</w:t>
      </w:r>
      <w:commentRangeEnd w:id="10"/>
      <w:r w:rsidR="004216C2">
        <w:rPr>
          <w:rStyle w:val="CommentReference"/>
        </w:rPr>
        <w:commentReference w:id="10"/>
      </w:r>
    </w:p>
    <w:p w14:paraId="6ED75102" w14:textId="77777777" w:rsidR="008A31F7" w:rsidRPr="006D334B" w:rsidRDefault="008A31F7" w:rsidP="008A31F7">
      <w:pPr>
        <w:spacing w:line="360" w:lineRule="auto"/>
        <w:jc w:val="both"/>
        <w:rPr>
          <w:rFonts w:ascii="Times New Roman" w:hAnsi="Times New Roman" w:cs="Times New Roman"/>
          <w:b/>
          <w:sz w:val="24"/>
          <w:szCs w:val="24"/>
        </w:rPr>
      </w:pPr>
      <w:r w:rsidRPr="000A0981">
        <w:rPr>
          <w:rFonts w:ascii="Times New Roman" w:hAnsi="Times New Roman" w:cs="Times New Roman"/>
          <w:b/>
          <w:sz w:val="24"/>
          <w:szCs w:val="24"/>
        </w:rPr>
        <w:t>2. Materials and methods:</w:t>
      </w:r>
    </w:p>
    <w:p w14:paraId="554BAF70" w14:textId="77777777" w:rsidR="008A31F7" w:rsidRPr="006D334B" w:rsidRDefault="008A31F7" w:rsidP="008A31F7">
      <w:pPr>
        <w:spacing w:line="360" w:lineRule="auto"/>
        <w:jc w:val="both"/>
        <w:rPr>
          <w:rFonts w:ascii="Times New Roman" w:eastAsia="Times New Roman" w:hAnsi="Times New Roman" w:cs="Times New Roman"/>
          <w:sz w:val="24"/>
          <w:szCs w:val="24"/>
          <w:lang w:val="en-IN" w:eastAsia="en-IN"/>
        </w:rPr>
      </w:pPr>
      <w:r w:rsidRPr="000A0981">
        <w:rPr>
          <w:rFonts w:ascii="Times New Roman" w:hAnsi="Times New Roman" w:cs="Times New Roman"/>
          <w:sz w:val="24"/>
          <w:szCs w:val="24"/>
        </w:rPr>
        <w:t xml:space="preserve">The present investigation accomplished </w:t>
      </w:r>
      <w:r w:rsidRPr="000A0981">
        <w:rPr>
          <w:rFonts w:ascii="Times New Roman" w:eastAsia="Times New Roman" w:hAnsi="Times New Roman" w:cs="Times New Roman"/>
          <w:sz w:val="24"/>
          <w:szCs w:val="24"/>
          <w:lang w:val="en-IN" w:eastAsia="en-IN"/>
        </w:rPr>
        <w:t xml:space="preserve">during the year 2024-25 in the Division of Crop Improvement &amp; Biotechnology, ICAR-CISH, </w:t>
      </w:r>
      <w:proofErr w:type="spellStart"/>
      <w:r w:rsidRPr="000A0981">
        <w:rPr>
          <w:rFonts w:ascii="Times New Roman" w:eastAsia="Times New Roman" w:hAnsi="Times New Roman" w:cs="Times New Roman"/>
          <w:sz w:val="24"/>
          <w:szCs w:val="24"/>
          <w:lang w:val="en-IN" w:eastAsia="en-IN"/>
        </w:rPr>
        <w:t>Rehmankhera</w:t>
      </w:r>
      <w:proofErr w:type="spellEnd"/>
      <w:r w:rsidRPr="000A0981">
        <w:rPr>
          <w:rFonts w:ascii="Times New Roman" w:eastAsia="Times New Roman" w:hAnsi="Times New Roman" w:cs="Times New Roman"/>
          <w:sz w:val="24"/>
          <w:szCs w:val="24"/>
          <w:lang w:val="en-IN" w:eastAsia="en-IN"/>
        </w:rPr>
        <w:t xml:space="preserve">, </w:t>
      </w:r>
      <w:proofErr w:type="spellStart"/>
      <w:r w:rsidRPr="000A0981">
        <w:rPr>
          <w:rFonts w:ascii="Times New Roman" w:eastAsia="Times New Roman" w:hAnsi="Times New Roman" w:cs="Times New Roman"/>
          <w:sz w:val="24"/>
          <w:szCs w:val="24"/>
          <w:lang w:val="en-IN" w:eastAsia="en-IN"/>
        </w:rPr>
        <w:t>Lucknow</w:t>
      </w:r>
      <w:proofErr w:type="spellEnd"/>
      <w:r w:rsidRPr="000A0981">
        <w:rPr>
          <w:rFonts w:ascii="Times New Roman" w:eastAsia="Times New Roman" w:hAnsi="Times New Roman" w:cs="Times New Roman"/>
          <w:sz w:val="24"/>
          <w:szCs w:val="24"/>
          <w:lang w:val="en-IN" w:eastAsia="en-IN"/>
        </w:rPr>
        <w:t xml:space="preserve"> (U.P.) </w:t>
      </w:r>
      <w:r w:rsidRPr="000A0981">
        <w:rPr>
          <w:rFonts w:ascii="Times New Roman" w:hAnsi="Times New Roman" w:cs="Times New Roman"/>
          <w:sz w:val="24"/>
          <w:szCs w:val="24"/>
        </w:rPr>
        <w:t xml:space="preserve">located between 26°45' and 27°10' North (latitude) and 80°30' and 80°55' East (longitude) at an altitude. The experiment was conducted </w:t>
      </w:r>
      <w:r w:rsidRPr="000A0981">
        <w:rPr>
          <w:rFonts w:ascii="Times New Roman" w:eastAsia="Times New Roman" w:hAnsi="Times New Roman" w:cs="Times New Roman"/>
          <w:sz w:val="24"/>
          <w:szCs w:val="24"/>
          <w:lang w:val="en-IN" w:eastAsia="en-IN"/>
        </w:rPr>
        <w:t xml:space="preserve">in Completely Randomized Design (CRD). Leafy shoot cutting was planted in three </w:t>
      </w:r>
      <w:commentRangeStart w:id="11"/>
      <w:r w:rsidRPr="000A0981">
        <w:rPr>
          <w:rFonts w:ascii="Times New Roman" w:eastAsia="Times New Roman" w:hAnsi="Times New Roman" w:cs="Times New Roman"/>
          <w:sz w:val="24"/>
          <w:szCs w:val="24"/>
          <w:lang w:val="en-IN" w:eastAsia="en-IN"/>
        </w:rPr>
        <w:t xml:space="preserve">different potting </w:t>
      </w:r>
      <w:r w:rsidR="00537714" w:rsidRPr="000A0981">
        <w:rPr>
          <w:rFonts w:ascii="Times New Roman" w:eastAsia="Times New Roman" w:hAnsi="Times New Roman" w:cs="Times New Roman"/>
          <w:sz w:val="24"/>
          <w:szCs w:val="24"/>
          <w:lang w:val="en-IN" w:eastAsia="en-IN"/>
        </w:rPr>
        <w:t>mixtures</w:t>
      </w:r>
      <w:commentRangeEnd w:id="11"/>
      <w:r w:rsidR="004216C2">
        <w:rPr>
          <w:rStyle w:val="CommentReference"/>
        </w:rPr>
        <w:commentReference w:id="11"/>
      </w:r>
      <w:r w:rsidRPr="000A0981">
        <w:rPr>
          <w:rFonts w:ascii="Times New Roman" w:eastAsia="Times New Roman" w:hAnsi="Times New Roman" w:cs="Times New Roman"/>
          <w:sz w:val="24"/>
          <w:szCs w:val="24"/>
          <w:lang w:val="en-IN" w:eastAsia="en-IN"/>
        </w:rPr>
        <w:t xml:space="preserve"> and replicated four times. Leafy shoot cuttings were dipped in 1000ppm IBA solution for 45 minutes prior to planting in potting </w:t>
      </w:r>
      <w:r w:rsidR="00537714" w:rsidRPr="000A0981">
        <w:rPr>
          <w:rFonts w:ascii="Times New Roman" w:eastAsia="Times New Roman" w:hAnsi="Times New Roman" w:cs="Times New Roman"/>
          <w:sz w:val="24"/>
          <w:szCs w:val="24"/>
          <w:lang w:val="en-IN" w:eastAsia="en-IN"/>
        </w:rPr>
        <w:t>mixture</w:t>
      </w:r>
      <w:r w:rsidRPr="000A0981">
        <w:rPr>
          <w:rFonts w:ascii="Times New Roman" w:eastAsia="Times New Roman" w:hAnsi="Times New Roman" w:cs="Times New Roman"/>
          <w:sz w:val="24"/>
          <w:szCs w:val="24"/>
          <w:lang w:val="en-IN" w:eastAsia="en-IN"/>
        </w:rPr>
        <w:t xml:space="preserve">. In the second experiment, three concentration of </w:t>
      </w:r>
      <w:commentRangeStart w:id="12"/>
      <w:r w:rsidRPr="000A0981">
        <w:rPr>
          <w:rFonts w:ascii="Times New Roman" w:eastAsia="Times New Roman" w:hAnsi="Times New Roman" w:cs="Times New Roman"/>
          <w:sz w:val="24"/>
          <w:szCs w:val="24"/>
          <w:lang w:val="en-IN" w:eastAsia="en-IN"/>
        </w:rPr>
        <w:t>IBA</w:t>
      </w:r>
      <w:commentRangeEnd w:id="12"/>
      <w:r w:rsidR="007428A8">
        <w:rPr>
          <w:rStyle w:val="CommentReference"/>
        </w:rPr>
        <w:commentReference w:id="12"/>
      </w:r>
      <w:r w:rsidRPr="000A0981">
        <w:rPr>
          <w:rFonts w:ascii="Times New Roman" w:eastAsia="Times New Roman" w:hAnsi="Times New Roman" w:cs="Times New Roman"/>
          <w:sz w:val="24"/>
          <w:szCs w:val="24"/>
          <w:lang w:val="en-IN" w:eastAsia="en-IN"/>
        </w:rPr>
        <w:t xml:space="preserve"> (700ppm, 1000ppm and 1500 ppm) were evaluated. Simultaneously 10 cm long leaf shoot cutting and 45 min dipping time was </w:t>
      </w:r>
      <w:r w:rsidRPr="000A0981">
        <w:rPr>
          <w:rFonts w:ascii="Times New Roman" w:eastAsia="Times New Roman" w:hAnsi="Times New Roman" w:cs="Times New Roman"/>
          <w:sz w:val="24"/>
          <w:szCs w:val="24"/>
          <w:lang w:val="en-IN" w:eastAsia="en-IN"/>
        </w:rPr>
        <w:lastRenderedPageBreak/>
        <w:t>maintained in both the experiment. For solution preparation,</w:t>
      </w:r>
      <w:r w:rsidRPr="000A0981">
        <w:rPr>
          <w:rFonts w:ascii="Times New Roman" w:hAnsi="Times New Roman" w:cs="Times New Roman"/>
          <w:sz w:val="24"/>
          <w:szCs w:val="24"/>
        </w:rPr>
        <w:t xml:space="preserve"> </w:t>
      </w:r>
      <w:commentRangeStart w:id="14"/>
      <w:r w:rsidRPr="000A0981">
        <w:rPr>
          <w:rFonts w:ascii="Times New Roman" w:hAnsi="Times New Roman" w:cs="Times New Roman"/>
          <w:sz w:val="24"/>
          <w:szCs w:val="24"/>
        </w:rPr>
        <w:t xml:space="preserve">weighed quantities </w:t>
      </w:r>
      <w:commentRangeEnd w:id="14"/>
      <w:r w:rsidR="004216C2">
        <w:rPr>
          <w:rStyle w:val="CommentReference"/>
        </w:rPr>
        <w:commentReference w:id="14"/>
      </w:r>
      <w:r w:rsidRPr="000A0981">
        <w:rPr>
          <w:rFonts w:ascii="Times New Roman" w:hAnsi="Times New Roman" w:cs="Times New Roman"/>
          <w:sz w:val="24"/>
          <w:szCs w:val="24"/>
        </w:rPr>
        <w:t xml:space="preserve">were first dissolved in a small amount </w:t>
      </w:r>
      <w:proofErr w:type="gramStart"/>
      <w:r w:rsidRPr="000A0981">
        <w:rPr>
          <w:rFonts w:ascii="Times New Roman" w:hAnsi="Times New Roman" w:cs="Times New Roman"/>
          <w:sz w:val="24"/>
          <w:szCs w:val="24"/>
        </w:rPr>
        <w:t>of 0.1 N sodium hydroxide</w:t>
      </w:r>
      <w:proofErr w:type="gramEnd"/>
      <w:r w:rsidRPr="000A0981">
        <w:rPr>
          <w:rFonts w:ascii="Times New Roman" w:hAnsi="Times New Roman" w:cs="Times New Roman"/>
          <w:sz w:val="24"/>
          <w:szCs w:val="24"/>
        </w:rPr>
        <w:t xml:space="preserve"> and the </w:t>
      </w:r>
      <w:commentRangeStart w:id="15"/>
      <w:r w:rsidRPr="000A0981">
        <w:rPr>
          <w:rFonts w:ascii="Times New Roman" w:hAnsi="Times New Roman" w:cs="Times New Roman"/>
          <w:sz w:val="24"/>
          <w:szCs w:val="24"/>
        </w:rPr>
        <w:t xml:space="preserve">final volume </w:t>
      </w:r>
      <w:commentRangeEnd w:id="15"/>
      <w:r w:rsidR="004216C2">
        <w:rPr>
          <w:rStyle w:val="CommentReference"/>
        </w:rPr>
        <w:commentReference w:id="15"/>
      </w:r>
      <w:r w:rsidRPr="000A0981">
        <w:rPr>
          <w:rFonts w:ascii="Times New Roman" w:hAnsi="Times New Roman" w:cs="Times New Roman"/>
          <w:sz w:val="24"/>
          <w:szCs w:val="24"/>
        </w:rPr>
        <w:t>was then made up with distilled water to obtain the desired concentrations.</w:t>
      </w:r>
      <w:r w:rsidRPr="000A0981">
        <w:rPr>
          <w:rFonts w:ascii="Times New Roman" w:eastAsia="Times New Roman" w:hAnsi="Times New Roman" w:cs="Times New Roman"/>
          <w:sz w:val="24"/>
          <w:szCs w:val="24"/>
          <w:lang w:val="en-IN" w:eastAsia="en-IN"/>
        </w:rPr>
        <w:t xml:space="preserve"> In each replication of both experiments 20 plants were taken and trial was conducted under protected conditions. Morphological data related to days taken for root initiation (days), rooting percentage (%), number of primary and secondary roots, length of primary roots (cm), diameter of primary roots (mm) were taken. The collected data are presented as the mean of the three replications. One way analysis of variance (ANOVA) was used to determine significant differences between the means of treatments according to Least significant difference test. The statistical analysis was done by using “Agra-</w:t>
      </w:r>
      <w:proofErr w:type="spellStart"/>
      <w:r w:rsidRPr="000A0981">
        <w:rPr>
          <w:rFonts w:ascii="Times New Roman" w:eastAsia="Times New Roman" w:hAnsi="Times New Roman" w:cs="Times New Roman"/>
          <w:sz w:val="24"/>
          <w:szCs w:val="24"/>
          <w:lang w:val="en-IN" w:eastAsia="en-IN"/>
        </w:rPr>
        <w:t>analyzer</w:t>
      </w:r>
      <w:proofErr w:type="spellEnd"/>
      <w:r w:rsidRPr="000A0981">
        <w:rPr>
          <w:rFonts w:ascii="Times New Roman" w:eastAsia="Times New Roman" w:hAnsi="Times New Roman" w:cs="Times New Roman"/>
          <w:sz w:val="24"/>
          <w:szCs w:val="24"/>
          <w:lang w:val="en-IN" w:eastAsia="en-IN"/>
        </w:rPr>
        <w:t>” software</w:t>
      </w:r>
    </w:p>
    <w:p w14:paraId="53964350" w14:textId="4BB926E8" w:rsidR="008A31F7" w:rsidRPr="006D334B" w:rsidRDefault="008A31F7" w:rsidP="008A31F7">
      <w:pPr>
        <w:spacing w:after="0" w:line="360" w:lineRule="auto"/>
        <w:jc w:val="both"/>
        <w:rPr>
          <w:rFonts w:ascii="Times New Roman" w:eastAsia="Times New Roman" w:hAnsi="Times New Roman" w:cs="Times New Roman"/>
          <w:b/>
          <w:sz w:val="24"/>
          <w:szCs w:val="24"/>
          <w:lang w:val="en-IN" w:eastAsia="en-IN"/>
        </w:rPr>
      </w:pPr>
      <w:r w:rsidRPr="000A0981">
        <w:rPr>
          <w:rFonts w:ascii="Times New Roman" w:eastAsia="Times New Roman" w:hAnsi="Times New Roman" w:cs="Times New Roman"/>
          <w:b/>
          <w:sz w:val="24"/>
          <w:szCs w:val="24"/>
          <w:lang w:val="en-IN" w:eastAsia="en-IN"/>
        </w:rPr>
        <w:t xml:space="preserve">3. Results </w:t>
      </w:r>
      <w:r w:rsidR="00975432">
        <w:rPr>
          <w:rFonts w:ascii="Times New Roman" w:eastAsia="Times New Roman" w:hAnsi="Times New Roman" w:cs="Times New Roman"/>
          <w:b/>
          <w:sz w:val="24"/>
          <w:szCs w:val="24"/>
          <w:lang w:val="en-IN" w:eastAsia="en-IN"/>
        </w:rPr>
        <w:t xml:space="preserve">and </w:t>
      </w:r>
      <w:r w:rsidR="00975432" w:rsidRPr="00975432">
        <w:rPr>
          <w:rFonts w:ascii="Times New Roman" w:eastAsia="Times New Roman" w:hAnsi="Times New Roman" w:cs="Times New Roman"/>
          <w:b/>
          <w:sz w:val="24"/>
          <w:szCs w:val="24"/>
          <w:lang w:val="en-IN" w:eastAsia="en-IN"/>
        </w:rPr>
        <w:t>Discussion</w:t>
      </w:r>
    </w:p>
    <w:p w14:paraId="46A135EB" w14:textId="77777777" w:rsidR="008A31F7" w:rsidRPr="006D334B" w:rsidRDefault="008A31F7" w:rsidP="008A31F7">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3.1. - </w:t>
      </w:r>
      <w:commentRangeStart w:id="16"/>
      <w:r>
        <w:rPr>
          <w:rFonts w:ascii="Times New Roman" w:eastAsia="Times New Roman" w:hAnsi="Times New Roman" w:cs="Times New Roman"/>
          <w:b/>
          <w:bCs/>
          <w:color w:val="000000"/>
          <w:sz w:val="24"/>
          <w:szCs w:val="24"/>
        </w:rPr>
        <w:t xml:space="preserve">Effect of IBA concentration on leafy shoot </w:t>
      </w:r>
      <w:commentRangeEnd w:id="16"/>
      <w:r w:rsidR="004216C2">
        <w:rPr>
          <w:rStyle w:val="CommentReference"/>
        </w:rPr>
        <w:commentReference w:id="16"/>
      </w:r>
      <w:r>
        <w:rPr>
          <w:rFonts w:ascii="Times New Roman" w:eastAsia="Times New Roman" w:hAnsi="Times New Roman" w:cs="Times New Roman"/>
          <w:b/>
          <w:bCs/>
          <w:color w:val="000000"/>
          <w:sz w:val="24"/>
          <w:szCs w:val="24"/>
        </w:rPr>
        <w:t>cutting regeneration ÷</w:t>
      </w:r>
    </w:p>
    <w:p w14:paraId="319E5AC1" w14:textId="77777777" w:rsidR="008A31F7" w:rsidRPr="006D334B" w:rsidRDefault="008A31F7" w:rsidP="008A31F7">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3.1.1. Days taken for callus formation</w:t>
      </w:r>
      <w:r>
        <w:rPr>
          <w:rFonts w:ascii="Times New Roman" w:eastAsia="Times New Roman" w:hAnsi="Times New Roman" w:cs="Times New Roman"/>
          <w:b/>
          <w:bCs/>
          <w:color w:val="000000"/>
          <w:sz w:val="24"/>
          <w:szCs w:val="24"/>
        </w:rPr>
        <w:t>÷</w:t>
      </w:r>
      <w:r>
        <w:rPr>
          <w:rFonts w:ascii="Times New Roman" w:hAnsi="Times New Roman" w:cs="Times New Roman"/>
          <w:b/>
          <w:bCs/>
          <w:sz w:val="24"/>
          <w:szCs w:val="24"/>
        </w:rPr>
        <w:t xml:space="preserve"> </w:t>
      </w:r>
    </w:p>
    <w:p w14:paraId="230C648C" w14:textId="77777777" w:rsidR="008A31F7" w:rsidRPr="006D334B" w:rsidRDefault="008A31F7" w:rsidP="008A31F7">
      <w:pPr>
        <w:spacing w:line="360" w:lineRule="auto"/>
        <w:ind w:firstLine="720"/>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 xml:space="preserve">The effect of different treatment concentration of IBA on </w:t>
      </w:r>
      <w:r w:rsidRPr="000A0981">
        <w:rPr>
          <w:rFonts w:ascii="Times New Roman" w:hAnsi="Times New Roman" w:cs="Times New Roman"/>
          <w:sz w:val="24"/>
          <w:szCs w:val="24"/>
        </w:rPr>
        <w:t xml:space="preserve">callus formation at shoot end </w:t>
      </w:r>
      <w:r w:rsidRPr="000A0981">
        <w:rPr>
          <w:rFonts w:ascii="Times New Roman" w:eastAsia="Calibri" w:hAnsi="Times New Roman" w:cs="Times New Roman"/>
          <w:spacing w:val="6"/>
          <w:sz w:val="24"/>
          <w:szCs w:val="24"/>
          <w:lang w:val="en-IN"/>
        </w:rPr>
        <w:t xml:space="preserve">was found to be significant (Table 1). Among the different treatments, </w:t>
      </w:r>
      <w:r w:rsidRPr="000A0981">
        <w:rPr>
          <w:rFonts w:ascii="Times New Roman" w:hAnsi="Times New Roman" w:cs="Times New Roman"/>
          <w:sz w:val="24"/>
          <w:szCs w:val="24"/>
        </w:rPr>
        <w:t>IBA concentration on days taken for callus formation</w:t>
      </w:r>
      <w:r w:rsidRPr="000A0981">
        <w:rPr>
          <w:rFonts w:ascii="Times New Roman" w:eastAsia="Calibri" w:hAnsi="Times New Roman" w:cs="Times New Roman"/>
          <w:spacing w:val="6"/>
          <w:sz w:val="24"/>
          <w:szCs w:val="24"/>
          <w:lang w:val="en-IN"/>
        </w:rPr>
        <w:t xml:space="preserve"> of guava shoot cutting</w:t>
      </w:r>
      <w:r w:rsidRPr="006D334B">
        <w:rPr>
          <w:rFonts w:ascii="Times New Roman" w:eastAsia="Calibri" w:hAnsi="Times New Roman" w:cs="Times New Roman"/>
          <w:spacing w:val="6"/>
          <w:sz w:val="24"/>
          <w:szCs w:val="24"/>
          <w:lang w:val="en-IN"/>
        </w:rPr>
        <w:t xml:space="preserve"> varied significantly from 20.07 to 45.33 days. The minimum days (20.07) taken for </w:t>
      </w:r>
      <w:r w:rsidRPr="000A0981">
        <w:rPr>
          <w:rFonts w:ascii="Times New Roman" w:hAnsi="Times New Roman" w:cs="Times New Roman"/>
          <w:bCs/>
          <w:sz w:val="24"/>
          <w:szCs w:val="24"/>
        </w:rPr>
        <w:t>callus formation</w:t>
      </w:r>
      <w:r w:rsidRPr="000A0981">
        <w:rPr>
          <w:rFonts w:ascii="Times New Roman" w:eastAsia="Calibri" w:hAnsi="Times New Roman" w:cs="Times New Roman"/>
          <w:spacing w:val="6"/>
          <w:sz w:val="24"/>
          <w:szCs w:val="24"/>
          <w:lang w:val="en-IN"/>
        </w:rPr>
        <w:t xml:space="preserve"> was recorded with 1500ppm, which was significantly superior to all other treatments. This was followed by 1000ppm (24.62days), while significantly highest number of days (45.33) taken for </w:t>
      </w:r>
      <w:r w:rsidRPr="000A0981">
        <w:rPr>
          <w:rFonts w:ascii="Times New Roman" w:hAnsi="Times New Roman" w:cs="Times New Roman"/>
          <w:bCs/>
          <w:sz w:val="24"/>
          <w:szCs w:val="24"/>
        </w:rPr>
        <w:t xml:space="preserve">callus formation </w:t>
      </w:r>
      <w:r w:rsidRPr="000A0981">
        <w:rPr>
          <w:rFonts w:ascii="Times New Roman" w:eastAsia="Calibri" w:hAnsi="Times New Roman" w:cs="Times New Roman"/>
          <w:spacing w:val="6"/>
          <w:sz w:val="24"/>
          <w:szCs w:val="24"/>
          <w:lang w:val="en-IN"/>
        </w:rPr>
        <w:t xml:space="preserve">with </w:t>
      </w:r>
      <w:r w:rsidRPr="000A0981">
        <w:rPr>
          <w:rFonts w:ascii="Times New Roman" w:hAnsi="Times New Roman" w:cs="Times New Roman"/>
          <w:color w:val="000000"/>
          <w:sz w:val="24"/>
          <w:szCs w:val="24"/>
        </w:rPr>
        <w:t>700ppm (</w:t>
      </w:r>
      <w:r w:rsidRPr="000A0981">
        <w:rPr>
          <w:rFonts w:ascii="Times New Roman" w:eastAsia="Calibri" w:hAnsi="Times New Roman" w:cs="Times New Roman"/>
          <w:spacing w:val="6"/>
          <w:sz w:val="24"/>
          <w:szCs w:val="24"/>
          <w:lang w:val="en-IN"/>
        </w:rPr>
        <w:t xml:space="preserve">45.33 days) treatment. </w:t>
      </w:r>
    </w:p>
    <w:p w14:paraId="2D7A1ECF" w14:textId="77777777" w:rsidR="008A31F7" w:rsidRPr="006D334B" w:rsidRDefault="008A31F7" w:rsidP="008A31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Percentage Rooting </w:t>
      </w:r>
      <w:r>
        <w:rPr>
          <w:rFonts w:ascii="Times New Roman" w:eastAsia="Times New Roman" w:hAnsi="Times New Roman" w:cs="Times New Roman"/>
          <w:b/>
          <w:bCs/>
          <w:color w:val="000000"/>
          <w:sz w:val="24"/>
          <w:szCs w:val="24"/>
        </w:rPr>
        <w:t>÷</w:t>
      </w:r>
    </w:p>
    <w:p w14:paraId="40FCBDC5" w14:textId="77777777" w:rsidR="008A31F7" w:rsidRPr="006D334B"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The rooting percentage of guava plants varied significantly with different IBA concentrations, ranging from 7.66% to 56.16% (Table 1). The highest rooting (56.16%) was recorded at 1000 ppm, which performed significantly better than all other treatments. This was followed by 1500 ppm with 27.70% rooting, while the lowest rooting percentage (7.66%) was observed at 700 ppm.</w:t>
      </w:r>
    </w:p>
    <w:p w14:paraId="3B090EDA" w14:textId="77777777" w:rsidR="008A31F7" w:rsidRPr="006D334B" w:rsidRDefault="008A31F7" w:rsidP="008A31F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3.1.3. </w:t>
      </w:r>
      <w:r>
        <w:rPr>
          <w:rFonts w:ascii="Times New Roman" w:hAnsi="Times New Roman" w:cs="Times New Roman"/>
          <w:b/>
          <w:bCs/>
          <w:sz w:val="24"/>
          <w:szCs w:val="24"/>
        </w:rPr>
        <w:t xml:space="preserve">Number of primary and secondary roots </w:t>
      </w:r>
      <w:r>
        <w:rPr>
          <w:rFonts w:ascii="Times New Roman" w:eastAsia="Times New Roman" w:hAnsi="Times New Roman" w:cs="Times New Roman"/>
          <w:b/>
          <w:bCs/>
          <w:color w:val="000000"/>
          <w:sz w:val="24"/>
          <w:szCs w:val="24"/>
        </w:rPr>
        <w:t>÷</w:t>
      </w:r>
    </w:p>
    <w:p w14:paraId="658B8454" w14:textId="77777777"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lastRenderedPageBreak/>
        <w:t>Differential regime of IBA had a different influence on both primary and secondary root development in guava rootstock (Table 1). The number of primary roots ranged from 6.68 to 19.67 across different IBA levels, with the highest count (19.67) observed at 1000 ppm, outperforming all other treatments. The next best result was recorded at 1500 ppm (11.69), while the lowest number of primary roots (6.68) occurred at 700 ppm. A similar trend was noted for secondary roots, where values varied between 19.40 and 31.69. The maximum number of secondary roots (31.69) was again achieved at 1000 ppm, followed by 1500 ppm (21.36), whereas the minimum count (19.40) was associated with the 700 ppm treatment.</w:t>
      </w:r>
    </w:p>
    <w:p w14:paraId="34608121" w14:textId="77777777" w:rsidR="008A31F7" w:rsidRPr="008A31F7" w:rsidRDefault="008A31F7" w:rsidP="008A31F7">
      <w:pPr>
        <w:spacing w:line="360" w:lineRule="auto"/>
        <w:jc w:val="both"/>
        <w:rPr>
          <w:rFonts w:ascii="Times New Roman" w:hAnsi="Times New Roman" w:cs="Times New Roman"/>
          <w:b/>
          <w:bCs/>
          <w:sz w:val="24"/>
          <w:szCs w:val="24"/>
          <w:lang w:val="en-IN"/>
        </w:rPr>
      </w:pPr>
      <w:r>
        <w:rPr>
          <w:rFonts w:ascii="Times New Roman" w:eastAsia="Calibri" w:hAnsi="Times New Roman" w:cs="Times New Roman"/>
          <w:b/>
          <w:bCs/>
          <w:spacing w:val="6"/>
          <w:sz w:val="24"/>
          <w:szCs w:val="24"/>
          <w:lang w:val="en-IN"/>
        </w:rPr>
        <w:t xml:space="preserve">3.1.4. </w:t>
      </w:r>
      <w:r>
        <w:rPr>
          <w:rFonts w:ascii="Times New Roman" w:hAnsi="Times New Roman" w:cs="Times New Roman"/>
          <w:b/>
          <w:bCs/>
          <w:sz w:val="24"/>
          <w:szCs w:val="24"/>
          <w:lang w:val="en-IN"/>
        </w:rPr>
        <w:t>Length of primary roots (cm)</w:t>
      </w:r>
      <w:r>
        <w:rPr>
          <w:rFonts w:ascii="Times New Roman" w:eastAsia="Times New Roman" w:hAnsi="Times New Roman" w:cs="Times New Roman"/>
          <w:b/>
          <w:bCs/>
          <w:color w:val="000000"/>
          <w:sz w:val="24"/>
          <w:szCs w:val="24"/>
        </w:rPr>
        <w:t xml:space="preserve"> ÷</w:t>
      </w:r>
    </w:p>
    <w:p w14:paraId="75469711" w14:textId="77777777" w:rsidR="008A31F7" w:rsidRDefault="008A31F7" w:rsidP="008A31F7">
      <w:pPr>
        <w:pStyle w:val="NormalWeb"/>
        <w:spacing w:line="360" w:lineRule="auto"/>
        <w:jc w:val="both"/>
      </w:pPr>
      <w:r w:rsidRPr="006D334B">
        <w:t>Variation in treatment concentrations significantly affected the length of primary roots in guava plants (Table 1). The root length ranged from 4.59 cm to 8.81 cm across the different IBA levels. The longest primary ro</w:t>
      </w:r>
      <w:r w:rsidRPr="000A0981">
        <w:t>ots (8.81 cm) were recorded at 1000 ppm, which proved markedly more effective than the other treatments. This was followed by 1500 ppm with a root length of 7.29 cm, whereas the shortest roots (4.59 cm) were observed under the 700 ppm treatment.</w:t>
      </w:r>
    </w:p>
    <w:p w14:paraId="301E5D57" w14:textId="77777777" w:rsidR="000A6553" w:rsidRPr="006D334B" w:rsidRDefault="000A6553" w:rsidP="000A6553">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3.1.</w:t>
      </w:r>
      <w:bookmarkStart w:id="17" w:name="_Hlk219384154"/>
      <w:r>
        <w:rPr>
          <w:rFonts w:ascii="Times New Roman" w:hAnsi="Times New Roman" w:cs="Times New Roman"/>
          <w:b/>
          <w:bCs/>
          <w:sz w:val="24"/>
          <w:szCs w:val="24"/>
          <w:lang w:val="en-IN"/>
        </w:rPr>
        <w:t>5. Diameter of primary roots (mm)</w:t>
      </w:r>
      <w:bookmarkEnd w:id="17"/>
      <w:r>
        <w:rPr>
          <w:rFonts w:ascii="Times New Roman" w:eastAsia="Times New Roman" w:hAnsi="Times New Roman" w:cs="Times New Roman"/>
          <w:b/>
          <w:bCs/>
          <w:color w:val="000000"/>
          <w:sz w:val="24"/>
          <w:szCs w:val="24"/>
        </w:rPr>
        <w:t xml:space="preserve"> ÷</w:t>
      </w:r>
    </w:p>
    <w:p w14:paraId="17EF9751" w14:textId="77777777" w:rsidR="000A6553" w:rsidRDefault="000A6553" w:rsidP="000A6553">
      <w:pPr>
        <w:spacing w:line="360" w:lineRule="auto"/>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The effect of different treatment concentration on diameter of primary roots (mm) was found to be significant (Table 1). Among the treatments, IBA concentration on diameter of primary roots (mm) of guava rootstocks varied significantly from 0.24 to 0.66 mm. The maximum (0.66mm) diameter of primary roots (mm) was observed with 1000ppm, which was significantly superior to all other treatments. This was followed by 1500ppm (0.54mm), while comparatively minimum diameter of primary roots (mm) was observed in 700ppm (0.24mm) IBA.</w:t>
      </w:r>
    </w:p>
    <w:p w14:paraId="5D8CC78E" w14:textId="77777777" w:rsidR="00537714" w:rsidRPr="006D334B" w:rsidRDefault="00537714" w:rsidP="000A6553">
      <w:pPr>
        <w:spacing w:line="360" w:lineRule="auto"/>
        <w:jc w:val="both"/>
        <w:rPr>
          <w:rFonts w:ascii="Times New Roman" w:eastAsia="Calibri" w:hAnsi="Times New Roman" w:cs="Times New Roman"/>
          <w:spacing w:val="6"/>
          <w:sz w:val="24"/>
          <w:szCs w:val="24"/>
          <w:lang w:val="en-IN"/>
        </w:rPr>
      </w:pPr>
    </w:p>
    <w:tbl>
      <w:tblPr>
        <w:tblStyle w:val="TableGrid"/>
        <w:tblpPr w:leftFromText="180" w:rightFromText="180" w:vertAnchor="page" w:horzAnchor="margin" w:tblpY="2086"/>
        <w:tblW w:w="0" w:type="auto"/>
        <w:tblLook w:val="04A0" w:firstRow="1" w:lastRow="0" w:firstColumn="1" w:lastColumn="0" w:noHBand="0" w:noVBand="1"/>
      </w:tblPr>
      <w:tblGrid>
        <w:gridCol w:w="1736"/>
        <w:gridCol w:w="1247"/>
        <w:gridCol w:w="1188"/>
        <w:gridCol w:w="1199"/>
        <w:gridCol w:w="1291"/>
        <w:gridCol w:w="1269"/>
        <w:gridCol w:w="1312"/>
      </w:tblGrid>
      <w:tr w:rsidR="00537714" w:rsidRPr="006D334B" w14:paraId="497D6A44" w14:textId="77777777" w:rsidTr="00537714">
        <w:tc>
          <w:tcPr>
            <w:tcW w:w="1736" w:type="dxa"/>
          </w:tcPr>
          <w:p w14:paraId="7CD07736" w14:textId="77777777" w:rsidR="00537714" w:rsidRPr="006D334B" w:rsidRDefault="00537714" w:rsidP="00537714">
            <w:pPr>
              <w:spacing w:after="200" w:line="276" w:lineRule="auto"/>
              <w:ind w:left="426"/>
              <w:jc w:val="center"/>
              <w:rPr>
                <w:rFonts w:ascii="Times New Roman" w:hAnsi="Times New Roman" w:cs="Times New Roman"/>
                <w:b/>
                <w:color w:val="000000"/>
                <w:sz w:val="24"/>
                <w:szCs w:val="24"/>
              </w:rPr>
            </w:pPr>
            <w:r w:rsidRPr="000A0981">
              <w:rPr>
                <w:rFonts w:ascii="Times New Roman" w:hAnsi="Times New Roman" w:cs="Times New Roman"/>
                <w:b/>
                <w:color w:val="000000"/>
                <w:sz w:val="24"/>
                <w:szCs w:val="24"/>
              </w:rPr>
              <w:t>Treatment</w:t>
            </w:r>
          </w:p>
        </w:tc>
        <w:tc>
          <w:tcPr>
            <w:tcW w:w="1247" w:type="dxa"/>
          </w:tcPr>
          <w:p w14:paraId="647A50A5"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188" w:type="dxa"/>
          </w:tcPr>
          <w:p w14:paraId="4374B7DC"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14:paraId="6FBE5EAB"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199" w:type="dxa"/>
          </w:tcPr>
          <w:p w14:paraId="7542A79A"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291" w:type="dxa"/>
          </w:tcPr>
          <w:p w14:paraId="1924A4ED"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269" w:type="dxa"/>
          </w:tcPr>
          <w:p w14:paraId="2DD7D3D1"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12" w:type="dxa"/>
          </w:tcPr>
          <w:p w14:paraId="4BE5C9D9"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537714" w:rsidRPr="006D334B" w14:paraId="1520D4B7" w14:textId="77777777" w:rsidTr="00537714">
        <w:tc>
          <w:tcPr>
            <w:tcW w:w="1736" w:type="dxa"/>
          </w:tcPr>
          <w:p w14:paraId="6B6283C6"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lastRenderedPageBreak/>
              <w:t>700ppm</w:t>
            </w:r>
          </w:p>
        </w:tc>
        <w:tc>
          <w:tcPr>
            <w:tcW w:w="1247" w:type="dxa"/>
            <w:vAlign w:val="bottom"/>
          </w:tcPr>
          <w:p w14:paraId="3D66314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45.33</w:t>
            </w:r>
          </w:p>
        </w:tc>
        <w:tc>
          <w:tcPr>
            <w:tcW w:w="1188" w:type="dxa"/>
            <w:vAlign w:val="bottom"/>
          </w:tcPr>
          <w:p w14:paraId="147E1FE2"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7.66</w:t>
            </w:r>
          </w:p>
        </w:tc>
        <w:tc>
          <w:tcPr>
            <w:tcW w:w="1199" w:type="dxa"/>
            <w:vAlign w:val="bottom"/>
          </w:tcPr>
          <w:p w14:paraId="4599CA7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6.68</w:t>
            </w:r>
          </w:p>
        </w:tc>
        <w:tc>
          <w:tcPr>
            <w:tcW w:w="1291" w:type="dxa"/>
            <w:vAlign w:val="bottom"/>
          </w:tcPr>
          <w:p w14:paraId="37F8F4E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19.40</w:t>
            </w:r>
          </w:p>
        </w:tc>
        <w:tc>
          <w:tcPr>
            <w:tcW w:w="1269" w:type="dxa"/>
            <w:vAlign w:val="bottom"/>
          </w:tcPr>
          <w:p w14:paraId="64D7E1D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4.59</w:t>
            </w:r>
          </w:p>
        </w:tc>
        <w:tc>
          <w:tcPr>
            <w:tcW w:w="1312" w:type="dxa"/>
            <w:vAlign w:val="bottom"/>
          </w:tcPr>
          <w:p w14:paraId="48FFB71E"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0.24</w:t>
            </w:r>
          </w:p>
        </w:tc>
      </w:tr>
      <w:tr w:rsidR="00537714" w:rsidRPr="006D334B" w14:paraId="1EF7A320" w14:textId="77777777" w:rsidTr="00537714">
        <w:tc>
          <w:tcPr>
            <w:tcW w:w="1736" w:type="dxa"/>
          </w:tcPr>
          <w:p w14:paraId="278D29A7"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1000ppm</w:t>
            </w:r>
          </w:p>
        </w:tc>
        <w:tc>
          <w:tcPr>
            <w:tcW w:w="1247" w:type="dxa"/>
            <w:vAlign w:val="bottom"/>
          </w:tcPr>
          <w:p w14:paraId="6D83B5D8"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24.62</w:t>
            </w:r>
          </w:p>
        </w:tc>
        <w:tc>
          <w:tcPr>
            <w:tcW w:w="1188" w:type="dxa"/>
            <w:vAlign w:val="bottom"/>
          </w:tcPr>
          <w:p w14:paraId="70E418E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56.16</w:t>
            </w:r>
          </w:p>
        </w:tc>
        <w:tc>
          <w:tcPr>
            <w:tcW w:w="1199" w:type="dxa"/>
            <w:vAlign w:val="bottom"/>
          </w:tcPr>
          <w:p w14:paraId="799D26DE"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19.67</w:t>
            </w:r>
          </w:p>
        </w:tc>
        <w:tc>
          <w:tcPr>
            <w:tcW w:w="1291" w:type="dxa"/>
            <w:vAlign w:val="bottom"/>
          </w:tcPr>
          <w:p w14:paraId="1CE90CB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31.69</w:t>
            </w:r>
          </w:p>
        </w:tc>
        <w:tc>
          <w:tcPr>
            <w:tcW w:w="1269" w:type="dxa"/>
            <w:vAlign w:val="bottom"/>
          </w:tcPr>
          <w:p w14:paraId="3399518C"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8.81</w:t>
            </w:r>
          </w:p>
        </w:tc>
        <w:tc>
          <w:tcPr>
            <w:tcW w:w="1312" w:type="dxa"/>
            <w:vAlign w:val="bottom"/>
          </w:tcPr>
          <w:p w14:paraId="1BDA40E0"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0.66</w:t>
            </w:r>
          </w:p>
        </w:tc>
      </w:tr>
      <w:tr w:rsidR="00537714" w:rsidRPr="006D334B" w14:paraId="24BEBBA2" w14:textId="77777777" w:rsidTr="00537714">
        <w:tc>
          <w:tcPr>
            <w:tcW w:w="1736" w:type="dxa"/>
          </w:tcPr>
          <w:p w14:paraId="1D39BC9F"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1500ppm</w:t>
            </w:r>
          </w:p>
        </w:tc>
        <w:tc>
          <w:tcPr>
            <w:tcW w:w="1247" w:type="dxa"/>
            <w:vAlign w:val="bottom"/>
          </w:tcPr>
          <w:p w14:paraId="4B05E9DE"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20.07</w:t>
            </w:r>
          </w:p>
        </w:tc>
        <w:tc>
          <w:tcPr>
            <w:tcW w:w="1188" w:type="dxa"/>
            <w:vAlign w:val="bottom"/>
          </w:tcPr>
          <w:p w14:paraId="3CE9B5C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27.70</w:t>
            </w:r>
          </w:p>
        </w:tc>
        <w:tc>
          <w:tcPr>
            <w:tcW w:w="1199" w:type="dxa"/>
            <w:vAlign w:val="bottom"/>
          </w:tcPr>
          <w:p w14:paraId="6CEF5BBF"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11.69</w:t>
            </w:r>
          </w:p>
        </w:tc>
        <w:tc>
          <w:tcPr>
            <w:tcW w:w="1291" w:type="dxa"/>
            <w:vAlign w:val="bottom"/>
          </w:tcPr>
          <w:p w14:paraId="359FA10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21.36</w:t>
            </w:r>
          </w:p>
        </w:tc>
        <w:tc>
          <w:tcPr>
            <w:tcW w:w="1269" w:type="dxa"/>
            <w:vAlign w:val="bottom"/>
          </w:tcPr>
          <w:p w14:paraId="47F1601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7.29</w:t>
            </w:r>
          </w:p>
        </w:tc>
        <w:tc>
          <w:tcPr>
            <w:tcW w:w="1312" w:type="dxa"/>
            <w:vAlign w:val="bottom"/>
          </w:tcPr>
          <w:p w14:paraId="11FFFDF8"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0.54</w:t>
            </w:r>
          </w:p>
        </w:tc>
      </w:tr>
      <w:tr w:rsidR="00537714" w:rsidRPr="006D334B" w14:paraId="5357C7C3" w14:textId="77777777" w:rsidTr="00537714">
        <w:tc>
          <w:tcPr>
            <w:tcW w:w="1736" w:type="dxa"/>
          </w:tcPr>
          <w:p w14:paraId="4430F398" w14:textId="77777777" w:rsidR="00537714" w:rsidRPr="006D334B" w:rsidRDefault="00537714" w:rsidP="00537714">
            <w:pPr>
              <w:jc w:val="center"/>
              <w:rPr>
                <w:rFonts w:ascii="Times New Roman" w:hAnsi="Times New Roman" w:cs="Times New Roman"/>
                <w:sz w:val="24"/>
                <w:szCs w:val="24"/>
              </w:rPr>
            </w:pPr>
            <w:r w:rsidRPr="006D334B">
              <w:rPr>
                <w:rFonts w:ascii="Times New Roman" w:hAnsi="Times New Roman" w:cs="Times New Roman"/>
                <w:sz w:val="24"/>
                <w:szCs w:val="24"/>
              </w:rPr>
              <w:t>SE(m±)</w:t>
            </w:r>
          </w:p>
        </w:tc>
        <w:tc>
          <w:tcPr>
            <w:tcW w:w="1247" w:type="dxa"/>
          </w:tcPr>
          <w:p w14:paraId="24FDDB79"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0.15</w:t>
            </w:r>
          </w:p>
        </w:tc>
        <w:tc>
          <w:tcPr>
            <w:tcW w:w="1188" w:type="dxa"/>
          </w:tcPr>
          <w:p w14:paraId="39D96ED9"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0.39</w:t>
            </w:r>
          </w:p>
        </w:tc>
        <w:tc>
          <w:tcPr>
            <w:tcW w:w="1199" w:type="dxa"/>
          </w:tcPr>
          <w:p w14:paraId="657E5605"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0.11</w:t>
            </w:r>
          </w:p>
        </w:tc>
        <w:tc>
          <w:tcPr>
            <w:tcW w:w="1291" w:type="dxa"/>
          </w:tcPr>
          <w:p w14:paraId="3AB6D9D4"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0.13</w:t>
            </w:r>
          </w:p>
        </w:tc>
        <w:tc>
          <w:tcPr>
            <w:tcW w:w="1269" w:type="dxa"/>
          </w:tcPr>
          <w:p w14:paraId="13CF75F5"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c>
          <w:tcPr>
            <w:tcW w:w="1312" w:type="dxa"/>
          </w:tcPr>
          <w:p w14:paraId="18ECE69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0.01</w:t>
            </w:r>
          </w:p>
        </w:tc>
      </w:tr>
      <w:tr w:rsidR="00537714" w:rsidRPr="006D334B" w14:paraId="159A1B93" w14:textId="77777777" w:rsidTr="00537714">
        <w:tc>
          <w:tcPr>
            <w:tcW w:w="1736" w:type="dxa"/>
          </w:tcPr>
          <w:p w14:paraId="69975C8D" w14:textId="77777777" w:rsidR="00537714" w:rsidRPr="006D334B" w:rsidRDefault="00537714" w:rsidP="00537714">
            <w:pPr>
              <w:jc w:val="center"/>
              <w:rPr>
                <w:rFonts w:ascii="Times New Roman" w:hAnsi="Times New Roman" w:cs="Times New Roman"/>
                <w:sz w:val="24"/>
                <w:szCs w:val="24"/>
              </w:rPr>
            </w:pPr>
            <w:r w:rsidRPr="006D334B">
              <w:rPr>
                <w:rFonts w:ascii="Times New Roman" w:hAnsi="Times New Roman" w:cs="Times New Roman"/>
                <w:sz w:val="24"/>
                <w:szCs w:val="24"/>
              </w:rPr>
              <w:t>CD (0.05)</w:t>
            </w:r>
          </w:p>
        </w:tc>
        <w:tc>
          <w:tcPr>
            <w:tcW w:w="1247" w:type="dxa"/>
          </w:tcPr>
          <w:p w14:paraId="6EC68FD2" w14:textId="77777777" w:rsidR="00537714" w:rsidRPr="006D334B" w:rsidRDefault="00537714" w:rsidP="00537714">
            <w:pPr>
              <w:spacing w:after="200" w:line="276" w:lineRule="auto"/>
              <w:jc w:val="center"/>
              <w:rPr>
                <w:rFonts w:ascii="Times New Roman" w:hAnsi="Times New Roman" w:cs="Times New Roman"/>
                <w:sz w:val="24"/>
                <w:szCs w:val="24"/>
              </w:rPr>
            </w:pPr>
            <w:r w:rsidRPr="000A0981">
              <w:rPr>
                <w:rFonts w:ascii="Times New Roman" w:hAnsi="Times New Roman" w:cs="Times New Roman"/>
                <w:sz w:val="24"/>
                <w:szCs w:val="24"/>
              </w:rPr>
              <w:t>0.46</w:t>
            </w:r>
          </w:p>
        </w:tc>
        <w:tc>
          <w:tcPr>
            <w:tcW w:w="1188" w:type="dxa"/>
          </w:tcPr>
          <w:p w14:paraId="52885C21"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1.21</w:t>
            </w:r>
          </w:p>
        </w:tc>
        <w:tc>
          <w:tcPr>
            <w:tcW w:w="1199" w:type="dxa"/>
          </w:tcPr>
          <w:p w14:paraId="54434D1B"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0.35</w:t>
            </w:r>
          </w:p>
        </w:tc>
        <w:tc>
          <w:tcPr>
            <w:tcW w:w="1291" w:type="dxa"/>
          </w:tcPr>
          <w:p w14:paraId="34F1ECF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0.42</w:t>
            </w:r>
          </w:p>
        </w:tc>
        <w:tc>
          <w:tcPr>
            <w:tcW w:w="1269" w:type="dxa"/>
          </w:tcPr>
          <w:p w14:paraId="401C5F4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0.14</w:t>
            </w:r>
          </w:p>
        </w:tc>
        <w:tc>
          <w:tcPr>
            <w:tcW w:w="1312" w:type="dxa"/>
          </w:tcPr>
          <w:p w14:paraId="1B7FEC54"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r>
    </w:tbl>
    <w:p w14:paraId="54208DB3" w14:textId="77777777" w:rsidR="00537714" w:rsidRPr="006D334B" w:rsidRDefault="00537714" w:rsidP="00537714">
      <w:pPr>
        <w:spacing w:line="360" w:lineRule="auto"/>
        <w:jc w:val="both"/>
        <w:rPr>
          <w:rFonts w:ascii="Times New Roman" w:eastAsia="Calibri" w:hAnsi="Times New Roman" w:cs="Times New Roman"/>
          <w:b/>
          <w:spacing w:val="6"/>
          <w:sz w:val="24"/>
          <w:szCs w:val="24"/>
          <w:lang w:val="en-IN"/>
        </w:rPr>
      </w:pPr>
      <w:commentRangeStart w:id="18"/>
      <w:r w:rsidRPr="000A0981">
        <w:rPr>
          <w:rFonts w:ascii="Times New Roman" w:eastAsia="Calibri" w:hAnsi="Times New Roman" w:cs="Times New Roman"/>
          <w:b/>
          <w:spacing w:val="6"/>
          <w:sz w:val="24"/>
          <w:szCs w:val="24"/>
          <w:lang w:val="en-IN"/>
        </w:rPr>
        <w:t>Table 1</w:t>
      </w:r>
      <w:proofErr w:type="gramStart"/>
      <w:r w:rsidRPr="000A0981">
        <w:rPr>
          <w:rFonts w:ascii="Times New Roman" w:eastAsia="Calibri" w:hAnsi="Times New Roman" w:cs="Times New Roman"/>
          <w:b/>
          <w:spacing w:val="6"/>
          <w:sz w:val="24"/>
          <w:szCs w:val="24"/>
          <w:lang w:val="en-IN"/>
        </w:rPr>
        <w:t>.-</w:t>
      </w:r>
      <w:proofErr w:type="gramEnd"/>
      <w:r w:rsidRPr="000A0981">
        <w:rPr>
          <w:rFonts w:ascii="Times New Roman" w:eastAsia="Calibri" w:hAnsi="Times New Roman" w:cs="Times New Roman"/>
          <w:b/>
          <w:spacing w:val="6"/>
          <w:sz w:val="24"/>
          <w:szCs w:val="24"/>
          <w:lang w:val="en-IN"/>
        </w:rPr>
        <w:t xml:space="preserve"> </w:t>
      </w:r>
      <w:commentRangeEnd w:id="18"/>
      <w:r w:rsidR="004216C2">
        <w:rPr>
          <w:rStyle w:val="CommentReference"/>
        </w:rPr>
        <w:commentReference w:id="18"/>
      </w:r>
      <w:r w:rsidRPr="000A0981">
        <w:rPr>
          <w:rFonts w:ascii="Times New Roman" w:eastAsia="Calibri" w:hAnsi="Times New Roman" w:cs="Times New Roman"/>
          <w:b/>
          <w:spacing w:val="6"/>
          <w:sz w:val="24"/>
          <w:szCs w:val="24"/>
          <w:lang w:val="en-IN"/>
        </w:rPr>
        <w:t>Effect of IBA concentration on regeneration of guava leafy shoot cutting ÷</w:t>
      </w:r>
    </w:p>
    <w:p w14:paraId="7FE8E7D0" w14:textId="77777777" w:rsidR="00537714" w:rsidRDefault="00537714" w:rsidP="000A6553">
      <w:pPr>
        <w:spacing w:line="384" w:lineRule="auto"/>
        <w:jc w:val="both"/>
        <w:rPr>
          <w:rFonts w:ascii="Times New Roman" w:hAnsi="Times New Roman" w:cs="Times New Roman"/>
          <w:b/>
          <w:bCs/>
          <w:sz w:val="24"/>
          <w:szCs w:val="24"/>
        </w:rPr>
      </w:pPr>
    </w:p>
    <w:p w14:paraId="251203F6" w14:textId="77777777" w:rsidR="000A6553" w:rsidRPr="006D334B" w:rsidRDefault="000A6553" w:rsidP="000A6553">
      <w:pPr>
        <w:spacing w:line="384" w:lineRule="auto"/>
        <w:jc w:val="both"/>
        <w:rPr>
          <w:rFonts w:ascii="Times New Roman" w:hAnsi="Times New Roman" w:cs="Times New Roman"/>
          <w:b/>
          <w:bCs/>
          <w:sz w:val="24"/>
          <w:szCs w:val="24"/>
        </w:rPr>
      </w:pPr>
      <w:r w:rsidRPr="006D334B">
        <w:rPr>
          <w:rFonts w:ascii="Times New Roman" w:hAnsi="Times New Roman" w:cs="Times New Roman"/>
          <w:b/>
          <w:bCs/>
          <w:sz w:val="24"/>
          <w:szCs w:val="24"/>
        </w:rPr>
        <w:t xml:space="preserve">4. Effect of </w:t>
      </w:r>
      <w:bookmarkStart w:id="19" w:name="_Hlk219388691"/>
      <w:r w:rsidRPr="006D334B">
        <w:rPr>
          <w:rFonts w:ascii="Times New Roman" w:hAnsi="Times New Roman" w:cs="Times New Roman"/>
          <w:b/>
          <w:bCs/>
          <w:sz w:val="24"/>
          <w:szCs w:val="24"/>
        </w:rPr>
        <w:t>potting media on regeneration</w:t>
      </w:r>
      <w:bookmarkEnd w:id="19"/>
      <w:r w:rsidRPr="006D334B">
        <w:rPr>
          <w:rFonts w:ascii="Times New Roman" w:hAnsi="Times New Roman" w:cs="Times New Roman"/>
          <w:b/>
          <w:bCs/>
          <w:sz w:val="24"/>
          <w:szCs w:val="24"/>
        </w:rPr>
        <w:t>÷</w:t>
      </w:r>
    </w:p>
    <w:p w14:paraId="3F2EAF56" w14:textId="77777777" w:rsidR="000A6553" w:rsidRDefault="000A6553" w:rsidP="000A6553">
      <w:pPr>
        <w:pStyle w:val="NormalWeb"/>
        <w:spacing w:line="360" w:lineRule="auto"/>
        <w:jc w:val="both"/>
      </w:pPr>
      <w:r w:rsidRPr="000A0981">
        <w:rPr>
          <w:rStyle w:val="Strong"/>
        </w:rPr>
        <w:t>4.1. Days taken for callus formation ÷</w:t>
      </w:r>
    </w:p>
    <w:p w14:paraId="7D094E34" w14:textId="77777777" w:rsidR="000A6553" w:rsidRDefault="000A6553" w:rsidP="000A6553">
      <w:pPr>
        <w:pStyle w:val="NormalWeb"/>
        <w:spacing w:line="360" w:lineRule="auto"/>
        <w:jc w:val="both"/>
      </w:pPr>
      <w:r w:rsidRPr="000A0981">
        <w:t>Statistical analysis indicated that the variation among treatments for days to callus formation was non-significant, with values ranging from 17.34 to 23.75 days. The earliest callus formation at shoot cut end (17.34days) occurred in cocopeat, followed by vermiculite (20.40 days), whereas perlite showed the longest duration (23.75 days) under protected condition of 30±5 ºC and 70-75% RH.</w:t>
      </w:r>
    </w:p>
    <w:p w14:paraId="690A2A88" w14:textId="77777777" w:rsidR="000A6553" w:rsidRPr="006D334B" w:rsidRDefault="000A6553" w:rsidP="000A6553">
      <w:pPr>
        <w:pStyle w:val="NormalWeb"/>
        <w:spacing w:line="360" w:lineRule="auto"/>
        <w:jc w:val="both"/>
        <w:rPr>
          <w:rStyle w:val="Strong"/>
        </w:rPr>
      </w:pPr>
      <w:r w:rsidRPr="000A0981">
        <w:rPr>
          <w:rStyle w:val="Strong"/>
        </w:rPr>
        <w:t>4.2. Rooting percentage ÷</w:t>
      </w:r>
    </w:p>
    <w:p w14:paraId="460E972C" w14:textId="77777777" w:rsidR="000A6553" w:rsidRPr="006D334B" w:rsidRDefault="000A6553" w:rsidP="000A6553">
      <w:pPr>
        <w:pStyle w:val="NormalWeb"/>
        <w:spacing w:line="360" w:lineRule="auto"/>
        <w:jc w:val="both"/>
        <w:rPr>
          <w:b/>
          <w:bCs/>
        </w:rPr>
      </w:pPr>
      <w:r w:rsidRPr="000A0981">
        <w:t xml:space="preserve">Rooting percentage in leafy shoots of guava rootstock varied significantly among the different potting </w:t>
      </w:r>
      <w:r w:rsidR="00537714" w:rsidRPr="000A0981">
        <w:t>mixture</w:t>
      </w:r>
      <w:r w:rsidRPr="000A0981">
        <w:t xml:space="preserve"> tried. Cocopeat recorded the highest rooting (90.01%), clearly outperforming vermiculite (80.38%) and perlite (75.71%). The lowest rooting percentage was observed in perlite, and the differences were statistically significant.</w:t>
      </w:r>
    </w:p>
    <w:p w14:paraId="38CA3ED0" w14:textId="77777777" w:rsidR="000A6553" w:rsidRPr="006D334B" w:rsidRDefault="000A6553" w:rsidP="000A6553">
      <w:pPr>
        <w:pStyle w:val="NormalWeb"/>
        <w:spacing w:line="360" w:lineRule="auto"/>
        <w:jc w:val="both"/>
        <w:rPr>
          <w:rStyle w:val="Strong"/>
        </w:rPr>
      </w:pPr>
      <w:r w:rsidRPr="000A0981">
        <w:rPr>
          <w:rStyle w:val="Strong"/>
        </w:rPr>
        <w:t>4.3. Number of primary roots</w:t>
      </w:r>
      <w:r>
        <w:rPr>
          <w:rStyle w:val="Strong"/>
        </w:rPr>
        <w:t xml:space="preserve"> </w:t>
      </w:r>
      <w:r w:rsidRPr="000A0981">
        <w:rPr>
          <w:rStyle w:val="Strong"/>
        </w:rPr>
        <w:t>÷</w:t>
      </w:r>
    </w:p>
    <w:p w14:paraId="41D88482" w14:textId="77777777" w:rsidR="000A6553" w:rsidRPr="006D334B" w:rsidRDefault="000A6553" w:rsidP="000A6553">
      <w:pPr>
        <w:pStyle w:val="NormalWeb"/>
        <w:spacing w:line="360" w:lineRule="auto"/>
        <w:jc w:val="both"/>
        <w:rPr>
          <w:b/>
          <w:bCs/>
        </w:rPr>
      </w:pPr>
      <w:r w:rsidRPr="000A0981">
        <w:t>The number of primary roots differed notably across treatments. Cocopeat produced the highest number (30.50) of primary roots, which was considerably greater than vermiculite (23.35) and perlite (15.38) in leafy shoots of guava rootstock under the influence of IBA treatment. Perlite showed the lowest number of primary roots (15.38) with similar treatment and environment conditions.</w:t>
      </w:r>
    </w:p>
    <w:p w14:paraId="2A604BFD" w14:textId="77777777" w:rsidR="000A6553" w:rsidRPr="006D334B" w:rsidRDefault="000A6553" w:rsidP="000A6553">
      <w:pPr>
        <w:pStyle w:val="NormalWeb"/>
        <w:spacing w:line="360" w:lineRule="auto"/>
        <w:jc w:val="both"/>
        <w:rPr>
          <w:rStyle w:val="Strong"/>
        </w:rPr>
      </w:pPr>
      <w:r w:rsidRPr="000A0981">
        <w:rPr>
          <w:rStyle w:val="Strong"/>
        </w:rPr>
        <w:lastRenderedPageBreak/>
        <w:t>4.4. Number of secondary roots ÷</w:t>
      </w:r>
    </w:p>
    <w:p w14:paraId="4B4FFDCE" w14:textId="77777777" w:rsidR="000A6553" w:rsidRPr="006D334B" w:rsidRDefault="000A6553" w:rsidP="000A6553">
      <w:pPr>
        <w:pStyle w:val="NormalWeb"/>
        <w:spacing w:line="360" w:lineRule="auto"/>
        <w:jc w:val="both"/>
        <w:rPr>
          <w:b/>
          <w:bCs/>
        </w:rPr>
      </w:pPr>
      <w:r w:rsidRPr="000A0981">
        <w:t>A significant variation was also observed in the number of secondary roots produced at the end of leafy cutting of guava rootstock when exposed to IBA 1000ppm. Out of 3 different potting mix tried, Cocopeat resulted in the maximum number (91.49) of secondary root, followed by vermiculite (76.02) and perlite (72.26) under similar concentration of IBA and environmental conditions.</w:t>
      </w:r>
    </w:p>
    <w:p w14:paraId="56C899F5" w14:textId="77777777" w:rsidR="000A6553" w:rsidRDefault="000A6553" w:rsidP="000A6553">
      <w:pPr>
        <w:pStyle w:val="NormalWeb"/>
        <w:spacing w:line="360" w:lineRule="auto"/>
        <w:jc w:val="both"/>
        <w:rPr>
          <w:rStyle w:val="Strong"/>
        </w:rPr>
      </w:pPr>
      <w:r w:rsidRPr="000A0981">
        <w:rPr>
          <w:rStyle w:val="Strong"/>
        </w:rPr>
        <w:t>4.5. Length of primary roots (cm) ÷</w:t>
      </w:r>
    </w:p>
    <w:p w14:paraId="68C728D7" w14:textId="77777777" w:rsidR="000A6553" w:rsidRPr="006D334B" w:rsidRDefault="000A6553" w:rsidP="000A6553">
      <w:pPr>
        <w:pStyle w:val="NormalWeb"/>
        <w:spacing w:line="360" w:lineRule="auto"/>
        <w:jc w:val="both"/>
        <w:rPr>
          <w:b/>
          <w:bCs/>
        </w:rPr>
      </w:pPr>
      <w:r w:rsidRPr="000A0981">
        <w:t>Primary root length showed clear differences in different media. The longest roots were obtained in cocopeat (15.87 cm), followed by vermiculite (10.17 cm), while the shortest roots were found in perlite (6.56 cm). These differences were statistically significant.</w:t>
      </w:r>
    </w:p>
    <w:p w14:paraId="3B769BF8" w14:textId="77777777" w:rsidR="000A6553" w:rsidRPr="006D334B" w:rsidRDefault="000A6553" w:rsidP="000A6553">
      <w:pPr>
        <w:pStyle w:val="NormalWeb"/>
        <w:spacing w:line="360" w:lineRule="auto"/>
        <w:rPr>
          <w:b/>
          <w:bCs/>
        </w:rPr>
      </w:pPr>
      <w:r w:rsidRPr="000A0981">
        <w:rPr>
          <w:rStyle w:val="Strong"/>
        </w:rPr>
        <w:t>4.6. Diameter of primary roots (mm) ÷</w:t>
      </w:r>
      <w:r w:rsidRPr="000A0981">
        <w:br/>
        <w:t>The diameter of primary roots was highest in cocopeat (1.37 mm), followed by vermiculite (1.00 mm), and lowest in perlite (0.66 mm). The variation among treatments was significant, indicating the superiority of cocopeat for this parameter.</w:t>
      </w:r>
    </w:p>
    <w:p w14:paraId="504A4718" w14:textId="304C69D5" w:rsidR="000A6553" w:rsidRPr="006D334B" w:rsidRDefault="000A6553" w:rsidP="000A6553">
      <w:pPr>
        <w:pStyle w:val="NormalWeb"/>
        <w:spacing w:line="360" w:lineRule="auto"/>
        <w:jc w:val="both"/>
      </w:pPr>
      <w:r w:rsidRPr="000A0981">
        <w:rPr>
          <w:rFonts w:eastAsia="Calibri"/>
          <w:spacing w:val="6"/>
        </w:rPr>
        <w:t xml:space="preserve">The data collected and analyzed during course of investigation revealed that </w:t>
      </w:r>
      <w:r w:rsidRPr="000A0981">
        <w:t xml:space="preserve">exogenous application of auxins played a pivotal role in the rooting process of vegetative propagules. In the present investigation, higher concentrations of IBA (1000 and 1500 ppm) resulted in better rooting compared to lower concentrations, indicating a positive correlation between auxin level and rooting response. This may be due to the adequate availability of auxin at higher concentrations, which enhances cambial activity and promotes the initiation of root primordia. </w:t>
      </w:r>
      <w:commentRangeStart w:id="20"/>
      <w:r w:rsidRPr="000A0981">
        <w:t xml:space="preserve">Similar findings have been reported in guava by Rani </w:t>
      </w:r>
      <w:r w:rsidRPr="000A0981">
        <w:rPr>
          <w:i/>
        </w:rPr>
        <w:t>et al.</w:t>
      </w:r>
      <w:r w:rsidRPr="000A0981">
        <w:t xml:space="preserve"> (2018), </w:t>
      </w:r>
      <w:proofErr w:type="spellStart"/>
      <w:r w:rsidRPr="000A0981">
        <w:t>Rajamanickam</w:t>
      </w:r>
      <w:proofErr w:type="spellEnd"/>
      <w:r w:rsidRPr="000A0981">
        <w:t xml:space="preserve"> </w:t>
      </w:r>
      <w:r w:rsidRPr="000A0981">
        <w:rPr>
          <w:i/>
        </w:rPr>
        <w:t>et al.</w:t>
      </w:r>
      <w:r w:rsidRPr="000A0981">
        <w:t xml:space="preserve"> (2021), Kumar </w:t>
      </w:r>
      <w:r w:rsidRPr="000A0981">
        <w:rPr>
          <w:i/>
        </w:rPr>
        <w:t xml:space="preserve">et al. </w:t>
      </w:r>
      <w:r w:rsidRPr="000A0981">
        <w:t xml:space="preserve">(2023), </w:t>
      </w:r>
      <w:proofErr w:type="spellStart"/>
      <w:r w:rsidRPr="000A0981">
        <w:t>Bhusari</w:t>
      </w:r>
      <w:proofErr w:type="spellEnd"/>
      <w:r w:rsidRPr="000A0981">
        <w:t xml:space="preserve"> </w:t>
      </w:r>
      <w:r w:rsidRPr="000A0981">
        <w:rPr>
          <w:i/>
        </w:rPr>
        <w:t>et al.</w:t>
      </w:r>
      <w:r w:rsidRPr="000A0981">
        <w:t xml:space="preserve"> (2023), and Ahmad and Sajid (2025), as well as in pomegranate (</w:t>
      </w:r>
      <w:proofErr w:type="spellStart"/>
      <w:r w:rsidRPr="000A0981">
        <w:t>Tanwar</w:t>
      </w:r>
      <w:proofErr w:type="spellEnd"/>
      <w:r w:rsidRPr="000A0981">
        <w:t xml:space="preserve"> </w:t>
      </w:r>
      <w:r w:rsidRPr="000A0981">
        <w:rPr>
          <w:i/>
        </w:rPr>
        <w:t>et al.,</w:t>
      </w:r>
      <w:r w:rsidRPr="000A0981">
        <w:t xml:space="preserve"> 2020), fig (Patel and Patel, 2018), and </w:t>
      </w:r>
      <w:proofErr w:type="spellStart"/>
      <w:r w:rsidRPr="000A0981">
        <w:t>phalsa</w:t>
      </w:r>
      <w:proofErr w:type="spellEnd"/>
      <w:r w:rsidRPr="000A0981">
        <w:t xml:space="preserve"> </w:t>
      </w:r>
      <w:commentRangeEnd w:id="20"/>
      <w:r w:rsidR="004216C2">
        <w:rPr>
          <w:rStyle w:val="CommentReference"/>
          <w:rFonts w:asciiTheme="minorHAnsi" w:eastAsiaTheme="minorEastAsia" w:hAnsiTheme="minorHAnsi" w:cstheme="minorBidi"/>
        </w:rPr>
        <w:commentReference w:id="20"/>
      </w:r>
      <w:r w:rsidRPr="000A0981">
        <w:t>(</w:t>
      </w:r>
      <w:proofErr w:type="spellStart"/>
      <w:r w:rsidRPr="000A0981">
        <w:t>Ghosh</w:t>
      </w:r>
      <w:proofErr w:type="spellEnd"/>
      <w:r w:rsidRPr="000A0981">
        <w:t xml:space="preserve"> </w:t>
      </w:r>
      <w:r w:rsidRPr="000A0981">
        <w:rPr>
          <w:i/>
        </w:rPr>
        <w:t>et al.,</w:t>
      </w:r>
      <w:r w:rsidRPr="000A0981">
        <w:t xml:space="preserve"> 2017), all of whom observed improved rooting percentage, number of primary and secondary roots, root length, and root diameter, along with minimum days required for callus formation with increased IBA concentrations.</w:t>
      </w:r>
    </w:p>
    <w:p w14:paraId="4C9640EE" w14:textId="77777777" w:rsidR="000A6553" w:rsidRPr="006D334B" w:rsidRDefault="000A6553" w:rsidP="000A6553">
      <w:pPr>
        <w:pStyle w:val="NormalWeb"/>
        <w:spacing w:line="360" w:lineRule="auto"/>
        <w:jc w:val="both"/>
      </w:pPr>
      <w:r w:rsidRPr="000A0981">
        <w:lastRenderedPageBreak/>
        <w:t xml:space="preserve">The results further revealed that rooting media had a significant influence on rooting characteristics. Cocopeat proved to be the most effective medium, recording the highest rooting percentage, number of primary and secondary roots, root length, and root diameter, along with minimum days required for callus formation. This was followed by vermiculite, whereas perlite showed comparatively lower performance. The superiority of cocopeat can be attributed to its excellent moisture retention, good aeration, and favorable physical structure, which collectively create an ideal environment for root initiation and development. Vermiculite, although efficient in retaining water and nutrients, provides moderate aeration, while perlite, despite offering good aeration, has relatively poor water-holding capacity, thereby limiting root growth. These observations are in agreement with earlier studies conducted by Hosseini </w:t>
      </w:r>
      <w:r w:rsidRPr="000A0981">
        <w:rPr>
          <w:i/>
        </w:rPr>
        <w:t>et al.</w:t>
      </w:r>
      <w:r w:rsidRPr="000A0981">
        <w:t xml:space="preserve"> (2004), </w:t>
      </w:r>
      <w:proofErr w:type="spellStart"/>
      <w:r w:rsidRPr="000A0981">
        <w:t>Swetha</w:t>
      </w:r>
      <w:proofErr w:type="spellEnd"/>
      <w:r w:rsidRPr="000A0981">
        <w:t xml:space="preserve">, (2005) and </w:t>
      </w:r>
      <w:proofErr w:type="spellStart"/>
      <w:r w:rsidRPr="000A0981">
        <w:t>Khayyat</w:t>
      </w:r>
      <w:proofErr w:type="spellEnd"/>
      <w:r w:rsidRPr="000A0981">
        <w:t xml:space="preserve"> </w:t>
      </w:r>
      <w:r w:rsidRPr="000A0981">
        <w:rPr>
          <w:i/>
        </w:rPr>
        <w:t>et al.</w:t>
      </w:r>
      <w:r w:rsidRPr="000A0981">
        <w:t xml:space="preserve"> (2007), who also reported improved rooting and plant growth in cocopeat-based media.</w:t>
      </w:r>
    </w:p>
    <w:p w14:paraId="3B45C2CD" w14:textId="77777777" w:rsidR="000A6553" w:rsidRPr="006D334B" w:rsidRDefault="000A6553" w:rsidP="000A6553">
      <w:pPr>
        <w:spacing w:line="360" w:lineRule="auto"/>
        <w:jc w:val="both"/>
        <w:rPr>
          <w:rFonts w:ascii="Times New Roman" w:hAnsi="Times New Roman" w:cs="Times New Roman"/>
          <w:b/>
          <w:sz w:val="24"/>
          <w:szCs w:val="24"/>
          <w:lang w:val="en-IN"/>
        </w:rPr>
      </w:pPr>
      <w:r w:rsidRPr="000A0981">
        <w:rPr>
          <w:rFonts w:ascii="Times New Roman" w:hAnsi="Times New Roman" w:cs="Times New Roman"/>
          <w:b/>
          <w:sz w:val="24"/>
          <w:szCs w:val="24"/>
          <w:lang w:val="en-IN"/>
        </w:rPr>
        <w:t>Table 2. – Effect of potting median on regeneration of leafy shoot cutting÷</w:t>
      </w:r>
    </w:p>
    <w:tbl>
      <w:tblPr>
        <w:tblStyle w:val="TableGrid"/>
        <w:tblW w:w="0" w:type="auto"/>
        <w:tblLook w:val="04A0" w:firstRow="1" w:lastRow="0" w:firstColumn="1" w:lastColumn="0" w:noHBand="0" w:noVBand="1"/>
      </w:tblPr>
      <w:tblGrid>
        <w:gridCol w:w="1367"/>
        <w:gridCol w:w="1314"/>
        <w:gridCol w:w="1272"/>
        <w:gridCol w:w="1284"/>
        <w:gridCol w:w="1336"/>
        <w:gridCol w:w="1321"/>
        <w:gridCol w:w="1348"/>
      </w:tblGrid>
      <w:tr w:rsidR="000A6553" w:rsidRPr="006D334B" w14:paraId="0B00FD20" w14:textId="77777777" w:rsidTr="004168B3">
        <w:tc>
          <w:tcPr>
            <w:tcW w:w="1367" w:type="dxa"/>
          </w:tcPr>
          <w:p w14:paraId="7E4F123A" w14:textId="77777777" w:rsidR="000A6553" w:rsidRPr="006D334B" w:rsidRDefault="000A6553" w:rsidP="004168B3">
            <w:pPr>
              <w:jc w:val="center"/>
              <w:rPr>
                <w:rFonts w:ascii="Times New Roman" w:hAnsi="Times New Roman" w:cs="Times New Roman"/>
                <w:b/>
                <w:color w:val="000000"/>
                <w:sz w:val="24"/>
                <w:szCs w:val="24"/>
              </w:rPr>
            </w:pPr>
            <w:r w:rsidRPr="006D334B">
              <w:rPr>
                <w:rFonts w:ascii="Times New Roman" w:hAnsi="Times New Roman" w:cs="Times New Roman"/>
                <w:b/>
                <w:color w:val="000000"/>
                <w:sz w:val="24"/>
                <w:szCs w:val="24"/>
              </w:rPr>
              <w:t>Treatment</w:t>
            </w:r>
          </w:p>
        </w:tc>
        <w:tc>
          <w:tcPr>
            <w:tcW w:w="1314" w:type="dxa"/>
          </w:tcPr>
          <w:p w14:paraId="3A7B4085"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272" w:type="dxa"/>
          </w:tcPr>
          <w:p w14:paraId="2566F520"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14:paraId="79D6990C"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284" w:type="dxa"/>
          </w:tcPr>
          <w:p w14:paraId="38BA6C0D"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336" w:type="dxa"/>
          </w:tcPr>
          <w:p w14:paraId="62D010F4"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321" w:type="dxa"/>
          </w:tcPr>
          <w:p w14:paraId="63273F7F"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48" w:type="dxa"/>
          </w:tcPr>
          <w:p w14:paraId="73BBE9B0"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0A6553" w:rsidRPr="006D334B" w14:paraId="2CB553C6" w14:textId="77777777" w:rsidTr="004168B3">
        <w:tc>
          <w:tcPr>
            <w:tcW w:w="1367" w:type="dxa"/>
          </w:tcPr>
          <w:p w14:paraId="3FFB7597" w14:textId="77777777"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Cocopeat</w:t>
            </w:r>
          </w:p>
        </w:tc>
        <w:tc>
          <w:tcPr>
            <w:tcW w:w="1314" w:type="dxa"/>
            <w:vAlign w:val="bottom"/>
          </w:tcPr>
          <w:p w14:paraId="2CDAE7D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17.34</w:t>
            </w:r>
          </w:p>
        </w:tc>
        <w:tc>
          <w:tcPr>
            <w:tcW w:w="1272" w:type="dxa"/>
            <w:vAlign w:val="bottom"/>
          </w:tcPr>
          <w:p w14:paraId="64FCEF9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90.01</w:t>
            </w:r>
          </w:p>
        </w:tc>
        <w:tc>
          <w:tcPr>
            <w:tcW w:w="1284" w:type="dxa"/>
            <w:vAlign w:val="bottom"/>
          </w:tcPr>
          <w:p w14:paraId="5680F89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30.50</w:t>
            </w:r>
          </w:p>
        </w:tc>
        <w:tc>
          <w:tcPr>
            <w:tcW w:w="1336" w:type="dxa"/>
            <w:vAlign w:val="bottom"/>
          </w:tcPr>
          <w:p w14:paraId="2CCE3058"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91.49</w:t>
            </w:r>
          </w:p>
        </w:tc>
        <w:tc>
          <w:tcPr>
            <w:tcW w:w="1321" w:type="dxa"/>
            <w:vAlign w:val="bottom"/>
          </w:tcPr>
          <w:p w14:paraId="7D21783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15.87</w:t>
            </w:r>
          </w:p>
        </w:tc>
        <w:tc>
          <w:tcPr>
            <w:tcW w:w="1348" w:type="dxa"/>
            <w:vAlign w:val="bottom"/>
          </w:tcPr>
          <w:p w14:paraId="080E6E9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1.37</w:t>
            </w:r>
          </w:p>
        </w:tc>
      </w:tr>
      <w:tr w:rsidR="000A6553" w:rsidRPr="006D334B" w14:paraId="230C5669" w14:textId="77777777" w:rsidTr="004168B3">
        <w:tc>
          <w:tcPr>
            <w:tcW w:w="1367" w:type="dxa"/>
          </w:tcPr>
          <w:p w14:paraId="435BA041" w14:textId="77777777"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Perlite</w:t>
            </w:r>
          </w:p>
        </w:tc>
        <w:tc>
          <w:tcPr>
            <w:tcW w:w="1314" w:type="dxa"/>
            <w:vAlign w:val="bottom"/>
          </w:tcPr>
          <w:p w14:paraId="2D1FC8D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23.75</w:t>
            </w:r>
          </w:p>
        </w:tc>
        <w:tc>
          <w:tcPr>
            <w:tcW w:w="1272" w:type="dxa"/>
            <w:vAlign w:val="bottom"/>
          </w:tcPr>
          <w:p w14:paraId="376890CF"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75.71</w:t>
            </w:r>
          </w:p>
        </w:tc>
        <w:tc>
          <w:tcPr>
            <w:tcW w:w="1284" w:type="dxa"/>
            <w:vAlign w:val="bottom"/>
          </w:tcPr>
          <w:p w14:paraId="4188319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15.38</w:t>
            </w:r>
          </w:p>
        </w:tc>
        <w:tc>
          <w:tcPr>
            <w:tcW w:w="1336" w:type="dxa"/>
            <w:vAlign w:val="bottom"/>
          </w:tcPr>
          <w:p w14:paraId="20E31FE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72.26</w:t>
            </w:r>
          </w:p>
        </w:tc>
        <w:tc>
          <w:tcPr>
            <w:tcW w:w="1321" w:type="dxa"/>
            <w:vAlign w:val="bottom"/>
          </w:tcPr>
          <w:p w14:paraId="444BEE02"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6.56</w:t>
            </w:r>
          </w:p>
        </w:tc>
        <w:tc>
          <w:tcPr>
            <w:tcW w:w="1348" w:type="dxa"/>
            <w:vAlign w:val="bottom"/>
          </w:tcPr>
          <w:p w14:paraId="2FF69DB1"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0.66</w:t>
            </w:r>
          </w:p>
        </w:tc>
      </w:tr>
      <w:tr w:rsidR="000A6553" w:rsidRPr="006D334B" w14:paraId="1D9C8959" w14:textId="77777777" w:rsidTr="004168B3">
        <w:tc>
          <w:tcPr>
            <w:tcW w:w="1367" w:type="dxa"/>
          </w:tcPr>
          <w:p w14:paraId="2B5BBC15" w14:textId="77777777"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Vermiculite</w:t>
            </w:r>
          </w:p>
        </w:tc>
        <w:tc>
          <w:tcPr>
            <w:tcW w:w="1314" w:type="dxa"/>
            <w:vAlign w:val="bottom"/>
          </w:tcPr>
          <w:p w14:paraId="794B4578"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20.40</w:t>
            </w:r>
          </w:p>
        </w:tc>
        <w:tc>
          <w:tcPr>
            <w:tcW w:w="1272" w:type="dxa"/>
            <w:vAlign w:val="bottom"/>
          </w:tcPr>
          <w:p w14:paraId="57B5169C"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80.38</w:t>
            </w:r>
          </w:p>
        </w:tc>
        <w:tc>
          <w:tcPr>
            <w:tcW w:w="1284" w:type="dxa"/>
            <w:vAlign w:val="bottom"/>
          </w:tcPr>
          <w:p w14:paraId="59314EFD"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23.35</w:t>
            </w:r>
          </w:p>
        </w:tc>
        <w:tc>
          <w:tcPr>
            <w:tcW w:w="1336" w:type="dxa"/>
            <w:vAlign w:val="bottom"/>
          </w:tcPr>
          <w:p w14:paraId="53B0247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76.02</w:t>
            </w:r>
          </w:p>
        </w:tc>
        <w:tc>
          <w:tcPr>
            <w:tcW w:w="1321" w:type="dxa"/>
            <w:vAlign w:val="bottom"/>
          </w:tcPr>
          <w:p w14:paraId="2773B9E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10.17</w:t>
            </w:r>
          </w:p>
        </w:tc>
        <w:tc>
          <w:tcPr>
            <w:tcW w:w="1348" w:type="dxa"/>
            <w:vAlign w:val="bottom"/>
          </w:tcPr>
          <w:p w14:paraId="1DB0AAF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1.00</w:t>
            </w:r>
          </w:p>
        </w:tc>
      </w:tr>
      <w:tr w:rsidR="000A6553" w:rsidRPr="006D334B" w14:paraId="6F82D857" w14:textId="77777777" w:rsidTr="004168B3">
        <w:tc>
          <w:tcPr>
            <w:tcW w:w="1367" w:type="dxa"/>
          </w:tcPr>
          <w:p w14:paraId="194DE238" w14:textId="77777777"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hAnsi="Times New Roman" w:cs="Times New Roman"/>
                <w:sz w:val="24"/>
                <w:szCs w:val="24"/>
              </w:rPr>
              <w:t>SE(m±)</w:t>
            </w:r>
          </w:p>
        </w:tc>
        <w:tc>
          <w:tcPr>
            <w:tcW w:w="1314" w:type="dxa"/>
          </w:tcPr>
          <w:p w14:paraId="5BEC2B60"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0.21</w:t>
            </w:r>
          </w:p>
        </w:tc>
        <w:tc>
          <w:tcPr>
            <w:tcW w:w="1272" w:type="dxa"/>
          </w:tcPr>
          <w:p w14:paraId="0E48E21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0.75</w:t>
            </w:r>
          </w:p>
        </w:tc>
        <w:tc>
          <w:tcPr>
            <w:tcW w:w="1284" w:type="dxa"/>
          </w:tcPr>
          <w:p w14:paraId="1D16222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0.28</w:t>
            </w:r>
          </w:p>
        </w:tc>
        <w:tc>
          <w:tcPr>
            <w:tcW w:w="1336" w:type="dxa"/>
          </w:tcPr>
          <w:p w14:paraId="75295343"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0.68</w:t>
            </w:r>
          </w:p>
        </w:tc>
        <w:tc>
          <w:tcPr>
            <w:tcW w:w="1321" w:type="dxa"/>
          </w:tcPr>
          <w:p w14:paraId="4D6C1F6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c>
          <w:tcPr>
            <w:tcW w:w="1348" w:type="dxa"/>
          </w:tcPr>
          <w:p w14:paraId="47FDD28A"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r>
      <w:tr w:rsidR="000A6553" w:rsidRPr="006D334B" w14:paraId="2C6B6F4A" w14:textId="77777777" w:rsidTr="004168B3">
        <w:tc>
          <w:tcPr>
            <w:tcW w:w="1367" w:type="dxa"/>
          </w:tcPr>
          <w:p w14:paraId="09B26424" w14:textId="77777777"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eastAsia="Times New Roman" w:hAnsi="Times New Roman" w:cs="Times New Roman"/>
                <w:bCs/>
                <w:color w:val="000000"/>
                <w:sz w:val="24"/>
                <w:szCs w:val="24"/>
              </w:rPr>
              <w:t>CD (0.05)</w:t>
            </w:r>
          </w:p>
        </w:tc>
        <w:tc>
          <w:tcPr>
            <w:tcW w:w="1314" w:type="dxa"/>
          </w:tcPr>
          <w:p w14:paraId="1BB86729" w14:textId="77777777"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0A0981">
              <w:rPr>
                <w:rFonts w:ascii="Times New Roman" w:eastAsia="Times New Roman" w:hAnsi="Times New Roman" w:cs="Times New Roman"/>
                <w:color w:val="000000" w:themeColor="text1"/>
                <w:sz w:val="24"/>
                <w:szCs w:val="24"/>
              </w:rPr>
              <w:t>0.65</w:t>
            </w:r>
          </w:p>
        </w:tc>
        <w:tc>
          <w:tcPr>
            <w:tcW w:w="1272" w:type="dxa"/>
          </w:tcPr>
          <w:p w14:paraId="0C5A5E93"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2.31</w:t>
            </w:r>
          </w:p>
        </w:tc>
        <w:tc>
          <w:tcPr>
            <w:tcW w:w="1284" w:type="dxa"/>
          </w:tcPr>
          <w:p w14:paraId="01EAD63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0.85</w:t>
            </w:r>
          </w:p>
        </w:tc>
        <w:tc>
          <w:tcPr>
            <w:tcW w:w="1336" w:type="dxa"/>
          </w:tcPr>
          <w:p w14:paraId="2929BBC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2.11</w:t>
            </w:r>
          </w:p>
        </w:tc>
        <w:tc>
          <w:tcPr>
            <w:tcW w:w="1321" w:type="dxa"/>
          </w:tcPr>
          <w:p w14:paraId="41157E10"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c>
          <w:tcPr>
            <w:tcW w:w="1348" w:type="dxa"/>
          </w:tcPr>
          <w:p w14:paraId="70920234"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r>
    </w:tbl>
    <w:p w14:paraId="30994107" w14:textId="77777777" w:rsidR="00537714" w:rsidRDefault="00537714" w:rsidP="000A6553">
      <w:pPr>
        <w:rPr>
          <w:rFonts w:ascii="Times New Roman" w:hAnsi="Times New Roman" w:cs="Times New Roman"/>
          <w:b/>
          <w:sz w:val="24"/>
          <w:szCs w:val="24"/>
          <w:lang w:val="en-IN"/>
        </w:rPr>
      </w:pPr>
    </w:p>
    <w:p w14:paraId="0260668A" w14:textId="77777777" w:rsidR="00537714" w:rsidRDefault="00537714" w:rsidP="000A6553">
      <w:pPr>
        <w:rPr>
          <w:rFonts w:ascii="Times New Roman" w:hAnsi="Times New Roman" w:cs="Times New Roman"/>
          <w:b/>
          <w:sz w:val="24"/>
          <w:szCs w:val="24"/>
          <w:lang w:val="en-IN"/>
        </w:rPr>
      </w:pPr>
    </w:p>
    <w:p w14:paraId="474A6A10" w14:textId="77777777" w:rsidR="000A6553" w:rsidRPr="006D334B" w:rsidRDefault="000A6553" w:rsidP="000A6553">
      <w:pPr>
        <w:rPr>
          <w:rFonts w:ascii="Times New Roman" w:hAnsi="Times New Roman" w:cs="Times New Roman"/>
          <w:b/>
          <w:sz w:val="24"/>
          <w:szCs w:val="24"/>
          <w:lang w:val="en-IN"/>
        </w:rPr>
      </w:pPr>
      <w:commentRangeStart w:id="21"/>
      <w:r w:rsidRPr="000A0981">
        <w:rPr>
          <w:rFonts w:ascii="Times New Roman" w:hAnsi="Times New Roman" w:cs="Times New Roman"/>
          <w:b/>
          <w:sz w:val="24"/>
          <w:szCs w:val="24"/>
          <w:lang w:val="en-IN"/>
        </w:rPr>
        <w:t xml:space="preserve">Conclusion </w:t>
      </w:r>
      <w:commentRangeEnd w:id="21"/>
      <w:r w:rsidR="007428A8">
        <w:rPr>
          <w:rStyle w:val="CommentReference"/>
        </w:rPr>
        <w:commentReference w:id="21"/>
      </w:r>
      <w:r w:rsidRPr="000A0981">
        <w:rPr>
          <w:rFonts w:ascii="Times New Roman" w:hAnsi="Times New Roman" w:cs="Times New Roman"/>
          <w:b/>
          <w:sz w:val="24"/>
          <w:szCs w:val="24"/>
          <w:lang w:val="en-IN"/>
        </w:rPr>
        <w:t>÷</w:t>
      </w:r>
    </w:p>
    <w:p w14:paraId="0CD3CEEB" w14:textId="77777777" w:rsidR="000A6553" w:rsidRPr="006D334B" w:rsidRDefault="000A6553" w:rsidP="000A6553">
      <w:pPr>
        <w:pStyle w:val="NormalWeb"/>
        <w:spacing w:line="360" w:lineRule="auto"/>
        <w:jc w:val="both"/>
      </w:pPr>
      <w:r w:rsidRPr="006D334B">
        <w:t xml:space="preserve">Based on the results obtained, it can be </w:t>
      </w:r>
      <w:r w:rsidRPr="000A0981">
        <w:t xml:space="preserve">concluded that both IBA concentration and rooting media play a crucial role in influencing rooting and root development in guava cuttings. Among the different IBA levels, 1000 ppm proved to be the most effective concentration, consistently </w:t>
      </w:r>
      <w:r w:rsidRPr="000A0981">
        <w:lastRenderedPageBreak/>
        <w:t>recording the highest rooting percentage, number of primary and secondary roots, and root length, thereby indicating it as the optimum level for promoting root initiation and growth. Although 1500 ppm also showed improved performance compared to lower concentrations, it was comparatively less effective than 1000 ppm, while the lowest concentration (700 ppm) resulted in poor rooting response. With respect to rooting media, cocopeat emerged as the most suitable medium, exhibiting superior performance across all parameters, including earliest callus formation, highest rooting percentage, and better root growth characteristics. Vermiculite showed moderate results, whereas perlite was found to be the least effective medium. The enhanced performance of cocopeat can be attributed to its favorable physical properties, such as high moisture retention, good aeration, and optimal support for root development. Overall, the combination of 1000 ppm IBA with cocopeat as a rooting medium can be recommended as the most effective treatment for achieving better rooting success and root quality in guava propagation.</w:t>
      </w:r>
    </w:p>
    <w:p w14:paraId="34B5D574" w14:textId="77777777" w:rsidR="000A6553" w:rsidRPr="000A6553" w:rsidRDefault="000A6553" w:rsidP="000A6553">
      <w:pPr>
        <w:rPr>
          <w:rFonts w:ascii="Times New Roman" w:hAnsi="Times New Roman" w:cs="Times New Roman"/>
          <w:b/>
          <w:sz w:val="24"/>
          <w:szCs w:val="24"/>
          <w:lang w:val="en-IN"/>
        </w:rPr>
      </w:pPr>
      <w:r w:rsidRPr="000A0981">
        <w:rPr>
          <w:rFonts w:ascii="Times New Roman" w:hAnsi="Times New Roman" w:cs="Times New Roman"/>
          <w:b/>
          <w:sz w:val="24"/>
          <w:szCs w:val="24"/>
          <w:lang w:val="en-IN"/>
        </w:rPr>
        <w:t>References ÷</w:t>
      </w:r>
    </w:p>
    <w:p w14:paraId="3ECA92F1"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Ahmad, Z. and Sajid, M. (2025). Propagation of guava stem cuttings through different concentrations of indole butyric acid. </w:t>
      </w:r>
      <w:proofErr w:type="spellStart"/>
      <w:r w:rsidRPr="000A6553">
        <w:rPr>
          <w:rFonts w:ascii="Times New Roman" w:hAnsi="Times New Roman" w:cs="Times New Roman"/>
          <w:i/>
          <w:iCs/>
          <w:color w:val="222222"/>
          <w:sz w:val="24"/>
          <w:szCs w:val="24"/>
          <w:shd w:val="clear" w:color="auto" w:fill="FFFFFF"/>
          <w:lang w:val="en-IN"/>
        </w:rPr>
        <w:t>Sarhad</w:t>
      </w:r>
      <w:proofErr w:type="spellEnd"/>
      <w:r w:rsidRPr="000A6553">
        <w:rPr>
          <w:rFonts w:ascii="Times New Roman" w:hAnsi="Times New Roman" w:cs="Times New Roman"/>
          <w:i/>
          <w:iCs/>
          <w:color w:val="222222"/>
          <w:sz w:val="24"/>
          <w:szCs w:val="24"/>
          <w:shd w:val="clear" w:color="auto" w:fill="FFFFFF"/>
          <w:lang w:val="en-IN"/>
        </w:rPr>
        <w:t xml:space="preserve"> Journal of Agriculture, 41</w:t>
      </w:r>
      <w:r w:rsidRPr="000A6553">
        <w:rPr>
          <w:rFonts w:ascii="Times New Roman" w:hAnsi="Times New Roman" w:cs="Times New Roman"/>
          <w:color w:val="222222"/>
          <w:sz w:val="24"/>
          <w:szCs w:val="24"/>
          <w:shd w:val="clear" w:color="auto" w:fill="FFFFFF"/>
          <w:lang w:val="en-IN"/>
        </w:rPr>
        <w:t>(2), 628–636.</w:t>
      </w:r>
    </w:p>
    <w:p w14:paraId="7C73EC2F"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Ali, Y. (2018). Rooting and survival percentage in guava (</w:t>
      </w:r>
      <w:proofErr w:type="spellStart"/>
      <w:r w:rsidRPr="000A6553">
        <w:rPr>
          <w:rFonts w:ascii="Times New Roman" w:hAnsi="Times New Roman" w:cs="Times New Roman"/>
          <w:i/>
          <w:iCs/>
          <w:color w:val="222222"/>
          <w:sz w:val="24"/>
          <w:szCs w:val="24"/>
          <w:shd w:val="clear" w:color="auto" w:fill="FFFFFF"/>
          <w:lang w:val="en-IN"/>
        </w:rPr>
        <w:t>Psidium</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cuttings and its response to different IBA concentrations. </w:t>
      </w:r>
      <w:r w:rsidRPr="000A6553">
        <w:rPr>
          <w:rFonts w:ascii="Times New Roman" w:hAnsi="Times New Roman" w:cs="Times New Roman"/>
          <w:i/>
          <w:iCs/>
          <w:color w:val="222222"/>
          <w:sz w:val="24"/>
          <w:szCs w:val="24"/>
          <w:shd w:val="clear" w:color="auto" w:fill="FFFFFF"/>
          <w:lang w:val="en-IN"/>
        </w:rPr>
        <w:t>International Journal of Advanced Research and Review, 3</w:t>
      </w:r>
      <w:r w:rsidRPr="000A6553">
        <w:rPr>
          <w:rFonts w:ascii="Times New Roman" w:hAnsi="Times New Roman" w:cs="Times New Roman"/>
          <w:color w:val="222222"/>
          <w:sz w:val="24"/>
          <w:szCs w:val="24"/>
          <w:shd w:val="clear" w:color="auto" w:fill="FFFFFF"/>
          <w:lang w:val="en-IN"/>
        </w:rPr>
        <w:t>(1), 55–58.</w:t>
      </w:r>
    </w:p>
    <w:p w14:paraId="0638AF9A" w14:textId="77777777"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Bhusari</w:t>
      </w:r>
      <w:proofErr w:type="spellEnd"/>
      <w:r w:rsidRPr="000A0981">
        <w:rPr>
          <w:color w:val="000000" w:themeColor="text1"/>
        </w:rPr>
        <w:t xml:space="preserve">, R. M., Patil, S. D., Patil, P. S. and Kumar, A. (2023). Effect of plant growth regulator on softwood cutting of guava cv. Sardar (L-49). </w:t>
      </w:r>
      <w:r w:rsidRPr="000A0981">
        <w:rPr>
          <w:rStyle w:val="Emphasis"/>
          <w:rFonts w:eastAsia="Calibri"/>
          <w:color w:val="000000" w:themeColor="text1"/>
        </w:rPr>
        <w:t>The Pharma Innovation Journal, 12</w:t>
      </w:r>
      <w:r w:rsidRPr="000A0981">
        <w:rPr>
          <w:color w:val="000000" w:themeColor="text1"/>
        </w:rPr>
        <w:t>(12), 2845–2849.</w:t>
      </w:r>
    </w:p>
    <w:p w14:paraId="47B56968"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proofErr w:type="spellStart"/>
      <w:r w:rsidRPr="000A6553">
        <w:rPr>
          <w:rFonts w:ascii="Times New Roman" w:hAnsi="Times New Roman" w:cs="Times New Roman"/>
          <w:color w:val="222222"/>
          <w:sz w:val="24"/>
          <w:szCs w:val="24"/>
          <w:shd w:val="clear" w:color="auto" w:fill="FFFFFF"/>
          <w:lang w:val="en-IN"/>
        </w:rPr>
        <w:t>Bhusari</w:t>
      </w:r>
      <w:proofErr w:type="spellEnd"/>
      <w:r w:rsidRPr="000A6553">
        <w:rPr>
          <w:rFonts w:ascii="Times New Roman" w:hAnsi="Times New Roman" w:cs="Times New Roman"/>
          <w:color w:val="222222"/>
          <w:sz w:val="24"/>
          <w:szCs w:val="24"/>
          <w:shd w:val="clear" w:color="auto" w:fill="FFFFFF"/>
          <w:lang w:val="en-IN"/>
        </w:rPr>
        <w:t xml:space="preserve">, R. M., Pujari, C. V., Patil, S. D., Patil, R. V. and  Patil, S. R. (2025). Standardization of rooting media and PGR levels for successful softwood cutting propagation in guava (L-49). </w:t>
      </w:r>
      <w:r w:rsidRPr="000A6553">
        <w:rPr>
          <w:rFonts w:ascii="Times New Roman" w:hAnsi="Times New Roman" w:cs="Times New Roman"/>
          <w:i/>
          <w:iCs/>
          <w:color w:val="222222"/>
          <w:sz w:val="24"/>
          <w:szCs w:val="24"/>
          <w:shd w:val="clear" w:color="auto" w:fill="FFFFFF"/>
          <w:lang w:val="en-IN"/>
        </w:rPr>
        <w:t>Plant Archives, 25</w:t>
      </w:r>
      <w:r w:rsidRPr="000A6553">
        <w:rPr>
          <w:rFonts w:ascii="Times New Roman" w:hAnsi="Times New Roman" w:cs="Times New Roman"/>
          <w:color w:val="222222"/>
          <w:sz w:val="24"/>
          <w:szCs w:val="24"/>
          <w:shd w:val="clear" w:color="auto" w:fill="FFFFFF"/>
          <w:lang w:val="en-IN"/>
        </w:rPr>
        <w:t>(2).</w:t>
      </w:r>
    </w:p>
    <w:p w14:paraId="1599990B"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proofErr w:type="spellStart"/>
      <w:r w:rsidRPr="000A6553">
        <w:rPr>
          <w:rFonts w:ascii="Times New Roman" w:hAnsi="Times New Roman" w:cs="Times New Roman"/>
          <w:color w:val="222222"/>
          <w:sz w:val="24"/>
          <w:szCs w:val="24"/>
          <w:shd w:val="clear" w:color="auto" w:fill="FFFFFF"/>
          <w:lang w:val="en-IN"/>
        </w:rPr>
        <w:t>Gavhane</w:t>
      </w:r>
      <w:proofErr w:type="spellEnd"/>
      <w:r w:rsidRPr="000A6553">
        <w:rPr>
          <w:rFonts w:ascii="Times New Roman" w:hAnsi="Times New Roman" w:cs="Times New Roman"/>
          <w:color w:val="222222"/>
          <w:sz w:val="24"/>
          <w:szCs w:val="24"/>
          <w:shd w:val="clear" w:color="auto" w:fill="FFFFFF"/>
          <w:lang w:val="en-IN"/>
        </w:rPr>
        <w:t xml:space="preserve">, A., </w:t>
      </w:r>
      <w:proofErr w:type="spellStart"/>
      <w:r w:rsidRPr="000A6553">
        <w:rPr>
          <w:rFonts w:ascii="Times New Roman" w:hAnsi="Times New Roman" w:cs="Times New Roman"/>
          <w:color w:val="222222"/>
          <w:sz w:val="24"/>
          <w:szCs w:val="24"/>
          <w:shd w:val="clear" w:color="auto" w:fill="FFFFFF"/>
          <w:lang w:val="en-IN"/>
        </w:rPr>
        <w:t>Chopade</w:t>
      </w:r>
      <w:proofErr w:type="spellEnd"/>
      <w:r w:rsidRPr="000A6553">
        <w:rPr>
          <w:rFonts w:ascii="Times New Roman" w:hAnsi="Times New Roman" w:cs="Times New Roman"/>
          <w:color w:val="222222"/>
          <w:sz w:val="24"/>
          <w:szCs w:val="24"/>
          <w:shd w:val="clear" w:color="auto" w:fill="FFFFFF"/>
          <w:lang w:val="en-IN"/>
        </w:rPr>
        <w:t xml:space="preserve">, S., </w:t>
      </w:r>
      <w:proofErr w:type="spellStart"/>
      <w:r w:rsidRPr="000A6553">
        <w:rPr>
          <w:rFonts w:ascii="Times New Roman" w:hAnsi="Times New Roman" w:cs="Times New Roman"/>
          <w:color w:val="222222"/>
          <w:sz w:val="24"/>
          <w:szCs w:val="24"/>
          <w:shd w:val="clear" w:color="auto" w:fill="FFFFFF"/>
          <w:lang w:val="en-IN"/>
        </w:rPr>
        <w:t>Dighe</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Kour</w:t>
      </w:r>
      <w:proofErr w:type="spellEnd"/>
      <w:r w:rsidRPr="000A6553">
        <w:rPr>
          <w:rFonts w:ascii="Times New Roman" w:hAnsi="Times New Roman" w:cs="Times New Roman"/>
          <w:color w:val="222222"/>
          <w:sz w:val="24"/>
          <w:szCs w:val="24"/>
          <w:shd w:val="clear" w:color="auto" w:fill="FFFFFF"/>
          <w:lang w:val="en-IN"/>
        </w:rPr>
        <w:t xml:space="preserve">, A. (2022). The nutritional and bioactive potential of guava and possibilities for its commercial application in value-added products. </w:t>
      </w:r>
      <w:r w:rsidRPr="000A6553">
        <w:rPr>
          <w:rFonts w:ascii="Times New Roman" w:hAnsi="Times New Roman" w:cs="Times New Roman"/>
          <w:i/>
          <w:iCs/>
          <w:color w:val="222222"/>
          <w:sz w:val="24"/>
          <w:szCs w:val="24"/>
          <w:shd w:val="clear" w:color="auto" w:fill="FFFFFF"/>
          <w:lang w:val="en-IN"/>
        </w:rPr>
        <w:t>The Pharma Innovation Journal, 11</w:t>
      </w:r>
      <w:r w:rsidRPr="000A6553">
        <w:rPr>
          <w:rFonts w:ascii="Times New Roman" w:hAnsi="Times New Roman" w:cs="Times New Roman"/>
          <w:color w:val="222222"/>
          <w:sz w:val="24"/>
          <w:szCs w:val="24"/>
          <w:shd w:val="clear" w:color="auto" w:fill="FFFFFF"/>
          <w:lang w:val="en-IN"/>
        </w:rPr>
        <w:t>(6), 2643–2647.</w:t>
      </w:r>
    </w:p>
    <w:p w14:paraId="409101CE" w14:textId="77777777"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lastRenderedPageBreak/>
        <w:t xml:space="preserve">Ghosh, A., Dey, K., Mani, A., </w:t>
      </w:r>
      <w:proofErr w:type="spellStart"/>
      <w:r w:rsidRPr="000A0981">
        <w:rPr>
          <w:color w:val="000000" w:themeColor="text1"/>
        </w:rPr>
        <w:t>Bauri</w:t>
      </w:r>
      <w:proofErr w:type="spellEnd"/>
      <w:r w:rsidRPr="000A0981">
        <w:rPr>
          <w:color w:val="000000" w:themeColor="text1"/>
        </w:rPr>
        <w:t xml:space="preserve">, F. K. and Mishra, D. K. (2017). Efficacy of different levels of IBA and NAA on rooting of </w:t>
      </w:r>
      <w:proofErr w:type="spellStart"/>
      <w:r w:rsidRPr="000A0981">
        <w:rPr>
          <w:color w:val="000000" w:themeColor="text1"/>
        </w:rPr>
        <w:t>phalsa</w:t>
      </w:r>
      <w:proofErr w:type="spellEnd"/>
      <w:r w:rsidRPr="000A0981">
        <w:rPr>
          <w:color w:val="000000" w:themeColor="text1"/>
        </w:rPr>
        <w:t xml:space="preserve"> (</w:t>
      </w:r>
      <w:proofErr w:type="spellStart"/>
      <w:r w:rsidRPr="000A0981">
        <w:rPr>
          <w:rStyle w:val="Emphasis"/>
          <w:rFonts w:eastAsia="Calibri"/>
          <w:color w:val="000000" w:themeColor="text1"/>
        </w:rPr>
        <w:t>Grewia</w:t>
      </w:r>
      <w:proofErr w:type="spellEnd"/>
      <w:r w:rsidRPr="000A0981">
        <w:rPr>
          <w:rStyle w:val="Emphasis"/>
          <w:rFonts w:eastAsia="Calibri"/>
          <w:color w:val="000000" w:themeColor="text1"/>
        </w:rPr>
        <w:t xml:space="preserve"> </w:t>
      </w:r>
      <w:proofErr w:type="spellStart"/>
      <w:r w:rsidRPr="000A0981">
        <w:rPr>
          <w:rStyle w:val="Emphasis"/>
          <w:rFonts w:eastAsia="Calibri"/>
          <w:color w:val="000000" w:themeColor="text1"/>
        </w:rPr>
        <w:t>asiatica</w:t>
      </w:r>
      <w:proofErr w:type="spellEnd"/>
      <w:r w:rsidRPr="000A0981">
        <w:rPr>
          <w:color w:val="000000" w:themeColor="text1"/>
        </w:rPr>
        <w:t xml:space="preserve"> L.) cuttings. </w:t>
      </w:r>
      <w:r w:rsidRPr="000A0981">
        <w:rPr>
          <w:rStyle w:val="Emphasis"/>
          <w:rFonts w:eastAsia="Calibri"/>
          <w:color w:val="000000" w:themeColor="text1"/>
        </w:rPr>
        <w:t>International Journal of Chemical Studies, 5</w:t>
      </w:r>
      <w:r w:rsidRPr="000A0981">
        <w:rPr>
          <w:color w:val="000000" w:themeColor="text1"/>
        </w:rPr>
        <w:t>(6), 567–571.</w:t>
      </w:r>
    </w:p>
    <w:p w14:paraId="15FF0844"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sz w:val="24"/>
          <w:szCs w:val="24"/>
        </w:rPr>
      </w:pPr>
      <w:r w:rsidRPr="000A6553">
        <w:rPr>
          <w:rFonts w:ascii="Times New Roman" w:hAnsi="Times New Roman" w:cs="Times New Roman"/>
          <w:sz w:val="24"/>
          <w:szCs w:val="24"/>
        </w:rPr>
        <w:t xml:space="preserve">Hartmann, H.T., Kester, D.E., Davies, F.T. and </w:t>
      </w:r>
      <w:proofErr w:type="spellStart"/>
      <w:r w:rsidRPr="000A6553">
        <w:rPr>
          <w:rFonts w:ascii="Times New Roman" w:hAnsi="Times New Roman" w:cs="Times New Roman"/>
          <w:sz w:val="24"/>
          <w:szCs w:val="24"/>
        </w:rPr>
        <w:t>Geneve</w:t>
      </w:r>
      <w:proofErr w:type="spellEnd"/>
      <w:r w:rsidRPr="000A6553">
        <w:rPr>
          <w:rFonts w:ascii="Times New Roman" w:hAnsi="Times New Roman" w:cs="Times New Roman"/>
          <w:sz w:val="24"/>
          <w:szCs w:val="24"/>
        </w:rPr>
        <w:t xml:space="preserve">, R.L. (2002). </w:t>
      </w:r>
      <w:r w:rsidRPr="000A6553">
        <w:rPr>
          <w:rStyle w:val="Emphasis"/>
          <w:rFonts w:ascii="Times New Roman" w:hAnsi="Times New Roman" w:cs="Times New Roman"/>
          <w:sz w:val="24"/>
          <w:szCs w:val="24"/>
        </w:rPr>
        <w:t>Plant Propagation: Principles and Practices</w:t>
      </w:r>
      <w:r w:rsidRPr="000A6553">
        <w:rPr>
          <w:rFonts w:ascii="Times New Roman" w:hAnsi="Times New Roman" w:cs="Times New Roman"/>
          <w:sz w:val="24"/>
          <w:szCs w:val="24"/>
        </w:rPr>
        <w:t>.</w:t>
      </w:r>
    </w:p>
    <w:p w14:paraId="73ECD6AA" w14:textId="77777777" w:rsidR="000A6553" w:rsidRPr="006D334B" w:rsidRDefault="000A6553" w:rsidP="000A6553">
      <w:pPr>
        <w:pStyle w:val="NormalWeb"/>
        <w:numPr>
          <w:ilvl w:val="0"/>
          <w:numId w:val="1"/>
        </w:numPr>
        <w:spacing w:line="360" w:lineRule="auto"/>
        <w:jc w:val="both"/>
      </w:pPr>
      <w:r w:rsidRPr="000A0981">
        <w:rPr>
          <w:color w:val="222222"/>
          <w:shd w:val="clear" w:color="auto" w:fill="FFFFFF"/>
        </w:rPr>
        <w:t xml:space="preserve">Hosseini, S. M., Sadeghi, H., </w:t>
      </w:r>
      <w:proofErr w:type="spellStart"/>
      <w:r w:rsidRPr="000A0981">
        <w:rPr>
          <w:color w:val="222222"/>
          <w:shd w:val="clear" w:color="auto" w:fill="FFFFFF"/>
        </w:rPr>
        <w:t>Esmati</w:t>
      </w:r>
      <w:proofErr w:type="spellEnd"/>
      <w:r w:rsidRPr="000A0981">
        <w:rPr>
          <w:color w:val="222222"/>
          <w:shd w:val="clear" w:color="auto" w:fill="FFFFFF"/>
        </w:rPr>
        <w:t xml:space="preserve">, A., </w:t>
      </w:r>
      <w:proofErr w:type="spellStart"/>
      <w:r w:rsidRPr="000A0981">
        <w:rPr>
          <w:color w:val="222222"/>
          <w:shd w:val="clear" w:color="auto" w:fill="FFFFFF"/>
        </w:rPr>
        <w:t>Nourmohammadi</w:t>
      </w:r>
      <w:proofErr w:type="spellEnd"/>
      <w:r w:rsidRPr="000A0981">
        <w:rPr>
          <w:color w:val="222222"/>
          <w:shd w:val="clear" w:color="auto" w:fill="FFFFFF"/>
        </w:rPr>
        <w:t xml:space="preserve">, Z., Keshavarz, M. A., and </w:t>
      </w:r>
      <w:proofErr w:type="spellStart"/>
      <w:r w:rsidRPr="000A0981">
        <w:rPr>
          <w:color w:val="222222"/>
          <w:shd w:val="clear" w:color="auto" w:fill="FFFFFF"/>
        </w:rPr>
        <w:t>Hosseinimaziani</w:t>
      </w:r>
      <w:proofErr w:type="spellEnd"/>
      <w:r w:rsidRPr="000A0981">
        <w:rPr>
          <w:color w:val="222222"/>
          <w:shd w:val="clear" w:color="auto" w:fill="FFFFFF"/>
        </w:rPr>
        <w:t>, M. (2004). Effect of media on rooting cuttings of four olive cultivars. In </w:t>
      </w:r>
      <w:r>
        <w:rPr>
          <w:i/>
          <w:iCs/>
          <w:color w:val="222222"/>
          <w:shd w:val="clear" w:color="auto" w:fill="FFFFFF"/>
        </w:rPr>
        <w:t>5th International Symposium on Olive Growing</w:t>
      </w:r>
      <w:r w:rsidRPr="000A0981">
        <w:rPr>
          <w:color w:val="222222"/>
          <w:shd w:val="clear" w:color="auto" w:fill="FFFFFF"/>
        </w:rPr>
        <w:t> (Vol. 27, pp. 9-2).</w:t>
      </w:r>
    </w:p>
    <w:p w14:paraId="5FF44047" w14:textId="77777777" w:rsidR="000A6553" w:rsidRPr="000A6553" w:rsidRDefault="000A6553" w:rsidP="000A655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en-IN"/>
        </w:rPr>
      </w:pPr>
      <w:r w:rsidRPr="000A6553">
        <w:rPr>
          <w:rFonts w:ascii="Times New Roman" w:hAnsi="Times New Roman" w:cs="Times New Roman"/>
          <w:bCs/>
          <w:color w:val="000000" w:themeColor="text1"/>
          <w:sz w:val="24"/>
          <w:szCs w:val="24"/>
          <w:lang w:val="en-IN"/>
        </w:rPr>
        <w:t>Kareem, A., Ahmed, M. J. and Hussain, S. A. (2016).</w:t>
      </w:r>
      <w:r w:rsidRPr="000A6553">
        <w:rPr>
          <w:rFonts w:ascii="Times New Roman" w:hAnsi="Times New Roman" w:cs="Times New Roman"/>
          <w:b/>
          <w:bCs/>
          <w:color w:val="000000" w:themeColor="text1"/>
          <w:sz w:val="24"/>
          <w:szCs w:val="24"/>
          <w:lang w:val="en-IN"/>
        </w:rPr>
        <w:t xml:space="preserve"> </w:t>
      </w:r>
      <w:r w:rsidRPr="000A6553">
        <w:rPr>
          <w:rFonts w:ascii="Times New Roman" w:hAnsi="Times New Roman" w:cs="Times New Roman"/>
          <w:color w:val="000000" w:themeColor="text1"/>
          <w:sz w:val="24"/>
          <w:szCs w:val="24"/>
          <w:lang w:val="en-IN"/>
        </w:rPr>
        <w:t>Effect of IBA on rooting of softwood cuttings of guava (</w:t>
      </w:r>
      <w:proofErr w:type="spellStart"/>
      <w:r w:rsidRPr="000A6553">
        <w:rPr>
          <w:rFonts w:ascii="Times New Roman" w:hAnsi="Times New Roman" w:cs="Times New Roman"/>
          <w:i/>
          <w:iCs/>
          <w:color w:val="000000" w:themeColor="text1"/>
          <w:sz w:val="24"/>
          <w:szCs w:val="24"/>
          <w:lang w:val="en-IN"/>
        </w:rPr>
        <w:t>Psidium</w:t>
      </w:r>
      <w:proofErr w:type="spellEnd"/>
      <w:r w:rsidRPr="000A6553">
        <w:rPr>
          <w:rFonts w:ascii="Times New Roman" w:hAnsi="Times New Roman" w:cs="Times New Roman"/>
          <w:i/>
          <w:iCs/>
          <w:color w:val="000000" w:themeColor="text1"/>
          <w:sz w:val="24"/>
          <w:szCs w:val="24"/>
          <w:lang w:val="en-IN"/>
        </w:rPr>
        <w:t xml:space="preserve"> </w:t>
      </w:r>
      <w:proofErr w:type="spellStart"/>
      <w:r w:rsidRPr="000A6553">
        <w:rPr>
          <w:rFonts w:ascii="Times New Roman" w:hAnsi="Times New Roman" w:cs="Times New Roman"/>
          <w:i/>
          <w:iCs/>
          <w:color w:val="000000" w:themeColor="text1"/>
          <w:sz w:val="24"/>
          <w:szCs w:val="24"/>
          <w:lang w:val="en-IN"/>
        </w:rPr>
        <w:t>guajava</w:t>
      </w:r>
      <w:proofErr w:type="spellEnd"/>
      <w:r w:rsidRPr="000A6553">
        <w:rPr>
          <w:rFonts w:ascii="Times New Roman" w:hAnsi="Times New Roman" w:cs="Times New Roman"/>
          <w:color w:val="000000" w:themeColor="text1"/>
          <w:sz w:val="24"/>
          <w:szCs w:val="24"/>
          <w:lang w:val="en-IN"/>
        </w:rPr>
        <w:t xml:space="preserve"> L.). </w:t>
      </w:r>
      <w:r w:rsidRPr="000A6553">
        <w:rPr>
          <w:rFonts w:ascii="Times New Roman" w:hAnsi="Times New Roman" w:cs="Times New Roman"/>
          <w:i/>
          <w:iCs/>
          <w:color w:val="000000" w:themeColor="text1"/>
          <w:sz w:val="24"/>
          <w:szCs w:val="24"/>
          <w:lang w:val="en-IN"/>
        </w:rPr>
        <w:t>Journal of Agricultural Research</w:t>
      </w:r>
      <w:r w:rsidRPr="000A6553">
        <w:rPr>
          <w:rFonts w:ascii="Times New Roman" w:hAnsi="Times New Roman" w:cs="Times New Roman"/>
          <w:color w:val="000000" w:themeColor="text1"/>
          <w:sz w:val="24"/>
          <w:szCs w:val="24"/>
          <w:lang w:val="en-IN"/>
        </w:rPr>
        <w:t xml:space="preserve">, </w:t>
      </w:r>
      <w:r w:rsidRPr="000A6553">
        <w:rPr>
          <w:rFonts w:ascii="Times New Roman" w:hAnsi="Times New Roman" w:cs="Times New Roman"/>
          <w:b/>
          <w:bCs/>
          <w:i/>
          <w:iCs/>
          <w:color w:val="000000" w:themeColor="text1"/>
          <w:sz w:val="24"/>
          <w:szCs w:val="24"/>
          <w:lang w:val="en-IN"/>
        </w:rPr>
        <w:t>54</w:t>
      </w:r>
      <w:r w:rsidRPr="000A6553">
        <w:rPr>
          <w:rFonts w:ascii="Times New Roman" w:hAnsi="Times New Roman" w:cs="Times New Roman"/>
          <w:color w:val="000000" w:themeColor="text1"/>
          <w:sz w:val="24"/>
          <w:szCs w:val="24"/>
          <w:lang w:val="en-IN"/>
        </w:rPr>
        <w:t>(4), 589–596.</w:t>
      </w:r>
    </w:p>
    <w:p w14:paraId="3852BBD6" w14:textId="77777777"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Khayyat</w:t>
      </w:r>
      <w:proofErr w:type="spellEnd"/>
      <w:r w:rsidRPr="000A0981">
        <w:rPr>
          <w:color w:val="000000" w:themeColor="text1"/>
        </w:rPr>
        <w:t xml:space="preserve">, M., Nazari, F. and Salehi, H. (2007). Effects of different pot mixtures on </w:t>
      </w:r>
      <w:proofErr w:type="spellStart"/>
      <w:r w:rsidRPr="000A0981">
        <w:rPr>
          <w:color w:val="000000" w:themeColor="text1"/>
        </w:rPr>
        <w:t>pothos</w:t>
      </w:r>
      <w:proofErr w:type="spellEnd"/>
      <w:r w:rsidRPr="000A0981">
        <w:rPr>
          <w:color w:val="000000" w:themeColor="text1"/>
        </w:rPr>
        <w:t xml:space="preserve"> (</w:t>
      </w:r>
      <w:proofErr w:type="spellStart"/>
      <w:r w:rsidRPr="000A0981">
        <w:rPr>
          <w:rStyle w:val="Emphasis"/>
          <w:rFonts w:eastAsia="Calibri"/>
          <w:color w:val="000000" w:themeColor="text1"/>
        </w:rPr>
        <w:t>Epipremnum</w:t>
      </w:r>
      <w:proofErr w:type="spellEnd"/>
      <w:r w:rsidRPr="000A0981">
        <w:rPr>
          <w:rStyle w:val="Emphasis"/>
          <w:rFonts w:eastAsia="Calibri"/>
          <w:color w:val="000000" w:themeColor="text1"/>
        </w:rPr>
        <w:t xml:space="preserve"> </w:t>
      </w:r>
      <w:proofErr w:type="spellStart"/>
      <w:r w:rsidRPr="000A0981">
        <w:rPr>
          <w:rStyle w:val="Emphasis"/>
          <w:rFonts w:eastAsia="Calibri"/>
          <w:color w:val="000000" w:themeColor="text1"/>
        </w:rPr>
        <w:t>aureum</w:t>
      </w:r>
      <w:proofErr w:type="spellEnd"/>
      <w:r w:rsidRPr="000A0981">
        <w:rPr>
          <w:color w:val="000000" w:themeColor="text1"/>
        </w:rPr>
        <w:t xml:space="preserve"> ‘Golden </w:t>
      </w:r>
      <w:proofErr w:type="spellStart"/>
      <w:r w:rsidRPr="000A0981">
        <w:rPr>
          <w:color w:val="000000" w:themeColor="text1"/>
        </w:rPr>
        <w:t>Pothos</w:t>
      </w:r>
      <w:proofErr w:type="spellEnd"/>
      <w:r w:rsidRPr="000A0981">
        <w:rPr>
          <w:color w:val="000000" w:themeColor="text1"/>
        </w:rPr>
        <w:t xml:space="preserve">’) growth and development. </w:t>
      </w:r>
      <w:r w:rsidRPr="000A0981">
        <w:rPr>
          <w:rStyle w:val="Emphasis"/>
          <w:rFonts w:eastAsia="Calibri"/>
          <w:color w:val="000000" w:themeColor="text1"/>
        </w:rPr>
        <w:t>American-Eurasian Journal of Agriculture and Environmental Sciences, 2</w:t>
      </w:r>
      <w:r w:rsidRPr="000A0981">
        <w:rPr>
          <w:color w:val="000000" w:themeColor="text1"/>
        </w:rPr>
        <w:t>, 341–348.</w:t>
      </w:r>
    </w:p>
    <w:p w14:paraId="58FCC4A0"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000000" w:themeColor="text1"/>
          <w:sz w:val="24"/>
          <w:szCs w:val="24"/>
        </w:rPr>
      </w:pPr>
      <w:r w:rsidRPr="000A6553">
        <w:rPr>
          <w:rFonts w:ascii="Times New Roman" w:hAnsi="Times New Roman" w:cs="Times New Roman"/>
          <w:color w:val="000000" w:themeColor="text1"/>
          <w:sz w:val="24"/>
          <w:szCs w:val="24"/>
        </w:rPr>
        <w:t xml:space="preserve">Kumar, M. and Sivakumar, V. (2023). Impact of selected plant growth regulators on rooting response of stem cuttings of </w:t>
      </w:r>
      <w:proofErr w:type="spellStart"/>
      <w:r w:rsidRPr="000A6553">
        <w:rPr>
          <w:rStyle w:val="Emphasis"/>
          <w:rFonts w:ascii="Times New Roman" w:eastAsia="Calibri" w:hAnsi="Times New Roman" w:cs="Times New Roman"/>
          <w:color w:val="000000" w:themeColor="text1"/>
          <w:sz w:val="24"/>
          <w:szCs w:val="24"/>
        </w:rPr>
        <w:t>Psidium</w:t>
      </w:r>
      <w:proofErr w:type="spellEnd"/>
      <w:r w:rsidRPr="000A6553">
        <w:rPr>
          <w:rStyle w:val="Emphasis"/>
          <w:rFonts w:ascii="Times New Roman" w:eastAsia="Calibri" w:hAnsi="Times New Roman" w:cs="Times New Roman"/>
          <w:color w:val="000000" w:themeColor="text1"/>
          <w:sz w:val="24"/>
          <w:szCs w:val="24"/>
        </w:rPr>
        <w:t xml:space="preserve"> </w:t>
      </w:r>
      <w:proofErr w:type="spellStart"/>
      <w:r w:rsidRPr="000A6553">
        <w:rPr>
          <w:rStyle w:val="Emphasis"/>
          <w:rFonts w:ascii="Times New Roman" w:eastAsia="Calibri" w:hAnsi="Times New Roman" w:cs="Times New Roman"/>
          <w:color w:val="000000" w:themeColor="text1"/>
          <w:sz w:val="24"/>
          <w:szCs w:val="24"/>
        </w:rPr>
        <w:t>guajava</w:t>
      </w:r>
      <w:proofErr w:type="spellEnd"/>
      <w:r w:rsidRPr="000A6553">
        <w:rPr>
          <w:rFonts w:ascii="Times New Roman" w:hAnsi="Times New Roman" w:cs="Times New Roman"/>
          <w:color w:val="000000" w:themeColor="text1"/>
          <w:sz w:val="24"/>
          <w:szCs w:val="24"/>
        </w:rPr>
        <w:t xml:space="preserve"> L. </w:t>
      </w:r>
      <w:r w:rsidRPr="000A6553">
        <w:rPr>
          <w:rStyle w:val="Emphasis"/>
          <w:rFonts w:ascii="Times New Roman" w:eastAsia="Calibri" w:hAnsi="Times New Roman" w:cs="Times New Roman"/>
          <w:color w:val="000000" w:themeColor="text1"/>
          <w:sz w:val="24"/>
          <w:szCs w:val="24"/>
        </w:rPr>
        <w:t>International Journal of Plant &amp; Soil Science, 35</w:t>
      </w:r>
      <w:r w:rsidRPr="000A6553">
        <w:rPr>
          <w:rFonts w:ascii="Times New Roman" w:hAnsi="Times New Roman" w:cs="Times New Roman"/>
          <w:color w:val="000000" w:themeColor="text1"/>
          <w:sz w:val="24"/>
          <w:szCs w:val="24"/>
        </w:rPr>
        <w:t>(24), 320–325</w:t>
      </w:r>
    </w:p>
    <w:p w14:paraId="74101DB1" w14:textId="77777777"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t>Patel, H. R. and Patel, M. J. (2018).</w:t>
      </w:r>
      <w:r w:rsidRPr="000A0981">
        <w:rPr>
          <w:b/>
          <w:color w:val="000000" w:themeColor="text1"/>
        </w:rPr>
        <w:t xml:space="preserve"> </w:t>
      </w:r>
      <w:r w:rsidRPr="000A0981">
        <w:rPr>
          <w:color w:val="000000" w:themeColor="text1"/>
        </w:rPr>
        <w:t xml:space="preserve">Role of auxins on rooting of different types of cuttings in fig. </w:t>
      </w:r>
      <w:r w:rsidRPr="000A0981">
        <w:rPr>
          <w:rStyle w:val="Emphasis"/>
          <w:rFonts w:eastAsia="Calibri"/>
          <w:color w:val="000000" w:themeColor="text1"/>
        </w:rPr>
        <w:t>International Journal of Current Microbiology and Applied Sciences, 7</w:t>
      </w:r>
      <w:r w:rsidRPr="000A0981">
        <w:rPr>
          <w:color w:val="000000" w:themeColor="text1"/>
        </w:rPr>
        <w:t>(3), 1317–1322.</w:t>
      </w:r>
    </w:p>
    <w:p w14:paraId="294FFAE6"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Pereira, F. M. P., Usman, M., Mayer, N. A., </w:t>
      </w:r>
      <w:proofErr w:type="spellStart"/>
      <w:r w:rsidRPr="000A6553">
        <w:rPr>
          <w:rFonts w:ascii="Times New Roman" w:hAnsi="Times New Roman" w:cs="Times New Roman"/>
          <w:color w:val="222222"/>
          <w:sz w:val="24"/>
          <w:szCs w:val="24"/>
          <w:shd w:val="clear" w:color="auto" w:fill="FFFFFF"/>
          <w:lang w:val="en-IN"/>
        </w:rPr>
        <w:t>Nachtigal</w:t>
      </w:r>
      <w:proofErr w:type="spellEnd"/>
      <w:r w:rsidRPr="000A6553">
        <w:rPr>
          <w:rFonts w:ascii="Times New Roman" w:hAnsi="Times New Roman" w:cs="Times New Roman"/>
          <w:color w:val="222222"/>
          <w:sz w:val="24"/>
          <w:szCs w:val="24"/>
          <w:shd w:val="clear" w:color="auto" w:fill="FFFFFF"/>
          <w:lang w:val="en-IN"/>
        </w:rPr>
        <w:t xml:space="preserve">, J. C., </w:t>
      </w:r>
      <w:proofErr w:type="spellStart"/>
      <w:r w:rsidRPr="000A6553">
        <w:rPr>
          <w:rFonts w:ascii="Times New Roman" w:hAnsi="Times New Roman" w:cs="Times New Roman"/>
          <w:color w:val="222222"/>
          <w:sz w:val="24"/>
          <w:szCs w:val="24"/>
          <w:shd w:val="clear" w:color="auto" w:fill="FFFFFF"/>
          <w:lang w:val="en-IN"/>
        </w:rPr>
        <w:t>Maphanga</w:t>
      </w:r>
      <w:proofErr w:type="spellEnd"/>
      <w:r w:rsidRPr="000A6553">
        <w:rPr>
          <w:rFonts w:ascii="Times New Roman" w:hAnsi="Times New Roman" w:cs="Times New Roman"/>
          <w:color w:val="222222"/>
          <w:sz w:val="24"/>
          <w:szCs w:val="24"/>
          <w:shd w:val="clear" w:color="auto" w:fill="FFFFFF"/>
          <w:lang w:val="en-IN"/>
        </w:rPr>
        <w:t xml:space="preserve">, O. R. and </w:t>
      </w:r>
      <w:proofErr w:type="spellStart"/>
      <w:r w:rsidRPr="000A6553">
        <w:rPr>
          <w:rFonts w:ascii="Times New Roman" w:hAnsi="Times New Roman" w:cs="Times New Roman"/>
          <w:color w:val="222222"/>
          <w:sz w:val="24"/>
          <w:szCs w:val="24"/>
          <w:shd w:val="clear" w:color="auto" w:fill="FFFFFF"/>
          <w:lang w:val="en-IN"/>
        </w:rPr>
        <w:t>Willemse</w:t>
      </w:r>
      <w:proofErr w:type="spellEnd"/>
      <w:r w:rsidRPr="000A6553">
        <w:rPr>
          <w:rFonts w:ascii="Times New Roman" w:hAnsi="Times New Roman" w:cs="Times New Roman"/>
          <w:color w:val="222222"/>
          <w:sz w:val="24"/>
          <w:szCs w:val="24"/>
          <w:shd w:val="clear" w:color="auto" w:fill="FFFFFF"/>
          <w:lang w:val="en-IN"/>
        </w:rPr>
        <w:t xml:space="preserve">, S. (2017). Advances in guava propagation. </w:t>
      </w:r>
      <w:proofErr w:type="spellStart"/>
      <w:r w:rsidRPr="000A6553">
        <w:rPr>
          <w:rFonts w:ascii="Times New Roman" w:hAnsi="Times New Roman" w:cs="Times New Roman"/>
          <w:i/>
          <w:iCs/>
          <w:color w:val="222222"/>
          <w:sz w:val="24"/>
          <w:szCs w:val="24"/>
          <w:shd w:val="clear" w:color="auto" w:fill="FFFFFF"/>
          <w:lang w:val="en-IN"/>
        </w:rPr>
        <w:t>Revista</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Brasileira</w:t>
      </w:r>
      <w:proofErr w:type="spellEnd"/>
      <w:r w:rsidRPr="000A6553">
        <w:rPr>
          <w:rFonts w:ascii="Times New Roman" w:hAnsi="Times New Roman" w:cs="Times New Roman"/>
          <w:i/>
          <w:iCs/>
          <w:color w:val="222222"/>
          <w:sz w:val="24"/>
          <w:szCs w:val="24"/>
          <w:shd w:val="clear" w:color="auto" w:fill="FFFFFF"/>
          <w:lang w:val="en-IN"/>
        </w:rPr>
        <w:t xml:space="preserve"> de </w:t>
      </w:r>
      <w:proofErr w:type="spellStart"/>
      <w:r w:rsidRPr="000A6553">
        <w:rPr>
          <w:rFonts w:ascii="Times New Roman" w:hAnsi="Times New Roman" w:cs="Times New Roman"/>
          <w:i/>
          <w:iCs/>
          <w:color w:val="222222"/>
          <w:sz w:val="24"/>
          <w:szCs w:val="24"/>
          <w:shd w:val="clear" w:color="auto" w:fill="FFFFFF"/>
          <w:lang w:val="en-IN"/>
        </w:rPr>
        <w:t>Fruticultura</w:t>
      </w:r>
      <w:proofErr w:type="spellEnd"/>
      <w:r w:rsidRPr="000A6553">
        <w:rPr>
          <w:rFonts w:ascii="Times New Roman" w:hAnsi="Times New Roman" w:cs="Times New Roman"/>
          <w:i/>
          <w:iCs/>
          <w:color w:val="222222"/>
          <w:sz w:val="24"/>
          <w:szCs w:val="24"/>
          <w:shd w:val="clear" w:color="auto" w:fill="FFFFFF"/>
          <w:lang w:val="en-IN"/>
        </w:rPr>
        <w:t>, 39</w:t>
      </w:r>
      <w:r w:rsidRPr="000A6553">
        <w:rPr>
          <w:rFonts w:ascii="Times New Roman" w:hAnsi="Times New Roman" w:cs="Times New Roman"/>
          <w:color w:val="222222"/>
          <w:sz w:val="24"/>
          <w:szCs w:val="24"/>
          <w:shd w:val="clear" w:color="auto" w:fill="FFFFFF"/>
          <w:lang w:val="en-IN"/>
        </w:rPr>
        <w:t>, e-358.</w:t>
      </w:r>
    </w:p>
    <w:p w14:paraId="7C591D19"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sv-SE"/>
        </w:rPr>
        <w:t xml:space="preserve">Rajamanickam, C., Beaulah, A. and Ravindran, C. (2021). </w:t>
      </w:r>
      <w:r w:rsidRPr="000A6553">
        <w:rPr>
          <w:rFonts w:ascii="Times New Roman" w:hAnsi="Times New Roman" w:cs="Times New Roman"/>
          <w:color w:val="222222"/>
          <w:sz w:val="24"/>
          <w:szCs w:val="24"/>
          <w:shd w:val="clear" w:color="auto" w:fill="FFFFFF"/>
          <w:lang w:val="en-IN"/>
        </w:rPr>
        <w:t>Effect of IBA on shoot and root production of guava (</w:t>
      </w:r>
      <w:proofErr w:type="spellStart"/>
      <w:r w:rsidRPr="000A6553">
        <w:rPr>
          <w:rFonts w:ascii="Times New Roman" w:hAnsi="Times New Roman" w:cs="Times New Roman"/>
          <w:i/>
          <w:iCs/>
          <w:color w:val="222222"/>
          <w:sz w:val="24"/>
          <w:szCs w:val="24"/>
          <w:shd w:val="clear" w:color="auto" w:fill="FFFFFF"/>
          <w:lang w:val="en-IN"/>
        </w:rPr>
        <w:t>Psidium</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through softwood cuttings cv. Lucknow-49. </w:t>
      </w:r>
      <w:r w:rsidRPr="000A6553">
        <w:rPr>
          <w:rFonts w:ascii="Times New Roman" w:hAnsi="Times New Roman" w:cs="Times New Roman"/>
          <w:i/>
          <w:iCs/>
          <w:color w:val="222222"/>
          <w:sz w:val="24"/>
          <w:szCs w:val="24"/>
          <w:shd w:val="clear" w:color="auto" w:fill="FFFFFF"/>
          <w:lang w:val="en-IN"/>
        </w:rPr>
        <w:t>Journal of Pharmacognosy and Phytochemistry, 10</w:t>
      </w:r>
      <w:r w:rsidRPr="000A6553">
        <w:rPr>
          <w:rFonts w:ascii="Times New Roman" w:hAnsi="Times New Roman" w:cs="Times New Roman"/>
          <w:color w:val="222222"/>
          <w:sz w:val="24"/>
          <w:szCs w:val="24"/>
          <w:shd w:val="clear" w:color="auto" w:fill="FFFFFF"/>
          <w:lang w:val="en-IN"/>
        </w:rPr>
        <w:t>(2), 1198–1200.</w:t>
      </w:r>
    </w:p>
    <w:p w14:paraId="01BE363B"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Rani, S. S., Sharma, A., </w:t>
      </w:r>
      <w:proofErr w:type="spellStart"/>
      <w:r w:rsidRPr="000A6553">
        <w:rPr>
          <w:rFonts w:ascii="Times New Roman" w:hAnsi="Times New Roman" w:cs="Times New Roman"/>
          <w:color w:val="222222"/>
          <w:sz w:val="24"/>
          <w:szCs w:val="24"/>
          <w:shd w:val="clear" w:color="auto" w:fill="FFFFFF"/>
          <w:lang w:val="en-IN"/>
        </w:rPr>
        <w:t>Wali</w:t>
      </w:r>
      <w:proofErr w:type="spellEnd"/>
      <w:r w:rsidRPr="000A6553">
        <w:rPr>
          <w:rFonts w:ascii="Times New Roman" w:hAnsi="Times New Roman" w:cs="Times New Roman"/>
          <w:color w:val="222222"/>
          <w:sz w:val="24"/>
          <w:szCs w:val="24"/>
          <w:shd w:val="clear" w:color="auto" w:fill="FFFFFF"/>
          <w:lang w:val="en-IN"/>
        </w:rPr>
        <w:t xml:space="preserve">, V. K., </w:t>
      </w:r>
      <w:proofErr w:type="spellStart"/>
      <w:r w:rsidRPr="000A6553">
        <w:rPr>
          <w:rFonts w:ascii="Times New Roman" w:hAnsi="Times New Roman" w:cs="Times New Roman"/>
          <w:color w:val="222222"/>
          <w:sz w:val="24"/>
          <w:szCs w:val="24"/>
          <w:shd w:val="clear" w:color="auto" w:fill="FFFFFF"/>
          <w:lang w:val="en-IN"/>
        </w:rPr>
        <w:t>Bakshi</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Mohdillyas</w:t>
      </w:r>
      <w:proofErr w:type="spellEnd"/>
      <w:r w:rsidRPr="000A6553">
        <w:rPr>
          <w:rFonts w:ascii="Times New Roman" w:hAnsi="Times New Roman" w:cs="Times New Roman"/>
          <w:color w:val="222222"/>
          <w:sz w:val="24"/>
          <w:szCs w:val="24"/>
          <w:shd w:val="clear" w:color="auto" w:fill="FFFFFF"/>
          <w:lang w:val="en-IN"/>
        </w:rPr>
        <w:t>, K. (2015). Standardization of best soil media and time of guava propagation through cuttings under Jammu subtropics.</w:t>
      </w:r>
    </w:p>
    <w:p w14:paraId="79332981"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sv-SE"/>
        </w:rPr>
        <w:lastRenderedPageBreak/>
        <w:t xml:space="preserve">Sundarrajan, R. V., Muthuramalingam, S., Rajangam, J., Reddy, P. S. K., Jassim, J. M., Hari, K. and Thangamuniyandi, M. (2024). </w:t>
      </w:r>
      <w:r w:rsidRPr="000A6553">
        <w:rPr>
          <w:rFonts w:ascii="Times New Roman" w:hAnsi="Times New Roman" w:cs="Times New Roman"/>
          <w:color w:val="222222"/>
          <w:sz w:val="24"/>
          <w:szCs w:val="24"/>
          <w:shd w:val="clear" w:color="auto" w:fill="FFFFFF"/>
          <w:lang w:val="en-IN"/>
        </w:rPr>
        <w:t>Collisions of phytohormones on nodal and leaf cuttings in guava (</w:t>
      </w:r>
      <w:proofErr w:type="spellStart"/>
      <w:r w:rsidRPr="000A6553">
        <w:rPr>
          <w:rFonts w:ascii="Times New Roman" w:hAnsi="Times New Roman" w:cs="Times New Roman"/>
          <w:i/>
          <w:iCs/>
          <w:color w:val="222222"/>
          <w:sz w:val="24"/>
          <w:szCs w:val="24"/>
          <w:shd w:val="clear" w:color="auto" w:fill="FFFFFF"/>
          <w:lang w:val="en-IN"/>
        </w:rPr>
        <w:t>Psidium</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cv. Lucknow-49. </w:t>
      </w:r>
      <w:r w:rsidRPr="000A6553">
        <w:rPr>
          <w:rFonts w:ascii="Times New Roman" w:hAnsi="Times New Roman" w:cs="Times New Roman"/>
          <w:i/>
          <w:iCs/>
          <w:color w:val="222222"/>
          <w:sz w:val="24"/>
          <w:szCs w:val="24"/>
          <w:shd w:val="clear" w:color="auto" w:fill="FFFFFF"/>
          <w:lang w:val="en-IN"/>
        </w:rPr>
        <w:t>Annals of Phytomedicine, 13</w:t>
      </w:r>
      <w:r w:rsidRPr="000A6553">
        <w:rPr>
          <w:rFonts w:ascii="Times New Roman" w:hAnsi="Times New Roman" w:cs="Times New Roman"/>
          <w:color w:val="222222"/>
          <w:sz w:val="24"/>
          <w:szCs w:val="24"/>
          <w:shd w:val="clear" w:color="auto" w:fill="FFFFFF"/>
          <w:lang w:val="en-IN"/>
        </w:rPr>
        <w:t>(1), 1–12.</w:t>
      </w:r>
    </w:p>
    <w:p w14:paraId="3ACC4349" w14:textId="77777777" w:rsidR="000A6553"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Tanwar</w:t>
      </w:r>
      <w:proofErr w:type="spellEnd"/>
      <w:r w:rsidRPr="000A0981">
        <w:rPr>
          <w:color w:val="000000" w:themeColor="text1"/>
        </w:rPr>
        <w:t xml:space="preserve">, D. R., </w:t>
      </w:r>
      <w:proofErr w:type="spellStart"/>
      <w:r w:rsidRPr="000A0981">
        <w:rPr>
          <w:color w:val="000000" w:themeColor="text1"/>
        </w:rPr>
        <w:t>Bairwa</w:t>
      </w:r>
      <w:proofErr w:type="spellEnd"/>
      <w:r w:rsidRPr="000A0981">
        <w:rPr>
          <w:color w:val="000000" w:themeColor="text1"/>
        </w:rPr>
        <w:t xml:space="preserve">, H. L., </w:t>
      </w:r>
      <w:proofErr w:type="spellStart"/>
      <w:r w:rsidRPr="000A0981">
        <w:rPr>
          <w:color w:val="000000" w:themeColor="text1"/>
        </w:rPr>
        <w:t>Lakhawat</w:t>
      </w:r>
      <w:proofErr w:type="spellEnd"/>
      <w:r w:rsidRPr="000A0981">
        <w:rPr>
          <w:color w:val="000000" w:themeColor="text1"/>
        </w:rPr>
        <w:t xml:space="preserve">, S. S., </w:t>
      </w:r>
      <w:proofErr w:type="spellStart"/>
      <w:r w:rsidRPr="000A0981">
        <w:rPr>
          <w:color w:val="000000" w:themeColor="text1"/>
        </w:rPr>
        <w:t>Mahawer</w:t>
      </w:r>
      <w:proofErr w:type="spellEnd"/>
      <w:r w:rsidRPr="000A0981">
        <w:rPr>
          <w:color w:val="000000" w:themeColor="text1"/>
        </w:rPr>
        <w:t xml:space="preserve">, L. N., </w:t>
      </w:r>
      <w:proofErr w:type="spellStart"/>
      <w:r w:rsidRPr="000A0981">
        <w:rPr>
          <w:color w:val="000000" w:themeColor="text1"/>
        </w:rPr>
        <w:t>Jat</w:t>
      </w:r>
      <w:proofErr w:type="spellEnd"/>
      <w:r w:rsidRPr="000A0981">
        <w:rPr>
          <w:color w:val="000000" w:themeColor="text1"/>
        </w:rPr>
        <w:t>, R. K. and Choudhary, R. C. (2020). Effect of IBA and rooting media on hardwood cuttings of pomegranate (</w:t>
      </w:r>
      <w:proofErr w:type="spellStart"/>
      <w:r w:rsidRPr="000A0981">
        <w:rPr>
          <w:rStyle w:val="Emphasis"/>
          <w:rFonts w:eastAsia="Calibri"/>
          <w:color w:val="000000" w:themeColor="text1"/>
        </w:rPr>
        <w:t>Punica</w:t>
      </w:r>
      <w:proofErr w:type="spellEnd"/>
      <w:r w:rsidRPr="000A0981">
        <w:rPr>
          <w:rStyle w:val="Emphasis"/>
          <w:rFonts w:eastAsia="Calibri"/>
          <w:color w:val="000000" w:themeColor="text1"/>
        </w:rPr>
        <w:t xml:space="preserve"> </w:t>
      </w:r>
      <w:proofErr w:type="spellStart"/>
      <w:r w:rsidRPr="000A0981">
        <w:rPr>
          <w:rStyle w:val="Emphasis"/>
          <w:rFonts w:eastAsia="Calibri"/>
          <w:color w:val="000000" w:themeColor="text1"/>
        </w:rPr>
        <w:t>granatum</w:t>
      </w:r>
      <w:proofErr w:type="spellEnd"/>
      <w:r w:rsidRPr="000A0981">
        <w:rPr>
          <w:color w:val="000000" w:themeColor="text1"/>
        </w:rPr>
        <w:t xml:space="preserve"> L.) cv. </w:t>
      </w:r>
      <w:proofErr w:type="spellStart"/>
      <w:r w:rsidRPr="000A0981">
        <w:rPr>
          <w:color w:val="000000" w:themeColor="text1"/>
        </w:rPr>
        <w:t>Bhagwa</w:t>
      </w:r>
      <w:proofErr w:type="spellEnd"/>
      <w:r w:rsidRPr="000A0981">
        <w:rPr>
          <w:color w:val="000000" w:themeColor="text1"/>
        </w:rPr>
        <w:t xml:space="preserve">. </w:t>
      </w:r>
      <w:r w:rsidRPr="000A0981">
        <w:rPr>
          <w:rStyle w:val="Emphasis"/>
          <w:rFonts w:eastAsia="Calibri"/>
          <w:color w:val="000000" w:themeColor="text1"/>
        </w:rPr>
        <w:t>International Journal of Environment and Climate Change, 10</w:t>
      </w:r>
      <w:r w:rsidRPr="000A0981">
        <w:rPr>
          <w:color w:val="000000" w:themeColor="text1"/>
        </w:rPr>
        <w:t>(12), 609–617.</w:t>
      </w:r>
    </w:p>
    <w:p w14:paraId="493E1705" w14:textId="77777777" w:rsidR="00537714" w:rsidRPr="006D334B" w:rsidRDefault="00537714" w:rsidP="00537714">
      <w:pPr>
        <w:pStyle w:val="NormalWeb"/>
        <w:spacing w:line="360" w:lineRule="auto"/>
        <w:ind w:left="720"/>
        <w:jc w:val="both"/>
        <w:rPr>
          <w:color w:val="000000" w:themeColor="text1"/>
        </w:rPr>
      </w:pPr>
    </w:p>
    <w:p w14:paraId="6E05E9F0" w14:textId="77777777" w:rsidR="008A31F7" w:rsidRPr="006D334B" w:rsidRDefault="008A31F7" w:rsidP="008A31F7">
      <w:pPr>
        <w:spacing w:line="360" w:lineRule="auto"/>
        <w:jc w:val="both"/>
        <w:rPr>
          <w:rFonts w:ascii="Times New Roman" w:hAnsi="Times New Roman" w:cs="Times New Roman"/>
          <w:sz w:val="24"/>
          <w:szCs w:val="24"/>
        </w:rPr>
      </w:pPr>
    </w:p>
    <w:p w14:paraId="73EC9532" w14:textId="77777777" w:rsidR="008A31F7" w:rsidRPr="006D334B" w:rsidRDefault="008A31F7" w:rsidP="008A31F7">
      <w:pPr>
        <w:pStyle w:val="NormalWeb"/>
        <w:spacing w:line="360" w:lineRule="auto"/>
        <w:jc w:val="both"/>
      </w:pPr>
    </w:p>
    <w:p w14:paraId="5624867D" w14:textId="77777777" w:rsidR="008A31F7" w:rsidRPr="006D334B" w:rsidRDefault="008A31F7" w:rsidP="008A31F7">
      <w:pPr>
        <w:jc w:val="center"/>
        <w:rPr>
          <w:rFonts w:ascii="Times New Roman" w:hAnsi="Times New Roman" w:cs="Times New Roman"/>
          <w:sz w:val="24"/>
          <w:szCs w:val="24"/>
        </w:rPr>
      </w:pPr>
    </w:p>
    <w:p w14:paraId="524855D5" w14:textId="77777777" w:rsidR="00985B7C" w:rsidRDefault="00985B7C"/>
    <w:sectPr w:rsidR="00985B7C" w:rsidSect="00985B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6-04-11T12:25:00Z" w:initials="a">
    <w:p w14:paraId="43E39623" w14:textId="7A3622CA" w:rsidR="0052779C" w:rsidRDefault="0052779C">
      <w:pPr>
        <w:pStyle w:val="CommentText"/>
      </w:pPr>
      <w:r>
        <w:rPr>
          <w:rStyle w:val="CommentReference"/>
        </w:rPr>
        <w:annotationRef/>
      </w:r>
      <w:r>
        <w:t>Why this has been chosen for research?</w:t>
      </w:r>
    </w:p>
  </w:comment>
  <w:comment w:id="1" w:author="admin" w:date="2026-04-11T12:26:00Z" w:initials="a">
    <w:p w14:paraId="10ED6A58" w14:textId="4ADB1299" w:rsidR="0052779C" w:rsidRDefault="0052779C">
      <w:pPr>
        <w:pStyle w:val="CommentText"/>
      </w:pPr>
      <w:r>
        <w:rPr>
          <w:rStyle w:val="CommentReference"/>
        </w:rPr>
        <w:annotationRef/>
      </w:r>
      <w:r>
        <w:t>Repetition of first line</w:t>
      </w:r>
    </w:p>
  </w:comment>
  <w:comment w:id="2" w:author="admin" w:date="2026-04-11T12:28:00Z" w:initials="a">
    <w:p w14:paraId="40750B52" w14:textId="7E056339" w:rsidR="0052779C" w:rsidRDefault="0052779C">
      <w:pPr>
        <w:pStyle w:val="CommentText"/>
      </w:pPr>
      <w:r>
        <w:rPr>
          <w:rStyle w:val="CommentReference"/>
        </w:rPr>
        <w:annotationRef/>
      </w:r>
      <w:r>
        <w:t>Requires references</w:t>
      </w:r>
    </w:p>
  </w:comment>
  <w:comment w:id="3" w:author="admin" w:date="2026-04-11T12:27:00Z" w:initials="a">
    <w:p w14:paraId="79937CB0" w14:textId="22C8B5E3" w:rsidR="0052779C" w:rsidRDefault="0052779C">
      <w:pPr>
        <w:pStyle w:val="CommentText"/>
      </w:pPr>
      <w:r>
        <w:rPr>
          <w:rStyle w:val="CommentReference"/>
        </w:rPr>
        <w:annotationRef/>
      </w:r>
      <w:r>
        <w:t>Coherence of this is not relevant. It has to be either given in continuation of first paragraph.</w:t>
      </w:r>
    </w:p>
  </w:comment>
  <w:comment w:id="4" w:author="admin" w:date="2026-04-11T12:28:00Z" w:initials="a">
    <w:p w14:paraId="1BB454AF" w14:textId="4017F1A3" w:rsidR="0052779C" w:rsidRDefault="0052779C">
      <w:pPr>
        <w:pStyle w:val="CommentText"/>
      </w:pPr>
      <w:r>
        <w:rPr>
          <w:rStyle w:val="CommentReference"/>
        </w:rPr>
        <w:annotationRef/>
      </w:r>
      <w:r>
        <w:t>Reference must</w:t>
      </w:r>
    </w:p>
  </w:comment>
  <w:comment w:id="5" w:author="admin" w:date="2026-04-11T12:28:00Z" w:initials="a">
    <w:p w14:paraId="0A5B45DC" w14:textId="3AA82160" w:rsidR="0052779C" w:rsidRDefault="0052779C">
      <w:pPr>
        <w:pStyle w:val="CommentText"/>
      </w:pPr>
      <w:r>
        <w:rPr>
          <w:rStyle w:val="CommentReference"/>
        </w:rPr>
        <w:annotationRef/>
      </w:r>
      <w:r>
        <w:t>Needs reference</w:t>
      </w:r>
    </w:p>
  </w:comment>
  <w:comment w:id="6" w:author="admin" w:date="2026-04-11T12:29:00Z" w:initials="a">
    <w:p w14:paraId="37175F42" w14:textId="00AF46BF" w:rsidR="0052779C" w:rsidRDefault="0052779C">
      <w:pPr>
        <w:pStyle w:val="CommentText"/>
      </w:pPr>
      <w:r>
        <w:rPr>
          <w:rStyle w:val="CommentReference"/>
        </w:rPr>
        <w:annotationRef/>
      </w:r>
      <w:r>
        <w:t xml:space="preserve">Is this fact true? If yes, literatures concerning it has to be mentioned. </w:t>
      </w:r>
    </w:p>
  </w:comment>
  <w:comment w:id="7" w:author="admin" w:date="2026-04-11T12:29:00Z" w:initials="a">
    <w:p w14:paraId="5741D953" w14:textId="56830D89" w:rsidR="004216C2" w:rsidRDefault="004216C2">
      <w:pPr>
        <w:pStyle w:val="CommentText"/>
      </w:pPr>
      <w:r>
        <w:rPr>
          <w:rStyle w:val="CommentReference"/>
        </w:rPr>
        <w:annotationRef/>
      </w:r>
      <w:r>
        <w:t>Proof either in the form of publication reference is must.</w:t>
      </w:r>
    </w:p>
  </w:comment>
  <w:comment w:id="8" w:author="admin" w:date="2026-04-11T12:30:00Z" w:initials="a">
    <w:p w14:paraId="0A257330" w14:textId="3D7BAC4C" w:rsidR="004216C2" w:rsidRDefault="004216C2">
      <w:pPr>
        <w:pStyle w:val="CommentText"/>
      </w:pPr>
      <w:r>
        <w:rPr>
          <w:rStyle w:val="CommentReference"/>
        </w:rPr>
        <w:annotationRef/>
      </w:r>
      <w:r>
        <w:t>Why interspecific hybrid stock has been chosen?</w:t>
      </w:r>
    </w:p>
  </w:comment>
  <w:comment w:id="9" w:author="admin" w:date="2026-04-11T12:32:00Z" w:initials="a">
    <w:p w14:paraId="12BF3E6E" w14:textId="21B9DBFC" w:rsidR="004216C2" w:rsidRDefault="004216C2">
      <w:pPr>
        <w:pStyle w:val="CommentText"/>
      </w:pPr>
      <w:r>
        <w:rPr>
          <w:rStyle w:val="CommentReference"/>
        </w:rPr>
        <w:annotationRef/>
      </w:r>
      <w:r>
        <w:t xml:space="preserve">Are there any previous literatures about interspecific hybrid cultivation of guava. If any mention it. </w:t>
      </w:r>
    </w:p>
  </w:comment>
  <w:comment w:id="10" w:author="admin" w:date="2026-04-11T12:33:00Z" w:initials="a">
    <w:p w14:paraId="678D907F" w14:textId="2B04EBCD" w:rsidR="004216C2" w:rsidRDefault="004216C2">
      <w:pPr>
        <w:pStyle w:val="CommentText"/>
      </w:pPr>
      <w:r>
        <w:rPr>
          <w:rStyle w:val="CommentReference"/>
        </w:rPr>
        <w:annotationRef/>
      </w:r>
      <w:r>
        <w:t xml:space="preserve">Overall, the introduction is not more specific about the research problem and the research gap is not brief enough and lacks literatures. </w:t>
      </w:r>
    </w:p>
  </w:comment>
  <w:comment w:id="11" w:author="admin" w:date="2026-04-11T12:34:00Z" w:initials="a">
    <w:p w14:paraId="00F9D70D" w14:textId="58BE9DCC" w:rsidR="004216C2" w:rsidRDefault="004216C2">
      <w:pPr>
        <w:pStyle w:val="CommentText"/>
      </w:pPr>
      <w:r>
        <w:rPr>
          <w:rStyle w:val="CommentReference"/>
        </w:rPr>
        <w:annotationRef/>
      </w:r>
      <w:r>
        <w:t xml:space="preserve">Mention the name of the mixture </w:t>
      </w:r>
      <w:proofErr w:type="spellStart"/>
      <w:r>
        <w:t>eg</w:t>
      </w:r>
      <w:proofErr w:type="spellEnd"/>
      <w:r>
        <w:t>. Peat, vermiculite etc.</w:t>
      </w:r>
      <w:proofErr w:type="gramStart"/>
      <w:r>
        <w:t>,  and</w:t>
      </w:r>
      <w:proofErr w:type="gramEnd"/>
      <w:r>
        <w:t xml:space="preserve"> the season of planting </w:t>
      </w:r>
    </w:p>
  </w:comment>
  <w:comment w:id="12" w:author="admin" w:date="2026-04-11T12:44:00Z" w:initials="a">
    <w:p w14:paraId="565D189B" w14:textId="647567C1" w:rsidR="007428A8" w:rsidRDefault="007428A8">
      <w:pPr>
        <w:pStyle w:val="CommentText"/>
      </w:pPr>
      <w:r>
        <w:rPr>
          <w:rStyle w:val="CommentReference"/>
        </w:rPr>
        <w:annotationRef/>
      </w:r>
      <w:r>
        <w:t xml:space="preserve">Why only IBA is chosen among other </w:t>
      </w:r>
      <w:proofErr w:type="spellStart"/>
      <w:r>
        <w:t>auxins</w:t>
      </w:r>
      <w:proofErr w:type="spellEnd"/>
      <w:r>
        <w:t xml:space="preserve"> for promoting root regeneration?</w:t>
      </w:r>
      <w:bookmarkStart w:id="13" w:name="_GoBack"/>
      <w:bookmarkEnd w:id="13"/>
    </w:p>
  </w:comment>
  <w:comment w:id="14" w:author="admin" w:date="2026-04-11T12:35:00Z" w:initials="a">
    <w:p w14:paraId="11DF97FB" w14:textId="1DBB25DA" w:rsidR="004216C2" w:rsidRDefault="004216C2">
      <w:pPr>
        <w:pStyle w:val="CommentText"/>
      </w:pPr>
      <w:r>
        <w:rPr>
          <w:rStyle w:val="CommentReference"/>
        </w:rPr>
        <w:annotationRef/>
      </w:r>
      <w:r>
        <w:t>How much?</w:t>
      </w:r>
    </w:p>
  </w:comment>
  <w:comment w:id="15" w:author="admin" w:date="2026-04-11T12:35:00Z" w:initials="a">
    <w:p w14:paraId="76247AAD" w14:textId="4346F32E" w:rsidR="004216C2" w:rsidRDefault="004216C2">
      <w:pPr>
        <w:pStyle w:val="CommentText"/>
      </w:pPr>
      <w:r>
        <w:rPr>
          <w:rStyle w:val="CommentReference"/>
        </w:rPr>
        <w:annotationRef/>
      </w:r>
      <w:r>
        <w:t>What is the final volume?</w:t>
      </w:r>
    </w:p>
  </w:comment>
  <w:comment w:id="16" w:author="admin" w:date="2026-04-11T12:37:00Z" w:initials="a">
    <w:p w14:paraId="61C80779" w14:textId="55EDD06D" w:rsidR="004216C2" w:rsidRDefault="004216C2">
      <w:pPr>
        <w:pStyle w:val="CommentText"/>
      </w:pPr>
      <w:r>
        <w:rPr>
          <w:rStyle w:val="CommentReference"/>
        </w:rPr>
        <w:annotationRef/>
      </w:r>
      <w:r>
        <w:t>There are no images in result section for any of the experiment performed. Kindly ensure images are there to support the experimental result which could improve the standard of the manuscript.</w:t>
      </w:r>
    </w:p>
  </w:comment>
  <w:comment w:id="18" w:author="admin" w:date="2026-04-11T12:39:00Z" w:initials="a">
    <w:p w14:paraId="017A40BA" w14:textId="61F6EFF4" w:rsidR="004216C2" w:rsidRDefault="004216C2">
      <w:pPr>
        <w:pStyle w:val="CommentText"/>
      </w:pPr>
      <w:r>
        <w:rPr>
          <w:rStyle w:val="CommentReference"/>
        </w:rPr>
        <w:annotationRef/>
      </w:r>
      <w:r>
        <w:t xml:space="preserve">Foot note of the table is missing. Are the data’s significant. If yes, at what level </w:t>
      </w:r>
      <w:proofErr w:type="spellStart"/>
      <w:r>
        <w:t>ther</w:t>
      </w:r>
      <w:proofErr w:type="spellEnd"/>
      <w:r>
        <w:t xml:space="preserve"> are significant. Mention it. </w:t>
      </w:r>
    </w:p>
  </w:comment>
  <w:comment w:id="20" w:author="admin" w:date="2026-04-11T12:41:00Z" w:initials="a">
    <w:p w14:paraId="05D295E2" w14:textId="21C48786" w:rsidR="004216C2" w:rsidRDefault="004216C2">
      <w:pPr>
        <w:pStyle w:val="CommentText"/>
      </w:pPr>
      <w:r>
        <w:rPr>
          <w:rStyle w:val="CommentReference"/>
        </w:rPr>
        <w:annotationRef/>
      </w:r>
      <w:r w:rsidR="007428A8">
        <w:t>O</w:t>
      </w:r>
      <w:r>
        <w:t>nly</w:t>
      </w:r>
      <w:r w:rsidR="007428A8">
        <w:t xml:space="preserve"> root parameters have been compared, what about the chosen stock, treatment method, days of initiation, percentage of survival, morphology of the regenerated plant? How it differs from the mother plant? How the current study benefits the farmer community?</w:t>
      </w:r>
    </w:p>
  </w:comment>
  <w:comment w:id="21" w:author="admin" w:date="2026-04-11T12:43:00Z" w:initials="a">
    <w:p w14:paraId="5D4FB0C6" w14:textId="0ACB17FA" w:rsidR="007428A8" w:rsidRDefault="007428A8">
      <w:pPr>
        <w:pStyle w:val="CommentText"/>
      </w:pPr>
      <w:r>
        <w:rPr>
          <w:rStyle w:val="CommentReference"/>
        </w:rPr>
        <w:annotationRef/>
      </w:r>
      <w:r>
        <w:t xml:space="preserve">It is a </w:t>
      </w:r>
      <w:proofErr w:type="spellStart"/>
      <w:r>
        <w:t>sinlge</w:t>
      </w:r>
      <w:proofErr w:type="spellEnd"/>
      <w:r>
        <w:t xml:space="preserve"> line summary of the manuscript with major finding, future scope and recommendations and also should focus on contribution to the society. But, in current manuscript it is a collective summary of the result.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DB1B4" w14:textId="77777777" w:rsidR="00C45EB8" w:rsidRDefault="00C45EB8" w:rsidP="00926951">
      <w:pPr>
        <w:spacing w:after="0" w:line="240" w:lineRule="auto"/>
      </w:pPr>
      <w:r>
        <w:separator/>
      </w:r>
    </w:p>
  </w:endnote>
  <w:endnote w:type="continuationSeparator" w:id="0">
    <w:p w14:paraId="09931229" w14:textId="77777777" w:rsidR="00C45EB8" w:rsidRDefault="00C45EB8" w:rsidP="009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7F1F" w14:textId="77777777" w:rsidR="00926951" w:rsidRDefault="00926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28AD9" w14:textId="77777777" w:rsidR="00926951" w:rsidRDefault="00926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F079" w14:textId="77777777" w:rsidR="00926951" w:rsidRDefault="00926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C82EE" w14:textId="77777777" w:rsidR="00C45EB8" w:rsidRDefault="00C45EB8" w:rsidP="00926951">
      <w:pPr>
        <w:spacing w:after="0" w:line="240" w:lineRule="auto"/>
      </w:pPr>
      <w:r>
        <w:separator/>
      </w:r>
    </w:p>
  </w:footnote>
  <w:footnote w:type="continuationSeparator" w:id="0">
    <w:p w14:paraId="5B9BD076" w14:textId="77777777" w:rsidR="00C45EB8" w:rsidRDefault="00C45EB8" w:rsidP="00926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27795" w14:textId="46BC5A26" w:rsidR="00926951" w:rsidRDefault="00C45EB8">
    <w:pPr>
      <w:pStyle w:val="Header"/>
    </w:pPr>
    <w:r>
      <w:rPr>
        <w:noProof/>
      </w:rPr>
      <w:pict w14:anchorId="1B4BD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34375" w14:textId="1161EDCC" w:rsidR="00926951" w:rsidRDefault="00C45EB8">
    <w:pPr>
      <w:pStyle w:val="Header"/>
    </w:pPr>
    <w:r>
      <w:rPr>
        <w:noProof/>
      </w:rPr>
      <w:pict w14:anchorId="5C57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F5DE9" w14:textId="04B75813" w:rsidR="00926951" w:rsidRDefault="00C45EB8">
    <w:pPr>
      <w:pStyle w:val="Header"/>
    </w:pPr>
    <w:r>
      <w:rPr>
        <w:noProof/>
      </w:rPr>
      <w:pict w14:anchorId="039EF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F4EBE"/>
    <w:multiLevelType w:val="hybridMultilevel"/>
    <w:tmpl w:val="0C5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31F7"/>
    <w:rsid w:val="000A6553"/>
    <w:rsid w:val="00350A6F"/>
    <w:rsid w:val="004202D8"/>
    <w:rsid w:val="004216C2"/>
    <w:rsid w:val="00442320"/>
    <w:rsid w:val="0052779C"/>
    <w:rsid w:val="00537714"/>
    <w:rsid w:val="00570CFB"/>
    <w:rsid w:val="006A6B91"/>
    <w:rsid w:val="006E709F"/>
    <w:rsid w:val="007428A8"/>
    <w:rsid w:val="00817A0B"/>
    <w:rsid w:val="008A31F7"/>
    <w:rsid w:val="00926951"/>
    <w:rsid w:val="00975432"/>
    <w:rsid w:val="00985B7C"/>
    <w:rsid w:val="00C4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2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1F7"/>
    <w:rPr>
      <w:color w:val="0000FF" w:themeColor="hyperlink"/>
      <w:u w:val="single"/>
    </w:rPr>
  </w:style>
  <w:style w:type="paragraph" w:styleId="NormalWeb">
    <w:name w:val="Normal (Web)"/>
    <w:basedOn w:val="Normal"/>
    <w:uiPriority w:val="99"/>
    <w:unhideWhenUsed/>
    <w:rsid w:val="008A3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553"/>
    <w:rPr>
      <w:b/>
      <w:bCs/>
    </w:rPr>
  </w:style>
  <w:style w:type="table" w:styleId="TableGrid">
    <w:name w:val="Table Grid"/>
    <w:basedOn w:val="TableNormal"/>
    <w:uiPriority w:val="59"/>
    <w:rsid w:val="000A655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A6553"/>
    <w:rPr>
      <w:i/>
      <w:iCs/>
    </w:rPr>
  </w:style>
  <w:style w:type="paragraph" w:styleId="ListParagraph">
    <w:name w:val="List Paragraph"/>
    <w:basedOn w:val="Normal"/>
    <w:uiPriority w:val="34"/>
    <w:qFormat/>
    <w:rsid w:val="000A6553"/>
    <w:pPr>
      <w:ind w:left="720"/>
      <w:contextualSpacing/>
    </w:pPr>
  </w:style>
  <w:style w:type="character" w:customStyle="1" w:styleId="UnresolvedMention">
    <w:name w:val="Unresolved Mention"/>
    <w:basedOn w:val="DefaultParagraphFont"/>
    <w:uiPriority w:val="99"/>
    <w:semiHidden/>
    <w:unhideWhenUsed/>
    <w:rsid w:val="004202D8"/>
    <w:rPr>
      <w:color w:val="605E5C"/>
      <w:shd w:val="clear" w:color="auto" w:fill="E1DFDD"/>
    </w:rPr>
  </w:style>
  <w:style w:type="paragraph" w:styleId="Header">
    <w:name w:val="header"/>
    <w:basedOn w:val="Normal"/>
    <w:link w:val="HeaderChar"/>
    <w:uiPriority w:val="99"/>
    <w:unhideWhenUsed/>
    <w:rsid w:val="00926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951"/>
    <w:rPr>
      <w:rFonts w:eastAsiaTheme="minorEastAsia"/>
    </w:rPr>
  </w:style>
  <w:style w:type="paragraph" w:styleId="Footer">
    <w:name w:val="footer"/>
    <w:basedOn w:val="Normal"/>
    <w:link w:val="FooterChar"/>
    <w:uiPriority w:val="99"/>
    <w:unhideWhenUsed/>
    <w:rsid w:val="00926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951"/>
    <w:rPr>
      <w:rFonts w:eastAsiaTheme="minorEastAsia"/>
    </w:rPr>
  </w:style>
  <w:style w:type="paragraph" w:styleId="Revision">
    <w:name w:val="Revision"/>
    <w:hidden/>
    <w:uiPriority w:val="99"/>
    <w:semiHidden/>
    <w:rsid w:val="0052779C"/>
    <w:pPr>
      <w:spacing w:after="0" w:line="240" w:lineRule="auto"/>
    </w:pPr>
    <w:rPr>
      <w:rFonts w:eastAsiaTheme="minorEastAsia"/>
    </w:rPr>
  </w:style>
  <w:style w:type="paragraph" w:styleId="BalloonText">
    <w:name w:val="Balloon Text"/>
    <w:basedOn w:val="Normal"/>
    <w:link w:val="BalloonTextChar"/>
    <w:uiPriority w:val="99"/>
    <w:semiHidden/>
    <w:unhideWhenUsed/>
    <w:rsid w:val="00527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9C"/>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2779C"/>
    <w:rPr>
      <w:sz w:val="16"/>
      <w:szCs w:val="16"/>
    </w:rPr>
  </w:style>
  <w:style w:type="paragraph" w:styleId="CommentText">
    <w:name w:val="annotation text"/>
    <w:basedOn w:val="Normal"/>
    <w:link w:val="CommentTextChar"/>
    <w:uiPriority w:val="99"/>
    <w:semiHidden/>
    <w:unhideWhenUsed/>
    <w:rsid w:val="0052779C"/>
    <w:pPr>
      <w:spacing w:line="240" w:lineRule="auto"/>
    </w:pPr>
    <w:rPr>
      <w:sz w:val="20"/>
      <w:szCs w:val="20"/>
    </w:rPr>
  </w:style>
  <w:style w:type="character" w:customStyle="1" w:styleId="CommentTextChar">
    <w:name w:val="Comment Text Char"/>
    <w:basedOn w:val="DefaultParagraphFont"/>
    <w:link w:val="CommentText"/>
    <w:uiPriority w:val="99"/>
    <w:semiHidden/>
    <w:rsid w:val="005277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2779C"/>
    <w:rPr>
      <w:b/>
      <w:bCs/>
    </w:rPr>
  </w:style>
  <w:style w:type="character" w:customStyle="1" w:styleId="CommentSubjectChar">
    <w:name w:val="Comment Subject Char"/>
    <w:basedOn w:val="CommentTextChar"/>
    <w:link w:val="CommentSubject"/>
    <w:uiPriority w:val="99"/>
    <w:semiHidden/>
    <w:rsid w:val="005277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056B-24FD-41FA-AE82-7B5F4007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admin</cp:lastModifiedBy>
  <cp:revision>6</cp:revision>
  <dcterms:created xsi:type="dcterms:W3CDTF">2026-03-23T10:55:00Z</dcterms:created>
  <dcterms:modified xsi:type="dcterms:W3CDTF">2026-04-11T07:14:00Z</dcterms:modified>
</cp:coreProperties>
</file>