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8A5F" w14:textId="17F9573F" w:rsidR="00D80C0B" w:rsidRDefault="00D80C0B" w:rsidP="008A1436">
      <w:pPr>
        <w:spacing w:line="360" w:lineRule="auto"/>
        <w:jc w:val="center"/>
        <w:rPr>
          <w:rFonts w:ascii="Times New Roman" w:hAnsi="Times New Roman" w:cs="Times New Roman"/>
          <w:b/>
          <w:bCs/>
          <w:sz w:val="24"/>
          <w:szCs w:val="24"/>
        </w:rPr>
      </w:pPr>
      <w:r w:rsidRPr="00D80C0B">
        <w:rPr>
          <w:rFonts w:ascii="Times New Roman" w:hAnsi="Times New Roman" w:cs="Times New Roman"/>
          <w:b/>
          <w:bCs/>
          <w:sz w:val="24"/>
          <w:szCs w:val="24"/>
        </w:rPr>
        <w:t xml:space="preserve">Foliar Nano-Sulphur </w:t>
      </w:r>
      <w:r w:rsidR="00C73515">
        <w:rPr>
          <w:rFonts w:ascii="Times New Roman" w:hAnsi="Times New Roman" w:cs="Times New Roman"/>
          <w:b/>
          <w:bCs/>
          <w:sz w:val="24"/>
          <w:szCs w:val="24"/>
        </w:rPr>
        <w:t xml:space="preserve">Application </w:t>
      </w:r>
      <w:r w:rsidRPr="00D80C0B">
        <w:rPr>
          <w:rFonts w:ascii="Times New Roman" w:hAnsi="Times New Roman" w:cs="Times New Roman"/>
          <w:b/>
          <w:bCs/>
          <w:sz w:val="24"/>
          <w:szCs w:val="24"/>
        </w:rPr>
        <w:t>Enhances Growth Performance and Yield Formation in Sunflower (</w:t>
      </w:r>
      <w:r w:rsidRPr="00D80C0B">
        <w:rPr>
          <w:rFonts w:ascii="Times New Roman" w:hAnsi="Times New Roman" w:cs="Times New Roman"/>
          <w:b/>
          <w:bCs/>
          <w:i/>
          <w:iCs/>
          <w:sz w:val="24"/>
          <w:szCs w:val="24"/>
        </w:rPr>
        <w:t>Helianthus annuus</w:t>
      </w:r>
      <w:r w:rsidRPr="00D80C0B">
        <w:rPr>
          <w:rFonts w:ascii="Times New Roman" w:hAnsi="Times New Roman" w:cs="Times New Roman"/>
          <w:b/>
          <w:bCs/>
          <w:sz w:val="24"/>
          <w:szCs w:val="24"/>
        </w:rPr>
        <w:t xml:space="preserve"> L.)</w:t>
      </w:r>
    </w:p>
    <w:p w14:paraId="2D118865" w14:textId="77777777" w:rsidR="00D431DD" w:rsidRDefault="00D431DD" w:rsidP="002343C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p>
    <w:p w14:paraId="38767F4A" w14:textId="614137A2" w:rsidR="002343C5" w:rsidRPr="002343C5" w:rsidRDefault="002343C5" w:rsidP="002343C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2343C5">
        <w:rPr>
          <w:rFonts w:ascii="Times New Roman" w:eastAsia="Times New Roman" w:hAnsi="Times New Roman" w:cs="Times New Roman"/>
          <w:b/>
          <w:bCs/>
          <w:kern w:val="36"/>
          <w:sz w:val="24"/>
          <w:szCs w:val="24"/>
          <w:lang w:eastAsia="en-IN"/>
          <w14:ligatures w14:val="none"/>
        </w:rPr>
        <w:t>Abstract</w:t>
      </w:r>
    </w:p>
    <w:p w14:paraId="34FE0F87" w14:textId="406ADD37" w:rsidR="002343C5" w:rsidRDefault="002343C5" w:rsidP="00B12E7E">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commentRangeStart w:id="0"/>
      <w:r w:rsidRPr="002343C5">
        <w:rPr>
          <w:rFonts w:ascii="Times New Roman" w:eastAsia="Times New Roman" w:hAnsi="Times New Roman" w:cs="Times New Roman"/>
          <w:kern w:val="0"/>
          <w:sz w:val="24"/>
          <w:szCs w:val="24"/>
          <w:lang w:eastAsia="en-IN"/>
          <w14:ligatures w14:val="none"/>
        </w:rPr>
        <w:t xml:space="preserve">A pot culture experiment was conducted during the </w:t>
      </w:r>
      <w:r w:rsidRPr="002343C5">
        <w:rPr>
          <w:rFonts w:ascii="Times New Roman" w:eastAsia="Times New Roman" w:hAnsi="Times New Roman" w:cs="Times New Roman"/>
          <w:i/>
          <w:iCs/>
          <w:kern w:val="0"/>
          <w:sz w:val="24"/>
          <w:szCs w:val="24"/>
          <w:lang w:eastAsia="en-IN"/>
          <w14:ligatures w14:val="none"/>
        </w:rPr>
        <w:t>kharif</w:t>
      </w:r>
      <w:r w:rsidRPr="002343C5">
        <w:rPr>
          <w:rFonts w:ascii="Times New Roman" w:eastAsia="Times New Roman" w:hAnsi="Times New Roman" w:cs="Times New Roman"/>
          <w:kern w:val="0"/>
          <w:sz w:val="24"/>
          <w:szCs w:val="24"/>
          <w:lang w:eastAsia="en-IN"/>
          <w14:ligatures w14:val="none"/>
        </w:rPr>
        <w:t xml:space="preserve"> season of 2024 to evaluate the effect of foliar application of green synthesized sulphur nanoparticles</w:t>
      </w:r>
      <w:r>
        <w:rPr>
          <w:rFonts w:ascii="Times New Roman" w:eastAsia="Times New Roman" w:hAnsi="Times New Roman" w:cs="Times New Roman"/>
          <w:kern w:val="0"/>
          <w:sz w:val="24"/>
          <w:szCs w:val="24"/>
          <w:lang w:eastAsia="en-IN"/>
          <w14:ligatures w14:val="none"/>
        </w:rPr>
        <w:t xml:space="preserve">, </w:t>
      </w:r>
      <w:r w:rsidRPr="002343C5">
        <w:rPr>
          <w:rFonts w:ascii="Times New Roman" w:eastAsia="Times New Roman" w:hAnsi="Times New Roman" w:cs="Times New Roman"/>
          <w:kern w:val="0"/>
          <w:sz w:val="24"/>
          <w:szCs w:val="24"/>
          <w:lang w:eastAsia="en-IN"/>
          <w14:ligatures w14:val="none"/>
        </w:rPr>
        <w:t xml:space="preserve">prepared using pomegranate peel extract, with and without surfactant (Tween 20 @ 0.5 mL L⁻¹) on growth, physiological traits, yield attributes and seed sulphur content in sunflower. </w:t>
      </w:r>
      <w:commentRangeEnd w:id="0"/>
      <w:r w:rsidR="00073B81">
        <w:rPr>
          <w:rStyle w:val="CommentReference"/>
        </w:rPr>
        <w:commentReference w:id="0"/>
      </w:r>
      <w:r w:rsidRPr="002343C5">
        <w:rPr>
          <w:rFonts w:ascii="Times New Roman" w:eastAsia="Times New Roman" w:hAnsi="Times New Roman" w:cs="Times New Roman"/>
          <w:kern w:val="0"/>
          <w:sz w:val="24"/>
          <w:szCs w:val="24"/>
          <w:lang w:eastAsia="en-IN"/>
          <w14:ligatures w14:val="none"/>
        </w:rPr>
        <w:t xml:space="preserve">The experiment was laid out in a Completely Randomized Design with ten treatments and three replications. The results revealed that foliar application of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significantly improved plant growth, chlorophyll content, yield and seed sulphur content compared to control and zinc sulphate application. Among the treatments,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at 500 ppm along with Tween 20 recorded the highest plant height (199.4 cm), leaf area</w:t>
      </w:r>
      <w:r>
        <w:rPr>
          <w:rFonts w:ascii="Times New Roman" w:eastAsia="Times New Roman" w:hAnsi="Times New Roman" w:cs="Times New Roman"/>
          <w:kern w:val="0"/>
          <w:sz w:val="24"/>
          <w:szCs w:val="24"/>
          <w:lang w:eastAsia="en-IN"/>
          <w14:ligatures w14:val="none"/>
        </w:rPr>
        <w:t xml:space="preserve"> per plant </w:t>
      </w:r>
      <w:r w:rsidRPr="002343C5">
        <w:rPr>
          <w:rFonts w:ascii="Times New Roman" w:eastAsia="Times New Roman" w:hAnsi="Times New Roman" w:cs="Times New Roman"/>
          <w:kern w:val="0"/>
          <w:sz w:val="24"/>
          <w:szCs w:val="24"/>
          <w:lang w:eastAsia="en-IN"/>
          <w14:ligatures w14:val="none"/>
        </w:rPr>
        <w:t xml:space="preserve">(213.7 cm²), SPAD value (46.53), head diameter (14.67 cm) and seed yield per plant (73.1 g), and was statistically superior to most treatments. Seed sulphur content increased with increasing </w:t>
      </w:r>
      <w:r>
        <w:rPr>
          <w:rFonts w:ascii="Times New Roman" w:eastAsia="Times New Roman" w:hAnsi="Times New Roman" w:cs="Times New Roman"/>
          <w:kern w:val="0"/>
          <w:sz w:val="24"/>
          <w:szCs w:val="24"/>
          <w:lang w:eastAsia="en-IN"/>
          <w14:ligatures w14:val="none"/>
        </w:rPr>
        <w:t>nanoparticle</w:t>
      </w:r>
      <w:r w:rsidRPr="002343C5">
        <w:rPr>
          <w:rFonts w:ascii="Times New Roman" w:eastAsia="Times New Roman" w:hAnsi="Times New Roman" w:cs="Times New Roman"/>
          <w:kern w:val="0"/>
          <w:sz w:val="24"/>
          <w:szCs w:val="24"/>
          <w:lang w:eastAsia="en-IN"/>
          <w14:ligatures w14:val="none"/>
        </w:rPr>
        <w:t xml:space="preserve"> concentration, with the highest value (0.62%) observed at 1000 ppm with surfactant</w:t>
      </w:r>
      <w:commentRangeStart w:id="1"/>
      <w:r w:rsidRPr="002343C5">
        <w:rPr>
          <w:rFonts w:ascii="Times New Roman" w:eastAsia="Times New Roman" w:hAnsi="Times New Roman" w:cs="Times New Roman"/>
          <w:kern w:val="0"/>
          <w:sz w:val="24"/>
          <w:szCs w:val="24"/>
          <w:lang w:eastAsia="en-IN"/>
          <w14:ligatures w14:val="none"/>
        </w:rPr>
        <w:t xml:space="preserve">. The study indicated that the optimum concentration of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(500 ppm) combined with surfactant enhances nutrient use efficiency and productivity in sunflower, whereas higher concentrations are more effective for sulphur enrichment rather than yield improvement.</w:t>
      </w:r>
      <w:commentRangeEnd w:id="1"/>
      <w:r w:rsidR="00073B81">
        <w:rPr>
          <w:rStyle w:val="CommentReference"/>
        </w:rPr>
        <w:commentReference w:id="1"/>
      </w:r>
    </w:p>
    <w:p w14:paraId="0D6DEAED" w14:textId="0553F9AF" w:rsidR="00020B3D" w:rsidRPr="002343C5" w:rsidRDefault="00020B3D" w:rsidP="002343C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20B3D">
        <w:rPr>
          <w:rFonts w:ascii="Times New Roman" w:eastAsia="Times New Roman" w:hAnsi="Times New Roman" w:cs="Times New Roman"/>
          <w:b/>
          <w:bCs/>
          <w:kern w:val="0"/>
          <w:sz w:val="24"/>
          <w:szCs w:val="24"/>
          <w:lang w:eastAsia="en-IN"/>
          <w14:ligatures w14:val="none"/>
        </w:rPr>
        <w:t>Keywords:</w:t>
      </w:r>
      <w:r>
        <w:rPr>
          <w:rFonts w:ascii="Times New Roman" w:eastAsia="Times New Roman" w:hAnsi="Times New Roman" w:cs="Times New Roman"/>
          <w:kern w:val="0"/>
          <w:sz w:val="24"/>
          <w:szCs w:val="24"/>
          <w:lang w:eastAsia="en-IN"/>
          <w14:ligatures w14:val="none"/>
        </w:rPr>
        <w:t xml:space="preserve"> Foliar spray; Nanoparticle; Productivity; Sulphur nutrition; Sunflower</w:t>
      </w:r>
      <w:r>
        <w:rPr>
          <w:rFonts w:ascii="Times New Roman" w:eastAsia="Times New Roman" w:hAnsi="Times New Roman" w:cs="Times New Roman"/>
          <w:kern w:val="0"/>
          <w:sz w:val="24"/>
          <w:szCs w:val="24"/>
          <w:lang w:eastAsia="en-IN"/>
          <w14:ligatures w14:val="none"/>
        </w:rPr>
        <w:tab/>
      </w:r>
    </w:p>
    <w:p w14:paraId="09B1E415" w14:textId="1673AED6" w:rsidR="00AD3812" w:rsidRPr="00443C76" w:rsidRDefault="00AD3812" w:rsidP="00443C76">
      <w:pPr>
        <w:pStyle w:val="ListParagraph"/>
        <w:numPr>
          <w:ilvl w:val="0"/>
          <w:numId w:val="23"/>
        </w:numPr>
        <w:spacing w:line="360" w:lineRule="auto"/>
        <w:jc w:val="both"/>
        <w:rPr>
          <w:rFonts w:ascii="Times New Roman" w:eastAsia="Times New Roman" w:hAnsi="Times New Roman" w:cs="Times New Roman"/>
          <w:b/>
          <w:bCs/>
          <w:kern w:val="36"/>
          <w:sz w:val="24"/>
          <w:szCs w:val="24"/>
          <w:lang w:eastAsia="en-IN"/>
          <w14:ligatures w14:val="none"/>
        </w:rPr>
      </w:pPr>
      <w:r w:rsidRPr="00443C76">
        <w:rPr>
          <w:rFonts w:ascii="Times New Roman" w:eastAsia="Times New Roman" w:hAnsi="Times New Roman" w:cs="Times New Roman"/>
          <w:b/>
          <w:bCs/>
          <w:kern w:val="36"/>
          <w:sz w:val="24"/>
          <w:szCs w:val="24"/>
          <w:lang w:eastAsia="en-IN"/>
          <w14:ligatures w14:val="none"/>
        </w:rPr>
        <w:t>Introduction</w:t>
      </w:r>
    </w:p>
    <w:p w14:paraId="0887A876" w14:textId="17950FB4"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Sunflower (</w:t>
      </w:r>
      <w:r w:rsidRPr="00AD3812">
        <w:rPr>
          <w:rFonts w:ascii="Times New Roman" w:eastAsia="Times New Roman" w:hAnsi="Times New Roman" w:cs="Times New Roman"/>
          <w:i/>
          <w:iCs/>
          <w:kern w:val="36"/>
          <w:sz w:val="24"/>
          <w:szCs w:val="24"/>
          <w:lang w:eastAsia="en-IN"/>
          <w14:ligatures w14:val="none"/>
        </w:rPr>
        <w:t>Helianthus annuus</w:t>
      </w:r>
      <w:r w:rsidRPr="00AD3812">
        <w:rPr>
          <w:rFonts w:ascii="Times New Roman" w:eastAsia="Times New Roman" w:hAnsi="Times New Roman" w:cs="Times New Roman"/>
          <w:kern w:val="36"/>
          <w:sz w:val="24"/>
          <w:szCs w:val="24"/>
          <w:lang w:eastAsia="en-IN"/>
          <w14:ligatures w14:val="none"/>
        </w:rPr>
        <w:t xml:space="preserve"> L.) is one of the most important oilseed crops cultivated globally due to its high-quality edible oil and adaptability to a wide range of </w:t>
      </w:r>
      <w:proofErr w:type="spellStart"/>
      <w:r w:rsidRPr="00AD3812">
        <w:rPr>
          <w:rFonts w:ascii="Times New Roman" w:eastAsia="Times New Roman" w:hAnsi="Times New Roman" w:cs="Times New Roman"/>
          <w:kern w:val="36"/>
          <w:sz w:val="24"/>
          <w:szCs w:val="24"/>
          <w:lang w:eastAsia="en-IN"/>
          <w14:ligatures w14:val="none"/>
        </w:rPr>
        <w:t>agro</w:t>
      </w:r>
      <w:proofErr w:type="spellEnd"/>
      <w:r w:rsidRPr="00AD3812">
        <w:rPr>
          <w:rFonts w:ascii="Times New Roman" w:eastAsia="Times New Roman" w:hAnsi="Times New Roman" w:cs="Times New Roman"/>
          <w:kern w:val="36"/>
          <w:sz w:val="24"/>
          <w:szCs w:val="24"/>
          <w:lang w:eastAsia="en-IN"/>
          <w14:ligatures w14:val="none"/>
        </w:rPr>
        <w:t xml:space="preserve">-climatic conditions. Despite its economic importance, sunflower productivity is often constrained by inadequate and imbalanced nutrient management, particularly of secondary nutrients such as sulphur. Sulphur is an essential macronutrient involved in the synthesis of sulphur-containing amino acids, proteins, enzymes and vitamins and it plays a critical role in chlorophyll formation and oil biosynthesis. In oilseed crops, adequate sulphur supply has been reported to significantly enhance growth, photosynthetic efficiency, seed yield and oil quality (Shah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2022; Kumari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2025). However, intensive cultivation practices and the widespread use of </w:t>
      </w:r>
      <w:r w:rsidRPr="00AD3812">
        <w:rPr>
          <w:rFonts w:ascii="Times New Roman" w:eastAsia="Times New Roman" w:hAnsi="Times New Roman" w:cs="Times New Roman"/>
          <w:kern w:val="36"/>
          <w:sz w:val="24"/>
          <w:szCs w:val="24"/>
          <w:lang w:eastAsia="en-IN"/>
          <w14:ligatures w14:val="none"/>
        </w:rPr>
        <w:lastRenderedPageBreak/>
        <w:t xml:space="preserve">sulphur-deficient fertilizers have led to increasing sulphur deficiency in agricultural soils, thereby limiting crop productivity (Kamal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2025).</w:t>
      </w:r>
    </w:p>
    <w:p w14:paraId="2C3FC0DA" w14:textId="6BA5371E"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 xml:space="preserve">Recent advances in </w:t>
      </w:r>
      <w:commentRangeStart w:id="2"/>
      <w:r w:rsidRPr="00AD3812">
        <w:rPr>
          <w:rFonts w:ascii="Times New Roman" w:eastAsia="Times New Roman" w:hAnsi="Times New Roman" w:cs="Times New Roman"/>
          <w:kern w:val="36"/>
          <w:sz w:val="24"/>
          <w:szCs w:val="24"/>
          <w:lang w:eastAsia="en-IN"/>
          <w14:ligatures w14:val="none"/>
        </w:rPr>
        <w:t>nanotechnology</w:t>
      </w:r>
      <w:commentRangeEnd w:id="2"/>
      <w:r w:rsidR="0093193B">
        <w:rPr>
          <w:rStyle w:val="CommentReference"/>
        </w:rPr>
        <w:commentReference w:id="2"/>
      </w:r>
      <w:r w:rsidRPr="00AD3812">
        <w:rPr>
          <w:rFonts w:ascii="Times New Roman" w:eastAsia="Times New Roman" w:hAnsi="Times New Roman" w:cs="Times New Roman"/>
          <w:kern w:val="36"/>
          <w:sz w:val="24"/>
          <w:szCs w:val="24"/>
          <w:lang w:eastAsia="en-IN"/>
          <w14:ligatures w14:val="none"/>
        </w:rPr>
        <w:t xml:space="preserve"> have opened new avenues for improving nutrient use efficiency and sustainable crop production. </w:t>
      </w:r>
      <w:proofErr w:type="spellStart"/>
      <w:r w:rsidRPr="00AD3812">
        <w:rPr>
          <w:rFonts w:ascii="Times New Roman" w:eastAsia="Times New Roman" w:hAnsi="Times New Roman" w:cs="Times New Roman"/>
          <w:kern w:val="36"/>
          <w:sz w:val="24"/>
          <w:szCs w:val="24"/>
          <w:lang w:eastAsia="en-IN"/>
          <w14:ligatures w14:val="none"/>
        </w:rPr>
        <w:t>Nanofertilizers</w:t>
      </w:r>
      <w:proofErr w:type="spellEnd"/>
      <w:r w:rsidRPr="00AD3812">
        <w:rPr>
          <w:rFonts w:ascii="Times New Roman" w:eastAsia="Times New Roman" w:hAnsi="Times New Roman" w:cs="Times New Roman"/>
          <w:kern w:val="36"/>
          <w:sz w:val="24"/>
          <w:szCs w:val="24"/>
          <w:lang w:eastAsia="en-IN"/>
          <w14:ligatures w14:val="none"/>
        </w:rPr>
        <w:t xml:space="preserve">, owing to their nanoscale size, high surface area and enhanced reactivity, enable controlled and targeted delivery of nutrients, resulting in improved nutrient uptake and reduced losses (Kah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2018). Among them, sulphur nanoparticles (SNPs) have gained considerable attention as an efficient source of sulphur due to their ability to enhance nutrient availability and plant physiological responses. Studies have demonstrated that nano-sulphur application improves plant growth, photosynthetic activity and nutrient assimilation compared to conventional sulphur sources (</w:t>
      </w:r>
      <w:proofErr w:type="spellStart"/>
      <w:r w:rsidRPr="00AD3812">
        <w:rPr>
          <w:rFonts w:ascii="Times New Roman" w:eastAsia="Times New Roman" w:hAnsi="Times New Roman" w:cs="Times New Roman"/>
          <w:kern w:val="36"/>
          <w:sz w:val="24"/>
          <w:szCs w:val="24"/>
          <w:lang w:eastAsia="en-IN"/>
          <w14:ligatures w14:val="none"/>
        </w:rPr>
        <w:t>Ningthi</w:t>
      </w:r>
      <w:proofErr w:type="spellEnd"/>
      <w:r w:rsidRPr="00AD3812">
        <w:rPr>
          <w:rFonts w:ascii="Times New Roman" w:eastAsia="Times New Roman" w:hAnsi="Times New Roman" w:cs="Times New Roman"/>
          <w:kern w:val="36"/>
          <w:sz w:val="24"/>
          <w:szCs w:val="24"/>
          <w:lang w:eastAsia="en-IN"/>
          <w14:ligatures w14:val="none"/>
        </w:rPr>
        <w:t xml:space="preserve">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2024). The improved performance is attributed to the enhanced mobility and interaction of nanoparticles with plant tissues, which facilitates better absorption and utilization.</w:t>
      </w:r>
      <w:r w:rsidR="00B12E7E">
        <w:rPr>
          <w:rFonts w:ascii="Times New Roman" w:eastAsia="Times New Roman" w:hAnsi="Times New Roman" w:cs="Times New Roman"/>
          <w:kern w:val="36"/>
          <w:sz w:val="24"/>
          <w:szCs w:val="24"/>
          <w:lang w:eastAsia="en-IN"/>
          <w14:ligatures w14:val="none"/>
        </w:rPr>
        <w:t xml:space="preserve"> </w:t>
      </w:r>
      <w:r w:rsidRPr="00AD3812">
        <w:rPr>
          <w:rFonts w:ascii="Times New Roman" w:eastAsia="Times New Roman" w:hAnsi="Times New Roman" w:cs="Times New Roman"/>
          <w:kern w:val="36"/>
          <w:sz w:val="24"/>
          <w:szCs w:val="24"/>
          <w:lang w:eastAsia="en-IN"/>
          <w14:ligatures w14:val="none"/>
        </w:rPr>
        <w:t>Green synthesis of nanoparticles using plant extracts has emerged as an eco-friendly and sustainable alternative to conventional chemical methods. Plant-derived biomolecules act as natural reducing and stabilizing agents, enabling the formation of nanoparticles without the use of hazardous chemicals. Pomegranate peel extract, rich in polyphenols and antioxidants, has been widely recognized as an effective medium for nanoparticle synthesis, ensuring environmental safety and enhanced compatibility with plant systems.</w:t>
      </w:r>
    </w:p>
    <w:p w14:paraId="24D6488F" w14:textId="0E932460"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Foliar application of nutrients is an efficient method for supplying essential elements directly to plant tissues, particularly during critical growth stages. It ensures rapid nutrient absorption and minimizes losses associated with soil application. However, the effectiveness of foliar fertilization is often limited by poor adhesion and restricted penetration through the leaf cuticle. The use of surfactants plays a crucial role in improving spray characteristics by enhancing wetting, spreading and retention of the spray solution, thereby increasing nutrient uptake efficiency (Fernández and Eichert, 2009; Fernández and Brown, 2013). Non-ionic surfactants such as Tween 20 are particularly effective in improving foliar spray efficiency due to their ability to reduce surface tension and enhance cuticular permeability.</w:t>
      </w:r>
    </w:p>
    <w:p w14:paraId="4BAA55DD" w14:textId="3DE720D6"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commentRangeStart w:id="3"/>
      <w:r w:rsidRPr="00AD3812">
        <w:rPr>
          <w:rFonts w:ascii="Times New Roman" w:eastAsia="Times New Roman" w:hAnsi="Times New Roman" w:cs="Times New Roman"/>
          <w:kern w:val="36"/>
          <w:sz w:val="24"/>
          <w:szCs w:val="24"/>
          <w:lang w:eastAsia="en-IN"/>
          <w14:ligatures w14:val="none"/>
        </w:rPr>
        <w:t xml:space="preserve">Although the benefits of sulphur nutrition and </w:t>
      </w:r>
      <w:proofErr w:type="spellStart"/>
      <w:r w:rsidRPr="00AD3812">
        <w:rPr>
          <w:rFonts w:ascii="Times New Roman" w:eastAsia="Times New Roman" w:hAnsi="Times New Roman" w:cs="Times New Roman"/>
          <w:kern w:val="36"/>
          <w:sz w:val="24"/>
          <w:szCs w:val="24"/>
          <w:lang w:eastAsia="en-IN"/>
          <w14:ligatures w14:val="none"/>
        </w:rPr>
        <w:t>nanofertilizers</w:t>
      </w:r>
      <w:proofErr w:type="spellEnd"/>
      <w:r w:rsidRPr="00AD3812">
        <w:rPr>
          <w:rFonts w:ascii="Times New Roman" w:eastAsia="Times New Roman" w:hAnsi="Times New Roman" w:cs="Times New Roman"/>
          <w:kern w:val="36"/>
          <w:sz w:val="24"/>
          <w:szCs w:val="24"/>
          <w:lang w:eastAsia="en-IN"/>
          <w14:ligatures w14:val="none"/>
        </w:rPr>
        <w:t xml:space="preserve"> are well recognized, information on the combined application of green synthesized sulphur nanoparticles and surfactants in sunflower is limited. Therefore, the present study was undertaken to evaluate the influence of foliar application of SNPs synthesized using pomegranate peel extract, with and </w:t>
      </w:r>
      <w:r w:rsidRPr="00AD3812">
        <w:rPr>
          <w:rFonts w:ascii="Times New Roman" w:eastAsia="Times New Roman" w:hAnsi="Times New Roman" w:cs="Times New Roman"/>
          <w:kern w:val="36"/>
          <w:sz w:val="24"/>
          <w:szCs w:val="24"/>
          <w:lang w:eastAsia="en-IN"/>
          <w14:ligatures w14:val="none"/>
        </w:rPr>
        <w:lastRenderedPageBreak/>
        <w:t>without surfactant (Tween 20), on growth, physiological traits, yield attributes and seed sulphur content in sunflower.</w:t>
      </w:r>
      <w:commentRangeEnd w:id="3"/>
      <w:r w:rsidR="0093193B">
        <w:rPr>
          <w:rStyle w:val="CommentReference"/>
        </w:rPr>
        <w:commentReference w:id="3"/>
      </w:r>
    </w:p>
    <w:p w14:paraId="3203C69D" w14:textId="10A6022B" w:rsidR="009746F7" w:rsidRPr="00443C76" w:rsidRDefault="009746F7" w:rsidP="00443C76">
      <w:pPr>
        <w:pStyle w:val="ListParagraph"/>
        <w:numPr>
          <w:ilvl w:val="0"/>
          <w:numId w:val="23"/>
        </w:numPr>
        <w:spacing w:line="360" w:lineRule="auto"/>
        <w:jc w:val="both"/>
        <w:rPr>
          <w:rFonts w:ascii="Times New Roman" w:eastAsia="Times New Roman" w:hAnsi="Times New Roman" w:cs="Times New Roman"/>
          <w:b/>
          <w:sz w:val="24"/>
          <w:szCs w:val="24"/>
        </w:rPr>
      </w:pPr>
      <w:r w:rsidRPr="00443C76">
        <w:rPr>
          <w:rFonts w:ascii="Times New Roman" w:eastAsia="Times New Roman" w:hAnsi="Times New Roman" w:cs="Times New Roman"/>
          <w:b/>
          <w:sz w:val="24"/>
          <w:szCs w:val="24"/>
        </w:rPr>
        <w:t>Materials and methods:</w:t>
      </w:r>
    </w:p>
    <w:p w14:paraId="241A8C73" w14:textId="3306AA0A" w:rsidR="009746F7" w:rsidRPr="001C23A5" w:rsidRDefault="001C23A5" w:rsidP="001C23A5">
      <w:pPr>
        <w:spacing w:after="240" w:line="360" w:lineRule="auto"/>
        <w:jc w:val="both"/>
        <w:rPr>
          <w:rFonts w:ascii="Times New Roman" w:eastAsia="Times New Roman" w:hAnsi="Times New Roman" w:cs="Times New Roman"/>
          <w:kern w:val="0"/>
          <w:sz w:val="24"/>
          <w:szCs w:val="24"/>
          <w:lang w:eastAsia="en-IN"/>
          <w14:ligatures w14:val="none"/>
        </w:rPr>
      </w:pPr>
      <w:commentRangeStart w:id="4"/>
      <w:r w:rsidRPr="001C23A5">
        <w:rPr>
          <w:rFonts w:ascii="Times New Roman" w:eastAsia="Times New Roman" w:hAnsi="Times New Roman" w:cs="Times New Roman"/>
          <w:kern w:val="0"/>
          <w:sz w:val="24"/>
          <w:szCs w:val="24"/>
          <w:lang w:eastAsia="en-IN"/>
          <w14:ligatures w14:val="none"/>
        </w:rPr>
        <w:t xml:space="preserve">During the 2024 </w:t>
      </w:r>
      <w:r w:rsidRPr="001C23A5">
        <w:rPr>
          <w:rFonts w:ascii="Times New Roman" w:eastAsia="Times New Roman" w:hAnsi="Times New Roman" w:cs="Times New Roman"/>
          <w:i/>
          <w:iCs/>
          <w:kern w:val="0"/>
          <w:sz w:val="24"/>
          <w:szCs w:val="24"/>
          <w:lang w:eastAsia="en-IN"/>
          <w14:ligatures w14:val="none"/>
        </w:rPr>
        <w:t>kharif</w:t>
      </w:r>
      <w:r w:rsidRPr="001C23A5">
        <w:rPr>
          <w:rFonts w:ascii="Times New Roman" w:eastAsia="Times New Roman" w:hAnsi="Times New Roman" w:cs="Times New Roman"/>
          <w:kern w:val="0"/>
          <w:sz w:val="24"/>
          <w:szCs w:val="24"/>
          <w:lang w:eastAsia="en-IN"/>
          <w14:ligatures w14:val="none"/>
        </w:rPr>
        <w:t xml:space="preserve"> season, a pot culture experiment was carried out in the Horticultural Garden, College of Agriculture, </w:t>
      </w:r>
      <w:proofErr w:type="spellStart"/>
      <w:r w:rsidRPr="001C23A5">
        <w:rPr>
          <w:rFonts w:ascii="Times New Roman" w:eastAsia="Times New Roman" w:hAnsi="Times New Roman" w:cs="Times New Roman"/>
          <w:kern w:val="0"/>
          <w:sz w:val="24"/>
          <w:szCs w:val="24"/>
          <w:lang w:eastAsia="en-IN"/>
          <w14:ligatures w14:val="none"/>
        </w:rPr>
        <w:t>Rajendranagar</w:t>
      </w:r>
      <w:proofErr w:type="spellEnd"/>
      <w:r w:rsidRPr="001C23A5">
        <w:rPr>
          <w:rFonts w:ascii="Times New Roman" w:eastAsia="Times New Roman" w:hAnsi="Times New Roman" w:cs="Times New Roman"/>
          <w:kern w:val="0"/>
          <w:sz w:val="24"/>
          <w:szCs w:val="24"/>
          <w:lang w:eastAsia="en-IN"/>
          <w14:ligatures w14:val="none"/>
        </w:rPr>
        <w:t xml:space="preserve">, Professor Jayashankar Telangana Agricultural University, Hyderabad, India. </w:t>
      </w:r>
      <w:commentRangeStart w:id="5"/>
      <w:r w:rsidRPr="001C23A5">
        <w:rPr>
          <w:rFonts w:ascii="Times New Roman" w:eastAsia="Times New Roman" w:hAnsi="Times New Roman" w:cs="Times New Roman"/>
          <w:kern w:val="0"/>
          <w:sz w:val="24"/>
          <w:szCs w:val="24"/>
          <w:lang w:eastAsia="en-IN"/>
          <w14:ligatures w14:val="none"/>
        </w:rPr>
        <w:t>The experimental farm is situated 523 meters above mean sea level in latitude 17°19′15.24′ N and longitude 78°25′1.85′ E</w:t>
      </w:r>
      <w:commentRangeEnd w:id="4"/>
      <w:r w:rsidR="008315AC">
        <w:rPr>
          <w:rStyle w:val="CommentReference"/>
        </w:rPr>
        <w:commentReference w:id="4"/>
      </w:r>
      <w:r w:rsidRPr="001C23A5">
        <w:rPr>
          <w:rFonts w:ascii="Times New Roman" w:eastAsia="Times New Roman" w:hAnsi="Times New Roman" w:cs="Times New Roman"/>
          <w:kern w:val="0"/>
          <w:sz w:val="24"/>
          <w:szCs w:val="24"/>
          <w:lang w:eastAsia="en-IN"/>
          <w14:ligatures w14:val="none"/>
        </w:rPr>
        <w:t>. Sunflower (Helianthus annuus L.) variety NDSH-1012 was used in the experiment</w:t>
      </w:r>
      <w:commentRangeEnd w:id="5"/>
      <w:r w:rsidR="000205D6">
        <w:rPr>
          <w:rStyle w:val="CommentReference"/>
        </w:rPr>
        <w:commentReference w:id="5"/>
      </w:r>
      <w:r w:rsidRPr="001C23A5">
        <w:rPr>
          <w:rFonts w:ascii="Times New Roman" w:eastAsia="Times New Roman" w:hAnsi="Times New Roman" w:cs="Times New Roman"/>
          <w:kern w:val="0"/>
          <w:sz w:val="24"/>
          <w:szCs w:val="24"/>
          <w:lang w:eastAsia="en-IN"/>
          <w14:ligatures w14:val="none"/>
        </w:rPr>
        <w:t xml:space="preserve">. Ten treatments with three replications made up the completely randomized design of the trial. At a rate of 75:90:30 kg ha⁻¹ of N, </w:t>
      </w:r>
      <w:commentRangeStart w:id="6"/>
      <w:r w:rsidRPr="001C23A5">
        <w:rPr>
          <w:rFonts w:ascii="Times New Roman" w:eastAsia="Times New Roman" w:hAnsi="Times New Roman" w:cs="Times New Roman"/>
          <w:kern w:val="0"/>
          <w:sz w:val="24"/>
          <w:szCs w:val="24"/>
          <w:lang w:eastAsia="en-IN"/>
          <w14:ligatures w14:val="none"/>
        </w:rPr>
        <w:t xml:space="preserve">P2O₂, </w:t>
      </w:r>
      <w:commentRangeEnd w:id="6"/>
      <w:r w:rsidR="000205D6">
        <w:rPr>
          <w:rStyle w:val="CommentReference"/>
        </w:rPr>
        <w:commentReference w:id="6"/>
      </w:r>
      <w:r w:rsidRPr="001C23A5">
        <w:rPr>
          <w:rFonts w:ascii="Times New Roman" w:eastAsia="Times New Roman" w:hAnsi="Times New Roman" w:cs="Times New Roman"/>
          <w:kern w:val="0"/>
          <w:sz w:val="24"/>
          <w:szCs w:val="24"/>
          <w:lang w:eastAsia="en-IN"/>
          <w14:ligatures w14:val="none"/>
        </w:rPr>
        <w:t xml:space="preserve">and </w:t>
      </w:r>
      <w:commentRangeStart w:id="7"/>
      <w:r w:rsidRPr="001C23A5">
        <w:rPr>
          <w:rFonts w:ascii="Times New Roman" w:eastAsia="Times New Roman" w:hAnsi="Times New Roman" w:cs="Times New Roman"/>
          <w:kern w:val="0"/>
          <w:sz w:val="24"/>
          <w:szCs w:val="24"/>
          <w:lang w:eastAsia="en-IN"/>
          <w14:ligatures w14:val="none"/>
        </w:rPr>
        <w:t>K2O</w:t>
      </w:r>
      <w:commentRangeEnd w:id="7"/>
      <w:r w:rsidR="000205D6">
        <w:rPr>
          <w:rStyle w:val="CommentReference"/>
        </w:rPr>
        <w:commentReference w:id="7"/>
      </w:r>
      <w:r w:rsidRPr="001C23A5">
        <w:rPr>
          <w:rFonts w:ascii="Times New Roman" w:eastAsia="Times New Roman" w:hAnsi="Times New Roman" w:cs="Times New Roman"/>
          <w:kern w:val="0"/>
          <w:sz w:val="24"/>
          <w:szCs w:val="24"/>
          <w:lang w:eastAsia="en-IN"/>
          <w14:ligatures w14:val="none"/>
        </w:rPr>
        <w:t xml:space="preserve">, respectively, the recommended dose of fertilizers (RDF) was applied. Urea, diammonium phosphate, and muriate of potash provided nitrogen, phosphorus, and potassium. </w:t>
      </w:r>
      <w:commentRangeStart w:id="8"/>
      <w:r w:rsidRPr="001C23A5">
        <w:rPr>
          <w:rFonts w:ascii="Times New Roman" w:eastAsia="Times New Roman" w:hAnsi="Times New Roman" w:cs="Times New Roman"/>
          <w:kern w:val="0"/>
          <w:sz w:val="24"/>
          <w:szCs w:val="24"/>
          <w:lang w:eastAsia="en-IN"/>
          <w14:ligatures w14:val="none"/>
        </w:rPr>
        <w:t>Additionally, for the irrigated crop in all treatments, boron was sprayed on the leaves as borax @ 0.2% at the ray floret opening stage</w:t>
      </w:r>
      <w:commentRangeStart w:id="9"/>
      <w:r w:rsidRPr="001C23A5">
        <w:rPr>
          <w:rFonts w:ascii="Times New Roman" w:eastAsia="Times New Roman" w:hAnsi="Times New Roman" w:cs="Times New Roman"/>
          <w:kern w:val="0"/>
          <w:sz w:val="24"/>
          <w:szCs w:val="24"/>
          <w:lang w:eastAsia="en-IN"/>
          <w14:ligatures w14:val="none"/>
        </w:rPr>
        <w:t>.</w:t>
      </w:r>
      <w:commentRangeEnd w:id="8"/>
      <w:r w:rsidR="000205D6">
        <w:rPr>
          <w:rStyle w:val="CommentReference"/>
        </w:rPr>
        <w:commentReference w:id="8"/>
      </w:r>
      <w:r w:rsidRPr="001C23A5">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In addition to a control and zinc sulphate as a foliar spray treatment, the treatments included varying concentrations of SNPs made from the green synthesis approach using pomegranate peel extract and delivered as foliar sprays with or without surfactant (Tween-20 @ 0.5 mL L⁻¹). </w:t>
      </w:r>
      <w:commentRangeEnd w:id="9"/>
      <w:r w:rsidR="008315AC">
        <w:rPr>
          <w:rStyle w:val="CommentReference"/>
        </w:rPr>
        <w:commentReference w:id="9"/>
      </w:r>
      <w:r w:rsidRPr="001C23A5">
        <w:rPr>
          <w:rFonts w:ascii="Times New Roman" w:eastAsia="Times New Roman" w:hAnsi="Times New Roman" w:cs="Times New Roman"/>
          <w:kern w:val="0"/>
          <w:sz w:val="24"/>
          <w:szCs w:val="24"/>
          <w:lang w:eastAsia="en-IN"/>
          <w14:ligatures w14:val="none"/>
        </w:rPr>
        <w:t xml:space="preserve">T₁: Control (RDF NPK), </w:t>
      </w:r>
      <w:r>
        <w:rPr>
          <w:rFonts w:ascii="Times New Roman" w:eastAsia="Times New Roman" w:hAnsi="Times New Roman" w:cs="Times New Roman"/>
          <w:kern w:val="0"/>
          <w:sz w:val="24"/>
          <w:szCs w:val="24"/>
          <w:lang w:eastAsia="en-IN"/>
          <w14:ligatures w14:val="none"/>
        </w:rPr>
        <w:t>T</w:t>
      </w:r>
      <w:r w:rsidRPr="001C23A5">
        <w:rPr>
          <w:rFonts w:ascii="Times New Roman" w:eastAsia="Times New Roman" w:hAnsi="Times New Roman" w:cs="Times New Roman"/>
          <w:kern w:val="0"/>
          <w:sz w:val="24"/>
          <w:szCs w:val="24"/>
          <w:vertAlign w:val="subscript"/>
          <w:lang w:eastAsia="en-IN"/>
          <w14:ligatures w14:val="none"/>
        </w:rPr>
        <w:t>2</w:t>
      </w:r>
      <w:r>
        <w:rPr>
          <w:rFonts w:ascii="Times New Roman" w:eastAsia="Times New Roman" w:hAnsi="Times New Roman" w:cs="Times New Roman"/>
          <w:kern w:val="0"/>
          <w:sz w:val="24"/>
          <w:szCs w:val="24"/>
          <w:lang w:eastAsia="en-IN"/>
          <w14:ligatures w14:val="none"/>
        </w:rPr>
        <w:t xml:space="preserve">: </w:t>
      </w:r>
      <w:proofErr w:type="spellStart"/>
      <w:r w:rsidRPr="001C23A5">
        <w:rPr>
          <w:rFonts w:ascii="Times New Roman" w:eastAsia="Times New Roman" w:hAnsi="Times New Roman" w:cs="Times New Roman"/>
          <w:kern w:val="0"/>
          <w:sz w:val="24"/>
          <w:szCs w:val="24"/>
          <w:lang w:eastAsia="en-IN"/>
          <w14:ligatures w14:val="none"/>
        </w:rPr>
        <w:t>ZnSO</w:t>
      </w:r>
      <w:proofErr w:type="spellEnd"/>
      <w:r w:rsidRPr="001C23A5">
        <w:rPr>
          <w:rFonts w:ascii="Times New Roman" w:eastAsia="Times New Roman" w:hAnsi="Times New Roman" w:cs="Times New Roman"/>
          <w:kern w:val="0"/>
          <w:sz w:val="24"/>
          <w:szCs w:val="24"/>
          <w:lang w:eastAsia="en-IN"/>
          <w14:ligatures w14:val="none"/>
        </w:rPr>
        <w:t xml:space="preserve">₄ @ 0.5%, </w:t>
      </w:r>
      <w:r>
        <w:rPr>
          <w:rFonts w:ascii="Times New Roman" w:eastAsia="Times New Roman" w:hAnsi="Times New Roman" w:cs="Times New Roman"/>
          <w:kern w:val="0"/>
          <w:sz w:val="24"/>
          <w:szCs w:val="24"/>
          <w:lang w:eastAsia="en-IN"/>
          <w14:ligatures w14:val="none"/>
        </w:rPr>
        <w:t>T</w:t>
      </w:r>
      <w:proofErr w:type="gramStart"/>
      <w:r>
        <w:rPr>
          <w:rFonts w:ascii="Times New Roman" w:eastAsia="Times New Roman" w:hAnsi="Times New Roman" w:cs="Times New Roman"/>
          <w:kern w:val="0"/>
          <w:sz w:val="24"/>
          <w:szCs w:val="24"/>
          <w:vertAlign w:val="subscript"/>
          <w:lang w:eastAsia="en-IN"/>
          <w14:ligatures w14:val="none"/>
        </w:rPr>
        <w:t>3</w:t>
      </w:r>
      <w:r>
        <w:rPr>
          <w:rFonts w:ascii="Times New Roman" w:eastAsia="Times New Roman" w:hAnsi="Times New Roman" w:cs="Times New Roman"/>
          <w:kern w:val="0"/>
          <w:sz w:val="24"/>
          <w:szCs w:val="24"/>
          <w:lang w:eastAsia="en-IN"/>
          <w14:ligatures w14:val="none"/>
        </w:rPr>
        <w:t>:</w:t>
      </w:r>
      <w:r w:rsidRPr="001C23A5">
        <w:rPr>
          <w:rFonts w:ascii="Times New Roman" w:eastAsia="Times New Roman" w:hAnsi="Times New Roman" w:cs="Times New Roman"/>
          <w:kern w:val="0"/>
          <w:sz w:val="24"/>
          <w:szCs w:val="24"/>
          <w:lang w:eastAsia="en-IN"/>
          <w14:ligatures w14:val="none"/>
        </w:rPr>
        <w:t>SNPs</w:t>
      </w:r>
      <w:proofErr w:type="gramEnd"/>
      <w:r w:rsidRPr="001C23A5">
        <w:rPr>
          <w:rFonts w:ascii="Times New Roman" w:eastAsia="Times New Roman" w:hAnsi="Times New Roman" w:cs="Times New Roman"/>
          <w:kern w:val="0"/>
          <w:sz w:val="24"/>
          <w:szCs w:val="24"/>
          <w:lang w:eastAsia="en-IN"/>
          <w14:ligatures w14:val="none"/>
        </w:rPr>
        <w:t xml:space="preserve"> @ 250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4</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250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5</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500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6</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500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7</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750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8</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750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9</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SNPs @ 1000 ppm, and</w:t>
      </w:r>
      <w:r>
        <w:rPr>
          <w:rFonts w:ascii="Times New Roman" w:eastAsia="Times New Roman" w:hAnsi="Times New Roman" w:cs="Times New Roman"/>
          <w:kern w:val="0"/>
          <w:sz w:val="24"/>
          <w:szCs w:val="24"/>
          <w:lang w:eastAsia="en-IN"/>
          <w14:ligatures w14:val="none"/>
        </w:rPr>
        <w:t xml:space="preserve"> T</w:t>
      </w:r>
      <w:r>
        <w:rPr>
          <w:rFonts w:ascii="Times New Roman" w:eastAsia="Times New Roman" w:hAnsi="Times New Roman" w:cs="Times New Roman"/>
          <w:kern w:val="0"/>
          <w:sz w:val="24"/>
          <w:szCs w:val="24"/>
          <w:vertAlign w:val="subscript"/>
          <w:lang w:eastAsia="en-IN"/>
          <w14:ligatures w14:val="none"/>
        </w:rPr>
        <w:t>10</w:t>
      </w:r>
      <w:r>
        <w:rPr>
          <w:rFonts w:ascii="Times New Roman" w:eastAsia="Times New Roman" w:hAnsi="Times New Roman" w:cs="Times New Roman"/>
          <w:kern w:val="0"/>
          <w:sz w:val="24"/>
          <w:szCs w:val="24"/>
          <w:lang w:eastAsia="en-IN"/>
          <w14:ligatures w14:val="none"/>
        </w:rPr>
        <w:t>:</w:t>
      </w:r>
      <w:r w:rsidRPr="001C23A5">
        <w:rPr>
          <w:rFonts w:ascii="Times New Roman" w:eastAsia="Times New Roman" w:hAnsi="Times New Roman" w:cs="Times New Roman"/>
          <w:kern w:val="0"/>
          <w:sz w:val="24"/>
          <w:szCs w:val="24"/>
          <w:lang w:eastAsia="en-IN"/>
          <w14:ligatures w14:val="none"/>
        </w:rPr>
        <w:t xml:space="preserve"> SNPs @ 1000 ppm + surfactant were the treatments. A manually operated </w:t>
      </w:r>
      <w:r>
        <w:rPr>
          <w:rFonts w:ascii="Times New Roman" w:eastAsia="Times New Roman" w:hAnsi="Times New Roman" w:cs="Times New Roman"/>
          <w:kern w:val="0"/>
          <w:sz w:val="24"/>
          <w:szCs w:val="24"/>
          <w:lang w:eastAsia="en-IN"/>
          <w14:ligatures w14:val="none"/>
        </w:rPr>
        <w:t xml:space="preserve">hydraulic sprayer </w:t>
      </w:r>
      <w:r w:rsidRPr="001C23A5">
        <w:rPr>
          <w:rFonts w:ascii="Times New Roman" w:eastAsia="Times New Roman" w:hAnsi="Times New Roman" w:cs="Times New Roman"/>
          <w:kern w:val="0"/>
          <w:sz w:val="24"/>
          <w:szCs w:val="24"/>
          <w:lang w:eastAsia="en-IN"/>
          <w14:ligatures w14:val="none"/>
        </w:rPr>
        <w:t>was used to apply synthesized SNPs as foliar sprays</w:t>
      </w:r>
      <w:r>
        <w:rPr>
          <w:rFonts w:ascii="Times New Roman" w:eastAsia="Times New Roman" w:hAnsi="Times New Roman" w:cs="Times New Roman"/>
          <w:kern w:val="0"/>
          <w:sz w:val="24"/>
          <w:szCs w:val="24"/>
          <w:lang w:eastAsia="en-IN"/>
          <w14:ligatures w14:val="none"/>
        </w:rPr>
        <w:t xml:space="preserve"> given as t</w:t>
      </w:r>
      <w:r w:rsidRPr="001C23A5">
        <w:rPr>
          <w:rFonts w:ascii="Times New Roman" w:eastAsia="Times New Roman" w:hAnsi="Times New Roman" w:cs="Times New Roman"/>
          <w:kern w:val="0"/>
          <w:sz w:val="24"/>
          <w:szCs w:val="24"/>
          <w:lang w:eastAsia="en-IN"/>
          <w14:ligatures w14:val="none"/>
        </w:rPr>
        <w:t xml:space="preserve">wo sprays during the crop growth period: the first spray at the head initiation stage and the second spray at 15 days after the first </w:t>
      </w:r>
      <w:commentRangeStart w:id="10"/>
      <w:r w:rsidRPr="001C23A5">
        <w:rPr>
          <w:rFonts w:ascii="Times New Roman" w:eastAsia="Times New Roman" w:hAnsi="Times New Roman" w:cs="Times New Roman"/>
          <w:kern w:val="0"/>
          <w:sz w:val="24"/>
          <w:szCs w:val="24"/>
          <w:lang w:eastAsia="en-IN"/>
          <w14:ligatures w14:val="none"/>
        </w:rPr>
        <w:t>spray</w:t>
      </w:r>
      <w:commentRangeEnd w:id="10"/>
      <w:r w:rsidR="00C05E52">
        <w:rPr>
          <w:rStyle w:val="CommentReference"/>
        </w:rPr>
        <w:commentReference w:id="10"/>
      </w:r>
      <w:r w:rsidRPr="001C23A5">
        <w:rPr>
          <w:rFonts w:ascii="Times New Roman" w:eastAsia="Times New Roman" w:hAnsi="Times New Roman" w:cs="Times New Roman"/>
          <w:kern w:val="0"/>
          <w:sz w:val="24"/>
          <w:szCs w:val="24"/>
          <w:lang w:eastAsia="en-IN"/>
          <w14:ligatures w14:val="none"/>
        </w:rPr>
        <w:t>.</w:t>
      </w:r>
    </w:p>
    <w:p w14:paraId="7FE7C237" w14:textId="042C6143" w:rsidR="00484DBC" w:rsidRPr="00443C76" w:rsidRDefault="00484DBC" w:rsidP="00443C76">
      <w:pPr>
        <w:pStyle w:val="ListParagraph"/>
        <w:numPr>
          <w:ilvl w:val="0"/>
          <w:numId w:val="23"/>
        </w:numPr>
        <w:spacing w:after="0" w:line="240" w:lineRule="auto"/>
        <w:rPr>
          <w:rFonts w:ascii="Times New Roman" w:eastAsia="Times New Roman" w:hAnsi="Times New Roman" w:cs="Times New Roman"/>
          <w:b/>
          <w:bCs/>
          <w:kern w:val="0"/>
          <w:sz w:val="24"/>
          <w:szCs w:val="24"/>
          <w:lang w:eastAsia="en-IN"/>
          <w14:ligatures w14:val="none"/>
        </w:rPr>
      </w:pPr>
      <w:r w:rsidRPr="00443C76">
        <w:rPr>
          <w:rFonts w:ascii="Times New Roman" w:eastAsia="Times New Roman" w:hAnsi="Times New Roman" w:cs="Times New Roman"/>
          <w:b/>
          <w:bCs/>
          <w:kern w:val="0"/>
          <w:sz w:val="24"/>
          <w:szCs w:val="24"/>
          <w:lang w:eastAsia="en-IN"/>
          <w14:ligatures w14:val="none"/>
        </w:rPr>
        <w:t>Results and discussion:</w:t>
      </w:r>
    </w:p>
    <w:p w14:paraId="50A0DA53" w14:textId="26A06B5D" w:rsidR="00B00E2D" w:rsidRPr="009746F7" w:rsidRDefault="00B00E2D" w:rsidP="00B12E7E">
      <w:pPr>
        <w:pStyle w:val="NormalWeb"/>
        <w:spacing w:line="360" w:lineRule="auto"/>
        <w:ind w:firstLine="720"/>
        <w:jc w:val="both"/>
        <w:rPr>
          <w:color w:val="000000" w:themeColor="text1"/>
        </w:rPr>
      </w:pPr>
      <w:r w:rsidRPr="009746F7">
        <w:rPr>
          <w:color w:val="000000" w:themeColor="text1"/>
        </w:rPr>
        <w:t>The results of the present investigation clearly demonstrated that foliar application of green synthesized sulphur nanoparticles (SNPs), prepared using pomegranate peel extract, with and without surfactant (Tween 20 @ 0.5 ml L⁻¹), significantly influenced growth, physiological traits, yield attributes and seed sulphur content in sunflower. The variation in crop performance across treatments indicates the combined effect of nanoparticle concentration and efficiency of foliar absorption</w:t>
      </w:r>
      <w:r w:rsidR="00B12E7E">
        <w:rPr>
          <w:color w:val="000000" w:themeColor="text1"/>
        </w:rPr>
        <w:t xml:space="preserve"> (Table 1)</w:t>
      </w:r>
      <w:r w:rsidRPr="009746F7">
        <w:rPr>
          <w:color w:val="000000" w:themeColor="text1"/>
        </w:rPr>
        <w:t>.</w:t>
      </w:r>
    </w:p>
    <w:p w14:paraId="45E478B2" w14:textId="77777777" w:rsidR="00B00E2D" w:rsidRPr="009746F7" w:rsidRDefault="00B00E2D" w:rsidP="00B12E7E">
      <w:pPr>
        <w:pStyle w:val="NormalWeb"/>
        <w:spacing w:line="360" w:lineRule="auto"/>
        <w:ind w:firstLine="720"/>
        <w:jc w:val="both"/>
        <w:rPr>
          <w:color w:val="000000" w:themeColor="text1"/>
        </w:rPr>
      </w:pPr>
      <w:commentRangeStart w:id="11"/>
      <w:r w:rsidRPr="009746F7">
        <w:rPr>
          <w:color w:val="000000" w:themeColor="text1"/>
        </w:rPr>
        <w:t xml:space="preserve">Plant height was significantly influenced by the treatments, with the maximum height (199.4 cm) recorded under foliar application of SNPs at 500 ppm along with Tween 20, which </w:t>
      </w:r>
      <w:r w:rsidRPr="009746F7">
        <w:rPr>
          <w:color w:val="000000" w:themeColor="text1"/>
        </w:rPr>
        <w:lastRenderedPageBreak/>
        <w:t xml:space="preserve">was statistically on par with SNPs at 500 ppm without surfactant and SNPs at 250 ppm with surfactant, but significantly superior to all other treatments. </w:t>
      </w:r>
      <w:commentRangeEnd w:id="11"/>
      <w:r w:rsidR="00C05E52">
        <w:rPr>
          <w:rStyle w:val="CommentReference"/>
          <w:rFonts w:asciiTheme="minorHAnsi" w:eastAsiaTheme="minorHAnsi" w:hAnsiTheme="minorHAnsi" w:cstheme="minorBidi"/>
          <w:kern w:val="2"/>
          <w:lang w:eastAsia="en-US"/>
          <w14:ligatures w14:val="standardContextual"/>
        </w:rPr>
        <w:commentReference w:id="11"/>
      </w:r>
      <w:r w:rsidRPr="009746F7">
        <w:rPr>
          <w:color w:val="000000" w:themeColor="text1"/>
        </w:rPr>
        <w:t xml:space="preserve">The enhancement in plant height may be attributed to the role of sulphur in the synthesis of essential amino acids such as cysteine and methionine, which are fundamental for protein formation and cell division. Sulphur also plays a key role in enzyme activation and chloroplast development, thereby promoting vegetative growth. The improved performance of nanoparticle-based sulphur over conventional sources may be due to their higher surface area and reactivity, leading to better absorption and utilization by plants, as reported by </w:t>
      </w:r>
      <w:commentRangeStart w:id="12"/>
      <w:r w:rsidRPr="009746F7">
        <w:rPr>
          <w:rStyle w:val="whitespace-normal"/>
          <w:rFonts w:eastAsiaTheme="majorEastAsia"/>
          <w:color w:val="000000" w:themeColor="text1"/>
        </w:rPr>
        <w:t>Raliya et al.</w:t>
      </w:r>
      <w:r w:rsidRPr="009746F7">
        <w:rPr>
          <w:color w:val="000000" w:themeColor="text1"/>
        </w:rPr>
        <w:t xml:space="preserve"> (2015), </w:t>
      </w:r>
      <w:commentRangeEnd w:id="12"/>
      <w:r w:rsidR="00AD697E">
        <w:rPr>
          <w:rStyle w:val="CommentReference"/>
          <w:rFonts w:asciiTheme="minorHAnsi" w:eastAsiaTheme="minorHAnsi" w:hAnsiTheme="minorHAnsi" w:cstheme="minorBidi"/>
          <w:kern w:val="2"/>
          <w:lang w:eastAsia="en-US"/>
          <w14:ligatures w14:val="standardContextual"/>
        </w:rPr>
        <w:commentReference w:id="12"/>
      </w:r>
      <w:r w:rsidRPr="009746F7">
        <w:rPr>
          <w:color w:val="000000" w:themeColor="text1"/>
        </w:rPr>
        <w:t>who observed enhanced growth in crops due to nanoparticle-mediated nutrient delivery. The additional benefit of Tween 20 could be attributed to its ability to reduce surface tension and enhance cuticular penetration, thereby increasing nutrient uptake efficiency (Fernández and Eichert, 2009).</w:t>
      </w:r>
    </w:p>
    <w:p w14:paraId="68F716A2" w14:textId="7A76D474"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Leaf area per plant was also significantly improved, with the highest value (213.7 cm²) recorded under SNPs at 500 ppm with Tween 20, which was significantly superior to all other treatments. The increase in leaf area may be due to enhanced cell elongation and division facilitated by improved sulphur nutrition and better metabolic activity. Sulphur is known to influence the synthesis of coenzymes and vitamins that regulate plant growth processes. Increased leaf area contributes to higher photosynthetic surface, thereby improving dry matter accumulation. Similar findings were reported by </w:t>
      </w:r>
      <w:r w:rsidRPr="009746F7">
        <w:rPr>
          <w:rStyle w:val="whitespace-normal"/>
          <w:rFonts w:eastAsiaTheme="majorEastAsia"/>
          <w:color w:val="000000" w:themeColor="text1"/>
        </w:rPr>
        <w:t>Scherer</w:t>
      </w:r>
      <w:r w:rsidRPr="009746F7">
        <w:rPr>
          <w:color w:val="000000" w:themeColor="text1"/>
        </w:rPr>
        <w:t xml:space="preserve"> (2001), who emphasized the importance of sulphur in promoting leaf development and overall plant growth. The superior performance of surfactant treated plants further supports the role of adjuvants in enhancing foliar nutrient absorption and distribution.</w:t>
      </w:r>
    </w:p>
    <w:p w14:paraId="6A2C3A1D" w14:textId="04C53833"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The SPAD values, representing chlorophyll content, were significantly higher under SNP application, with the maximum value (46.5) recorded at 500 ppm with Tween 20, which was on par with 500 ppm without surfactant. The increase in chlorophyll content can be attributed to the involvement of sulphur in chlorophyll synthesis and stabilization of chloroplast structure. Sulphur is also essential for the formation of ferredoxin and activation of enzymes involved in photosynthesis. Enhanced chlorophyll content leads to improved photosynthetic efficiency and biomass production. These findings are in agreement with those of </w:t>
      </w:r>
      <w:r w:rsidRPr="009746F7">
        <w:rPr>
          <w:rStyle w:val="whitespace-normal"/>
          <w:rFonts w:eastAsiaTheme="majorEastAsia"/>
          <w:color w:val="000000" w:themeColor="text1"/>
        </w:rPr>
        <w:t>Marschner</w:t>
      </w:r>
      <w:r w:rsidRPr="009746F7">
        <w:rPr>
          <w:color w:val="000000" w:themeColor="text1"/>
        </w:rPr>
        <w:t xml:space="preserve"> (2012), who reported that sulphur deficiency directly reduces chlorophyll formation and photosynthetic capacity. The decline in SPAD values at higher concentrations (1000 ppm) suggests that excess sulphur may disrupt physiological balance, possibly due to oxidative stress or nutrient antagonism.</w:t>
      </w:r>
    </w:p>
    <w:p w14:paraId="3DBE4EA4" w14:textId="69832C4B" w:rsidR="00B00E2D" w:rsidRPr="009746F7" w:rsidRDefault="00B00E2D" w:rsidP="00B12E7E">
      <w:pPr>
        <w:pStyle w:val="NormalWeb"/>
        <w:spacing w:line="360" w:lineRule="auto"/>
        <w:ind w:firstLine="720"/>
        <w:jc w:val="both"/>
        <w:rPr>
          <w:color w:val="000000" w:themeColor="text1"/>
        </w:rPr>
      </w:pPr>
      <w:r w:rsidRPr="009746F7">
        <w:rPr>
          <w:color w:val="000000" w:themeColor="text1"/>
        </w:rPr>
        <w:lastRenderedPageBreak/>
        <w:t>Head diameter and seed yield per plant were significantly influenced by SNP application. The maximum head diameter (14.7 cm) and seed yield (73.1 g plant⁻¹) were recorded under SNPs at 500 ppm with Tween 20, which was statistically superior to most treatments. The increase in yield attributes may be attributed to improved source</w:t>
      </w:r>
      <w:r w:rsidR="009746F7" w:rsidRPr="009746F7">
        <w:rPr>
          <w:color w:val="000000" w:themeColor="text1"/>
        </w:rPr>
        <w:t>-</w:t>
      </w:r>
      <w:r w:rsidRPr="009746F7">
        <w:rPr>
          <w:color w:val="000000" w:themeColor="text1"/>
        </w:rPr>
        <w:t xml:space="preserve">sink relationship, enhanced photosynthetic efficiency and better translocation of assimilates towards reproductive organs. Sulphur plays an important role in oilseed crops like sunflower by enhancing oil synthesis and seed development. The positive effect of nanoparticles on yield may also be linked to their ability to facilitate controlled nutrient release and improved nutrient use efficiency. Similar results were reported by </w:t>
      </w:r>
      <w:proofErr w:type="spellStart"/>
      <w:r w:rsidRPr="009746F7">
        <w:rPr>
          <w:rStyle w:val="whitespace-normal"/>
          <w:rFonts w:eastAsiaTheme="majorEastAsia"/>
          <w:color w:val="000000" w:themeColor="text1"/>
        </w:rPr>
        <w:t>Dimkpa</w:t>
      </w:r>
      <w:proofErr w:type="spellEnd"/>
      <w:r w:rsidRPr="009746F7">
        <w:rPr>
          <w:rStyle w:val="whitespace-normal"/>
          <w:rFonts w:eastAsiaTheme="majorEastAsia"/>
          <w:color w:val="000000" w:themeColor="text1"/>
        </w:rPr>
        <w:t xml:space="preserve"> </w:t>
      </w:r>
      <w:r w:rsidRPr="009746F7">
        <w:rPr>
          <w:rStyle w:val="whitespace-normal"/>
          <w:rFonts w:eastAsiaTheme="majorEastAsia"/>
          <w:i/>
          <w:iCs/>
          <w:color w:val="000000" w:themeColor="text1"/>
        </w:rPr>
        <w:t>et al.</w:t>
      </w:r>
      <w:r w:rsidRPr="009746F7">
        <w:rPr>
          <w:color w:val="000000" w:themeColor="text1"/>
        </w:rPr>
        <w:t xml:space="preserve"> (2017), who highlighted that </w:t>
      </w:r>
      <w:proofErr w:type="spellStart"/>
      <w:r w:rsidRPr="009746F7">
        <w:rPr>
          <w:color w:val="000000" w:themeColor="text1"/>
        </w:rPr>
        <w:t>nanofertilizers</w:t>
      </w:r>
      <w:proofErr w:type="spellEnd"/>
      <w:r w:rsidRPr="009746F7">
        <w:rPr>
          <w:color w:val="000000" w:themeColor="text1"/>
        </w:rPr>
        <w:t xml:space="preserve"> improve crop productivity through enhanced nutrient uptake and reduced losses. However, higher concentrations (750 and 1000 ppm) resulted in comparatively lower yield, indicating that excessive nanoparticle application may lead to toxicity or metabolic disturbances, reducing productivity.</w:t>
      </w:r>
    </w:p>
    <w:p w14:paraId="48DBB6D4" w14:textId="77777777" w:rsidR="00B00E2D" w:rsidRPr="009746F7" w:rsidRDefault="00B00E2D" w:rsidP="00B12E7E">
      <w:pPr>
        <w:pStyle w:val="NormalWeb"/>
        <w:spacing w:line="360" w:lineRule="auto"/>
        <w:ind w:firstLine="720"/>
        <w:jc w:val="both"/>
        <w:rPr>
          <w:color w:val="000000" w:themeColor="text1"/>
        </w:rPr>
      </w:pPr>
      <w:r w:rsidRPr="009746F7">
        <w:rPr>
          <w:color w:val="000000" w:themeColor="text1"/>
        </w:rPr>
        <w:t>Seed sulphur content increased progressively with increasing SNP concentration, with the highest value (0.62%) recorded under 1000 ppm with Tween 20, which was on par with 1000 ppm without surfactant. This suggests that higher concentrations of SNPs enhance sulphur accumulation in seeds due to increased availability and absorption of sulphur. Sulphur is a key component of storage proteins and contributes to improved seed quality. However, the lack of corresponding increase in yield at higher concentrations indicates that while nutrient enrichment is enhanced, it may occur at the cost of overall plant performance. This phenomenon may be explained by the fact that excessive nutrient availability can lead to metabolic imbalance or feedback inhibition of growth processes.</w:t>
      </w:r>
    </w:p>
    <w:p w14:paraId="5E4002A0" w14:textId="53731EC1" w:rsidR="00B00E2D" w:rsidRDefault="00B00E2D" w:rsidP="00B12E7E">
      <w:pPr>
        <w:pStyle w:val="NormalWeb"/>
        <w:spacing w:line="360" w:lineRule="auto"/>
        <w:ind w:firstLine="720"/>
        <w:jc w:val="both"/>
        <w:rPr>
          <w:color w:val="000000" w:themeColor="text1"/>
        </w:rPr>
      </w:pPr>
      <w:r w:rsidRPr="009746F7">
        <w:rPr>
          <w:color w:val="000000" w:themeColor="text1"/>
        </w:rPr>
        <w:t>Across all parameters, the inclusion of Tween 20 significantly enhanced the effectiveness of SNP application. This may be attributed to improved wetting, spreading and retention of spray droplets on leaf surfaces, leading to increased nutrient absorption. The findings are consistent with the observations of Fernández and Brown (2013), who reported that surfactants enhance the efficiency of foliar fertilization by improving nutrient penetration through the cuticle.</w:t>
      </w:r>
      <w:r w:rsidR="009746F7" w:rsidRPr="009746F7">
        <w:rPr>
          <w:color w:val="000000" w:themeColor="text1"/>
        </w:rPr>
        <w:t xml:space="preserve"> </w:t>
      </w:r>
      <w:r w:rsidRPr="009746F7">
        <w:rPr>
          <w:color w:val="000000" w:themeColor="text1"/>
        </w:rPr>
        <w:t xml:space="preserve">Overall, the study demonstrates that foliar application of green synthesized sulphur nanoparticles at an optimum concentration of 500 ppm along with Tween 20 @ 0.5 ml L⁻¹ significantly enhances growth, physiological efficiency and yield of sunflower. Higher concentrations, although effective in increasing seed sulphur content, were less beneficial for </w:t>
      </w:r>
      <w:r w:rsidRPr="009746F7">
        <w:rPr>
          <w:color w:val="000000" w:themeColor="text1"/>
        </w:rPr>
        <w:lastRenderedPageBreak/>
        <w:t xml:space="preserve">yield, highlighting the importance of optimizing nanoparticle dosage for achieving both productivity and nutritional </w:t>
      </w:r>
      <w:commentRangeStart w:id="13"/>
      <w:r w:rsidRPr="009746F7">
        <w:rPr>
          <w:color w:val="000000" w:themeColor="text1"/>
        </w:rPr>
        <w:t>quality</w:t>
      </w:r>
      <w:commentRangeEnd w:id="13"/>
      <w:r w:rsidR="008C183E">
        <w:rPr>
          <w:rStyle w:val="CommentReference"/>
          <w:rFonts w:asciiTheme="minorHAnsi" w:eastAsiaTheme="minorHAnsi" w:hAnsiTheme="minorHAnsi" w:cstheme="minorBidi"/>
          <w:kern w:val="2"/>
          <w:lang w:eastAsia="en-US"/>
          <w14:ligatures w14:val="standardContextual"/>
        </w:rPr>
        <w:commentReference w:id="13"/>
      </w:r>
      <w:r w:rsidRPr="009746F7">
        <w:rPr>
          <w:color w:val="000000" w:themeColor="text1"/>
        </w:rPr>
        <w:t>.</w:t>
      </w:r>
    </w:p>
    <w:p w14:paraId="026FC44F" w14:textId="77777777" w:rsidR="008C183E" w:rsidRDefault="008C183E" w:rsidP="00B12E7E">
      <w:pPr>
        <w:pStyle w:val="NormalWeb"/>
        <w:spacing w:line="360" w:lineRule="auto"/>
        <w:ind w:firstLine="720"/>
        <w:jc w:val="both"/>
        <w:rPr>
          <w:color w:val="000000" w:themeColor="text1"/>
        </w:rPr>
      </w:pPr>
    </w:p>
    <w:p w14:paraId="16A304F0" w14:textId="3FAB332C" w:rsidR="00B12E7E" w:rsidRPr="00443C76" w:rsidRDefault="00B12E7E" w:rsidP="00443C76">
      <w:pPr>
        <w:pStyle w:val="ListParagraph"/>
        <w:numPr>
          <w:ilvl w:val="0"/>
          <w:numId w:val="23"/>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14:ligatures w14:val="none"/>
        </w:rPr>
      </w:pPr>
      <w:r w:rsidRPr="00443C76">
        <w:rPr>
          <w:rFonts w:ascii="Times New Roman" w:eastAsia="Times New Roman" w:hAnsi="Times New Roman" w:cs="Times New Roman"/>
          <w:b/>
          <w:bCs/>
          <w:kern w:val="36"/>
          <w:sz w:val="24"/>
          <w:szCs w:val="24"/>
          <w:lang w:eastAsia="en-IN"/>
          <w14:ligatures w14:val="none"/>
        </w:rPr>
        <w:t>Conclusion</w:t>
      </w:r>
    </w:p>
    <w:p w14:paraId="07012496" w14:textId="77777777" w:rsidR="00B12E7E" w:rsidRPr="00CE46B9" w:rsidRDefault="00B12E7E" w:rsidP="00B12E7E">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E46B9">
        <w:rPr>
          <w:rFonts w:ascii="Times New Roman" w:eastAsia="Times New Roman" w:hAnsi="Times New Roman" w:cs="Times New Roman"/>
          <w:kern w:val="0"/>
          <w:sz w:val="24"/>
          <w:szCs w:val="24"/>
          <w:lang w:eastAsia="en-IN"/>
          <w14:ligatures w14:val="none"/>
        </w:rPr>
        <w:t>Green synthesized sulphur nanoparticles proved to be an effective foliar nutrient source for enhancing growth, physiological performance, and productivity of sunflower. The response of the crop was strongly influenced by nanoparticle concentration as well as the efficiency of foliar application, with the inclusion of Tween 20 markedly improving nutrient uptake through better spreading and penetration on the leaf surface.</w:t>
      </w:r>
      <w:r>
        <w:rPr>
          <w:rFonts w:ascii="Times New Roman" w:eastAsia="Times New Roman" w:hAnsi="Times New Roman" w:cs="Times New Roman"/>
          <w:kern w:val="0"/>
          <w:sz w:val="24"/>
          <w:szCs w:val="24"/>
          <w:lang w:eastAsia="en-IN"/>
          <w14:ligatures w14:val="none"/>
        </w:rPr>
        <w:t xml:space="preserve"> </w:t>
      </w:r>
      <w:r w:rsidRPr="00CE46B9">
        <w:rPr>
          <w:rFonts w:ascii="Times New Roman" w:eastAsia="Times New Roman" w:hAnsi="Times New Roman" w:cs="Times New Roman"/>
          <w:kern w:val="0"/>
          <w:sz w:val="24"/>
          <w:szCs w:val="24"/>
          <w:lang w:eastAsia="en-IN"/>
          <w14:ligatures w14:val="none"/>
        </w:rPr>
        <w:t xml:space="preserve">An optimum concentration of </w:t>
      </w:r>
      <w:r>
        <w:rPr>
          <w:rFonts w:ascii="Times New Roman" w:eastAsia="Times New Roman" w:hAnsi="Times New Roman" w:cs="Times New Roman"/>
          <w:kern w:val="0"/>
          <w:sz w:val="24"/>
          <w:szCs w:val="24"/>
          <w:lang w:eastAsia="en-IN"/>
          <w14:ligatures w14:val="none"/>
        </w:rPr>
        <w:t xml:space="preserve">500 ppm of </w:t>
      </w:r>
      <w:r w:rsidRPr="00CE46B9">
        <w:rPr>
          <w:rFonts w:ascii="Times New Roman" w:eastAsia="Times New Roman" w:hAnsi="Times New Roman" w:cs="Times New Roman"/>
          <w:kern w:val="0"/>
          <w:sz w:val="24"/>
          <w:szCs w:val="24"/>
          <w:lang w:eastAsia="en-IN"/>
          <w14:ligatures w14:val="none"/>
        </w:rPr>
        <w:t>sulphur nanoparticles was found to be critical for achieving maximum productivity, as moderate levels ensured efficient nutrient utilization and improved physiological functioning. Although higher concentrations enhanced sulphur accumulation in seeds, they did not correspond to increased yield, indicating that excessive nutrient availability may lead to reduced efficiency or physiological imbalance.</w:t>
      </w:r>
      <w:r>
        <w:rPr>
          <w:rFonts w:ascii="Times New Roman" w:eastAsia="Times New Roman" w:hAnsi="Times New Roman" w:cs="Times New Roman"/>
          <w:kern w:val="0"/>
          <w:sz w:val="24"/>
          <w:szCs w:val="24"/>
          <w:lang w:eastAsia="en-IN"/>
          <w14:ligatures w14:val="none"/>
        </w:rPr>
        <w:t xml:space="preserve"> </w:t>
      </w:r>
      <w:r w:rsidRPr="00CE46B9">
        <w:rPr>
          <w:rFonts w:ascii="Times New Roman" w:eastAsia="Times New Roman" w:hAnsi="Times New Roman" w:cs="Times New Roman"/>
          <w:kern w:val="0"/>
          <w:sz w:val="24"/>
          <w:szCs w:val="24"/>
          <w:lang w:eastAsia="en-IN"/>
          <w14:ligatures w14:val="none"/>
        </w:rPr>
        <w:t>The combined use of green synthesized nanoparticles and surfactant highlights a promising approach for improving nutrient use efficiency in oilseed crops. These findings underscore the importance of optimizing nanoparticle dosage and application strategy for achieving a balance between yield enhancement and nutrient enrichment. Further validation under field conditions and across varying environments would be essential to establish the practical feasibility and long-term sustainability of this approach in sunflower cultivation.</w:t>
      </w:r>
    </w:p>
    <w:p w14:paraId="1F90E168" w14:textId="77777777" w:rsidR="00443C76" w:rsidRPr="0059050E" w:rsidRDefault="00443C76" w:rsidP="00443C76">
      <w:pPr>
        <w:shd w:val="clear" w:color="auto" w:fill="FFFFFF"/>
        <w:spacing w:before="240" w:after="100" w:afterAutospacing="1" w:line="480" w:lineRule="auto"/>
        <w:ind w:right="521"/>
        <w:jc w:val="both"/>
        <w:outlineLvl w:val="3"/>
        <w:rPr>
          <w:rFonts w:ascii="Times New Roman" w:hAnsi="Times New Roman" w:cs="Times New Roman"/>
          <w:color w:val="000000" w:themeColor="text1"/>
          <w:sz w:val="24"/>
          <w:szCs w:val="24"/>
        </w:rPr>
      </w:pPr>
      <w:r w:rsidRPr="0059050E">
        <w:rPr>
          <w:rStyle w:val="Strong"/>
          <w:rFonts w:ascii="Times New Roman" w:hAnsi="Times New Roman" w:cs="Times New Roman"/>
          <w:i/>
          <w:iCs/>
          <w:color w:val="000000" w:themeColor="text1"/>
          <w:sz w:val="24"/>
          <w:szCs w:val="24"/>
        </w:rPr>
        <w:t>Data availability:</w:t>
      </w:r>
      <w:r w:rsidRPr="0059050E">
        <w:rPr>
          <w:rStyle w:val="Strong"/>
          <w:rFonts w:ascii="Times New Roman" w:hAnsi="Times New Roman" w:cs="Times New Roman"/>
          <w:color w:val="000000" w:themeColor="text1"/>
          <w:sz w:val="24"/>
          <w:szCs w:val="24"/>
        </w:rPr>
        <w:t xml:space="preserve"> </w:t>
      </w:r>
      <w:r w:rsidRPr="0059050E">
        <w:rPr>
          <w:rFonts w:ascii="Times New Roman" w:hAnsi="Times New Roman" w:cs="Times New Roman"/>
          <w:color w:val="000000" w:themeColor="text1"/>
          <w:sz w:val="24"/>
          <w:szCs w:val="24"/>
        </w:rPr>
        <w:t>Not applicable.</w:t>
      </w:r>
    </w:p>
    <w:p w14:paraId="14241698" w14:textId="77777777" w:rsidR="00443C76" w:rsidRPr="0059050E" w:rsidRDefault="00443C76" w:rsidP="00443C76">
      <w:pPr>
        <w:shd w:val="clear" w:color="auto" w:fill="FFFFFF"/>
        <w:spacing w:before="240" w:after="100" w:afterAutospacing="1" w:line="480" w:lineRule="auto"/>
        <w:ind w:right="521"/>
        <w:jc w:val="both"/>
        <w:outlineLvl w:val="3"/>
        <w:rPr>
          <w:rFonts w:ascii="Times New Roman" w:hAnsi="Times New Roman" w:cs="Times New Roman"/>
          <w:b/>
          <w:bCs/>
          <w:color w:val="000000" w:themeColor="text1"/>
          <w:sz w:val="24"/>
          <w:szCs w:val="24"/>
        </w:rPr>
      </w:pPr>
      <w:r w:rsidRPr="00F301EE">
        <w:rPr>
          <w:rFonts w:ascii="Times New Roman" w:hAnsi="Times New Roman" w:cs="Times New Roman"/>
          <w:b/>
          <w:bCs/>
          <w:i/>
          <w:iCs/>
          <w:color w:val="000000" w:themeColor="text1"/>
          <w:sz w:val="24"/>
          <w:szCs w:val="24"/>
        </w:rPr>
        <w:t>Declaration</w:t>
      </w:r>
      <w:r w:rsidRPr="0059050E">
        <w:rPr>
          <w:rFonts w:ascii="Times New Roman" w:hAnsi="Times New Roman" w:cs="Times New Roman"/>
          <w:i/>
          <w:iCs/>
          <w:color w:val="000000" w:themeColor="text1"/>
          <w:sz w:val="24"/>
          <w:szCs w:val="24"/>
        </w:rPr>
        <w:t>:</w:t>
      </w:r>
      <w:r w:rsidRPr="0059050E">
        <w:rPr>
          <w:rFonts w:ascii="Times New Roman" w:hAnsi="Times New Roman" w:cs="Times New Roman"/>
          <w:color w:val="000000" w:themeColor="text1"/>
          <w:sz w:val="24"/>
          <w:szCs w:val="24"/>
        </w:rPr>
        <w:t xml:space="preserve"> Not applicable</w:t>
      </w:r>
    </w:p>
    <w:p w14:paraId="47838775" w14:textId="77777777" w:rsidR="00443C76" w:rsidRPr="0059050E" w:rsidRDefault="00443C76" w:rsidP="00443C76">
      <w:pPr>
        <w:spacing w:before="240" w:line="480" w:lineRule="auto"/>
        <w:jc w:val="both"/>
        <w:rPr>
          <w:rFonts w:ascii="Times New Roman" w:hAnsi="Times New Roman" w:cs="Times New Roman"/>
          <w:b/>
          <w:bCs/>
          <w:color w:val="000000" w:themeColor="text1"/>
          <w:sz w:val="24"/>
          <w:szCs w:val="24"/>
        </w:rPr>
      </w:pPr>
      <w:r w:rsidRPr="0059050E">
        <w:rPr>
          <w:rStyle w:val="Strong"/>
          <w:rFonts w:ascii="Times New Roman" w:hAnsi="Times New Roman" w:cs="Times New Roman"/>
          <w:i/>
          <w:iCs/>
          <w:color w:val="000000" w:themeColor="text1"/>
          <w:sz w:val="24"/>
          <w:szCs w:val="24"/>
        </w:rPr>
        <w:t>Conflicts of interest:</w:t>
      </w:r>
      <w:r w:rsidRPr="0059050E">
        <w:rPr>
          <w:rStyle w:val="Strong"/>
          <w:rFonts w:ascii="Times New Roman" w:hAnsi="Times New Roman" w:cs="Times New Roman"/>
          <w:color w:val="000000" w:themeColor="text1"/>
          <w:sz w:val="24"/>
          <w:szCs w:val="24"/>
        </w:rPr>
        <w:t xml:space="preserve"> </w:t>
      </w:r>
      <w:r w:rsidRPr="0059050E">
        <w:rPr>
          <w:rFonts w:ascii="Times New Roman" w:hAnsi="Times New Roman" w:cs="Times New Roman"/>
          <w:color w:val="000000" w:themeColor="text1"/>
          <w:sz w:val="24"/>
          <w:szCs w:val="24"/>
        </w:rPr>
        <w:t>The authors declare no conflicts of interest.</w:t>
      </w:r>
    </w:p>
    <w:p w14:paraId="1BF05CDC" w14:textId="77777777" w:rsidR="00443C76" w:rsidRPr="00443C76" w:rsidRDefault="00443C76" w:rsidP="00443C76">
      <w:pPr>
        <w:pStyle w:val="ListParagraph"/>
        <w:numPr>
          <w:ilvl w:val="0"/>
          <w:numId w:val="26"/>
        </w:numPr>
        <w:spacing w:line="360" w:lineRule="auto"/>
        <w:jc w:val="both"/>
        <w:rPr>
          <w:rFonts w:ascii="Times New Roman" w:hAnsi="Times New Roman" w:cs="Times New Roman"/>
          <w:b/>
          <w:bCs/>
          <w:sz w:val="24"/>
          <w:szCs w:val="24"/>
        </w:rPr>
      </w:pPr>
      <w:r w:rsidRPr="00443C76">
        <w:rPr>
          <w:rFonts w:ascii="Times New Roman" w:hAnsi="Times New Roman" w:cs="Times New Roman"/>
          <w:b/>
          <w:bCs/>
          <w:sz w:val="24"/>
          <w:szCs w:val="24"/>
        </w:rPr>
        <w:t>References</w:t>
      </w:r>
    </w:p>
    <w:p w14:paraId="6F273717" w14:textId="77777777" w:rsidR="00443C76" w:rsidRPr="009746F7" w:rsidRDefault="00443C76" w:rsidP="00443C76">
      <w:pPr>
        <w:spacing w:line="360" w:lineRule="auto"/>
        <w:ind w:left="720" w:hanging="720"/>
        <w:jc w:val="both"/>
        <w:rPr>
          <w:rFonts w:ascii="Times New Roman" w:hAnsi="Times New Roman" w:cs="Times New Roman"/>
          <w:sz w:val="24"/>
          <w:szCs w:val="24"/>
        </w:rPr>
      </w:pPr>
      <w:proofErr w:type="spellStart"/>
      <w:r w:rsidRPr="009746F7">
        <w:rPr>
          <w:rFonts w:ascii="Times New Roman" w:hAnsi="Times New Roman" w:cs="Times New Roman"/>
          <w:sz w:val="24"/>
          <w:szCs w:val="24"/>
        </w:rPr>
        <w:t>Dimkpa</w:t>
      </w:r>
      <w:proofErr w:type="spellEnd"/>
      <w:r w:rsidRPr="009746F7">
        <w:rPr>
          <w:rFonts w:ascii="Times New Roman" w:hAnsi="Times New Roman" w:cs="Times New Roman"/>
          <w:sz w:val="24"/>
          <w:szCs w:val="24"/>
        </w:rPr>
        <w:t xml:space="preserve">, C. O., </w:t>
      </w:r>
      <w:proofErr w:type="spellStart"/>
      <w:r w:rsidRPr="009746F7">
        <w:rPr>
          <w:rFonts w:ascii="Times New Roman" w:hAnsi="Times New Roman" w:cs="Times New Roman"/>
          <w:sz w:val="24"/>
          <w:szCs w:val="24"/>
        </w:rPr>
        <w:t>Bindraban</w:t>
      </w:r>
      <w:proofErr w:type="spellEnd"/>
      <w:r w:rsidRPr="009746F7">
        <w:rPr>
          <w:rFonts w:ascii="Times New Roman" w:hAnsi="Times New Roman" w:cs="Times New Roman"/>
          <w:sz w:val="24"/>
          <w:szCs w:val="24"/>
        </w:rPr>
        <w:t xml:space="preserve">, P. S., </w:t>
      </w:r>
      <w:proofErr w:type="spellStart"/>
      <w:r w:rsidRPr="009746F7">
        <w:rPr>
          <w:rFonts w:ascii="Times New Roman" w:hAnsi="Times New Roman" w:cs="Times New Roman"/>
          <w:sz w:val="24"/>
          <w:szCs w:val="24"/>
        </w:rPr>
        <w:t>Fugice</w:t>
      </w:r>
      <w:proofErr w:type="spellEnd"/>
      <w:r w:rsidRPr="009746F7">
        <w:rPr>
          <w:rFonts w:ascii="Times New Roman" w:hAnsi="Times New Roman" w:cs="Times New Roman"/>
          <w:sz w:val="24"/>
          <w:szCs w:val="24"/>
        </w:rPr>
        <w:t xml:space="preserve">, J., </w:t>
      </w:r>
      <w:proofErr w:type="spellStart"/>
      <w:r w:rsidRPr="009746F7">
        <w:rPr>
          <w:rFonts w:ascii="Times New Roman" w:hAnsi="Times New Roman" w:cs="Times New Roman"/>
          <w:sz w:val="24"/>
          <w:szCs w:val="24"/>
        </w:rPr>
        <w:t>Agyin-Birikorang</w:t>
      </w:r>
      <w:proofErr w:type="spellEnd"/>
      <w:r w:rsidRPr="009746F7">
        <w:rPr>
          <w:rFonts w:ascii="Times New Roman" w:hAnsi="Times New Roman" w:cs="Times New Roman"/>
          <w:sz w:val="24"/>
          <w:szCs w:val="24"/>
        </w:rPr>
        <w:t xml:space="preserve">, S., Singh, U., &amp; Hellums, D. (2017). Composite micronutrient nanoparticles and salts decrease drought stress in soybean. </w:t>
      </w:r>
      <w:r w:rsidRPr="009746F7">
        <w:rPr>
          <w:rFonts w:ascii="Times New Roman" w:hAnsi="Times New Roman" w:cs="Times New Roman"/>
          <w:i/>
          <w:iCs/>
          <w:sz w:val="24"/>
          <w:szCs w:val="24"/>
        </w:rPr>
        <w:t>Agronomy for Sustainable Development</w:t>
      </w:r>
      <w:r w:rsidRPr="009746F7">
        <w:rPr>
          <w:rFonts w:ascii="Times New Roman" w:hAnsi="Times New Roman" w:cs="Times New Roman"/>
          <w:sz w:val="24"/>
          <w:szCs w:val="24"/>
        </w:rPr>
        <w:t xml:space="preserve">, 37(1), 5. </w:t>
      </w:r>
      <w:hyperlink r:id="rId11" w:history="1">
        <w:r w:rsidRPr="009746F7">
          <w:rPr>
            <w:rStyle w:val="Hyperlink"/>
            <w:rFonts w:ascii="Times New Roman" w:hAnsi="Times New Roman" w:cs="Times New Roman"/>
            <w:sz w:val="24"/>
            <w:szCs w:val="24"/>
          </w:rPr>
          <w:t>https://doi.org/10.1007/s13593-016-0412-8</w:t>
        </w:r>
      </w:hyperlink>
      <w:r>
        <w:rPr>
          <w:rFonts w:ascii="Times New Roman" w:hAnsi="Times New Roman" w:cs="Times New Roman"/>
          <w:sz w:val="24"/>
          <w:szCs w:val="24"/>
        </w:rPr>
        <w:t xml:space="preserve"> </w:t>
      </w:r>
    </w:p>
    <w:p w14:paraId="4E795F05"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lastRenderedPageBreak/>
        <w:t xml:space="preserve">Fernández, V., &amp; Brown, P. H. (2013). From plant surface to plant metabolism: The uncertain fate of foliar-applied nutrients. </w:t>
      </w:r>
      <w:r w:rsidRPr="009746F7">
        <w:rPr>
          <w:rFonts w:ascii="Times New Roman" w:hAnsi="Times New Roman" w:cs="Times New Roman"/>
          <w:i/>
          <w:iCs/>
          <w:sz w:val="24"/>
          <w:szCs w:val="24"/>
        </w:rPr>
        <w:t>Frontiers in Plant Science</w:t>
      </w:r>
      <w:r w:rsidRPr="009746F7">
        <w:rPr>
          <w:rFonts w:ascii="Times New Roman" w:hAnsi="Times New Roman" w:cs="Times New Roman"/>
          <w:sz w:val="24"/>
          <w:szCs w:val="24"/>
        </w:rPr>
        <w:t xml:space="preserve">, 4, 289. </w:t>
      </w:r>
      <w:hyperlink r:id="rId12" w:history="1">
        <w:r w:rsidRPr="009746F7">
          <w:rPr>
            <w:rStyle w:val="Hyperlink"/>
            <w:rFonts w:ascii="Times New Roman" w:hAnsi="Times New Roman" w:cs="Times New Roman"/>
            <w:sz w:val="24"/>
            <w:szCs w:val="24"/>
          </w:rPr>
          <w:t>https://doi.org/10.3389/fpls.2013.00289</w:t>
        </w:r>
      </w:hyperlink>
      <w:r>
        <w:rPr>
          <w:rFonts w:ascii="Times New Roman" w:hAnsi="Times New Roman" w:cs="Times New Roman"/>
          <w:sz w:val="24"/>
          <w:szCs w:val="24"/>
        </w:rPr>
        <w:t xml:space="preserve"> </w:t>
      </w:r>
    </w:p>
    <w:p w14:paraId="213F31CA"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Fernández, V., &amp; Eichert, T. (2009). Uptake of hydrophilic solutes through plant leaves: Current state of knowledge and perspectives of foliar fertilization. </w:t>
      </w:r>
      <w:r w:rsidRPr="009746F7">
        <w:rPr>
          <w:rFonts w:ascii="Times New Roman" w:hAnsi="Times New Roman" w:cs="Times New Roman"/>
          <w:i/>
          <w:iCs/>
          <w:sz w:val="24"/>
          <w:szCs w:val="24"/>
        </w:rPr>
        <w:t>Critical Reviews in Plant Sciences</w:t>
      </w:r>
      <w:r w:rsidRPr="009746F7">
        <w:rPr>
          <w:rFonts w:ascii="Times New Roman" w:hAnsi="Times New Roman" w:cs="Times New Roman"/>
          <w:sz w:val="24"/>
          <w:szCs w:val="24"/>
        </w:rPr>
        <w:t xml:space="preserve">, 28(1–2), 36–68. </w:t>
      </w:r>
      <w:hyperlink r:id="rId13" w:tgtFrame="_new" w:history="1">
        <w:r w:rsidRPr="009746F7">
          <w:rPr>
            <w:rStyle w:val="Hyperlink"/>
            <w:rFonts w:ascii="Times New Roman" w:hAnsi="Times New Roman" w:cs="Times New Roman"/>
            <w:sz w:val="24"/>
            <w:szCs w:val="24"/>
          </w:rPr>
          <w:t>https://doi.org/10.1080/07352680902743069</w:t>
        </w:r>
      </w:hyperlink>
    </w:p>
    <w:p w14:paraId="1065C63D" w14:textId="77777777" w:rsidR="00443C76" w:rsidRDefault="00443C76" w:rsidP="00443C76">
      <w:pPr>
        <w:pStyle w:val="NormalWeb"/>
        <w:spacing w:line="360" w:lineRule="auto"/>
        <w:ind w:left="720" w:hanging="720"/>
        <w:jc w:val="both"/>
      </w:pPr>
      <w:r>
        <w:t xml:space="preserve">Kah, M., Kookana, R. S., Gogos, A., &amp; Bucheli, T. D. (2018). A critical evaluation of </w:t>
      </w:r>
      <w:proofErr w:type="spellStart"/>
      <w:r>
        <w:t>nanopesticides</w:t>
      </w:r>
      <w:proofErr w:type="spellEnd"/>
      <w:r>
        <w:t xml:space="preserve"> and </w:t>
      </w:r>
      <w:proofErr w:type="spellStart"/>
      <w:r>
        <w:t>nanofertilizers</w:t>
      </w:r>
      <w:proofErr w:type="spellEnd"/>
      <w:r>
        <w:t xml:space="preserve"> against their conventional analogues. </w:t>
      </w:r>
      <w:r>
        <w:rPr>
          <w:rStyle w:val="Emphasis"/>
          <w:rFonts w:eastAsiaTheme="majorEastAsia"/>
        </w:rPr>
        <w:t>Nature Nanotechnology, 13</w:t>
      </w:r>
      <w:r>
        <w:t xml:space="preserve">, 677–684. </w:t>
      </w:r>
      <w:hyperlink r:id="rId14" w:history="1">
        <w:r w:rsidRPr="00E46876">
          <w:rPr>
            <w:rStyle w:val="Hyperlink"/>
          </w:rPr>
          <w:t>https://doi.org/10.1038/s41565-018-0131-1</w:t>
        </w:r>
      </w:hyperlink>
      <w:r>
        <w:t xml:space="preserve"> </w:t>
      </w:r>
    </w:p>
    <w:p w14:paraId="2B72B9F3" w14:textId="77777777" w:rsidR="00443C76" w:rsidRDefault="00443C76" w:rsidP="00443C76">
      <w:pPr>
        <w:pStyle w:val="NormalWeb"/>
        <w:spacing w:line="360" w:lineRule="auto"/>
        <w:ind w:left="720" w:hanging="720"/>
        <w:jc w:val="both"/>
      </w:pPr>
      <w:r>
        <w:t xml:space="preserve">Kamal, Dhaka, A. K., &amp; Rana, A. (2025). Effect of sulphur application in oilseed crops: A review. </w:t>
      </w:r>
      <w:r>
        <w:rPr>
          <w:rStyle w:val="Emphasis"/>
          <w:rFonts w:eastAsiaTheme="majorEastAsia"/>
        </w:rPr>
        <w:t>Agricultural Reviews, 46</w:t>
      </w:r>
      <w:r>
        <w:t xml:space="preserve">(5), 748–756. </w:t>
      </w:r>
      <w:hyperlink r:id="rId15" w:history="1">
        <w:r w:rsidRPr="00E46876">
          <w:rPr>
            <w:rStyle w:val="Hyperlink"/>
          </w:rPr>
          <w:t>https://doi.org/10.18805/ag.R-2696</w:t>
        </w:r>
      </w:hyperlink>
      <w:r>
        <w:t xml:space="preserve"> </w:t>
      </w:r>
    </w:p>
    <w:p w14:paraId="6AC5E15F" w14:textId="1AECDD59" w:rsidR="00B93E9F" w:rsidRDefault="00B93E9F" w:rsidP="00B93E9F">
      <w:pPr>
        <w:pStyle w:val="NormalWeb"/>
        <w:spacing w:line="360" w:lineRule="auto"/>
        <w:ind w:left="720" w:hanging="720"/>
        <w:jc w:val="both"/>
      </w:pPr>
      <w:r>
        <w:t xml:space="preserve">Kumari, V. V., Gopinath K.A., Sarath Chandran, M.A., Sunitha, B., Sriram, K., Ansari, M.A., Rao, M.S. and Singh V.K. (2025). The importance of sulphur in oilseed production – A South Asian context. </w:t>
      </w:r>
      <w:r>
        <w:rPr>
          <w:rStyle w:val="Emphasis"/>
          <w:rFonts w:eastAsiaTheme="majorEastAsia"/>
        </w:rPr>
        <w:t>Oil Crop Science</w:t>
      </w:r>
      <w:r>
        <w:t xml:space="preserve">. 10(2): 118-130. </w:t>
      </w:r>
      <w:hyperlink r:id="rId16" w:history="1">
        <w:r w:rsidRPr="00807862">
          <w:rPr>
            <w:rStyle w:val="Hyperlink"/>
          </w:rPr>
          <w:t>https://doi.org/10.1016/j.ocsci.2025.04.001</w:t>
        </w:r>
      </w:hyperlink>
      <w:r>
        <w:t xml:space="preserve"> </w:t>
      </w:r>
    </w:p>
    <w:p w14:paraId="1F8F89EA"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Marschner, P. (2012). </w:t>
      </w:r>
      <w:r w:rsidRPr="009746F7">
        <w:rPr>
          <w:rFonts w:ascii="Times New Roman" w:hAnsi="Times New Roman" w:cs="Times New Roman"/>
          <w:i/>
          <w:iCs/>
          <w:sz w:val="24"/>
          <w:szCs w:val="24"/>
        </w:rPr>
        <w:t>Marschner’s mineral nutrition of higher plants</w:t>
      </w:r>
      <w:r w:rsidRPr="009746F7">
        <w:rPr>
          <w:rFonts w:ascii="Times New Roman" w:hAnsi="Times New Roman" w:cs="Times New Roman"/>
          <w:sz w:val="24"/>
          <w:szCs w:val="24"/>
        </w:rPr>
        <w:t xml:space="preserve"> (3rd ed.). Academic Press.</w:t>
      </w:r>
    </w:p>
    <w:p w14:paraId="064856AE" w14:textId="3A2E7399" w:rsidR="00B93E9F" w:rsidRDefault="00B93E9F" w:rsidP="00443C76">
      <w:pPr>
        <w:pStyle w:val="NormalWeb"/>
        <w:spacing w:line="360" w:lineRule="auto"/>
        <w:ind w:left="720" w:hanging="720"/>
        <w:jc w:val="both"/>
      </w:pPr>
      <w:proofErr w:type="spellStart"/>
      <w:r>
        <w:t>Ningthi</w:t>
      </w:r>
      <w:proofErr w:type="spellEnd"/>
      <w:r>
        <w:t xml:space="preserve">, K. C., Purnima Kumari, </w:t>
      </w:r>
      <w:proofErr w:type="spellStart"/>
      <w:r>
        <w:t>Vyomendra</w:t>
      </w:r>
      <w:proofErr w:type="spellEnd"/>
      <w:r>
        <w:t xml:space="preserve"> Kumar Singh, Priyanka Yengkokpam, Sunidhi Dhiman, Manthan Chaudhary and Rakshita Sharma. (2024). Role of sulphur nutrition in oilseed crops: A review. </w:t>
      </w:r>
      <w:r>
        <w:rPr>
          <w:rStyle w:val="Emphasis"/>
          <w:rFonts w:eastAsiaTheme="majorEastAsia"/>
        </w:rPr>
        <w:t>Journal of Experimental Agriculture International</w:t>
      </w:r>
      <w:r>
        <w:t>. 46(5): 557-562. 10.9734/JEAI/2024/v46i52410</w:t>
      </w:r>
    </w:p>
    <w:p w14:paraId="0A6BE015" w14:textId="092D0DBC" w:rsidR="00443C76"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Raliya, R., Nair, R., </w:t>
      </w:r>
      <w:proofErr w:type="spellStart"/>
      <w:r w:rsidRPr="009746F7">
        <w:rPr>
          <w:rFonts w:ascii="Times New Roman" w:hAnsi="Times New Roman" w:cs="Times New Roman"/>
          <w:sz w:val="24"/>
          <w:szCs w:val="24"/>
        </w:rPr>
        <w:t>Chavalmane</w:t>
      </w:r>
      <w:proofErr w:type="spellEnd"/>
      <w:r w:rsidRPr="009746F7">
        <w:rPr>
          <w:rFonts w:ascii="Times New Roman" w:hAnsi="Times New Roman" w:cs="Times New Roman"/>
          <w:sz w:val="24"/>
          <w:szCs w:val="24"/>
        </w:rPr>
        <w:t xml:space="preserve">, S., Wang, W. N. &amp; Biswas, P. (2015). Mechanistic evaluation of translocation and physiological impact of titanium dioxide and zinc oxide nanoparticles on the tomato (Solanum </w:t>
      </w:r>
      <w:proofErr w:type="spellStart"/>
      <w:r w:rsidRPr="009746F7">
        <w:rPr>
          <w:rFonts w:ascii="Times New Roman" w:hAnsi="Times New Roman" w:cs="Times New Roman"/>
          <w:sz w:val="24"/>
          <w:szCs w:val="24"/>
        </w:rPr>
        <w:t>lycopersicum</w:t>
      </w:r>
      <w:proofErr w:type="spellEnd"/>
      <w:r w:rsidRPr="009746F7">
        <w:rPr>
          <w:rFonts w:ascii="Times New Roman" w:hAnsi="Times New Roman" w:cs="Times New Roman"/>
          <w:sz w:val="24"/>
          <w:szCs w:val="24"/>
        </w:rPr>
        <w:t xml:space="preserve"> L.) plant. </w:t>
      </w:r>
      <w:proofErr w:type="spellStart"/>
      <w:r w:rsidRPr="009746F7">
        <w:rPr>
          <w:rFonts w:ascii="Times New Roman" w:hAnsi="Times New Roman" w:cs="Times New Roman"/>
          <w:i/>
          <w:iCs/>
          <w:sz w:val="24"/>
          <w:szCs w:val="24"/>
        </w:rPr>
        <w:t>Metallomics</w:t>
      </w:r>
      <w:proofErr w:type="spellEnd"/>
      <w:r w:rsidRPr="009746F7">
        <w:rPr>
          <w:rFonts w:ascii="Times New Roman" w:hAnsi="Times New Roman" w:cs="Times New Roman"/>
          <w:sz w:val="24"/>
          <w:szCs w:val="24"/>
        </w:rPr>
        <w:t xml:space="preserve">, 7(12), 1584–1594. </w:t>
      </w:r>
      <w:hyperlink r:id="rId17" w:history="1">
        <w:r w:rsidRPr="009746F7">
          <w:rPr>
            <w:rStyle w:val="Hyperlink"/>
            <w:rFonts w:ascii="Times New Roman" w:hAnsi="Times New Roman" w:cs="Times New Roman"/>
            <w:sz w:val="24"/>
            <w:szCs w:val="24"/>
          </w:rPr>
          <w:t>https://doi.org/10.1039/C5MT00168D</w:t>
        </w:r>
      </w:hyperlink>
      <w:r>
        <w:rPr>
          <w:rFonts w:ascii="Times New Roman" w:hAnsi="Times New Roman" w:cs="Times New Roman"/>
          <w:sz w:val="24"/>
          <w:szCs w:val="24"/>
        </w:rPr>
        <w:t xml:space="preserve"> </w:t>
      </w:r>
    </w:p>
    <w:p w14:paraId="67804564"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Scherer, H. W. (2001). Sulphur in crop production. </w:t>
      </w:r>
      <w:r w:rsidRPr="009746F7">
        <w:rPr>
          <w:rFonts w:ascii="Times New Roman" w:hAnsi="Times New Roman" w:cs="Times New Roman"/>
          <w:i/>
          <w:iCs/>
          <w:sz w:val="24"/>
          <w:szCs w:val="24"/>
        </w:rPr>
        <w:t>European Journal of Agronomy</w:t>
      </w:r>
      <w:r w:rsidRPr="009746F7">
        <w:rPr>
          <w:rFonts w:ascii="Times New Roman" w:hAnsi="Times New Roman" w:cs="Times New Roman"/>
          <w:sz w:val="24"/>
          <w:szCs w:val="24"/>
        </w:rPr>
        <w:t xml:space="preserve">, 14(2), 81–111. </w:t>
      </w:r>
      <w:hyperlink r:id="rId18" w:history="1">
        <w:r w:rsidRPr="009746F7">
          <w:rPr>
            <w:rStyle w:val="Hyperlink"/>
            <w:rFonts w:ascii="Times New Roman" w:hAnsi="Times New Roman" w:cs="Times New Roman"/>
            <w:sz w:val="24"/>
            <w:szCs w:val="24"/>
          </w:rPr>
          <w:t>https://doi.org/10.1016/S1161-0301(00)00082-4</w:t>
        </w:r>
      </w:hyperlink>
      <w:r>
        <w:rPr>
          <w:rFonts w:ascii="Times New Roman" w:hAnsi="Times New Roman" w:cs="Times New Roman"/>
          <w:sz w:val="24"/>
          <w:szCs w:val="24"/>
        </w:rPr>
        <w:t xml:space="preserve"> </w:t>
      </w:r>
    </w:p>
    <w:p w14:paraId="3EF2FD45" w14:textId="77777777" w:rsidR="00443C76" w:rsidRDefault="00443C76" w:rsidP="00443C76">
      <w:pPr>
        <w:pStyle w:val="NormalWeb"/>
        <w:spacing w:line="360" w:lineRule="auto"/>
        <w:ind w:left="720" w:hanging="720"/>
        <w:jc w:val="both"/>
      </w:pPr>
      <w:r>
        <w:lastRenderedPageBreak/>
        <w:t xml:space="preserve">Shah, S. H., </w:t>
      </w:r>
      <w:proofErr w:type="spellStart"/>
      <w:r>
        <w:t>Parrey</w:t>
      </w:r>
      <w:proofErr w:type="spellEnd"/>
      <w:r>
        <w:t xml:space="preserve">, Z. A., Islam, S., Tyagi, A., Ahmad, A., &amp; Mohammad, F. (2022). Exogenously applied sulphur improves growth, photosynthetic efficiency and yield. </w:t>
      </w:r>
      <w:r>
        <w:rPr>
          <w:rStyle w:val="Emphasis"/>
          <w:rFonts w:eastAsiaTheme="majorEastAsia"/>
        </w:rPr>
        <w:t>Sustainability, 14</w:t>
      </w:r>
      <w:r>
        <w:t xml:space="preserve">(21), 14441. </w:t>
      </w:r>
      <w:hyperlink r:id="rId19" w:history="1">
        <w:r w:rsidRPr="00E46876">
          <w:rPr>
            <w:rStyle w:val="Hyperlink"/>
          </w:rPr>
          <w:t>https://doi.org/10.3390/su142114441</w:t>
        </w:r>
      </w:hyperlink>
    </w:p>
    <w:p w14:paraId="4A0189FE" w14:textId="77777777" w:rsidR="00443C76" w:rsidRDefault="00443C76" w:rsidP="00B00E2D">
      <w:pPr>
        <w:pStyle w:val="NormalWeb"/>
        <w:spacing w:line="360" w:lineRule="auto"/>
        <w:jc w:val="both"/>
        <w:rPr>
          <w:color w:val="000000" w:themeColor="text1"/>
        </w:rPr>
        <w:sectPr w:rsidR="00443C76" w:rsidSect="001C23A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p>
    <w:p w14:paraId="66F46CDF" w14:textId="77777777" w:rsidR="001C23A5" w:rsidRDefault="001C23A5" w:rsidP="00443C76">
      <w:pPr>
        <w:pStyle w:val="NormalWeb"/>
        <w:spacing w:line="360" w:lineRule="auto"/>
        <w:jc w:val="both"/>
        <w:rPr>
          <w:color w:val="000000" w:themeColor="text1"/>
        </w:rPr>
      </w:pPr>
    </w:p>
    <w:tbl>
      <w:tblPr>
        <w:tblW w:w="13180" w:type="dxa"/>
        <w:tblLook w:val="04A0" w:firstRow="1" w:lastRow="0" w:firstColumn="1" w:lastColumn="0" w:noHBand="0" w:noVBand="1"/>
      </w:tblPr>
      <w:tblGrid>
        <w:gridCol w:w="3602"/>
        <w:gridCol w:w="1356"/>
        <w:gridCol w:w="1981"/>
        <w:gridCol w:w="1436"/>
        <w:gridCol w:w="1580"/>
        <w:gridCol w:w="1568"/>
        <w:gridCol w:w="1657"/>
      </w:tblGrid>
      <w:tr w:rsidR="001C23A5" w:rsidRPr="00484DBC" w14:paraId="21714B19" w14:textId="77777777" w:rsidTr="00F90B41">
        <w:trPr>
          <w:trHeight w:val="342"/>
        </w:trPr>
        <w:tc>
          <w:tcPr>
            <w:tcW w:w="13180" w:type="dxa"/>
            <w:gridSpan w:val="7"/>
            <w:tcBorders>
              <w:top w:val="single" w:sz="4" w:space="0" w:color="auto"/>
              <w:left w:val="single" w:sz="4" w:space="0" w:color="auto"/>
              <w:bottom w:val="single" w:sz="4" w:space="0" w:color="auto"/>
              <w:right w:val="single" w:sz="4" w:space="0" w:color="auto"/>
            </w:tcBorders>
            <w:noWrap/>
            <w:vAlign w:val="bottom"/>
            <w:hideMark/>
          </w:tcPr>
          <w:p w14:paraId="16A05F36"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 xml:space="preserve">Table </w:t>
            </w:r>
            <w:r>
              <w:rPr>
                <w:rFonts w:ascii="Times New Roman" w:eastAsia="Times New Roman" w:hAnsi="Times New Roman" w:cs="Times New Roman"/>
                <w:color w:val="000000"/>
                <w:kern w:val="0"/>
                <w:sz w:val="24"/>
                <w:szCs w:val="24"/>
                <w:lang w:eastAsia="en-IN"/>
                <w14:ligatures w14:val="none"/>
              </w:rPr>
              <w:t>1</w:t>
            </w:r>
            <w:r w:rsidRPr="00484DBC">
              <w:rPr>
                <w:rFonts w:ascii="Times New Roman" w:eastAsia="Times New Roman" w:hAnsi="Times New Roman" w:cs="Times New Roman"/>
                <w:color w:val="000000"/>
                <w:kern w:val="0"/>
                <w:sz w:val="24"/>
                <w:szCs w:val="24"/>
                <w:lang w:eastAsia="en-IN"/>
                <w14:ligatures w14:val="none"/>
              </w:rPr>
              <w:t>. Influence of foliar spray (FS) of synthesized SNPs and surfactant on growth, physiological trait, yield attributes and seed sulphur content in sunflower.</w:t>
            </w:r>
          </w:p>
        </w:tc>
      </w:tr>
      <w:tr w:rsidR="001C23A5" w:rsidRPr="00484DBC" w14:paraId="535189E2" w14:textId="77777777" w:rsidTr="008A1436">
        <w:trPr>
          <w:trHeight w:val="717"/>
        </w:trPr>
        <w:tc>
          <w:tcPr>
            <w:tcW w:w="3602" w:type="dxa"/>
            <w:tcBorders>
              <w:top w:val="nil"/>
              <w:left w:val="single" w:sz="4" w:space="0" w:color="auto"/>
              <w:bottom w:val="single" w:sz="4" w:space="0" w:color="auto"/>
              <w:right w:val="single" w:sz="4" w:space="0" w:color="auto"/>
            </w:tcBorders>
            <w:noWrap/>
            <w:vAlign w:val="bottom"/>
            <w:hideMark/>
          </w:tcPr>
          <w:p w14:paraId="125AC591" w14:textId="77777777" w:rsidR="001C23A5" w:rsidRPr="00484DBC" w:rsidRDefault="001C23A5" w:rsidP="00F90B41">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Treatments</w:t>
            </w:r>
          </w:p>
        </w:tc>
        <w:tc>
          <w:tcPr>
            <w:tcW w:w="1356" w:type="dxa"/>
            <w:tcBorders>
              <w:top w:val="nil"/>
              <w:left w:val="nil"/>
              <w:bottom w:val="single" w:sz="4" w:space="0" w:color="auto"/>
              <w:right w:val="single" w:sz="4" w:space="0" w:color="auto"/>
            </w:tcBorders>
            <w:noWrap/>
            <w:vAlign w:val="center"/>
            <w:hideMark/>
          </w:tcPr>
          <w:p w14:paraId="3F5A0A17"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Plant height (cm)</w:t>
            </w:r>
          </w:p>
        </w:tc>
        <w:tc>
          <w:tcPr>
            <w:tcW w:w="1981" w:type="dxa"/>
            <w:tcBorders>
              <w:top w:val="nil"/>
              <w:left w:val="nil"/>
              <w:bottom w:val="single" w:sz="4" w:space="0" w:color="auto"/>
              <w:right w:val="single" w:sz="4" w:space="0" w:color="auto"/>
            </w:tcBorders>
            <w:noWrap/>
            <w:vAlign w:val="center"/>
            <w:hideMark/>
          </w:tcPr>
          <w:p w14:paraId="7C41F9F4"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Leaf area (cm</w:t>
            </w:r>
            <w:r w:rsidRPr="00484DBC">
              <w:rPr>
                <w:rFonts w:ascii="Times New Roman" w:eastAsia="Times New Roman" w:hAnsi="Times New Roman" w:cs="Times New Roman"/>
                <w:color w:val="000000"/>
                <w:kern w:val="0"/>
                <w:sz w:val="24"/>
                <w:szCs w:val="24"/>
                <w:vertAlign w:val="superscript"/>
                <w:lang w:eastAsia="en-IN"/>
                <w14:ligatures w14:val="none"/>
              </w:rPr>
              <w:t>2</w:t>
            </w:r>
            <w:r w:rsidRPr="00484DBC">
              <w:rPr>
                <w:rFonts w:ascii="Times New Roman" w:eastAsia="Times New Roman" w:hAnsi="Times New Roman" w:cs="Times New Roman"/>
                <w:color w:val="000000"/>
                <w:kern w:val="0"/>
                <w:sz w:val="24"/>
                <w:szCs w:val="24"/>
                <w:lang w:eastAsia="en-IN"/>
                <w14:ligatures w14:val="none"/>
              </w:rPr>
              <w:t xml:space="preserve"> per plant)</w:t>
            </w:r>
          </w:p>
        </w:tc>
        <w:tc>
          <w:tcPr>
            <w:tcW w:w="1436" w:type="dxa"/>
            <w:tcBorders>
              <w:top w:val="nil"/>
              <w:left w:val="nil"/>
              <w:bottom w:val="single" w:sz="4" w:space="0" w:color="auto"/>
              <w:right w:val="single" w:sz="4" w:space="0" w:color="auto"/>
            </w:tcBorders>
            <w:noWrap/>
            <w:vAlign w:val="center"/>
            <w:hideMark/>
          </w:tcPr>
          <w:p w14:paraId="0A1F1189"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SPAD @ flowering</w:t>
            </w:r>
          </w:p>
        </w:tc>
        <w:tc>
          <w:tcPr>
            <w:tcW w:w="1580" w:type="dxa"/>
            <w:tcBorders>
              <w:top w:val="nil"/>
              <w:left w:val="nil"/>
              <w:bottom w:val="single" w:sz="4" w:space="0" w:color="auto"/>
              <w:right w:val="single" w:sz="4" w:space="0" w:color="auto"/>
            </w:tcBorders>
            <w:noWrap/>
            <w:vAlign w:val="center"/>
            <w:hideMark/>
          </w:tcPr>
          <w:p w14:paraId="64F06D0A"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Head diameter (cm)</w:t>
            </w:r>
          </w:p>
        </w:tc>
        <w:tc>
          <w:tcPr>
            <w:tcW w:w="1568" w:type="dxa"/>
            <w:tcBorders>
              <w:top w:val="nil"/>
              <w:left w:val="nil"/>
              <w:bottom w:val="single" w:sz="4" w:space="0" w:color="auto"/>
              <w:right w:val="single" w:sz="4" w:space="0" w:color="auto"/>
            </w:tcBorders>
            <w:noWrap/>
            <w:vAlign w:val="center"/>
            <w:hideMark/>
          </w:tcPr>
          <w:p w14:paraId="76940247"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Seed yield per plant</w:t>
            </w:r>
          </w:p>
        </w:tc>
        <w:tc>
          <w:tcPr>
            <w:tcW w:w="1657" w:type="dxa"/>
            <w:tcBorders>
              <w:top w:val="nil"/>
              <w:left w:val="nil"/>
              <w:bottom w:val="single" w:sz="4" w:space="0" w:color="auto"/>
              <w:right w:val="single" w:sz="4" w:space="0" w:color="auto"/>
            </w:tcBorders>
            <w:noWrap/>
            <w:vAlign w:val="center"/>
            <w:hideMark/>
          </w:tcPr>
          <w:p w14:paraId="27286258"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 content in seed (%)</w:t>
            </w:r>
          </w:p>
        </w:tc>
      </w:tr>
      <w:tr w:rsidR="008A1436" w:rsidRPr="00484DBC" w14:paraId="7D80479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7A237A9D"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1</w:t>
            </w:r>
            <w:r w:rsidRPr="00484DBC">
              <w:rPr>
                <w:rFonts w:ascii="Times New Roman" w:eastAsia="Times New Roman" w:hAnsi="Times New Roman" w:cs="Times New Roman"/>
                <w:color w:val="000000"/>
                <w:kern w:val="0"/>
                <w:sz w:val="24"/>
                <w:szCs w:val="24"/>
                <w:lang w:eastAsia="en-IN"/>
                <w14:ligatures w14:val="none"/>
              </w:rPr>
              <w:t>: Control (RDF NPK)</w:t>
            </w:r>
          </w:p>
        </w:tc>
        <w:tc>
          <w:tcPr>
            <w:tcW w:w="1356" w:type="dxa"/>
            <w:tcBorders>
              <w:top w:val="nil"/>
              <w:left w:val="nil"/>
              <w:bottom w:val="single" w:sz="4" w:space="0" w:color="auto"/>
              <w:right w:val="single" w:sz="4" w:space="0" w:color="auto"/>
            </w:tcBorders>
            <w:noWrap/>
            <w:vAlign w:val="center"/>
            <w:hideMark/>
          </w:tcPr>
          <w:p w14:paraId="3E23DF3B" w14:textId="37A508F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141.9</w:t>
            </w:r>
          </w:p>
        </w:tc>
        <w:tc>
          <w:tcPr>
            <w:tcW w:w="1981" w:type="dxa"/>
            <w:tcBorders>
              <w:top w:val="nil"/>
              <w:left w:val="nil"/>
              <w:bottom w:val="single" w:sz="4" w:space="0" w:color="auto"/>
              <w:right w:val="single" w:sz="4" w:space="0" w:color="auto"/>
            </w:tcBorders>
            <w:noWrap/>
            <w:vAlign w:val="center"/>
            <w:hideMark/>
          </w:tcPr>
          <w:p w14:paraId="0137C091" w14:textId="3E89A25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112.3</w:t>
            </w:r>
          </w:p>
        </w:tc>
        <w:tc>
          <w:tcPr>
            <w:tcW w:w="1436" w:type="dxa"/>
            <w:tcBorders>
              <w:top w:val="nil"/>
              <w:left w:val="nil"/>
              <w:bottom w:val="single" w:sz="4" w:space="0" w:color="auto"/>
              <w:right w:val="single" w:sz="4" w:space="0" w:color="auto"/>
            </w:tcBorders>
            <w:noWrap/>
            <w:vAlign w:val="center"/>
            <w:hideMark/>
          </w:tcPr>
          <w:p w14:paraId="52E31DE4" w14:textId="50D5BD6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34.2</w:t>
            </w:r>
          </w:p>
        </w:tc>
        <w:tc>
          <w:tcPr>
            <w:tcW w:w="1580" w:type="dxa"/>
            <w:tcBorders>
              <w:top w:val="nil"/>
              <w:left w:val="nil"/>
              <w:bottom w:val="single" w:sz="4" w:space="0" w:color="auto"/>
              <w:right w:val="single" w:sz="4" w:space="0" w:color="auto"/>
            </w:tcBorders>
            <w:noWrap/>
            <w:vAlign w:val="center"/>
            <w:hideMark/>
          </w:tcPr>
          <w:p w14:paraId="6DFE9BE7" w14:textId="516D2F1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11.1</w:t>
            </w:r>
          </w:p>
        </w:tc>
        <w:tc>
          <w:tcPr>
            <w:tcW w:w="1568" w:type="dxa"/>
            <w:tcBorders>
              <w:top w:val="nil"/>
              <w:left w:val="nil"/>
              <w:bottom w:val="single" w:sz="4" w:space="0" w:color="auto"/>
              <w:right w:val="single" w:sz="4" w:space="0" w:color="auto"/>
            </w:tcBorders>
            <w:noWrap/>
            <w:vAlign w:val="center"/>
            <w:hideMark/>
          </w:tcPr>
          <w:p w14:paraId="5BAFDDAF" w14:textId="22A1D8E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41.7</w:t>
            </w:r>
          </w:p>
        </w:tc>
        <w:tc>
          <w:tcPr>
            <w:tcW w:w="1657" w:type="dxa"/>
            <w:tcBorders>
              <w:top w:val="nil"/>
              <w:left w:val="nil"/>
              <w:bottom w:val="single" w:sz="4" w:space="0" w:color="auto"/>
              <w:right w:val="single" w:sz="4" w:space="0" w:color="auto"/>
            </w:tcBorders>
            <w:noWrap/>
            <w:vAlign w:val="center"/>
            <w:hideMark/>
          </w:tcPr>
          <w:p w14:paraId="04D86AA7" w14:textId="6C71C0C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0.23</w:t>
            </w:r>
          </w:p>
        </w:tc>
      </w:tr>
      <w:tr w:rsidR="008A1436" w:rsidRPr="00484DBC" w14:paraId="7CE6E710"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3D47F554"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2</w:t>
            </w:r>
            <w:r w:rsidRPr="00484DBC">
              <w:rPr>
                <w:rFonts w:ascii="Times New Roman" w:eastAsia="Times New Roman" w:hAnsi="Times New Roman" w:cs="Times New Roman"/>
                <w:color w:val="000000"/>
                <w:kern w:val="0"/>
                <w:sz w:val="24"/>
                <w:szCs w:val="24"/>
                <w:lang w:eastAsia="en-IN"/>
                <w14:ligatures w14:val="none"/>
              </w:rPr>
              <w:t>: FS of ZnSO</w:t>
            </w:r>
            <w:r w:rsidRPr="00484DBC">
              <w:rPr>
                <w:rFonts w:ascii="Times New Roman" w:eastAsia="Times New Roman" w:hAnsi="Times New Roman" w:cs="Times New Roman"/>
                <w:color w:val="000000"/>
                <w:kern w:val="0"/>
                <w:sz w:val="24"/>
                <w:szCs w:val="24"/>
                <w:vertAlign w:val="subscript"/>
                <w:lang w:eastAsia="en-IN"/>
                <w14:ligatures w14:val="none"/>
              </w:rPr>
              <w:t xml:space="preserve">4 </w:t>
            </w:r>
            <w:r w:rsidRPr="00484DBC">
              <w:rPr>
                <w:rFonts w:ascii="Times New Roman" w:eastAsia="Times New Roman" w:hAnsi="Times New Roman" w:cs="Times New Roman"/>
                <w:color w:val="000000"/>
                <w:kern w:val="0"/>
                <w:sz w:val="24"/>
                <w:szCs w:val="24"/>
                <w:lang w:eastAsia="en-IN"/>
                <w14:ligatures w14:val="none"/>
              </w:rPr>
              <w:t>@ 0.5 %</w:t>
            </w:r>
          </w:p>
        </w:tc>
        <w:tc>
          <w:tcPr>
            <w:tcW w:w="1356" w:type="dxa"/>
            <w:tcBorders>
              <w:top w:val="nil"/>
              <w:left w:val="nil"/>
              <w:bottom w:val="single" w:sz="4" w:space="0" w:color="auto"/>
              <w:right w:val="single" w:sz="4" w:space="0" w:color="auto"/>
            </w:tcBorders>
            <w:noWrap/>
            <w:vAlign w:val="center"/>
            <w:hideMark/>
          </w:tcPr>
          <w:p w14:paraId="0C9B6046" w14:textId="4EEB385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158.5</w:t>
            </w:r>
          </w:p>
        </w:tc>
        <w:tc>
          <w:tcPr>
            <w:tcW w:w="1981" w:type="dxa"/>
            <w:tcBorders>
              <w:top w:val="nil"/>
              <w:left w:val="nil"/>
              <w:bottom w:val="single" w:sz="4" w:space="0" w:color="auto"/>
              <w:right w:val="single" w:sz="4" w:space="0" w:color="auto"/>
            </w:tcBorders>
            <w:noWrap/>
            <w:vAlign w:val="center"/>
            <w:hideMark/>
          </w:tcPr>
          <w:p w14:paraId="3FC91F38" w14:textId="56ED4F9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151.1</w:t>
            </w:r>
          </w:p>
        </w:tc>
        <w:tc>
          <w:tcPr>
            <w:tcW w:w="1436" w:type="dxa"/>
            <w:tcBorders>
              <w:top w:val="nil"/>
              <w:left w:val="nil"/>
              <w:bottom w:val="single" w:sz="4" w:space="0" w:color="auto"/>
              <w:right w:val="single" w:sz="4" w:space="0" w:color="auto"/>
            </w:tcBorders>
            <w:noWrap/>
            <w:vAlign w:val="center"/>
            <w:hideMark/>
          </w:tcPr>
          <w:p w14:paraId="21BF6D41" w14:textId="0EC9FB45"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39.9</w:t>
            </w:r>
          </w:p>
        </w:tc>
        <w:tc>
          <w:tcPr>
            <w:tcW w:w="1580" w:type="dxa"/>
            <w:tcBorders>
              <w:top w:val="nil"/>
              <w:left w:val="nil"/>
              <w:bottom w:val="single" w:sz="4" w:space="0" w:color="auto"/>
              <w:right w:val="single" w:sz="4" w:space="0" w:color="auto"/>
            </w:tcBorders>
            <w:noWrap/>
            <w:vAlign w:val="center"/>
            <w:hideMark/>
          </w:tcPr>
          <w:p w14:paraId="47CF1C26" w14:textId="5C578CE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12.3</w:t>
            </w:r>
          </w:p>
        </w:tc>
        <w:tc>
          <w:tcPr>
            <w:tcW w:w="1568" w:type="dxa"/>
            <w:tcBorders>
              <w:top w:val="nil"/>
              <w:left w:val="nil"/>
              <w:bottom w:val="single" w:sz="4" w:space="0" w:color="auto"/>
              <w:right w:val="single" w:sz="4" w:space="0" w:color="auto"/>
            </w:tcBorders>
            <w:noWrap/>
            <w:vAlign w:val="center"/>
            <w:hideMark/>
          </w:tcPr>
          <w:p w14:paraId="6F77A6DB" w14:textId="057CE769"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50.2</w:t>
            </w:r>
          </w:p>
        </w:tc>
        <w:tc>
          <w:tcPr>
            <w:tcW w:w="1657" w:type="dxa"/>
            <w:tcBorders>
              <w:top w:val="nil"/>
              <w:left w:val="nil"/>
              <w:bottom w:val="single" w:sz="4" w:space="0" w:color="auto"/>
              <w:right w:val="single" w:sz="4" w:space="0" w:color="auto"/>
            </w:tcBorders>
            <w:noWrap/>
            <w:vAlign w:val="center"/>
            <w:hideMark/>
          </w:tcPr>
          <w:p w14:paraId="5C492395" w14:textId="0C24D0B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0.39</w:t>
            </w:r>
          </w:p>
        </w:tc>
      </w:tr>
      <w:tr w:rsidR="008A1436" w:rsidRPr="00484DBC" w14:paraId="0EFCA70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413B4C2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3</w:t>
            </w:r>
            <w:r w:rsidRPr="00484DBC">
              <w:rPr>
                <w:rFonts w:ascii="Times New Roman" w:eastAsia="Times New Roman" w:hAnsi="Times New Roman" w:cs="Times New Roman"/>
                <w:color w:val="000000"/>
                <w:kern w:val="0"/>
                <w:sz w:val="24"/>
                <w:szCs w:val="24"/>
                <w:lang w:eastAsia="en-IN"/>
                <w14:ligatures w14:val="none"/>
              </w:rPr>
              <w:t>: FS of SNPs @ 250 ppm</w:t>
            </w:r>
          </w:p>
        </w:tc>
        <w:tc>
          <w:tcPr>
            <w:tcW w:w="1356" w:type="dxa"/>
            <w:tcBorders>
              <w:top w:val="nil"/>
              <w:left w:val="nil"/>
              <w:bottom w:val="single" w:sz="4" w:space="0" w:color="auto"/>
              <w:right w:val="single" w:sz="4" w:space="0" w:color="auto"/>
            </w:tcBorders>
            <w:noWrap/>
            <w:vAlign w:val="center"/>
            <w:hideMark/>
          </w:tcPr>
          <w:p w14:paraId="1AE500AF" w14:textId="506683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150.7</w:t>
            </w:r>
          </w:p>
        </w:tc>
        <w:tc>
          <w:tcPr>
            <w:tcW w:w="1981" w:type="dxa"/>
            <w:tcBorders>
              <w:top w:val="nil"/>
              <w:left w:val="nil"/>
              <w:bottom w:val="single" w:sz="4" w:space="0" w:color="auto"/>
              <w:right w:val="single" w:sz="4" w:space="0" w:color="auto"/>
            </w:tcBorders>
            <w:noWrap/>
            <w:vAlign w:val="center"/>
            <w:hideMark/>
          </w:tcPr>
          <w:p w14:paraId="5E57F9DC" w14:textId="52623557"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140.1</w:t>
            </w:r>
          </w:p>
        </w:tc>
        <w:tc>
          <w:tcPr>
            <w:tcW w:w="1436" w:type="dxa"/>
            <w:tcBorders>
              <w:top w:val="nil"/>
              <w:left w:val="nil"/>
              <w:bottom w:val="single" w:sz="4" w:space="0" w:color="auto"/>
              <w:right w:val="single" w:sz="4" w:space="0" w:color="auto"/>
            </w:tcBorders>
            <w:noWrap/>
            <w:vAlign w:val="center"/>
            <w:hideMark/>
          </w:tcPr>
          <w:p w14:paraId="70196747" w14:textId="04DBCD7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37.6</w:t>
            </w:r>
          </w:p>
        </w:tc>
        <w:tc>
          <w:tcPr>
            <w:tcW w:w="1580" w:type="dxa"/>
            <w:tcBorders>
              <w:top w:val="nil"/>
              <w:left w:val="nil"/>
              <w:bottom w:val="single" w:sz="4" w:space="0" w:color="auto"/>
              <w:right w:val="single" w:sz="4" w:space="0" w:color="auto"/>
            </w:tcBorders>
            <w:noWrap/>
            <w:vAlign w:val="center"/>
            <w:hideMark/>
          </w:tcPr>
          <w:p w14:paraId="199C0063" w14:textId="7781850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11.8</w:t>
            </w:r>
          </w:p>
        </w:tc>
        <w:tc>
          <w:tcPr>
            <w:tcW w:w="1568" w:type="dxa"/>
            <w:tcBorders>
              <w:top w:val="nil"/>
              <w:left w:val="nil"/>
              <w:bottom w:val="single" w:sz="4" w:space="0" w:color="auto"/>
              <w:right w:val="single" w:sz="4" w:space="0" w:color="auto"/>
            </w:tcBorders>
            <w:noWrap/>
            <w:vAlign w:val="center"/>
            <w:hideMark/>
          </w:tcPr>
          <w:p w14:paraId="10C79788" w14:textId="37CB0DA5"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45.8</w:t>
            </w:r>
          </w:p>
        </w:tc>
        <w:tc>
          <w:tcPr>
            <w:tcW w:w="1657" w:type="dxa"/>
            <w:tcBorders>
              <w:top w:val="nil"/>
              <w:left w:val="nil"/>
              <w:bottom w:val="single" w:sz="4" w:space="0" w:color="auto"/>
              <w:right w:val="single" w:sz="4" w:space="0" w:color="auto"/>
            </w:tcBorders>
            <w:noWrap/>
            <w:vAlign w:val="center"/>
            <w:hideMark/>
          </w:tcPr>
          <w:p w14:paraId="540CED69" w14:textId="76E877F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0.32</w:t>
            </w:r>
          </w:p>
        </w:tc>
      </w:tr>
      <w:tr w:rsidR="008A1436" w:rsidRPr="00484DBC" w14:paraId="5EFFF913"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DA118EE"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4</w:t>
            </w:r>
            <w:r w:rsidRPr="00484DBC">
              <w:rPr>
                <w:rFonts w:ascii="Times New Roman" w:eastAsia="Times New Roman" w:hAnsi="Times New Roman" w:cs="Times New Roman"/>
                <w:color w:val="000000"/>
                <w:kern w:val="0"/>
                <w:sz w:val="24"/>
                <w:szCs w:val="24"/>
                <w:lang w:eastAsia="en-IN"/>
                <w14:ligatures w14:val="none"/>
              </w:rPr>
              <w:t>:  FS of SNPs @ 250 ppm with surfactant</w:t>
            </w:r>
          </w:p>
        </w:tc>
        <w:tc>
          <w:tcPr>
            <w:tcW w:w="1356" w:type="dxa"/>
            <w:tcBorders>
              <w:top w:val="nil"/>
              <w:left w:val="nil"/>
              <w:bottom w:val="single" w:sz="4" w:space="0" w:color="auto"/>
              <w:right w:val="single" w:sz="4" w:space="0" w:color="auto"/>
            </w:tcBorders>
            <w:noWrap/>
            <w:vAlign w:val="center"/>
            <w:hideMark/>
          </w:tcPr>
          <w:p w14:paraId="78462452" w14:textId="344CC20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180.0</w:t>
            </w:r>
          </w:p>
        </w:tc>
        <w:tc>
          <w:tcPr>
            <w:tcW w:w="1981" w:type="dxa"/>
            <w:tcBorders>
              <w:top w:val="nil"/>
              <w:left w:val="nil"/>
              <w:bottom w:val="single" w:sz="4" w:space="0" w:color="auto"/>
              <w:right w:val="single" w:sz="4" w:space="0" w:color="auto"/>
            </w:tcBorders>
            <w:noWrap/>
            <w:vAlign w:val="center"/>
            <w:hideMark/>
          </w:tcPr>
          <w:p w14:paraId="35EC5108" w14:textId="6457ECC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176.1</w:t>
            </w:r>
          </w:p>
        </w:tc>
        <w:tc>
          <w:tcPr>
            <w:tcW w:w="1436" w:type="dxa"/>
            <w:tcBorders>
              <w:top w:val="nil"/>
              <w:left w:val="nil"/>
              <w:bottom w:val="single" w:sz="4" w:space="0" w:color="auto"/>
              <w:right w:val="single" w:sz="4" w:space="0" w:color="auto"/>
            </w:tcBorders>
            <w:noWrap/>
            <w:vAlign w:val="center"/>
            <w:hideMark/>
          </w:tcPr>
          <w:p w14:paraId="45ED6178" w14:textId="131A0C2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41.9</w:t>
            </w:r>
          </w:p>
        </w:tc>
        <w:tc>
          <w:tcPr>
            <w:tcW w:w="1580" w:type="dxa"/>
            <w:tcBorders>
              <w:top w:val="nil"/>
              <w:left w:val="nil"/>
              <w:bottom w:val="single" w:sz="4" w:space="0" w:color="auto"/>
              <w:right w:val="single" w:sz="4" w:space="0" w:color="auto"/>
            </w:tcBorders>
            <w:noWrap/>
            <w:vAlign w:val="center"/>
            <w:hideMark/>
          </w:tcPr>
          <w:p w14:paraId="3EC10FF6" w14:textId="5E078B4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13.3</w:t>
            </w:r>
          </w:p>
        </w:tc>
        <w:tc>
          <w:tcPr>
            <w:tcW w:w="1568" w:type="dxa"/>
            <w:tcBorders>
              <w:top w:val="nil"/>
              <w:left w:val="nil"/>
              <w:bottom w:val="single" w:sz="4" w:space="0" w:color="auto"/>
              <w:right w:val="single" w:sz="4" w:space="0" w:color="auto"/>
            </w:tcBorders>
            <w:noWrap/>
            <w:vAlign w:val="center"/>
            <w:hideMark/>
          </w:tcPr>
          <w:p w14:paraId="0F8E2244" w14:textId="3307896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60.6</w:t>
            </w:r>
          </w:p>
        </w:tc>
        <w:tc>
          <w:tcPr>
            <w:tcW w:w="1657" w:type="dxa"/>
            <w:tcBorders>
              <w:top w:val="nil"/>
              <w:left w:val="nil"/>
              <w:bottom w:val="single" w:sz="4" w:space="0" w:color="auto"/>
              <w:right w:val="single" w:sz="4" w:space="0" w:color="auto"/>
            </w:tcBorders>
            <w:noWrap/>
            <w:vAlign w:val="center"/>
            <w:hideMark/>
          </w:tcPr>
          <w:p w14:paraId="5AC552A2" w14:textId="5E9BC3B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0.36</w:t>
            </w:r>
          </w:p>
        </w:tc>
      </w:tr>
      <w:tr w:rsidR="008A1436" w:rsidRPr="00484DBC" w14:paraId="673825ED"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D03412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5</w:t>
            </w:r>
            <w:r w:rsidRPr="00484DBC">
              <w:rPr>
                <w:rFonts w:ascii="Times New Roman" w:eastAsia="Times New Roman" w:hAnsi="Times New Roman" w:cs="Times New Roman"/>
                <w:color w:val="000000"/>
                <w:kern w:val="0"/>
                <w:sz w:val="24"/>
                <w:szCs w:val="24"/>
                <w:lang w:eastAsia="en-IN"/>
                <w14:ligatures w14:val="none"/>
              </w:rPr>
              <w:t>: FS of SNPs @ 500 ppm</w:t>
            </w:r>
          </w:p>
        </w:tc>
        <w:tc>
          <w:tcPr>
            <w:tcW w:w="1356" w:type="dxa"/>
            <w:tcBorders>
              <w:top w:val="nil"/>
              <w:left w:val="nil"/>
              <w:bottom w:val="single" w:sz="4" w:space="0" w:color="auto"/>
              <w:right w:val="single" w:sz="4" w:space="0" w:color="auto"/>
            </w:tcBorders>
            <w:noWrap/>
            <w:vAlign w:val="center"/>
            <w:hideMark/>
          </w:tcPr>
          <w:p w14:paraId="20E6E9DB" w14:textId="4AC3053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185.5</w:t>
            </w:r>
          </w:p>
        </w:tc>
        <w:tc>
          <w:tcPr>
            <w:tcW w:w="1981" w:type="dxa"/>
            <w:tcBorders>
              <w:top w:val="nil"/>
              <w:left w:val="nil"/>
              <w:bottom w:val="single" w:sz="4" w:space="0" w:color="auto"/>
              <w:right w:val="single" w:sz="4" w:space="0" w:color="auto"/>
            </w:tcBorders>
            <w:noWrap/>
            <w:vAlign w:val="center"/>
            <w:hideMark/>
          </w:tcPr>
          <w:p w14:paraId="55A63FFD" w14:textId="27A09C2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180.0</w:t>
            </w:r>
          </w:p>
        </w:tc>
        <w:tc>
          <w:tcPr>
            <w:tcW w:w="1436" w:type="dxa"/>
            <w:tcBorders>
              <w:top w:val="nil"/>
              <w:left w:val="nil"/>
              <w:bottom w:val="single" w:sz="4" w:space="0" w:color="auto"/>
              <w:right w:val="single" w:sz="4" w:space="0" w:color="auto"/>
            </w:tcBorders>
            <w:noWrap/>
            <w:vAlign w:val="center"/>
            <w:hideMark/>
          </w:tcPr>
          <w:p w14:paraId="65F1A70C" w14:textId="6F226A6F"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45.0</w:t>
            </w:r>
          </w:p>
        </w:tc>
        <w:tc>
          <w:tcPr>
            <w:tcW w:w="1580" w:type="dxa"/>
            <w:tcBorders>
              <w:top w:val="nil"/>
              <w:left w:val="nil"/>
              <w:bottom w:val="single" w:sz="4" w:space="0" w:color="auto"/>
              <w:right w:val="single" w:sz="4" w:space="0" w:color="auto"/>
            </w:tcBorders>
            <w:noWrap/>
            <w:vAlign w:val="center"/>
            <w:hideMark/>
          </w:tcPr>
          <w:p w14:paraId="02A264E9" w14:textId="181EC47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13.7</w:t>
            </w:r>
          </w:p>
        </w:tc>
        <w:tc>
          <w:tcPr>
            <w:tcW w:w="1568" w:type="dxa"/>
            <w:tcBorders>
              <w:top w:val="nil"/>
              <w:left w:val="nil"/>
              <w:bottom w:val="single" w:sz="4" w:space="0" w:color="auto"/>
              <w:right w:val="single" w:sz="4" w:space="0" w:color="auto"/>
            </w:tcBorders>
            <w:noWrap/>
            <w:vAlign w:val="center"/>
            <w:hideMark/>
          </w:tcPr>
          <w:p w14:paraId="2B05E130" w14:textId="01BE5C2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59.6</w:t>
            </w:r>
          </w:p>
        </w:tc>
        <w:tc>
          <w:tcPr>
            <w:tcW w:w="1657" w:type="dxa"/>
            <w:tcBorders>
              <w:top w:val="nil"/>
              <w:left w:val="nil"/>
              <w:bottom w:val="single" w:sz="4" w:space="0" w:color="auto"/>
              <w:right w:val="single" w:sz="4" w:space="0" w:color="auto"/>
            </w:tcBorders>
            <w:noWrap/>
            <w:vAlign w:val="center"/>
            <w:hideMark/>
          </w:tcPr>
          <w:p w14:paraId="1B9CBE2B" w14:textId="54C87F0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0.38</w:t>
            </w:r>
          </w:p>
        </w:tc>
      </w:tr>
      <w:tr w:rsidR="008A1436" w:rsidRPr="00484DBC" w14:paraId="1CA870FD"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7013D8AD"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6</w:t>
            </w:r>
            <w:r w:rsidRPr="00484DBC">
              <w:rPr>
                <w:rFonts w:ascii="Times New Roman" w:eastAsia="Times New Roman" w:hAnsi="Times New Roman" w:cs="Times New Roman"/>
                <w:color w:val="000000"/>
                <w:kern w:val="0"/>
                <w:sz w:val="24"/>
                <w:szCs w:val="24"/>
                <w:lang w:eastAsia="en-IN"/>
                <w14:ligatures w14:val="none"/>
              </w:rPr>
              <w:t>:  FS of SNPs @ 500 ppm with surfactant</w:t>
            </w:r>
          </w:p>
        </w:tc>
        <w:tc>
          <w:tcPr>
            <w:tcW w:w="1356" w:type="dxa"/>
            <w:tcBorders>
              <w:top w:val="nil"/>
              <w:left w:val="nil"/>
              <w:bottom w:val="single" w:sz="4" w:space="0" w:color="auto"/>
              <w:right w:val="single" w:sz="4" w:space="0" w:color="auto"/>
            </w:tcBorders>
            <w:noWrap/>
            <w:vAlign w:val="center"/>
            <w:hideMark/>
          </w:tcPr>
          <w:p w14:paraId="446C4E0C" w14:textId="780ACF3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199.4</w:t>
            </w:r>
          </w:p>
        </w:tc>
        <w:tc>
          <w:tcPr>
            <w:tcW w:w="1981" w:type="dxa"/>
            <w:tcBorders>
              <w:top w:val="nil"/>
              <w:left w:val="nil"/>
              <w:bottom w:val="single" w:sz="4" w:space="0" w:color="auto"/>
              <w:right w:val="single" w:sz="4" w:space="0" w:color="auto"/>
            </w:tcBorders>
            <w:noWrap/>
            <w:vAlign w:val="center"/>
            <w:hideMark/>
          </w:tcPr>
          <w:p w14:paraId="09FAFD1A" w14:textId="537A869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213.7</w:t>
            </w:r>
          </w:p>
        </w:tc>
        <w:tc>
          <w:tcPr>
            <w:tcW w:w="1436" w:type="dxa"/>
            <w:tcBorders>
              <w:top w:val="nil"/>
              <w:left w:val="nil"/>
              <w:bottom w:val="single" w:sz="4" w:space="0" w:color="auto"/>
              <w:right w:val="single" w:sz="4" w:space="0" w:color="auto"/>
            </w:tcBorders>
            <w:noWrap/>
            <w:vAlign w:val="center"/>
            <w:hideMark/>
          </w:tcPr>
          <w:p w14:paraId="7CCC80A5" w14:textId="557EF34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46.5</w:t>
            </w:r>
          </w:p>
        </w:tc>
        <w:tc>
          <w:tcPr>
            <w:tcW w:w="1580" w:type="dxa"/>
            <w:tcBorders>
              <w:top w:val="nil"/>
              <w:left w:val="nil"/>
              <w:bottom w:val="single" w:sz="4" w:space="0" w:color="auto"/>
              <w:right w:val="single" w:sz="4" w:space="0" w:color="auto"/>
            </w:tcBorders>
            <w:noWrap/>
            <w:vAlign w:val="center"/>
            <w:hideMark/>
          </w:tcPr>
          <w:p w14:paraId="4C702E9B" w14:textId="379FECD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14.7</w:t>
            </w:r>
          </w:p>
        </w:tc>
        <w:tc>
          <w:tcPr>
            <w:tcW w:w="1568" w:type="dxa"/>
            <w:tcBorders>
              <w:top w:val="nil"/>
              <w:left w:val="nil"/>
              <w:bottom w:val="single" w:sz="4" w:space="0" w:color="auto"/>
              <w:right w:val="single" w:sz="4" w:space="0" w:color="auto"/>
            </w:tcBorders>
            <w:noWrap/>
            <w:vAlign w:val="center"/>
            <w:hideMark/>
          </w:tcPr>
          <w:p w14:paraId="06B8C31C" w14:textId="562E436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73.1</w:t>
            </w:r>
          </w:p>
        </w:tc>
        <w:tc>
          <w:tcPr>
            <w:tcW w:w="1657" w:type="dxa"/>
            <w:tcBorders>
              <w:top w:val="nil"/>
              <w:left w:val="nil"/>
              <w:bottom w:val="single" w:sz="4" w:space="0" w:color="auto"/>
              <w:right w:val="single" w:sz="4" w:space="0" w:color="auto"/>
            </w:tcBorders>
            <w:noWrap/>
            <w:vAlign w:val="center"/>
            <w:hideMark/>
          </w:tcPr>
          <w:p w14:paraId="7921B1A1" w14:textId="4DF262D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0.45</w:t>
            </w:r>
          </w:p>
        </w:tc>
      </w:tr>
      <w:tr w:rsidR="008A1436" w:rsidRPr="00484DBC" w14:paraId="23B61C24"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5036B5C"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7</w:t>
            </w:r>
            <w:r w:rsidRPr="00484DBC">
              <w:rPr>
                <w:rFonts w:ascii="Times New Roman" w:eastAsia="Times New Roman" w:hAnsi="Times New Roman" w:cs="Times New Roman"/>
                <w:color w:val="000000"/>
                <w:kern w:val="0"/>
                <w:sz w:val="24"/>
                <w:szCs w:val="24"/>
                <w:lang w:eastAsia="en-IN"/>
                <w14:ligatures w14:val="none"/>
              </w:rPr>
              <w:t>:  FS of SNPs @ 750 ppm</w:t>
            </w:r>
          </w:p>
        </w:tc>
        <w:tc>
          <w:tcPr>
            <w:tcW w:w="1356" w:type="dxa"/>
            <w:tcBorders>
              <w:top w:val="nil"/>
              <w:left w:val="nil"/>
              <w:bottom w:val="single" w:sz="4" w:space="0" w:color="auto"/>
              <w:right w:val="single" w:sz="4" w:space="0" w:color="auto"/>
            </w:tcBorders>
            <w:noWrap/>
            <w:vAlign w:val="center"/>
            <w:hideMark/>
          </w:tcPr>
          <w:p w14:paraId="6F3A6CE7" w14:textId="5810B9D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160.7</w:t>
            </w:r>
          </w:p>
        </w:tc>
        <w:tc>
          <w:tcPr>
            <w:tcW w:w="1981" w:type="dxa"/>
            <w:tcBorders>
              <w:top w:val="nil"/>
              <w:left w:val="nil"/>
              <w:bottom w:val="single" w:sz="4" w:space="0" w:color="auto"/>
              <w:right w:val="single" w:sz="4" w:space="0" w:color="auto"/>
            </w:tcBorders>
            <w:noWrap/>
            <w:vAlign w:val="center"/>
            <w:hideMark/>
          </w:tcPr>
          <w:p w14:paraId="2F70DADF" w14:textId="18B0CDB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160.3</w:t>
            </w:r>
          </w:p>
        </w:tc>
        <w:tc>
          <w:tcPr>
            <w:tcW w:w="1436" w:type="dxa"/>
            <w:tcBorders>
              <w:top w:val="nil"/>
              <w:left w:val="nil"/>
              <w:bottom w:val="single" w:sz="4" w:space="0" w:color="auto"/>
              <w:right w:val="single" w:sz="4" w:space="0" w:color="auto"/>
            </w:tcBorders>
            <w:noWrap/>
            <w:vAlign w:val="center"/>
            <w:hideMark/>
          </w:tcPr>
          <w:p w14:paraId="178967B8" w14:textId="7322ED0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39.9</w:t>
            </w:r>
          </w:p>
        </w:tc>
        <w:tc>
          <w:tcPr>
            <w:tcW w:w="1580" w:type="dxa"/>
            <w:tcBorders>
              <w:top w:val="nil"/>
              <w:left w:val="nil"/>
              <w:bottom w:val="single" w:sz="4" w:space="0" w:color="auto"/>
              <w:right w:val="single" w:sz="4" w:space="0" w:color="auto"/>
            </w:tcBorders>
            <w:noWrap/>
            <w:vAlign w:val="center"/>
            <w:hideMark/>
          </w:tcPr>
          <w:p w14:paraId="0D5CB4FF" w14:textId="0A9B7DA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12.1</w:t>
            </w:r>
          </w:p>
        </w:tc>
        <w:tc>
          <w:tcPr>
            <w:tcW w:w="1568" w:type="dxa"/>
            <w:tcBorders>
              <w:top w:val="nil"/>
              <w:left w:val="nil"/>
              <w:bottom w:val="single" w:sz="4" w:space="0" w:color="auto"/>
              <w:right w:val="single" w:sz="4" w:space="0" w:color="auto"/>
            </w:tcBorders>
            <w:noWrap/>
            <w:vAlign w:val="center"/>
            <w:hideMark/>
          </w:tcPr>
          <w:p w14:paraId="38984220" w14:textId="0A0AF36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50.3</w:t>
            </w:r>
          </w:p>
        </w:tc>
        <w:tc>
          <w:tcPr>
            <w:tcW w:w="1657" w:type="dxa"/>
            <w:tcBorders>
              <w:top w:val="nil"/>
              <w:left w:val="nil"/>
              <w:bottom w:val="single" w:sz="4" w:space="0" w:color="auto"/>
              <w:right w:val="single" w:sz="4" w:space="0" w:color="auto"/>
            </w:tcBorders>
            <w:noWrap/>
            <w:vAlign w:val="center"/>
            <w:hideMark/>
          </w:tcPr>
          <w:p w14:paraId="442D94E6" w14:textId="6ACBB5D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0.49</w:t>
            </w:r>
          </w:p>
        </w:tc>
      </w:tr>
      <w:tr w:rsidR="008A1436" w:rsidRPr="00484DBC" w14:paraId="35E56913"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C6249BA"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8</w:t>
            </w:r>
            <w:r w:rsidRPr="00484DBC">
              <w:rPr>
                <w:rFonts w:ascii="Times New Roman" w:eastAsia="Times New Roman" w:hAnsi="Times New Roman" w:cs="Times New Roman"/>
                <w:color w:val="000000"/>
                <w:kern w:val="0"/>
                <w:sz w:val="24"/>
                <w:szCs w:val="24"/>
                <w:lang w:eastAsia="en-IN"/>
                <w14:ligatures w14:val="none"/>
              </w:rPr>
              <w:t>:  FS of SNPs @ 750 ppm with surfactant</w:t>
            </w:r>
          </w:p>
        </w:tc>
        <w:tc>
          <w:tcPr>
            <w:tcW w:w="1356" w:type="dxa"/>
            <w:tcBorders>
              <w:top w:val="nil"/>
              <w:left w:val="nil"/>
              <w:bottom w:val="single" w:sz="4" w:space="0" w:color="auto"/>
              <w:right w:val="single" w:sz="4" w:space="0" w:color="auto"/>
            </w:tcBorders>
            <w:noWrap/>
            <w:vAlign w:val="center"/>
            <w:hideMark/>
          </w:tcPr>
          <w:p w14:paraId="01B32457" w14:textId="4ECE738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165.4</w:t>
            </w:r>
          </w:p>
        </w:tc>
        <w:tc>
          <w:tcPr>
            <w:tcW w:w="1981" w:type="dxa"/>
            <w:tcBorders>
              <w:top w:val="nil"/>
              <w:left w:val="nil"/>
              <w:bottom w:val="single" w:sz="4" w:space="0" w:color="auto"/>
              <w:right w:val="single" w:sz="4" w:space="0" w:color="auto"/>
            </w:tcBorders>
            <w:noWrap/>
            <w:vAlign w:val="center"/>
            <w:hideMark/>
          </w:tcPr>
          <w:p w14:paraId="5085C0D2" w14:textId="0EC74EC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150.3</w:t>
            </w:r>
          </w:p>
        </w:tc>
        <w:tc>
          <w:tcPr>
            <w:tcW w:w="1436" w:type="dxa"/>
            <w:tcBorders>
              <w:top w:val="nil"/>
              <w:left w:val="nil"/>
              <w:bottom w:val="single" w:sz="4" w:space="0" w:color="auto"/>
              <w:right w:val="single" w:sz="4" w:space="0" w:color="auto"/>
            </w:tcBorders>
            <w:noWrap/>
            <w:vAlign w:val="center"/>
            <w:hideMark/>
          </w:tcPr>
          <w:p w14:paraId="3643205E" w14:textId="6320F16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39.6</w:t>
            </w:r>
          </w:p>
        </w:tc>
        <w:tc>
          <w:tcPr>
            <w:tcW w:w="1580" w:type="dxa"/>
            <w:tcBorders>
              <w:top w:val="nil"/>
              <w:left w:val="nil"/>
              <w:bottom w:val="single" w:sz="4" w:space="0" w:color="auto"/>
              <w:right w:val="single" w:sz="4" w:space="0" w:color="auto"/>
            </w:tcBorders>
            <w:noWrap/>
            <w:vAlign w:val="center"/>
            <w:hideMark/>
          </w:tcPr>
          <w:p w14:paraId="483D8C17" w14:textId="48971D7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12.7</w:t>
            </w:r>
          </w:p>
        </w:tc>
        <w:tc>
          <w:tcPr>
            <w:tcW w:w="1568" w:type="dxa"/>
            <w:tcBorders>
              <w:top w:val="nil"/>
              <w:left w:val="nil"/>
              <w:bottom w:val="single" w:sz="4" w:space="0" w:color="auto"/>
              <w:right w:val="single" w:sz="4" w:space="0" w:color="auto"/>
            </w:tcBorders>
            <w:noWrap/>
            <w:vAlign w:val="center"/>
            <w:hideMark/>
          </w:tcPr>
          <w:p w14:paraId="7C34354E" w14:textId="45BC953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51.9</w:t>
            </w:r>
          </w:p>
        </w:tc>
        <w:tc>
          <w:tcPr>
            <w:tcW w:w="1657" w:type="dxa"/>
            <w:tcBorders>
              <w:top w:val="nil"/>
              <w:left w:val="nil"/>
              <w:bottom w:val="single" w:sz="4" w:space="0" w:color="auto"/>
              <w:right w:val="single" w:sz="4" w:space="0" w:color="auto"/>
            </w:tcBorders>
            <w:noWrap/>
            <w:vAlign w:val="center"/>
            <w:hideMark/>
          </w:tcPr>
          <w:p w14:paraId="79EDE133" w14:textId="55C59A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0.54</w:t>
            </w:r>
          </w:p>
        </w:tc>
      </w:tr>
      <w:tr w:rsidR="008A1436" w:rsidRPr="00484DBC" w14:paraId="1B65A838"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3CFCC802"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9</w:t>
            </w:r>
            <w:r w:rsidRPr="00484DBC">
              <w:rPr>
                <w:rFonts w:ascii="Times New Roman" w:eastAsia="Times New Roman" w:hAnsi="Times New Roman" w:cs="Times New Roman"/>
                <w:color w:val="000000"/>
                <w:kern w:val="0"/>
                <w:sz w:val="24"/>
                <w:szCs w:val="24"/>
                <w:lang w:eastAsia="en-IN"/>
                <w14:ligatures w14:val="none"/>
              </w:rPr>
              <w:t>:  FS of SNPs @ 1000 ppm</w:t>
            </w:r>
          </w:p>
        </w:tc>
        <w:tc>
          <w:tcPr>
            <w:tcW w:w="1356" w:type="dxa"/>
            <w:tcBorders>
              <w:top w:val="nil"/>
              <w:left w:val="nil"/>
              <w:bottom w:val="single" w:sz="4" w:space="0" w:color="auto"/>
              <w:right w:val="single" w:sz="4" w:space="0" w:color="auto"/>
            </w:tcBorders>
            <w:noWrap/>
            <w:vAlign w:val="center"/>
            <w:hideMark/>
          </w:tcPr>
          <w:p w14:paraId="4891C0DA" w14:textId="6693498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150.0</w:t>
            </w:r>
          </w:p>
        </w:tc>
        <w:tc>
          <w:tcPr>
            <w:tcW w:w="1981" w:type="dxa"/>
            <w:tcBorders>
              <w:top w:val="nil"/>
              <w:left w:val="nil"/>
              <w:bottom w:val="single" w:sz="4" w:space="0" w:color="auto"/>
              <w:right w:val="single" w:sz="4" w:space="0" w:color="auto"/>
            </w:tcBorders>
            <w:noWrap/>
            <w:vAlign w:val="center"/>
            <w:hideMark/>
          </w:tcPr>
          <w:p w14:paraId="1AA05A04" w14:textId="05D20C5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125.9</w:t>
            </w:r>
          </w:p>
        </w:tc>
        <w:tc>
          <w:tcPr>
            <w:tcW w:w="1436" w:type="dxa"/>
            <w:tcBorders>
              <w:top w:val="nil"/>
              <w:left w:val="nil"/>
              <w:bottom w:val="single" w:sz="4" w:space="0" w:color="auto"/>
              <w:right w:val="single" w:sz="4" w:space="0" w:color="auto"/>
            </w:tcBorders>
            <w:noWrap/>
            <w:vAlign w:val="center"/>
            <w:hideMark/>
          </w:tcPr>
          <w:p w14:paraId="14AA17BC" w14:textId="63804FC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35.6</w:t>
            </w:r>
          </w:p>
        </w:tc>
        <w:tc>
          <w:tcPr>
            <w:tcW w:w="1580" w:type="dxa"/>
            <w:tcBorders>
              <w:top w:val="nil"/>
              <w:left w:val="nil"/>
              <w:bottom w:val="single" w:sz="4" w:space="0" w:color="auto"/>
              <w:right w:val="single" w:sz="4" w:space="0" w:color="auto"/>
            </w:tcBorders>
            <w:noWrap/>
            <w:vAlign w:val="center"/>
            <w:hideMark/>
          </w:tcPr>
          <w:p w14:paraId="5C5D3753" w14:textId="1887BFE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11.5</w:t>
            </w:r>
          </w:p>
        </w:tc>
        <w:tc>
          <w:tcPr>
            <w:tcW w:w="1568" w:type="dxa"/>
            <w:tcBorders>
              <w:top w:val="nil"/>
              <w:left w:val="nil"/>
              <w:bottom w:val="single" w:sz="4" w:space="0" w:color="auto"/>
              <w:right w:val="single" w:sz="4" w:space="0" w:color="auto"/>
            </w:tcBorders>
            <w:noWrap/>
            <w:vAlign w:val="center"/>
            <w:hideMark/>
          </w:tcPr>
          <w:p w14:paraId="7F20558C" w14:textId="0686E9A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44.0</w:t>
            </w:r>
          </w:p>
        </w:tc>
        <w:tc>
          <w:tcPr>
            <w:tcW w:w="1657" w:type="dxa"/>
            <w:tcBorders>
              <w:top w:val="nil"/>
              <w:left w:val="nil"/>
              <w:bottom w:val="single" w:sz="4" w:space="0" w:color="auto"/>
              <w:right w:val="single" w:sz="4" w:space="0" w:color="auto"/>
            </w:tcBorders>
            <w:noWrap/>
            <w:vAlign w:val="center"/>
            <w:hideMark/>
          </w:tcPr>
          <w:p w14:paraId="167ED95E" w14:textId="33C7D72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0.57</w:t>
            </w:r>
          </w:p>
        </w:tc>
      </w:tr>
      <w:tr w:rsidR="008A1436" w:rsidRPr="00484DBC" w14:paraId="1AE04D0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25F3213F"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10</w:t>
            </w:r>
            <w:r w:rsidRPr="00484DBC">
              <w:rPr>
                <w:rFonts w:ascii="Times New Roman" w:eastAsia="Times New Roman" w:hAnsi="Times New Roman" w:cs="Times New Roman"/>
                <w:color w:val="000000"/>
                <w:kern w:val="0"/>
                <w:sz w:val="24"/>
                <w:szCs w:val="24"/>
                <w:lang w:eastAsia="en-IN"/>
                <w14:ligatures w14:val="none"/>
              </w:rPr>
              <w:t xml:space="preserve">:  </w:t>
            </w:r>
            <w:commentRangeStart w:id="14"/>
            <w:r w:rsidRPr="00484DBC">
              <w:rPr>
                <w:rFonts w:ascii="Times New Roman" w:eastAsia="Times New Roman" w:hAnsi="Times New Roman" w:cs="Times New Roman"/>
                <w:color w:val="000000"/>
                <w:kern w:val="0"/>
                <w:sz w:val="24"/>
                <w:szCs w:val="24"/>
                <w:lang w:eastAsia="en-IN"/>
                <w14:ligatures w14:val="none"/>
              </w:rPr>
              <w:t>FS of @ 1000 ppm with surfactant</w:t>
            </w:r>
            <w:commentRangeEnd w:id="14"/>
            <w:r w:rsidR="00AD697E">
              <w:rPr>
                <w:rStyle w:val="CommentReference"/>
              </w:rPr>
              <w:commentReference w:id="14"/>
            </w:r>
          </w:p>
        </w:tc>
        <w:tc>
          <w:tcPr>
            <w:tcW w:w="1356" w:type="dxa"/>
            <w:tcBorders>
              <w:top w:val="nil"/>
              <w:left w:val="nil"/>
              <w:bottom w:val="single" w:sz="4" w:space="0" w:color="auto"/>
              <w:right w:val="single" w:sz="4" w:space="0" w:color="auto"/>
            </w:tcBorders>
            <w:noWrap/>
            <w:vAlign w:val="center"/>
            <w:hideMark/>
          </w:tcPr>
          <w:p w14:paraId="7B4F2A80" w14:textId="40F7E5E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151.8</w:t>
            </w:r>
          </w:p>
        </w:tc>
        <w:tc>
          <w:tcPr>
            <w:tcW w:w="1981" w:type="dxa"/>
            <w:tcBorders>
              <w:top w:val="nil"/>
              <w:left w:val="nil"/>
              <w:bottom w:val="single" w:sz="4" w:space="0" w:color="auto"/>
              <w:right w:val="single" w:sz="4" w:space="0" w:color="auto"/>
            </w:tcBorders>
            <w:noWrap/>
            <w:vAlign w:val="center"/>
            <w:hideMark/>
          </w:tcPr>
          <w:p w14:paraId="271E6EAE" w14:textId="0799D92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129.5</w:t>
            </w:r>
          </w:p>
        </w:tc>
        <w:tc>
          <w:tcPr>
            <w:tcW w:w="1436" w:type="dxa"/>
            <w:tcBorders>
              <w:top w:val="nil"/>
              <w:left w:val="nil"/>
              <w:bottom w:val="single" w:sz="4" w:space="0" w:color="auto"/>
              <w:right w:val="single" w:sz="4" w:space="0" w:color="auto"/>
            </w:tcBorders>
            <w:noWrap/>
            <w:vAlign w:val="center"/>
            <w:hideMark/>
          </w:tcPr>
          <w:p w14:paraId="5588DE8E" w14:textId="7E267C87"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36.4</w:t>
            </w:r>
          </w:p>
        </w:tc>
        <w:tc>
          <w:tcPr>
            <w:tcW w:w="1580" w:type="dxa"/>
            <w:tcBorders>
              <w:top w:val="nil"/>
              <w:left w:val="nil"/>
              <w:bottom w:val="single" w:sz="4" w:space="0" w:color="auto"/>
              <w:right w:val="single" w:sz="4" w:space="0" w:color="auto"/>
            </w:tcBorders>
            <w:noWrap/>
            <w:vAlign w:val="center"/>
            <w:hideMark/>
          </w:tcPr>
          <w:p w14:paraId="7ECEC327" w14:textId="5EA11E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11.9</w:t>
            </w:r>
          </w:p>
        </w:tc>
        <w:tc>
          <w:tcPr>
            <w:tcW w:w="1568" w:type="dxa"/>
            <w:tcBorders>
              <w:top w:val="nil"/>
              <w:left w:val="nil"/>
              <w:bottom w:val="single" w:sz="4" w:space="0" w:color="auto"/>
              <w:right w:val="single" w:sz="4" w:space="0" w:color="auto"/>
            </w:tcBorders>
            <w:noWrap/>
            <w:vAlign w:val="center"/>
            <w:hideMark/>
          </w:tcPr>
          <w:p w14:paraId="5D2199A4" w14:textId="6CEB0DC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50.1</w:t>
            </w:r>
          </w:p>
        </w:tc>
        <w:tc>
          <w:tcPr>
            <w:tcW w:w="1657" w:type="dxa"/>
            <w:tcBorders>
              <w:top w:val="nil"/>
              <w:left w:val="nil"/>
              <w:bottom w:val="single" w:sz="4" w:space="0" w:color="auto"/>
              <w:right w:val="single" w:sz="4" w:space="0" w:color="auto"/>
            </w:tcBorders>
            <w:noWrap/>
            <w:vAlign w:val="center"/>
            <w:hideMark/>
          </w:tcPr>
          <w:p w14:paraId="6D1006C3" w14:textId="6D1B447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0.62</w:t>
            </w:r>
          </w:p>
        </w:tc>
      </w:tr>
      <w:tr w:rsidR="008A1436" w:rsidRPr="00484DBC" w14:paraId="4E045E7F"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29F86F8C"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484DBC">
              <w:rPr>
                <w:rFonts w:ascii="Times New Roman" w:eastAsia="Times New Roman" w:hAnsi="Times New Roman" w:cs="Times New Roman"/>
                <w:color w:val="000000"/>
                <w:kern w:val="0"/>
                <w:sz w:val="24"/>
                <w:szCs w:val="24"/>
                <w:lang w:eastAsia="en-IN"/>
                <w14:ligatures w14:val="none"/>
              </w:rPr>
              <w:t>SEm</w:t>
            </w:r>
            <w:proofErr w:type="spellEnd"/>
            <w:r w:rsidRPr="00484DBC">
              <w:rPr>
                <w:rFonts w:ascii="Times New Roman" w:eastAsia="Times New Roman" w:hAnsi="Times New Roman" w:cs="Times New Roman"/>
                <w:color w:val="000000"/>
                <w:kern w:val="0"/>
                <w:sz w:val="24"/>
                <w:szCs w:val="24"/>
                <w:lang w:eastAsia="en-IN"/>
                <w14:ligatures w14:val="none"/>
              </w:rPr>
              <w:t>±</w:t>
            </w:r>
          </w:p>
        </w:tc>
        <w:tc>
          <w:tcPr>
            <w:tcW w:w="1356" w:type="dxa"/>
            <w:tcBorders>
              <w:top w:val="nil"/>
              <w:left w:val="nil"/>
              <w:bottom w:val="single" w:sz="4" w:space="0" w:color="auto"/>
              <w:right w:val="single" w:sz="4" w:space="0" w:color="auto"/>
            </w:tcBorders>
            <w:noWrap/>
            <w:vAlign w:val="center"/>
            <w:hideMark/>
          </w:tcPr>
          <w:p w14:paraId="3ADC0B73" w14:textId="79ABE09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6.3</w:t>
            </w:r>
          </w:p>
        </w:tc>
        <w:tc>
          <w:tcPr>
            <w:tcW w:w="1981" w:type="dxa"/>
            <w:tcBorders>
              <w:top w:val="nil"/>
              <w:left w:val="nil"/>
              <w:bottom w:val="single" w:sz="4" w:space="0" w:color="auto"/>
              <w:right w:val="single" w:sz="4" w:space="0" w:color="auto"/>
            </w:tcBorders>
            <w:noWrap/>
            <w:vAlign w:val="center"/>
            <w:hideMark/>
          </w:tcPr>
          <w:p w14:paraId="26B02075" w14:textId="3CF449A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7.1</w:t>
            </w:r>
          </w:p>
        </w:tc>
        <w:tc>
          <w:tcPr>
            <w:tcW w:w="1436" w:type="dxa"/>
            <w:tcBorders>
              <w:top w:val="nil"/>
              <w:left w:val="nil"/>
              <w:bottom w:val="single" w:sz="4" w:space="0" w:color="auto"/>
              <w:right w:val="single" w:sz="4" w:space="0" w:color="auto"/>
            </w:tcBorders>
            <w:noWrap/>
            <w:vAlign w:val="center"/>
            <w:hideMark/>
          </w:tcPr>
          <w:p w14:paraId="4DD9EEA3" w14:textId="551CD6D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w:t>
            </w:r>
          </w:p>
        </w:tc>
        <w:tc>
          <w:tcPr>
            <w:tcW w:w="1580" w:type="dxa"/>
            <w:tcBorders>
              <w:top w:val="nil"/>
              <w:left w:val="nil"/>
              <w:bottom w:val="single" w:sz="4" w:space="0" w:color="auto"/>
              <w:right w:val="single" w:sz="4" w:space="0" w:color="auto"/>
            </w:tcBorders>
            <w:noWrap/>
            <w:vAlign w:val="center"/>
            <w:hideMark/>
          </w:tcPr>
          <w:p w14:paraId="3CA4BDA7" w14:textId="190B063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0.7</w:t>
            </w:r>
          </w:p>
        </w:tc>
        <w:tc>
          <w:tcPr>
            <w:tcW w:w="1568" w:type="dxa"/>
            <w:tcBorders>
              <w:top w:val="nil"/>
              <w:left w:val="nil"/>
              <w:bottom w:val="single" w:sz="4" w:space="0" w:color="auto"/>
              <w:right w:val="single" w:sz="4" w:space="0" w:color="auto"/>
            </w:tcBorders>
            <w:noWrap/>
            <w:vAlign w:val="center"/>
            <w:hideMark/>
          </w:tcPr>
          <w:p w14:paraId="170C92BA" w14:textId="44089BC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3.5</w:t>
            </w:r>
          </w:p>
        </w:tc>
        <w:tc>
          <w:tcPr>
            <w:tcW w:w="1657" w:type="dxa"/>
            <w:tcBorders>
              <w:top w:val="nil"/>
              <w:left w:val="nil"/>
              <w:bottom w:val="single" w:sz="4" w:space="0" w:color="auto"/>
              <w:right w:val="single" w:sz="4" w:space="0" w:color="auto"/>
            </w:tcBorders>
            <w:noWrap/>
            <w:vAlign w:val="center"/>
            <w:hideMark/>
          </w:tcPr>
          <w:p w14:paraId="5865A1FD" w14:textId="5DAC760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0.02</w:t>
            </w:r>
          </w:p>
        </w:tc>
      </w:tr>
      <w:tr w:rsidR="008A1436" w:rsidRPr="00484DBC" w14:paraId="2029DAEA"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8AA041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CD 5%</w:t>
            </w:r>
          </w:p>
        </w:tc>
        <w:tc>
          <w:tcPr>
            <w:tcW w:w="1356" w:type="dxa"/>
            <w:tcBorders>
              <w:top w:val="nil"/>
              <w:left w:val="nil"/>
              <w:bottom w:val="single" w:sz="4" w:space="0" w:color="auto"/>
              <w:right w:val="single" w:sz="4" w:space="0" w:color="auto"/>
            </w:tcBorders>
            <w:noWrap/>
            <w:vAlign w:val="center"/>
            <w:hideMark/>
          </w:tcPr>
          <w:p w14:paraId="4D6B5A37" w14:textId="4BBDC43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18.7</w:t>
            </w:r>
          </w:p>
        </w:tc>
        <w:tc>
          <w:tcPr>
            <w:tcW w:w="1981" w:type="dxa"/>
            <w:tcBorders>
              <w:top w:val="nil"/>
              <w:left w:val="nil"/>
              <w:bottom w:val="single" w:sz="4" w:space="0" w:color="auto"/>
              <w:right w:val="single" w:sz="4" w:space="0" w:color="auto"/>
            </w:tcBorders>
            <w:noWrap/>
            <w:vAlign w:val="center"/>
            <w:hideMark/>
          </w:tcPr>
          <w:p w14:paraId="2A70DFDA" w14:textId="73683459"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7.1</w:t>
            </w:r>
          </w:p>
        </w:tc>
        <w:tc>
          <w:tcPr>
            <w:tcW w:w="1436" w:type="dxa"/>
            <w:tcBorders>
              <w:top w:val="nil"/>
              <w:left w:val="nil"/>
              <w:bottom w:val="single" w:sz="4" w:space="0" w:color="auto"/>
              <w:right w:val="single" w:sz="4" w:space="0" w:color="auto"/>
            </w:tcBorders>
            <w:noWrap/>
            <w:vAlign w:val="center"/>
            <w:hideMark/>
          </w:tcPr>
          <w:p w14:paraId="474868F0" w14:textId="3024D42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5.5</w:t>
            </w:r>
          </w:p>
        </w:tc>
        <w:tc>
          <w:tcPr>
            <w:tcW w:w="1580" w:type="dxa"/>
            <w:tcBorders>
              <w:top w:val="nil"/>
              <w:left w:val="nil"/>
              <w:bottom w:val="single" w:sz="4" w:space="0" w:color="auto"/>
              <w:right w:val="single" w:sz="4" w:space="0" w:color="auto"/>
            </w:tcBorders>
            <w:noWrap/>
            <w:vAlign w:val="center"/>
            <w:hideMark/>
          </w:tcPr>
          <w:p w14:paraId="3FEEA89D" w14:textId="37E4525F"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2.0</w:t>
            </w:r>
          </w:p>
        </w:tc>
        <w:tc>
          <w:tcPr>
            <w:tcW w:w="1568" w:type="dxa"/>
            <w:tcBorders>
              <w:top w:val="nil"/>
              <w:left w:val="nil"/>
              <w:bottom w:val="single" w:sz="4" w:space="0" w:color="auto"/>
              <w:right w:val="single" w:sz="4" w:space="0" w:color="auto"/>
            </w:tcBorders>
            <w:noWrap/>
            <w:vAlign w:val="center"/>
            <w:hideMark/>
          </w:tcPr>
          <w:p w14:paraId="41C75851" w14:textId="1654D8C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10.5</w:t>
            </w:r>
          </w:p>
        </w:tc>
        <w:tc>
          <w:tcPr>
            <w:tcW w:w="1657" w:type="dxa"/>
            <w:tcBorders>
              <w:top w:val="nil"/>
              <w:left w:val="nil"/>
              <w:bottom w:val="single" w:sz="4" w:space="0" w:color="auto"/>
              <w:right w:val="single" w:sz="4" w:space="0" w:color="auto"/>
            </w:tcBorders>
            <w:noWrap/>
            <w:vAlign w:val="center"/>
            <w:hideMark/>
          </w:tcPr>
          <w:p w14:paraId="1793E7A1" w14:textId="2FF72AD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0.05</w:t>
            </w:r>
          </w:p>
        </w:tc>
      </w:tr>
      <w:tr w:rsidR="008A1436" w:rsidRPr="00484DBC" w14:paraId="23C6CFD1"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0C00B2B"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CV</w:t>
            </w:r>
          </w:p>
        </w:tc>
        <w:tc>
          <w:tcPr>
            <w:tcW w:w="1356" w:type="dxa"/>
            <w:tcBorders>
              <w:top w:val="nil"/>
              <w:left w:val="nil"/>
              <w:bottom w:val="single" w:sz="4" w:space="0" w:color="auto"/>
              <w:right w:val="single" w:sz="4" w:space="0" w:color="auto"/>
            </w:tcBorders>
            <w:noWrap/>
            <w:vAlign w:val="center"/>
            <w:hideMark/>
          </w:tcPr>
          <w:p w14:paraId="62792106" w14:textId="33EC070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6.6</w:t>
            </w:r>
          </w:p>
        </w:tc>
        <w:tc>
          <w:tcPr>
            <w:tcW w:w="1981" w:type="dxa"/>
            <w:tcBorders>
              <w:top w:val="nil"/>
              <w:left w:val="nil"/>
              <w:bottom w:val="single" w:sz="4" w:space="0" w:color="auto"/>
              <w:right w:val="single" w:sz="4" w:space="0" w:color="auto"/>
            </w:tcBorders>
            <w:noWrap/>
            <w:vAlign w:val="center"/>
            <w:hideMark/>
          </w:tcPr>
          <w:p w14:paraId="5BF4CA0E" w14:textId="27C0CC0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8.0</w:t>
            </w:r>
          </w:p>
        </w:tc>
        <w:tc>
          <w:tcPr>
            <w:tcW w:w="1436" w:type="dxa"/>
            <w:tcBorders>
              <w:top w:val="nil"/>
              <w:left w:val="nil"/>
              <w:bottom w:val="single" w:sz="4" w:space="0" w:color="auto"/>
              <w:right w:val="single" w:sz="4" w:space="0" w:color="auto"/>
            </w:tcBorders>
            <w:noWrap/>
            <w:vAlign w:val="center"/>
            <w:hideMark/>
          </w:tcPr>
          <w:p w14:paraId="58F86F73" w14:textId="27D9603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8.0</w:t>
            </w:r>
          </w:p>
        </w:tc>
        <w:tc>
          <w:tcPr>
            <w:tcW w:w="1580" w:type="dxa"/>
            <w:tcBorders>
              <w:top w:val="nil"/>
              <w:left w:val="nil"/>
              <w:bottom w:val="single" w:sz="4" w:space="0" w:color="auto"/>
              <w:right w:val="single" w:sz="4" w:space="0" w:color="auto"/>
            </w:tcBorders>
            <w:noWrap/>
            <w:vAlign w:val="center"/>
            <w:hideMark/>
          </w:tcPr>
          <w:p w14:paraId="4DD86BFD" w14:textId="513E9C8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9.5</w:t>
            </w:r>
          </w:p>
        </w:tc>
        <w:tc>
          <w:tcPr>
            <w:tcW w:w="1568" w:type="dxa"/>
            <w:tcBorders>
              <w:top w:val="nil"/>
              <w:left w:val="nil"/>
              <w:bottom w:val="single" w:sz="4" w:space="0" w:color="auto"/>
              <w:right w:val="single" w:sz="4" w:space="0" w:color="auto"/>
            </w:tcBorders>
            <w:noWrap/>
            <w:vAlign w:val="center"/>
            <w:hideMark/>
          </w:tcPr>
          <w:p w14:paraId="02B3A141" w14:textId="2ED1208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11.6</w:t>
            </w:r>
          </w:p>
        </w:tc>
        <w:tc>
          <w:tcPr>
            <w:tcW w:w="1657" w:type="dxa"/>
            <w:tcBorders>
              <w:top w:val="nil"/>
              <w:left w:val="nil"/>
              <w:bottom w:val="single" w:sz="4" w:space="0" w:color="auto"/>
              <w:right w:val="single" w:sz="4" w:space="0" w:color="auto"/>
            </w:tcBorders>
            <w:noWrap/>
            <w:vAlign w:val="center"/>
            <w:hideMark/>
          </w:tcPr>
          <w:p w14:paraId="403DF402" w14:textId="5D99D46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7.01</w:t>
            </w:r>
          </w:p>
        </w:tc>
      </w:tr>
    </w:tbl>
    <w:p w14:paraId="4A3CB95F" w14:textId="77777777" w:rsidR="001C23A5" w:rsidRPr="009746F7" w:rsidRDefault="001C23A5" w:rsidP="00B00E2D">
      <w:pPr>
        <w:pStyle w:val="NormalWeb"/>
        <w:spacing w:line="360" w:lineRule="auto"/>
        <w:jc w:val="both"/>
        <w:rPr>
          <w:color w:val="000000" w:themeColor="text1"/>
        </w:rPr>
      </w:pPr>
    </w:p>
    <w:p w14:paraId="5CBBD5FE" w14:textId="5F5CA30E" w:rsidR="0013584F" w:rsidRDefault="0013584F" w:rsidP="00443C76">
      <w:pPr>
        <w:pStyle w:val="NormalWeb"/>
        <w:spacing w:line="360" w:lineRule="auto"/>
        <w:jc w:val="both"/>
      </w:pPr>
    </w:p>
    <w:sectPr w:rsidR="0013584F" w:rsidSect="00443C76">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eena" w:date="2026-04-08T11:16:00Z" w:initials="G">
    <w:p w14:paraId="2DA9CAC4" w14:textId="395A15C1" w:rsidR="00073B81" w:rsidRDefault="00073B81">
      <w:pPr>
        <w:pStyle w:val="CommentText"/>
      </w:pPr>
      <w:r>
        <w:rPr>
          <w:rStyle w:val="CommentReference"/>
        </w:rPr>
        <w:annotationRef/>
      </w:r>
      <w:r>
        <w:t xml:space="preserve">Mention the location. </w:t>
      </w:r>
      <w:r>
        <w:t>consider adding characterization or size range</w:t>
      </w:r>
      <w:r>
        <w:t xml:space="preserve"> of nano particle</w:t>
      </w:r>
    </w:p>
  </w:comment>
  <w:comment w:id="1" w:author="Greena" w:date="2026-04-08T11:20:00Z" w:initials="G">
    <w:p w14:paraId="500154F8" w14:textId="6E69D0F1" w:rsidR="00073B81" w:rsidRDefault="00073B81">
      <w:pPr>
        <w:pStyle w:val="CommentText"/>
      </w:pPr>
      <w:r>
        <w:rPr>
          <w:rStyle w:val="CommentReference"/>
        </w:rPr>
        <w:annotationRef/>
      </w:r>
      <w:r>
        <w:t xml:space="preserve">As </w:t>
      </w:r>
      <w:r w:rsidRPr="00073B81">
        <w:t xml:space="preserve">nutrient use efficiency </w:t>
      </w:r>
      <w:r>
        <w:t xml:space="preserve">is not analysed in this study avoid the overclaim and replace with </w:t>
      </w:r>
      <w:r>
        <w:t>enhances growth and yield performance</w:t>
      </w:r>
    </w:p>
  </w:comment>
  <w:comment w:id="2" w:author="Greena" w:date="2026-04-08T11:27:00Z" w:initials="G">
    <w:p w14:paraId="34A8B174" w14:textId="4D884984" w:rsidR="0093193B" w:rsidRDefault="0093193B">
      <w:pPr>
        <w:pStyle w:val="CommentText"/>
      </w:pPr>
      <w:r>
        <w:rPr>
          <w:rStyle w:val="CommentReference"/>
        </w:rPr>
        <w:annotationRef/>
      </w:r>
      <w:r>
        <w:t xml:space="preserve">Add specificity (e.g., </w:t>
      </w:r>
      <w:proofErr w:type="spellStart"/>
      <w:r>
        <w:t>nanofertilizers</w:t>
      </w:r>
      <w:proofErr w:type="spellEnd"/>
      <w:r>
        <w:t>)</w:t>
      </w:r>
    </w:p>
  </w:comment>
  <w:comment w:id="3" w:author="Greena" w:date="2026-04-08T11:32:00Z" w:initials="G">
    <w:p w14:paraId="1AB473DD" w14:textId="12888A47" w:rsidR="0093193B" w:rsidRDefault="0093193B">
      <w:pPr>
        <w:pStyle w:val="CommentText"/>
      </w:pPr>
      <w:r>
        <w:rPr>
          <w:rStyle w:val="CommentReference"/>
        </w:rPr>
        <w:annotationRef/>
      </w:r>
      <w:r>
        <w:t>Repetitive. Research gap is missing</w:t>
      </w:r>
      <w:r w:rsidR="0031354B">
        <w:t xml:space="preserve">. Could not find objective of the study. </w:t>
      </w:r>
      <w:r w:rsidR="00801E6E">
        <w:t>Suggest to rewrite the paragraph</w:t>
      </w:r>
    </w:p>
  </w:comment>
  <w:comment w:id="4" w:author="Greena" w:date="2026-04-08T11:57:00Z" w:initials="G">
    <w:p w14:paraId="143AC7C2" w14:textId="02ADA334" w:rsidR="008315AC" w:rsidRDefault="008315AC" w:rsidP="008315AC">
      <w:pPr>
        <w:pStyle w:val="Heading3"/>
      </w:pPr>
      <w:r>
        <w:rPr>
          <w:rStyle w:val="CommentReference"/>
        </w:rPr>
        <w:annotationRef/>
      </w:r>
      <w:r w:rsidRPr="008315AC">
        <w:rPr>
          <w:rStyle w:val="Strong"/>
          <w:b w:val="0"/>
          <w:bCs w:val="0"/>
          <w:color w:val="auto"/>
        </w:rPr>
        <w:t>Soil details are</w:t>
      </w:r>
      <w:r w:rsidRPr="008315AC">
        <w:rPr>
          <w:color w:val="auto"/>
        </w:rPr>
        <w:t xml:space="preserve"> Completely missing:</w:t>
      </w:r>
    </w:p>
    <w:p w14:paraId="29A1B9CA" w14:textId="16004719" w:rsidR="008315AC" w:rsidRDefault="008315AC" w:rsidP="008315AC">
      <w:pPr>
        <w:pStyle w:val="NormalWeb"/>
      </w:pPr>
      <w:r>
        <w:t>Must include:</w:t>
      </w:r>
      <w:r>
        <w:t xml:space="preserve"> </w:t>
      </w:r>
      <w:r>
        <w:t>Soil type (e.g., sandy loam)</w:t>
      </w:r>
      <w:r>
        <w:t xml:space="preserve">, </w:t>
      </w:r>
      <w:proofErr w:type="spellStart"/>
      <w:proofErr w:type="gramStart"/>
      <w:r>
        <w:t>pH</w:t>
      </w:r>
      <w:r>
        <w:t>,</w:t>
      </w:r>
      <w:r>
        <w:t>EC</w:t>
      </w:r>
      <w:proofErr w:type="spellEnd"/>
      <w:proofErr w:type="gramEnd"/>
      <w:r>
        <w:t xml:space="preserve">, </w:t>
      </w:r>
      <w:r>
        <w:t>Organic carbon</w:t>
      </w:r>
      <w:r>
        <w:t xml:space="preserve">, </w:t>
      </w:r>
      <w:r>
        <w:t>Available N, P, K, S Without this</w:t>
      </w:r>
      <w:r w:rsidR="00C05E52">
        <w:t xml:space="preserve"> </w:t>
      </w:r>
      <w:r>
        <w:rPr>
          <w:rStyle w:val="Strong"/>
          <w:rFonts w:eastAsiaTheme="majorEastAsia"/>
        </w:rPr>
        <w:t>nutrient study becomes weak</w:t>
      </w:r>
    </w:p>
    <w:p w14:paraId="77A00B11" w14:textId="3C615605" w:rsidR="008315AC" w:rsidRDefault="008315AC">
      <w:pPr>
        <w:pStyle w:val="CommentText"/>
      </w:pPr>
    </w:p>
  </w:comment>
  <w:comment w:id="5" w:author="Greena" w:date="2026-04-08T11:48:00Z" w:initials="G">
    <w:p w14:paraId="25C10A34" w14:textId="6C36B74F" w:rsidR="000205D6" w:rsidRDefault="000205D6">
      <w:pPr>
        <w:pStyle w:val="CommentText"/>
      </w:pPr>
      <w:r>
        <w:rPr>
          <w:rStyle w:val="CommentReference"/>
        </w:rPr>
        <w:annotationRef/>
      </w:r>
      <w:r w:rsidRPr="000205D6">
        <w:t xml:space="preserve">Missing </w:t>
      </w:r>
      <w:proofErr w:type="spellStart"/>
      <w:r w:rsidRPr="000205D6">
        <w:t>agro</w:t>
      </w:r>
      <w:proofErr w:type="spellEnd"/>
      <w:r w:rsidRPr="000205D6">
        <w:t>-climatic zone classification</w:t>
      </w:r>
    </w:p>
  </w:comment>
  <w:comment w:id="6" w:author="Greena" w:date="2026-04-08T11:49:00Z" w:initials="G">
    <w:p w14:paraId="0A2340F9" w14:textId="1E5F4740" w:rsidR="000205D6" w:rsidRDefault="000205D6">
      <w:pPr>
        <w:pStyle w:val="CommentText"/>
      </w:pPr>
      <w:r>
        <w:rPr>
          <w:rStyle w:val="CommentReference"/>
        </w:rPr>
        <w:annotationRef/>
      </w:r>
      <w:r>
        <w:t>Correct it</w:t>
      </w:r>
    </w:p>
  </w:comment>
  <w:comment w:id="7" w:author="Greena" w:date="2026-04-08T11:50:00Z" w:initials="G">
    <w:p w14:paraId="483D1CD8" w14:textId="67192122" w:rsidR="000205D6" w:rsidRDefault="000205D6">
      <w:pPr>
        <w:pStyle w:val="CommentText"/>
      </w:pPr>
      <w:r>
        <w:rPr>
          <w:rStyle w:val="CommentReference"/>
        </w:rPr>
        <w:annotationRef/>
      </w:r>
      <w:r w:rsidRPr="000205D6">
        <w:t>CRITICAL ERROR</w:t>
      </w:r>
    </w:p>
  </w:comment>
  <w:comment w:id="8" w:author="Greena" w:date="2026-04-08T11:52:00Z" w:initials="G">
    <w:p w14:paraId="4A18F722" w14:textId="598D6D41" w:rsidR="000205D6" w:rsidRPr="000205D6" w:rsidRDefault="000205D6" w:rsidP="000205D6">
      <w:pPr>
        <w:rPr>
          <w:rFonts w:ascii="Times New Roman" w:eastAsia="Times New Roman" w:hAnsi="Times New Roman" w:cs="Times New Roman"/>
          <w:kern w:val="0"/>
          <w:sz w:val="24"/>
          <w:szCs w:val="24"/>
          <w:lang w:eastAsia="en-IN" w:bidi="ml-IN"/>
          <w14:ligatures w14:val="none"/>
        </w:rPr>
      </w:pPr>
      <w:r>
        <w:rPr>
          <w:rStyle w:val="CommentReference"/>
        </w:rPr>
        <w:annotationRef/>
      </w:r>
      <w:r w:rsidRPr="000205D6">
        <w:rPr>
          <w:rFonts w:ascii="Times New Roman" w:eastAsia="Times New Roman" w:hAnsi="Times New Roman" w:cs="Times New Roman"/>
          <w:kern w:val="0"/>
          <w:sz w:val="24"/>
          <w:szCs w:val="24"/>
          <w:lang w:eastAsia="en-IN" w:bidi="ml-IN"/>
          <w14:ligatures w14:val="none"/>
        </w:rPr>
        <w:t xml:space="preserve">Why boron? No justification </w:t>
      </w:r>
      <w:r>
        <w:rPr>
          <w:rFonts w:ascii="Times New Roman" w:eastAsia="Times New Roman" w:hAnsi="Times New Roman" w:cs="Times New Roman"/>
          <w:kern w:val="0"/>
          <w:sz w:val="24"/>
          <w:szCs w:val="24"/>
          <w:lang w:eastAsia="en-IN" w:bidi="ml-IN"/>
          <w14:ligatures w14:val="none"/>
        </w:rPr>
        <w:t>this</w:t>
      </w:r>
      <w:r w:rsidRPr="000205D6">
        <w:rPr>
          <w:rFonts w:ascii="Times New Roman" w:eastAsia="Times New Roman" w:hAnsi="Times New Roman" w:cs="Times New Roman"/>
          <w:kern w:val="0"/>
          <w:sz w:val="24"/>
          <w:szCs w:val="24"/>
          <w:lang w:eastAsia="en-IN" w:bidi="ml-IN"/>
          <w14:ligatures w14:val="none"/>
        </w:rPr>
        <w:t xml:space="preserve"> </w:t>
      </w:r>
      <w:r>
        <w:rPr>
          <w:rFonts w:ascii="Times New Roman" w:eastAsia="Times New Roman" w:hAnsi="Times New Roman" w:cs="Times New Roman"/>
          <w:kern w:val="0"/>
          <w:sz w:val="24"/>
          <w:szCs w:val="24"/>
          <w:lang w:eastAsia="en-IN" w:bidi="ml-IN"/>
          <w14:ligatures w14:val="none"/>
        </w:rPr>
        <w:t>m</w:t>
      </w:r>
      <w:r w:rsidRPr="000205D6">
        <w:rPr>
          <w:rFonts w:ascii="Times New Roman" w:eastAsia="Times New Roman" w:hAnsi="Times New Roman" w:cs="Times New Roman"/>
          <w:kern w:val="0"/>
          <w:sz w:val="24"/>
          <w:szCs w:val="24"/>
          <w:lang w:eastAsia="en-IN" w:bidi="ml-IN"/>
          <w14:ligatures w14:val="none"/>
        </w:rPr>
        <w:t>ay confound treatment effects</w:t>
      </w:r>
    </w:p>
  </w:comment>
  <w:comment w:id="9" w:author="Greena" w:date="2026-04-08T11:53:00Z" w:initials="G">
    <w:p w14:paraId="67454734" w14:textId="285EA1DF" w:rsidR="008315AC" w:rsidRDefault="008315AC" w:rsidP="008315AC">
      <w:pPr>
        <w:pStyle w:val="CommentText"/>
      </w:pPr>
      <w:r>
        <w:rPr>
          <w:rStyle w:val="CommentReference"/>
        </w:rPr>
        <w:annotationRef/>
      </w:r>
      <w:r>
        <w:t>No</w:t>
      </w:r>
      <w:r>
        <w:t xml:space="preserve"> mention about </w:t>
      </w:r>
      <w:r>
        <w:t>Particle size</w:t>
      </w:r>
      <w:r>
        <w:t xml:space="preserve">, </w:t>
      </w:r>
      <w:r>
        <w:t>Morphology</w:t>
      </w:r>
      <w:r>
        <w:t xml:space="preserve"> and </w:t>
      </w:r>
      <w:r>
        <w:t>Concentration validation</w:t>
      </w:r>
      <w:r>
        <w:t xml:space="preserve">. </w:t>
      </w:r>
      <w:r>
        <w:t>include:</w:t>
      </w:r>
      <w:r>
        <w:t xml:space="preserve"> </w:t>
      </w:r>
      <w:r>
        <w:t>Synthesis protocol</w:t>
      </w:r>
    </w:p>
    <w:p w14:paraId="6510D14F" w14:textId="67C97293" w:rsidR="008315AC" w:rsidRDefault="008315AC" w:rsidP="008315AC">
      <w:pPr>
        <w:pStyle w:val="CommentText"/>
      </w:pPr>
      <w:r>
        <w:t>Characterization techniques (SEM/TEM/DLS/XRD)</w:t>
      </w:r>
    </w:p>
  </w:comment>
  <w:comment w:id="10" w:author="Greena" w:date="2026-04-08T11:58:00Z" w:initials="G">
    <w:p w14:paraId="23B447C0" w14:textId="445C8B2D" w:rsidR="00C05E52" w:rsidRDefault="00C05E52">
      <w:pPr>
        <w:pStyle w:val="CommentText"/>
      </w:pPr>
      <w:r>
        <w:rPr>
          <w:rStyle w:val="CommentReference"/>
        </w:rPr>
        <w:annotationRef/>
      </w:r>
      <w:r>
        <w:t>What are the o</w:t>
      </w:r>
      <w:r w:rsidRPr="00C05E52">
        <w:t>bservations Recorded</w:t>
      </w:r>
      <w:r>
        <w:t xml:space="preserve">? </w:t>
      </w:r>
    </w:p>
  </w:comment>
  <w:comment w:id="11" w:author="Greena" w:date="2026-04-08T12:00:00Z" w:initials="G">
    <w:p w14:paraId="0A0140CA" w14:textId="2BDD2D99" w:rsidR="00C05E52" w:rsidRDefault="00C05E52" w:rsidP="00C05E52">
      <w:pPr>
        <w:pStyle w:val="CommentText"/>
      </w:pPr>
      <w:r>
        <w:rPr>
          <w:rStyle w:val="CommentReference"/>
        </w:rPr>
        <w:annotationRef/>
      </w:r>
      <w:r>
        <w:t>focus on why 500 ppm works best</w:t>
      </w:r>
    </w:p>
    <w:p w14:paraId="2D541E62" w14:textId="50226B17" w:rsidR="00C05E52" w:rsidRDefault="00C05E52" w:rsidP="00C05E52">
      <w:pPr>
        <w:pStyle w:val="CommentText"/>
      </w:pPr>
      <w:r>
        <w:t xml:space="preserve">why higher doses reduce yield </w:t>
      </w:r>
      <w:r w:rsidR="008C183E">
        <w:t xml:space="preserve">and </w:t>
      </w:r>
      <w:r>
        <w:t>interaction effect of surfactant × concentration</w:t>
      </w:r>
    </w:p>
  </w:comment>
  <w:comment w:id="12" w:author="Greena" w:date="2026-04-08T12:14:00Z" w:initials="G">
    <w:p w14:paraId="57FDE3E1" w14:textId="6C6FBB29" w:rsidR="00AD697E" w:rsidRDefault="00AD697E">
      <w:pPr>
        <w:pStyle w:val="CommentText"/>
      </w:pPr>
      <w:r>
        <w:rPr>
          <w:rStyle w:val="CommentReference"/>
        </w:rPr>
        <w:annotationRef/>
      </w:r>
      <w:r>
        <w:t xml:space="preserve">Study is on </w:t>
      </w:r>
      <w:proofErr w:type="spellStart"/>
      <w:r>
        <w:t>TiO</w:t>
      </w:r>
      <w:proofErr w:type="spellEnd"/>
      <w:r>
        <w:t>₂/</w:t>
      </w:r>
      <w:proofErr w:type="spellStart"/>
      <w:r>
        <w:t>ZnO</w:t>
      </w:r>
      <w:proofErr w:type="spellEnd"/>
      <w:r>
        <w:t>, not sulphur</w:t>
      </w:r>
    </w:p>
  </w:comment>
  <w:comment w:id="13" w:author="Greena" w:date="2026-04-08T12:07:00Z" w:initials="G">
    <w:p w14:paraId="14CAB749" w14:textId="0F566DEC" w:rsidR="008C183E" w:rsidRDefault="008C183E">
      <w:pPr>
        <w:pStyle w:val="CommentText"/>
      </w:pPr>
      <w:r>
        <w:rPr>
          <w:rStyle w:val="CommentReference"/>
        </w:rPr>
        <w:annotationRef/>
      </w:r>
      <w:r w:rsidRPr="008C183E">
        <w:t>Each parameter (height, leaf area, SPAD, yield) is discussed independently</w:t>
      </w:r>
      <w:r>
        <w:t>. There is no interconnection between parameters. Discuss it also.</w:t>
      </w:r>
    </w:p>
  </w:comment>
  <w:comment w:id="14" w:author="Greena" w:date="2026-04-08T12:16:00Z" w:initials="G">
    <w:p w14:paraId="5F1B85D7" w14:textId="1EBE09F1" w:rsidR="00AD697E" w:rsidRDefault="00AD697E">
      <w:pPr>
        <w:pStyle w:val="CommentText"/>
      </w:pPr>
      <w:r>
        <w:rPr>
          <w:rStyle w:val="CommentReference"/>
        </w:rPr>
        <w:annotationRef/>
      </w:r>
      <w:r>
        <w:t>Mistake in treatment labelling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A9CAC4" w15:done="0"/>
  <w15:commentEx w15:paraId="500154F8" w15:done="0"/>
  <w15:commentEx w15:paraId="34A8B174" w15:done="0"/>
  <w15:commentEx w15:paraId="1AB473DD" w15:done="0"/>
  <w15:commentEx w15:paraId="77A00B11" w15:done="0"/>
  <w15:commentEx w15:paraId="25C10A34" w15:done="0"/>
  <w15:commentEx w15:paraId="0A2340F9" w15:done="0"/>
  <w15:commentEx w15:paraId="483D1CD8" w15:done="0"/>
  <w15:commentEx w15:paraId="4A18F722" w15:done="0"/>
  <w15:commentEx w15:paraId="6510D14F" w15:done="0"/>
  <w15:commentEx w15:paraId="23B447C0" w15:done="0"/>
  <w15:commentEx w15:paraId="2D541E62" w15:done="0"/>
  <w15:commentEx w15:paraId="57FDE3E1" w15:done="0"/>
  <w15:commentEx w15:paraId="14CAB749" w15:done="0"/>
  <w15:commentEx w15:paraId="5F1B85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0B7AA" w16cex:dateUtc="2026-04-08T05:46:00Z"/>
  <w16cex:commentExtensible w16cex:durableId="2D80B876" w16cex:dateUtc="2026-04-08T05:50:00Z"/>
  <w16cex:commentExtensible w16cex:durableId="2D80BA3B" w16cex:dateUtc="2026-04-08T05:57:00Z"/>
  <w16cex:commentExtensible w16cex:durableId="2D80BB57" w16cex:dateUtc="2026-04-08T06:02:00Z"/>
  <w16cex:commentExtensible w16cex:durableId="2D80C114" w16cex:dateUtc="2026-04-08T06:27:00Z"/>
  <w16cex:commentExtensible w16cex:durableId="2D80BF09" w16cex:dateUtc="2026-04-08T06:18:00Z"/>
  <w16cex:commentExtensible w16cex:durableId="2D80BF5B" w16cex:dateUtc="2026-04-08T06:19:00Z"/>
  <w16cex:commentExtensible w16cex:durableId="2D80BF6D" w16cex:dateUtc="2026-04-08T06:20:00Z"/>
  <w16cex:commentExtensible w16cex:durableId="2D80C004" w16cex:dateUtc="2026-04-08T06:22:00Z"/>
  <w16cex:commentExtensible w16cex:durableId="2D80C04B" w16cex:dateUtc="2026-04-08T06:23:00Z"/>
  <w16cex:commentExtensible w16cex:durableId="2D80C172" w16cex:dateUtc="2026-04-08T06:28:00Z"/>
  <w16cex:commentExtensible w16cex:durableId="2D80C1F5" w16cex:dateUtc="2026-04-08T06:30:00Z"/>
  <w16cex:commentExtensible w16cex:durableId="2D80C523" w16cex:dateUtc="2026-04-08T06:44:00Z"/>
  <w16cex:commentExtensible w16cex:durableId="2D80C39B" w16cex:dateUtc="2026-04-08T06:37:00Z"/>
  <w16cex:commentExtensible w16cex:durableId="2D80C5B8" w16cex:dateUtc="2026-04-08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A9CAC4" w16cid:durableId="2D80B7AA"/>
  <w16cid:commentId w16cid:paraId="500154F8" w16cid:durableId="2D80B876"/>
  <w16cid:commentId w16cid:paraId="34A8B174" w16cid:durableId="2D80BA3B"/>
  <w16cid:commentId w16cid:paraId="1AB473DD" w16cid:durableId="2D80BB57"/>
  <w16cid:commentId w16cid:paraId="77A00B11" w16cid:durableId="2D80C114"/>
  <w16cid:commentId w16cid:paraId="25C10A34" w16cid:durableId="2D80BF09"/>
  <w16cid:commentId w16cid:paraId="0A2340F9" w16cid:durableId="2D80BF5B"/>
  <w16cid:commentId w16cid:paraId="483D1CD8" w16cid:durableId="2D80BF6D"/>
  <w16cid:commentId w16cid:paraId="4A18F722" w16cid:durableId="2D80C004"/>
  <w16cid:commentId w16cid:paraId="6510D14F" w16cid:durableId="2D80C04B"/>
  <w16cid:commentId w16cid:paraId="23B447C0" w16cid:durableId="2D80C172"/>
  <w16cid:commentId w16cid:paraId="2D541E62" w16cid:durableId="2D80C1F5"/>
  <w16cid:commentId w16cid:paraId="57FDE3E1" w16cid:durableId="2D80C523"/>
  <w16cid:commentId w16cid:paraId="14CAB749" w16cid:durableId="2D80C39B"/>
  <w16cid:commentId w16cid:paraId="5F1B85D7" w16cid:durableId="2D80C5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C53D" w14:textId="77777777" w:rsidR="003231F7" w:rsidRDefault="003231F7" w:rsidP="00DF7495">
      <w:pPr>
        <w:spacing w:after="0" w:line="240" w:lineRule="auto"/>
      </w:pPr>
      <w:r>
        <w:separator/>
      </w:r>
    </w:p>
  </w:endnote>
  <w:endnote w:type="continuationSeparator" w:id="0">
    <w:p w14:paraId="3B43FFD1" w14:textId="77777777" w:rsidR="003231F7" w:rsidRDefault="003231F7" w:rsidP="00DF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1BE7" w14:textId="77777777" w:rsidR="005535DF" w:rsidRDefault="0055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16839"/>
      <w:docPartObj>
        <w:docPartGallery w:val="Page Numbers (Bottom of Page)"/>
        <w:docPartUnique/>
      </w:docPartObj>
    </w:sdtPr>
    <w:sdtEndPr>
      <w:rPr>
        <w:noProof/>
      </w:rPr>
    </w:sdtEndPr>
    <w:sdtContent>
      <w:p w14:paraId="7842E13A" w14:textId="63FA0707" w:rsidR="00DF7495" w:rsidRDefault="00DF74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BFB68" w14:textId="77777777" w:rsidR="00DF7495" w:rsidRDefault="00DF7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F97B" w14:textId="77777777" w:rsidR="005535DF" w:rsidRDefault="0055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7502" w14:textId="77777777" w:rsidR="003231F7" w:rsidRDefault="003231F7" w:rsidP="00DF7495">
      <w:pPr>
        <w:spacing w:after="0" w:line="240" w:lineRule="auto"/>
      </w:pPr>
      <w:r>
        <w:separator/>
      </w:r>
    </w:p>
  </w:footnote>
  <w:footnote w:type="continuationSeparator" w:id="0">
    <w:p w14:paraId="0C00832E" w14:textId="77777777" w:rsidR="003231F7" w:rsidRDefault="003231F7" w:rsidP="00DF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438A" w14:textId="42F9C651" w:rsidR="005535DF" w:rsidRDefault="003231F7">
    <w:pPr>
      <w:pStyle w:val="Header"/>
    </w:pPr>
    <w:r>
      <w:rPr>
        <w:noProof/>
      </w:rPr>
      <w:pict w14:anchorId="52C0A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B133" w14:textId="54F38345" w:rsidR="005535DF" w:rsidRDefault="003231F7">
    <w:pPr>
      <w:pStyle w:val="Header"/>
    </w:pPr>
    <w:r>
      <w:rPr>
        <w:noProof/>
      </w:rPr>
      <w:pict w14:anchorId="6ACCF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7342" w14:textId="27D16C10" w:rsidR="005535DF" w:rsidRDefault="003231F7">
    <w:pPr>
      <w:pStyle w:val="Header"/>
    </w:pPr>
    <w:r>
      <w:rPr>
        <w:noProof/>
      </w:rPr>
      <w:pict w14:anchorId="792F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0709"/>
    <w:multiLevelType w:val="hybridMultilevel"/>
    <w:tmpl w:val="0C161F42"/>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1" w15:restartNumberingAfterBreak="0">
    <w:nsid w:val="1182555B"/>
    <w:multiLevelType w:val="hybridMultilevel"/>
    <w:tmpl w:val="FDB472F6"/>
    <w:lvl w:ilvl="0" w:tplc="90F823E8">
      <w:start w:val="1"/>
      <w:numFmt w:val="lowerLetter"/>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16D346DE"/>
    <w:multiLevelType w:val="hybridMultilevel"/>
    <w:tmpl w:val="DD861A4E"/>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3" w15:restartNumberingAfterBreak="0">
    <w:nsid w:val="20DB33F9"/>
    <w:multiLevelType w:val="hybridMultilevel"/>
    <w:tmpl w:val="638C5A7A"/>
    <w:lvl w:ilvl="0" w:tplc="09A44196">
      <w:start w:val="1"/>
      <w:numFmt w:val="lowerLetter"/>
      <w:lvlText w:val="%1)"/>
      <w:lvlJc w:val="left"/>
      <w:pPr>
        <w:ind w:left="360" w:hanging="360"/>
      </w:pPr>
      <w:rPr>
        <w:rFonts w:eastAsiaTheme="minorHAnsi"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4A04ECB"/>
    <w:multiLevelType w:val="multilevel"/>
    <w:tmpl w:val="2DE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C53B6"/>
    <w:multiLevelType w:val="multilevel"/>
    <w:tmpl w:val="55CA91D8"/>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6" w15:restartNumberingAfterBreak="0">
    <w:nsid w:val="2D891D1A"/>
    <w:multiLevelType w:val="multilevel"/>
    <w:tmpl w:val="5232B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0495F"/>
    <w:multiLevelType w:val="multilevel"/>
    <w:tmpl w:val="1E4A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F5DFE"/>
    <w:multiLevelType w:val="multilevel"/>
    <w:tmpl w:val="554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92891"/>
    <w:multiLevelType w:val="hybridMultilevel"/>
    <w:tmpl w:val="E85CCB84"/>
    <w:lvl w:ilvl="0" w:tplc="FFFCFFB4">
      <w:start w:val="1"/>
      <w:numFmt w:val="decimal"/>
      <w:lvlText w:val="%1."/>
      <w:lvlJc w:val="left"/>
      <w:pPr>
        <w:tabs>
          <w:tab w:val="num" w:pos="720"/>
        </w:tabs>
        <w:ind w:left="720" w:hanging="360"/>
      </w:pPr>
    </w:lvl>
    <w:lvl w:ilvl="1" w:tplc="5B3EF0DC" w:tentative="1">
      <w:start w:val="1"/>
      <w:numFmt w:val="decimal"/>
      <w:lvlText w:val="%2."/>
      <w:lvlJc w:val="left"/>
      <w:pPr>
        <w:tabs>
          <w:tab w:val="num" w:pos="1440"/>
        </w:tabs>
        <w:ind w:left="1440" w:hanging="360"/>
      </w:pPr>
    </w:lvl>
    <w:lvl w:ilvl="2" w:tplc="B2B2D734" w:tentative="1">
      <w:start w:val="1"/>
      <w:numFmt w:val="decimal"/>
      <w:lvlText w:val="%3."/>
      <w:lvlJc w:val="left"/>
      <w:pPr>
        <w:tabs>
          <w:tab w:val="num" w:pos="2160"/>
        </w:tabs>
        <w:ind w:left="2160" w:hanging="360"/>
      </w:pPr>
    </w:lvl>
    <w:lvl w:ilvl="3" w:tplc="7A18577C" w:tentative="1">
      <w:start w:val="1"/>
      <w:numFmt w:val="decimal"/>
      <w:lvlText w:val="%4."/>
      <w:lvlJc w:val="left"/>
      <w:pPr>
        <w:tabs>
          <w:tab w:val="num" w:pos="2880"/>
        </w:tabs>
        <w:ind w:left="2880" w:hanging="360"/>
      </w:pPr>
    </w:lvl>
    <w:lvl w:ilvl="4" w:tplc="AAD085C6" w:tentative="1">
      <w:start w:val="1"/>
      <w:numFmt w:val="decimal"/>
      <w:lvlText w:val="%5."/>
      <w:lvlJc w:val="left"/>
      <w:pPr>
        <w:tabs>
          <w:tab w:val="num" w:pos="3600"/>
        </w:tabs>
        <w:ind w:left="3600" w:hanging="360"/>
      </w:pPr>
    </w:lvl>
    <w:lvl w:ilvl="5" w:tplc="9388562E" w:tentative="1">
      <w:start w:val="1"/>
      <w:numFmt w:val="decimal"/>
      <w:lvlText w:val="%6."/>
      <w:lvlJc w:val="left"/>
      <w:pPr>
        <w:tabs>
          <w:tab w:val="num" w:pos="4320"/>
        </w:tabs>
        <w:ind w:left="4320" w:hanging="360"/>
      </w:pPr>
    </w:lvl>
    <w:lvl w:ilvl="6" w:tplc="80D0358E" w:tentative="1">
      <w:start w:val="1"/>
      <w:numFmt w:val="decimal"/>
      <w:lvlText w:val="%7."/>
      <w:lvlJc w:val="left"/>
      <w:pPr>
        <w:tabs>
          <w:tab w:val="num" w:pos="5040"/>
        </w:tabs>
        <w:ind w:left="5040" w:hanging="360"/>
      </w:pPr>
    </w:lvl>
    <w:lvl w:ilvl="7" w:tplc="F892BAFC" w:tentative="1">
      <w:start w:val="1"/>
      <w:numFmt w:val="decimal"/>
      <w:lvlText w:val="%8."/>
      <w:lvlJc w:val="left"/>
      <w:pPr>
        <w:tabs>
          <w:tab w:val="num" w:pos="5760"/>
        </w:tabs>
        <w:ind w:left="5760" w:hanging="360"/>
      </w:pPr>
    </w:lvl>
    <w:lvl w:ilvl="8" w:tplc="FA508FD2" w:tentative="1">
      <w:start w:val="1"/>
      <w:numFmt w:val="decimal"/>
      <w:lvlText w:val="%9."/>
      <w:lvlJc w:val="left"/>
      <w:pPr>
        <w:tabs>
          <w:tab w:val="num" w:pos="6480"/>
        </w:tabs>
        <w:ind w:left="6480" w:hanging="360"/>
      </w:pPr>
    </w:lvl>
  </w:abstractNum>
  <w:abstractNum w:abstractNumId="10" w15:restartNumberingAfterBreak="0">
    <w:nsid w:val="38FA0296"/>
    <w:multiLevelType w:val="multilevel"/>
    <w:tmpl w:val="DA52311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180255"/>
    <w:multiLevelType w:val="hybridMultilevel"/>
    <w:tmpl w:val="D2160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7412B4"/>
    <w:multiLevelType w:val="hybridMultilevel"/>
    <w:tmpl w:val="2E7EE0F2"/>
    <w:lvl w:ilvl="0" w:tplc="5F3ABD86">
      <w:start w:val="2"/>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BF78DA"/>
    <w:multiLevelType w:val="hybridMultilevel"/>
    <w:tmpl w:val="CC8E0952"/>
    <w:lvl w:ilvl="0" w:tplc="4009001B">
      <w:start w:val="1"/>
      <w:numFmt w:val="lowerRoman"/>
      <w:lvlText w:val="%1."/>
      <w:lvlJc w:val="right"/>
      <w:pPr>
        <w:ind w:left="1495" w:hanging="360"/>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4" w15:restartNumberingAfterBreak="0">
    <w:nsid w:val="47DA4A7C"/>
    <w:multiLevelType w:val="hybridMultilevel"/>
    <w:tmpl w:val="D2160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6870B8"/>
    <w:multiLevelType w:val="hybridMultilevel"/>
    <w:tmpl w:val="ADC280FC"/>
    <w:lvl w:ilvl="0" w:tplc="4009001B">
      <w:start w:val="1"/>
      <w:numFmt w:val="lowerRoman"/>
      <w:lvlText w:val="%1."/>
      <w:lvlJc w:val="right"/>
      <w:pPr>
        <w:tabs>
          <w:tab w:val="num" w:pos="1495"/>
        </w:tabs>
        <w:ind w:left="1495" w:hanging="360"/>
      </w:pPr>
      <w:rPr>
        <w:rFonts w:hint="default"/>
      </w:rPr>
    </w:lvl>
    <w:lvl w:ilvl="1" w:tplc="FFFFFFFF" w:tentative="1">
      <w:start w:val="1"/>
      <w:numFmt w:val="bullet"/>
      <w:lvlText w:val=""/>
      <w:lvlJc w:val="left"/>
      <w:pPr>
        <w:tabs>
          <w:tab w:val="num" w:pos="2215"/>
        </w:tabs>
        <w:ind w:left="2215" w:hanging="360"/>
      </w:pPr>
      <w:rPr>
        <w:rFonts w:ascii="Symbol" w:hAnsi="Symbol" w:hint="default"/>
      </w:rPr>
    </w:lvl>
    <w:lvl w:ilvl="2" w:tplc="FFFFFFFF" w:tentative="1">
      <w:start w:val="1"/>
      <w:numFmt w:val="bullet"/>
      <w:lvlText w:val=""/>
      <w:lvlJc w:val="left"/>
      <w:pPr>
        <w:tabs>
          <w:tab w:val="num" w:pos="2935"/>
        </w:tabs>
        <w:ind w:left="2935" w:hanging="360"/>
      </w:pPr>
      <w:rPr>
        <w:rFonts w:ascii="Symbol" w:hAnsi="Symbol" w:hint="default"/>
      </w:rPr>
    </w:lvl>
    <w:lvl w:ilvl="3" w:tplc="FFFFFFFF" w:tentative="1">
      <w:start w:val="1"/>
      <w:numFmt w:val="bullet"/>
      <w:lvlText w:val=""/>
      <w:lvlJc w:val="left"/>
      <w:pPr>
        <w:tabs>
          <w:tab w:val="num" w:pos="3655"/>
        </w:tabs>
        <w:ind w:left="3655" w:hanging="360"/>
      </w:pPr>
      <w:rPr>
        <w:rFonts w:ascii="Symbol" w:hAnsi="Symbol" w:hint="default"/>
      </w:rPr>
    </w:lvl>
    <w:lvl w:ilvl="4" w:tplc="FFFFFFFF" w:tentative="1">
      <w:start w:val="1"/>
      <w:numFmt w:val="bullet"/>
      <w:lvlText w:val=""/>
      <w:lvlJc w:val="left"/>
      <w:pPr>
        <w:tabs>
          <w:tab w:val="num" w:pos="4375"/>
        </w:tabs>
        <w:ind w:left="4375" w:hanging="360"/>
      </w:pPr>
      <w:rPr>
        <w:rFonts w:ascii="Symbol" w:hAnsi="Symbol" w:hint="default"/>
      </w:rPr>
    </w:lvl>
    <w:lvl w:ilvl="5" w:tplc="FFFFFFFF" w:tentative="1">
      <w:start w:val="1"/>
      <w:numFmt w:val="bullet"/>
      <w:lvlText w:val=""/>
      <w:lvlJc w:val="left"/>
      <w:pPr>
        <w:tabs>
          <w:tab w:val="num" w:pos="5095"/>
        </w:tabs>
        <w:ind w:left="5095" w:hanging="360"/>
      </w:pPr>
      <w:rPr>
        <w:rFonts w:ascii="Symbol" w:hAnsi="Symbol" w:hint="default"/>
      </w:rPr>
    </w:lvl>
    <w:lvl w:ilvl="6" w:tplc="FFFFFFFF" w:tentative="1">
      <w:start w:val="1"/>
      <w:numFmt w:val="bullet"/>
      <w:lvlText w:val=""/>
      <w:lvlJc w:val="left"/>
      <w:pPr>
        <w:tabs>
          <w:tab w:val="num" w:pos="5815"/>
        </w:tabs>
        <w:ind w:left="5815" w:hanging="360"/>
      </w:pPr>
      <w:rPr>
        <w:rFonts w:ascii="Symbol" w:hAnsi="Symbol" w:hint="default"/>
      </w:rPr>
    </w:lvl>
    <w:lvl w:ilvl="7" w:tplc="FFFFFFFF" w:tentative="1">
      <w:start w:val="1"/>
      <w:numFmt w:val="bullet"/>
      <w:lvlText w:val=""/>
      <w:lvlJc w:val="left"/>
      <w:pPr>
        <w:tabs>
          <w:tab w:val="num" w:pos="6535"/>
        </w:tabs>
        <w:ind w:left="6535" w:hanging="360"/>
      </w:pPr>
      <w:rPr>
        <w:rFonts w:ascii="Symbol" w:hAnsi="Symbol" w:hint="default"/>
      </w:rPr>
    </w:lvl>
    <w:lvl w:ilvl="8" w:tplc="FFFFFFFF" w:tentative="1">
      <w:start w:val="1"/>
      <w:numFmt w:val="bullet"/>
      <w:lvlText w:val=""/>
      <w:lvlJc w:val="left"/>
      <w:pPr>
        <w:tabs>
          <w:tab w:val="num" w:pos="7255"/>
        </w:tabs>
        <w:ind w:left="7255" w:hanging="360"/>
      </w:pPr>
      <w:rPr>
        <w:rFonts w:ascii="Symbol" w:hAnsi="Symbol" w:hint="default"/>
      </w:rPr>
    </w:lvl>
  </w:abstractNum>
  <w:abstractNum w:abstractNumId="16" w15:restartNumberingAfterBreak="0">
    <w:nsid w:val="5E674FD2"/>
    <w:multiLevelType w:val="hybridMultilevel"/>
    <w:tmpl w:val="D2160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2139EB"/>
    <w:multiLevelType w:val="multilevel"/>
    <w:tmpl w:val="559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0455C"/>
    <w:multiLevelType w:val="hybridMultilevel"/>
    <w:tmpl w:val="2BB891AA"/>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2215"/>
        </w:tabs>
        <w:ind w:left="2215" w:hanging="360"/>
      </w:pPr>
    </w:lvl>
    <w:lvl w:ilvl="2" w:tplc="FFFFFFFF" w:tentative="1">
      <w:start w:val="1"/>
      <w:numFmt w:val="lowerRoman"/>
      <w:lvlText w:val="%3."/>
      <w:lvlJc w:val="right"/>
      <w:pPr>
        <w:tabs>
          <w:tab w:val="num" w:pos="2935"/>
        </w:tabs>
        <w:ind w:left="2935" w:hanging="360"/>
      </w:pPr>
    </w:lvl>
    <w:lvl w:ilvl="3" w:tplc="FFFFFFFF" w:tentative="1">
      <w:start w:val="1"/>
      <w:numFmt w:val="lowerRoman"/>
      <w:lvlText w:val="%4."/>
      <w:lvlJc w:val="right"/>
      <w:pPr>
        <w:tabs>
          <w:tab w:val="num" w:pos="3655"/>
        </w:tabs>
        <w:ind w:left="3655" w:hanging="360"/>
      </w:pPr>
    </w:lvl>
    <w:lvl w:ilvl="4" w:tplc="FFFFFFFF" w:tentative="1">
      <w:start w:val="1"/>
      <w:numFmt w:val="lowerRoman"/>
      <w:lvlText w:val="%5."/>
      <w:lvlJc w:val="right"/>
      <w:pPr>
        <w:tabs>
          <w:tab w:val="num" w:pos="4375"/>
        </w:tabs>
        <w:ind w:left="4375" w:hanging="360"/>
      </w:pPr>
    </w:lvl>
    <w:lvl w:ilvl="5" w:tplc="FFFFFFFF" w:tentative="1">
      <w:start w:val="1"/>
      <w:numFmt w:val="lowerRoman"/>
      <w:lvlText w:val="%6."/>
      <w:lvlJc w:val="right"/>
      <w:pPr>
        <w:tabs>
          <w:tab w:val="num" w:pos="5095"/>
        </w:tabs>
        <w:ind w:left="5095" w:hanging="360"/>
      </w:pPr>
    </w:lvl>
    <w:lvl w:ilvl="6" w:tplc="FFFFFFFF" w:tentative="1">
      <w:start w:val="1"/>
      <w:numFmt w:val="lowerRoman"/>
      <w:lvlText w:val="%7."/>
      <w:lvlJc w:val="right"/>
      <w:pPr>
        <w:tabs>
          <w:tab w:val="num" w:pos="5815"/>
        </w:tabs>
        <w:ind w:left="5815" w:hanging="360"/>
      </w:pPr>
    </w:lvl>
    <w:lvl w:ilvl="7" w:tplc="FFFFFFFF" w:tentative="1">
      <w:start w:val="1"/>
      <w:numFmt w:val="lowerRoman"/>
      <w:lvlText w:val="%8."/>
      <w:lvlJc w:val="right"/>
      <w:pPr>
        <w:tabs>
          <w:tab w:val="num" w:pos="6535"/>
        </w:tabs>
        <w:ind w:left="6535" w:hanging="360"/>
      </w:pPr>
    </w:lvl>
    <w:lvl w:ilvl="8" w:tplc="FFFFFFFF" w:tentative="1">
      <w:start w:val="1"/>
      <w:numFmt w:val="lowerRoman"/>
      <w:lvlText w:val="%9."/>
      <w:lvlJc w:val="right"/>
      <w:pPr>
        <w:tabs>
          <w:tab w:val="num" w:pos="7255"/>
        </w:tabs>
        <w:ind w:left="7255" w:hanging="360"/>
      </w:pPr>
    </w:lvl>
  </w:abstractNum>
  <w:abstractNum w:abstractNumId="19" w15:restartNumberingAfterBreak="0">
    <w:nsid w:val="69801406"/>
    <w:multiLevelType w:val="hybridMultilevel"/>
    <w:tmpl w:val="B914A91E"/>
    <w:lvl w:ilvl="0" w:tplc="E06AFD5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C0E12A9"/>
    <w:multiLevelType w:val="multilevel"/>
    <w:tmpl w:val="390875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10C1BB0"/>
    <w:multiLevelType w:val="hybridMultilevel"/>
    <w:tmpl w:val="32A8C166"/>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2215"/>
        </w:tabs>
        <w:ind w:left="2215" w:hanging="360"/>
      </w:pPr>
    </w:lvl>
    <w:lvl w:ilvl="2" w:tplc="FFFFFFFF" w:tentative="1">
      <w:start w:val="1"/>
      <w:numFmt w:val="lowerRoman"/>
      <w:lvlText w:val="%3."/>
      <w:lvlJc w:val="right"/>
      <w:pPr>
        <w:tabs>
          <w:tab w:val="num" w:pos="2935"/>
        </w:tabs>
        <w:ind w:left="2935" w:hanging="360"/>
      </w:pPr>
    </w:lvl>
    <w:lvl w:ilvl="3" w:tplc="FFFFFFFF" w:tentative="1">
      <w:start w:val="1"/>
      <w:numFmt w:val="lowerRoman"/>
      <w:lvlText w:val="%4."/>
      <w:lvlJc w:val="right"/>
      <w:pPr>
        <w:tabs>
          <w:tab w:val="num" w:pos="3655"/>
        </w:tabs>
        <w:ind w:left="3655" w:hanging="360"/>
      </w:pPr>
    </w:lvl>
    <w:lvl w:ilvl="4" w:tplc="FFFFFFFF" w:tentative="1">
      <w:start w:val="1"/>
      <w:numFmt w:val="lowerRoman"/>
      <w:lvlText w:val="%5."/>
      <w:lvlJc w:val="right"/>
      <w:pPr>
        <w:tabs>
          <w:tab w:val="num" w:pos="4375"/>
        </w:tabs>
        <w:ind w:left="4375" w:hanging="360"/>
      </w:pPr>
    </w:lvl>
    <w:lvl w:ilvl="5" w:tplc="FFFFFFFF" w:tentative="1">
      <w:start w:val="1"/>
      <w:numFmt w:val="lowerRoman"/>
      <w:lvlText w:val="%6."/>
      <w:lvlJc w:val="right"/>
      <w:pPr>
        <w:tabs>
          <w:tab w:val="num" w:pos="5095"/>
        </w:tabs>
        <w:ind w:left="5095" w:hanging="360"/>
      </w:pPr>
    </w:lvl>
    <w:lvl w:ilvl="6" w:tplc="FFFFFFFF" w:tentative="1">
      <w:start w:val="1"/>
      <w:numFmt w:val="lowerRoman"/>
      <w:lvlText w:val="%7."/>
      <w:lvlJc w:val="right"/>
      <w:pPr>
        <w:tabs>
          <w:tab w:val="num" w:pos="5815"/>
        </w:tabs>
        <w:ind w:left="5815" w:hanging="360"/>
      </w:pPr>
    </w:lvl>
    <w:lvl w:ilvl="7" w:tplc="FFFFFFFF" w:tentative="1">
      <w:start w:val="1"/>
      <w:numFmt w:val="lowerRoman"/>
      <w:lvlText w:val="%8."/>
      <w:lvlJc w:val="right"/>
      <w:pPr>
        <w:tabs>
          <w:tab w:val="num" w:pos="6535"/>
        </w:tabs>
        <w:ind w:left="6535" w:hanging="360"/>
      </w:pPr>
    </w:lvl>
    <w:lvl w:ilvl="8" w:tplc="FFFFFFFF" w:tentative="1">
      <w:start w:val="1"/>
      <w:numFmt w:val="lowerRoman"/>
      <w:lvlText w:val="%9."/>
      <w:lvlJc w:val="right"/>
      <w:pPr>
        <w:tabs>
          <w:tab w:val="num" w:pos="7255"/>
        </w:tabs>
        <w:ind w:left="7255" w:hanging="360"/>
      </w:pPr>
    </w:lvl>
  </w:abstractNum>
  <w:abstractNum w:abstractNumId="22" w15:restartNumberingAfterBreak="0">
    <w:nsid w:val="71C60E0C"/>
    <w:multiLevelType w:val="hybridMultilevel"/>
    <w:tmpl w:val="CF20AB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50F7F44"/>
    <w:multiLevelType w:val="multilevel"/>
    <w:tmpl w:val="695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618D6"/>
    <w:multiLevelType w:val="hybridMultilevel"/>
    <w:tmpl w:val="95742B64"/>
    <w:lvl w:ilvl="0" w:tplc="5E88FC0A">
      <w:start w:val="1"/>
      <w:numFmt w:val="decimal"/>
      <w:lvlText w:val="%1."/>
      <w:lvlJc w:val="left"/>
      <w:pPr>
        <w:ind w:left="720" w:hanging="360"/>
      </w:pPr>
      <w:rPr>
        <w:rFonts w:eastAsiaTheme="minorHAns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E07A48"/>
    <w:multiLevelType w:val="multilevel"/>
    <w:tmpl w:val="CEE2508A"/>
    <w:lvl w:ilvl="0">
      <w:start w:val="4"/>
      <w:numFmt w:val="decimal"/>
      <w:lvlText w:val="%1."/>
      <w:lvlJc w:val="left"/>
      <w:pPr>
        <w:ind w:left="540" w:hanging="54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b/>
        <w:bCs w:val="0"/>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26" w15:restartNumberingAfterBreak="0">
    <w:nsid w:val="7EE32FD3"/>
    <w:multiLevelType w:val="hybridMultilevel"/>
    <w:tmpl w:val="5A0A9F6E"/>
    <w:lvl w:ilvl="0" w:tplc="EE72523E">
      <w:start w:val="2"/>
      <w:numFmt w:val="decimal"/>
      <w:lvlText w:val="%1)"/>
      <w:lvlJc w:val="left"/>
      <w:pPr>
        <w:ind w:left="786"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7"/>
  </w:num>
  <w:num w:numId="3">
    <w:abstractNumId w:val="17"/>
  </w:num>
  <w:num w:numId="4">
    <w:abstractNumId w:val="24"/>
  </w:num>
  <w:num w:numId="5">
    <w:abstractNumId w:val="5"/>
  </w:num>
  <w:num w:numId="6">
    <w:abstractNumId w:val="25"/>
  </w:num>
  <w:num w:numId="7">
    <w:abstractNumId w:val="3"/>
  </w:num>
  <w:num w:numId="8">
    <w:abstractNumId w:val="22"/>
  </w:num>
  <w:num w:numId="9">
    <w:abstractNumId w:val="23"/>
  </w:num>
  <w:num w:numId="10">
    <w:abstractNumId w:val="20"/>
  </w:num>
  <w:num w:numId="11">
    <w:abstractNumId w:val="9"/>
  </w:num>
  <w:num w:numId="12">
    <w:abstractNumId w:val="10"/>
  </w:num>
  <w:num w:numId="13">
    <w:abstractNumId w:val="0"/>
  </w:num>
  <w:num w:numId="14">
    <w:abstractNumId w:val="26"/>
  </w:num>
  <w:num w:numId="15">
    <w:abstractNumId w:val="18"/>
  </w:num>
  <w:num w:numId="16">
    <w:abstractNumId w:val="21"/>
  </w:num>
  <w:num w:numId="17">
    <w:abstractNumId w:val="15"/>
  </w:num>
  <w:num w:numId="18">
    <w:abstractNumId w:val="13"/>
  </w:num>
  <w:num w:numId="19">
    <w:abstractNumId w:val="1"/>
  </w:num>
  <w:num w:numId="20">
    <w:abstractNumId w:val="2"/>
  </w:num>
  <w:num w:numId="21">
    <w:abstractNumId w:val="12"/>
  </w:num>
  <w:num w:numId="22">
    <w:abstractNumId w:val="4"/>
  </w:num>
  <w:num w:numId="23">
    <w:abstractNumId w:val="16"/>
  </w:num>
  <w:num w:numId="24">
    <w:abstractNumId w:val="14"/>
  </w:num>
  <w:num w:numId="25">
    <w:abstractNumId w:val="19"/>
  </w:num>
  <w:num w:numId="26">
    <w:abstractNumId w:val="11"/>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ena">
    <w15:presenceInfo w15:providerId="None" w15:userId="Gre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sDA3NDU3NzI2NDJS0lEKTi0uzszPAykwrQUA9xIW0SwAAAA="/>
  </w:docVars>
  <w:rsids>
    <w:rsidRoot w:val="00346E26"/>
    <w:rsid w:val="000205D6"/>
    <w:rsid w:val="00020B3D"/>
    <w:rsid w:val="00073B81"/>
    <w:rsid w:val="0013584F"/>
    <w:rsid w:val="00142D6D"/>
    <w:rsid w:val="001C23A5"/>
    <w:rsid w:val="002343C5"/>
    <w:rsid w:val="0031354B"/>
    <w:rsid w:val="003231F7"/>
    <w:rsid w:val="00341C2C"/>
    <w:rsid w:val="00346E26"/>
    <w:rsid w:val="00443C76"/>
    <w:rsid w:val="00453207"/>
    <w:rsid w:val="00484DBC"/>
    <w:rsid w:val="00497587"/>
    <w:rsid w:val="005535DF"/>
    <w:rsid w:val="005A51FE"/>
    <w:rsid w:val="007959B2"/>
    <w:rsid w:val="007D3447"/>
    <w:rsid w:val="00801E6E"/>
    <w:rsid w:val="008315AC"/>
    <w:rsid w:val="008A1436"/>
    <w:rsid w:val="008C183E"/>
    <w:rsid w:val="008D2881"/>
    <w:rsid w:val="00902FC4"/>
    <w:rsid w:val="0091000F"/>
    <w:rsid w:val="0093193B"/>
    <w:rsid w:val="009746F7"/>
    <w:rsid w:val="00A3492B"/>
    <w:rsid w:val="00AD3812"/>
    <w:rsid w:val="00AD697E"/>
    <w:rsid w:val="00B00E2D"/>
    <w:rsid w:val="00B12E7E"/>
    <w:rsid w:val="00B51BA9"/>
    <w:rsid w:val="00B93E9F"/>
    <w:rsid w:val="00BC22C6"/>
    <w:rsid w:val="00C05E52"/>
    <w:rsid w:val="00C14156"/>
    <w:rsid w:val="00C6488F"/>
    <w:rsid w:val="00C73515"/>
    <w:rsid w:val="00CC6392"/>
    <w:rsid w:val="00CE46B9"/>
    <w:rsid w:val="00D431DD"/>
    <w:rsid w:val="00D80C0B"/>
    <w:rsid w:val="00DF7495"/>
    <w:rsid w:val="00E46C32"/>
    <w:rsid w:val="00E726CF"/>
    <w:rsid w:val="00E94059"/>
    <w:rsid w:val="00EC466C"/>
    <w:rsid w:val="00F301EE"/>
    <w:rsid w:val="00F35BB8"/>
    <w:rsid w:val="00F94D16"/>
    <w:rsid w:val="00FB415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2431B"/>
  <w15:chartTrackingRefBased/>
  <w15:docId w15:val="{F6DEC5E2-3882-4827-8A79-4F681AF5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0F"/>
  </w:style>
  <w:style w:type="paragraph" w:styleId="Heading1">
    <w:name w:val="heading 1"/>
    <w:basedOn w:val="Normal"/>
    <w:next w:val="Normal"/>
    <w:link w:val="Heading1Char"/>
    <w:uiPriority w:val="9"/>
    <w:qFormat/>
    <w:rsid w:val="00346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6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6E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E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E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8D2881"/>
    <w:rPr>
      <w:rFonts w:ascii="Times New Roman" w:hAnsi="Times New Roman"/>
      <w:sz w:val="24"/>
    </w:rPr>
  </w:style>
  <w:style w:type="character" w:customStyle="1" w:styleId="Style1Char">
    <w:name w:val="Style1 Char"/>
    <w:basedOn w:val="DefaultParagraphFont"/>
    <w:link w:val="Style1"/>
    <w:rsid w:val="008D2881"/>
    <w:rPr>
      <w:rFonts w:ascii="Times New Roman" w:hAnsi="Times New Roman"/>
      <w:sz w:val="24"/>
    </w:rPr>
  </w:style>
  <w:style w:type="character" w:customStyle="1" w:styleId="Heading1Char">
    <w:name w:val="Heading 1 Char"/>
    <w:basedOn w:val="DefaultParagraphFont"/>
    <w:link w:val="Heading1"/>
    <w:uiPriority w:val="9"/>
    <w:rsid w:val="00346E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E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E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E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E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E26"/>
    <w:rPr>
      <w:rFonts w:eastAsiaTheme="majorEastAsia" w:cstheme="majorBidi"/>
      <w:color w:val="272727" w:themeColor="text1" w:themeTint="D8"/>
    </w:rPr>
  </w:style>
  <w:style w:type="paragraph" w:styleId="Title">
    <w:name w:val="Title"/>
    <w:basedOn w:val="Normal"/>
    <w:next w:val="Normal"/>
    <w:link w:val="TitleChar"/>
    <w:uiPriority w:val="10"/>
    <w:qFormat/>
    <w:rsid w:val="00346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E26"/>
    <w:pPr>
      <w:spacing w:before="160"/>
      <w:jc w:val="center"/>
    </w:pPr>
    <w:rPr>
      <w:i/>
      <w:iCs/>
      <w:color w:val="404040" w:themeColor="text1" w:themeTint="BF"/>
    </w:rPr>
  </w:style>
  <w:style w:type="character" w:customStyle="1" w:styleId="QuoteChar">
    <w:name w:val="Quote Char"/>
    <w:basedOn w:val="DefaultParagraphFont"/>
    <w:link w:val="Quote"/>
    <w:uiPriority w:val="29"/>
    <w:rsid w:val="00346E26"/>
    <w:rPr>
      <w:i/>
      <w:iCs/>
      <w:color w:val="404040" w:themeColor="text1" w:themeTint="BF"/>
    </w:rPr>
  </w:style>
  <w:style w:type="paragraph" w:styleId="ListParagraph">
    <w:name w:val="List Paragraph"/>
    <w:basedOn w:val="Normal"/>
    <w:link w:val="ListParagraphChar"/>
    <w:uiPriority w:val="34"/>
    <w:qFormat/>
    <w:rsid w:val="00346E26"/>
    <w:pPr>
      <w:ind w:left="720"/>
      <w:contextualSpacing/>
    </w:pPr>
  </w:style>
  <w:style w:type="character" w:styleId="IntenseEmphasis">
    <w:name w:val="Intense Emphasis"/>
    <w:basedOn w:val="DefaultParagraphFont"/>
    <w:uiPriority w:val="21"/>
    <w:qFormat/>
    <w:rsid w:val="00346E26"/>
    <w:rPr>
      <w:i/>
      <w:iCs/>
      <w:color w:val="2F5496" w:themeColor="accent1" w:themeShade="BF"/>
    </w:rPr>
  </w:style>
  <w:style w:type="paragraph" w:styleId="IntenseQuote">
    <w:name w:val="Intense Quote"/>
    <w:basedOn w:val="Normal"/>
    <w:next w:val="Normal"/>
    <w:link w:val="IntenseQuoteChar"/>
    <w:uiPriority w:val="30"/>
    <w:qFormat/>
    <w:rsid w:val="00346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E26"/>
    <w:rPr>
      <w:i/>
      <w:iCs/>
      <w:color w:val="2F5496" w:themeColor="accent1" w:themeShade="BF"/>
    </w:rPr>
  </w:style>
  <w:style w:type="character" w:styleId="IntenseReference">
    <w:name w:val="Intense Reference"/>
    <w:basedOn w:val="DefaultParagraphFont"/>
    <w:uiPriority w:val="32"/>
    <w:qFormat/>
    <w:rsid w:val="00346E26"/>
    <w:rPr>
      <w:b/>
      <w:bCs/>
      <w:smallCaps/>
      <w:color w:val="2F5496" w:themeColor="accent1" w:themeShade="BF"/>
      <w:spacing w:val="5"/>
    </w:rPr>
  </w:style>
  <w:style w:type="table" w:styleId="TableGrid">
    <w:name w:val="Table Grid"/>
    <w:basedOn w:val="TableNormal"/>
    <w:uiPriority w:val="59"/>
    <w:rsid w:val="0091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1000F"/>
  </w:style>
  <w:style w:type="character" w:styleId="Strong">
    <w:name w:val="Strong"/>
    <w:basedOn w:val="DefaultParagraphFont"/>
    <w:uiPriority w:val="22"/>
    <w:qFormat/>
    <w:rsid w:val="0091000F"/>
    <w:rPr>
      <w:b/>
      <w:bCs/>
    </w:rPr>
  </w:style>
  <w:style w:type="paragraph" w:styleId="NormalWeb">
    <w:name w:val="Normal (Web)"/>
    <w:basedOn w:val="Normal"/>
    <w:uiPriority w:val="99"/>
    <w:unhideWhenUsed/>
    <w:rsid w:val="0091000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910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91000F"/>
    <w:rPr>
      <w:i/>
      <w:iCs/>
    </w:rPr>
  </w:style>
  <w:style w:type="paragraph" w:styleId="Header">
    <w:name w:val="header"/>
    <w:basedOn w:val="Normal"/>
    <w:link w:val="HeaderChar"/>
    <w:uiPriority w:val="99"/>
    <w:unhideWhenUsed/>
    <w:rsid w:val="0091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00F"/>
  </w:style>
  <w:style w:type="paragraph" w:styleId="Footer">
    <w:name w:val="footer"/>
    <w:basedOn w:val="Normal"/>
    <w:link w:val="FooterChar"/>
    <w:uiPriority w:val="99"/>
    <w:unhideWhenUsed/>
    <w:rsid w:val="0091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00F"/>
  </w:style>
  <w:style w:type="character" w:customStyle="1" w:styleId="ms-1">
    <w:name w:val="ms-1"/>
    <w:basedOn w:val="DefaultParagraphFont"/>
    <w:rsid w:val="0091000F"/>
  </w:style>
  <w:style w:type="character" w:customStyle="1" w:styleId="max-w-15ch">
    <w:name w:val="max-w-[15ch]"/>
    <w:basedOn w:val="DefaultParagraphFont"/>
    <w:rsid w:val="0091000F"/>
  </w:style>
  <w:style w:type="character" w:customStyle="1" w:styleId="-me-1">
    <w:name w:val="-me-1"/>
    <w:basedOn w:val="DefaultParagraphFont"/>
    <w:rsid w:val="0091000F"/>
  </w:style>
  <w:style w:type="character" w:styleId="CommentReference">
    <w:name w:val="annotation reference"/>
    <w:basedOn w:val="DefaultParagraphFont"/>
    <w:uiPriority w:val="99"/>
    <w:semiHidden/>
    <w:unhideWhenUsed/>
    <w:rsid w:val="0091000F"/>
    <w:rPr>
      <w:sz w:val="16"/>
      <w:szCs w:val="16"/>
    </w:rPr>
  </w:style>
  <w:style w:type="paragraph" w:styleId="CommentText">
    <w:name w:val="annotation text"/>
    <w:basedOn w:val="Normal"/>
    <w:link w:val="CommentTextChar"/>
    <w:uiPriority w:val="99"/>
    <w:semiHidden/>
    <w:unhideWhenUsed/>
    <w:rsid w:val="0091000F"/>
    <w:pPr>
      <w:spacing w:line="240" w:lineRule="auto"/>
    </w:pPr>
    <w:rPr>
      <w:sz w:val="20"/>
      <w:szCs w:val="20"/>
    </w:rPr>
  </w:style>
  <w:style w:type="character" w:customStyle="1" w:styleId="CommentTextChar">
    <w:name w:val="Comment Text Char"/>
    <w:basedOn w:val="DefaultParagraphFont"/>
    <w:link w:val="CommentText"/>
    <w:uiPriority w:val="99"/>
    <w:semiHidden/>
    <w:rsid w:val="0091000F"/>
    <w:rPr>
      <w:sz w:val="20"/>
      <w:szCs w:val="20"/>
    </w:rPr>
  </w:style>
  <w:style w:type="paragraph" w:styleId="CommentSubject">
    <w:name w:val="annotation subject"/>
    <w:basedOn w:val="CommentText"/>
    <w:next w:val="CommentText"/>
    <w:link w:val="CommentSubjectChar"/>
    <w:uiPriority w:val="99"/>
    <w:semiHidden/>
    <w:unhideWhenUsed/>
    <w:rsid w:val="0091000F"/>
    <w:rPr>
      <w:b/>
      <w:bCs/>
    </w:rPr>
  </w:style>
  <w:style w:type="character" w:customStyle="1" w:styleId="CommentSubjectChar">
    <w:name w:val="Comment Subject Char"/>
    <w:basedOn w:val="CommentTextChar"/>
    <w:link w:val="CommentSubject"/>
    <w:uiPriority w:val="99"/>
    <w:semiHidden/>
    <w:rsid w:val="0091000F"/>
    <w:rPr>
      <w:b/>
      <w:bCs/>
      <w:sz w:val="20"/>
      <w:szCs w:val="20"/>
    </w:rPr>
  </w:style>
  <w:style w:type="character" w:customStyle="1" w:styleId="whitespace-normal">
    <w:name w:val="whitespace-normal"/>
    <w:basedOn w:val="DefaultParagraphFont"/>
    <w:rsid w:val="00B00E2D"/>
  </w:style>
  <w:style w:type="character" w:styleId="Hyperlink">
    <w:name w:val="Hyperlink"/>
    <w:basedOn w:val="DefaultParagraphFont"/>
    <w:uiPriority w:val="99"/>
    <w:unhideWhenUsed/>
    <w:rsid w:val="009746F7"/>
    <w:rPr>
      <w:color w:val="0563C1" w:themeColor="hyperlink"/>
      <w:u w:val="single"/>
    </w:rPr>
  </w:style>
  <w:style w:type="character" w:styleId="UnresolvedMention">
    <w:name w:val="Unresolved Mention"/>
    <w:basedOn w:val="DefaultParagraphFont"/>
    <w:uiPriority w:val="99"/>
    <w:semiHidden/>
    <w:unhideWhenUsed/>
    <w:rsid w:val="009746F7"/>
    <w:rPr>
      <w:color w:val="605E5C"/>
      <w:shd w:val="clear" w:color="auto" w:fill="E1DFDD"/>
    </w:rPr>
  </w:style>
  <w:style w:type="character" w:styleId="FollowedHyperlink">
    <w:name w:val="FollowedHyperlink"/>
    <w:basedOn w:val="DefaultParagraphFont"/>
    <w:uiPriority w:val="99"/>
    <w:semiHidden/>
    <w:unhideWhenUsed/>
    <w:rsid w:val="00B93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20278">
      <w:bodyDiv w:val="1"/>
      <w:marLeft w:val="0"/>
      <w:marRight w:val="0"/>
      <w:marTop w:val="0"/>
      <w:marBottom w:val="0"/>
      <w:divBdr>
        <w:top w:val="none" w:sz="0" w:space="0" w:color="auto"/>
        <w:left w:val="none" w:sz="0" w:space="0" w:color="auto"/>
        <w:bottom w:val="none" w:sz="0" w:space="0" w:color="auto"/>
        <w:right w:val="none" w:sz="0" w:space="0" w:color="auto"/>
      </w:divBdr>
    </w:div>
    <w:div w:id="1555193519">
      <w:bodyDiv w:val="1"/>
      <w:marLeft w:val="0"/>
      <w:marRight w:val="0"/>
      <w:marTop w:val="0"/>
      <w:marBottom w:val="0"/>
      <w:divBdr>
        <w:top w:val="none" w:sz="0" w:space="0" w:color="auto"/>
        <w:left w:val="none" w:sz="0" w:space="0" w:color="auto"/>
        <w:bottom w:val="none" w:sz="0" w:space="0" w:color="auto"/>
        <w:right w:val="none" w:sz="0" w:space="0" w:color="auto"/>
      </w:divBdr>
    </w:div>
    <w:div w:id="20827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07352680902743069" TargetMode="External"/><Relationship Id="rId18" Type="http://schemas.openxmlformats.org/officeDocument/2006/relationships/hyperlink" Target="https://doi.org/10.1016/S1161-0301(00)00082-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3389/fpls.2013.00289" TargetMode="External"/><Relationship Id="rId17" Type="http://schemas.openxmlformats.org/officeDocument/2006/relationships/hyperlink" Target="https://doi.org/10.1039/C5MT00168D"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ocsci.2025.04.00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593-016-0412-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8805/ag.R-2696"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3390/su14211444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8/s41565-018-0131-1"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9</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pallavikn095@gmail.com</dc:creator>
  <cp:keywords/>
  <dc:description/>
  <cp:lastModifiedBy>Greena</cp:lastModifiedBy>
  <cp:revision>20</cp:revision>
  <cp:lastPrinted>2026-04-06T11:36:00Z</cp:lastPrinted>
  <dcterms:created xsi:type="dcterms:W3CDTF">2026-04-01T09:18:00Z</dcterms:created>
  <dcterms:modified xsi:type="dcterms:W3CDTF">2026-04-08T06:49:00Z</dcterms:modified>
</cp:coreProperties>
</file>