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EE21" w14:textId="77777777" w:rsidR="00E021F0" w:rsidRDefault="00EA152E" w:rsidP="000741BA">
      <w:pPr>
        <w:spacing w:before="160" w:line="276" w:lineRule="auto"/>
        <w:ind w:right="-330"/>
        <w:jc w:val="center"/>
        <w:rPr>
          <w:rFonts w:ascii="Times New Roman" w:hAnsi="Times New Roman" w:cs="Times New Roman"/>
          <w:b/>
          <w:bCs/>
          <w:sz w:val="28"/>
          <w:szCs w:val="28"/>
        </w:rPr>
      </w:pPr>
      <w:commentRangeStart w:id="0"/>
      <w:r w:rsidRPr="000741BA">
        <w:rPr>
          <w:rFonts w:ascii="Times New Roman" w:hAnsi="Times New Roman" w:cs="Times New Roman"/>
          <w:b/>
          <w:bCs/>
          <w:sz w:val="28"/>
          <w:szCs w:val="28"/>
        </w:rPr>
        <w:t>GENE</w:t>
      </w:r>
      <w:r w:rsidR="00952C8D" w:rsidRPr="000741BA">
        <w:rPr>
          <w:rFonts w:ascii="Times New Roman" w:hAnsi="Times New Roman" w:cs="Times New Roman"/>
          <w:b/>
          <w:bCs/>
          <w:sz w:val="28"/>
          <w:szCs w:val="28"/>
        </w:rPr>
        <w:t xml:space="preserve">TIC ANALYSIS OF YIELD AND YIELD </w:t>
      </w:r>
      <w:r w:rsidRPr="000741BA">
        <w:rPr>
          <w:rFonts w:ascii="Times New Roman" w:hAnsi="Times New Roman" w:cs="Times New Roman"/>
          <w:b/>
          <w:bCs/>
          <w:sz w:val="28"/>
          <w:szCs w:val="28"/>
        </w:rPr>
        <w:t xml:space="preserve">RELATED TRAITS IN SORGHUM (Sorghum bicolor L.) THROUGH LINE × TESTER MATING </w:t>
      </w:r>
      <w:commentRangeStart w:id="1"/>
      <w:r w:rsidRPr="000741BA">
        <w:rPr>
          <w:rFonts w:ascii="Times New Roman" w:hAnsi="Times New Roman" w:cs="Times New Roman"/>
          <w:b/>
          <w:bCs/>
          <w:sz w:val="28"/>
          <w:szCs w:val="28"/>
        </w:rPr>
        <w:t>DESIGN</w:t>
      </w:r>
      <w:commentRangeEnd w:id="0"/>
      <w:commentRangeEnd w:id="1"/>
      <w:r w:rsidR="00A3723F">
        <w:rPr>
          <w:rStyle w:val="CommentReference"/>
        </w:rPr>
        <w:commentReference w:id="1"/>
      </w:r>
      <w:r w:rsidR="002F2E0E">
        <w:rPr>
          <w:rStyle w:val="CommentReference"/>
        </w:rPr>
        <w:commentReference w:id="0"/>
      </w:r>
    </w:p>
    <w:p w14:paraId="7EAE16EB" w14:textId="77777777" w:rsidR="000A2765" w:rsidRPr="000741BA" w:rsidRDefault="000A2765" w:rsidP="000741BA">
      <w:pPr>
        <w:spacing w:before="160" w:line="276" w:lineRule="auto"/>
        <w:ind w:right="-330"/>
        <w:jc w:val="center"/>
        <w:rPr>
          <w:rFonts w:ascii="Times New Roman" w:hAnsi="Times New Roman" w:cs="Times New Roman"/>
          <w:b/>
          <w:bCs/>
          <w:sz w:val="28"/>
          <w:szCs w:val="28"/>
        </w:rPr>
      </w:pPr>
    </w:p>
    <w:p w14:paraId="395DF5C6" w14:textId="77777777" w:rsidR="000A2765" w:rsidRPr="003209AE" w:rsidRDefault="000A2765" w:rsidP="00EA152E">
      <w:pPr>
        <w:spacing w:before="160" w:line="240" w:lineRule="auto"/>
        <w:rPr>
          <w:rStyle w:val="Hyperlink"/>
          <w:rFonts w:ascii="Times New Roman" w:hAnsi="Times New Roman" w:cs="Times New Roman"/>
          <w:sz w:val="24"/>
          <w:szCs w:val="24"/>
        </w:rPr>
      </w:pPr>
    </w:p>
    <w:p w14:paraId="2DE1DCBD" w14:textId="77777777" w:rsidR="00CF43F8" w:rsidRDefault="00CF43F8" w:rsidP="004E5C39">
      <w:pPr>
        <w:spacing w:before="160" w:line="240" w:lineRule="auto"/>
        <w:jc w:val="both"/>
        <w:rPr>
          <w:rStyle w:val="Hyperlink"/>
          <w:rFonts w:ascii="Times New Roman" w:hAnsi="Times New Roman" w:cs="Times New Roman"/>
          <w:b/>
          <w:bCs/>
          <w:color w:val="auto"/>
          <w:sz w:val="24"/>
          <w:szCs w:val="24"/>
          <w:u w:val="none"/>
        </w:rPr>
      </w:pPr>
    </w:p>
    <w:p w14:paraId="291C3D46" w14:textId="5244A103" w:rsidR="004E5C39" w:rsidRPr="003209AE" w:rsidRDefault="00206420" w:rsidP="004E5C39">
      <w:pPr>
        <w:spacing w:before="160" w:line="240" w:lineRule="auto"/>
        <w:jc w:val="both"/>
        <w:rPr>
          <w:rFonts w:ascii="Times New Roman" w:hAnsi="Times New Roman" w:cs="Times New Roman"/>
          <w:sz w:val="24"/>
          <w:szCs w:val="24"/>
        </w:rPr>
      </w:pPr>
      <w:r w:rsidRPr="003209AE">
        <w:rPr>
          <w:rStyle w:val="Hyperlink"/>
          <w:rFonts w:ascii="Times New Roman" w:hAnsi="Times New Roman" w:cs="Times New Roman"/>
          <w:b/>
          <w:bCs/>
          <w:color w:val="auto"/>
          <w:sz w:val="24"/>
          <w:szCs w:val="24"/>
          <w:u w:val="none"/>
        </w:rPr>
        <w:t>ABSTRAC</w:t>
      </w:r>
      <w:r w:rsidRPr="00CF43F8">
        <w:rPr>
          <w:rStyle w:val="Hyperlink"/>
          <w:rFonts w:ascii="Times New Roman" w:hAnsi="Times New Roman" w:cs="Times New Roman"/>
          <w:b/>
          <w:bCs/>
          <w:color w:val="auto"/>
          <w:sz w:val="24"/>
          <w:szCs w:val="24"/>
          <w:u w:val="none"/>
        </w:rPr>
        <w:t xml:space="preserve">T: </w:t>
      </w:r>
      <w:r w:rsidR="004E5C39" w:rsidRPr="003209AE">
        <w:rPr>
          <w:rFonts w:ascii="Times New Roman" w:hAnsi="Times New Roman" w:cs="Times New Roman"/>
          <w:sz w:val="24"/>
          <w:szCs w:val="24"/>
        </w:rPr>
        <w:t xml:space="preserve">The present investigation was conducted across three diverse locations, RARS, </w:t>
      </w:r>
      <w:proofErr w:type="spellStart"/>
      <w:r w:rsidR="004E5C39" w:rsidRPr="003209AE">
        <w:rPr>
          <w:rFonts w:ascii="Times New Roman" w:hAnsi="Times New Roman" w:cs="Times New Roman"/>
          <w:sz w:val="24"/>
          <w:szCs w:val="24"/>
        </w:rPr>
        <w:t>Nandyal</w:t>
      </w:r>
      <w:proofErr w:type="spellEnd"/>
      <w:r w:rsidR="004E5C39" w:rsidRPr="003209AE">
        <w:rPr>
          <w:rFonts w:ascii="Times New Roman" w:hAnsi="Times New Roman" w:cs="Times New Roman"/>
          <w:sz w:val="24"/>
          <w:szCs w:val="24"/>
        </w:rPr>
        <w:t xml:space="preserve">; ARS, </w:t>
      </w:r>
      <w:proofErr w:type="spellStart"/>
      <w:r w:rsidR="004E5C39" w:rsidRPr="003209AE">
        <w:rPr>
          <w:rFonts w:ascii="Times New Roman" w:hAnsi="Times New Roman" w:cs="Times New Roman"/>
          <w:sz w:val="24"/>
          <w:szCs w:val="24"/>
        </w:rPr>
        <w:t>Podalakur</w:t>
      </w:r>
      <w:proofErr w:type="spellEnd"/>
      <w:r w:rsidR="004E5C39" w:rsidRPr="003209AE">
        <w:rPr>
          <w:rFonts w:ascii="Times New Roman" w:hAnsi="Times New Roman" w:cs="Times New Roman"/>
          <w:sz w:val="24"/>
          <w:szCs w:val="24"/>
        </w:rPr>
        <w:t xml:space="preserve">; and RARS, Lam, Guntur. Two lines and eight testers were crossed following a Line × Tester design during </w:t>
      </w:r>
      <w:r w:rsidR="004E5C39" w:rsidRPr="003209AE">
        <w:rPr>
          <w:rFonts w:ascii="Times New Roman" w:hAnsi="Times New Roman" w:cs="Times New Roman"/>
          <w:i/>
          <w:iCs/>
          <w:sz w:val="24"/>
          <w:szCs w:val="24"/>
        </w:rPr>
        <w:t>rabi</w:t>
      </w:r>
      <w:r w:rsidR="004E5C39" w:rsidRPr="003209AE">
        <w:rPr>
          <w:rFonts w:ascii="Times New Roman" w:hAnsi="Times New Roman" w:cs="Times New Roman"/>
          <w:sz w:val="24"/>
          <w:szCs w:val="24"/>
        </w:rPr>
        <w:t xml:space="preserve"> 2021–22 and </w:t>
      </w:r>
      <w:r w:rsidR="004E5C39" w:rsidRPr="003209AE">
        <w:rPr>
          <w:rFonts w:ascii="Times New Roman" w:hAnsi="Times New Roman" w:cs="Times New Roman"/>
          <w:i/>
          <w:iCs/>
          <w:sz w:val="24"/>
          <w:szCs w:val="24"/>
        </w:rPr>
        <w:t>rabi</w:t>
      </w:r>
      <w:r w:rsidR="004E5C39" w:rsidRPr="003209AE">
        <w:rPr>
          <w:rFonts w:ascii="Times New Roman" w:hAnsi="Times New Roman" w:cs="Times New Roman"/>
          <w:sz w:val="24"/>
          <w:szCs w:val="24"/>
        </w:rPr>
        <w:t xml:space="preserve"> 2022–23 to generate sixteen hybrids. These hybrids, along with their ten parents, were evaluated during </w:t>
      </w:r>
      <w:r w:rsidR="004E5C39" w:rsidRPr="003209AE">
        <w:rPr>
          <w:rFonts w:ascii="Times New Roman" w:hAnsi="Times New Roman" w:cs="Times New Roman"/>
          <w:i/>
          <w:iCs/>
          <w:sz w:val="24"/>
          <w:szCs w:val="24"/>
        </w:rPr>
        <w:t>summer</w:t>
      </w:r>
      <w:r w:rsidR="004E5C39" w:rsidRPr="003209AE">
        <w:rPr>
          <w:rFonts w:ascii="Times New Roman" w:hAnsi="Times New Roman" w:cs="Times New Roman"/>
          <w:sz w:val="24"/>
          <w:szCs w:val="24"/>
        </w:rPr>
        <w:t xml:space="preserve"> 2022 (</w:t>
      </w:r>
      <w:proofErr w:type="spellStart"/>
      <w:r w:rsidR="004E5C39" w:rsidRPr="003209AE">
        <w:rPr>
          <w:rFonts w:ascii="Times New Roman" w:hAnsi="Times New Roman" w:cs="Times New Roman"/>
          <w:sz w:val="24"/>
          <w:szCs w:val="24"/>
        </w:rPr>
        <w:t>Nandyal</w:t>
      </w:r>
      <w:proofErr w:type="spellEnd"/>
      <w:r w:rsidR="004E5C39" w:rsidRPr="003209AE">
        <w:rPr>
          <w:rFonts w:ascii="Times New Roman" w:hAnsi="Times New Roman" w:cs="Times New Roman"/>
          <w:sz w:val="24"/>
          <w:szCs w:val="24"/>
        </w:rPr>
        <w:t xml:space="preserve">), </w:t>
      </w:r>
      <w:r w:rsidR="004E5C39" w:rsidRPr="003209AE">
        <w:rPr>
          <w:rFonts w:ascii="Times New Roman" w:hAnsi="Times New Roman" w:cs="Times New Roman"/>
          <w:i/>
          <w:iCs/>
          <w:sz w:val="24"/>
          <w:szCs w:val="24"/>
        </w:rPr>
        <w:t>rabi</w:t>
      </w:r>
      <w:r w:rsidR="004E5C39" w:rsidRPr="003209AE">
        <w:rPr>
          <w:rFonts w:ascii="Times New Roman" w:hAnsi="Times New Roman" w:cs="Times New Roman"/>
          <w:sz w:val="24"/>
          <w:szCs w:val="24"/>
        </w:rPr>
        <w:t xml:space="preserve"> 2022-23 (three locations) and </w:t>
      </w:r>
      <w:r w:rsidR="004E5C39" w:rsidRPr="003209AE">
        <w:rPr>
          <w:rFonts w:ascii="Times New Roman" w:hAnsi="Times New Roman" w:cs="Times New Roman"/>
          <w:i/>
          <w:iCs/>
          <w:sz w:val="24"/>
          <w:szCs w:val="24"/>
        </w:rPr>
        <w:t>summer</w:t>
      </w:r>
      <w:r w:rsidR="004E5C39" w:rsidRPr="003209AE">
        <w:rPr>
          <w:rFonts w:ascii="Times New Roman" w:hAnsi="Times New Roman" w:cs="Times New Roman"/>
          <w:sz w:val="24"/>
          <w:szCs w:val="24"/>
        </w:rPr>
        <w:t xml:space="preserve"> 2023 (three locations) to assess genetic variability and the nature and magnitude of gene action for yield, yield components and physiological traits. Analysis of variance revealed significant genotypic differences for most traits across environments, indicating substantial genetic variability. Moderate phenotypic and genotypic coefficients of variation were observed for grain yield (PCV up to 19.25%; GCV up to 17.97%) and dry fodder yield, while days to flowering and maturity showed low variability. High heritability was recorded for grain yield (92% in pooled analysis) and 100-grain weight (90%), coupled with high genetic advance as per cent of mean for grain yield (27.69%), indicating the predominance of additive gene action and strong response to selection. Physiological traits such as relative water content, per cent membrane damage and specific leaf area also exhibited high heritability, highlighting their genetic stability under stress conditions. Overall, the study identified grain yield, plant height, relative water content, membrane damage and specific leaf area as reliable selection criteria for enhancing sorghum productivity and drought tolerance across diverse environments.</w:t>
      </w:r>
    </w:p>
    <w:p w14:paraId="3B67631F" w14:textId="77777777" w:rsidR="004E5C39" w:rsidRPr="003209AE" w:rsidRDefault="004E5C39" w:rsidP="004E5C39">
      <w:pPr>
        <w:spacing w:before="160" w:line="240" w:lineRule="auto"/>
        <w:jc w:val="both"/>
        <w:rPr>
          <w:rFonts w:ascii="Times New Roman" w:hAnsi="Times New Roman" w:cs="Times New Roman"/>
          <w:b/>
          <w:bCs/>
          <w:sz w:val="28"/>
          <w:szCs w:val="28"/>
        </w:rPr>
      </w:pPr>
      <w:r w:rsidRPr="003209AE">
        <w:rPr>
          <w:rFonts w:ascii="Times New Roman" w:hAnsi="Times New Roman" w:cs="Times New Roman"/>
          <w:b/>
          <w:bCs/>
          <w:sz w:val="24"/>
          <w:szCs w:val="24"/>
        </w:rPr>
        <w:t xml:space="preserve">Keywords: </w:t>
      </w:r>
      <w:r w:rsidRPr="003209AE">
        <w:rPr>
          <w:rFonts w:ascii="Times New Roman" w:hAnsi="Times New Roman" w:cs="Times New Roman"/>
          <w:sz w:val="24"/>
          <w:szCs w:val="24"/>
        </w:rPr>
        <w:t xml:space="preserve">Sorghum, Line × Tester, genetic variability, heritability, grain yield, drought </w:t>
      </w:r>
      <w:r w:rsidRPr="003209AE">
        <w:rPr>
          <w:rFonts w:ascii="Times New Roman" w:hAnsi="Times New Roman" w:cs="Times New Roman"/>
          <w:sz w:val="24"/>
          <w:szCs w:val="24"/>
        </w:rPr>
        <w:tab/>
      </w:r>
      <w:r w:rsidRPr="003209AE">
        <w:rPr>
          <w:rFonts w:ascii="Times New Roman" w:hAnsi="Times New Roman" w:cs="Times New Roman"/>
          <w:sz w:val="24"/>
          <w:szCs w:val="24"/>
        </w:rPr>
        <w:tab/>
        <w:t xml:space="preserve">        tolerance.</w:t>
      </w:r>
    </w:p>
    <w:p w14:paraId="08527B0D" w14:textId="77777777" w:rsidR="00E021F0" w:rsidRPr="003209AE" w:rsidRDefault="00420385" w:rsidP="00EA2362">
      <w:pPr>
        <w:spacing w:before="120" w:after="120" w:line="360" w:lineRule="auto"/>
        <w:jc w:val="both"/>
        <w:rPr>
          <w:rFonts w:ascii="Times New Roman" w:hAnsi="Times New Roman" w:cs="Times New Roman"/>
          <w:b/>
          <w:bCs/>
          <w:sz w:val="28"/>
          <w:szCs w:val="28"/>
        </w:rPr>
      </w:pPr>
      <w:commentRangeStart w:id="2"/>
      <w:r w:rsidRPr="003209AE">
        <w:rPr>
          <w:rFonts w:ascii="Times New Roman" w:hAnsi="Times New Roman" w:cs="Times New Roman"/>
          <w:b/>
          <w:bCs/>
          <w:sz w:val="28"/>
          <w:szCs w:val="28"/>
        </w:rPr>
        <w:t>INTRODUCTION</w:t>
      </w:r>
    </w:p>
    <w:p w14:paraId="5F474C94" w14:textId="77777777" w:rsidR="00EA2362" w:rsidRPr="003209AE" w:rsidRDefault="00EA2362" w:rsidP="00EA2362">
      <w:pPr>
        <w:pStyle w:val="NormalWeb"/>
        <w:spacing w:before="120" w:beforeAutospacing="0" w:after="120" w:afterAutospacing="0" w:line="360" w:lineRule="auto"/>
        <w:jc w:val="both"/>
      </w:pPr>
      <w:r w:rsidRPr="003209AE">
        <w:tab/>
        <w:t>Sorghum (</w:t>
      </w:r>
      <w:r w:rsidRPr="003209AE">
        <w:rPr>
          <w:rStyle w:val="Emphasis"/>
        </w:rPr>
        <w:t xml:space="preserve">Sorghum </w:t>
      </w:r>
      <w:proofErr w:type="spellStart"/>
      <w:r w:rsidRPr="003209AE">
        <w:rPr>
          <w:rStyle w:val="Emphasis"/>
        </w:rPr>
        <w:t>bicolor</w:t>
      </w:r>
      <w:proofErr w:type="spellEnd"/>
      <w:r w:rsidRPr="003209AE">
        <w:t xml:space="preserve"> L.) is an important cereal crop widely cultivated in arid and semi-arid regions of the world, where it plays a crucial role in ensuring food security, nutritional security and agricultural sustainability. As the fifth most important cereal globally, sorghum serves as a staple food, livestock feed and raw material for biofuel production. Its inherent tolerance to heat and moisture stress makes it particularly valuable under marginal growing conditions. However, productivity is frequently constrained by abiotic stresses, especially drought, the incidence and severity of which are increasing due to climate change. Therefore, the development of high-yielding and drought-tolerant hybrids has become a priority for sustaining sorghum production in water-limited environments.</w:t>
      </w:r>
    </w:p>
    <w:p w14:paraId="4D51C612" w14:textId="77777777" w:rsidR="00C96F80" w:rsidRPr="003209AE" w:rsidRDefault="00EA2362" w:rsidP="00EA2362">
      <w:pPr>
        <w:pStyle w:val="NormalWeb"/>
        <w:spacing w:before="120" w:beforeAutospacing="0" w:after="120" w:afterAutospacing="0" w:line="360" w:lineRule="auto"/>
        <w:jc w:val="both"/>
      </w:pPr>
      <w:r w:rsidRPr="003209AE">
        <w:tab/>
      </w:r>
    </w:p>
    <w:p w14:paraId="5528877D" w14:textId="7EC2A515" w:rsidR="00EA2362" w:rsidRPr="003209AE" w:rsidRDefault="00EA2362" w:rsidP="00C96F80">
      <w:pPr>
        <w:pStyle w:val="NormalWeb"/>
        <w:spacing w:before="120" w:beforeAutospacing="0" w:after="120" w:afterAutospacing="0" w:line="360" w:lineRule="auto"/>
        <w:ind w:firstLine="720"/>
        <w:jc w:val="both"/>
      </w:pPr>
      <w:r w:rsidRPr="003209AE">
        <w:t>In India, sorghum is cultivated over 40.76 lakh hectares with a production of 47.37 lakh tonnes and an average productivity of 1,202 kg ha</w:t>
      </w:r>
      <w:r w:rsidR="00A36677" w:rsidRPr="003209AE">
        <w:rPr>
          <w:vertAlign w:val="superscript"/>
        </w:rPr>
        <w:t>-1</w:t>
      </w:r>
      <w:r w:rsidRPr="003209AE">
        <w:t xml:space="preserve"> (USDA, 2024). In Andhra Pradesh, the crop occupies 0.70 lakh hectares with an annual production of 2.82 lakh tonnes and a </w:t>
      </w:r>
      <w:r w:rsidRPr="003209AE">
        <w:lastRenderedPageBreak/>
        <w:t>productivity of 4,029 kg ha</w:t>
      </w:r>
      <w:r w:rsidR="00A36677" w:rsidRPr="003209AE">
        <w:rPr>
          <w:vertAlign w:val="superscript"/>
        </w:rPr>
        <w:t>-1</w:t>
      </w:r>
      <w:r w:rsidRPr="003209AE">
        <w:t xml:space="preserve"> during 2022–23. </w:t>
      </w:r>
      <w:proofErr w:type="spellStart"/>
      <w:r w:rsidRPr="003209AE">
        <w:t>Nandyal</w:t>
      </w:r>
      <w:proofErr w:type="spellEnd"/>
      <w:r w:rsidRPr="003209AE">
        <w:t xml:space="preserve"> district leads in sorghum cultivation with 26,543 hectares (38.04%), followed by Guntur (17.04%) and </w:t>
      </w:r>
      <w:proofErr w:type="spellStart"/>
      <w:r w:rsidRPr="003209AE">
        <w:t>Bapatla</w:t>
      </w:r>
      <w:proofErr w:type="spellEnd"/>
      <w:r w:rsidRPr="003209AE">
        <w:t xml:space="preserve"> (11.55%), while Kurnool, Kadapa and </w:t>
      </w:r>
      <w:proofErr w:type="spellStart"/>
      <w:r w:rsidRPr="003209AE">
        <w:t>Ananthapur</w:t>
      </w:r>
      <w:proofErr w:type="spellEnd"/>
      <w:r w:rsidRPr="003209AE">
        <w:t xml:space="preserve"> also contribute significantly (Anonymous, 2024). Despite its regional importance, sorghum cultivation in India has declined by nearly 37% over the past two decades, although productivity has increased by about 80% (USDA, 1997). This improvement in yield is largely attributed to the adoption of hybrid varieties and advances in genetic improvement programmes. Hybrids exploit heterosis and combine desirable traits from diverse parental lines, enabling better adaptation to stress conditions, particularly in semi-arid regions (Axtell </w:t>
      </w:r>
      <w:r w:rsidRPr="003209AE">
        <w:rPr>
          <w:i/>
          <w:iCs/>
        </w:rPr>
        <w:t>et al.,</w:t>
      </w:r>
      <w:r w:rsidRPr="003209AE">
        <w:t xml:space="preserve"> 1999).</w:t>
      </w:r>
    </w:p>
    <w:p w14:paraId="0EE2B648" w14:textId="77777777" w:rsidR="00EA2362" w:rsidRPr="003209AE" w:rsidRDefault="00EA2362" w:rsidP="00EA2362">
      <w:pPr>
        <w:pStyle w:val="NormalWeb"/>
        <w:spacing w:before="120" w:beforeAutospacing="0" w:after="120" w:afterAutospacing="0" w:line="360" w:lineRule="auto"/>
        <w:jc w:val="both"/>
      </w:pPr>
      <w:r w:rsidRPr="003209AE">
        <w:tab/>
        <w:t>For the development of superior hybrids, a clear understanding of the extent of genetic variability and the nature of gene action governing yield and associated traits is essential. Parameters such as phenotypic and genotypic coefficients of variation, heritability and genetic advance provide valuable insights into the inheritance pattern of traits and the expected response to selection. Estimation of these genetic parameters across diverse environments is particularly important under stress-prone conditions, as it helps identify stable and resilient genotypes.</w:t>
      </w:r>
      <w:commentRangeEnd w:id="2"/>
      <w:r w:rsidR="002F2E0E">
        <w:rPr>
          <w:rStyle w:val="CommentReference"/>
          <w:rFonts w:asciiTheme="minorHAnsi" w:eastAsiaTheme="minorHAnsi" w:hAnsiTheme="minorHAnsi" w:cstheme="minorBidi"/>
          <w:lang w:val="en-US" w:eastAsia="en-US" w:bidi="ar-SA"/>
        </w:rPr>
        <w:commentReference w:id="2"/>
      </w:r>
    </w:p>
    <w:p w14:paraId="2A77A2E7" w14:textId="77777777" w:rsidR="00EA2362" w:rsidRPr="003209AE" w:rsidRDefault="00EA2362" w:rsidP="00EA2362">
      <w:pPr>
        <w:pStyle w:val="NormalWeb"/>
        <w:spacing w:before="120" w:beforeAutospacing="0" w:after="120" w:afterAutospacing="0" w:line="360" w:lineRule="auto"/>
        <w:jc w:val="both"/>
      </w:pPr>
      <w:r w:rsidRPr="003209AE">
        <w:tab/>
        <w:t>In this context, the present investigation was undertaken to assess the magnitude of genetic variability, heritability, genetic advance and genetic advance as per cent of mean for yield, yield components and key physiological traits in sorghum genotypes evaluated across multiple locations. The study aims to identify promising traits and genotypes that can be effectively utilized in breeding programmes for enhancing productivity and drought tolerance.</w:t>
      </w:r>
    </w:p>
    <w:p w14:paraId="4AB13AFA" w14:textId="77777777" w:rsidR="00E84BF7" w:rsidRPr="003209AE" w:rsidRDefault="00420385" w:rsidP="00965173">
      <w:pPr>
        <w:spacing w:after="0" w:line="360" w:lineRule="auto"/>
        <w:jc w:val="both"/>
        <w:rPr>
          <w:rFonts w:ascii="Times New Roman" w:hAnsi="Times New Roman" w:cs="Times New Roman"/>
          <w:b/>
          <w:bCs/>
          <w:sz w:val="26"/>
          <w:szCs w:val="26"/>
        </w:rPr>
      </w:pPr>
      <w:r w:rsidRPr="003209AE">
        <w:rPr>
          <w:rFonts w:ascii="Times New Roman" w:hAnsi="Times New Roman" w:cs="Times New Roman"/>
          <w:b/>
          <w:bCs/>
          <w:sz w:val="26"/>
          <w:szCs w:val="26"/>
        </w:rPr>
        <w:t>MATERIAL AND METHODS</w:t>
      </w:r>
    </w:p>
    <w:p w14:paraId="0C307878" w14:textId="77777777" w:rsidR="00965173" w:rsidRPr="003209AE" w:rsidRDefault="00965173" w:rsidP="00965173">
      <w:pPr>
        <w:spacing w:before="120" w:after="120" w:line="360" w:lineRule="auto"/>
        <w:jc w:val="both"/>
        <w:outlineLvl w:val="2"/>
        <w:rPr>
          <w:rFonts w:ascii="Times New Roman" w:eastAsia="Times New Roman" w:hAnsi="Times New Roman" w:cs="Times New Roman"/>
          <w:sz w:val="24"/>
          <w:szCs w:val="24"/>
          <w:lang w:val="en-IN" w:eastAsia="en-IN" w:bidi="te-IN"/>
        </w:rPr>
      </w:pPr>
      <w:r w:rsidRPr="003209AE">
        <w:rPr>
          <w:rFonts w:ascii="Times New Roman" w:eastAsia="Times New Roman" w:hAnsi="Times New Roman" w:cs="Times New Roman"/>
          <w:b/>
          <w:bCs/>
          <w:sz w:val="24"/>
          <w:szCs w:val="24"/>
          <w:lang w:val="en-IN" w:eastAsia="en-IN" w:bidi="te-IN"/>
        </w:rPr>
        <w:t xml:space="preserve">Experimental Locations: </w:t>
      </w:r>
      <w:r w:rsidRPr="003209AE">
        <w:rPr>
          <w:rFonts w:ascii="Times New Roman" w:eastAsia="Times New Roman" w:hAnsi="Times New Roman" w:cs="Times New Roman"/>
          <w:sz w:val="24"/>
          <w:szCs w:val="24"/>
          <w:lang w:val="en-IN" w:eastAsia="en-IN" w:bidi="te-IN"/>
        </w:rPr>
        <w:t xml:space="preserve">The present investigation was conducted at the Regional Agricultural Research Station (RARS), </w:t>
      </w:r>
      <w:proofErr w:type="spellStart"/>
      <w:r w:rsidRPr="003209AE">
        <w:rPr>
          <w:rFonts w:ascii="Times New Roman" w:eastAsia="Times New Roman" w:hAnsi="Times New Roman" w:cs="Times New Roman"/>
          <w:sz w:val="24"/>
          <w:szCs w:val="24"/>
          <w:lang w:val="en-IN" w:eastAsia="en-IN" w:bidi="te-IN"/>
        </w:rPr>
        <w:t>Nandyal</w:t>
      </w:r>
      <w:proofErr w:type="spellEnd"/>
      <w:r w:rsidRPr="003209AE">
        <w:rPr>
          <w:rFonts w:ascii="Times New Roman" w:eastAsia="Times New Roman" w:hAnsi="Times New Roman" w:cs="Times New Roman"/>
          <w:sz w:val="24"/>
          <w:szCs w:val="24"/>
          <w:lang w:val="en-IN" w:eastAsia="en-IN" w:bidi="te-IN"/>
        </w:rPr>
        <w:t xml:space="preserve">, Andhra Pradesh. The crossing programme was carried out during </w:t>
      </w:r>
      <w:r w:rsidRPr="003209AE">
        <w:rPr>
          <w:rFonts w:ascii="Times New Roman" w:eastAsia="Times New Roman" w:hAnsi="Times New Roman" w:cs="Times New Roman"/>
          <w:i/>
          <w:iCs/>
          <w:sz w:val="24"/>
          <w:szCs w:val="24"/>
          <w:lang w:val="en-IN" w:eastAsia="en-IN" w:bidi="te-IN"/>
        </w:rPr>
        <w:t>rabi</w:t>
      </w:r>
      <w:r w:rsidRPr="003209AE">
        <w:rPr>
          <w:rFonts w:ascii="Times New Roman" w:eastAsia="Times New Roman" w:hAnsi="Times New Roman" w:cs="Times New Roman"/>
          <w:sz w:val="24"/>
          <w:szCs w:val="24"/>
          <w:lang w:val="en-IN" w:eastAsia="en-IN" w:bidi="te-IN"/>
        </w:rPr>
        <w:t xml:space="preserve"> 2021–22 at RARS, </w:t>
      </w:r>
      <w:proofErr w:type="spellStart"/>
      <w:r w:rsidRPr="003209AE">
        <w:rPr>
          <w:rFonts w:ascii="Times New Roman" w:eastAsia="Times New Roman" w:hAnsi="Times New Roman" w:cs="Times New Roman"/>
          <w:sz w:val="24"/>
          <w:szCs w:val="24"/>
          <w:lang w:val="en-IN" w:eastAsia="en-IN" w:bidi="te-IN"/>
        </w:rPr>
        <w:t>Nandyal</w:t>
      </w:r>
      <w:proofErr w:type="spellEnd"/>
      <w:r w:rsidRPr="003209AE">
        <w:rPr>
          <w:rFonts w:ascii="Times New Roman" w:eastAsia="Times New Roman" w:hAnsi="Times New Roman" w:cs="Times New Roman"/>
          <w:sz w:val="24"/>
          <w:szCs w:val="24"/>
          <w:lang w:val="en-IN" w:eastAsia="en-IN" w:bidi="te-IN"/>
        </w:rPr>
        <w:t xml:space="preserve">. The generated hybrids were evaluated over three seasons, </w:t>
      </w:r>
      <w:r w:rsidRPr="003209AE">
        <w:rPr>
          <w:rFonts w:ascii="Times New Roman" w:eastAsia="Times New Roman" w:hAnsi="Times New Roman" w:cs="Times New Roman"/>
          <w:i/>
          <w:iCs/>
          <w:sz w:val="24"/>
          <w:szCs w:val="24"/>
          <w:lang w:val="en-IN" w:eastAsia="en-IN" w:bidi="te-IN"/>
        </w:rPr>
        <w:t>viz</w:t>
      </w:r>
      <w:r w:rsidRPr="003209AE">
        <w:rPr>
          <w:rFonts w:ascii="Times New Roman" w:eastAsia="Times New Roman" w:hAnsi="Times New Roman" w:cs="Times New Roman"/>
          <w:sz w:val="24"/>
          <w:szCs w:val="24"/>
          <w:lang w:val="en-IN" w:eastAsia="en-IN" w:bidi="te-IN"/>
        </w:rPr>
        <w:t xml:space="preserve">., </w:t>
      </w:r>
      <w:r w:rsidRPr="003209AE">
        <w:rPr>
          <w:rFonts w:ascii="Times New Roman" w:eastAsia="Times New Roman" w:hAnsi="Times New Roman" w:cs="Times New Roman"/>
          <w:i/>
          <w:iCs/>
          <w:sz w:val="24"/>
          <w:szCs w:val="24"/>
          <w:lang w:val="en-IN" w:eastAsia="en-IN" w:bidi="te-IN"/>
        </w:rPr>
        <w:t>Summer</w:t>
      </w:r>
      <w:r w:rsidRPr="003209AE">
        <w:rPr>
          <w:rFonts w:ascii="Times New Roman" w:eastAsia="Times New Roman" w:hAnsi="Times New Roman" w:cs="Times New Roman"/>
          <w:sz w:val="24"/>
          <w:szCs w:val="24"/>
          <w:lang w:val="en-IN" w:eastAsia="en-IN" w:bidi="te-IN"/>
        </w:rPr>
        <w:t xml:space="preserve"> 2022, </w:t>
      </w:r>
      <w:r w:rsidRPr="003209AE">
        <w:rPr>
          <w:rFonts w:ascii="Times New Roman" w:eastAsia="Times New Roman" w:hAnsi="Times New Roman" w:cs="Times New Roman"/>
          <w:i/>
          <w:iCs/>
          <w:sz w:val="24"/>
          <w:szCs w:val="24"/>
          <w:lang w:val="en-IN" w:eastAsia="en-IN" w:bidi="te-IN"/>
        </w:rPr>
        <w:t>Rabi</w:t>
      </w:r>
      <w:r w:rsidRPr="003209AE">
        <w:rPr>
          <w:rFonts w:ascii="Times New Roman" w:eastAsia="Times New Roman" w:hAnsi="Times New Roman" w:cs="Times New Roman"/>
          <w:sz w:val="24"/>
          <w:szCs w:val="24"/>
          <w:lang w:val="en-IN" w:eastAsia="en-IN" w:bidi="te-IN"/>
        </w:rPr>
        <w:t xml:space="preserve"> 2022–23 and </w:t>
      </w:r>
      <w:r w:rsidRPr="003209AE">
        <w:rPr>
          <w:rFonts w:ascii="Times New Roman" w:eastAsia="Times New Roman" w:hAnsi="Times New Roman" w:cs="Times New Roman"/>
          <w:i/>
          <w:iCs/>
          <w:sz w:val="24"/>
          <w:szCs w:val="24"/>
          <w:lang w:val="en-IN" w:eastAsia="en-IN" w:bidi="te-IN"/>
        </w:rPr>
        <w:t>Summer</w:t>
      </w:r>
      <w:r w:rsidRPr="003209AE">
        <w:rPr>
          <w:rFonts w:ascii="Times New Roman" w:eastAsia="Times New Roman" w:hAnsi="Times New Roman" w:cs="Times New Roman"/>
          <w:sz w:val="24"/>
          <w:szCs w:val="24"/>
          <w:lang w:val="en-IN" w:eastAsia="en-IN" w:bidi="te-IN"/>
        </w:rPr>
        <w:t xml:space="preserve"> 2023 at three locations: RARS, </w:t>
      </w:r>
      <w:proofErr w:type="spellStart"/>
      <w:r w:rsidRPr="003209AE">
        <w:rPr>
          <w:rFonts w:ascii="Times New Roman" w:eastAsia="Times New Roman" w:hAnsi="Times New Roman" w:cs="Times New Roman"/>
          <w:sz w:val="24"/>
          <w:szCs w:val="24"/>
          <w:lang w:val="en-IN" w:eastAsia="en-IN" w:bidi="te-IN"/>
        </w:rPr>
        <w:t>Nandyal</w:t>
      </w:r>
      <w:proofErr w:type="spellEnd"/>
      <w:r w:rsidRPr="003209AE">
        <w:rPr>
          <w:rFonts w:ascii="Times New Roman" w:eastAsia="Times New Roman" w:hAnsi="Times New Roman" w:cs="Times New Roman"/>
          <w:sz w:val="24"/>
          <w:szCs w:val="24"/>
          <w:lang w:val="en-IN" w:eastAsia="en-IN" w:bidi="te-IN"/>
        </w:rPr>
        <w:t xml:space="preserve">; Agricultural Research Station (ARS), </w:t>
      </w:r>
      <w:proofErr w:type="spellStart"/>
      <w:r w:rsidRPr="003209AE">
        <w:rPr>
          <w:rFonts w:ascii="Times New Roman" w:eastAsia="Times New Roman" w:hAnsi="Times New Roman" w:cs="Times New Roman"/>
          <w:sz w:val="24"/>
          <w:szCs w:val="24"/>
          <w:lang w:val="en-IN" w:eastAsia="en-IN" w:bidi="te-IN"/>
        </w:rPr>
        <w:t>Podalakur</w:t>
      </w:r>
      <w:proofErr w:type="spellEnd"/>
      <w:r w:rsidRPr="003209AE">
        <w:rPr>
          <w:rFonts w:ascii="Times New Roman" w:eastAsia="Times New Roman" w:hAnsi="Times New Roman" w:cs="Times New Roman"/>
          <w:sz w:val="24"/>
          <w:szCs w:val="24"/>
          <w:lang w:val="en-IN" w:eastAsia="en-IN" w:bidi="te-IN"/>
        </w:rPr>
        <w:t xml:space="preserve">; and RARS, Lam Farm (Guntur). These locations represent the Scarce Rainfall Zone, Krishna Zone and Southern </w:t>
      </w:r>
      <w:proofErr w:type="spellStart"/>
      <w:r w:rsidRPr="003209AE">
        <w:rPr>
          <w:rFonts w:ascii="Times New Roman" w:eastAsia="Times New Roman" w:hAnsi="Times New Roman" w:cs="Times New Roman"/>
          <w:sz w:val="24"/>
          <w:szCs w:val="24"/>
          <w:lang w:val="en-IN" w:eastAsia="en-IN" w:bidi="te-IN"/>
        </w:rPr>
        <w:t>Agro</w:t>
      </w:r>
      <w:proofErr w:type="spellEnd"/>
      <w:r w:rsidRPr="003209AE">
        <w:rPr>
          <w:rFonts w:ascii="Times New Roman" w:eastAsia="Times New Roman" w:hAnsi="Times New Roman" w:cs="Times New Roman"/>
          <w:sz w:val="24"/>
          <w:szCs w:val="24"/>
          <w:lang w:val="en-IN" w:eastAsia="en-IN" w:bidi="te-IN"/>
        </w:rPr>
        <w:t>-climatic Zone of Andhra Pradesh, respectively. The parental lines used in the study were obtained from the Indian Institute of Millets Research (IIMR), Hyderabad.</w:t>
      </w:r>
    </w:p>
    <w:p w14:paraId="3A8A396F" w14:textId="77777777" w:rsidR="00965173" w:rsidRPr="003209AE" w:rsidRDefault="00965173" w:rsidP="00965173">
      <w:pPr>
        <w:spacing w:before="120" w:after="120" w:line="360" w:lineRule="auto"/>
        <w:jc w:val="both"/>
        <w:outlineLvl w:val="2"/>
        <w:rPr>
          <w:rFonts w:ascii="Times New Roman" w:eastAsia="Times New Roman" w:hAnsi="Times New Roman" w:cs="Times New Roman"/>
          <w:sz w:val="24"/>
          <w:szCs w:val="24"/>
          <w:lang w:val="en-IN" w:eastAsia="en-IN" w:bidi="te-IN"/>
        </w:rPr>
      </w:pPr>
      <w:r w:rsidRPr="003209AE">
        <w:rPr>
          <w:rFonts w:ascii="Times New Roman" w:eastAsia="Times New Roman" w:hAnsi="Times New Roman" w:cs="Times New Roman"/>
          <w:b/>
          <w:bCs/>
          <w:sz w:val="24"/>
          <w:szCs w:val="24"/>
          <w:lang w:val="en-IN" w:eastAsia="en-IN" w:bidi="te-IN"/>
        </w:rPr>
        <w:t xml:space="preserve">Experimental Material: </w:t>
      </w:r>
      <w:r w:rsidRPr="003209AE">
        <w:rPr>
          <w:rFonts w:ascii="Times New Roman" w:eastAsia="Times New Roman" w:hAnsi="Times New Roman" w:cs="Times New Roman"/>
          <w:sz w:val="24"/>
          <w:szCs w:val="24"/>
          <w:lang w:val="en-IN" w:eastAsia="en-IN" w:bidi="te-IN"/>
        </w:rPr>
        <w:t xml:space="preserve">The experimental material comprised three cytoplasmic male sterile (CMS) lines (AKMS 66-2A, 104A and M 31-2A) and fifteen restorer lines (RSLG 262, M 35-1, SPV 2758, SPV 2468, R 3777, PVK 801, R 196, R 91012, RS 585, CSR 54, BJV 44, SPV 2217, CSV 29R, R 36 and R 98), selected based on yield performance and adaptability. These </w:t>
      </w:r>
      <w:r w:rsidRPr="003209AE">
        <w:rPr>
          <w:rFonts w:ascii="Times New Roman" w:eastAsia="Times New Roman" w:hAnsi="Times New Roman" w:cs="Times New Roman"/>
          <w:sz w:val="24"/>
          <w:szCs w:val="24"/>
          <w:lang w:val="en-IN" w:eastAsia="en-IN" w:bidi="te-IN"/>
        </w:rPr>
        <w:lastRenderedPageBreak/>
        <w:t xml:space="preserve">lines were crossed in a Line × Tester mating design during </w:t>
      </w:r>
      <w:r w:rsidRPr="003209AE">
        <w:rPr>
          <w:rFonts w:ascii="Times New Roman" w:eastAsia="Times New Roman" w:hAnsi="Times New Roman" w:cs="Times New Roman"/>
          <w:i/>
          <w:iCs/>
          <w:sz w:val="24"/>
          <w:szCs w:val="24"/>
          <w:lang w:val="en-IN" w:eastAsia="en-IN" w:bidi="te-IN"/>
        </w:rPr>
        <w:t>rabi</w:t>
      </w:r>
      <w:r w:rsidRPr="003209AE">
        <w:rPr>
          <w:rFonts w:ascii="Times New Roman" w:eastAsia="Times New Roman" w:hAnsi="Times New Roman" w:cs="Times New Roman"/>
          <w:sz w:val="24"/>
          <w:szCs w:val="24"/>
          <w:lang w:val="en-IN" w:eastAsia="en-IN" w:bidi="te-IN"/>
        </w:rPr>
        <w:t xml:space="preserve"> 2021–22, resulting in 45 cross combinations. Among them, 16 F₁ hybrids showing good seed set were selected for further evaluation. These hybrids involved two CMS lines (AKMS 66-2A and 104A) and eight restorers (RSLG 262, M 35-1, SPV 2758, SPV 2468, R 3777, R 196, R 91012 and PVK 801). The selected hybrids </w:t>
      </w:r>
      <w:r w:rsidR="005E327E" w:rsidRPr="003209AE">
        <w:rPr>
          <w:rFonts w:ascii="Times New Roman" w:eastAsia="Times New Roman" w:hAnsi="Times New Roman" w:cs="Times New Roman"/>
          <w:sz w:val="24"/>
          <w:szCs w:val="24"/>
          <w:lang w:val="en-IN" w:eastAsia="en-IN" w:bidi="te-IN"/>
        </w:rPr>
        <w:t>(</w:t>
      </w:r>
      <w:r w:rsidR="005E280D" w:rsidRPr="003209AE">
        <w:rPr>
          <w:rFonts w:ascii="Times New Roman" w:eastAsia="Times New Roman" w:hAnsi="Times New Roman" w:cs="Times New Roman"/>
          <w:sz w:val="24"/>
          <w:szCs w:val="24"/>
          <w:lang w:val="en-IN" w:eastAsia="en-IN" w:bidi="te-IN"/>
        </w:rPr>
        <w:t>T</w:t>
      </w:r>
      <w:r w:rsidR="005E327E" w:rsidRPr="003209AE">
        <w:rPr>
          <w:rFonts w:ascii="Times New Roman" w:eastAsia="Times New Roman" w:hAnsi="Times New Roman" w:cs="Times New Roman"/>
          <w:sz w:val="24"/>
          <w:szCs w:val="24"/>
          <w:lang w:val="en-IN" w:eastAsia="en-IN" w:bidi="te-IN"/>
        </w:rPr>
        <w:t>able 1</w:t>
      </w:r>
      <w:proofErr w:type="gramStart"/>
      <w:r w:rsidR="005E327E" w:rsidRPr="003209AE">
        <w:rPr>
          <w:rFonts w:ascii="Times New Roman" w:eastAsia="Times New Roman" w:hAnsi="Times New Roman" w:cs="Times New Roman"/>
          <w:sz w:val="24"/>
          <w:szCs w:val="24"/>
          <w:lang w:val="en-IN" w:eastAsia="en-IN" w:bidi="te-IN"/>
        </w:rPr>
        <w:t>).</w:t>
      </w:r>
      <w:r w:rsidRPr="003209AE">
        <w:rPr>
          <w:rFonts w:ascii="Times New Roman" w:eastAsia="Times New Roman" w:hAnsi="Times New Roman" w:cs="Times New Roman"/>
          <w:sz w:val="24"/>
          <w:szCs w:val="24"/>
          <w:lang w:val="en-IN" w:eastAsia="en-IN" w:bidi="te-IN"/>
        </w:rPr>
        <w:t>were</w:t>
      </w:r>
      <w:proofErr w:type="gramEnd"/>
      <w:r w:rsidRPr="003209AE">
        <w:rPr>
          <w:rFonts w:ascii="Times New Roman" w:eastAsia="Times New Roman" w:hAnsi="Times New Roman" w:cs="Times New Roman"/>
          <w:sz w:val="24"/>
          <w:szCs w:val="24"/>
          <w:lang w:val="en-IN" w:eastAsia="en-IN" w:bidi="te-IN"/>
        </w:rPr>
        <w:t xml:space="preserve"> evaluated along with their parents</w:t>
      </w:r>
      <w:r w:rsidR="005E327E" w:rsidRPr="003209AE">
        <w:rPr>
          <w:rFonts w:ascii="Times New Roman" w:eastAsia="Times New Roman" w:hAnsi="Times New Roman" w:cs="Times New Roman"/>
          <w:sz w:val="24"/>
          <w:szCs w:val="24"/>
          <w:lang w:val="en-IN" w:eastAsia="en-IN" w:bidi="te-IN"/>
        </w:rPr>
        <w:t xml:space="preserve"> and a standard check (CSH 15R).</w:t>
      </w:r>
    </w:p>
    <w:p w14:paraId="63CA26BF" w14:textId="77777777" w:rsidR="00E021F0" w:rsidRPr="003209AE" w:rsidRDefault="00651EC9" w:rsidP="00B676B8">
      <w:pPr>
        <w:autoSpaceDE w:val="0"/>
        <w:autoSpaceDN w:val="0"/>
        <w:adjustRightInd w:val="0"/>
        <w:spacing w:before="120" w:after="120" w:line="240" w:lineRule="auto"/>
        <w:rPr>
          <w:rFonts w:ascii="Times New Roman" w:hAnsi="Times New Roman"/>
          <w:b/>
          <w:bCs/>
          <w:sz w:val="24"/>
          <w:szCs w:val="24"/>
          <w:lang w:val="en-GB"/>
        </w:rPr>
      </w:pPr>
      <w:r w:rsidRPr="003209AE">
        <w:rPr>
          <w:rFonts w:ascii="Times New Roman" w:hAnsi="Times New Roman"/>
          <w:b/>
          <w:bCs/>
          <w:sz w:val="24"/>
          <w:szCs w:val="24"/>
          <w:lang w:val="en-GB"/>
        </w:rPr>
        <w:t xml:space="preserve">Table </w:t>
      </w:r>
      <w:r w:rsidR="00E021F0" w:rsidRPr="003209AE">
        <w:rPr>
          <w:rFonts w:ascii="Times New Roman" w:hAnsi="Times New Roman"/>
          <w:b/>
          <w:bCs/>
          <w:sz w:val="24"/>
          <w:szCs w:val="24"/>
          <w:lang w:val="en-GB"/>
        </w:rPr>
        <w:t>1</w:t>
      </w:r>
      <w:r w:rsidR="005E280D" w:rsidRPr="003209AE">
        <w:rPr>
          <w:rFonts w:ascii="Times New Roman" w:hAnsi="Times New Roman"/>
          <w:b/>
          <w:bCs/>
          <w:sz w:val="24"/>
          <w:szCs w:val="24"/>
          <w:lang w:val="en-GB"/>
        </w:rPr>
        <w:t>.</w:t>
      </w:r>
      <w:r w:rsidR="00E021F0" w:rsidRPr="003209AE">
        <w:rPr>
          <w:rFonts w:ascii="Times New Roman" w:hAnsi="Times New Roman"/>
          <w:b/>
          <w:bCs/>
          <w:sz w:val="24"/>
          <w:szCs w:val="24"/>
          <w:lang w:val="en-GB"/>
        </w:rPr>
        <w:t xml:space="preserve"> List of parents and hybrids utilised for experimentation</w:t>
      </w:r>
    </w:p>
    <w:tbl>
      <w:tblPr>
        <w:tblW w:w="5000" w:type="pct"/>
        <w:tblLook w:val="04A0" w:firstRow="1" w:lastRow="0" w:firstColumn="1" w:lastColumn="0" w:noHBand="0" w:noVBand="1"/>
      </w:tblPr>
      <w:tblGrid>
        <w:gridCol w:w="707"/>
        <w:gridCol w:w="1553"/>
        <w:gridCol w:w="278"/>
        <w:gridCol w:w="802"/>
        <w:gridCol w:w="2077"/>
        <w:gridCol w:w="692"/>
        <w:gridCol w:w="2907"/>
      </w:tblGrid>
      <w:tr w:rsidR="00E021F0" w:rsidRPr="003209AE" w14:paraId="404A98C4" w14:textId="77777777" w:rsidTr="00B676B8">
        <w:trPr>
          <w:trHeight w:val="20"/>
        </w:trPr>
        <w:tc>
          <w:tcPr>
            <w:tcW w:w="392" w:type="pct"/>
            <w:tcBorders>
              <w:top w:val="single" w:sz="4" w:space="0" w:color="auto"/>
              <w:left w:val="single" w:sz="4" w:space="0" w:color="auto"/>
              <w:bottom w:val="single" w:sz="4" w:space="0" w:color="auto"/>
              <w:right w:val="single" w:sz="4" w:space="0" w:color="auto"/>
            </w:tcBorders>
            <w:vAlign w:val="center"/>
            <w:hideMark/>
          </w:tcPr>
          <w:p w14:paraId="5D3D5BE8" w14:textId="77777777" w:rsidR="00E021F0" w:rsidRPr="003209AE" w:rsidRDefault="00E021F0" w:rsidP="00B676B8">
            <w:pPr>
              <w:spacing w:before="60" w:after="40" w:line="240" w:lineRule="auto"/>
              <w:jc w:val="center"/>
              <w:rPr>
                <w:rFonts w:ascii="Times New Roman" w:hAnsi="Times New Roman" w:cs="Times New Roman"/>
                <w:b/>
                <w:bCs/>
                <w:lang w:val="en-IN" w:eastAsia="en-IN"/>
              </w:rPr>
            </w:pPr>
            <w:proofErr w:type="spellStart"/>
            <w:proofErr w:type="gramStart"/>
            <w:r w:rsidRPr="003209AE">
              <w:rPr>
                <w:rFonts w:ascii="Times New Roman" w:hAnsi="Times New Roman" w:cs="Times New Roman"/>
                <w:b/>
                <w:bCs/>
                <w:lang w:val="en-GB" w:eastAsia="en-IN"/>
              </w:rPr>
              <w:t>S.No</w:t>
            </w:r>
            <w:proofErr w:type="spellEnd"/>
            <w:proofErr w:type="gramEnd"/>
          </w:p>
        </w:tc>
        <w:tc>
          <w:tcPr>
            <w:tcW w:w="860" w:type="pct"/>
            <w:tcBorders>
              <w:top w:val="single" w:sz="4" w:space="0" w:color="auto"/>
              <w:left w:val="nil"/>
              <w:bottom w:val="single" w:sz="4" w:space="0" w:color="auto"/>
              <w:right w:val="single" w:sz="4" w:space="0" w:color="auto"/>
            </w:tcBorders>
            <w:noWrap/>
            <w:vAlign w:val="bottom"/>
            <w:hideMark/>
          </w:tcPr>
          <w:p w14:paraId="15FBAA0D" w14:textId="77777777" w:rsidR="00E021F0" w:rsidRPr="003209AE" w:rsidRDefault="00E021F0" w:rsidP="00B676B8">
            <w:pPr>
              <w:spacing w:before="60" w:after="40" w:line="240" w:lineRule="auto"/>
              <w:jc w:val="center"/>
              <w:rPr>
                <w:rFonts w:ascii="Times New Roman" w:hAnsi="Times New Roman" w:cs="Times New Roman"/>
                <w:b/>
                <w:bCs/>
                <w:lang w:val="en-IN" w:eastAsia="en-IN"/>
              </w:rPr>
            </w:pPr>
            <w:r w:rsidRPr="003209AE">
              <w:rPr>
                <w:rFonts w:ascii="Times New Roman" w:hAnsi="Times New Roman" w:cs="Times New Roman"/>
                <w:b/>
                <w:bCs/>
                <w:lang w:val="en-IN" w:eastAsia="en-IN"/>
              </w:rPr>
              <w:t>Parents</w:t>
            </w:r>
          </w:p>
        </w:tc>
        <w:tc>
          <w:tcPr>
            <w:tcW w:w="154" w:type="pct"/>
            <w:tcBorders>
              <w:top w:val="nil"/>
              <w:left w:val="nil"/>
              <w:bottom w:val="nil"/>
              <w:right w:val="nil"/>
            </w:tcBorders>
            <w:noWrap/>
            <w:vAlign w:val="bottom"/>
            <w:hideMark/>
          </w:tcPr>
          <w:p w14:paraId="72B7753C"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single" w:sz="4" w:space="0" w:color="auto"/>
              <w:left w:val="single" w:sz="4" w:space="0" w:color="auto"/>
              <w:bottom w:val="single" w:sz="4" w:space="0" w:color="auto"/>
              <w:right w:val="single" w:sz="4" w:space="0" w:color="auto"/>
            </w:tcBorders>
            <w:vAlign w:val="center"/>
            <w:hideMark/>
          </w:tcPr>
          <w:p w14:paraId="031967B3" w14:textId="77777777" w:rsidR="00E021F0" w:rsidRPr="003209AE" w:rsidRDefault="00E021F0" w:rsidP="00B676B8">
            <w:pPr>
              <w:spacing w:before="60" w:after="40" w:line="240" w:lineRule="auto"/>
              <w:jc w:val="center"/>
              <w:rPr>
                <w:rFonts w:ascii="Times New Roman" w:hAnsi="Times New Roman" w:cs="Times New Roman"/>
                <w:b/>
                <w:bCs/>
                <w:lang w:val="en-IN" w:eastAsia="en-IN"/>
              </w:rPr>
            </w:pPr>
            <w:proofErr w:type="spellStart"/>
            <w:proofErr w:type="gramStart"/>
            <w:r w:rsidRPr="003209AE">
              <w:rPr>
                <w:rFonts w:ascii="Times New Roman" w:hAnsi="Times New Roman" w:cs="Times New Roman"/>
                <w:b/>
                <w:bCs/>
                <w:lang w:val="en-GB" w:eastAsia="en-IN"/>
              </w:rPr>
              <w:t>S.No</w:t>
            </w:r>
            <w:proofErr w:type="spellEnd"/>
            <w:proofErr w:type="gramEnd"/>
          </w:p>
        </w:tc>
        <w:tc>
          <w:tcPr>
            <w:tcW w:w="1152" w:type="pct"/>
            <w:tcBorders>
              <w:top w:val="single" w:sz="4" w:space="0" w:color="auto"/>
              <w:left w:val="nil"/>
              <w:bottom w:val="single" w:sz="4" w:space="0" w:color="auto"/>
              <w:right w:val="single" w:sz="4" w:space="0" w:color="auto"/>
            </w:tcBorders>
            <w:vAlign w:val="center"/>
            <w:hideMark/>
          </w:tcPr>
          <w:p w14:paraId="00ABFCE5" w14:textId="77777777" w:rsidR="00E021F0" w:rsidRPr="003209AE" w:rsidRDefault="00E021F0" w:rsidP="00B676B8">
            <w:pPr>
              <w:spacing w:before="60" w:after="40" w:line="240" w:lineRule="auto"/>
              <w:jc w:val="center"/>
              <w:rPr>
                <w:rFonts w:ascii="Times New Roman" w:hAnsi="Times New Roman" w:cs="Times New Roman"/>
                <w:b/>
                <w:bCs/>
                <w:lang w:val="en-IN" w:eastAsia="en-IN"/>
              </w:rPr>
            </w:pPr>
            <w:r w:rsidRPr="003209AE">
              <w:rPr>
                <w:rFonts w:ascii="Times New Roman" w:hAnsi="Times New Roman" w:cs="Times New Roman"/>
                <w:b/>
                <w:bCs/>
                <w:lang w:val="en-GB" w:eastAsia="en-IN"/>
              </w:rPr>
              <w:t>Hybrid (A x R)</w:t>
            </w:r>
          </w:p>
        </w:tc>
        <w:tc>
          <w:tcPr>
            <w:tcW w:w="384" w:type="pct"/>
            <w:tcBorders>
              <w:top w:val="single" w:sz="4" w:space="0" w:color="auto"/>
              <w:left w:val="nil"/>
              <w:bottom w:val="single" w:sz="4" w:space="0" w:color="auto"/>
              <w:right w:val="single" w:sz="4" w:space="0" w:color="auto"/>
            </w:tcBorders>
            <w:vAlign w:val="center"/>
            <w:hideMark/>
          </w:tcPr>
          <w:p w14:paraId="61119FE1" w14:textId="77777777" w:rsidR="00E021F0" w:rsidRPr="003209AE" w:rsidRDefault="00E021F0" w:rsidP="00B676B8">
            <w:pPr>
              <w:spacing w:before="60" w:after="40" w:line="240" w:lineRule="auto"/>
              <w:jc w:val="center"/>
              <w:rPr>
                <w:rFonts w:ascii="Times New Roman" w:hAnsi="Times New Roman" w:cs="Times New Roman"/>
                <w:b/>
                <w:bCs/>
                <w:lang w:val="en-IN" w:eastAsia="en-IN"/>
              </w:rPr>
            </w:pPr>
            <w:proofErr w:type="spellStart"/>
            <w:proofErr w:type="gramStart"/>
            <w:r w:rsidRPr="003209AE">
              <w:rPr>
                <w:rFonts w:ascii="Times New Roman" w:hAnsi="Times New Roman" w:cs="Times New Roman"/>
                <w:b/>
                <w:bCs/>
                <w:lang w:val="en-GB" w:eastAsia="en-IN"/>
              </w:rPr>
              <w:t>S.No</w:t>
            </w:r>
            <w:proofErr w:type="spellEnd"/>
            <w:proofErr w:type="gramEnd"/>
          </w:p>
        </w:tc>
        <w:tc>
          <w:tcPr>
            <w:tcW w:w="1613" w:type="pct"/>
            <w:tcBorders>
              <w:top w:val="single" w:sz="4" w:space="0" w:color="auto"/>
              <w:left w:val="nil"/>
              <w:bottom w:val="single" w:sz="4" w:space="0" w:color="auto"/>
              <w:right w:val="single" w:sz="4" w:space="0" w:color="auto"/>
            </w:tcBorders>
            <w:vAlign w:val="center"/>
            <w:hideMark/>
          </w:tcPr>
          <w:p w14:paraId="7C2F5E89" w14:textId="77777777" w:rsidR="00E021F0" w:rsidRPr="003209AE" w:rsidRDefault="00E021F0" w:rsidP="00B676B8">
            <w:pPr>
              <w:spacing w:before="60" w:after="40" w:line="240" w:lineRule="auto"/>
              <w:jc w:val="center"/>
              <w:rPr>
                <w:rFonts w:ascii="Times New Roman" w:hAnsi="Times New Roman" w:cs="Times New Roman"/>
                <w:b/>
                <w:bCs/>
                <w:lang w:val="en-IN" w:eastAsia="en-IN"/>
              </w:rPr>
            </w:pPr>
            <w:r w:rsidRPr="003209AE">
              <w:rPr>
                <w:rFonts w:ascii="Times New Roman" w:hAnsi="Times New Roman" w:cs="Times New Roman"/>
                <w:b/>
                <w:bCs/>
                <w:lang w:val="en-GB" w:eastAsia="en-IN"/>
              </w:rPr>
              <w:t>Hybrid (A x R)</w:t>
            </w:r>
          </w:p>
        </w:tc>
      </w:tr>
      <w:tr w:rsidR="00E021F0" w:rsidRPr="003209AE" w14:paraId="0EEC2099" w14:textId="77777777" w:rsidTr="00B676B8">
        <w:trPr>
          <w:trHeight w:val="20"/>
        </w:trPr>
        <w:tc>
          <w:tcPr>
            <w:tcW w:w="1253" w:type="pct"/>
            <w:gridSpan w:val="2"/>
            <w:tcBorders>
              <w:top w:val="single" w:sz="4" w:space="0" w:color="auto"/>
              <w:left w:val="single" w:sz="4" w:space="0" w:color="auto"/>
              <w:bottom w:val="single" w:sz="4" w:space="0" w:color="auto"/>
              <w:right w:val="single" w:sz="4" w:space="0" w:color="auto"/>
            </w:tcBorders>
            <w:vAlign w:val="center"/>
            <w:hideMark/>
          </w:tcPr>
          <w:p w14:paraId="08D37FBB" w14:textId="77777777" w:rsidR="00E021F0" w:rsidRPr="003209AE" w:rsidRDefault="00E021F0" w:rsidP="00B676B8">
            <w:pPr>
              <w:spacing w:before="60" w:after="40" w:line="240" w:lineRule="auto"/>
              <w:rPr>
                <w:rFonts w:ascii="Times New Roman" w:hAnsi="Times New Roman" w:cs="Times New Roman"/>
                <w:b/>
                <w:bCs/>
                <w:lang w:val="en-IN" w:eastAsia="en-IN"/>
              </w:rPr>
            </w:pPr>
            <w:r w:rsidRPr="003209AE">
              <w:rPr>
                <w:rFonts w:ascii="Times New Roman" w:hAnsi="Times New Roman" w:cs="Times New Roman"/>
                <w:b/>
                <w:bCs/>
                <w:lang w:val="en-GB" w:eastAsia="en-IN"/>
              </w:rPr>
              <w:t>Lines</w:t>
            </w:r>
          </w:p>
        </w:tc>
        <w:tc>
          <w:tcPr>
            <w:tcW w:w="154" w:type="pct"/>
            <w:tcBorders>
              <w:top w:val="nil"/>
              <w:left w:val="nil"/>
              <w:bottom w:val="nil"/>
              <w:right w:val="nil"/>
            </w:tcBorders>
            <w:noWrap/>
            <w:vAlign w:val="bottom"/>
            <w:hideMark/>
          </w:tcPr>
          <w:p w14:paraId="34D7EB52"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5A6B8014"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w:t>
            </w:r>
          </w:p>
        </w:tc>
        <w:tc>
          <w:tcPr>
            <w:tcW w:w="1152" w:type="pct"/>
            <w:tcBorders>
              <w:top w:val="nil"/>
              <w:left w:val="nil"/>
              <w:bottom w:val="single" w:sz="4" w:space="0" w:color="auto"/>
              <w:right w:val="single" w:sz="4" w:space="0" w:color="auto"/>
            </w:tcBorders>
            <w:vAlign w:val="center"/>
            <w:hideMark/>
          </w:tcPr>
          <w:p w14:paraId="691D708E"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 A x RSLG 262</w:t>
            </w:r>
          </w:p>
        </w:tc>
        <w:tc>
          <w:tcPr>
            <w:tcW w:w="384" w:type="pct"/>
            <w:tcBorders>
              <w:top w:val="nil"/>
              <w:left w:val="nil"/>
              <w:bottom w:val="single" w:sz="4" w:space="0" w:color="auto"/>
              <w:right w:val="single" w:sz="4" w:space="0" w:color="auto"/>
            </w:tcBorders>
            <w:vAlign w:val="center"/>
            <w:hideMark/>
          </w:tcPr>
          <w:p w14:paraId="2973EA01"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9</w:t>
            </w:r>
          </w:p>
        </w:tc>
        <w:tc>
          <w:tcPr>
            <w:tcW w:w="1613" w:type="pct"/>
            <w:tcBorders>
              <w:top w:val="nil"/>
              <w:left w:val="nil"/>
              <w:bottom w:val="single" w:sz="4" w:space="0" w:color="auto"/>
              <w:right w:val="single" w:sz="4" w:space="0" w:color="auto"/>
            </w:tcBorders>
            <w:vAlign w:val="center"/>
            <w:hideMark/>
          </w:tcPr>
          <w:p w14:paraId="5EE4E9D9"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AKMS-66-2A x RSLG 262</w:t>
            </w:r>
          </w:p>
        </w:tc>
      </w:tr>
      <w:tr w:rsidR="00E021F0" w:rsidRPr="003209AE" w14:paraId="4A70B1B5"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13AB3D3D"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w:t>
            </w:r>
          </w:p>
        </w:tc>
        <w:tc>
          <w:tcPr>
            <w:tcW w:w="860" w:type="pct"/>
            <w:tcBorders>
              <w:top w:val="nil"/>
              <w:left w:val="nil"/>
              <w:bottom w:val="single" w:sz="4" w:space="0" w:color="auto"/>
              <w:right w:val="single" w:sz="4" w:space="0" w:color="auto"/>
            </w:tcBorders>
            <w:vAlign w:val="center"/>
            <w:hideMark/>
          </w:tcPr>
          <w:p w14:paraId="2B5914B8"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 xml:space="preserve">104 A </w:t>
            </w:r>
          </w:p>
        </w:tc>
        <w:tc>
          <w:tcPr>
            <w:tcW w:w="154" w:type="pct"/>
            <w:tcBorders>
              <w:top w:val="nil"/>
              <w:left w:val="nil"/>
              <w:bottom w:val="nil"/>
              <w:right w:val="nil"/>
            </w:tcBorders>
            <w:noWrap/>
            <w:vAlign w:val="bottom"/>
            <w:hideMark/>
          </w:tcPr>
          <w:p w14:paraId="137C9C3B"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2E823E8E"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2</w:t>
            </w:r>
          </w:p>
        </w:tc>
        <w:tc>
          <w:tcPr>
            <w:tcW w:w="1152" w:type="pct"/>
            <w:tcBorders>
              <w:top w:val="nil"/>
              <w:left w:val="nil"/>
              <w:bottom w:val="single" w:sz="4" w:space="0" w:color="auto"/>
              <w:right w:val="single" w:sz="4" w:space="0" w:color="auto"/>
            </w:tcBorders>
            <w:vAlign w:val="center"/>
            <w:hideMark/>
          </w:tcPr>
          <w:p w14:paraId="55A68D20"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 A x M35-1</w:t>
            </w:r>
          </w:p>
        </w:tc>
        <w:tc>
          <w:tcPr>
            <w:tcW w:w="384" w:type="pct"/>
            <w:tcBorders>
              <w:top w:val="nil"/>
              <w:left w:val="nil"/>
              <w:bottom w:val="single" w:sz="4" w:space="0" w:color="auto"/>
              <w:right w:val="single" w:sz="4" w:space="0" w:color="auto"/>
            </w:tcBorders>
            <w:vAlign w:val="center"/>
            <w:hideMark/>
          </w:tcPr>
          <w:p w14:paraId="7180DFA9"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10</w:t>
            </w:r>
          </w:p>
        </w:tc>
        <w:tc>
          <w:tcPr>
            <w:tcW w:w="1613" w:type="pct"/>
            <w:tcBorders>
              <w:top w:val="nil"/>
              <w:left w:val="nil"/>
              <w:bottom w:val="single" w:sz="4" w:space="0" w:color="auto"/>
              <w:right w:val="single" w:sz="4" w:space="0" w:color="auto"/>
            </w:tcBorders>
            <w:vAlign w:val="center"/>
            <w:hideMark/>
          </w:tcPr>
          <w:p w14:paraId="78114AD4"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AKMS-66-2A x M35-1</w:t>
            </w:r>
          </w:p>
        </w:tc>
      </w:tr>
      <w:tr w:rsidR="00E021F0" w:rsidRPr="003209AE" w14:paraId="545092C3"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605E4EFC"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2</w:t>
            </w:r>
          </w:p>
        </w:tc>
        <w:tc>
          <w:tcPr>
            <w:tcW w:w="860" w:type="pct"/>
            <w:tcBorders>
              <w:top w:val="nil"/>
              <w:left w:val="nil"/>
              <w:bottom w:val="single" w:sz="4" w:space="0" w:color="auto"/>
              <w:right w:val="single" w:sz="4" w:space="0" w:color="auto"/>
            </w:tcBorders>
            <w:vAlign w:val="center"/>
            <w:hideMark/>
          </w:tcPr>
          <w:p w14:paraId="1D08F869"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GB" w:eastAsia="en-IN"/>
              </w:rPr>
              <w:t>AKMS 66-2A</w:t>
            </w:r>
          </w:p>
        </w:tc>
        <w:tc>
          <w:tcPr>
            <w:tcW w:w="154" w:type="pct"/>
            <w:tcBorders>
              <w:top w:val="nil"/>
              <w:left w:val="nil"/>
              <w:bottom w:val="nil"/>
              <w:right w:val="nil"/>
            </w:tcBorders>
            <w:noWrap/>
            <w:vAlign w:val="bottom"/>
            <w:hideMark/>
          </w:tcPr>
          <w:p w14:paraId="7C2E85F8"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1FD67348"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3</w:t>
            </w:r>
          </w:p>
        </w:tc>
        <w:tc>
          <w:tcPr>
            <w:tcW w:w="1152" w:type="pct"/>
            <w:tcBorders>
              <w:top w:val="nil"/>
              <w:left w:val="nil"/>
              <w:bottom w:val="single" w:sz="4" w:space="0" w:color="auto"/>
              <w:right w:val="single" w:sz="4" w:space="0" w:color="auto"/>
            </w:tcBorders>
            <w:vAlign w:val="center"/>
            <w:hideMark/>
          </w:tcPr>
          <w:p w14:paraId="01115220"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 A x SPV 2758</w:t>
            </w:r>
          </w:p>
        </w:tc>
        <w:tc>
          <w:tcPr>
            <w:tcW w:w="384" w:type="pct"/>
            <w:tcBorders>
              <w:top w:val="nil"/>
              <w:left w:val="nil"/>
              <w:bottom w:val="single" w:sz="4" w:space="0" w:color="auto"/>
              <w:right w:val="single" w:sz="4" w:space="0" w:color="auto"/>
            </w:tcBorders>
            <w:vAlign w:val="center"/>
            <w:hideMark/>
          </w:tcPr>
          <w:p w14:paraId="1088353F"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11</w:t>
            </w:r>
          </w:p>
        </w:tc>
        <w:tc>
          <w:tcPr>
            <w:tcW w:w="1613" w:type="pct"/>
            <w:tcBorders>
              <w:top w:val="nil"/>
              <w:left w:val="nil"/>
              <w:bottom w:val="single" w:sz="4" w:space="0" w:color="auto"/>
              <w:right w:val="single" w:sz="4" w:space="0" w:color="auto"/>
            </w:tcBorders>
            <w:vAlign w:val="center"/>
            <w:hideMark/>
          </w:tcPr>
          <w:p w14:paraId="546F7E64"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AKMS-66-2A x SPV 2758</w:t>
            </w:r>
          </w:p>
        </w:tc>
      </w:tr>
      <w:tr w:rsidR="00E021F0" w:rsidRPr="003209AE" w14:paraId="53849C01" w14:textId="77777777" w:rsidTr="00B676B8">
        <w:trPr>
          <w:trHeight w:val="20"/>
        </w:trPr>
        <w:tc>
          <w:tcPr>
            <w:tcW w:w="1253" w:type="pct"/>
            <w:gridSpan w:val="2"/>
            <w:tcBorders>
              <w:top w:val="single" w:sz="4" w:space="0" w:color="auto"/>
              <w:left w:val="single" w:sz="4" w:space="0" w:color="auto"/>
              <w:bottom w:val="single" w:sz="4" w:space="0" w:color="auto"/>
              <w:right w:val="single" w:sz="4" w:space="0" w:color="auto"/>
            </w:tcBorders>
            <w:vAlign w:val="center"/>
            <w:hideMark/>
          </w:tcPr>
          <w:p w14:paraId="321B2F7D" w14:textId="77777777" w:rsidR="00E021F0" w:rsidRPr="003209AE" w:rsidRDefault="00E021F0" w:rsidP="00B676B8">
            <w:pPr>
              <w:spacing w:before="60" w:after="40" w:line="240" w:lineRule="auto"/>
              <w:rPr>
                <w:rFonts w:ascii="Times New Roman" w:hAnsi="Times New Roman" w:cs="Times New Roman"/>
                <w:b/>
                <w:bCs/>
                <w:lang w:val="en-IN" w:eastAsia="en-IN"/>
              </w:rPr>
            </w:pPr>
            <w:r w:rsidRPr="003209AE">
              <w:rPr>
                <w:rFonts w:ascii="Times New Roman" w:hAnsi="Times New Roman" w:cs="Times New Roman"/>
                <w:b/>
                <w:bCs/>
                <w:lang w:val="en-GB" w:eastAsia="en-IN"/>
              </w:rPr>
              <w:t>Testers</w:t>
            </w:r>
          </w:p>
        </w:tc>
        <w:tc>
          <w:tcPr>
            <w:tcW w:w="154" w:type="pct"/>
            <w:tcBorders>
              <w:top w:val="nil"/>
              <w:left w:val="nil"/>
              <w:bottom w:val="nil"/>
              <w:right w:val="nil"/>
            </w:tcBorders>
            <w:noWrap/>
            <w:vAlign w:val="bottom"/>
            <w:hideMark/>
          </w:tcPr>
          <w:p w14:paraId="57F9906C"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1C265A0D"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4</w:t>
            </w:r>
          </w:p>
        </w:tc>
        <w:tc>
          <w:tcPr>
            <w:tcW w:w="1152" w:type="pct"/>
            <w:tcBorders>
              <w:top w:val="nil"/>
              <w:left w:val="nil"/>
              <w:bottom w:val="single" w:sz="4" w:space="0" w:color="auto"/>
              <w:right w:val="single" w:sz="4" w:space="0" w:color="auto"/>
            </w:tcBorders>
            <w:vAlign w:val="center"/>
            <w:hideMark/>
          </w:tcPr>
          <w:p w14:paraId="06595DE6"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104A x SPV 2468</w:t>
            </w:r>
          </w:p>
        </w:tc>
        <w:tc>
          <w:tcPr>
            <w:tcW w:w="384" w:type="pct"/>
            <w:tcBorders>
              <w:top w:val="nil"/>
              <w:left w:val="nil"/>
              <w:bottom w:val="single" w:sz="4" w:space="0" w:color="auto"/>
              <w:right w:val="single" w:sz="4" w:space="0" w:color="auto"/>
            </w:tcBorders>
            <w:vAlign w:val="center"/>
            <w:hideMark/>
          </w:tcPr>
          <w:p w14:paraId="2D73E45F"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12</w:t>
            </w:r>
          </w:p>
        </w:tc>
        <w:tc>
          <w:tcPr>
            <w:tcW w:w="1613" w:type="pct"/>
            <w:tcBorders>
              <w:top w:val="nil"/>
              <w:left w:val="nil"/>
              <w:bottom w:val="single" w:sz="4" w:space="0" w:color="auto"/>
              <w:right w:val="single" w:sz="4" w:space="0" w:color="auto"/>
            </w:tcBorders>
            <w:vAlign w:val="center"/>
            <w:hideMark/>
          </w:tcPr>
          <w:p w14:paraId="520CE39B"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AKMS-66-2A x SPV 2468</w:t>
            </w:r>
          </w:p>
        </w:tc>
      </w:tr>
      <w:tr w:rsidR="00E021F0" w:rsidRPr="003209AE" w14:paraId="1BF0B9BA"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2161C561"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3</w:t>
            </w:r>
          </w:p>
        </w:tc>
        <w:tc>
          <w:tcPr>
            <w:tcW w:w="860" w:type="pct"/>
            <w:tcBorders>
              <w:top w:val="nil"/>
              <w:left w:val="nil"/>
              <w:bottom w:val="single" w:sz="4" w:space="0" w:color="auto"/>
              <w:right w:val="single" w:sz="4" w:space="0" w:color="auto"/>
            </w:tcBorders>
            <w:vAlign w:val="center"/>
            <w:hideMark/>
          </w:tcPr>
          <w:p w14:paraId="3EDDED1C"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 xml:space="preserve">RSLG 262 </w:t>
            </w:r>
          </w:p>
        </w:tc>
        <w:tc>
          <w:tcPr>
            <w:tcW w:w="154" w:type="pct"/>
            <w:tcBorders>
              <w:top w:val="nil"/>
              <w:left w:val="nil"/>
              <w:bottom w:val="nil"/>
              <w:right w:val="nil"/>
            </w:tcBorders>
            <w:noWrap/>
            <w:vAlign w:val="bottom"/>
            <w:hideMark/>
          </w:tcPr>
          <w:p w14:paraId="62DE20F7"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7EA37CBE"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5</w:t>
            </w:r>
          </w:p>
        </w:tc>
        <w:tc>
          <w:tcPr>
            <w:tcW w:w="1152" w:type="pct"/>
            <w:tcBorders>
              <w:top w:val="nil"/>
              <w:left w:val="nil"/>
              <w:bottom w:val="single" w:sz="4" w:space="0" w:color="auto"/>
              <w:right w:val="single" w:sz="4" w:space="0" w:color="auto"/>
            </w:tcBorders>
            <w:vAlign w:val="center"/>
            <w:hideMark/>
          </w:tcPr>
          <w:p w14:paraId="60F57D22"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 A x R 3777</w:t>
            </w:r>
          </w:p>
        </w:tc>
        <w:tc>
          <w:tcPr>
            <w:tcW w:w="384" w:type="pct"/>
            <w:tcBorders>
              <w:top w:val="nil"/>
              <w:left w:val="nil"/>
              <w:bottom w:val="single" w:sz="4" w:space="0" w:color="auto"/>
              <w:right w:val="single" w:sz="4" w:space="0" w:color="auto"/>
            </w:tcBorders>
            <w:vAlign w:val="center"/>
            <w:hideMark/>
          </w:tcPr>
          <w:p w14:paraId="44CE61C9"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13</w:t>
            </w:r>
          </w:p>
        </w:tc>
        <w:tc>
          <w:tcPr>
            <w:tcW w:w="1613" w:type="pct"/>
            <w:tcBorders>
              <w:top w:val="nil"/>
              <w:left w:val="nil"/>
              <w:bottom w:val="single" w:sz="4" w:space="0" w:color="auto"/>
              <w:right w:val="single" w:sz="4" w:space="0" w:color="auto"/>
            </w:tcBorders>
            <w:vAlign w:val="center"/>
            <w:hideMark/>
          </w:tcPr>
          <w:p w14:paraId="3C8A2D18"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AKMS-66-2A x R3777</w:t>
            </w:r>
          </w:p>
        </w:tc>
      </w:tr>
      <w:tr w:rsidR="00E021F0" w:rsidRPr="003209AE" w14:paraId="6A93B0C9"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7D11DD66"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4</w:t>
            </w:r>
          </w:p>
        </w:tc>
        <w:tc>
          <w:tcPr>
            <w:tcW w:w="860" w:type="pct"/>
            <w:tcBorders>
              <w:top w:val="nil"/>
              <w:left w:val="nil"/>
              <w:bottom w:val="single" w:sz="4" w:space="0" w:color="auto"/>
              <w:right w:val="single" w:sz="4" w:space="0" w:color="auto"/>
            </w:tcBorders>
            <w:vAlign w:val="center"/>
            <w:hideMark/>
          </w:tcPr>
          <w:p w14:paraId="3167812D"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M35-1</w:t>
            </w:r>
          </w:p>
        </w:tc>
        <w:tc>
          <w:tcPr>
            <w:tcW w:w="154" w:type="pct"/>
            <w:tcBorders>
              <w:top w:val="nil"/>
              <w:left w:val="nil"/>
              <w:bottom w:val="nil"/>
              <w:right w:val="nil"/>
            </w:tcBorders>
            <w:noWrap/>
            <w:vAlign w:val="bottom"/>
            <w:hideMark/>
          </w:tcPr>
          <w:p w14:paraId="6AD35D35"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49ABAD7E"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6</w:t>
            </w:r>
          </w:p>
        </w:tc>
        <w:tc>
          <w:tcPr>
            <w:tcW w:w="1152" w:type="pct"/>
            <w:tcBorders>
              <w:top w:val="nil"/>
              <w:left w:val="nil"/>
              <w:bottom w:val="single" w:sz="4" w:space="0" w:color="auto"/>
              <w:right w:val="single" w:sz="4" w:space="0" w:color="auto"/>
            </w:tcBorders>
            <w:vAlign w:val="center"/>
            <w:hideMark/>
          </w:tcPr>
          <w:p w14:paraId="5A2BA2B3"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 A x R 196</w:t>
            </w:r>
          </w:p>
        </w:tc>
        <w:tc>
          <w:tcPr>
            <w:tcW w:w="384" w:type="pct"/>
            <w:tcBorders>
              <w:top w:val="nil"/>
              <w:left w:val="nil"/>
              <w:bottom w:val="single" w:sz="4" w:space="0" w:color="auto"/>
              <w:right w:val="single" w:sz="4" w:space="0" w:color="auto"/>
            </w:tcBorders>
            <w:vAlign w:val="center"/>
            <w:hideMark/>
          </w:tcPr>
          <w:p w14:paraId="570D8465"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14</w:t>
            </w:r>
          </w:p>
        </w:tc>
        <w:tc>
          <w:tcPr>
            <w:tcW w:w="1613" w:type="pct"/>
            <w:tcBorders>
              <w:top w:val="nil"/>
              <w:left w:val="nil"/>
              <w:bottom w:val="single" w:sz="4" w:space="0" w:color="auto"/>
              <w:right w:val="single" w:sz="4" w:space="0" w:color="auto"/>
            </w:tcBorders>
            <w:vAlign w:val="center"/>
            <w:hideMark/>
          </w:tcPr>
          <w:p w14:paraId="3C9CE897"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AKMS-66-2A x R 196</w:t>
            </w:r>
          </w:p>
        </w:tc>
      </w:tr>
      <w:tr w:rsidR="00E021F0" w:rsidRPr="003209AE" w14:paraId="206B9C6F"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3EF1F73F"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5</w:t>
            </w:r>
          </w:p>
        </w:tc>
        <w:tc>
          <w:tcPr>
            <w:tcW w:w="860" w:type="pct"/>
            <w:tcBorders>
              <w:top w:val="nil"/>
              <w:left w:val="nil"/>
              <w:bottom w:val="single" w:sz="4" w:space="0" w:color="auto"/>
              <w:right w:val="single" w:sz="4" w:space="0" w:color="auto"/>
            </w:tcBorders>
            <w:vAlign w:val="center"/>
            <w:hideMark/>
          </w:tcPr>
          <w:p w14:paraId="63A6F8C3"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SPV 2758</w:t>
            </w:r>
          </w:p>
        </w:tc>
        <w:tc>
          <w:tcPr>
            <w:tcW w:w="154" w:type="pct"/>
            <w:tcBorders>
              <w:top w:val="nil"/>
              <w:left w:val="nil"/>
              <w:bottom w:val="nil"/>
              <w:right w:val="nil"/>
            </w:tcBorders>
            <w:noWrap/>
            <w:vAlign w:val="bottom"/>
            <w:hideMark/>
          </w:tcPr>
          <w:p w14:paraId="17A2389E"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4562CED4"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7</w:t>
            </w:r>
          </w:p>
        </w:tc>
        <w:tc>
          <w:tcPr>
            <w:tcW w:w="1152" w:type="pct"/>
            <w:tcBorders>
              <w:top w:val="nil"/>
              <w:left w:val="nil"/>
              <w:bottom w:val="single" w:sz="4" w:space="0" w:color="auto"/>
              <w:right w:val="single" w:sz="4" w:space="0" w:color="auto"/>
            </w:tcBorders>
            <w:vAlign w:val="center"/>
            <w:hideMark/>
          </w:tcPr>
          <w:p w14:paraId="7AA57527"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 A x R 91012</w:t>
            </w:r>
          </w:p>
        </w:tc>
        <w:tc>
          <w:tcPr>
            <w:tcW w:w="384" w:type="pct"/>
            <w:tcBorders>
              <w:top w:val="nil"/>
              <w:left w:val="nil"/>
              <w:bottom w:val="single" w:sz="4" w:space="0" w:color="auto"/>
              <w:right w:val="single" w:sz="4" w:space="0" w:color="auto"/>
            </w:tcBorders>
            <w:vAlign w:val="center"/>
            <w:hideMark/>
          </w:tcPr>
          <w:p w14:paraId="388C46B7"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15</w:t>
            </w:r>
          </w:p>
        </w:tc>
        <w:tc>
          <w:tcPr>
            <w:tcW w:w="1613" w:type="pct"/>
            <w:tcBorders>
              <w:top w:val="nil"/>
              <w:left w:val="nil"/>
              <w:bottom w:val="single" w:sz="4" w:space="0" w:color="auto"/>
              <w:right w:val="single" w:sz="4" w:space="0" w:color="auto"/>
            </w:tcBorders>
            <w:vAlign w:val="center"/>
            <w:hideMark/>
          </w:tcPr>
          <w:p w14:paraId="7881A388"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AKMS-66-2A x R 91012</w:t>
            </w:r>
          </w:p>
        </w:tc>
      </w:tr>
      <w:tr w:rsidR="00E021F0" w:rsidRPr="003209AE" w14:paraId="7D568024"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5B5D03E6"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6</w:t>
            </w:r>
          </w:p>
        </w:tc>
        <w:tc>
          <w:tcPr>
            <w:tcW w:w="860" w:type="pct"/>
            <w:tcBorders>
              <w:top w:val="nil"/>
              <w:left w:val="nil"/>
              <w:bottom w:val="single" w:sz="4" w:space="0" w:color="auto"/>
              <w:right w:val="single" w:sz="4" w:space="0" w:color="auto"/>
            </w:tcBorders>
            <w:vAlign w:val="center"/>
            <w:hideMark/>
          </w:tcPr>
          <w:p w14:paraId="1A6B6387"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SPV 2468</w:t>
            </w:r>
          </w:p>
        </w:tc>
        <w:tc>
          <w:tcPr>
            <w:tcW w:w="154" w:type="pct"/>
            <w:tcBorders>
              <w:top w:val="nil"/>
              <w:left w:val="nil"/>
              <w:bottom w:val="nil"/>
              <w:right w:val="nil"/>
            </w:tcBorders>
            <w:noWrap/>
            <w:vAlign w:val="bottom"/>
            <w:hideMark/>
          </w:tcPr>
          <w:p w14:paraId="24D5E4C5"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3CB63248"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8</w:t>
            </w:r>
          </w:p>
        </w:tc>
        <w:tc>
          <w:tcPr>
            <w:tcW w:w="1152" w:type="pct"/>
            <w:tcBorders>
              <w:top w:val="nil"/>
              <w:left w:val="nil"/>
              <w:bottom w:val="single" w:sz="4" w:space="0" w:color="auto"/>
              <w:right w:val="single" w:sz="4" w:space="0" w:color="auto"/>
            </w:tcBorders>
            <w:vAlign w:val="center"/>
            <w:hideMark/>
          </w:tcPr>
          <w:p w14:paraId="34B3D065"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 A x PVK 801</w:t>
            </w:r>
          </w:p>
        </w:tc>
        <w:tc>
          <w:tcPr>
            <w:tcW w:w="384" w:type="pct"/>
            <w:tcBorders>
              <w:top w:val="nil"/>
              <w:left w:val="nil"/>
              <w:bottom w:val="single" w:sz="4" w:space="0" w:color="auto"/>
              <w:right w:val="single" w:sz="4" w:space="0" w:color="auto"/>
            </w:tcBorders>
            <w:vAlign w:val="center"/>
            <w:hideMark/>
          </w:tcPr>
          <w:p w14:paraId="714E7D2B"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16</w:t>
            </w:r>
          </w:p>
        </w:tc>
        <w:tc>
          <w:tcPr>
            <w:tcW w:w="1613" w:type="pct"/>
            <w:tcBorders>
              <w:top w:val="nil"/>
              <w:left w:val="nil"/>
              <w:bottom w:val="single" w:sz="4" w:space="0" w:color="auto"/>
              <w:right w:val="single" w:sz="4" w:space="0" w:color="auto"/>
            </w:tcBorders>
            <w:vAlign w:val="center"/>
            <w:hideMark/>
          </w:tcPr>
          <w:p w14:paraId="6B24C996"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 -66-2A x PVK 801</w:t>
            </w:r>
          </w:p>
        </w:tc>
      </w:tr>
      <w:tr w:rsidR="00E021F0" w:rsidRPr="003209AE" w14:paraId="5AB67DB6"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7A7EE0A2"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7</w:t>
            </w:r>
          </w:p>
        </w:tc>
        <w:tc>
          <w:tcPr>
            <w:tcW w:w="860" w:type="pct"/>
            <w:tcBorders>
              <w:top w:val="nil"/>
              <w:left w:val="nil"/>
              <w:bottom w:val="single" w:sz="4" w:space="0" w:color="auto"/>
              <w:right w:val="single" w:sz="4" w:space="0" w:color="auto"/>
            </w:tcBorders>
            <w:vAlign w:val="center"/>
            <w:hideMark/>
          </w:tcPr>
          <w:p w14:paraId="707C94EB"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R3777</w:t>
            </w:r>
          </w:p>
        </w:tc>
        <w:tc>
          <w:tcPr>
            <w:tcW w:w="154" w:type="pct"/>
            <w:tcBorders>
              <w:top w:val="nil"/>
              <w:left w:val="nil"/>
              <w:bottom w:val="nil"/>
              <w:right w:val="nil"/>
            </w:tcBorders>
            <w:noWrap/>
            <w:vAlign w:val="bottom"/>
            <w:hideMark/>
          </w:tcPr>
          <w:p w14:paraId="7669F520"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nil"/>
              <w:bottom w:val="nil"/>
              <w:right w:val="nil"/>
            </w:tcBorders>
            <w:noWrap/>
            <w:vAlign w:val="bottom"/>
            <w:hideMark/>
          </w:tcPr>
          <w:p w14:paraId="59EDD345"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152" w:type="pct"/>
            <w:tcBorders>
              <w:top w:val="nil"/>
              <w:left w:val="nil"/>
              <w:bottom w:val="nil"/>
              <w:right w:val="nil"/>
            </w:tcBorders>
            <w:noWrap/>
            <w:vAlign w:val="bottom"/>
            <w:hideMark/>
          </w:tcPr>
          <w:p w14:paraId="13CEE7A5"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384" w:type="pct"/>
            <w:tcBorders>
              <w:top w:val="nil"/>
              <w:left w:val="nil"/>
              <w:bottom w:val="nil"/>
              <w:right w:val="nil"/>
            </w:tcBorders>
            <w:noWrap/>
            <w:vAlign w:val="bottom"/>
            <w:hideMark/>
          </w:tcPr>
          <w:p w14:paraId="039955CC"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613" w:type="pct"/>
            <w:tcBorders>
              <w:top w:val="nil"/>
              <w:left w:val="nil"/>
              <w:bottom w:val="nil"/>
              <w:right w:val="nil"/>
            </w:tcBorders>
            <w:noWrap/>
            <w:vAlign w:val="bottom"/>
            <w:hideMark/>
          </w:tcPr>
          <w:p w14:paraId="2C7D3712"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r>
      <w:tr w:rsidR="00E021F0" w:rsidRPr="003209AE" w14:paraId="743F5E65"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26019698"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8</w:t>
            </w:r>
          </w:p>
        </w:tc>
        <w:tc>
          <w:tcPr>
            <w:tcW w:w="860" w:type="pct"/>
            <w:tcBorders>
              <w:top w:val="nil"/>
              <w:left w:val="nil"/>
              <w:bottom w:val="single" w:sz="4" w:space="0" w:color="auto"/>
              <w:right w:val="single" w:sz="4" w:space="0" w:color="auto"/>
            </w:tcBorders>
            <w:vAlign w:val="center"/>
            <w:hideMark/>
          </w:tcPr>
          <w:p w14:paraId="25FB1924"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R 196</w:t>
            </w:r>
          </w:p>
        </w:tc>
        <w:tc>
          <w:tcPr>
            <w:tcW w:w="154" w:type="pct"/>
            <w:tcBorders>
              <w:top w:val="nil"/>
              <w:left w:val="nil"/>
              <w:bottom w:val="nil"/>
              <w:right w:val="nil"/>
            </w:tcBorders>
            <w:noWrap/>
            <w:vAlign w:val="bottom"/>
            <w:hideMark/>
          </w:tcPr>
          <w:p w14:paraId="2D003E57"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nil"/>
              <w:bottom w:val="nil"/>
              <w:right w:val="nil"/>
            </w:tcBorders>
            <w:noWrap/>
            <w:vAlign w:val="bottom"/>
            <w:hideMark/>
          </w:tcPr>
          <w:p w14:paraId="7D645549"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152" w:type="pct"/>
            <w:tcBorders>
              <w:top w:val="nil"/>
              <w:left w:val="nil"/>
              <w:bottom w:val="nil"/>
              <w:right w:val="nil"/>
            </w:tcBorders>
            <w:noWrap/>
            <w:vAlign w:val="bottom"/>
            <w:hideMark/>
          </w:tcPr>
          <w:p w14:paraId="0D28CEE1"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384" w:type="pct"/>
            <w:tcBorders>
              <w:top w:val="nil"/>
              <w:left w:val="nil"/>
              <w:bottom w:val="nil"/>
              <w:right w:val="nil"/>
            </w:tcBorders>
            <w:noWrap/>
            <w:vAlign w:val="bottom"/>
            <w:hideMark/>
          </w:tcPr>
          <w:p w14:paraId="71953CDE"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613" w:type="pct"/>
            <w:tcBorders>
              <w:top w:val="nil"/>
              <w:left w:val="nil"/>
              <w:bottom w:val="nil"/>
              <w:right w:val="nil"/>
            </w:tcBorders>
            <w:noWrap/>
            <w:vAlign w:val="bottom"/>
            <w:hideMark/>
          </w:tcPr>
          <w:p w14:paraId="054CF428"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r>
      <w:tr w:rsidR="00E021F0" w:rsidRPr="003209AE" w14:paraId="3DF19559"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3E154DEA"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9</w:t>
            </w:r>
          </w:p>
        </w:tc>
        <w:tc>
          <w:tcPr>
            <w:tcW w:w="860" w:type="pct"/>
            <w:tcBorders>
              <w:top w:val="nil"/>
              <w:left w:val="nil"/>
              <w:bottom w:val="single" w:sz="4" w:space="0" w:color="auto"/>
              <w:right w:val="single" w:sz="4" w:space="0" w:color="auto"/>
            </w:tcBorders>
            <w:vAlign w:val="center"/>
            <w:hideMark/>
          </w:tcPr>
          <w:p w14:paraId="525AE259"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R 91012</w:t>
            </w:r>
          </w:p>
        </w:tc>
        <w:tc>
          <w:tcPr>
            <w:tcW w:w="154" w:type="pct"/>
            <w:tcBorders>
              <w:top w:val="nil"/>
              <w:left w:val="nil"/>
              <w:bottom w:val="nil"/>
              <w:right w:val="nil"/>
            </w:tcBorders>
            <w:noWrap/>
            <w:vAlign w:val="bottom"/>
            <w:hideMark/>
          </w:tcPr>
          <w:p w14:paraId="03AA5018"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nil"/>
              <w:bottom w:val="nil"/>
              <w:right w:val="nil"/>
            </w:tcBorders>
            <w:noWrap/>
            <w:vAlign w:val="bottom"/>
            <w:hideMark/>
          </w:tcPr>
          <w:p w14:paraId="37CF6171"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152" w:type="pct"/>
            <w:tcBorders>
              <w:top w:val="nil"/>
              <w:left w:val="nil"/>
              <w:bottom w:val="nil"/>
              <w:right w:val="nil"/>
            </w:tcBorders>
            <w:noWrap/>
            <w:vAlign w:val="bottom"/>
            <w:hideMark/>
          </w:tcPr>
          <w:p w14:paraId="29D9F2C9"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384" w:type="pct"/>
            <w:tcBorders>
              <w:top w:val="nil"/>
              <w:left w:val="nil"/>
              <w:bottom w:val="nil"/>
              <w:right w:val="nil"/>
            </w:tcBorders>
            <w:noWrap/>
            <w:vAlign w:val="bottom"/>
            <w:hideMark/>
          </w:tcPr>
          <w:p w14:paraId="2943CE7B"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613" w:type="pct"/>
            <w:tcBorders>
              <w:top w:val="nil"/>
              <w:left w:val="nil"/>
              <w:bottom w:val="nil"/>
              <w:right w:val="nil"/>
            </w:tcBorders>
            <w:noWrap/>
            <w:vAlign w:val="bottom"/>
            <w:hideMark/>
          </w:tcPr>
          <w:p w14:paraId="295506C6"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r>
      <w:tr w:rsidR="00E021F0" w:rsidRPr="003209AE" w14:paraId="58EAB3AD"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77FB52BE"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10</w:t>
            </w:r>
          </w:p>
        </w:tc>
        <w:tc>
          <w:tcPr>
            <w:tcW w:w="860" w:type="pct"/>
            <w:tcBorders>
              <w:top w:val="nil"/>
              <w:left w:val="nil"/>
              <w:bottom w:val="single" w:sz="4" w:space="0" w:color="auto"/>
              <w:right w:val="single" w:sz="4" w:space="0" w:color="auto"/>
            </w:tcBorders>
            <w:vAlign w:val="center"/>
            <w:hideMark/>
          </w:tcPr>
          <w:p w14:paraId="7FA233F0"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PVK 801</w:t>
            </w:r>
          </w:p>
        </w:tc>
        <w:tc>
          <w:tcPr>
            <w:tcW w:w="154" w:type="pct"/>
            <w:tcBorders>
              <w:top w:val="nil"/>
              <w:left w:val="nil"/>
              <w:bottom w:val="nil"/>
              <w:right w:val="nil"/>
            </w:tcBorders>
            <w:noWrap/>
            <w:vAlign w:val="bottom"/>
            <w:hideMark/>
          </w:tcPr>
          <w:p w14:paraId="0CAF7434"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nil"/>
              <w:bottom w:val="nil"/>
              <w:right w:val="nil"/>
            </w:tcBorders>
            <w:noWrap/>
            <w:vAlign w:val="bottom"/>
            <w:hideMark/>
          </w:tcPr>
          <w:p w14:paraId="4209A5AA"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152" w:type="pct"/>
            <w:tcBorders>
              <w:top w:val="nil"/>
              <w:left w:val="nil"/>
              <w:bottom w:val="nil"/>
              <w:right w:val="nil"/>
            </w:tcBorders>
            <w:noWrap/>
            <w:vAlign w:val="bottom"/>
            <w:hideMark/>
          </w:tcPr>
          <w:p w14:paraId="07253C22"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384" w:type="pct"/>
            <w:tcBorders>
              <w:top w:val="nil"/>
              <w:left w:val="nil"/>
              <w:bottom w:val="nil"/>
              <w:right w:val="nil"/>
            </w:tcBorders>
            <w:noWrap/>
            <w:vAlign w:val="bottom"/>
            <w:hideMark/>
          </w:tcPr>
          <w:p w14:paraId="3A80A1DE"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613" w:type="pct"/>
            <w:tcBorders>
              <w:top w:val="nil"/>
              <w:left w:val="nil"/>
              <w:bottom w:val="nil"/>
              <w:right w:val="nil"/>
            </w:tcBorders>
            <w:noWrap/>
            <w:vAlign w:val="bottom"/>
            <w:hideMark/>
          </w:tcPr>
          <w:p w14:paraId="73CEA05B"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r>
    </w:tbl>
    <w:p w14:paraId="3EFBCDFD" w14:textId="77777777" w:rsidR="00E021F0" w:rsidRPr="003209AE" w:rsidRDefault="00E021F0" w:rsidP="00B676B8">
      <w:pPr>
        <w:autoSpaceDE w:val="0"/>
        <w:autoSpaceDN w:val="0"/>
        <w:adjustRightInd w:val="0"/>
        <w:spacing w:after="0" w:line="240" w:lineRule="auto"/>
        <w:rPr>
          <w:rFonts w:ascii="Times New Roman" w:hAnsi="Times New Roman"/>
          <w:b/>
          <w:bCs/>
          <w:sz w:val="24"/>
          <w:szCs w:val="24"/>
          <w:lang w:val="en-GB"/>
        </w:rPr>
      </w:pPr>
    </w:p>
    <w:p w14:paraId="5D1A2A17" w14:textId="77777777" w:rsidR="00C81EDE" w:rsidRPr="003209AE" w:rsidRDefault="00420385" w:rsidP="00B676B8">
      <w:pPr>
        <w:autoSpaceDE w:val="0"/>
        <w:autoSpaceDN w:val="0"/>
        <w:adjustRightInd w:val="0"/>
        <w:spacing w:line="240" w:lineRule="auto"/>
        <w:rPr>
          <w:rFonts w:ascii="Times New Roman" w:hAnsi="Times New Roman"/>
          <w:b/>
          <w:bCs/>
          <w:sz w:val="24"/>
          <w:szCs w:val="24"/>
          <w:lang w:val="en-IN"/>
        </w:rPr>
      </w:pPr>
      <w:r w:rsidRPr="003209AE">
        <w:rPr>
          <w:rFonts w:ascii="Times New Roman" w:hAnsi="Times New Roman"/>
          <w:b/>
          <w:bCs/>
          <w:sz w:val="24"/>
          <w:szCs w:val="24"/>
          <w:lang w:val="en-IN"/>
        </w:rPr>
        <w:t>Methods:</w:t>
      </w:r>
    </w:p>
    <w:p w14:paraId="4FCDA3A0" w14:textId="77777777" w:rsidR="006908B4" w:rsidRPr="003209AE" w:rsidRDefault="006908B4" w:rsidP="00C96F80">
      <w:pPr>
        <w:spacing w:before="120" w:after="120" w:line="360" w:lineRule="auto"/>
        <w:jc w:val="both"/>
        <w:outlineLvl w:val="2"/>
        <w:rPr>
          <w:rFonts w:ascii="Times New Roman" w:eastAsia="Times New Roman" w:hAnsi="Times New Roman" w:cs="Times New Roman"/>
          <w:sz w:val="24"/>
          <w:szCs w:val="24"/>
          <w:lang w:val="en-IN" w:eastAsia="en-IN" w:bidi="te-IN"/>
        </w:rPr>
      </w:pPr>
      <w:r w:rsidRPr="003209AE">
        <w:rPr>
          <w:rFonts w:ascii="Times New Roman" w:eastAsia="Times New Roman" w:hAnsi="Times New Roman" w:cs="Times New Roman"/>
          <w:b/>
          <w:bCs/>
          <w:sz w:val="24"/>
          <w:szCs w:val="24"/>
          <w:lang w:val="en-IN" w:eastAsia="en-IN" w:bidi="te-IN"/>
        </w:rPr>
        <w:t>Generation and Evaluation of Hybrids</w:t>
      </w:r>
      <w:r w:rsidR="00965173" w:rsidRPr="003209AE">
        <w:rPr>
          <w:rFonts w:ascii="Times New Roman" w:eastAsia="Times New Roman" w:hAnsi="Times New Roman" w:cs="Times New Roman"/>
          <w:b/>
          <w:bCs/>
          <w:sz w:val="24"/>
          <w:szCs w:val="24"/>
          <w:lang w:val="en-IN" w:eastAsia="en-IN" w:bidi="te-IN"/>
        </w:rPr>
        <w:t xml:space="preserve">: </w:t>
      </w:r>
      <w:r w:rsidRPr="003209AE">
        <w:rPr>
          <w:rFonts w:ascii="Times New Roman" w:eastAsia="Times New Roman" w:hAnsi="Times New Roman" w:cs="Times New Roman"/>
          <w:sz w:val="24"/>
          <w:szCs w:val="24"/>
          <w:lang w:val="en-IN" w:eastAsia="en-IN" w:bidi="te-IN"/>
        </w:rPr>
        <w:t xml:space="preserve">The CMS, maintainer and restorer lines were maintained and F₁ hybrids were generated during </w:t>
      </w:r>
      <w:r w:rsidRPr="003209AE">
        <w:rPr>
          <w:rFonts w:ascii="Times New Roman" w:eastAsia="Times New Roman" w:hAnsi="Times New Roman" w:cs="Times New Roman"/>
          <w:i/>
          <w:iCs/>
          <w:sz w:val="24"/>
          <w:szCs w:val="24"/>
          <w:lang w:val="en-IN" w:eastAsia="en-IN" w:bidi="te-IN"/>
        </w:rPr>
        <w:t>rabi</w:t>
      </w:r>
      <w:r w:rsidRPr="003209AE">
        <w:rPr>
          <w:rFonts w:ascii="Times New Roman" w:eastAsia="Times New Roman" w:hAnsi="Times New Roman" w:cs="Times New Roman"/>
          <w:sz w:val="24"/>
          <w:szCs w:val="24"/>
          <w:lang w:val="en-IN" w:eastAsia="en-IN" w:bidi="te-IN"/>
        </w:rPr>
        <w:t xml:space="preserve"> 2021–22 at RARS, </w:t>
      </w:r>
      <w:proofErr w:type="spellStart"/>
      <w:r w:rsidRPr="003209AE">
        <w:rPr>
          <w:rFonts w:ascii="Times New Roman" w:eastAsia="Times New Roman" w:hAnsi="Times New Roman" w:cs="Times New Roman"/>
          <w:sz w:val="24"/>
          <w:szCs w:val="24"/>
          <w:lang w:val="en-IN" w:eastAsia="en-IN" w:bidi="te-IN"/>
        </w:rPr>
        <w:t>Nandyal</w:t>
      </w:r>
      <w:proofErr w:type="spellEnd"/>
      <w:r w:rsidRPr="003209AE">
        <w:rPr>
          <w:rFonts w:ascii="Times New Roman" w:eastAsia="Times New Roman" w:hAnsi="Times New Roman" w:cs="Times New Roman"/>
          <w:sz w:val="24"/>
          <w:szCs w:val="24"/>
          <w:lang w:val="en-IN" w:eastAsia="en-IN" w:bidi="te-IN"/>
        </w:rPr>
        <w:t xml:space="preserve"> using the Line × Tester mating design. The 16 F₁ hybrids along with their parents were initially evaluated during </w:t>
      </w:r>
      <w:r w:rsidRPr="003209AE">
        <w:rPr>
          <w:rFonts w:ascii="Times New Roman" w:eastAsia="Times New Roman" w:hAnsi="Times New Roman" w:cs="Times New Roman"/>
          <w:i/>
          <w:iCs/>
          <w:sz w:val="24"/>
          <w:szCs w:val="24"/>
          <w:lang w:val="en-IN" w:eastAsia="en-IN" w:bidi="te-IN"/>
        </w:rPr>
        <w:t>Summer</w:t>
      </w:r>
      <w:r w:rsidRPr="003209AE">
        <w:rPr>
          <w:rFonts w:ascii="Times New Roman" w:eastAsia="Times New Roman" w:hAnsi="Times New Roman" w:cs="Times New Roman"/>
          <w:sz w:val="24"/>
          <w:szCs w:val="24"/>
          <w:lang w:val="en-IN" w:eastAsia="en-IN" w:bidi="te-IN"/>
        </w:rPr>
        <w:t xml:space="preserve"> 2022 at RARS, </w:t>
      </w:r>
      <w:proofErr w:type="spellStart"/>
      <w:r w:rsidRPr="003209AE">
        <w:rPr>
          <w:rFonts w:ascii="Times New Roman" w:eastAsia="Times New Roman" w:hAnsi="Times New Roman" w:cs="Times New Roman"/>
          <w:sz w:val="24"/>
          <w:szCs w:val="24"/>
          <w:lang w:val="en-IN" w:eastAsia="en-IN" w:bidi="te-IN"/>
        </w:rPr>
        <w:t>Nandyal</w:t>
      </w:r>
      <w:proofErr w:type="spellEnd"/>
      <w:r w:rsidRPr="003209AE">
        <w:rPr>
          <w:rFonts w:ascii="Times New Roman" w:eastAsia="Times New Roman" w:hAnsi="Times New Roman" w:cs="Times New Roman"/>
          <w:sz w:val="24"/>
          <w:szCs w:val="24"/>
          <w:lang w:val="en-IN" w:eastAsia="en-IN" w:bidi="te-IN"/>
        </w:rPr>
        <w:t xml:space="preserve"> for drought tolerance traits and genetic potential. Further multi-location evaluation was carried out during </w:t>
      </w:r>
      <w:r w:rsidRPr="003209AE">
        <w:rPr>
          <w:rFonts w:ascii="Times New Roman" w:eastAsia="Times New Roman" w:hAnsi="Times New Roman" w:cs="Times New Roman"/>
          <w:i/>
          <w:iCs/>
          <w:sz w:val="24"/>
          <w:szCs w:val="24"/>
          <w:lang w:val="en-IN" w:eastAsia="en-IN" w:bidi="te-IN"/>
        </w:rPr>
        <w:t>rabi</w:t>
      </w:r>
      <w:r w:rsidRPr="003209AE">
        <w:rPr>
          <w:rFonts w:ascii="Times New Roman" w:eastAsia="Times New Roman" w:hAnsi="Times New Roman" w:cs="Times New Roman"/>
          <w:sz w:val="24"/>
          <w:szCs w:val="24"/>
          <w:lang w:val="en-IN" w:eastAsia="en-IN" w:bidi="te-IN"/>
        </w:rPr>
        <w:t xml:space="preserve"> 2022–23 and Summer 2023 at RARS, </w:t>
      </w:r>
      <w:proofErr w:type="spellStart"/>
      <w:r w:rsidRPr="003209AE">
        <w:rPr>
          <w:rFonts w:ascii="Times New Roman" w:eastAsia="Times New Roman" w:hAnsi="Times New Roman" w:cs="Times New Roman"/>
          <w:sz w:val="24"/>
          <w:szCs w:val="24"/>
          <w:lang w:val="en-IN" w:eastAsia="en-IN" w:bidi="te-IN"/>
        </w:rPr>
        <w:t>Nandyal</w:t>
      </w:r>
      <w:proofErr w:type="spellEnd"/>
      <w:r w:rsidRPr="003209AE">
        <w:rPr>
          <w:rFonts w:ascii="Times New Roman" w:eastAsia="Times New Roman" w:hAnsi="Times New Roman" w:cs="Times New Roman"/>
          <w:sz w:val="24"/>
          <w:szCs w:val="24"/>
          <w:lang w:val="en-IN" w:eastAsia="en-IN" w:bidi="te-IN"/>
        </w:rPr>
        <w:t xml:space="preserve">; ARS, </w:t>
      </w:r>
      <w:proofErr w:type="spellStart"/>
      <w:r w:rsidRPr="003209AE">
        <w:rPr>
          <w:rFonts w:ascii="Times New Roman" w:eastAsia="Times New Roman" w:hAnsi="Times New Roman" w:cs="Times New Roman"/>
          <w:sz w:val="24"/>
          <w:szCs w:val="24"/>
          <w:lang w:val="en-IN" w:eastAsia="en-IN" w:bidi="te-IN"/>
        </w:rPr>
        <w:t>Podalakur</w:t>
      </w:r>
      <w:proofErr w:type="spellEnd"/>
      <w:r w:rsidRPr="003209AE">
        <w:rPr>
          <w:rFonts w:ascii="Times New Roman" w:eastAsia="Times New Roman" w:hAnsi="Times New Roman" w:cs="Times New Roman"/>
          <w:sz w:val="24"/>
          <w:szCs w:val="24"/>
          <w:lang w:val="en-IN" w:eastAsia="en-IN" w:bidi="te-IN"/>
        </w:rPr>
        <w:t xml:space="preserve">; and RARS, Lam (Guntur). Fresh F₁ seeds were regenerated at RARS, </w:t>
      </w:r>
      <w:proofErr w:type="spellStart"/>
      <w:r w:rsidRPr="003209AE">
        <w:rPr>
          <w:rFonts w:ascii="Times New Roman" w:eastAsia="Times New Roman" w:hAnsi="Times New Roman" w:cs="Times New Roman"/>
          <w:sz w:val="24"/>
          <w:szCs w:val="24"/>
          <w:lang w:val="en-IN" w:eastAsia="en-IN" w:bidi="te-IN"/>
        </w:rPr>
        <w:t>Nandyal</w:t>
      </w:r>
      <w:proofErr w:type="spellEnd"/>
      <w:r w:rsidRPr="003209AE">
        <w:rPr>
          <w:rFonts w:ascii="Times New Roman" w:eastAsia="Times New Roman" w:hAnsi="Times New Roman" w:cs="Times New Roman"/>
          <w:sz w:val="24"/>
          <w:szCs w:val="24"/>
          <w:lang w:val="en-IN" w:eastAsia="en-IN" w:bidi="te-IN"/>
        </w:rPr>
        <w:t xml:space="preserve"> to ensure sufficient seed material for evaluation.</w:t>
      </w:r>
    </w:p>
    <w:p w14:paraId="1F0B00DA" w14:textId="77777777" w:rsidR="0022789C" w:rsidRPr="003209AE" w:rsidRDefault="006908B4" w:rsidP="00C96F80">
      <w:pPr>
        <w:pStyle w:val="NormalWeb"/>
        <w:spacing w:before="120" w:beforeAutospacing="0" w:after="120" w:afterAutospacing="0" w:line="360" w:lineRule="auto"/>
        <w:jc w:val="both"/>
      </w:pPr>
      <w:r w:rsidRPr="003209AE">
        <w:rPr>
          <w:b/>
          <w:bCs/>
        </w:rPr>
        <w:t>Experimental Design and Crop Management</w:t>
      </w:r>
      <w:r w:rsidR="00965173" w:rsidRPr="003209AE">
        <w:rPr>
          <w:b/>
          <w:bCs/>
        </w:rPr>
        <w:t xml:space="preserve">: </w:t>
      </w:r>
      <w:r w:rsidRPr="003209AE">
        <w:t>The field experiment was laid out in a Randomized Block Design (RBD) with two replications. The experimental material consisted of 16 F₁ hybrids, 10 parents and one standard check. Each genotype was sown in two rows of 4 m length per replication with a spacing of 45 cm between rows and 15 cm between plants. Recommended agronomic practices were followed, and need-based plant protection measures were adopted to raise a healthy crop.</w:t>
      </w:r>
      <w:r w:rsidR="0022789C" w:rsidRPr="003209AE">
        <w:t xml:space="preserve"> The study was undertaken to assess variability, heterosis, combining ability and stability for grain yield along with physiological parameters associated </w:t>
      </w:r>
      <w:r w:rsidR="0022789C" w:rsidRPr="003209AE">
        <w:lastRenderedPageBreak/>
        <w:t>with drought and heat tolerance. Molecular profiling of hybrids and parents was also carried out to identify drought tolerant genotypes.</w:t>
      </w:r>
    </w:p>
    <w:p w14:paraId="44D87F7A" w14:textId="73113C28" w:rsidR="008C2B62" w:rsidRPr="008C2B62" w:rsidRDefault="006655CE" w:rsidP="008C2B62">
      <w:pPr>
        <w:spacing w:before="120" w:after="120" w:line="360" w:lineRule="auto"/>
        <w:jc w:val="both"/>
        <w:rPr>
          <w:rFonts w:ascii="Times New Roman" w:hAnsi="Times New Roman"/>
          <w:sz w:val="24"/>
          <w:szCs w:val="24"/>
          <w:lang w:val="en-IN"/>
        </w:rPr>
      </w:pPr>
      <w:r w:rsidRPr="003209AE">
        <w:rPr>
          <w:rFonts w:ascii="Times New Roman" w:hAnsi="Times New Roman"/>
          <w:b/>
          <w:bCs/>
          <w:sz w:val="24"/>
          <w:szCs w:val="24"/>
        </w:rPr>
        <w:t xml:space="preserve">Statistical procedures: </w:t>
      </w:r>
      <w:r w:rsidR="008C2B62" w:rsidRPr="008C2B62">
        <w:rPr>
          <w:rFonts w:ascii="Times New Roman" w:hAnsi="Times New Roman"/>
          <w:sz w:val="24"/>
          <w:szCs w:val="24"/>
          <w:lang w:val="en-IN"/>
        </w:rPr>
        <w:t xml:space="preserve">The mean data recorded for different quantitative characters of all genotypes over two replications were subjected to statistical analysis using </w:t>
      </w:r>
      <w:proofErr w:type="spellStart"/>
      <w:r w:rsidR="008C2B62" w:rsidRPr="008C2B62">
        <w:rPr>
          <w:rFonts w:ascii="Times New Roman" w:hAnsi="Times New Roman"/>
          <w:sz w:val="24"/>
          <w:szCs w:val="24"/>
          <w:lang w:val="en-IN"/>
        </w:rPr>
        <w:t>Windostat</w:t>
      </w:r>
      <w:proofErr w:type="spellEnd"/>
      <w:r w:rsidR="008C2B62" w:rsidRPr="008C2B62">
        <w:rPr>
          <w:rFonts w:ascii="Times New Roman" w:hAnsi="Times New Roman"/>
          <w:sz w:val="24"/>
          <w:szCs w:val="24"/>
          <w:lang w:val="en-IN"/>
        </w:rPr>
        <w:t xml:space="preserve"> statistical software version 9.3 (</w:t>
      </w:r>
      <w:r w:rsidR="008C2B62" w:rsidRPr="008C2B62">
        <w:rPr>
          <w:rFonts w:ascii="Times New Roman" w:hAnsi="Times New Roman"/>
          <w:i/>
          <w:iCs/>
          <w:sz w:val="24"/>
          <w:szCs w:val="24"/>
          <w:lang w:val="en-IN"/>
        </w:rPr>
        <w:t>INDOSTAT</w:t>
      </w:r>
      <w:r w:rsidR="008C2B62" w:rsidRPr="008C2B62">
        <w:rPr>
          <w:rFonts w:ascii="Times New Roman" w:hAnsi="Times New Roman"/>
          <w:sz w:val="24"/>
          <w:szCs w:val="24"/>
          <w:lang w:val="en-IN"/>
        </w:rPr>
        <w:t xml:space="preserve"> Services). Analysis of variance (ANOVA) was carried out following the procedure described by Fisher and Yates (1974) and Panse and </w:t>
      </w:r>
      <w:proofErr w:type="spellStart"/>
      <w:r w:rsidR="008C2B62" w:rsidRPr="008C2B62">
        <w:rPr>
          <w:rFonts w:ascii="Times New Roman" w:hAnsi="Times New Roman"/>
          <w:sz w:val="24"/>
          <w:szCs w:val="24"/>
          <w:lang w:val="en-IN"/>
        </w:rPr>
        <w:t>Sukhatme</w:t>
      </w:r>
      <w:proofErr w:type="spellEnd"/>
      <w:r w:rsidR="008C2B62" w:rsidRPr="008C2B62">
        <w:rPr>
          <w:rFonts w:ascii="Times New Roman" w:hAnsi="Times New Roman"/>
          <w:sz w:val="24"/>
          <w:szCs w:val="24"/>
          <w:lang w:val="en-IN"/>
        </w:rPr>
        <w:t xml:space="preserve"> (1985) to test the significance of differences among genotypes.</w:t>
      </w:r>
    </w:p>
    <w:p w14:paraId="409F3D98" w14:textId="773DD0BA" w:rsidR="008C2B62" w:rsidRPr="008C2B62" w:rsidRDefault="008C2B62" w:rsidP="008C2B62">
      <w:pPr>
        <w:spacing w:before="120" w:after="120" w:line="360" w:lineRule="auto"/>
        <w:jc w:val="both"/>
        <w:rPr>
          <w:rFonts w:ascii="Times New Roman" w:hAnsi="Times New Roman"/>
          <w:sz w:val="24"/>
          <w:szCs w:val="24"/>
          <w:lang w:val="en-IN"/>
        </w:rPr>
      </w:pPr>
      <w:r w:rsidRPr="003209AE">
        <w:rPr>
          <w:rFonts w:ascii="Times New Roman" w:hAnsi="Times New Roman"/>
          <w:sz w:val="24"/>
          <w:szCs w:val="24"/>
          <w:lang w:val="en-IN"/>
        </w:rPr>
        <w:tab/>
      </w:r>
      <w:r w:rsidRPr="008C2B62">
        <w:rPr>
          <w:rFonts w:ascii="Times New Roman" w:hAnsi="Times New Roman"/>
          <w:sz w:val="24"/>
          <w:szCs w:val="24"/>
          <w:lang w:val="en-IN"/>
        </w:rPr>
        <w:t xml:space="preserve">Genotypic variance (σ²g) and phenotypic variance (σ²p) were estimated according to the method suggested by Burton (1952). Based on these variances, genotypic coefficient of variation (GCV) and phenotypic coefficient of variation (PCV) were calculated. The magnitude of variability was classified as low (&lt;10%), moderate (10–20%), and high (&gt;20%) as suggested by Sivasubramanian and </w:t>
      </w:r>
      <w:proofErr w:type="spellStart"/>
      <w:r w:rsidRPr="008C2B62">
        <w:rPr>
          <w:rFonts w:ascii="Times New Roman" w:hAnsi="Times New Roman"/>
          <w:sz w:val="24"/>
          <w:szCs w:val="24"/>
          <w:lang w:val="en-IN"/>
        </w:rPr>
        <w:t>Madhavamenon</w:t>
      </w:r>
      <w:proofErr w:type="spellEnd"/>
      <w:r w:rsidRPr="008C2B62">
        <w:rPr>
          <w:rFonts w:ascii="Times New Roman" w:hAnsi="Times New Roman"/>
          <w:sz w:val="24"/>
          <w:szCs w:val="24"/>
          <w:lang w:val="en-IN"/>
        </w:rPr>
        <w:t xml:space="preserve"> (1973).</w:t>
      </w:r>
    </w:p>
    <w:p w14:paraId="380AB4A1" w14:textId="197D55B3" w:rsidR="008C2B62" w:rsidRPr="008C2B62" w:rsidRDefault="008C2B62" w:rsidP="008C2B62">
      <w:pPr>
        <w:spacing w:before="120" w:after="120" w:line="360" w:lineRule="auto"/>
        <w:jc w:val="both"/>
        <w:rPr>
          <w:rFonts w:ascii="Times New Roman" w:hAnsi="Times New Roman"/>
          <w:sz w:val="24"/>
          <w:szCs w:val="24"/>
          <w:lang w:val="en-IN"/>
        </w:rPr>
      </w:pPr>
      <w:r w:rsidRPr="003209AE">
        <w:rPr>
          <w:rFonts w:ascii="Times New Roman" w:hAnsi="Times New Roman"/>
          <w:sz w:val="24"/>
          <w:szCs w:val="24"/>
          <w:lang w:val="en-IN"/>
        </w:rPr>
        <w:tab/>
      </w:r>
      <w:r w:rsidRPr="008C2B62">
        <w:rPr>
          <w:rFonts w:ascii="Times New Roman" w:hAnsi="Times New Roman"/>
          <w:sz w:val="24"/>
          <w:szCs w:val="24"/>
          <w:lang w:val="en-IN"/>
        </w:rPr>
        <w:t xml:space="preserve">Broad sense heritability (h²) was estimated as per Lush (1940) and categorized as low (&lt;30%), moderate (30–60%), and high (&gt;60%) following Johnson </w:t>
      </w:r>
      <w:r w:rsidRPr="008C2B62">
        <w:rPr>
          <w:rFonts w:ascii="Times New Roman" w:hAnsi="Times New Roman"/>
          <w:i/>
          <w:iCs/>
          <w:sz w:val="24"/>
          <w:szCs w:val="24"/>
          <w:lang w:val="en-IN"/>
        </w:rPr>
        <w:t>et al.</w:t>
      </w:r>
      <w:r w:rsidRPr="008C2B62">
        <w:rPr>
          <w:rFonts w:ascii="Times New Roman" w:hAnsi="Times New Roman"/>
          <w:sz w:val="24"/>
          <w:szCs w:val="24"/>
          <w:lang w:val="en-IN"/>
        </w:rPr>
        <w:t xml:space="preserve"> (1955). Genetic advance (GA) and genetic advance as per cent of mean (GAM) were calculated using the formula suggested by Johnson </w:t>
      </w:r>
      <w:r w:rsidRPr="008C2B62">
        <w:rPr>
          <w:rFonts w:ascii="Times New Roman" w:hAnsi="Times New Roman"/>
          <w:i/>
          <w:iCs/>
          <w:sz w:val="24"/>
          <w:szCs w:val="24"/>
          <w:lang w:val="en-IN"/>
        </w:rPr>
        <w:t>et al.</w:t>
      </w:r>
      <w:r w:rsidRPr="008C2B62">
        <w:rPr>
          <w:rFonts w:ascii="Times New Roman" w:hAnsi="Times New Roman"/>
          <w:sz w:val="24"/>
          <w:szCs w:val="24"/>
          <w:lang w:val="en-IN"/>
        </w:rPr>
        <w:t xml:space="preserve"> (1955) assuming 5% selection intensity.</w:t>
      </w:r>
    </w:p>
    <w:p w14:paraId="766AE013" w14:textId="77777777" w:rsidR="00CD6FC8" w:rsidRPr="003209AE" w:rsidRDefault="00C81EDE" w:rsidP="00B676B8">
      <w:pPr>
        <w:spacing w:line="240" w:lineRule="auto"/>
        <w:rPr>
          <w:rFonts w:ascii="Times New Roman" w:hAnsi="Times New Roman" w:cs="Times New Roman"/>
          <w:b/>
          <w:bCs/>
          <w:sz w:val="26"/>
          <w:szCs w:val="26"/>
        </w:rPr>
      </w:pPr>
      <w:r w:rsidRPr="003209AE">
        <w:rPr>
          <w:rFonts w:ascii="Times New Roman" w:hAnsi="Times New Roman" w:cs="Times New Roman"/>
          <w:b/>
          <w:bCs/>
          <w:sz w:val="26"/>
          <w:szCs w:val="26"/>
        </w:rPr>
        <w:t>RESULTS AND DISCUSSION</w:t>
      </w:r>
    </w:p>
    <w:p w14:paraId="7D233475" w14:textId="77777777" w:rsidR="0002738C" w:rsidRPr="003209AE" w:rsidRDefault="008B7D7F" w:rsidP="00CF43F8">
      <w:pPr>
        <w:spacing w:after="120" w:line="360" w:lineRule="auto"/>
        <w:jc w:val="both"/>
        <w:rPr>
          <w:rFonts w:ascii="Times New Roman" w:hAnsi="Times New Roman" w:cs="Times New Roman"/>
          <w:sz w:val="24"/>
          <w:szCs w:val="24"/>
        </w:rPr>
      </w:pPr>
      <w:r w:rsidRPr="003209AE">
        <w:rPr>
          <w:rFonts w:ascii="Times New Roman" w:hAnsi="Times New Roman" w:cs="Times New Roman"/>
          <w:b/>
          <w:bCs/>
          <w:sz w:val="24"/>
          <w:szCs w:val="24"/>
        </w:rPr>
        <w:t xml:space="preserve">Analysis of variance </w:t>
      </w:r>
      <w:r w:rsidR="0002738C" w:rsidRPr="003209AE">
        <w:rPr>
          <w:rFonts w:ascii="Times New Roman" w:hAnsi="Times New Roman" w:cs="Times New Roman"/>
          <w:b/>
          <w:bCs/>
          <w:sz w:val="24"/>
          <w:szCs w:val="24"/>
        </w:rPr>
        <w:t>(ANOVA)</w:t>
      </w:r>
      <w:r w:rsidR="00261555" w:rsidRPr="003209AE">
        <w:rPr>
          <w:rFonts w:ascii="Times New Roman" w:hAnsi="Times New Roman" w:cs="Times New Roman"/>
          <w:b/>
          <w:bCs/>
          <w:sz w:val="24"/>
          <w:szCs w:val="24"/>
        </w:rPr>
        <w:t xml:space="preserve">: </w:t>
      </w:r>
      <w:r w:rsidR="0002738C" w:rsidRPr="003209AE">
        <w:rPr>
          <w:rFonts w:ascii="Times New Roman" w:hAnsi="Times New Roman" w:cs="Times New Roman"/>
          <w:sz w:val="24"/>
          <w:szCs w:val="24"/>
        </w:rPr>
        <w:t>The analysis of variance (ANOVA) for eight yield and yield attributing characters across three locations (</w:t>
      </w:r>
      <w:proofErr w:type="spellStart"/>
      <w:r w:rsidR="0002738C" w:rsidRPr="003209AE">
        <w:rPr>
          <w:rFonts w:ascii="Times New Roman" w:hAnsi="Times New Roman" w:cs="Times New Roman"/>
          <w:sz w:val="24"/>
          <w:szCs w:val="24"/>
        </w:rPr>
        <w:t>Nandyal</w:t>
      </w:r>
      <w:proofErr w:type="spellEnd"/>
      <w:r w:rsidR="0002738C" w:rsidRPr="003209AE">
        <w:rPr>
          <w:rFonts w:ascii="Times New Roman" w:hAnsi="Times New Roman" w:cs="Times New Roman"/>
          <w:sz w:val="24"/>
          <w:szCs w:val="24"/>
        </w:rPr>
        <w:t xml:space="preserve">, </w:t>
      </w:r>
      <w:proofErr w:type="spellStart"/>
      <w:r w:rsidR="0002738C" w:rsidRPr="003209AE">
        <w:rPr>
          <w:rFonts w:ascii="Times New Roman" w:hAnsi="Times New Roman" w:cs="Times New Roman"/>
          <w:sz w:val="24"/>
          <w:szCs w:val="24"/>
        </w:rPr>
        <w:t>Podalakur</w:t>
      </w:r>
      <w:proofErr w:type="spellEnd"/>
      <w:r w:rsidR="0002738C" w:rsidRPr="003209AE">
        <w:rPr>
          <w:rFonts w:ascii="Times New Roman" w:hAnsi="Times New Roman" w:cs="Times New Roman"/>
          <w:sz w:val="24"/>
          <w:szCs w:val="24"/>
        </w:rPr>
        <w:t xml:space="preserve"> and Guntur), as well as pooled data across these locations and physiological parameters recorded across two </w:t>
      </w:r>
      <w:r w:rsidR="0002738C" w:rsidRPr="003209AE">
        <w:rPr>
          <w:rFonts w:ascii="Times New Roman" w:hAnsi="Times New Roman" w:cs="Times New Roman"/>
          <w:i/>
          <w:iCs/>
          <w:sz w:val="24"/>
          <w:szCs w:val="24"/>
        </w:rPr>
        <w:t>summer</w:t>
      </w:r>
      <w:r w:rsidR="0002738C" w:rsidRPr="003209AE">
        <w:rPr>
          <w:rFonts w:ascii="Times New Roman" w:hAnsi="Times New Roman" w:cs="Times New Roman"/>
          <w:sz w:val="24"/>
          <w:szCs w:val="24"/>
        </w:rPr>
        <w:t xml:space="preserve"> seasons (</w:t>
      </w:r>
      <w:r w:rsidR="0002738C" w:rsidRPr="003209AE">
        <w:rPr>
          <w:rFonts w:ascii="Times New Roman" w:hAnsi="Times New Roman" w:cs="Times New Roman"/>
          <w:i/>
          <w:iCs/>
          <w:sz w:val="24"/>
          <w:szCs w:val="24"/>
        </w:rPr>
        <w:t>summer</w:t>
      </w:r>
      <w:r w:rsidR="0002738C" w:rsidRPr="003209AE">
        <w:rPr>
          <w:rFonts w:ascii="Times New Roman" w:hAnsi="Times New Roman" w:cs="Times New Roman"/>
          <w:sz w:val="24"/>
          <w:szCs w:val="24"/>
        </w:rPr>
        <w:t xml:space="preserve"> 2022 and s</w:t>
      </w:r>
      <w:r w:rsidR="0002738C" w:rsidRPr="003209AE">
        <w:rPr>
          <w:rFonts w:ascii="Times New Roman" w:hAnsi="Times New Roman" w:cs="Times New Roman"/>
          <w:i/>
          <w:iCs/>
          <w:sz w:val="24"/>
          <w:szCs w:val="24"/>
        </w:rPr>
        <w:t>ummer</w:t>
      </w:r>
      <w:r w:rsidR="0002738C" w:rsidRPr="003209AE">
        <w:rPr>
          <w:rFonts w:ascii="Times New Roman" w:hAnsi="Times New Roman" w:cs="Times New Roman"/>
          <w:sz w:val="24"/>
          <w:szCs w:val="24"/>
        </w:rPr>
        <w:t xml:space="preserve"> 2023) along with pooled over seasons at </w:t>
      </w:r>
      <w:proofErr w:type="spellStart"/>
      <w:r w:rsidR="0002738C" w:rsidRPr="003209AE">
        <w:rPr>
          <w:rFonts w:ascii="Times New Roman" w:hAnsi="Times New Roman" w:cs="Times New Roman"/>
          <w:sz w:val="24"/>
          <w:szCs w:val="24"/>
        </w:rPr>
        <w:t>Nandyal</w:t>
      </w:r>
      <w:proofErr w:type="spellEnd"/>
      <w:r w:rsidR="0002738C" w:rsidRPr="003209AE">
        <w:rPr>
          <w:rFonts w:ascii="Times New Roman" w:hAnsi="Times New Roman" w:cs="Times New Roman"/>
          <w:sz w:val="24"/>
          <w:szCs w:val="24"/>
        </w:rPr>
        <w:t xml:space="preserve">, is presented in </w:t>
      </w:r>
      <w:r w:rsidR="00F517BF" w:rsidRPr="003209AE">
        <w:rPr>
          <w:rFonts w:ascii="Times New Roman" w:hAnsi="Times New Roman" w:cs="Times New Roman"/>
          <w:sz w:val="24"/>
          <w:szCs w:val="24"/>
        </w:rPr>
        <w:t>t</w:t>
      </w:r>
      <w:r w:rsidR="0002738C" w:rsidRPr="003209AE">
        <w:rPr>
          <w:rFonts w:ascii="Times New Roman" w:hAnsi="Times New Roman" w:cs="Times New Roman"/>
          <w:sz w:val="24"/>
          <w:szCs w:val="24"/>
        </w:rPr>
        <w:t xml:space="preserve">ables </w:t>
      </w:r>
      <w:r w:rsidR="00F517BF" w:rsidRPr="003209AE">
        <w:rPr>
          <w:rFonts w:ascii="Times New Roman" w:hAnsi="Times New Roman" w:cs="Times New Roman"/>
          <w:sz w:val="24"/>
          <w:szCs w:val="24"/>
        </w:rPr>
        <w:t>2</w:t>
      </w:r>
      <w:r w:rsidR="0002738C" w:rsidRPr="003209AE">
        <w:rPr>
          <w:rFonts w:ascii="Times New Roman" w:hAnsi="Times New Roman" w:cs="Times New Roman"/>
          <w:sz w:val="24"/>
          <w:szCs w:val="24"/>
        </w:rPr>
        <w:t xml:space="preserve"> to </w:t>
      </w:r>
      <w:r w:rsidR="00F517BF" w:rsidRPr="003209AE">
        <w:rPr>
          <w:rFonts w:ascii="Times New Roman" w:hAnsi="Times New Roman" w:cs="Times New Roman"/>
          <w:sz w:val="24"/>
          <w:szCs w:val="24"/>
        </w:rPr>
        <w:t>5</w:t>
      </w:r>
      <w:r w:rsidR="0002738C" w:rsidRPr="003209AE">
        <w:rPr>
          <w:rFonts w:ascii="Times New Roman" w:hAnsi="Times New Roman" w:cs="Times New Roman"/>
          <w:sz w:val="24"/>
          <w:szCs w:val="24"/>
        </w:rPr>
        <w:t>. Replicated mean data for all studied characters were analyzed through ANOVA for each location individually and as pooled data across all locations.</w:t>
      </w:r>
    </w:p>
    <w:p w14:paraId="4AA05A93" w14:textId="6CA9995F" w:rsidR="0002738C" w:rsidRPr="003209AE" w:rsidRDefault="0002738C" w:rsidP="00CF43F8">
      <w:pPr>
        <w:spacing w:after="120" w:line="360" w:lineRule="auto"/>
        <w:ind w:firstLine="720"/>
        <w:jc w:val="both"/>
        <w:rPr>
          <w:rFonts w:ascii="Times New Roman" w:hAnsi="Times New Roman" w:cs="Times New Roman"/>
          <w:sz w:val="24"/>
          <w:szCs w:val="24"/>
        </w:rPr>
      </w:pPr>
      <w:r w:rsidRPr="003209AE">
        <w:rPr>
          <w:rFonts w:ascii="Times New Roman" w:hAnsi="Times New Roman" w:cs="Times New Roman"/>
          <w:sz w:val="24"/>
          <w:szCs w:val="24"/>
        </w:rPr>
        <w:t xml:space="preserve">The ANOVA results indicate that the mean sum of squares for genotypes was significant for all characters across the three locations, with the exceptions of days to 50% flowering in Guntur and days to maturity in </w:t>
      </w:r>
      <w:proofErr w:type="spellStart"/>
      <w:r w:rsidRPr="003209AE">
        <w:rPr>
          <w:rFonts w:ascii="Times New Roman" w:hAnsi="Times New Roman" w:cs="Times New Roman"/>
          <w:sz w:val="24"/>
          <w:szCs w:val="24"/>
        </w:rPr>
        <w:t>Podalakur</w:t>
      </w:r>
      <w:proofErr w:type="spellEnd"/>
      <w:r w:rsidRPr="003209AE">
        <w:rPr>
          <w:rFonts w:ascii="Times New Roman" w:hAnsi="Times New Roman" w:cs="Times New Roman"/>
          <w:sz w:val="24"/>
          <w:szCs w:val="24"/>
        </w:rPr>
        <w:t xml:space="preserve"> and Guntur (</w:t>
      </w:r>
      <w:r w:rsidR="00465F63" w:rsidRPr="003209AE">
        <w:rPr>
          <w:rFonts w:ascii="Times New Roman" w:hAnsi="Times New Roman" w:cs="Times New Roman"/>
          <w:sz w:val="24"/>
          <w:szCs w:val="24"/>
        </w:rPr>
        <w:t>Tables</w:t>
      </w:r>
      <w:r w:rsidRPr="003209AE">
        <w:rPr>
          <w:rFonts w:ascii="Times New Roman" w:hAnsi="Times New Roman" w:cs="Times New Roman"/>
          <w:sz w:val="24"/>
          <w:szCs w:val="24"/>
        </w:rPr>
        <w:t xml:space="preserve"> </w:t>
      </w:r>
      <w:r w:rsidR="00F517BF" w:rsidRPr="003209AE">
        <w:rPr>
          <w:rFonts w:ascii="Times New Roman" w:hAnsi="Times New Roman" w:cs="Times New Roman"/>
          <w:sz w:val="24"/>
          <w:szCs w:val="24"/>
        </w:rPr>
        <w:t>2</w:t>
      </w:r>
      <w:r w:rsidRPr="003209AE">
        <w:rPr>
          <w:rFonts w:ascii="Times New Roman" w:hAnsi="Times New Roman" w:cs="Times New Roman"/>
          <w:sz w:val="24"/>
          <w:szCs w:val="24"/>
        </w:rPr>
        <w:t xml:space="preserve"> to </w:t>
      </w:r>
      <w:r w:rsidR="00F517BF" w:rsidRPr="003209AE">
        <w:rPr>
          <w:rFonts w:ascii="Times New Roman" w:hAnsi="Times New Roman" w:cs="Times New Roman"/>
          <w:sz w:val="24"/>
          <w:szCs w:val="24"/>
        </w:rPr>
        <w:t>5</w:t>
      </w:r>
      <w:r w:rsidRPr="003209AE">
        <w:rPr>
          <w:rFonts w:ascii="Times New Roman" w:hAnsi="Times New Roman" w:cs="Times New Roman"/>
          <w:sz w:val="24"/>
          <w:szCs w:val="24"/>
        </w:rPr>
        <w:t xml:space="preserve">). This significance, points to substantial genotypic variability for nearly all traits, implying the potential for selective breeding to improve these traits. A high level of genetic variability for these characters has also been reported by previous studies, including those by Jain and Patel (2013), </w:t>
      </w:r>
      <w:proofErr w:type="spellStart"/>
      <w:r w:rsidRPr="003209AE">
        <w:rPr>
          <w:rFonts w:ascii="Times New Roman" w:hAnsi="Times New Roman" w:cs="Times New Roman"/>
          <w:sz w:val="24"/>
          <w:szCs w:val="24"/>
        </w:rPr>
        <w:t>Nyadanu</w:t>
      </w:r>
      <w:proofErr w:type="spellEnd"/>
      <w:r w:rsidRPr="003209AE">
        <w:rPr>
          <w:rFonts w:ascii="Times New Roman" w:hAnsi="Times New Roman" w:cs="Times New Roman"/>
          <w:sz w:val="24"/>
          <w:szCs w:val="24"/>
        </w:rPr>
        <w:t xml:space="preserve"> and </w:t>
      </w:r>
      <w:proofErr w:type="spellStart"/>
      <w:r w:rsidRPr="003209AE">
        <w:rPr>
          <w:rFonts w:ascii="Times New Roman" w:hAnsi="Times New Roman" w:cs="Times New Roman"/>
          <w:sz w:val="24"/>
          <w:szCs w:val="24"/>
        </w:rPr>
        <w:t>Dikera</w:t>
      </w:r>
      <w:proofErr w:type="spellEnd"/>
      <w:r w:rsidRPr="003209AE">
        <w:rPr>
          <w:rFonts w:ascii="Times New Roman" w:hAnsi="Times New Roman" w:cs="Times New Roman"/>
          <w:sz w:val="24"/>
          <w:szCs w:val="24"/>
        </w:rPr>
        <w:t xml:space="preserve"> (2014), Khandelwal </w:t>
      </w:r>
      <w:r w:rsidRPr="003209AE">
        <w:rPr>
          <w:rFonts w:ascii="Times New Roman" w:hAnsi="Times New Roman" w:cs="Times New Roman"/>
          <w:i/>
          <w:iCs/>
          <w:sz w:val="24"/>
          <w:szCs w:val="24"/>
        </w:rPr>
        <w:t xml:space="preserve">et al. </w:t>
      </w:r>
      <w:r w:rsidRPr="003209AE">
        <w:rPr>
          <w:rFonts w:ascii="Times New Roman" w:hAnsi="Times New Roman" w:cs="Times New Roman"/>
          <w:sz w:val="24"/>
          <w:szCs w:val="24"/>
        </w:rPr>
        <w:t xml:space="preserve"> (2015), Yadav </w:t>
      </w:r>
      <w:r w:rsidRPr="003209AE">
        <w:rPr>
          <w:rFonts w:ascii="Times New Roman" w:hAnsi="Times New Roman" w:cs="Times New Roman"/>
          <w:i/>
          <w:iCs/>
          <w:sz w:val="24"/>
          <w:szCs w:val="24"/>
        </w:rPr>
        <w:t xml:space="preserve">et al. </w:t>
      </w:r>
      <w:r w:rsidRPr="003209AE">
        <w:rPr>
          <w:rFonts w:ascii="Times New Roman" w:hAnsi="Times New Roman" w:cs="Times New Roman"/>
          <w:sz w:val="24"/>
          <w:szCs w:val="24"/>
        </w:rPr>
        <w:t xml:space="preserve"> (2019), Dev </w:t>
      </w:r>
      <w:r w:rsidRPr="003209AE">
        <w:rPr>
          <w:rFonts w:ascii="Times New Roman" w:hAnsi="Times New Roman" w:cs="Times New Roman"/>
          <w:i/>
          <w:iCs/>
          <w:sz w:val="24"/>
          <w:szCs w:val="24"/>
        </w:rPr>
        <w:t xml:space="preserve">et al. </w:t>
      </w:r>
      <w:r w:rsidRPr="003209AE">
        <w:rPr>
          <w:rFonts w:ascii="Times New Roman" w:hAnsi="Times New Roman" w:cs="Times New Roman"/>
          <w:sz w:val="24"/>
          <w:szCs w:val="24"/>
        </w:rPr>
        <w:t xml:space="preserve"> (2019), Singh </w:t>
      </w:r>
      <w:r w:rsidRPr="003209AE">
        <w:rPr>
          <w:rFonts w:ascii="Times New Roman" w:hAnsi="Times New Roman" w:cs="Times New Roman"/>
          <w:i/>
          <w:iCs/>
          <w:sz w:val="24"/>
          <w:szCs w:val="24"/>
        </w:rPr>
        <w:t xml:space="preserve">et al. </w:t>
      </w:r>
      <w:r w:rsidRPr="003209AE">
        <w:rPr>
          <w:rFonts w:ascii="Times New Roman" w:hAnsi="Times New Roman" w:cs="Times New Roman"/>
          <w:sz w:val="24"/>
          <w:szCs w:val="24"/>
        </w:rPr>
        <w:t xml:space="preserve"> (2019), Sen </w:t>
      </w:r>
      <w:r w:rsidRPr="003209AE">
        <w:rPr>
          <w:rFonts w:ascii="Times New Roman" w:hAnsi="Times New Roman" w:cs="Times New Roman"/>
          <w:i/>
          <w:iCs/>
          <w:sz w:val="24"/>
          <w:szCs w:val="24"/>
        </w:rPr>
        <w:t xml:space="preserve">et al. </w:t>
      </w:r>
      <w:r w:rsidRPr="003209AE">
        <w:rPr>
          <w:rFonts w:ascii="Times New Roman" w:hAnsi="Times New Roman" w:cs="Times New Roman"/>
          <w:sz w:val="24"/>
          <w:szCs w:val="24"/>
        </w:rPr>
        <w:t xml:space="preserve"> (2019) and Prasad and Sreedhar (2020).</w:t>
      </w:r>
    </w:p>
    <w:p w14:paraId="04BF8CCD" w14:textId="77777777" w:rsidR="00261555" w:rsidRPr="003209AE" w:rsidRDefault="00261555" w:rsidP="00CF43F8">
      <w:pPr>
        <w:spacing w:after="120" w:line="360" w:lineRule="auto"/>
        <w:jc w:val="both"/>
        <w:rPr>
          <w:rFonts w:ascii="Times New Roman" w:eastAsia="Calibri" w:hAnsi="Times New Roman" w:cs="Times New Roman"/>
          <w:b/>
          <w:bCs/>
          <w:caps/>
          <w:sz w:val="24"/>
          <w:szCs w:val="24"/>
        </w:rPr>
      </w:pPr>
      <w:r w:rsidRPr="003209AE">
        <w:rPr>
          <w:rFonts w:ascii="Times New Roman" w:eastAsia="Calibri" w:hAnsi="Times New Roman" w:cs="Times New Roman"/>
          <w:b/>
          <w:bCs/>
          <w:sz w:val="24"/>
          <w:szCs w:val="24"/>
        </w:rPr>
        <w:t>Estimation of genetic variability</w:t>
      </w:r>
      <w:r w:rsidRPr="003209AE">
        <w:rPr>
          <w:rFonts w:ascii="Times New Roman" w:eastAsia="Calibri" w:hAnsi="Times New Roman" w:cs="Times New Roman"/>
          <w:b/>
          <w:bCs/>
          <w:caps/>
          <w:sz w:val="24"/>
          <w:szCs w:val="24"/>
        </w:rPr>
        <w:t xml:space="preserve">: </w:t>
      </w:r>
    </w:p>
    <w:p w14:paraId="43894E51" w14:textId="77777777" w:rsidR="00E84BF7" w:rsidRPr="003209AE" w:rsidRDefault="00E84BF7" w:rsidP="00CF43F8">
      <w:pPr>
        <w:spacing w:after="120" w:line="360" w:lineRule="auto"/>
        <w:jc w:val="both"/>
        <w:rPr>
          <w:rFonts w:ascii="Times New Roman" w:eastAsia="Calibri" w:hAnsi="Times New Roman" w:cs="Times New Roman"/>
          <w:sz w:val="24"/>
          <w:szCs w:val="24"/>
        </w:rPr>
      </w:pPr>
      <w:r w:rsidRPr="003209AE">
        <w:rPr>
          <w:rFonts w:ascii="Times New Roman" w:eastAsia="Calibri" w:hAnsi="Times New Roman" w:cs="Times New Roman"/>
          <w:b/>
          <w:bCs/>
          <w:sz w:val="24"/>
          <w:szCs w:val="24"/>
        </w:rPr>
        <w:lastRenderedPageBreak/>
        <w:t>Variability studies</w:t>
      </w:r>
      <w:r w:rsidR="00E21063" w:rsidRPr="003209AE">
        <w:rPr>
          <w:rFonts w:ascii="Times New Roman" w:eastAsia="Calibri" w:hAnsi="Times New Roman" w:cs="Times New Roman"/>
          <w:b/>
          <w:bCs/>
          <w:sz w:val="24"/>
          <w:szCs w:val="24"/>
        </w:rPr>
        <w:t>:</w:t>
      </w:r>
      <w:r w:rsidR="00261555" w:rsidRPr="003209AE">
        <w:rPr>
          <w:rFonts w:ascii="Times New Roman" w:eastAsia="Calibri" w:hAnsi="Times New Roman" w:cs="Times New Roman"/>
          <w:b/>
          <w:bCs/>
          <w:sz w:val="24"/>
          <w:szCs w:val="24"/>
        </w:rPr>
        <w:t xml:space="preserve"> </w:t>
      </w:r>
      <w:r w:rsidRPr="003209AE">
        <w:rPr>
          <w:rFonts w:ascii="Times New Roman" w:eastAsia="Calibri" w:hAnsi="Times New Roman" w:cs="Times New Roman"/>
          <w:sz w:val="24"/>
          <w:szCs w:val="24"/>
        </w:rPr>
        <w:t xml:space="preserve">The analysis indicated that for each trait examined, the Phenotypic Coefficient of Variation (PCV) was higher than the Genotypic Coefficient of Variation (GCV), suggesting a significant environmental influence on these traits (Table </w:t>
      </w:r>
      <w:r w:rsidR="00F517BF" w:rsidRPr="003209AE">
        <w:rPr>
          <w:rFonts w:ascii="Times New Roman" w:eastAsia="Calibri" w:hAnsi="Times New Roman" w:cs="Times New Roman"/>
          <w:sz w:val="24"/>
          <w:szCs w:val="24"/>
        </w:rPr>
        <w:t>6</w:t>
      </w:r>
      <w:r w:rsidRPr="003209AE">
        <w:rPr>
          <w:rFonts w:ascii="Times New Roman" w:eastAsia="Calibri" w:hAnsi="Times New Roman" w:cs="Times New Roman"/>
          <w:sz w:val="24"/>
          <w:szCs w:val="24"/>
        </w:rPr>
        <w:t>).</w:t>
      </w:r>
    </w:p>
    <w:p w14:paraId="416A9A60" w14:textId="77777777" w:rsidR="00E84BF7" w:rsidRPr="003209AE" w:rsidRDefault="00E84BF7" w:rsidP="00CF43F8">
      <w:pPr>
        <w:spacing w:after="120" w:line="360" w:lineRule="auto"/>
        <w:jc w:val="both"/>
        <w:rPr>
          <w:rFonts w:ascii="Times New Roman" w:eastAsia="Calibri" w:hAnsi="Times New Roman" w:cs="Times New Roman"/>
          <w:b/>
          <w:bCs/>
          <w:sz w:val="24"/>
          <w:szCs w:val="24"/>
        </w:rPr>
      </w:pPr>
      <w:r w:rsidRPr="003209AE">
        <w:rPr>
          <w:rFonts w:ascii="Times New Roman" w:eastAsia="Calibri" w:hAnsi="Times New Roman" w:cs="Times New Roman"/>
          <w:b/>
          <w:bCs/>
          <w:sz w:val="24"/>
          <w:szCs w:val="24"/>
        </w:rPr>
        <w:t>Co-efficient of variation</w:t>
      </w:r>
      <w:r w:rsidR="00E21063" w:rsidRPr="003209AE">
        <w:rPr>
          <w:rFonts w:ascii="Times New Roman" w:eastAsia="Calibri" w:hAnsi="Times New Roman" w:cs="Times New Roman"/>
          <w:b/>
          <w:bCs/>
          <w:sz w:val="24"/>
          <w:szCs w:val="24"/>
        </w:rPr>
        <w:t>:</w:t>
      </w:r>
    </w:p>
    <w:p w14:paraId="31B11C95" w14:textId="77777777" w:rsidR="00E84BF7" w:rsidRPr="003209AE" w:rsidRDefault="00E84BF7" w:rsidP="00CF43F8">
      <w:pPr>
        <w:spacing w:after="120" w:line="360" w:lineRule="auto"/>
        <w:jc w:val="both"/>
        <w:rPr>
          <w:rFonts w:ascii="Times New Roman" w:eastAsia="Calibri" w:hAnsi="Times New Roman" w:cs="Times New Roman"/>
          <w:sz w:val="24"/>
          <w:szCs w:val="24"/>
        </w:rPr>
      </w:pPr>
      <w:r w:rsidRPr="003209AE">
        <w:rPr>
          <w:rFonts w:ascii="Times New Roman" w:eastAsia="Calibri" w:hAnsi="Times New Roman" w:cs="Times New Roman"/>
          <w:b/>
          <w:bCs/>
          <w:sz w:val="24"/>
          <w:szCs w:val="24"/>
        </w:rPr>
        <w:t>Phenotypic Coefficient of Variation (PCV)</w:t>
      </w:r>
      <w:r w:rsidR="00E21063" w:rsidRPr="003209AE">
        <w:rPr>
          <w:rFonts w:ascii="Times New Roman" w:eastAsia="Calibri" w:hAnsi="Times New Roman" w:cs="Times New Roman"/>
          <w:b/>
          <w:bCs/>
          <w:sz w:val="24"/>
          <w:szCs w:val="24"/>
        </w:rPr>
        <w:t>:</w:t>
      </w:r>
      <w:r w:rsidR="00261555" w:rsidRPr="003209AE">
        <w:rPr>
          <w:rFonts w:ascii="Times New Roman" w:eastAsia="Calibri" w:hAnsi="Times New Roman" w:cs="Times New Roman"/>
          <w:b/>
          <w:bCs/>
          <w:sz w:val="24"/>
          <w:szCs w:val="24"/>
        </w:rPr>
        <w:t xml:space="preserve"> </w:t>
      </w:r>
      <w:r w:rsidRPr="003209AE">
        <w:rPr>
          <w:rFonts w:ascii="Times New Roman" w:eastAsia="Calibri" w:hAnsi="Times New Roman" w:cs="Times New Roman"/>
          <w:sz w:val="24"/>
          <w:szCs w:val="24"/>
        </w:rPr>
        <w:t xml:space="preserve">Moderate PCV estimates were observed for plant height (11.28%, 10.86%, 10.39% and 10.53%), grain yield (14.94%, 14.47%, 19.25% and 14.67%) and dry fodder yield (15.93%, 13.61%, 10.87% and 10.21%) across all three study locations </w:t>
      </w:r>
      <w:r w:rsidRPr="003209AE">
        <w:rPr>
          <w:rFonts w:ascii="Times New Roman" w:eastAsia="Calibri" w:hAnsi="Times New Roman" w:cs="Times New Roman"/>
          <w:i/>
          <w:iCs/>
          <w:sz w:val="24"/>
          <w:szCs w:val="24"/>
        </w:rPr>
        <w:t>viz.</w:t>
      </w:r>
      <w:r w:rsidRPr="003209AE">
        <w:rPr>
          <w:rFonts w:ascii="Times New Roman" w:eastAsia="Calibri" w:hAnsi="Times New Roman" w:cs="Times New Roman"/>
          <w:sz w:val="24"/>
          <w:szCs w:val="24"/>
        </w:rPr>
        <w:t xml:space="preserve">,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w:t>
      </w:r>
      <w:proofErr w:type="spellStart"/>
      <w:r w:rsidRPr="003209AE">
        <w:rPr>
          <w:rFonts w:ascii="Times New Roman" w:eastAsia="Calibri" w:hAnsi="Times New Roman" w:cs="Times New Roman"/>
          <w:sz w:val="24"/>
          <w:szCs w:val="24"/>
        </w:rPr>
        <w:t>Podalakur</w:t>
      </w:r>
      <w:proofErr w:type="spellEnd"/>
      <w:r w:rsidRPr="003209AE">
        <w:rPr>
          <w:rFonts w:ascii="Times New Roman" w:eastAsia="Calibri" w:hAnsi="Times New Roman" w:cs="Times New Roman"/>
          <w:sz w:val="24"/>
          <w:szCs w:val="24"/>
        </w:rPr>
        <w:t xml:space="preserve"> and Guntur, as well as in the combined data analysis respectively. In contrast, for test weight, moderate PCV values were recorded only at the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(11.04%) and </w:t>
      </w:r>
      <w:proofErr w:type="spellStart"/>
      <w:r w:rsidRPr="003209AE">
        <w:rPr>
          <w:rFonts w:ascii="Times New Roman" w:eastAsia="Calibri" w:hAnsi="Times New Roman" w:cs="Times New Roman"/>
          <w:sz w:val="24"/>
          <w:szCs w:val="24"/>
        </w:rPr>
        <w:t>Podalakur</w:t>
      </w:r>
      <w:proofErr w:type="spellEnd"/>
      <w:r w:rsidRPr="003209AE">
        <w:rPr>
          <w:rFonts w:ascii="Times New Roman" w:eastAsia="Calibri" w:hAnsi="Times New Roman" w:cs="Times New Roman"/>
          <w:sz w:val="24"/>
          <w:szCs w:val="24"/>
        </w:rPr>
        <w:t xml:space="preserve"> (11.02%) sites.</w:t>
      </w:r>
    </w:p>
    <w:p w14:paraId="72A25372" w14:textId="77777777" w:rsidR="00E84BF7" w:rsidRPr="003209AE" w:rsidRDefault="00E84BF7" w:rsidP="00CF43F8">
      <w:pPr>
        <w:spacing w:after="120" w:line="360" w:lineRule="auto"/>
        <w:ind w:firstLine="720"/>
        <w:jc w:val="both"/>
        <w:rPr>
          <w:rFonts w:ascii="Times New Roman" w:eastAsia="Calibri" w:hAnsi="Times New Roman" w:cs="Times New Roman"/>
          <w:sz w:val="24"/>
          <w:szCs w:val="24"/>
        </w:rPr>
      </w:pPr>
      <w:r w:rsidRPr="003209AE">
        <w:rPr>
          <w:rFonts w:ascii="Times New Roman" w:eastAsia="Calibri" w:hAnsi="Times New Roman" w:cs="Times New Roman"/>
          <w:sz w:val="24"/>
          <w:szCs w:val="24"/>
        </w:rPr>
        <w:t xml:space="preserve">Conversely, low PCV values were recorded for panicle length (9.93%, 8.57%, 8.13% and 6.26%), days to 50% flowering (2.32%, 2.64%, 2.78% and 1.66%) and days to maturity (1.92%, 2.08%, 2.11% and 1.21%) across all three locations and in the pooled data respectively. Additionally, test weight exhibited low PCV values specifically at the Guntur (9.87%) location and in the pooled (9.78%) analysis (Table </w:t>
      </w:r>
      <w:r w:rsidR="00F517BF" w:rsidRPr="003209AE">
        <w:rPr>
          <w:rFonts w:ascii="Times New Roman" w:eastAsia="Calibri" w:hAnsi="Times New Roman" w:cs="Times New Roman"/>
          <w:sz w:val="24"/>
          <w:szCs w:val="24"/>
        </w:rPr>
        <w:t>6</w:t>
      </w:r>
      <w:r w:rsidRPr="003209AE">
        <w:rPr>
          <w:rFonts w:ascii="Times New Roman" w:eastAsia="Calibri" w:hAnsi="Times New Roman" w:cs="Times New Roman"/>
          <w:sz w:val="24"/>
          <w:szCs w:val="24"/>
        </w:rPr>
        <w:t>).</w:t>
      </w:r>
    </w:p>
    <w:p w14:paraId="58683C04" w14:textId="77777777" w:rsidR="00E84BF7" w:rsidRPr="003209AE" w:rsidRDefault="00E84BF7" w:rsidP="00CF43F8">
      <w:pPr>
        <w:spacing w:after="120" w:line="360" w:lineRule="auto"/>
        <w:jc w:val="both"/>
        <w:rPr>
          <w:rFonts w:ascii="Times New Roman" w:eastAsia="Calibri" w:hAnsi="Times New Roman" w:cs="Times New Roman"/>
          <w:sz w:val="24"/>
          <w:szCs w:val="24"/>
        </w:rPr>
      </w:pPr>
      <w:r w:rsidRPr="003209AE">
        <w:rPr>
          <w:rFonts w:ascii="Times New Roman" w:eastAsia="Calibri" w:hAnsi="Times New Roman" w:cs="Times New Roman"/>
          <w:b/>
          <w:bCs/>
          <w:sz w:val="24"/>
          <w:szCs w:val="24"/>
        </w:rPr>
        <w:t>Genotypic Coefficient of Variance (GCV)</w:t>
      </w:r>
      <w:r w:rsidR="00E21063" w:rsidRPr="003209AE">
        <w:rPr>
          <w:rFonts w:ascii="Times New Roman" w:eastAsia="Calibri" w:hAnsi="Times New Roman" w:cs="Times New Roman"/>
          <w:b/>
          <w:bCs/>
          <w:sz w:val="24"/>
          <w:szCs w:val="24"/>
        </w:rPr>
        <w:t>:</w:t>
      </w:r>
      <w:r w:rsidR="00261555" w:rsidRPr="003209AE">
        <w:rPr>
          <w:rFonts w:ascii="Times New Roman" w:eastAsia="Calibri" w:hAnsi="Times New Roman" w:cs="Times New Roman"/>
          <w:b/>
          <w:bCs/>
          <w:sz w:val="24"/>
          <w:szCs w:val="24"/>
        </w:rPr>
        <w:t xml:space="preserve"> </w:t>
      </w:r>
      <w:r w:rsidRPr="003209AE">
        <w:rPr>
          <w:rFonts w:ascii="Times New Roman" w:eastAsia="Calibri" w:hAnsi="Times New Roman" w:cs="Times New Roman"/>
          <w:sz w:val="24"/>
          <w:szCs w:val="24"/>
        </w:rPr>
        <w:t xml:space="preserve">Moderate genotypic coefficient of variance (GCV) estimates were observed for grain yield across all three locations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(13.26%), </w:t>
      </w:r>
      <w:proofErr w:type="spellStart"/>
      <w:r w:rsidRPr="003209AE">
        <w:rPr>
          <w:rFonts w:ascii="Times New Roman" w:eastAsia="Calibri" w:hAnsi="Times New Roman" w:cs="Times New Roman"/>
          <w:sz w:val="24"/>
          <w:szCs w:val="24"/>
        </w:rPr>
        <w:t>Podalakur</w:t>
      </w:r>
      <w:proofErr w:type="spellEnd"/>
      <w:r w:rsidRPr="003209AE">
        <w:rPr>
          <w:rFonts w:ascii="Times New Roman" w:eastAsia="Calibri" w:hAnsi="Times New Roman" w:cs="Times New Roman"/>
          <w:sz w:val="24"/>
          <w:szCs w:val="24"/>
        </w:rPr>
        <w:t xml:space="preserve"> (13.42%) and Guntur (17.97%) as well as in the pooled data (14.04%) across these sites. Additionally, moderate GCV values were noted for test weight (10.07% at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10.09% at </w:t>
      </w:r>
      <w:proofErr w:type="spellStart"/>
      <w:r w:rsidRPr="003209AE">
        <w:rPr>
          <w:rFonts w:ascii="Times New Roman" w:eastAsia="Calibri" w:hAnsi="Times New Roman" w:cs="Times New Roman"/>
          <w:sz w:val="24"/>
          <w:szCs w:val="24"/>
        </w:rPr>
        <w:t>Podalakur</w:t>
      </w:r>
      <w:proofErr w:type="spellEnd"/>
      <w:r w:rsidRPr="003209AE">
        <w:rPr>
          <w:rFonts w:ascii="Times New Roman" w:eastAsia="Calibri" w:hAnsi="Times New Roman" w:cs="Times New Roman"/>
          <w:sz w:val="24"/>
          <w:szCs w:val="24"/>
        </w:rPr>
        <w:t xml:space="preserve">) and dry fodder yield (11.21% at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11.49% at </w:t>
      </w:r>
      <w:proofErr w:type="spellStart"/>
      <w:r w:rsidRPr="003209AE">
        <w:rPr>
          <w:rFonts w:ascii="Times New Roman" w:eastAsia="Calibri" w:hAnsi="Times New Roman" w:cs="Times New Roman"/>
          <w:sz w:val="24"/>
          <w:szCs w:val="24"/>
        </w:rPr>
        <w:t>Podalakur</w:t>
      </w:r>
      <w:proofErr w:type="spellEnd"/>
      <w:r w:rsidRPr="003209AE">
        <w:rPr>
          <w:rFonts w:ascii="Times New Roman" w:eastAsia="Calibri" w:hAnsi="Times New Roman" w:cs="Times New Roman"/>
          <w:sz w:val="24"/>
          <w:szCs w:val="24"/>
        </w:rPr>
        <w:t xml:space="preserve">) at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and </w:t>
      </w:r>
      <w:proofErr w:type="spellStart"/>
      <w:r w:rsidRPr="003209AE">
        <w:rPr>
          <w:rFonts w:ascii="Times New Roman" w:eastAsia="Calibri" w:hAnsi="Times New Roman" w:cs="Times New Roman"/>
          <w:sz w:val="24"/>
          <w:szCs w:val="24"/>
        </w:rPr>
        <w:t>Podalakur</w:t>
      </w:r>
      <w:proofErr w:type="spellEnd"/>
      <w:r w:rsidRPr="003209AE">
        <w:rPr>
          <w:rFonts w:ascii="Times New Roman" w:eastAsia="Calibri" w:hAnsi="Times New Roman" w:cs="Times New Roman"/>
          <w:sz w:val="24"/>
          <w:szCs w:val="24"/>
        </w:rPr>
        <w:t>.</w:t>
      </w:r>
    </w:p>
    <w:p w14:paraId="31D34C2E" w14:textId="77777777" w:rsidR="00E84BF7" w:rsidRPr="003209AE" w:rsidRDefault="00E84BF7" w:rsidP="00CF43F8">
      <w:pPr>
        <w:spacing w:after="120" w:line="360" w:lineRule="auto"/>
        <w:ind w:firstLine="720"/>
        <w:jc w:val="both"/>
        <w:rPr>
          <w:rFonts w:ascii="Times New Roman" w:eastAsia="Calibri" w:hAnsi="Times New Roman" w:cs="Times New Roman"/>
          <w:sz w:val="24"/>
          <w:szCs w:val="24"/>
        </w:rPr>
      </w:pPr>
      <w:r w:rsidRPr="003209AE">
        <w:rPr>
          <w:rFonts w:ascii="Times New Roman" w:eastAsia="Calibri" w:hAnsi="Times New Roman" w:cs="Times New Roman"/>
          <w:sz w:val="24"/>
          <w:szCs w:val="24"/>
        </w:rPr>
        <w:t xml:space="preserve">Conversely, low GCV values were observed for plant height (9.83%, 9.05%, 8.59% and 9.25%), panicle length (6.82%, 7.46%, 6.31% and 5.06%), days to 50% flowering (1.47%, 1.69%, 1.34% and 0.80%) and days to maturity (1.33%, 1.50%, 1.30% and 1.07%) across all locations and in the pooled data. Similarly, low GCV estimates were seen for test weight (8.91% at Guntur, 9.26% in pooled environment) and dry fodder yield (8.24% at Guntur, 7.79% at pooled environment) specifically at the Guntur location and in the pooled results (Table </w:t>
      </w:r>
      <w:r w:rsidR="00F517BF" w:rsidRPr="003209AE">
        <w:rPr>
          <w:rFonts w:ascii="Times New Roman" w:eastAsia="Calibri" w:hAnsi="Times New Roman" w:cs="Times New Roman"/>
          <w:sz w:val="24"/>
          <w:szCs w:val="24"/>
        </w:rPr>
        <w:t>6</w:t>
      </w:r>
      <w:r w:rsidRPr="003209AE">
        <w:rPr>
          <w:rFonts w:ascii="Times New Roman" w:eastAsia="Calibri" w:hAnsi="Times New Roman" w:cs="Times New Roman"/>
          <w:sz w:val="24"/>
          <w:szCs w:val="24"/>
        </w:rPr>
        <w:t>).</w:t>
      </w:r>
    </w:p>
    <w:p w14:paraId="121E5BAD" w14:textId="14977693" w:rsidR="00E84BF7" w:rsidRPr="003209AE" w:rsidRDefault="00E84BF7" w:rsidP="00CF43F8">
      <w:pPr>
        <w:spacing w:after="120" w:line="360" w:lineRule="auto"/>
        <w:ind w:firstLine="720"/>
        <w:jc w:val="both"/>
        <w:rPr>
          <w:rFonts w:ascii="Times New Roman" w:eastAsia="Calibri" w:hAnsi="Times New Roman" w:cs="Times New Roman"/>
          <w:sz w:val="24"/>
          <w:szCs w:val="24"/>
        </w:rPr>
      </w:pPr>
      <w:r w:rsidRPr="003209AE">
        <w:rPr>
          <w:rFonts w:ascii="Times New Roman" w:eastAsia="Calibri" w:hAnsi="Times New Roman" w:cs="Times New Roman"/>
          <w:sz w:val="24"/>
          <w:szCs w:val="24"/>
        </w:rPr>
        <w:t xml:space="preserve">At the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location, the phenotypic coefficient of variation (PCV) values was consistently higher than GCV values for each trait, underscoring the substantial environmental influence on these traits. Moderate PCV values were found for SPAD chlorophyll meter readings and relative water content, while moderate GCV estimates were recorded only for relative water content. Meanwhile, low PCV values were observed for specific leaf area, </w:t>
      </w:r>
      <w:r w:rsidRPr="003209AE">
        <w:rPr>
          <w:rFonts w:ascii="Times New Roman" w:eastAsia="Calibri" w:hAnsi="Times New Roman" w:cs="Times New Roman"/>
          <w:i/>
          <w:iCs/>
          <w:sz w:val="24"/>
          <w:szCs w:val="24"/>
        </w:rPr>
        <w:t xml:space="preserve">per cent </w:t>
      </w:r>
      <w:r w:rsidRPr="003209AE">
        <w:rPr>
          <w:rFonts w:ascii="Times New Roman" w:eastAsia="Calibri" w:hAnsi="Times New Roman" w:cs="Times New Roman"/>
          <w:sz w:val="24"/>
          <w:szCs w:val="24"/>
        </w:rPr>
        <w:t xml:space="preserve">membrane damage and canopy temperature, with low GCV estimates for SPAD </w:t>
      </w:r>
      <w:r w:rsidRPr="003209AE">
        <w:rPr>
          <w:rFonts w:ascii="Times New Roman" w:eastAsia="Calibri" w:hAnsi="Times New Roman" w:cs="Times New Roman"/>
          <w:sz w:val="24"/>
          <w:szCs w:val="24"/>
        </w:rPr>
        <w:lastRenderedPageBreak/>
        <w:t xml:space="preserve">chlorophyll meter readings, specific leaf area, </w:t>
      </w:r>
      <w:r w:rsidRPr="003209AE">
        <w:rPr>
          <w:rFonts w:ascii="Times New Roman" w:eastAsia="Calibri" w:hAnsi="Times New Roman" w:cs="Times New Roman"/>
          <w:i/>
          <w:iCs/>
          <w:sz w:val="24"/>
          <w:szCs w:val="24"/>
        </w:rPr>
        <w:t xml:space="preserve">per cent </w:t>
      </w:r>
      <w:r w:rsidRPr="003209AE">
        <w:rPr>
          <w:rFonts w:ascii="Times New Roman" w:eastAsia="Calibri" w:hAnsi="Times New Roman" w:cs="Times New Roman"/>
          <w:sz w:val="24"/>
          <w:szCs w:val="24"/>
        </w:rPr>
        <w:t xml:space="preserve">membrane damage and canopy temperature (Table </w:t>
      </w:r>
      <w:r w:rsidR="000E2798" w:rsidRPr="003209AE">
        <w:rPr>
          <w:rFonts w:ascii="Times New Roman" w:eastAsia="Calibri" w:hAnsi="Times New Roman" w:cs="Times New Roman"/>
          <w:sz w:val="24"/>
          <w:szCs w:val="24"/>
        </w:rPr>
        <w:t>8</w:t>
      </w:r>
      <w:r w:rsidRPr="003209AE">
        <w:rPr>
          <w:rFonts w:ascii="Times New Roman" w:eastAsia="Calibri" w:hAnsi="Times New Roman" w:cs="Times New Roman"/>
          <w:sz w:val="24"/>
          <w:szCs w:val="24"/>
        </w:rPr>
        <w:t>).</w:t>
      </w:r>
    </w:p>
    <w:p w14:paraId="31AFC2F5" w14:textId="77777777" w:rsidR="00B84C75" w:rsidRPr="003209AE" w:rsidRDefault="00B84C75" w:rsidP="00CF43F8">
      <w:pPr>
        <w:pStyle w:val="NormalWeb"/>
        <w:spacing w:before="0" w:beforeAutospacing="0" w:after="120" w:afterAutospacing="0" w:line="360" w:lineRule="auto"/>
        <w:ind w:firstLine="720"/>
        <w:jc w:val="both"/>
      </w:pPr>
      <w:r w:rsidRPr="003209AE">
        <w:t xml:space="preserve">The present study revealed substantial genetic variability among sorghum genotypes, as indicated by moderate to high PCV and GCV values for grain yield, fodder yield, plant height and 100-grain weight. The relatively small differences between PCV and GCV for most traits suggest limited environmental influence and the predominance of genetic control, indicating good scope for selection. Similar findings were reported by Sujatha and Pushpavalli (2017), Tesfaye (2017), Kavitha (2018) and Swamy </w:t>
      </w:r>
      <w:r w:rsidRPr="003209AE">
        <w:rPr>
          <w:i/>
          <w:iCs/>
        </w:rPr>
        <w:t>et al.</w:t>
      </w:r>
      <w:r w:rsidRPr="003209AE">
        <w:t xml:space="preserve"> (2018), who highlighted the effectiveness of selection for yield and related traits due to additive gene action.</w:t>
      </w:r>
    </w:p>
    <w:p w14:paraId="3ED6F2F1" w14:textId="77777777" w:rsidR="00B84C75" w:rsidRPr="003209AE" w:rsidRDefault="00B84C75" w:rsidP="00CF43F8">
      <w:pPr>
        <w:pStyle w:val="NormalWeb"/>
        <w:spacing w:before="0" w:beforeAutospacing="0" w:after="120" w:afterAutospacing="0" w:line="360" w:lineRule="auto"/>
        <w:ind w:firstLine="720"/>
        <w:jc w:val="both"/>
      </w:pPr>
      <w:r w:rsidRPr="003209AE">
        <w:t xml:space="preserve">High PCV and GCV values observed for leaf-stem ratio and green fodder yield (&gt;25%) further emphasize their wide variability and strong potential for genetic improvement. Comparable results were documented by Diwakar </w:t>
      </w:r>
      <w:r w:rsidRPr="003209AE">
        <w:rPr>
          <w:i/>
          <w:iCs/>
        </w:rPr>
        <w:t>et al.</w:t>
      </w:r>
      <w:r w:rsidRPr="003209AE">
        <w:t xml:space="preserve"> (2016), Damor </w:t>
      </w:r>
      <w:r w:rsidRPr="003209AE">
        <w:rPr>
          <w:i/>
          <w:iCs/>
        </w:rPr>
        <w:t>et al.</w:t>
      </w:r>
      <w:r w:rsidRPr="003209AE">
        <w:t xml:space="preserve"> (2018) and Prasad and Sreedhar (2020). Although PCV values were generally higher than GCV values, indicating some environmental influence, the magnitude of variability remained sufficiently high to permit effective selection. </w:t>
      </w:r>
    </w:p>
    <w:p w14:paraId="5732DB65" w14:textId="530EDE1B" w:rsidR="00B84C75" w:rsidRPr="003209AE" w:rsidRDefault="00B84C75" w:rsidP="00CF43F8">
      <w:pPr>
        <w:pStyle w:val="NormalWeb"/>
        <w:spacing w:before="0" w:beforeAutospacing="0" w:after="120" w:afterAutospacing="0" w:line="360" w:lineRule="auto"/>
        <w:ind w:firstLine="720"/>
        <w:jc w:val="both"/>
      </w:pPr>
      <w:r w:rsidRPr="003209AE">
        <w:t xml:space="preserve">Physiological traits such as chlorophyll content and relative water content also exhibited high variability, along with high heritability and genetic advance (except plant height at 30 DAS), suggesting the predominance of additive gene effects. These findings are consistent with </w:t>
      </w:r>
      <w:proofErr w:type="spellStart"/>
      <w:r w:rsidRPr="003209AE">
        <w:t>Chaithrashree</w:t>
      </w:r>
      <w:proofErr w:type="spellEnd"/>
      <w:r w:rsidRPr="003209AE">
        <w:t xml:space="preserve"> </w:t>
      </w:r>
      <w:r w:rsidRPr="003209AE">
        <w:rPr>
          <w:i/>
          <w:iCs/>
        </w:rPr>
        <w:t>et al.</w:t>
      </w:r>
      <w:r w:rsidRPr="003209AE">
        <w:t xml:space="preserve"> (2024) and Ngidi </w:t>
      </w:r>
      <w:r w:rsidRPr="003209AE">
        <w:rPr>
          <w:i/>
          <w:iCs/>
        </w:rPr>
        <w:t>et al.</w:t>
      </w:r>
      <w:r w:rsidRPr="003209AE">
        <w:t xml:space="preserve"> (2024). The observed association between morphological and physiological traits indicates that genotypes with </w:t>
      </w:r>
      <w:r w:rsidR="009A7503" w:rsidRPr="003209AE">
        <w:t>favourable attributes, including reduced membrane damage and optimal canopy temperature, can be prioritised to improve</w:t>
      </w:r>
      <w:r w:rsidRPr="003209AE">
        <w:t xml:space="preserve"> drought tolerance and productivity. Overall, the results highlight the importance of integrating both morphological and physiological traits in sorghum breeding programmes to enhance resilience and yield stability.</w:t>
      </w:r>
    </w:p>
    <w:p w14:paraId="55179558" w14:textId="77777777" w:rsidR="007C08A8" w:rsidRPr="003209AE" w:rsidRDefault="00E84BF7" w:rsidP="00CF43F8">
      <w:pPr>
        <w:spacing w:after="120" w:line="360" w:lineRule="auto"/>
        <w:jc w:val="both"/>
        <w:rPr>
          <w:rFonts w:ascii="Times New Roman" w:eastAsia="Calibri" w:hAnsi="Times New Roman" w:cs="Times New Roman"/>
          <w:sz w:val="24"/>
          <w:szCs w:val="24"/>
        </w:rPr>
      </w:pPr>
      <w:r w:rsidRPr="003209AE">
        <w:rPr>
          <w:rFonts w:ascii="Times New Roman" w:eastAsia="Calibri" w:hAnsi="Times New Roman" w:cs="Times New Roman"/>
          <w:b/>
          <w:bCs/>
          <w:sz w:val="24"/>
          <w:szCs w:val="24"/>
        </w:rPr>
        <w:t>Genetic heritability</w:t>
      </w:r>
      <w:r w:rsidR="00E21063" w:rsidRPr="003209AE">
        <w:rPr>
          <w:rFonts w:ascii="Times New Roman" w:eastAsia="Calibri" w:hAnsi="Times New Roman" w:cs="Times New Roman"/>
          <w:b/>
          <w:bCs/>
          <w:sz w:val="24"/>
          <w:szCs w:val="24"/>
        </w:rPr>
        <w:t>:</w:t>
      </w:r>
      <w:r w:rsidR="00110C17" w:rsidRPr="003209AE">
        <w:rPr>
          <w:rFonts w:ascii="Times New Roman" w:eastAsia="Calibri" w:hAnsi="Times New Roman" w:cs="Times New Roman"/>
          <w:b/>
          <w:bCs/>
          <w:sz w:val="24"/>
          <w:szCs w:val="24"/>
        </w:rPr>
        <w:t xml:space="preserve"> </w:t>
      </w:r>
      <w:r w:rsidRPr="003209AE">
        <w:rPr>
          <w:rFonts w:ascii="Times New Roman" w:eastAsia="Calibri" w:hAnsi="Times New Roman" w:cs="Times New Roman"/>
          <w:sz w:val="24"/>
          <w:szCs w:val="24"/>
        </w:rPr>
        <w:t xml:space="preserve">In the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location, high heritability estimates were observed for 100 grain weight (84%), grain yield (79%) and plant height (76%). Moderate heritability was recorded for dry fodder yield (50%), days to maturity (48%), panicle length (47%) and days to 50% flowering (40%) (Table </w:t>
      </w:r>
      <w:r w:rsidR="000E2798" w:rsidRPr="003209AE">
        <w:rPr>
          <w:rFonts w:ascii="Times New Roman" w:eastAsia="Calibri" w:hAnsi="Times New Roman" w:cs="Times New Roman"/>
          <w:sz w:val="24"/>
          <w:szCs w:val="24"/>
        </w:rPr>
        <w:t>7</w:t>
      </w:r>
      <w:r w:rsidRPr="003209AE">
        <w:rPr>
          <w:rFonts w:ascii="Times New Roman" w:eastAsia="Calibri" w:hAnsi="Times New Roman" w:cs="Times New Roman"/>
          <w:sz w:val="24"/>
          <w:szCs w:val="24"/>
        </w:rPr>
        <w:t>).</w:t>
      </w:r>
      <w:r w:rsidR="00110C17" w:rsidRPr="003209AE">
        <w:rPr>
          <w:rFonts w:ascii="Times New Roman" w:eastAsia="Calibri" w:hAnsi="Times New Roman" w:cs="Times New Roman"/>
          <w:sz w:val="24"/>
          <w:szCs w:val="24"/>
        </w:rPr>
        <w:t xml:space="preserve"> </w:t>
      </w:r>
      <w:r w:rsidRPr="003209AE">
        <w:rPr>
          <w:rFonts w:ascii="Times New Roman" w:eastAsia="Calibri" w:hAnsi="Times New Roman" w:cs="Times New Roman"/>
          <w:sz w:val="24"/>
          <w:szCs w:val="24"/>
        </w:rPr>
        <w:t xml:space="preserve">At the </w:t>
      </w:r>
      <w:proofErr w:type="spellStart"/>
      <w:r w:rsidRPr="003209AE">
        <w:rPr>
          <w:rFonts w:ascii="Times New Roman" w:eastAsia="Calibri" w:hAnsi="Times New Roman" w:cs="Times New Roman"/>
          <w:sz w:val="24"/>
          <w:szCs w:val="24"/>
        </w:rPr>
        <w:t>Podalakur</w:t>
      </w:r>
      <w:proofErr w:type="spellEnd"/>
      <w:r w:rsidRPr="003209AE">
        <w:rPr>
          <w:rFonts w:ascii="Times New Roman" w:eastAsia="Calibri" w:hAnsi="Times New Roman" w:cs="Times New Roman"/>
          <w:sz w:val="24"/>
          <w:szCs w:val="24"/>
        </w:rPr>
        <w:t xml:space="preserve"> location, grain yield showed the highest heritability (86%), followed by 100 grain weight (84%), panicle length (76%), dry fodder yield (71%) and plant height (70%). Moderate heritability was observed for days to 50% flowering (41%), whereas days to maturity displayed low heritability (53%).</w:t>
      </w:r>
      <w:r w:rsidR="00110C17" w:rsidRPr="003209AE">
        <w:rPr>
          <w:rFonts w:ascii="Times New Roman" w:eastAsia="Calibri" w:hAnsi="Times New Roman" w:cs="Times New Roman"/>
          <w:sz w:val="24"/>
          <w:szCs w:val="24"/>
        </w:rPr>
        <w:t xml:space="preserve"> </w:t>
      </w:r>
      <w:r w:rsidR="007C08A8" w:rsidRPr="003209AE">
        <w:rPr>
          <w:rFonts w:ascii="Times New Roman" w:eastAsia="Calibri" w:hAnsi="Times New Roman" w:cs="Times New Roman"/>
          <w:sz w:val="24"/>
          <w:szCs w:val="24"/>
        </w:rPr>
        <w:t>In Guntur, the highest heritability estimates were recorded for grain yield (87%), 100 grain weight (82%) and plant height (68%). Moderate heritability estimates were noted for panicle length (60%) and dry fodder yield (58%), while low heritability values were found in days to maturity (39%) and days to 50% flowering (23%).</w:t>
      </w:r>
    </w:p>
    <w:p w14:paraId="04C94124" w14:textId="77777777" w:rsidR="007C08A8" w:rsidRPr="003209AE" w:rsidRDefault="007C08A8" w:rsidP="00CF43F8">
      <w:pPr>
        <w:spacing w:after="120" w:line="360" w:lineRule="auto"/>
        <w:ind w:firstLine="720"/>
        <w:jc w:val="both"/>
        <w:rPr>
          <w:rFonts w:ascii="Times New Roman" w:eastAsia="Calibri" w:hAnsi="Times New Roman" w:cs="Times New Roman"/>
          <w:sz w:val="24"/>
          <w:szCs w:val="24"/>
        </w:rPr>
      </w:pPr>
      <w:r w:rsidRPr="003209AE">
        <w:rPr>
          <w:rFonts w:ascii="Times New Roman" w:eastAsia="Calibri" w:hAnsi="Times New Roman" w:cs="Times New Roman"/>
          <w:sz w:val="24"/>
          <w:szCs w:val="24"/>
        </w:rPr>
        <w:lastRenderedPageBreak/>
        <w:t>Across all locations, in the pooled environment, high heritability estimates were recorded for grain yield (92%), 100 grain weight (90%), days to maturity (79%), plant height (77%) and panicle length (65%). Dry fodder yield exhibited moderate heritability at 58%, while days to 50% flowering (24%) showed the lowest heritability estimates.</w:t>
      </w:r>
    </w:p>
    <w:p w14:paraId="37D4B255" w14:textId="77777777" w:rsidR="007C08A8" w:rsidRPr="003209AE" w:rsidRDefault="007C08A8" w:rsidP="00CF43F8">
      <w:pPr>
        <w:spacing w:after="120" w:line="360" w:lineRule="auto"/>
        <w:ind w:firstLine="720"/>
        <w:jc w:val="both"/>
        <w:rPr>
          <w:rFonts w:ascii="Times New Roman" w:eastAsia="Calibri" w:hAnsi="Times New Roman" w:cs="Times New Roman"/>
          <w:sz w:val="24"/>
          <w:szCs w:val="24"/>
        </w:rPr>
      </w:pPr>
      <w:r w:rsidRPr="003209AE">
        <w:rPr>
          <w:rFonts w:ascii="Times New Roman" w:eastAsia="Calibri" w:hAnsi="Times New Roman" w:cs="Times New Roman"/>
          <w:sz w:val="24"/>
          <w:szCs w:val="24"/>
        </w:rPr>
        <w:t xml:space="preserve">The physiological parameters observed at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during </w:t>
      </w:r>
      <w:r w:rsidRPr="003209AE">
        <w:rPr>
          <w:rFonts w:ascii="Times New Roman" w:eastAsia="Calibri" w:hAnsi="Times New Roman" w:cs="Times New Roman"/>
          <w:i/>
          <w:iCs/>
          <w:sz w:val="24"/>
          <w:szCs w:val="24"/>
        </w:rPr>
        <w:t>summer</w:t>
      </w:r>
      <w:r w:rsidRPr="003209AE">
        <w:rPr>
          <w:rFonts w:ascii="Times New Roman" w:eastAsia="Calibri" w:hAnsi="Times New Roman" w:cs="Times New Roman"/>
          <w:sz w:val="24"/>
          <w:szCs w:val="24"/>
        </w:rPr>
        <w:t xml:space="preserve"> 2022 </w:t>
      </w:r>
      <w:r w:rsidRPr="003209AE">
        <w:rPr>
          <w:rFonts w:ascii="Times New Roman" w:eastAsia="Calibri" w:hAnsi="Times New Roman" w:cs="Times New Roman"/>
          <w:i/>
          <w:iCs/>
          <w:sz w:val="24"/>
          <w:szCs w:val="24"/>
        </w:rPr>
        <w:t>summer</w:t>
      </w:r>
      <w:r w:rsidRPr="003209AE">
        <w:rPr>
          <w:rFonts w:ascii="Times New Roman" w:eastAsia="Calibri" w:hAnsi="Times New Roman" w:cs="Times New Roman"/>
          <w:sz w:val="24"/>
          <w:szCs w:val="24"/>
        </w:rPr>
        <w:t xml:space="preserve"> 2023 and pooled over seasons demonstrated high heritability estimates for all measured traits, including </w:t>
      </w:r>
      <w:r w:rsidRPr="003209AE">
        <w:rPr>
          <w:rFonts w:ascii="Times New Roman" w:eastAsia="Calibri" w:hAnsi="Times New Roman" w:cs="Times New Roman"/>
          <w:i/>
          <w:iCs/>
          <w:sz w:val="24"/>
          <w:szCs w:val="24"/>
        </w:rPr>
        <w:t xml:space="preserve">per cent </w:t>
      </w:r>
      <w:r w:rsidRPr="003209AE">
        <w:rPr>
          <w:rFonts w:ascii="Times New Roman" w:eastAsia="Calibri" w:hAnsi="Times New Roman" w:cs="Times New Roman"/>
          <w:sz w:val="24"/>
          <w:szCs w:val="24"/>
        </w:rPr>
        <w:t xml:space="preserve">membrane damage (91.55%, 92.29%, 89.66%), relative water content (83.78%, 84.91%, 87.30%), stay green (78.96%, 82.09%, 84.69%), SPAD chlorophyll meter reading (82.96%, 65.89%, 78.93%), Specific leaf area (77.61%, 77.47%, 77.93%) and canopy temperature (57.32%, 46.82%, 62.85%) (Table </w:t>
      </w:r>
      <w:r w:rsidR="000E2798" w:rsidRPr="003209AE">
        <w:rPr>
          <w:rFonts w:ascii="Times New Roman" w:eastAsia="Calibri" w:hAnsi="Times New Roman" w:cs="Times New Roman"/>
          <w:sz w:val="24"/>
          <w:szCs w:val="24"/>
        </w:rPr>
        <w:t>8</w:t>
      </w:r>
      <w:r w:rsidRPr="003209AE">
        <w:rPr>
          <w:rFonts w:ascii="Times New Roman" w:eastAsia="Calibri" w:hAnsi="Times New Roman" w:cs="Times New Roman"/>
          <w:sz w:val="24"/>
          <w:szCs w:val="24"/>
        </w:rPr>
        <w:t>).</w:t>
      </w:r>
    </w:p>
    <w:p w14:paraId="75CA3FD1" w14:textId="1EC457FE" w:rsidR="007C08A8" w:rsidRPr="003209AE" w:rsidRDefault="00110C17" w:rsidP="00CF43F8">
      <w:pPr>
        <w:spacing w:after="120" w:line="360" w:lineRule="auto"/>
        <w:ind w:firstLine="720"/>
        <w:jc w:val="both"/>
        <w:rPr>
          <w:rFonts w:ascii="Times New Roman" w:eastAsia="Calibri" w:hAnsi="Times New Roman" w:cs="Times New Roman"/>
          <w:sz w:val="24"/>
          <w:szCs w:val="24"/>
        </w:rPr>
      </w:pPr>
      <w:r w:rsidRPr="003209AE">
        <w:rPr>
          <w:rFonts w:ascii="Times New Roman" w:hAnsi="Times New Roman" w:cs="Times New Roman"/>
          <w:sz w:val="24"/>
          <w:szCs w:val="24"/>
        </w:rPr>
        <w:t>High heritability observed consistently across multiple seasons indicates minimal environmental influence on the expression of these traits, suggesting that direct selection would be effective for their improvement in the breeding material. The high heritability recorded for grain yield further supports the effectiveness of selection based solely on yield for achieving genetic improvement. Heritability estimates are important in plant breeding as they indicate the expected response to selection; however, environmental effects may sometimes influence their reliability when considered alone. In the present study, high broad-sense heritability estimates (&gt;60%) for traits such as plant height and green fodder yield indicate that these characters are predominantly governed by genetic factors and are therefore amenable to selection.</w:t>
      </w:r>
      <w:r w:rsidR="007C08A8" w:rsidRPr="003209AE">
        <w:rPr>
          <w:rFonts w:ascii="Times New Roman" w:eastAsia="Calibri" w:hAnsi="Times New Roman" w:cs="Times New Roman"/>
          <w:sz w:val="24"/>
          <w:szCs w:val="24"/>
        </w:rPr>
        <w:t xml:space="preserve"> </w:t>
      </w:r>
      <w:r w:rsidRPr="003209AE">
        <w:rPr>
          <w:rFonts w:ascii="Times New Roman" w:hAnsi="Times New Roman" w:cs="Times New Roman"/>
          <w:sz w:val="24"/>
          <w:szCs w:val="24"/>
        </w:rPr>
        <w:t xml:space="preserve">These results are in agreement with the findings </w:t>
      </w:r>
      <w:r w:rsidR="00AA7A00" w:rsidRPr="003209AE">
        <w:rPr>
          <w:rFonts w:ascii="Times New Roman" w:hAnsi="Times New Roman" w:cs="Times New Roman"/>
          <w:sz w:val="24"/>
          <w:szCs w:val="24"/>
        </w:rPr>
        <w:t xml:space="preserve">of </w:t>
      </w:r>
      <w:r w:rsidR="00AA7A00" w:rsidRPr="003209AE">
        <w:rPr>
          <w:rFonts w:ascii="Times New Roman" w:eastAsia="Calibri" w:hAnsi="Times New Roman" w:cs="Times New Roman"/>
          <w:sz w:val="24"/>
          <w:szCs w:val="24"/>
        </w:rPr>
        <w:t>Kumar</w:t>
      </w:r>
      <w:r w:rsidR="007C08A8" w:rsidRPr="003209AE">
        <w:rPr>
          <w:rFonts w:ascii="Times New Roman" w:eastAsia="Calibri" w:hAnsi="Times New Roman" w:cs="Times New Roman"/>
          <w:sz w:val="24"/>
          <w:szCs w:val="24"/>
        </w:rPr>
        <w:t xml:space="preserve"> </w:t>
      </w:r>
      <w:r w:rsidR="007C08A8" w:rsidRPr="003209AE">
        <w:rPr>
          <w:rFonts w:ascii="Times New Roman" w:eastAsia="Calibri" w:hAnsi="Times New Roman" w:cs="Times New Roman"/>
          <w:i/>
          <w:iCs/>
          <w:sz w:val="24"/>
          <w:szCs w:val="24"/>
        </w:rPr>
        <w:t>et al.</w:t>
      </w:r>
      <w:r w:rsidR="007C08A8" w:rsidRPr="003209AE">
        <w:rPr>
          <w:rFonts w:ascii="Times New Roman" w:eastAsia="Calibri" w:hAnsi="Times New Roman" w:cs="Times New Roman"/>
          <w:sz w:val="24"/>
          <w:szCs w:val="24"/>
        </w:rPr>
        <w:t xml:space="preserve"> (2011), Jain and Patel (2013) and Shivani and Sreelakshmi (2014), </w:t>
      </w:r>
      <w:proofErr w:type="spellStart"/>
      <w:r w:rsidR="007C08A8" w:rsidRPr="003209AE">
        <w:rPr>
          <w:rFonts w:ascii="Times New Roman" w:eastAsia="Calibri" w:hAnsi="Times New Roman" w:cs="Times New Roman"/>
          <w:sz w:val="24"/>
          <w:szCs w:val="24"/>
        </w:rPr>
        <w:t>Nyadanu</w:t>
      </w:r>
      <w:proofErr w:type="spellEnd"/>
      <w:r w:rsidR="007C08A8" w:rsidRPr="003209AE">
        <w:rPr>
          <w:rFonts w:ascii="Times New Roman" w:eastAsia="Calibri" w:hAnsi="Times New Roman" w:cs="Times New Roman"/>
          <w:sz w:val="24"/>
          <w:szCs w:val="24"/>
        </w:rPr>
        <w:t xml:space="preserve"> and </w:t>
      </w:r>
      <w:proofErr w:type="spellStart"/>
      <w:r w:rsidR="007C08A8" w:rsidRPr="003209AE">
        <w:rPr>
          <w:rFonts w:ascii="Times New Roman" w:eastAsia="Calibri" w:hAnsi="Times New Roman" w:cs="Times New Roman"/>
          <w:sz w:val="24"/>
          <w:szCs w:val="24"/>
        </w:rPr>
        <w:t>Dikera</w:t>
      </w:r>
      <w:proofErr w:type="spellEnd"/>
      <w:r w:rsidR="007C08A8" w:rsidRPr="003209AE">
        <w:rPr>
          <w:rFonts w:ascii="Times New Roman" w:eastAsia="Calibri" w:hAnsi="Times New Roman" w:cs="Times New Roman"/>
          <w:sz w:val="24"/>
          <w:szCs w:val="24"/>
        </w:rPr>
        <w:t xml:space="preserve"> (2014)</w:t>
      </w:r>
      <w:r w:rsidR="00F60241" w:rsidRPr="003209AE">
        <w:rPr>
          <w:rFonts w:ascii="Times New Roman" w:eastAsia="Calibri" w:hAnsi="Times New Roman" w:cs="Times New Roman"/>
          <w:sz w:val="24"/>
          <w:szCs w:val="24"/>
        </w:rPr>
        <w:t xml:space="preserve"> and</w:t>
      </w:r>
      <w:r w:rsidR="007C08A8" w:rsidRPr="003209AE">
        <w:rPr>
          <w:rFonts w:ascii="Times New Roman" w:eastAsia="Calibri" w:hAnsi="Times New Roman" w:cs="Times New Roman"/>
          <w:sz w:val="24"/>
          <w:szCs w:val="24"/>
        </w:rPr>
        <w:t xml:space="preserve"> Khandelwal </w:t>
      </w:r>
      <w:r w:rsidR="007C08A8" w:rsidRPr="003209AE">
        <w:rPr>
          <w:rFonts w:ascii="Times New Roman" w:eastAsia="Calibri" w:hAnsi="Times New Roman" w:cs="Times New Roman"/>
          <w:i/>
          <w:iCs/>
          <w:sz w:val="24"/>
          <w:szCs w:val="24"/>
        </w:rPr>
        <w:t>et al.</w:t>
      </w:r>
      <w:r w:rsidR="007C08A8" w:rsidRPr="003209AE">
        <w:rPr>
          <w:rFonts w:ascii="Times New Roman" w:eastAsia="Calibri" w:hAnsi="Times New Roman" w:cs="Times New Roman"/>
          <w:sz w:val="24"/>
          <w:szCs w:val="24"/>
        </w:rPr>
        <w:t xml:space="preserve"> (2015)</w:t>
      </w:r>
      <w:r w:rsidR="00F60241" w:rsidRPr="003209AE">
        <w:rPr>
          <w:rFonts w:ascii="Times New Roman" w:eastAsia="Calibri" w:hAnsi="Times New Roman" w:cs="Times New Roman"/>
          <w:sz w:val="24"/>
          <w:szCs w:val="24"/>
        </w:rPr>
        <w:t>.</w:t>
      </w:r>
    </w:p>
    <w:p w14:paraId="6AFF2611" w14:textId="77777777" w:rsidR="00110C17" w:rsidRPr="003209AE" w:rsidRDefault="00110C17" w:rsidP="00CF43F8">
      <w:pPr>
        <w:pStyle w:val="NormalWeb"/>
        <w:spacing w:before="0" w:beforeAutospacing="0" w:after="120" w:afterAutospacing="0" w:line="360" w:lineRule="auto"/>
        <w:ind w:firstLine="720"/>
        <w:jc w:val="both"/>
      </w:pPr>
      <w:r w:rsidRPr="003209AE">
        <w:t xml:space="preserve">The results of the present investigation reinforce the importance of heritability as a key parameter in sorghum breeding programmes. The high heritability estimates recorded for major yield and yield contributing traits indicate strong genetic control and suggest that these characters can be effectively improved through direct selection. Similar findings have been reported by Sujatha and Pushpavalli (2017), Tesfaye (2017) and Swamy </w:t>
      </w:r>
      <w:r w:rsidRPr="003209AE">
        <w:rPr>
          <w:i/>
          <w:iCs/>
        </w:rPr>
        <w:t>et al.</w:t>
      </w:r>
      <w:r w:rsidRPr="003209AE">
        <w:t xml:space="preserve"> (2018), who observed high heritability for grain yield, fodder yield and panicle length, emphasizing the predominance of genetic factors in the expression of these traits. Likewise, Kavitha (2018) and </w:t>
      </w:r>
      <w:proofErr w:type="spellStart"/>
      <w:r w:rsidRPr="003209AE">
        <w:t>Zinzala</w:t>
      </w:r>
      <w:proofErr w:type="spellEnd"/>
      <w:r w:rsidRPr="003209AE">
        <w:t xml:space="preserve"> </w:t>
      </w:r>
      <w:r w:rsidRPr="003209AE">
        <w:rPr>
          <w:i/>
          <w:iCs/>
        </w:rPr>
        <w:t>et al.</w:t>
      </w:r>
      <w:r w:rsidRPr="003209AE">
        <w:t xml:space="preserve"> (2018) reported high heritability for dry fodder yield and 100-grain weight, indicating the involvement of additive gene effects and the potential effectiveness of selection-based breeding strategies.</w:t>
      </w:r>
    </w:p>
    <w:p w14:paraId="59643ECE" w14:textId="0EED9551" w:rsidR="00110C17" w:rsidRPr="003209AE" w:rsidRDefault="00110C17" w:rsidP="00CF43F8">
      <w:pPr>
        <w:pStyle w:val="NormalWeb"/>
        <w:spacing w:before="0" w:beforeAutospacing="0" w:after="120" w:afterAutospacing="0" w:line="360" w:lineRule="auto"/>
        <w:ind w:firstLine="720"/>
        <w:jc w:val="both"/>
      </w:pPr>
      <w:r w:rsidRPr="003209AE">
        <w:t xml:space="preserve">Further support for the </w:t>
      </w:r>
      <w:r w:rsidR="00A533E9" w:rsidRPr="003209AE">
        <w:t xml:space="preserve">genetic regulation of yield </w:t>
      </w:r>
      <w:r w:rsidRPr="003209AE">
        <w:t xml:space="preserve">related traits was provided by </w:t>
      </w:r>
      <w:proofErr w:type="spellStart"/>
      <w:r w:rsidRPr="003209AE">
        <w:t>Gedifew</w:t>
      </w:r>
      <w:proofErr w:type="spellEnd"/>
      <w:r w:rsidRPr="003209AE">
        <w:t xml:space="preserve"> and Tsige (2019) and Mofokeng </w:t>
      </w:r>
      <w:r w:rsidRPr="003209AE">
        <w:rPr>
          <w:i/>
          <w:iCs/>
        </w:rPr>
        <w:t>et al.</w:t>
      </w:r>
      <w:r w:rsidRPr="003209AE">
        <w:t xml:space="preserve"> (2019), who documented high heritability for plant height and panicle weight. Shivaprasad </w:t>
      </w:r>
      <w:r w:rsidRPr="003209AE">
        <w:rPr>
          <w:i/>
          <w:iCs/>
        </w:rPr>
        <w:t>et al.</w:t>
      </w:r>
      <w:r w:rsidRPr="003209AE">
        <w:t xml:space="preserve"> (2019) and Ashwini and </w:t>
      </w:r>
      <w:proofErr w:type="spellStart"/>
      <w:r w:rsidRPr="003209AE">
        <w:t>Kajjidoni</w:t>
      </w:r>
      <w:proofErr w:type="spellEnd"/>
      <w:r w:rsidRPr="003209AE">
        <w:t xml:space="preserve"> (2019) also reported similar trends for plant height and seed yield, underlining their reliability as </w:t>
      </w:r>
      <w:r w:rsidRPr="003209AE">
        <w:lastRenderedPageBreak/>
        <w:t xml:space="preserve">selection criteria in breeding programmes. In addition, Rachman </w:t>
      </w:r>
      <w:r w:rsidRPr="003209AE">
        <w:rPr>
          <w:i/>
          <w:iCs/>
        </w:rPr>
        <w:t>et al.</w:t>
      </w:r>
      <w:r w:rsidRPr="003209AE">
        <w:t xml:space="preserve"> (2022) and Ngidi </w:t>
      </w:r>
      <w:r w:rsidRPr="003209AE">
        <w:rPr>
          <w:i/>
          <w:iCs/>
        </w:rPr>
        <w:t>et al.</w:t>
      </w:r>
      <w:r w:rsidRPr="003209AE">
        <w:t xml:space="preserve"> (2024) demonstrated high heritability for drought tolerance, grain yield and root biomass, highlighting their suitability for genetic improvement aimed at enhancing productivity and stress resilience.</w:t>
      </w:r>
    </w:p>
    <w:p w14:paraId="75CA3C93" w14:textId="77777777" w:rsidR="00110C17" w:rsidRPr="003209AE" w:rsidRDefault="00110C17" w:rsidP="00CF43F8">
      <w:pPr>
        <w:pStyle w:val="NormalWeb"/>
        <w:spacing w:before="0" w:beforeAutospacing="0" w:after="120" w:afterAutospacing="0" w:line="360" w:lineRule="auto"/>
        <w:ind w:firstLine="720"/>
        <w:jc w:val="both"/>
      </w:pPr>
      <w:r w:rsidRPr="003209AE">
        <w:t xml:space="preserve">However, contrasting evidence has also been reported. Zhang </w:t>
      </w:r>
      <w:r w:rsidRPr="003209AE">
        <w:rPr>
          <w:i/>
          <w:iCs/>
        </w:rPr>
        <w:t>et al.</w:t>
      </w:r>
      <w:r w:rsidRPr="003209AE">
        <w:t xml:space="preserve"> (2024) documented low narrow-sense heritability for grain weight per panicle and grain yield, suggesting a considerable influence of environmental factors and non-additive gene action in the inheritance of these traits. Such findings indicate that reliance solely on heritability estimates may not always guarantee selection efficiency, particularly when environmental interactions are substantial.</w:t>
      </w:r>
    </w:p>
    <w:p w14:paraId="6A82C823" w14:textId="77777777" w:rsidR="007C08A8" w:rsidRPr="003209AE" w:rsidRDefault="00E21063" w:rsidP="00CF43F8">
      <w:pPr>
        <w:spacing w:after="120" w:line="360" w:lineRule="auto"/>
        <w:jc w:val="both"/>
        <w:rPr>
          <w:rFonts w:ascii="Times New Roman" w:eastAsia="Calibri" w:hAnsi="Times New Roman" w:cs="Times New Roman"/>
          <w:sz w:val="24"/>
          <w:szCs w:val="24"/>
        </w:rPr>
      </w:pPr>
      <w:r w:rsidRPr="003209AE">
        <w:rPr>
          <w:rFonts w:ascii="Times New Roman" w:eastAsia="Calibri" w:hAnsi="Times New Roman" w:cs="Times New Roman"/>
          <w:b/>
          <w:bCs/>
          <w:sz w:val="24"/>
          <w:szCs w:val="24"/>
        </w:rPr>
        <w:t>Genetic advance:</w:t>
      </w:r>
      <w:r w:rsidR="00952F2E" w:rsidRPr="003209AE">
        <w:rPr>
          <w:rFonts w:ascii="Times New Roman" w:eastAsia="Calibri" w:hAnsi="Times New Roman" w:cs="Times New Roman"/>
          <w:b/>
          <w:bCs/>
          <w:sz w:val="24"/>
          <w:szCs w:val="24"/>
        </w:rPr>
        <w:t xml:space="preserve"> </w:t>
      </w:r>
      <w:r w:rsidR="007C08A8" w:rsidRPr="003209AE">
        <w:rPr>
          <w:rFonts w:ascii="Times New Roman" w:eastAsia="Calibri" w:hAnsi="Times New Roman" w:cs="Times New Roman"/>
          <w:sz w:val="24"/>
          <w:szCs w:val="24"/>
        </w:rPr>
        <w:t xml:space="preserve">In this study, genetic advance was estimated across three locations </w:t>
      </w:r>
      <w:proofErr w:type="spellStart"/>
      <w:r w:rsidR="007C08A8" w:rsidRPr="003209AE">
        <w:rPr>
          <w:rFonts w:ascii="Times New Roman" w:eastAsia="Calibri" w:hAnsi="Times New Roman" w:cs="Times New Roman"/>
          <w:sz w:val="24"/>
          <w:szCs w:val="24"/>
        </w:rPr>
        <w:t>Nandyal</w:t>
      </w:r>
      <w:proofErr w:type="spellEnd"/>
      <w:r w:rsidR="007C08A8" w:rsidRPr="003209AE">
        <w:rPr>
          <w:rFonts w:ascii="Times New Roman" w:eastAsia="Calibri" w:hAnsi="Times New Roman" w:cs="Times New Roman"/>
          <w:sz w:val="24"/>
          <w:szCs w:val="24"/>
        </w:rPr>
        <w:t xml:space="preserve">, </w:t>
      </w:r>
      <w:proofErr w:type="spellStart"/>
      <w:r w:rsidR="007C08A8" w:rsidRPr="003209AE">
        <w:rPr>
          <w:rFonts w:ascii="Times New Roman" w:eastAsia="Calibri" w:hAnsi="Times New Roman" w:cs="Times New Roman"/>
          <w:sz w:val="24"/>
          <w:szCs w:val="24"/>
        </w:rPr>
        <w:t>Podalakur</w:t>
      </w:r>
      <w:proofErr w:type="spellEnd"/>
      <w:r w:rsidR="007C08A8" w:rsidRPr="003209AE">
        <w:rPr>
          <w:rFonts w:ascii="Times New Roman" w:eastAsia="Calibri" w:hAnsi="Times New Roman" w:cs="Times New Roman"/>
          <w:sz w:val="24"/>
          <w:szCs w:val="24"/>
        </w:rPr>
        <w:t xml:space="preserve"> and Guntur as well as pooled data from all locations. With respect to pooled data values, the highest genetic advance was recorded for traits such as dry fodder yield (1001.23%), grain yield (839.12%) and plant height (32.33%). Conversely, other traits, including panicle length (1.83%), 100 grain weight (0.53%), days to maturity (2.10%) and days to 50% flowering (0.49%), showed low genetic advance in the pooled data. This low genetic advance suggests that these traits are primarily governed by polygenic inheritance with a significant influence of non-additive genetic factors (Table </w:t>
      </w:r>
      <w:r w:rsidR="000E2798" w:rsidRPr="003209AE">
        <w:rPr>
          <w:rFonts w:ascii="Times New Roman" w:eastAsia="Calibri" w:hAnsi="Times New Roman" w:cs="Times New Roman"/>
          <w:sz w:val="24"/>
          <w:szCs w:val="24"/>
        </w:rPr>
        <w:t>7</w:t>
      </w:r>
      <w:r w:rsidR="007C08A8" w:rsidRPr="003209AE">
        <w:rPr>
          <w:rFonts w:ascii="Times New Roman" w:eastAsia="Calibri" w:hAnsi="Times New Roman" w:cs="Times New Roman"/>
          <w:sz w:val="24"/>
          <w:szCs w:val="24"/>
        </w:rPr>
        <w:t>).</w:t>
      </w:r>
    </w:p>
    <w:p w14:paraId="3644E6EB" w14:textId="77777777" w:rsidR="007C08A8" w:rsidRPr="003209AE" w:rsidRDefault="007C08A8" w:rsidP="00CF43F8">
      <w:pPr>
        <w:spacing w:after="120" w:line="360" w:lineRule="auto"/>
        <w:ind w:firstLine="720"/>
        <w:jc w:val="both"/>
        <w:rPr>
          <w:rFonts w:ascii="Times New Roman" w:eastAsia="Calibri" w:hAnsi="Times New Roman" w:cs="Times New Roman"/>
          <w:sz w:val="24"/>
          <w:szCs w:val="24"/>
        </w:rPr>
      </w:pPr>
      <w:r w:rsidRPr="003209AE">
        <w:rPr>
          <w:rFonts w:ascii="Times New Roman" w:eastAsia="Calibri" w:hAnsi="Times New Roman" w:cs="Times New Roman"/>
          <w:sz w:val="24"/>
          <w:szCs w:val="24"/>
        </w:rPr>
        <w:t xml:space="preserve">At the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location, where data were collected over two </w:t>
      </w:r>
      <w:r w:rsidRPr="003209AE">
        <w:rPr>
          <w:rFonts w:ascii="Times New Roman" w:eastAsia="Calibri" w:hAnsi="Times New Roman" w:cs="Times New Roman"/>
          <w:i/>
          <w:iCs/>
          <w:sz w:val="24"/>
          <w:szCs w:val="24"/>
        </w:rPr>
        <w:t>summer</w:t>
      </w:r>
      <w:r w:rsidRPr="003209AE">
        <w:rPr>
          <w:rFonts w:ascii="Times New Roman" w:eastAsia="Calibri" w:hAnsi="Times New Roman" w:cs="Times New Roman"/>
          <w:sz w:val="24"/>
          <w:szCs w:val="24"/>
        </w:rPr>
        <w:t xml:space="preserve"> seasons (2022 and 2023) and pooled over seasons, moderate genetic advance was observed for certain physiological traits, notably specific leaf area (19.22%, 19.82%,18.36%), </w:t>
      </w:r>
      <w:r w:rsidRPr="003209AE">
        <w:rPr>
          <w:rFonts w:ascii="Times New Roman" w:eastAsia="Calibri" w:hAnsi="Times New Roman" w:cs="Times New Roman"/>
          <w:i/>
          <w:iCs/>
          <w:sz w:val="24"/>
          <w:szCs w:val="24"/>
        </w:rPr>
        <w:t xml:space="preserve">per cent </w:t>
      </w:r>
      <w:r w:rsidRPr="003209AE">
        <w:rPr>
          <w:rFonts w:ascii="Times New Roman" w:eastAsia="Calibri" w:hAnsi="Times New Roman" w:cs="Times New Roman"/>
          <w:sz w:val="24"/>
          <w:szCs w:val="24"/>
        </w:rPr>
        <w:t xml:space="preserve">membrane damage (13.17%, 11.79%, 12.54%) and relative water content (11.47%, 11.04%, 10.80%). In contrast, SPAD chlorophyll meter reading (8.30%, 6.41% and 6.92%), canopy temperature (3.00%, 1.98%, </w:t>
      </w:r>
      <w:r w:rsidR="000F27A9" w:rsidRPr="003209AE">
        <w:rPr>
          <w:rFonts w:ascii="Times New Roman" w:eastAsia="Calibri" w:hAnsi="Times New Roman" w:cs="Times New Roman"/>
          <w:sz w:val="24"/>
          <w:szCs w:val="24"/>
        </w:rPr>
        <w:t>and 2.60</w:t>
      </w:r>
      <w:r w:rsidRPr="003209AE">
        <w:rPr>
          <w:rFonts w:ascii="Times New Roman" w:eastAsia="Calibri" w:hAnsi="Times New Roman" w:cs="Times New Roman"/>
          <w:sz w:val="24"/>
          <w:szCs w:val="24"/>
        </w:rPr>
        <w:t>%) and stay green score (2.04%, 1.75%, 1.81%) demonstrated lower genetic advance values.</w:t>
      </w:r>
    </w:p>
    <w:p w14:paraId="0C5B970C" w14:textId="77777777" w:rsidR="007C08A8" w:rsidRPr="003209AE" w:rsidRDefault="007C08A8" w:rsidP="00CF43F8">
      <w:pPr>
        <w:spacing w:after="120" w:line="360" w:lineRule="auto"/>
        <w:jc w:val="both"/>
        <w:rPr>
          <w:rFonts w:ascii="Times New Roman" w:eastAsia="Calibri" w:hAnsi="Times New Roman" w:cs="Times New Roman"/>
          <w:sz w:val="24"/>
          <w:szCs w:val="24"/>
        </w:rPr>
      </w:pPr>
      <w:r w:rsidRPr="003209AE">
        <w:rPr>
          <w:rFonts w:ascii="Times New Roman" w:eastAsia="Calibri" w:hAnsi="Times New Roman" w:cs="Times New Roman"/>
          <w:b/>
          <w:bCs/>
          <w:sz w:val="24"/>
          <w:szCs w:val="24"/>
        </w:rPr>
        <w:t xml:space="preserve">Genetic advance as </w:t>
      </w:r>
      <w:r w:rsidRPr="003209AE">
        <w:rPr>
          <w:rFonts w:ascii="Times New Roman" w:eastAsia="Calibri" w:hAnsi="Times New Roman" w:cs="Times New Roman"/>
          <w:b/>
          <w:bCs/>
          <w:i/>
          <w:iCs/>
          <w:sz w:val="24"/>
          <w:szCs w:val="24"/>
        </w:rPr>
        <w:t xml:space="preserve">per cent </w:t>
      </w:r>
      <w:r w:rsidRPr="003209AE">
        <w:rPr>
          <w:rFonts w:ascii="Times New Roman" w:eastAsia="Calibri" w:hAnsi="Times New Roman" w:cs="Times New Roman"/>
          <w:b/>
          <w:bCs/>
          <w:sz w:val="24"/>
          <w:szCs w:val="24"/>
        </w:rPr>
        <w:t>of mean</w:t>
      </w:r>
      <w:r w:rsidR="00E21063" w:rsidRPr="003209AE">
        <w:rPr>
          <w:rFonts w:ascii="Times New Roman" w:eastAsia="Calibri" w:hAnsi="Times New Roman" w:cs="Times New Roman"/>
          <w:b/>
          <w:bCs/>
          <w:sz w:val="24"/>
          <w:szCs w:val="24"/>
        </w:rPr>
        <w:t>:</w:t>
      </w:r>
      <w:r w:rsidRPr="003209AE">
        <w:rPr>
          <w:rFonts w:ascii="Times New Roman" w:eastAsia="Calibri" w:hAnsi="Times New Roman" w:cs="Times New Roman"/>
          <w:b/>
          <w:bCs/>
          <w:sz w:val="24"/>
          <w:szCs w:val="24"/>
        </w:rPr>
        <w:t xml:space="preserve"> </w:t>
      </w:r>
      <w:r w:rsidRPr="003209AE">
        <w:rPr>
          <w:rFonts w:ascii="Times New Roman" w:eastAsia="Calibri" w:hAnsi="Times New Roman" w:cs="Times New Roman"/>
          <w:sz w:val="24"/>
          <w:szCs w:val="24"/>
        </w:rPr>
        <w:t xml:space="preserve">The genetic analysis across the three locations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w:t>
      </w:r>
      <w:proofErr w:type="spellStart"/>
      <w:r w:rsidRPr="003209AE">
        <w:rPr>
          <w:rFonts w:ascii="Times New Roman" w:eastAsia="Calibri" w:hAnsi="Times New Roman" w:cs="Times New Roman"/>
          <w:sz w:val="24"/>
          <w:szCs w:val="24"/>
        </w:rPr>
        <w:t>Podalakur</w:t>
      </w:r>
      <w:proofErr w:type="spellEnd"/>
      <w:r w:rsidRPr="003209AE">
        <w:rPr>
          <w:rFonts w:ascii="Times New Roman" w:eastAsia="Calibri" w:hAnsi="Times New Roman" w:cs="Times New Roman"/>
          <w:sz w:val="24"/>
          <w:szCs w:val="24"/>
        </w:rPr>
        <w:t xml:space="preserve"> and Guntur and in the combined dataset highlighted that grain yield (24.24%, 25.64%, 34.56%, 27.69%) consistently exhibited high genetic advance as a percentage of the mean. Moderate values were noted for 100 grain weight (18.92%, 19.02%, 16.57% and 18.04%), plant height (17.64%, 15.55%, 14.64% and 16.75%), dry fodder yield (16.26%, 19.99%, 12.87% and 12.23%) across all locations and for panicle length (13.38% at </w:t>
      </w:r>
      <w:proofErr w:type="spellStart"/>
      <w:r w:rsidRPr="003209AE">
        <w:rPr>
          <w:rFonts w:ascii="Times New Roman" w:eastAsia="Calibri" w:hAnsi="Times New Roman" w:cs="Times New Roman"/>
          <w:sz w:val="24"/>
          <w:szCs w:val="24"/>
        </w:rPr>
        <w:t>Podalakur</w:t>
      </w:r>
      <w:proofErr w:type="spellEnd"/>
      <w:r w:rsidRPr="003209AE">
        <w:rPr>
          <w:rFonts w:ascii="Times New Roman" w:eastAsia="Calibri" w:hAnsi="Times New Roman" w:cs="Times New Roman"/>
          <w:sz w:val="24"/>
          <w:szCs w:val="24"/>
        </w:rPr>
        <w:t xml:space="preserve"> and 10.08% at Guntur) at </w:t>
      </w:r>
      <w:proofErr w:type="spellStart"/>
      <w:r w:rsidRPr="003209AE">
        <w:rPr>
          <w:rFonts w:ascii="Times New Roman" w:eastAsia="Calibri" w:hAnsi="Times New Roman" w:cs="Times New Roman"/>
          <w:sz w:val="24"/>
          <w:szCs w:val="24"/>
        </w:rPr>
        <w:t>Podalakur</w:t>
      </w:r>
      <w:proofErr w:type="spellEnd"/>
      <w:r w:rsidRPr="003209AE">
        <w:rPr>
          <w:rFonts w:ascii="Times New Roman" w:eastAsia="Calibri" w:hAnsi="Times New Roman" w:cs="Times New Roman"/>
          <w:sz w:val="24"/>
          <w:szCs w:val="24"/>
        </w:rPr>
        <w:t xml:space="preserve"> and Guntur. In contrast, lower genetic advance as a percentage of the mean was observed for traits such as days to 50% flowering (1.92%, 2.24%, 1.33%, 0.81%) and days to maturity (1.90%, 2.26%, 1.67%, 1.97%) at all locations, with </w:t>
      </w:r>
      <w:r w:rsidRPr="003209AE">
        <w:rPr>
          <w:rFonts w:ascii="Times New Roman" w:eastAsia="Calibri" w:hAnsi="Times New Roman" w:cs="Times New Roman"/>
          <w:sz w:val="24"/>
          <w:szCs w:val="24"/>
        </w:rPr>
        <w:lastRenderedPageBreak/>
        <w:t xml:space="preserve">panicle length (9.66% at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8.43% in pooled locations) showing lower estimates specifically at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and in the pooled dataset (Table </w:t>
      </w:r>
      <w:r w:rsidR="000E2798" w:rsidRPr="003209AE">
        <w:rPr>
          <w:rFonts w:ascii="Times New Roman" w:eastAsia="Calibri" w:hAnsi="Times New Roman" w:cs="Times New Roman"/>
          <w:sz w:val="24"/>
          <w:szCs w:val="24"/>
        </w:rPr>
        <w:t>7</w:t>
      </w:r>
      <w:r w:rsidRPr="003209AE">
        <w:rPr>
          <w:rFonts w:ascii="Times New Roman" w:eastAsia="Calibri" w:hAnsi="Times New Roman" w:cs="Times New Roman"/>
          <w:sz w:val="24"/>
          <w:szCs w:val="24"/>
        </w:rPr>
        <w:t>).</w:t>
      </w:r>
    </w:p>
    <w:p w14:paraId="30BE5A63" w14:textId="77777777" w:rsidR="007C08A8" w:rsidRPr="003209AE" w:rsidRDefault="007C08A8" w:rsidP="00CF43F8">
      <w:pPr>
        <w:spacing w:after="120" w:line="360" w:lineRule="auto"/>
        <w:ind w:firstLine="720"/>
        <w:jc w:val="both"/>
        <w:rPr>
          <w:rFonts w:ascii="Times New Roman" w:eastAsia="Calibri" w:hAnsi="Times New Roman" w:cs="Times New Roman"/>
          <w:sz w:val="24"/>
          <w:szCs w:val="24"/>
        </w:rPr>
      </w:pPr>
      <w:r w:rsidRPr="003209AE">
        <w:rPr>
          <w:rFonts w:ascii="Times New Roman" w:eastAsia="Calibri" w:hAnsi="Times New Roman" w:cs="Times New Roman"/>
          <w:sz w:val="24"/>
          <w:szCs w:val="24"/>
        </w:rPr>
        <w:t xml:space="preserve">At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pooled over the </w:t>
      </w:r>
      <w:r w:rsidRPr="003209AE">
        <w:rPr>
          <w:rFonts w:ascii="Times New Roman" w:eastAsia="Calibri" w:hAnsi="Times New Roman" w:cs="Times New Roman"/>
          <w:i/>
          <w:iCs/>
          <w:sz w:val="24"/>
          <w:szCs w:val="24"/>
        </w:rPr>
        <w:t>summer</w:t>
      </w:r>
      <w:r w:rsidRPr="003209AE">
        <w:rPr>
          <w:rFonts w:ascii="Times New Roman" w:eastAsia="Calibri" w:hAnsi="Times New Roman" w:cs="Times New Roman"/>
          <w:sz w:val="24"/>
          <w:szCs w:val="24"/>
        </w:rPr>
        <w:t xml:space="preserve"> seasons of 2022 and 2023, physiological parameters revealed distinct trends in genetic advance. The highest genetic advance as a percentage of the mean was recorded for stay green trait (75.45%, 69.46%, 69.19%) and relative water content (29.73%, 27.87%, 27.63%) followed by moderate values for SPAD chlorophyll meter readings (19.70%, 15.55%, 16.62%), </w:t>
      </w:r>
      <w:r w:rsidRPr="003209AE">
        <w:rPr>
          <w:rFonts w:ascii="Times New Roman" w:eastAsia="Calibri" w:hAnsi="Times New Roman" w:cs="Times New Roman"/>
          <w:i/>
          <w:iCs/>
          <w:sz w:val="24"/>
          <w:szCs w:val="24"/>
        </w:rPr>
        <w:t xml:space="preserve">per cent </w:t>
      </w:r>
      <w:r w:rsidRPr="003209AE">
        <w:rPr>
          <w:rFonts w:ascii="Times New Roman" w:eastAsia="Calibri" w:hAnsi="Times New Roman" w:cs="Times New Roman"/>
          <w:sz w:val="24"/>
          <w:szCs w:val="24"/>
        </w:rPr>
        <w:t xml:space="preserve">membrane damage (16.82%, 15.20%, 16.32%) and specific leaf area (12.21%, 12.66%, 11.69%). canopy temperature, however, displayed the lowest genetic advance values across two </w:t>
      </w:r>
      <w:r w:rsidRPr="003209AE">
        <w:rPr>
          <w:rFonts w:ascii="Times New Roman" w:eastAsia="Calibri" w:hAnsi="Times New Roman" w:cs="Times New Roman"/>
          <w:i/>
          <w:iCs/>
          <w:sz w:val="24"/>
          <w:szCs w:val="24"/>
        </w:rPr>
        <w:t>summer</w:t>
      </w:r>
      <w:r w:rsidRPr="003209AE">
        <w:rPr>
          <w:rFonts w:ascii="Times New Roman" w:eastAsia="Calibri" w:hAnsi="Times New Roman" w:cs="Times New Roman"/>
          <w:sz w:val="24"/>
          <w:szCs w:val="24"/>
        </w:rPr>
        <w:t xml:space="preserve"> seasons and pooled over seasons (7.20%, 4.78%, 6.25%) (Table </w:t>
      </w:r>
      <w:r w:rsidR="000E2798" w:rsidRPr="003209AE">
        <w:rPr>
          <w:rFonts w:ascii="Times New Roman" w:eastAsia="Calibri" w:hAnsi="Times New Roman" w:cs="Times New Roman"/>
          <w:sz w:val="24"/>
          <w:szCs w:val="24"/>
        </w:rPr>
        <w:t>8</w:t>
      </w:r>
      <w:r w:rsidRPr="003209AE">
        <w:rPr>
          <w:rFonts w:ascii="Times New Roman" w:eastAsia="Calibri" w:hAnsi="Times New Roman" w:cs="Times New Roman"/>
          <w:sz w:val="24"/>
          <w:szCs w:val="24"/>
        </w:rPr>
        <w:t>).</w:t>
      </w:r>
    </w:p>
    <w:p w14:paraId="119E5631" w14:textId="77777777" w:rsidR="000F27A9" w:rsidRPr="003209AE" w:rsidRDefault="000F27A9" w:rsidP="00CF43F8">
      <w:pPr>
        <w:pStyle w:val="NormalWeb"/>
        <w:spacing w:before="0" w:beforeAutospacing="0" w:after="120" w:afterAutospacing="0" w:line="360" w:lineRule="auto"/>
        <w:ind w:firstLine="720"/>
        <w:jc w:val="both"/>
      </w:pPr>
      <w:r w:rsidRPr="003209AE">
        <w:t>Genetic advance (GA) and genetic advance as per cent of mean (GAM) are important parameters for assessing the effectiveness of selection in sorghum breeding, as they provide insight into the magnitude of additive genetic effects and the expected progress from selection. In the present study, high GA and GAM values observed for grain yield indicate substantial genetic control and suggest that selection for this trait would result in significant and predictable genetic improvement. These findings emphasize the practical utility of these parameters in identifying traits with strong response to selection for enhancing yield, resilience and overall crop performance.</w:t>
      </w:r>
    </w:p>
    <w:p w14:paraId="025D618F" w14:textId="52A653DA" w:rsidR="000F27A9" w:rsidRPr="003209AE" w:rsidRDefault="000F27A9" w:rsidP="00CF43F8">
      <w:pPr>
        <w:pStyle w:val="NormalWeb"/>
        <w:spacing w:before="0" w:beforeAutospacing="0" w:after="120" w:afterAutospacing="0" w:line="360" w:lineRule="auto"/>
        <w:ind w:firstLine="720"/>
        <w:jc w:val="both"/>
      </w:pPr>
      <w:r w:rsidRPr="003209AE">
        <w:t xml:space="preserve">The results are in agreement with Rachman </w:t>
      </w:r>
      <w:r w:rsidRPr="003209AE">
        <w:rPr>
          <w:i/>
          <w:iCs/>
        </w:rPr>
        <w:t>et al.</w:t>
      </w:r>
      <w:r w:rsidRPr="003209AE">
        <w:t xml:space="preserve"> (2022), Ngidi </w:t>
      </w:r>
      <w:r w:rsidRPr="003209AE">
        <w:rPr>
          <w:i/>
          <w:iCs/>
        </w:rPr>
        <w:t>et al.</w:t>
      </w:r>
      <w:r w:rsidRPr="003209AE">
        <w:t xml:space="preserve"> (2024) and </w:t>
      </w:r>
      <w:proofErr w:type="spellStart"/>
      <w:r w:rsidRPr="003209AE">
        <w:t>Khandebharad</w:t>
      </w:r>
      <w:proofErr w:type="spellEnd"/>
      <w:r w:rsidRPr="003209AE">
        <w:t xml:space="preserve"> </w:t>
      </w:r>
      <w:r w:rsidRPr="003209AE">
        <w:rPr>
          <w:i/>
          <w:iCs/>
        </w:rPr>
        <w:t>et al.</w:t>
      </w:r>
      <w:r w:rsidRPr="003209AE">
        <w:t xml:space="preserve"> (2024), who reported high GA and GAM values for grain yield, panicle length and root biomass, indicating the predominance of additive gene action and the effectiveness of selection. Similarly, traits exhibiting genetic advance estimates greater than 20 per cent of the mean, such as plant height, number of leaves per plant, leaf area, stem girth, leaf-stem ratio and green fodder yield, demonstrated strong selection potential based on phenotypic performance. These observations are consistent with the findings of Damor </w:t>
      </w:r>
      <w:r w:rsidRPr="003209AE">
        <w:rPr>
          <w:i/>
          <w:iCs/>
        </w:rPr>
        <w:t>et al.</w:t>
      </w:r>
      <w:r w:rsidRPr="003209AE">
        <w:t xml:space="preserve"> (2018) </w:t>
      </w:r>
      <w:r w:rsidR="004D22C4" w:rsidRPr="003209AE">
        <w:t xml:space="preserve">and </w:t>
      </w:r>
      <w:proofErr w:type="spellStart"/>
      <w:r w:rsidRPr="003209AE">
        <w:t>Kalpande</w:t>
      </w:r>
      <w:proofErr w:type="spellEnd"/>
      <w:r w:rsidRPr="003209AE">
        <w:t xml:space="preserve"> </w:t>
      </w:r>
      <w:r w:rsidRPr="003209AE">
        <w:rPr>
          <w:i/>
          <w:iCs/>
        </w:rPr>
        <w:t>et al.</w:t>
      </w:r>
      <w:r w:rsidRPr="003209AE">
        <w:t xml:space="preserve"> (2018).</w:t>
      </w:r>
    </w:p>
    <w:p w14:paraId="53745090" w14:textId="735701EA" w:rsidR="000F27A9" w:rsidRPr="003209AE" w:rsidRDefault="000F27A9" w:rsidP="00CF43F8">
      <w:pPr>
        <w:pStyle w:val="NormalWeb"/>
        <w:spacing w:before="0" w:beforeAutospacing="0" w:after="120" w:afterAutospacing="0" w:line="360" w:lineRule="auto"/>
        <w:ind w:firstLine="720"/>
        <w:jc w:val="both"/>
      </w:pPr>
      <w:r w:rsidRPr="003209AE">
        <w:t xml:space="preserve">Importantly, the concurrent occurrence of high heritability along with high genetic advance for traits such as plant height, leaves per plant, leaf area, stem girth, leaf-stem ratio and green fodder yield suggests the predominance of additive genetic effects. This combination indicates that these traits are less influenced by the environment and can be effectively improved through direct selection. Similar conclusions were drawn by Ashwini and </w:t>
      </w:r>
      <w:proofErr w:type="spellStart"/>
      <w:r w:rsidRPr="003209AE">
        <w:t>Kajjidoni</w:t>
      </w:r>
      <w:proofErr w:type="spellEnd"/>
      <w:r w:rsidRPr="003209AE">
        <w:t xml:space="preserve"> (2019), Yadav </w:t>
      </w:r>
      <w:r w:rsidRPr="003209AE">
        <w:rPr>
          <w:i/>
          <w:iCs/>
        </w:rPr>
        <w:t>et al.</w:t>
      </w:r>
      <w:r w:rsidRPr="003209AE">
        <w:t xml:space="preserve"> (2019), Dev </w:t>
      </w:r>
      <w:r w:rsidRPr="003209AE">
        <w:rPr>
          <w:i/>
          <w:iCs/>
        </w:rPr>
        <w:t>et al.</w:t>
      </w:r>
      <w:r w:rsidRPr="003209AE">
        <w:t xml:space="preserve"> (2019) </w:t>
      </w:r>
      <w:r w:rsidR="004D22C4" w:rsidRPr="003209AE">
        <w:t xml:space="preserve">and </w:t>
      </w:r>
      <w:r w:rsidRPr="003209AE">
        <w:t xml:space="preserve">Singh </w:t>
      </w:r>
      <w:r w:rsidRPr="003209AE">
        <w:rPr>
          <w:i/>
          <w:iCs/>
        </w:rPr>
        <w:t>et al.</w:t>
      </w:r>
      <w:r w:rsidRPr="003209AE">
        <w:t xml:space="preserve"> (2019) highlighting the importance of considering both heritability and genetic advance together for designing efficient breeding strategies.</w:t>
      </w:r>
    </w:p>
    <w:p w14:paraId="30438533" w14:textId="77777777" w:rsidR="00FB3B94" w:rsidRPr="003209AE" w:rsidRDefault="00FB3B94" w:rsidP="00FB3B94">
      <w:pPr>
        <w:pStyle w:val="NormalWeb"/>
        <w:jc w:val="both"/>
        <w:rPr>
          <w:sz w:val="26"/>
          <w:szCs w:val="26"/>
        </w:rPr>
      </w:pPr>
      <w:r w:rsidRPr="003209AE">
        <w:rPr>
          <w:b/>
          <w:bCs/>
          <w:sz w:val="26"/>
          <w:szCs w:val="26"/>
        </w:rPr>
        <w:lastRenderedPageBreak/>
        <w:t>Conclusion</w:t>
      </w:r>
      <w:r w:rsidRPr="003209AE">
        <w:rPr>
          <w:sz w:val="26"/>
          <w:szCs w:val="26"/>
        </w:rPr>
        <w:t xml:space="preserve">: </w:t>
      </w:r>
    </w:p>
    <w:p w14:paraId="2959BAB0" w14:textId="77777777" w:rsidR="00FB3B94" w:rsidRPr="003209AE" w:rsidRDefault="00FB3B94" w:rsidP="00FB3B94">
      <w:pPr>
        <w:pStyle w:val="NormalWeb"/>
        <w:spacing w:before="0" w:beforeAutospacing="0" w:after="0" w:afterAutospacing="0" w:line="360" w:lineRule="auto"/>
        <w:jc w:val="both"/>
      </w:pPr>
      <w:r w:rsidRPr="003209AE">
        <w:tab/>
      </w:r>
      <w:commentRangeStart w:id="3"/>
      <w:r w:rsidRPr="003209AE">
        <w:t>The present study revealed significant genetic variability among sorghum genotypes across locations, indicating ample scope for genetic improvement. Moderate to high PCV and GCV values for key traits such as grain yield, dry fodder yield, plant height and 100-grain weight suggest the presence of exploitable genetic variation, although some environmental influence was observed. High heritability coupled with moderate to high genetic advance for grain yield and 100-grain weight across locations confirms the predominance of additive gene action and the effectiveness of direct selection for these traits.</w:t>
      </w:r>
    </w:p>
    <w:p w14:paraId="725BBE83" w14:textId="77777777" w:rsidR="00FB3B94" w:rsidRPr="003209AE" w:rsidRDefault="00FB3B94" w:rsidP="00FB3B94">
      <w:pPr>
        <w:pStyle w:val="NormalWeb"/>
        <w:spacing w:before="0" w:beforeAutospacing="0" w:after="0" w:afterAutospacing="0" w:line="360" w:lineRule="auto"/>
        <w:jc w:val="both"/>
      </w:pPr>
      <w:r w:rsidRPr="003209AE">
        <w:tab/>
        <w:t>In the pooled analysis, grain yield consistently exhibited high heritability and high genetic advance as per cent of mean, identifying it as the most reliable trait for selection. Physiological traits such as relative water content, stay-green, SPAD chlorophyll content and per cent membrane damage also showed high heritability, indicating their importance in breeding for drought tolerance and resilience.</w:t>
      </w:r>
    </w:p>
    <w:p w14:paraId="44A899DB" w14:textId="77777777" w:rsidR="00FB3B94" w:rsidRPr="003209AE" w:rsidRDefault="00FB3B94" w:rsidP="00FB3B94">
      <w:pPr>
        <w:pStyle w:val="NormalWeb"/>
        <w:spacing w:before="0" w:beforeAutospacing="0" w:after="0" w:afterAutospacing="0" w:line="360" w:lineRule="auto"/>
        <w:jc w:val="both"/>
      </w:pPr>
      <w:r w:rsidRPr="003209AE">
        <w:tab/>
        <w:t>Overall, the combined assessment of variability, heritability and genetic advance suggests that traits governed predominantly by additive gene effects, particularly grain yield, plant height, 100-grain weight and key physiological parameters, can be effectively improved through selection, thereby enhancing sorghum productivity and stress tolerance across diverse environments.</w:t>
      </w:r>
      <w:commentRangeEnd w:id="3"/>
      <w:r w:rsidR="00A3723F">
        <w:rPr>
          <w:rStyle w:val="CommentReference"/>
          <w:rFonts w:asciiTheme="minorHAnsi" w:eastAsiaTheme="minorHAnsi" w:hAnsiTheme="minorHAnsi" w:cstheme="minorBidi"/>
          <w:lang w:val="en-US" w:eastAsia="en-US" w:bidi="ar-SA"/>
        </w:rPr>
        <w:commentReference w:id="3"/>
      </w:r>
    </w:p>
    <w:p w14:paraId="1323408D" w14:textId="77777777" w:rsidR="005E280D" w:rsidRPr="003209AE" w:rsidRDefault="005E280D" w:rsidP="005E280D">
      <w:pPr>
        <w:rPr>
          <w:rFonts w:ascii="Times New Roman" w:hAnsi="Times New Roman" w:cs="Times New Roman"/>
          <w:b/>
          <w:bCs/>
          <w:sz w:val="26"/>
          <w:szCs w:val="26"/>
        </w:rPr>
      </w:pPr>
    </w:p>
    <w:p w14:paraId="4A701A78" w14:textId="77777777" w:rsidR="005E280D" w:rsidRPr="003209AE" w:rsidRDefault="005E280D" w:rsidP="005E280D">
      <w:pPr>
        <w:rPr>
          <w:rFonts w:ascii="Times New Roman" w:hAnsi="Times New Roman" w:cs="Times New Roman"/>
          <w:b/>
          <w:bCs/>
          <w:sz w:val="26"/>
          <w:szCs w:val="26"/>
        </w:rPr>
      </w:pPr>
      <w:r w:rsidRPr="003209AE">
        <w:rPr>
          <w:rFonts w:ascii="Times New Roman" w:hAnsi="Times New Roman" w:cs="Times New Roman"/>
          <w:b/>
          <w:bCs/>
          <w:sz w:val="26"/>
          <w:szCs w:val="26"/>
        </w:rPr>
        <w:t>REFERENCES:</w:t>
      </w:r>
    </w:p>
    <w:p w14:paraId="49B43EBE" w14:textId="77777777" w:rsidR="00D222C8" w:rsidRPr="000741BA" w:rsidRDefault="00D222C8" w:rsidP="00D222C8">
      <w:pPr>
        <w:spacing w:line="240" w:lineRule="auto"/>
        <w:ind w:left="719" w:hanging="719"/>
        <w:jc w:val="both"/>
        <w:rPr>
          <w:rFonts w:ascii="Times New Roman" w:eastAsia="Calibri" w:hAnsi="Times New Roman" w:cs="Times New Roman"/>
          <w:sz w:val="24"/>
          <w:szCs w:val="24"/>
          <w:lang w:val="en-IN"/>
        </w:rPr>
      </w:pPr>
      <w:commentRangeStart w:id="4"/>
      <w:r w:rsidRPr="000741BA">
        <w:rPr>
          <w:rFonts w:ascii="Times New Roman" w:eastAsia="Calibri" w:hAnsi="Times New Roman" w:cs="Times New Roman"/>
          <w:sz w:val="24"/>
          <w:szCs w:val="24"/>
          <w:lang w:val="en-IN"/>
        </w:rPr>
        <w:t xml:space="preserve">Ashwini, K and </w:t>
      </w:r>
      <w:proofErr w:type="spellStart"/>
      <w:r w:rsidRPr="000741BA">
        <w:rPr>
          <w:rFonts w:ascii="Times New Roman" w:eastAsia="Calibri" w:hAnsi="Times New Roman" w:cs="Times New Roman"/>
          <w:sz w:val="24"/>
          <w:szCs w:val="24"/>
          <w:lang w:val="en-IN"/>
        </w:rPr>
        <w:t>Kajjidoni</w:t>
      </w:r>
      <w:proofErr w:type="spellEnd"/>
      <w:r w:rsidRPr="000741BA">
        <w:rPr>
          <w:rFonts w:ascii="Times New Roman" w:eastAsia="Calibri" w:hAnsi="Times New Roman" w:cs="Times New Roman"/>
          <w:sz w:val="24"/>
          <w:szCs w:val="24"/>
          <w:lang w:val="en-IN"/>
        </w:rPr>
        <w:t xml:space="preserve">, S.T. 2019. Genetic variability and diversity for productivity traits and grain quality including nutritional quality traits in selected mini core and promising released varieties of sorghum. </w:t>
      </w:r>
      <w:r w:rsidRPr="000741BA">
        <w:rPr>
          <w:rFonts w:ascii="Times New Roman" w:eastAsia="Calibri" w:hAnsi="Times New Roman" w:cs="Times New Roman"/>
          <w:i/>
          <w:iCs/>
          <w:sz w:val="24"/>
          <w:szCs w:val="24"/>
          <w:lang w:val="en-IN"/>
        </w:rPr>
        <w:t>Journal of Pharmacognosy and Phytochemistry</w:t>
      </w:r>
      <w:r w:rsidRPr="000741BA">
        <w:rPr>
          <w:rFonts w:ascii="Times New Roman" w:eastAsia="Calibri" w:hAnsi="Times New Roman" w:cs="Times New Roman"/>
          <w:sz w:val="24"/>
          <w:szCs w:val="24"/>
          <w:lang w:val="en-IN"/>
        </w:rPr>
        <w:t>. 8 (4): 2091-2097.</w:t>
      </w:r>
    </w:p>
    <w:p w14:paraId="22D7CE00"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 xml:space="preserve">Axtell, J., </w:t>
      </w:r>
      <w:proofErr w:type="spellStart"/>
      <w:r w:rsidRPr="000741BA">
        <w:rPr>
          <w:rFonts w:ascii="Times New Roman" w:eastAsia="Calibri" w:hAnsi="Times New Roman" w:cs="Times New Roman"/>
          <w:kern w:val="2"/>
          <w:sz w:val="24"/>
          <w:szCs w:val="24"/>
          <w:lang w:val="en-IN" w:bidi="te-IN"/>
          <w14:ligatures w14:val="standardContextual"/>
        </w:rPr>
        <w:t>Kapran</w:t>
      </w:r>
      <w:proofErr w:type="spellEnd"/>
      <w:r w:rsidRPr="000741BA">
        <w:rPr>
          <w:rFonts w:ascii="Times New Roman" w:eastAsia="Calibri" w:hAnsi="Times New Roman" w:cs="Times New Roman"/>
          <w:kern w:val="2"/>
          <w:sz w:val="24"/>
          <w:szCs w:val="24"/>
          <w:lang w:val="en-IN" w:bidi="te-IN"/>
          <w14:ligatures w14:val="standardContextual"/>
        </w:rPr>
        <w:t xml:space="preserve">, I., Ibrahim, Y., </w:t>
      </w:r>
      <w:proofErr w:type="spellStart"/>
      <w:r w:rsidRPr="000741BA">
        <w:rPr>
          <w:rFonts w:ascii="Times New Roman" w:eastAsia="Calibri" w:hAnsi="Times New Roman" w:cs="Times New Roman"/>
          <w:kern w:val="2"/>
          <w:sz w:val="24"/>
          <w:szCs w:val="24"/>
          <w:lang w:val="en-IN" w:bidi="te-IN"/>
          <w14:ligatures w14:val="standardContextual"/>
        </w:rPr>
        <w:t>Ejeta</w:t>
      </w:r>
      <w:proofErr w:type="spellEnd"/>
      <w:r w:rsidRPr="000741BA">
        <w:rPr>
          <w:rFonts w:ascii="Times New Roman" w:eastAsia="Calibri" w:hAnsi="Times New Roman" w:cs="Times New Roman"/>
          <w:kern w:val="2"/>
          <w:sz w:val="24"/>
          <w:szCs w:val="24"/>
          <w:lang w:val="en-IN" w:bidi="te-IN"/>
          <w14:ligatures w14:val="standardContextual"/>
        </w:rPr>
        <w:t xml:space="preserve">, G and Andrews, D.J. 1999. Heterosis in sorghum and pearl millet. In: </w:t>
      </w:r>
      <w:r w:rsidRPr="000741BA">
        <w:rPr>
          <w:rFonts w:ascii="Times New Roman" w:eastAsia="Calibri" w:hAnsi="Times New Roman" w:cs="Times New Roman"/>
          <w:i/>
          <w:iCs/>
          <w:kern w:val="2"/>
          <w:sz w:val="24"/>
          <w:szCs w:val="24"/>
          <w:lang w:val="en-IN" w:bidi="te-IN"/>
          <w14:ligatures w14:val="standardContextual"/>
        </w:rPr>
        <w:t>Proceedings of the Genetic and Exploitation of Heterosis in Crops</w:t>
      </w:r>
      <w:r w:rsidRPr="000741BA">
        <w:rPr>
          <w:rFonts w:ascii="Times New Roman" w:eastAsia="Calibri" w:hAnsi="Times New Roman" w:cs="Times New Roman"/>
          <w:kern w:val="2"/>
          <w:sz w:val="24"/>
          <w:szCs w:val="24"/>
          <w:lang w:val="en-IN" w:bidi="te-IN"/>
          <w14:ligatures w14:val="standardContextual"/>
        </w:rPr>
        <w:t>. 375-386.</w:t>
      </w:r>
    </w:p>
    <w:p w14:paraId="346A0140"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 xml:space="preserve">Burton, G.W. 1952. Quantitative inheritance in grasses. </w:t>
      </w:r>
      <w:r w:rsidRPr="000741BA">
        <w:rPr>
          <w:rFonts w:ascii="Times New Roman" w:eastAsia="Calibri" w:hAnsi="Times New Roman" w:cs="Times New Roman"/>
          <w:i/>
          <w:iCs/>
          <w:kern w:val="2"/>
          <w:sz w:val="24"/>
          <w:szCs w:val="24"/>
          <w:lang w:val="en-IN" w:bidi="te-IN"/>
          <w14:ligatures w14:val="standardContextual"/>
        </w:rPr>
        <w:t>Proceedings of the Sixth International Grassland Congress</w:t>
      </w:r>
      <w:r w:rsidRPr="000741BA">
        <w:rPr>
          <w:rFonts w:ascii="Times New Roman" w:eastAsia="Calibri" w:hAnsi="Times New Roman" w:cs="Times New Roman"/>
          <w:kern w:val="2"/>
          <w:sz w:val="24"/>
          <w:szCs w:val="24"/>
          <w:lang w:val="en-IN" w:bidi="te-IN"/>
          <w14:ligatures w14:val="standardContextual"/>
        </w:rPr>
        <w:t>. 1: 227-281.</w:t>
      </w:r>
    </w:p>
    <w:p w14:paraId="61BEB284"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shd w:val="clear" w:color="auto" w:fill="FFFFFF"/>
          <w:lang w:val="en-IN" w:bidi="te-IN"/>
          <w14:ligatures w14:val="standardContextual"/>
        </w:rPr>
      </w:pPr>
      <w:proofErr w:type="spellStart"/>
      <w:r w:rsidRPr="000741BA">
        <w:rPr>
          <w:rFonts w:ascii="Times New Roman" w:eastAsia="Calibri" w:hAnsi="Times New Roman" w:cs="Times New Roman"/>
          <w:kern w:val="2"/>
          <w:sz w:val="24"/>
          <w:szCs w:val="24"/>
          <w:lang w:val="en-IN" w:bidi="te-IN"/>
          <w14:ligatures w14:val="standardContextual"/>
        </w:rPr>
        <w:t>Chaithrashree</w:t>
      </w:r>
      <w:proofErr w:type="spellEnd"/>
      <w:r w:rsidRPr="000741BA">
        <w:rPr>
          <w:rFonts w:ascii="Times New Roman" w:eastAsia="Calibri" w:hAnsi="Times New Roman" w:cs="Times New Roman"/>
          <w:kern w:val="2"/>
          <w:sz w:val="24"/>
          <w:szCs w:val="24"/>
          <w:lang w:val="en-IN" w:bidi="te-IN"/>
          <w14:ligatures w14:val="standardContextual"/>
        </w:rPr>
        <w:t xml:space="preserve">, B.N., </w:t>
      </w:r>
      <w:proofErr w:type="spellStart"/>
      <w:r w:rsidRPr="000741BA">
        <w:rPr>
          <w:rFonts w:ascii="Times New Roman" w:eastAsia="Calibri" w:hAnsi="Times New Roman" w:cs="Times New Roman"/>
          <w:kern w:val="2"/>
          <w:sz w:val="24"/>
          <w:szCs w:val="24"/>
          <w:lang w:val="en-IN" w:bidi="te-IN"/>
          <w14:ligatures w14:val="standardContextual"/>
        </w:rPr>
        <w:t>Lakshmeesha</w:t>
      </w:r>
      <w:proofErr w:type="spellEnd"/>
      <w:r w:rsidRPr="000741BA">
        <w:rPr>
          <w:rFonts w:ascii="Times New Roman" w:eastAsia="Calibri" w:hAnsi="Times New Roman" w:cs="Times New Roman"/>
          <w:kern w:val="2"/>
          <w:sz w:val="24"/>
          <w:szCs w:val="24"/>
          <w:lang w:val="en-IN" w:bidi="te-IN"/>
          <w14:ligatures w14:val="standardContextual"/>
        </w:rPr>
        <w:t xml:space="preserve">, R., Darshitha, S.R., Harish, J., Manojkumar, H. B. </w:t>
      </w:r>
      <w:proofErr w:type="spellStart"/>
      <w:r w:rsidRPr="000741BA">
        <w:rPr>
          <w:rFonts w:ascii="Times New Roman" w:eastAsia="Calibri" w:hAnsi="Times New Roman" w:cs="Times New Roman"/>
          <w:kern w:val="2"/>
          <w:sz w:val="24"/>
          <w:szCs w:val="24"/>
          <w:lang w:val="en-IN" w:bidi="te-IN"/>
          <w14:ligatures w14:val="standardContextual"/>
        </w:rPr>
        <w:t>Harinikumar</w:t>
      </w:r>
      <w:proofErr w:type="spellEnd"/>
      <w:r w:rsidRPr="000741BA">
        <w:rPr>
          <w:rFonts w:ascii="Times New Roman" w:eastAsia="Calibri" w:hAnsi="Times New Roman" w:cs="Times New Roman"/>
          <w:kern w:val="2"/>
          <w:sz w:val="24"/>
          <w:szCs w:val="24"/>
          <w:lang w:val="en-IN" w:bidi="te-IN"/>
          <w14:ligatures w14:val="standardContextual"/>
        </w:rPr>
        <w:t>, K.M and Babu C. V. 2024. Genetic Variability Studies in Sweet Sorghum (</w:t>
      </w:r>
      <w:r w:rsidRPr="000741BA">
        <w:rPr>
          <w:rFonts w:ascii="Times New Roman" w:eastAsia="Calibri" w:hAnsi="Times New Roman" w:cs="Times New Roman"/>
          <w:i/>
          <w:iCs/>
          <w:kern w:val="2"/>
          <w:sz w:val="24"/>
          <w:szCs w:val="24"/>
          <w:lang w:val="en-IN" w:bidi="te-IN"/>
          <w14:ligatures w14:val="standardContextual"/>
        </w:rPr>
        <w:t xml:space="preserve">Sorghum </w:t>
      </w:r>
      <w:proofErr w:type="spellStart"/>
      <w:r w:rsidRPr="000741BA">
        <w:rPr>
          <w:rFonts w:ascii="Times New Roman" w:eastAsia="Calibri" w:hAnsi="Times New Roman" w:cs="Times New Roman"/>
          <w:i/>
          <w:iCs/>
          <w:kern w:val="2"/>
          <w:sz w:val="24"/>
          <w:szCs w:val="24"/>
          <w:lang w:val="en-IN" w:bidi="te-IN"/>
          <w14:ligatures w14:val="standardContextual"/>
        </w:rPr>
        <w:t>bicolor</w:t>
      </w:r>
      <w:proofErr w:type="spellEnd"/>
      <w:r w:rsidRPr="000741BA">
        <w:rPr>
          <w:rFonts w:ascii="Times New Roman" w:eastAsia="Calibri" w:hAnsi="Times New Roman" w:cs="Times New Roman"/>
          <w:i/>
          <w:iCs/>
          <w:kern w:val="2"/>
          <w:sz w:val="24"/>
          <w:szCs w:val="24"/>
          <w:lang w:val="en-IN" w:bidi="te-IN"/>
          <w14:ligatures w14:val="standardContextual"/>
        </w:rPr>
        <w:t xml:space="preserve"> </w:t>
      </w:r>
      <w:r w:rsidRPr="000741BA">
        <w:rPr>
          <w:rFonts w:ascii="Times New Roman" w:eastAsia="Calibri" w:hAnsi="Times New Roman" w:cs="Times New Roman"/>
          <w:kern w:val="2"/>
          <w:sz w:val="24"/>
          <w:szCs w:val="24"/>
          <w:lang w:val="en-IN" w:bidi="te-IN"/>
          <w14:ligatures w14:val="standardContextual"/>
        </w:rPr>
        <w:t xml:space="preserve">(L.)) Genotypes for Sugar and Biomass Related Traits. </w:t>
      </w:r>
      <w:r w:rsidRPr="000741BA">
        <w:rPr>
          <w:rFonts w:ascii="Times New Roman" w:eastAsia="Calibri" w:hAnsi="Times New Roman" w:cs="Times New Roman"/>
          <w:i/>
          <w:iCs/>
          <w:kern w:val="2"/>
          <w:sz w:val="24"/>
          <w:szCs w:val="24"/>
          <w:lang w:val="en-IN" w:bidi="te-IN"/>
          <w14:ligatures w14:val="standardContextual"/>
        </w:rPr>
        <w:t>Journal of Advances in Biology and Biotechnology</w:t>
      </w:r>
      <w:r w:rsidRPr="000741BA">
        <w:rPr>
          <w:rFonts w:ascii="Times New Roman" w:eastAsia="Calibri" w:hAnsi="Times New Roman" w:cs="Times New Roman"/>
          <w:kern w:val="2"/>
          <w:sz w:val="24"/>
          <w:szCs w:val="24"/>
          <w:lang w:val="en-IN" w:bidi="te-IN"/>
          <w14:ligatures w14:val="standardContextual"/>
        </w:rPr>
        <w:t>. 27(4): 206-216.</w:t>
      </w:r>
    </w:p>
    <w:p w14:paraId="23BC202C"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Damor, H.I., Parmar, H.P., Gohil, D.P and Patel, A.A. 2018. Genetic variability, character association, path coefficient in forage sorghum (</w:t>
      </w:r>
      <w:r w:rsidRPr="000741BA">
        <w:rPr>
          <w:rFonts w:ascii="Times New Roman" w:eastAsia="Calibri" w:hAnsi="Times New Roman" w:cs="Times New Roman"/>
          <w:i/>
          <w:iCs/>
          <w:kern w:val="2"/>
          <w:sz w:val="24"/>
          <w:szCs w:val="24"/>
          <w:lang w:val="en-IN" w:bidi="te-IN"/>
          <w14:ligatures w14:val="standardContextual"/>
        </w:rPr>
        <w:t xml:space="preserve">Sorghum </w:t>
      </w:r>
      <w:proofErr w:type="spellStart"/>
      <w:r w:rsidRPr="000741BA">
        <w:rPr>
          <w:rFonts w:ascii="Times New Roman" w:eastAsia="Calibri" w:hAnsi="Times New Roman" w:cs="Times New Roman"/>
          <w:i/>
          <w:iCs/>
          <w:kern w:val="2"/>
          <w:sz w:val="24"/>
          <w:szCs w:val="24"/>
          <w:lang w:val="en-IN" w:bidi="te-IN"/>
          <w14:ligatures w14:val="standardContextual"/>
        </w:rPr>
        <w:t>bicolor</w:t>
      </w:r>
      <w:proofErr w:type="spellEnd"/>
      <w:r w:rsidRPr="000741BA">
        <w:rPr>
          <w:rFonts w:ascii="Times New Roman" w:eastAsia="Calibri" w:hAnsi="Times New Roman" w:cs="Times New Roman"/>
          <w:i/>
          <w:iCs/>
          <w:kern w:val="2"/>
          <w:sz w:val="24"/>
          <w:szCs w:val="24"/>
          <w:lang w:val="en-IN" w:bidi="te-IN"/>
          <w14:ligatures w14:val="standardContextual"/>
        </w:rPr>
        <w:t xml:space="preserve"> </w:t>
      </w:r>
      <w:r w:rsidRPr="000741BA">
        <w:rPr>
          <w:rFonts w:ascii="Times New Roman" w:eastAsia="Calibri" w:hAnsi="Times New Roman" w:cs="Times New Roman"/>
          <w:kern w:val="2"/>
          <w:sz w:val="24"/>
          <w:szCs w:val="24"/>
          <w:lang w:val="en-IN" w:bidi="te-IN"/>
          <w14:ligatures w14:val="standardContextual"/>
        </w:rPr>
        <w:t xml:space="preserve">(L.) Moench). </w:t>
      </w:r>
      <w:r w:rsidRPr="000741BA">
        <w:rPr>
          <w:rFonts w:ascii="Times New Roman" w:eastAsia="Calibri" w:hAnsi="Times New Roman" w:cs="Times New Roman"/>
          <w:i/>
          <w:iCs/>
          <w:kern w:val="2"/>
          <w:sz w:val="24"/>
          <w:szCs w:val="24"/>
          <w:lang w:val="en-IN" w:bidi="te-IN"/>
          <w14:ligatures w14:val="standardContextual"/>
        </w:rPr>
        <w:t>Green Farming</w:t>
      </w:r>
      <w:r w:rsidRPr="000741BA">
        <w:rPr>
          <w:rFonts w:ascii="Times New Roman" w:eastAsia="Calibri" w:hAnsi="Times New Roman" w:cs="Times New Roman"/>
          <w:kern w:val="2"/>
          <w:sz w:val="24"/>
          <w:szCs w:val="24"/>
          <w:lang w:val="en-IN" w:bidi="te-IN"/>
          <w14:ligatures w14:val="standardContextual"/>
        </w:rPr>
        <w:t>. 9(2): 218-233.</w:t>
      </w:r>
    </w:p>
    <w:p w14:paraId="2133188F"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 xml:space="preserve">Dev, A., Singh, S.K., Chand, P., Kumar, M., Kumar, M., </w:t>
      </w:r>
      <w:proofErr w:type="spellStart"/>
      <w:r w:rsidRPr="000741BA">
        <w:rPr>
          <w:rFonts w:ascii="Times New Roman" w:eastAsia="Calibri" w:hAnsi="Times New Roman" w:cs="Times New Roman"/>
          <w:kern w:val="2"/>
          <w:sz w:val="24"/>
          <w:szCs w:val="24"/>
          <w:lang w:val="en-IN" w:bidi="te-IN"/>
          <w14:ligatures w14:val="standardContextual"/>
        </w:rPr>
        <w:t>Poonia</w:t>
      </w:r>
      <w:proofErr w:type="spellEnd"/>
      <w:r w:rsidRPr="000741BA">
        <w:rPr>
          <w:rFonts w:ascii="Times New Roman" w:eastAsia="Calibri" w:hAnsi="Times New Roman" w:cs="Times New Roman"/>
          <w:kern w:val="2"/>
          <w:sz w:val="24"/>
          <w:szCs w:val="24"/>
          <w:lang w:val="en-IN" w:bidi="te-IN"/>
          <w14:ligatures w14:val="standardContextual"/>
        </w:rPr>
        <w:t xml:space="preserve">, M and Srivastava, M. 2019. Genetic variability, character association and path analysis in forage sorghum. </w:t>
      </w:r>
      <w:r w:rsidRPr="000741BA">
        <w:rPr>
          <w:rFonts w:ascii="Times New Roman" w:eastAsia="Calibri" w:hAnsi="Times New Roman" w:cs="Times New Roman"/>
          <w:i/>
          <w:iCs/>
          <w:kern w:val="2"/>
          <w:sz w:val="24"/>
          <w:szCs w:val="24"/>
          <w:lang w:val="en-IN" w:bidi="te-IN"/>
          <w14:ligatures w14:val="standardContextual"/>
        </w:rPr>
        <w:t>Journal of Pharmacognosy and Photochemistry</w:t>
      </w:r>
      <w:r w:rsidRPr="000741BA">
        <w:rPr>
          <w:rFonts w:ascii="Times New Roman" w:eastAsia="Calibri" w:hAnsi="Times New Roman" w:cs="Times New Roman"/>
          <w:kern w:val="2"/>
          <w:sz w:val="24"/>
          <w:szCs w:val="24"/>
          <w:lang w:val="en-IN" w:bidi="te-IN"/>
          <w14:ligatures w14:val="standardContextual"/>
        </w:rPr>
        <w:t>. 8(5): 1135-1139.</w:t>
      </w:r>
    </w:p>
    <w:p w14:paraId="4041E09F"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lastRenderedPageBreak/>
        <w:t xml:space="preserve">Diwakar, A., </w:t>
      </w:r>
      <w:proofErr w:type="spellStart"/>
      <w:r w:rsidRPr="000741BA">
        <w:rPr>
          <w:rFonts w:ascii="Times New Roman" w:eastAsia="Calibri" w:hAnsi="Times New Roman" w:cs="Times New Roman"/>
          <w:kern w:val="2"/>
          <w:sz w:val="24"/>
          <w:szCs w:val="24"/>
          <w:lang w:val="en-IN" w:bidi="te-IN"/>
          <w14:ligatures w14:val="standardContextual"/>
        </w:rPr>
        <w:t>Ranwah</w:t>
      </w:r>
      <w:proofErr w:type="spellEnd"/>
      <w:r w:rsidRPr="000741BA">
        <w:rPr>
          <w:rFonts w:ascii="Times New Roman" w:eastAsia="Calibri" w:hAnsi="Times New Roman" w:cs="Times New Roman"/>
          <w:kern w:val="2"/>
          <w:sz w:val="24"/>
          <w:szCs w:val="24"/>
          <w:lang w:val="en-IN" w:bidi="te-IN"/>
          <w14:ligatures w14:val="standardContextual"/>
        </w:rPr>
        <w:t>, B.R., Sharma, D.B and Sinha, S.K. 2016. Study of variability parameters in forage sorghum (</w:t>
      </w:r>
      <w:r w:rsidRPr="000741BA">
        <w:rPr>
          <w:rFonts w:ascii="Times New Roman" w:eastAsia="Calibri" w:hAnsi="Times New Roman" w:cs="Times New Roman"/>
          <w:i/>
          <w:iCs/>
          <w:kern w:val="2"/>
          <w:sz w:val="24"/>
          <w:szCs w:val="24"/>
          <w:lang w:val="en-IN" w:bidi="te-IN"/>
          <w14:ligatures w14:val="standardContextual"/>
        </w:rPr>
        <w:t xml:space="preserve">Sorghum </w:t>
      </w:r>
      <w:proofErr w:type="spellStart"/>
      <w:r w:rsidRPr="000741BA">
        <w:rPr>
          <w:rFonts w:ascii="Times New Roman" w:eastAsia="Calibri" w:hAnsi="Times New Roman" w:cs="Times New Roman"/>
          <w:i/>
          <w:iCs/>
          <w:kern w:val="2"/>
          <w:sz w:val="24"/>
          <w:szCs w:val="24"/>
          <w:lang w:val="en-IN" w:bidi="te-IN"/>
          <w14:ligatures w14:val="standardContextual"/>
        </w:rPr>
        <w:t>bicolor</w:t>
      </w:r>
      <w:proofErr w:type="spellEnd"/>
      <w:r w:rsidRPr="000741BA">
        <w:rPr>
          <w:rFonts w:ascii="Times New Roman" w:eastAsia="Calibri" w:hAnsi="Times New Roman" w:cs="Times New Roman"/>
          <w:i/>
          <w:iCs/>
          <w:kern w:val="2"/>
          <w:sz w:val="24"/>
          <w:szCs w:val="24"/>
          <w:lang w:val="en-IN" w:bidi="te-IN"/>
          <w14:ligatures w14:val="standardContextual"/>
        </w:rPr>
        <w:t xml:space="preserve"> </w:t>
      </w:r>
      <w:r w:rsidRPr="000741BA">
        <w:rPr>
          <w:rFonts w:ascii="Times New Roman" w:eastAsia="Calibri" w:hAnsi="Times New Roman" w:cs="Times New Roman"/>
          <w:kern w:val="2"/>
          <w:sz w:val="24"/>
          <w:szCs w:val="24"/>
          <w:lang w:val="en-IN" w:bidi="te-IN"/>
          <w14:ligatures w14:val="standardContextual"/>
        </w:rPr>
        <w:t xml:space="preserve">(L.) Moench). </w:t>
      </w:r>
      <w:r w:rsidRPr="000741BA">
        <w:rPr>
          <w:rFonts w:ascii="Times New Roman" w:eastAsia="Calibri" w:hAnsi="Times New Roman" w:cs="Times New Roman"/>
          <w:i/>
          <w:iCs/>
          <w:kern w:val="2"/>
          <w:sz w:val="24"/>
          <w:szCs w:val="24"/>
          <w:lang w:val="en-IN" w:bidi="te-IN"/>
          <w14:ligatures w14:val="standardContextual"/>
        </w:rPr>
        <w:t>Research of Environment Life Science.</w:t>
      </w:r>
      <w:r w:rsidRPr="000741BA">
        <w:rPr>
          <w:rFonts w:ascii="Times New Roman" w:eastAsia="Calibri" w:hAnsi="Times New Roman" w:cs="Times New Roman"/>
          <w:kern w:val="2"/>
          <w:sz w:val="24"/>
          <w:szCs w:val="24"/>
          <w:lang w:val="en-IN" w:bidi="te-IN"/>
          <w14:ligatures w14:val="standardContextual"/>
        </w:rPr>
        <w:t xml:space="preserve"> 9(5): 528-530.</w:t>
      </w:r>
    </w:p>
    <w:p w14:paraId="3A5306DC"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shd w:val="clear" w:color="auto" w:fill="FFFFFF"/>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Fisher, R. A and Yates, F. 1974. Statistical tables for biological, agricultural, and medical research. Longman group Ltd. London.</w:t>
      </w:r>
    </w:p>
    <w:p w14:paraId="1E3AEA42"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shd w:val="clear" w:color="auto" w:fill="FFFFFF"/>
          <w:lang w:val="en-IN" w:bidi="te-IN"/>
          <w14:ligatures w14:val="standardContextual"/>
        </w:rPr>
      </w:pPr>
      <w:proofErr w:type="spellStart"/>
      <w:r w:rsidRPr="000741BA">
        <w:rPr>
          <w:rFonts w:ascii="Times New Roman" w:eastAsia="Calibri" w:hAnsi="Times New Roman" w:cs="Times New Roman"/>
          <w:kern w:val="2"/>
          <w:sz w:val="24"/>
          <w:szCs w:val="24"/>
          <w:shd w:val="clear" w:color="auto" w:fill="FFFFFF"/>
          <w:lang w:val="en-IN" w:bidi="te-IN"/>
          <w14:ligatures w14:val="standardContextual"/>
        </w:rPr>
        <w:t>Gedifew</w:t>
      </w:r>
      <w:proofErr w:type="spellEnd"/>
      <w:r w:rsidRPr="000741BA">
        <w:rPr>
          <w:rFonts w:ascii="Times New Roman" w:eastAsia="Calibri" w:hAnsi="Times New Roman" w:cs="Times New Roman"/>
          <w:kern w:val="2"/>
          <w:sz w:val="24"/>
          <w:szCs w:val="24"/>
          <w:shd w:val="clear" w:color="auto" w:fill="FFFFFF"/>
          <w:lang w:val="en-IN" w:bidi="te-IN"/>
          <w14:ligatures w14:val="standardContextual"/>
        </w:rPr>
        <w:t>, G and Tsige, G. 2019. Morphological characterization and evaluation of sorghum (</w:t>
      </w:r>
      <w:r w:rsidRPr="000741BA">
        <w:rPr>
          <w:rFonts w:ascii="Times New Roman" w:eastAsia="Calibri" w:hAnsi="Times New Roman" w:cs="Times New Roman"/>
          <w:i/>
          <w:iCs/>
          <w:kern w:val="2"/>
          <w:sz w:val="24"/>
          <w:szCs w:val="24"/>
          <w:shd w:val="clear" w:color="auto" w:fill="FFFFFF"/>
          <w:lang w:val="en-IN" w:bidi="te-IN"/>
          <w14:ligatures w14:val="standardContextual"/>
        </w:rPr>
        <w:t xml:space="preserve">Sorghum </w:t>
      </w:r>
      <w:proofErr w:type="spellStart"/>
      <w:r w:rsidRPr="000741BA">
        <w:rPr>
          <w:rFonts w:ascii="Times New Roman" w:eastAsia="Calibri" w:hAnsi="Times New Roman" w:cs="Times New Roman"/>
          <w:i/>
          <w:iCs/>
          <w:kern w:val="2"/>
          <w:sz w:val="24"/>
          <w:szCs w:val="24"/>
          <w:shd w:val="clear" w:color="auto" w:fill="FFFFFF"/>
          <w:lang w:val="en-IN" w:bidi="te-IN"/>
          <w14:ligatures w14:val="standardContextual"/>
        </w:rPr>
        <w:t>bicolor</w:t>
      </w:r>
      <w:proofErr w:type="spellEnd"/>
      <w:r w:rsidRPr="000741BA">
        <w:rPr>
          <w:rFonts w:ascii="Times New Roman" w:eastAsia="Calibri" w:hAnsi="Times New Roman" w:cs="Times New Roman"/>
          <w:i/>
          <w:iCs/>
          <w:kern w:val="2"/>
          <w:sz w:val="24"/>
          <w:szCs w:val="24"/>
          <w:shd w:val="clear" w:color="auto" w:fill="FFFFFF"/>
          <w:lang w:val="en-IN" w:bidi="te-IN"/>
          <w14:ligatures w14:val="standardContextual"/>
        </w:rPr>
        <w:t xml:space="preserve"> </w:t>
      </w:r>
      <w:r w:rsidRPr="000741BA">
        <w:rPr>
          <w:rFonts w:ascii="Times New Roman" w:eastAsia="Calibri" w:hAnsi="Times New Roman" w:cs="Times New Roman"/>
          <w:kern w:val="2"/>
          <w:sz w:val="24"/>
          <w:szCs w:val="24"/>
          <w:shd w:val="clear" w:color="auto" w:fill="FFFFFF"/>
          <w:lang w:val="en-IN" w:bidi="te-IN"/>
          <w14:ligatures w14:val="standardContextual"/>
        </w:rPr>
        <w:t xml:space="preserve">(L.) Moench) landraces in </w:t>
      </w:r>
      <w:proofErr w:type="spellStart"/>
      <w:r w:rsidRPr="000741BA">
        <w:rPr>
          <w:rFonts w:ascii="Times New Roman" w:eastAsia="Calibri" w:hAnsi="Times New Roman" w:cs="Times New Roman"/>
          <w:kern w:val="2"/>
          <w:sz w:val="24"/>
          <w:szCs w:val="24"/>
          <w:shd w:val="clear" w:color="auto" w:fill="FFFFFF"/>
          <w:lang w:val="en-IN" w:bidi="te-IN"/>
          <w14:ligatures w14:val="standardContextual"/>
        </w:rPr>
        <w:t>benishangul</w:t>
      </w:r>
      <w:proofErr w:type="spellEnd"/>
      <w:r w:rsidRPr="000741BA">
        <w:rPr>
          <w:rFonts w:ascii="Times New Roman" w:eastAsia="Calibri" w:hAnsi="Times New Roman" w:cs="Times New Roman"/>
          <w:kern w:val="2"/>
          <w:sz w:val="24"/>
          <w:szCs w:val="24"/>
          <w:shd w:val="clear" w:color="auto" w:fill="FFFFFF"/>
          <w:lang w:val="en-IN" w:bidi="te-IN"/>
          <w14:ligatures w14:val="standardContextual"/>
        </w:rPr>
        <w:t xml:space="preserve"> </w:t>
      </w:r>
      <w:proofErr w:type="spellStart"/>
      <w:r w:rsidRPr="000741BA">
        <w:rPr>
          <w:rFonts w:ascii="Times New Roman" w:eastAsia="Calibri" w:hAnsi="Times New Roman" w:cs="Times New Roman"/>
          <w:kern w:val="2"/>
          <w:sz w:val="24"/>
          <w:szCs w:val="24"/>
          <w:shd w:val="clear" w:color="auto" w:fill="FFFFFF"/>
          <w:lang w:val="en-IN" w:bidi="te-IN"/>
          <w14:ligatures w14:val="standardContextual"/>
        </w:rPr>
        <w:t>gumuz</w:t>
      </w:r>
      <w:proofErr w:type="spellEnd"/>
      <w:r w:rsidRPr="000741BA">
        <w:rPr>
          <w:rFonts w:ascii="Times New Roman" w:eastAsia="Calibri" w:hAnsi="Times New Roman" w:cs="Times New Roman"/>
          <w:kern w:val="2"/>
          <w:sz w:val="24"/>
          <w:szCs w:val="24"/>
          <w:shd w:val="clear" w:color="auto" w:fill="FFFFFF"/>
          <w:lang w:val="en-IN" w:bidi="te-IN"/>
          <w14:ligatures w14:val="standardContextual"/>
        </w:rPr>
        <w:t>, North-western Ethiopia. </w:t>
      </w:r>
      <w:r w:rsidRPr="000741BA">
        <w:rPr>
          <w:rFonts w:ascii="Times New Roman" w:eastAsia="Calibri" w:hAnsi="Times New Roman" w:cs="Times New Roman"/>
          <w:i/>
          <w:iCs/>
          <w:kern w:val="2"/>
          <w:sz w:val="24"/>
          <w:szCs w:val="24"/>
          <w:shd w:val="clear" w:color="auto" w:fill="FFFFFF"/>
          <w:lang w:val="en-IN" w:bidi="te-IN"/>
          <w14:ligatures w14:val="standardContextual"/>
        </w:rPr>
        <w:t>Greener Journal of Agricultural Sciences</w:t>
      </w:r>
      <w:r w:rsidRPr="000741BA">
        <w:rPr>
          <w:rFonts w:ascii="Times New Roman" w:eastAsia="Calibri" w:hAnsi="Times New Roman" w:cs="Times New Roman"/>
          <w:kern w:val="2"/>
          <w:sz w:val="24"/>
          <w:szCs w:val="24"/>
          <w:shd w:val="clear" w:color="auto" w:fill="FFFFFF"/>
          <w:lang w:val="en-IN" w:bidi="te-IN"/>
          <w14:ligatures w14:val="standardContextual"/>
        </w:rPr>
        <w:t>. 9(1): 37-56.</w:t>
      </w:r>
    </w:p>
    <w:p w14:paraId="5539B2A1"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shd w:val="clear" w:color="auto" w:fill="FFFFFF"/>
          <w:lang w:val="en-IN" w:bidi="te-IN"/>
          <w14:ligatures w14:val="standardContextual"/>
        </w:rPr>
      </w:pPr>
      <w:r w:rsidRPr="000741BA">
        <w:rPr>
          <w:rFonts w:ascii="Times New Roman" w:eastAsia="Calibri" w:hAnsi="Times New Roman" w:cs="Times New Roman"/>
          <w:kern w:val="2"/>
          <w:sz w:val="24"/>
          <w:szCs w:val="24"/>
          <w:shd w:val="clear" w:color="auto" w:fill="FFFFFF"/>
          <w:lang w:val="en-IN" w:bidi="te-IN"/>
          <w14:ligatures w14:val="standardContextual"/>
        </w:rPr>
        <w:t>Jain, S. K and Patel, P. R. 2013. Heterosis studies for yield and its attributing traits in sorghum (</w:t>
      </w:r>
      <w:r w:rsidRPr="000741BA">
        <w:rPr>
          <w:rFonts w:ascii="Times New Roman" w:eastAsia="Calibri" w:hAnsi="Times New Roman" w:cs="Times New Roman"/>
          <w:i/>
          <w:iCs/>
          <w:kern w:val="2"/>
          <w:sz w:val="24"/>
          <w:szCs w:val="24"/>
          <w:shd w:val="clear" w:color="auto" w:fill="FFFFFF"/>
          <w:lang w:val="en-IN" w:bidi="te-IN"/>
          <w14:ligatures w14:val="standardContextual"/>
        </w:rPr>
        <w:t xml:space="preserve">Sorghum </w:t>
      </w:r>
      <w:proofErr w:type="spellStart"/>
      <w:r w:rsidRPr="000741BA">
        <w:rPr>
          <w:rFonts w:ascii="Times New Roman" w:eastAsia="Calibri" w:hAnsi="Times New Roman" w:cs="Times New Roman"/>
          <w:i/>
          <w:iCs/>
          <w:kern w:val="2"/>
          <w:sz w:val="24"/>
          <w:szCs w:val="24"/>
          <w:shd w:val="clear" w:color="auto" w:fill="FFFFFF"/>
          <w:lang w:val="en-IN" w:bidi="te-IN"/>
          <w14:ligatures w14:val="standardContextual"/>
        </w:rPr>
        <w:t>bicolor</w:t>
      </w:r>
      <w:proofErr w:type="spellEnd"/>
      <w:r w:rsidRPr="000741BA">
        <w:rPr>
          <w:rFonts w:ascii="Times New Roman" w:eastAsia="Calibri" w:hAnsi="Times New Roman" w:cs="Times New Roman"/>
          <w:i/>
          <w:iCs/>
          <w:kern w:val="2"/>
          <w:sz w:val="24"/>
          <w:szCs w:val="24"/>
          <w:shd w:val="clear" w:color="auto" w:fill="FFFFFF"/>
          <w:lang w:val="en-IN" w:bidi="te-IN"/>
          <w14:ligatures w14:val="standardContextual"/>
        </w:rPr>
        <w:t xml:space="preserve"> </w:t>
      </w:r>
      <w:r w:rsidRPr="000741BA">
        <w:rPr>
          <w:rFonts w:ascii="Times New Roman" w:eastAsia="Calibri" w:hAnsi="Times New Roman" w:cs="Times New Roman"/>
          <w:kern w:val="2"/>
          <w:sz w:val="24"/>
          <w:szCs w:val="24"/>
          <w:shd w:val="clear" w:color="auto" w:fill="FFFFFF"/>
          <w:lang w:val="en-IN" w:bidi="te-IN"/>
          <w14:ligatures w14:val="standardContextual"/>
        </w:rPr>
        <w:t>(L.) Moench). </w:t>
      </w:r>
      <w:r w:rsidRPr="000741BA">
        <w:rPr>
          <w:rFonts w:ascii="Times New Roman" w:eastAsia="Calibri" w:hAnsi="Times New Roman" w:cs="Times New Roman"/>
          <w:i/>
          <w:iCs/>
          <w:kern w:val="2"/>
          <w:sz w:val="24"/>
          <w:szCs w:val="24"/>
          <w:shd w:val="clear" w:color="auto" w:fill="FFFFFF"/>
          <w:lang w:val="en-IN" w:bidi="te-IN"/>
          <w14:ligatures w14:val="standardContextual"/>
        </w:rPr>
        <w:t>Forage Research</w:t>
      </w:r>
      <w:r w:rsidRPr="000741BA">
        <w:rPr>
          <w:rFonts w:ascii="Times New Roman" w:eastAsia="Calibri" w:hAnsi="Times New Roman" w:cs="Times New Roman"/>
          <w:kern w:val="2"/>
          <w:sz w:val="24"/>
          <w:szCs w:val="24"/>
          <w:shd w:val="clear" w:color="auto" w:fill="FFFFFF"/>
          <w:lang w:val="en-IN" w:bidi="te-IN"/>
          <w14:ligatures w14:val="standardContextual"/>
        </w:rPr>
        <w:t>. 39(3): 114-117.</w:t>
      </w:r>
    </w:p>
    <w:p w14:paraId="444FA837" w14:textId="4C395462"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 xml:space="preserve">Johnson, H.W., Robinson, H.F and Comstock, R.E. 1955. Estimates of genetic and environmental variability in soybean. </w:t>
      </w:r>
      <w:r w:rsidRPr="000741BA">
        <w:rPr>
          <w:rFonts w:ascii="Times New Roman" w:eastAsia="Calibri" w:hAnsi="Times New Roman" w:cs="Times New Roman"/>
          <w:i/>
          <w:iCs/>
          <w:kern w:val="2"/>
          <w:sz w:val="24"/>
          <w:szCs w:val="24"/>
          <w:lang w:val="en-IN" w:bidi="te-IN"/>
          <w14:ligatures w14:val="standardContextual"/>
        </w:rPr>
        <w:t>Agronomy Journal.</w:t>
      </w:r>
      <w:r w:rsidRPr="000741BA">
        <w:rPr>
          <w:rFonts w:ascii="Times New Roman" w:eastAsia="Calibri" w:hAnsi="Times New Roman" w:cs="Times New Roman"/>
          <w:kern w:val="2"/>
          <w:sz w:val="24"/>
          <w:szCs w:val="24"/>
          <w:lang w:val="en-IN" w:bidi="te-IN"/>
          <w14:ligatures w14:val="standardContextual"/>
        </w:rPr>
        <w:t xml:space="preserve"> 47: 314-318. </w:t>
      </w:r>
    </w:p>
    <w:p w14:paraId="3EF51EFF" w14:textId="77777777" w:rsidR="00D222C8" w:rsidRPr="000741BA" w:rsidRDefault="00D222C8" w:rsidP="00D222C8">
      <w:pPr>
        <w:spacing w:line="240" w:lineRule="auto"/>
        <w:ind w:left="719" w:hanging="719"/>
        <w:jc w:val="both"/>
        <w:rPr>
          <w:rFonts w:ascii="Times New Roman" w:eastAsia="Calibri" w:hAnsi="Times New Roman" w:cs="Times New Roman"/>
          <w:i/>
          <w:iCs/>
          <w:kern w:val="2"/>
          <w:sz w:val="24"/>
          <w:szCs w:val="24"/>
          <w:lang w:val="en-IN" w:bidi="te-IN"/>
          <w14:ligatures w14:val="standardContextual"/>
        </w:rPr>
      </w:pPr>
      <w:proofErr w:type="spellStart"/>
      <w:r w:rsidRPr="000741BA">
        <w:rPr>
          <w:rFonts w:ascii="Times New Roman" w:eastAsia="Calibri" w:hAnsi="Times New Roman" w:cs="Times New Roman"/>
          <w:kern w:val="2"/>
          <w:sz w:val="24"/>
          <w:szCs w:val="24"/>
          <w:lang w:val="en-IN" w:bidi="te-IN"/>
          <w14:ligatures w14:val="standardContextual"/>
        </w:rPr>
        <w:t>Kalpande</w:t>
      </w:r>
      <w:proofErr w:type="spellEnd"/>
      <w:r w:rsidRPr="000741BA">
        <w:rPr>
          <w:rFonts w:ascii="Times New Roman" w:eastAsia="Calibri" w:hAnsi="Times New Roman" w:cs="Times New Roman"/>
          <w:kern w:val="2"/>
          <w:sz w:val="24"/>
          <w:szCs w:val="24"/>
          <w:lang w:val="en-IN" w:bidi="te-IN"/>
          <w14:ligatures w14:val="standardContextual"/>
        </w:rPr>
        <w:t xml:space="preserve">, H.V., More, A.W., </w:t>
      </w:r>
      <w:proofErr w:type="spellStart"/>
      <w:r w:rsidRPr="000741BA">
        <w:rPr>
          <w:rFonts w:ascii="Times New Roman" w:eastAsia="Calibri" w:hAnsi="Times New Roman" w:cs="Times New Roman"/>
          <w:kern w:val="2"/>
          <w:sz w:val="24"/>
          <w:szCs w:val="24"/>
          <w:lang w:val="en-IN" w:bidi="te-IN"/>
          <w14:ligatures w14:val="standardContextual"/>
        </w:rPr>
        <w:t>Aundhekar</w:t>
      </w:r>
      <w:proofErr w:type="spellEnd"/>
      <w:r w:rsidRPr="000741BA">
        <w:rPr>
          <w:rFonts w:ascii="Times New Roman" w:eastAsia="Calibri" w:hAnsi="Times New Roman" w:cs="Times New Roman"/>
          <w:kern w:val="2"/>
          <w:sz w:val="24"/>
          <w:szCs w:val="24"/>
          <w:lang w:val="en-IN" w:bidi="te-IN"/>
          <w14:ligatures w14:val="standardContextual"/>
        </w:rPr>
        <w:t xml:space="preserve">, R.L and </w:t>
      </w:r>
      <w:proofErr w:type="spellStart"/>
      <w:r w:rsidRPr="000741BA">
        <w:rPr>
          <w:rFonts w:ascii="Times New Roman" w:eastAsia="Calibri" w:hAnsi="Times New Roman" w:cs="Times New Roman"/>
          <w:kern w:val="2"/>
          <w:sz w:val="24"/>
          <w:szCs w:val="24"/>
          <w:lang w:val="en-IN" w:bidi="te-IN"/>
          <w14:ligatures w14:val="standardContextual"/>
        </w:rPr>
        <w:t>Dhutmal</w:t>
      </w:r>
      <w:proofErr w:type="spellEnd"/>
      <w:r w:rsidRPr="000741BA">
        <w:rPr>
          <w:rFonts w:ascii="Times New Roman" w:eastAsia="Calibri" w:hAnsi="Times New Roman" w:cs="Times New Roman"/>
          <w:kern w:val="2"/>
          <w:sz w:val="24"/>
          <w:szCs w:val="24"/>
          <w:lang w:val="en-IN" w:bidi="te-IN"/>
          <w14:ligatures w14:val="standardContextual"/>
        </w:rPr>
        <w:t>, R.R 2018. Genetic Variability, Heritability and Genetic Advance in Sweet Grain (Hurda) sorghum (</w:t>
      </w:r>
      <w:r w:rsidRPr="000741BA">
        <w:rPr>
          <w:rFonts w:ascii="Times New Roman" w:eastAsia="Calibri" w:hAnsi="Times New Roman" w:cs="Times New Roman"/>
          <w:i/>
          <w:iCs/>
          <w:kern w:val="2"/>
          <w:sz w:val="24"/>
          <w:szCs w:val="24"/>
          <w:lang w:val="en-IN" w:bidi="te-IN"/>
          <w14:ligatures w14:val="standardContextual"/>
        </w:rPr>
        <w:t xml:space="preserve">Sorghum </w:t>
      </w:r>
      <w:proofErr w:type="spellStart"/>
      <w:r w:rsidRPr="000741BA">
        <w:rPr>
          <w:rFonts w:ascii="Times New Roman" w:eastAsia="Calibri" w:hAnsi="Times New Roman" w:cs="Times New Roman"/>
          <w:i/>
          <w:iCs/>
          <w:kern w:val="2"/>
          <w:sz w:val="24"/>
          <w:szCs w:val="24"/>
          <w:lang w:val="en-IN" w:bidi="te-IN"/>
          <w14:ligatures w14:val="standardContextual"/>
        </w:rPr>
        <w:t>bicolor</w:t>
      </w:r>
      <w:proofErr w:type="spellEnd"/>
      <w:r w:rsidRPr="000741BA">
        <w:rPr>
          <w:rFonts w:ascii="Times New Roman" w:eastAsia="Calibri" w:hAnsi="Times New Roman" w:cs="Times New Roman"/>
          <w:i/>
          <w:iCs/>
          <w:kern w:val="2"/>
          <w:sz w:val="24"/>
          <w:szCs w:val="24"/>
          <w:lang w:val="en-IN" w:bidi="te-IN"/>
          <w14:ligatures w14:val="standardContextual"/>
        </w:rPr>
        <w:t xml:space="preserve"> </w:t>
      </w:r>
      <w:r w:rsidRPr="000741BA">
        <w:rPr>
          <w:rFonts w:ascii="Times New Roman" w:eastAsia="Calibri" w:hAnsi="Times New Roman" w:cs="Times New Roman"/>
          <w:kern w:val="2"/>
          <w:sz w:val="24"/>
          <w:szCs w:val="24"/>
          <w:lang w:val="en-IN" w:bidi="te-IN"/>
          <w14:ligatures w14:val="standardContextual"/>
        </w:rPr>
        <w:t xml:space="preserve">(L.) Moench). </w:t>
      </w:r>
      <w:r w:rsidRPr="000741BA">
        <w:rPr>
          <w:rFonts w:ascii="Times New Roman" w:eastAsia="Calibri" w:hAnsi="Times New Roman" w:cs="Times New Roman"/>
          <w:i/>
          <w:iCs/>
          <w:kern w:val="2"/>
          <w:sz w:val="24"/>
          <w:szCs w:val="24"/>
          <w:lang w:val="en-IN" w:bidi="te-IN"/>
          <w14:ligatures w14:val="standardContextual"/>
        </w:rPr>
        <w:t xml:space="preserve">International Journal of Current Microbiology and Applied Sciences. </w:t>
      </w:r>
      <w:r w:rsidRPr="000741BA">
        <w:rPr>
          <w:rFonts w:ascii="Times New Roman" w:eastAsia="Calibri" w:hAnsi="Times New Roman" w:cs="Times New Roman"/>
          <w:kern w:val="2"/>
          <w:sz w:val="24"/>
          <w:szCs w:val="24"/>
          <w:lang w:val="en-IN" w:bidi="te-IN"/>
          <w14:ligatures w14:val="standardContextual"/>
        </w:rPr>
        <w:t>6: 400-405.</w:t>
      </w:r>
    </w:p>
    <w:p w14:paraId="577005F5"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shd w:val="clear" w:color="auto" w:fill="FFFFFF"/>
          <w:lang w:val="en-IN" w:bidi="te-IN"/>
          <w14:ligatures w14:val="standardContextual"/>
        </w:rPr>
      </w:pPr>
      <w:r w:rsidRPr="000741BA">
        <w:rPr>
          <w:rFonts w:ascii="Times New Roman" w:eastAsia="Calibri" w:hAnsi="Times New Roman" w:cs="Times New Roman"/>
          <w:kern w:val="2"/>
          <w:sz w:val="24"/>
          <w:szCs w:val="24"/>
          <w:shd w:val="clear" w:color="auto" w:fill="FFFFFF"/>
          <w:lang w:val="en-IN" w:bidi="te-IN"/>
          <w14:ligatures w14:val="standardContextual"/>
        </w:rPr>
        <w:t>Kavitha, S. 2018. Genetic studies on yield and quality attributes in grain sorghum (</w:t>
      </w:r>
      <w:r w:rsidRPr="000741BA">
        <w:rPr>
          <w:rFonts w:ascii="Times New Roman" w:eastAsia="Calibri" w:hAnsi="Times New Roman" w:cs="Times New Roman"/>
          <w:i/>
          <w:iCs/>
          <w:kern w:val="2"/>
          <w:sz w:val="24"/>
          <w:szCs w:val="24"/>
          <w:shd w:val="clear" w:color="auto" w:fill="FFFFFF"/>
          <w:lang w:val="en-IN" w:bidi="te-IN"/>
          <w14:ligatures w14:val="standardContextual"/>
        </w:rPr>
        <w:t xml:space="preserve">Sorghum </w:t>
      </w:r>
      <w:proofErr w:type="spellStart"/>
      <w:r w:rsidRPr="000741BA">
        <w:rPr>
          <w:rFonts w:ascii="Times New Roman" w:eastAsia="Calibri" w:hAnsi="Times New Roman" w:cs="Times New Roman"/>
          <w:i/>
          <w:iCs/>
          <w:kern w:val="2"/>
          <w:sz w:val="24"/>
          <w:szCs w:val="24"/>
          <w:shd w:val="clear" w:color="auto" w:fill="FFFFFF"/>
          <w:lang w:val="en-IN" w:bidi="te-IN"/>
          <w14:ligatures w14:val="standardContextual"/>
        </w:rPr>
        <w:t>bicolor</w:t>
      </w:r>
      <w:proofErr w:type="spellEnd"/>
      <w:r w:rsidRPr="000741BA">
        <w:rPr>
          <w:rFonts w:ascii="Times New Roman" w:eastAsia="Calibri" w:hAnsi="Times New Roman" w:cs="Times New Roman"/>
          <w:i/>
          <w:iCs/>
          <w:kern w:val="2"/>
          <w:sz w:val="24"/>
          <w:szCs w:val="24"/>
          <w:shd w:val="clear" w:color="auto" w:fill="FFFFFF"/>
          <w:lang w:val="en-IN" w:bidi="te-IN"/>
          <w14:ligatures w14:val="standardContextual"/>
        </w:rPr>
        <w:t xml:space="preserve"> </w:t>
      </w:r>
      <w:r w:rsidRPr="000741BA">
        <w:rPr>
          <w:rFonts w:ascii="Times New Roman" w:eastAsia="Calibri" w:hAnsi="Times New Roman" w:cs="Times New Roman"/>
          <w:kern w:val="2"/>
          <w:sz w:val="24"/>
          <w:szCs w:val="24"/>
          <w:shd w:val="clear" w:color="auto" w:fill="FFFFFF"/>
          <w:lang w:val="en-IN" w:bidi="te-IN"/>
          <w14:ligatures w14:val="standardContextual"/>
        </w:rPr>
        <w:t>(L.)) (</w:t>
      </w:r>
      <w:r w:rsidRPr="000741BA">
        <w:rPr>
          <w:rFonts w:ascii="Times New Roman" w:eastAsia="Calibri" w:hAnsi="Times New Roman" w:cs="Times New Roman"/>
          <w:i/>
          <w:iCs/>
          <w:kern w:val="2"/>
          <w:sz w:val="24"/>
          <w:szCs w:val="24"/>
          <w:shd w:val="clear" w:color="auto" w:fill="FFFFFF"/>
          <w:lang w:val="en-IN" w:bidi="te-IN"/>
          <w14:ligatures w14:val="standardContextual"/>
        </w:rPr>
        <w:t>Doctoral dissertation</w:t>
      </w:r>
      <w:r w:rsidRPr="000741BA">
        <w:rPr>
          <w:rFonts w:ascii="Times New Roman" w:eastAsia="Calibri" w:hAnsi="Times New Roman" w:cs="Times New Roman"/>
          <w:kern w:val="2"/>
          <w:sz w:val="24"/>
          <w:szCs w:val="24"/>
          <w:shd w:val="clear" w:color="auto" w:fill="FFFFFF"/>
          <w:lang w:val="en-IN" w:bidi="te-IN"/>
          <w14:ligatures w14:val="standardContextual"/>
        </w:rPr>
        <w:t xml:space="preserve">, Acharya NG Ranga Agricultural University). </w:t>
      </w:r>
      <w:proofErr w:type="spellStart"/>
      <w:r w:rsidRPr="000741BA">
        <w:rPr>
          <w:rFonts w:ascii="Times New Roman" w:eastAsia="Calibri" w:hAnsi="Times New Roman" w:cs="Times New Roman"/>
          <w:kern w:val="2"/>
          <w:sz w:val="24"/>
          <w:szCs w:val="24"/>
          <w:shd w:val="clear" w:color="auto" w:fill="FFFFFF"/>
          <w:lang w:val="en-IN" w:bidi="te-IN"/>
          <w14:ligatures w14:val="standardContextual"/>
        </w:rPr>
        <w:t>Bapatla</w:t>
      </w:r>
      <w:proofErr w:type="spellEnd"/>
      <w:r w:rsidRPr="000741BA">
        <w:rPr>
          <w:rFonts w:ascii="Times New Roman" w:eastAsia="Calibri" w:hAnsi="Times New Roman" w:cs="Times New Roman"/>
          <w:kern w:val="2"/>
          <w:sz w:val="24"/>
          <w:szCs w:val="24"/>
          <w:shd w:val="clear" w:color="auto" w:fill="FFFFFF"/>
          <w:lang w:val="en-IN" w:bidi="te-IN"/>
          <w14:ligatures w14:val="standardContextual"/>
        </w:rPr>
        <w:t xml:space="preserve">, India. </w:t>
      </w:r>
    </w:p>
    <w:p w14:paraId="7FFFC272"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proofErr w:type="spellStart"/>
      <w:r w:rsidRPr="000741BA">
        <w:rPr>
          <w:rFonts w:ascii="Times New Roman" w:eastAsia="Calibri" w:hAnsi="Times New Roman" w:cs="Times New Roman"/>
          <w:kern w:val="2"/>
          <w:sz w:val="24"/>
          <w:szCs w:val="24"/>
          <w:lang w:val="en-IN" w:bidi="te-IN"/>
          <w14:ligatures w14:val="standardContextual"/>
        </w:rPr>
        <w:t>Khandebharad</w:t>
      </w:r>
      <w:proofErr w:type="spellEnd"/>
      <w:r w:rsidRPr="000741BA">
        <w:rPr>
          <w:rFonts w:ascii="Times New Roman" w:eastAsia="Calibri" w:hAnsi="Times New Roman" w:cs="Times New Roman"/>
          <w:kern w:val="2"/>
          <w:sz w:val="24"/>
          <w:szCs w:val="24"/>
          <w:lang w:val="en-IN" w:bidi="te-IN"/>
          <w14:ligatures w14:val="standardContextual"/>
        </w:rPr>
        <w:t xml:space="preserve">, P.R., Pole, S.P., Mundhe, S.S., </w:t>
      </w:r>
      <w:proofErr w:type="spellStart"/>
      <w:r w:rsidRPr="000741BA">
        <w:rPr>
          <w:rFonts w:ascii="Times New Roman" w:eastAsia="Calibri" w:hAnsi="Times New Roman" w:cs="Times New Roman"/>
          <w:kern w:val="2"/>
          <w:sz w:val="24"/>
          <w:szCs w:val="24"/>
          <w:lang w:val="en-IN" w:bidi="te-IN"/>
          <w14:ligatures w14:val="standardContextual"/>
        </w:rPr>
        <w:t>Gaiwal</w:t>
      </w:r>
      <w:proofErr w:type="spellEnd"/>
      <w:r w:rsidRPr="000741BA">
        <w:rPr>
          <w:rFonts w:ascii="Times New Roman" w:eastAsia="Calibri" w:hAnsi="Times New Roman" w:cs="Times New Roman"/>
          <w:kern w:val="2"/>
          <w:sz w:val="24"/>
          <w:szCs w:val="24"/>
          <w:lang w:val="en-IN" w:bidi="te-IN"/>
          <w14:ligatures w14:val="standardContextual"/>
        </w:rPr>
        <w:t>, K.B., Mali, B.B. 2024.Estimation of genetic variability, heritability, and genetic advance for yield and yield contributing characters in sorghum (</w:t>
      </w:r>
      <w:r w:rsidRPr="000741BA">
        <w:rPr>
          <w:rFonts w:ascii="Times New Roman" w:eastAsia="Calibri" w:hAnsi="Times New Roman" w:cs="Times New Roman"/>
          <w:i/>
          <w:iCs/>
          <w:kern w:val="2"/>
          <w:sz w:val="24"/>
          <w:szCs w:val="24"/>
          <w:lang w:val="en-IN" w:bidi="te-IN"/>
          <w14:ligatures w14:val="standardContextual"/>
        </w:rPr>
        <w:t xml:space="preserve">Sorghum </w:t>
      </w:r>
      <w:proofErr w:type="spellStart"/>
      <w:r w:rsidRPr="000741BA">
        <w:rPr>
          <w:rFonts w:ascii="Times New Roman" w:eastAsia="Calibri" w:hAnsi="Times New Roman" w:cs="Times New Roman"/>
          <w:i/>
          <w:iCs/>
          <w:kern w:val="2"/>
          <w:sz w:val="24"/>
          <w:szCs w:val="24"/>
          <w:lang w:val="en-IN" w:bidi="te-IN"/>
          <w14:ligatures w14:val="standardContextual"/>
        </w:rPr>
        <w:t>bicolor</w:t>
      </w:r>
      <w:proofErr w:type="spellEnd"/>
      <w:r w:rsidRPr="000741BA">
        <w:rPr>
          <w:rFonts w:ascii="Times New Roman" w:eastAsia="Calibri" w:hAnsi="Times New Roman" w:cs="Times New Roman"/>
          <w:i/>
          <w:iCs/>
          <w:kern w:val="2"/>
          <w:sz w:val="24"/>
          <w:szCs w:val="24"/>
          <w:lang w:val="en-IN" w:bidi="te-IN"/>
          <w14:ligatures w14:val="standardContextual"/>
        </w:rPr>
        <w:t xml:space="preserve"> </w:t>
      </w:r>
      <w:r w:rsidRPr="000741BA">
        <w:rPr>
          <w:rFonts w:ascii="Times New Roman" w:eastAsia="Calibri" w:hAnsi="Times New Roman" w:cs="Times New Roman"/>
          <w:kern w:val="2"/>
          <w:sz w:val="24"/>
          <w:szCs w:val="24"/>
          <w:lang w:val="en-IN" w:bidi="te-IN"/>
          <w14:ligatures w14:val="standardContextual"/>
        </w:rPr>
        <w:t xml:space="preserve">(L.) Moench).  </w:t>
      </w:r>
      <w:r w:rsidRPr="000741BA">
        <w:rPr>
          <w:rFonts w:ascii="Times New Roman" w:eastAsia="Calibri" w:hAnsi="Times New Roman" w:cs="Times New Roman"/>
          <w:i/>
          <w:iCs/>
          <w:kern w:val="2"/>
          <w:sz w:val="24"/>
          <w:szCs w:val="24"/>
          <w:lang w:val="en-IN" w:bidi="te-IN"/>
          <w14:ligatures w14:val="standardContextual"/>
        </w:rPr>
        <w:t xml:space="preserve">Innovare Journal of Agriculture Sciences. </w:t>
      </w:r>
      <w:r w:rsidRPr="000741BA">
        <w:rPr>
          <w:rFonts w:ascii="Times New Roman" w:eastAsia="Calibri" w:hAnsi="Times New Roman" w:cs="Times New Roman"/>
          <w:kern w:val="2"/>
          <w:sz w:val="24"/>
          <w:szCs w:val="24"/>
          <w:lang w:val="en-IN" w:bidi="te-IN"/>
          <w14:ligatures w14:val="standardContextual"/>
        </w:rPr>
        <w:t>12(5): 7-9.</w:t>
      </w:r>
    </w:p>
    <w:p w14:paraId="11D38222" w14:textId="77777777" w:rsidR="00D222C8" w:rsidRPr="000741BA" w:rsidRDefault="00D222C8" w:rsidP="00D222C8">
      <w:pPr>
        <w:spacing w:line="240" w:lineRule="auto"/>
        <w:ind w:left="719" w:hanging="719"/>
        <w:jc w:val="both"/>
        <w:rPr>
          <w:rFonts w:ascii="Times New Roman" w:eastAsia="Times New Roman" w:hAnsi="Times New Roman" w:cs="Times New Roman"/>
          <w:sz w:val="24"/>
          <w:szCs w:val="24"/>
          <w:lang w:bidi="te-IN"/>
        </w:rPr>
      </w:pPr>
      <w:r w:rsidRPr="000741BA">
        <w:rPr>
          <w:rFonts w:ascii="Times New Roman" w:eastAsia="Times New Roman" w:hAnsi="Times New Roman" w:cs="Times New Roman"/>
          <w:sz w:val="24"/>
          <w:szCs w:val="24"/>
          <w:lang w:bidi="te-IN"/>
        </w:rPr>
        <w:t xml:space="preserve">Khandelwal, V., Shukla, M., Jodha, B. S., Nathawat, V. S and </w:t>
      </w:r>
      <w:proofErr w:type="spellStart"/>
      <w:r w:rsidRPr="000741BA">
        <w:rPr>
          <w:rFonts w:ascii="Times New Roman" w:eastAsia="Times New Roman" w:hAnsi="Times New Roman" w:cs="Times New Roman"/>
          <w:sz w:val="24"/>
          <w:szCs w:val="24"/>
          <w:lang w:bidi="te-IN"/>
        </w:rPr>
        <w:t>Dashora</w:t>
      </w:r>
      <w:proofErr w:type="spellEnd"/>
      <w:r w:rsidRPr="000741BA">
        <w:rPr>
          <w:rFonts w:ascii="Times New Roman" w:eastAsia="Times New Roman" w:hAnsi="Times New Roman" w:cs="Times New Roman"/>
          <w:sz w:val="24"/>
          <w:szCs w:val="24"/>
          <w:lang w:bidi="te-IN"/>
        </w:rPr>
        <w:t xml:space="preserve">, S. K. 2015. Genetic parameters and character association in sorghum. </w:t>
      </w:r>
      <w:r w:rsidRPr="000741BA">
        <w:rPr>
          <w:rFonts w:ascii="Times New Roman" w:eastAsia="Times New Roman" w:hAnsi="Times New Roman" w:cs="Times New Roman"/>
          <w:i/>
          <w:iCs/>
          <w:sz w:val="24"/>
          <w:szCs w:val="24"/>
          <w:lang w:bidi="te-IN"/>
        </w:rPr>
        <w:t>Indian Journal of Science and Technology</w:t>
      </w:r>
      <w:r w:rsidRPr="000741BA">
        <w:rPr>
          <w:rFonts w:ascii="Times New Roman" w:eastAsia="Times New Roman" w:hAnsi="Times New Roman" w:cs="Times New Roman"/>
          <w:sz w:val="24"/>
          <w:szCs w:val="24"/>
          <w:lang w:bidi="te-IN"/>
        </w:rPr>
        <w:t>. 8(22): 2-4.</w:t>
      </w:r>
    </w:p>
    <w:p w14:paraId="7A34096C"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 xml:space="preserve">Kumar, A. A., Gupta, P. K and Yadav, R. K. 2011. Genetic variability and correlation studies for panicle length and grain yield. </w:t>
      </w:r>
      <w:r w:rsidRPr="000741BA">
        <w:rPr>
          <w:rFonts w:ascii="Times New Roman" w:eastAsia="Calibri" w:hAnsi="Times New Roman" w:cs="Times New Roman"/>
          <w:i/>
          <w:iCs/>
          <w:kern w:val="2"/>
          <w:sz w:val="24"/>
          <w:szCs w:val="24"/>
          <w:lang w:val="en-IN" w:bidi="te-IN"/>
          <w14:ligatures w14:val="standardContextual"/>
        </w:rPr>
        <w:t>Journal of Agricultural Science.</w:t>
      </w:r>
      <w:r w:rsidRPr="000741BA">
        <w:rPr>
          <w:rFonts w:ascii="Times New Roman" w:eastAsia="Calibri" w:hAnsi="Times New Roman" w:cs="Times New Roman"/>
          <w:kern w:val="2"/>
          <w:sz w:val="24"/>
          <w:szCs w:val="24"/>
          <w:lang w:val="en-IN" w:bidi="te-IN"/>
          <w14:ligatures w14:val="standardContextual"/>
        </w:rPr>
        <w:t xml:space="preserve"> </w:t>
      </w:r>
      <w:r w:rsidRPr="000741BA">
        <w:rPr>
          <w:rFonts w:ascii="Times New Roman" w:eastAsia="Calibri" w:hAnsi="Times New Roman" w:cs="Times New Roman"/>
          <w:i/>
          <w:iCs/>
          <w:kern w:val="2"/>
          <w:sz w:val="24"/>
          <w:szCs w:val="24"/>
          <w:lang w:val="en-IN" w:bidi="te-IN"/>
          <w14:ligatures w14:val="standardContextual"/>
        </w:rPr>
        <w:t>5</w:t>
      </w:r>
      <w:r w:rsidRPr="000741BA">
        <w:rPr>
          <w:rFonts w:ascii="Times New Roman" w:eastAsia="Calibri" w:hAnsi="Times New Roman" w:cs="Times New Roman"/>
          <w:kern w:val="2"/>
          <w:sz w:val="24"/>
          <w:szCs w:val="24"/>
          <w:lang w:val="en-IN" w:bidi="te-IN"/>
          <w14:ligatures w14:val="standardContextual"/>
        </w:rPr>
        <w:t>(3): 103-108.</w:t>
      </w:r>
    </w:p>
    <w:p w14:paraId="395A617B"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Lush, J.L. 1940. Intra-sire correlation on regression of offspring on dams as a method of estimating heritability of characters</w:t>
      </w:r>
      <w:r w:rsidRPr="000741BA">
        <w:rPr>
          <w:rFonts w:ascii="Times New Roman" w:eastAsia="Calibri" w:hAnsi="Times New Roman" w:cs="Times New Roman"/>
          <w:i/>
          <w:iCs/>
          <w:kern w:val="2"/>
          <w:sz w:val="24"/>
          <w:szCs w:val="24"/>
          <w:lang w:val="en-IN" w:bidi="te-IN"/>
          <w14:ligatures w14:val="standardContextual"/>
        </w:rPr>
        <w:t>. Proceedings of American Society for Animal Production.</w:t>
      </w:r>
      <w:r w:rsidRPr="000741BA">
        <w:rPr>
          <w:rFonts w:ascii="Times New Roman" w:eastAsia="Calibri" w:hAnsi="Times New Roman" w:cs="Times New Roman"/>
          <w:kern w:val="2"/>
          <w:sz w:val="24"/>
          <w:szCs w:val="24"/>
          <w:lang w:val="en-IN" w:bidi="te-IN"/>
          <w14:ligatures w14:val="standardContextual"/>
        </w:rPr>
        <w:t xml:space="preserve"> 33: 392-401.</w:t>
      </w:r>
    </w:p>
    <w:p w14:paraId="5B5A7F3A"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shd w:val="clear" w:color="auto" w:fill="FFFFFF"/>
          <w:lang w:val="en-IN" w:bidi="te-IN"/>
          <w14:ligatures w14:val="standardContextual"/>
        </w:rPr>
      </w:pPr>
      <w:r w:rsidRPr="000741BA">
        <w:rPr>
          <w:rFonts w:ascii="Times New Roman" w:eastAsia="Calibri" w:hAnsi="Times New Roman" w:cs="Times New Roman"/>
          <w:kern w:val="2"/>
          <w:sz w:val="24"/>
          <w:szCs w:val="24"/>
          <w:shd w:val="clear" w:color="auto" w:fill="FFFFFF"/>
          <w:lang w:val="en-IN" w:bidi="te-IN"/>
          <w14:ligatures w14:val="standardContextual"/>
        </w:rPr>
        <w:t xml:space="preserve">Mofokeng, M. A., Shimelis, H., Laing, M and </w:t>
      </w:r>
      <w:proofErr w:type="spellStart"/>
      <w:r w:rsidRPr="000741BA">
        <w:rPr>
          <w:rFonts w:ascii="Times New Roman" w:eastAsia="Calibri" w:hAnsi="Times New Roman" w:cs="Times New Roman"/>
          <w:kern w:val="2"/>
          <w:sz w:val="24"/>
          <w:szCs w:val="24"/>
          <w:shd w:val="clear" w:color="auto" w:fill="FFFFFF"/>
          <w:lang w:val="en-IN" w:bidi="te-IN"/>
          <w14:ligatures w14:val="standardContextual"/>
        </w:rPr>
        <w:t>Shargie</w:t>
      </w:r>
      <w:proofErr w:type="spellEnd"/>
      <w:r w:rsidRPr="000741BA">
        <w:rPr>
          <w:rFonts w:ascii="Times New Roman" w:eastAsia="Calibri" w:hAnsi="Times New Roman" w:cs="Times New Roman"/>
          <w:kern w:val="2"/>
          <w:sz w:val="24"/>
          <w:szCs w:val="24"/>
          <w:shd w:val="clear" w:color="auto" w:fill="FFFFFF"/>
          <w:lang w:val="en-IN" w:bidi="te-IN"/>
          <w14:ligatures w14:val="standardContextual"/>
        </w:rPr>
        <w:t>, N. 2019. Genetic variability, heritability and genetic gain for quantitative traits in South African sorghum genotypes. </w:t>
      </w:r>
      <w:r w:rsidRPr="000741BA">
        <w:rPr>
          <w:rFonts w:ascii="Times New Roman" w:eastAsia="Calibri" w:hAnsi="Times New Roman" w:cs="Times New Roman"/>
          <w:i/>
          <w:iCs/>
          <w:kern w:val="2"/>
          <w:sz w:val="24"/>
          <w:szCs w:val="24"/>
          <w:shd w:val="clear" w:color="auto" w:fill="FFFFFF"/>
          <w:lang w:val="en-IN" w:bidi="te-IN"/>
          <w14:ligatures w14:val="standardContextual"/>
        </w:rPr>
        <w:t>Australian Journal of Crop Science</w:t>
      </w:r>
      <w:r w:rsidRPr="000741BA">
        <w:rPr>
          <w:rFonts w:ascii="Times New Roman" w:eastAsia="Calibri" w:hAnsi="Times New Roman" w:cs="Times New Roman"/>
          <w:kern w:val="2"/>
          <w:sz w:val="24"/>
          <w:szCs w:val="24"/>
          <w:shd w:val="clear" w:color="auto" w:fill="FFFFFF"/>
          <w:lang w:val="en-IN" w:bidi="te-IN"/>
          <w14:ligatures w14:val="standardContextual"/>
        </w:rPr>
        <w:t>. 13 (1): 1-10.</w:t>
      </w:r>
    </w:p>
    <w:p w14:paraId="39CFC237"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 xml:space="preserve">Ngidi, A., Shimelis, H., Abady, S., </w:t>
      </w:r>
      <w:proofErr w:type="spellStart"/>
      <w:r w:rsidRPr="000741BA">
        <w:rPr>
          <w:rFonts w:ascii="Times New Roman" w:eastAsia="Calibri" w:hAnsi="Times New Roman" w:cs="Times New Roman"/>
          <w:kern w:val="2"/>
          <w:sz w:val="24"/>
          <w:szCs w:val="24"/>
          <w:lang w:val="en-IN" w:bidi="te-IN"/>
          <w14:ligatures w14:val="standardContextual"/>
        </w:rPr>
        <w:t>Chaplot</w:t>
      </w:r>
      <w:proofErr w:type="spellEnd"/>
      <w:r w:rsidRPr="000741BA">
        <w:rPr>
          <w:rFonts w:ascii="Times New Roman" w:eastAsia="Calibri" w:hAnsi="Times New Roman" w:cs="Times New Roman"/>
          <w:kern w:val="2"/>
          <w:sz w:val="24"/>
          <w:szCs w:val="24"/>
          <w:lang w:val="en-IN" w:bidi="te-IN"/>
          <w14:ligatures w14:val="standardContextual"/>
        </w:rPr>
        <w:t xml:space="preserve">, V and </w:t>
      </w:r>
      <w:proofErr w:type="spellStart"/>
      <w:r w:rsidRPr="000741BA">
        <w:rPr>
          <w:rFonts w:ascii="Times New Roman" w:eastAsia="Calibri" w:hAnsi="Times New Roman" w:cs="Times New Roman"/>
          <w:kern w:val="2"/>
          <w:sz w:val="24"/>
          <w:szCs w:val="24"/>
          <w:lang w:val="en-IN" w:bidi="te-IN"/>
          <w14:ligatures w14:val="standardContextual"/>
        </w:rPr>
        <w:t>Figlan</w:t>
      </w:r>
      <w:proofErr w:type="spellEnd"/>
      <w:r w:rsidRPr="000741BA">
        <w:rPr>
          <w:rFonts w:ascii="Times New Roman" w:eastAsia="Calibri" w:hAnsi="Times New Roman" w:cs="Times New Roman"/>
          <w:kern w:val="2"/>
          <w:sz w:val="24"/>
          <w:szCs w:val="24"/>
          <w:lang w:val="en-IN" w:bidi="te-IN"/>
          <w14:ligatures w14:val="standardContextual"/>
        </w:rPr>
        <w:t>, S. 2024. Genetic variation and association of yield, yield components, and carbon storage in sorghum (</w:t>
      </w:r>
      <w:r w:rsidRPr="000741BA">
        <w:rPr>
          <w:rFonts w:ascii="Times New Roman" w:eastAsia="Calibri" w:hAnsi="Times New Roman" w:cs="Times New Roman"/>
          <w:i/>
          <w:iCs/>
          <w:kern w:val="2"/>
          <w:sz w:val="24"/>
          <w:szCs w:val="24"/>
          <w:lang w:val="en-IN" w:bidi="te-IN"/>
          <w14:ligatures w14:val="standardContextual"/>
        </w:rPr>
        <w:t xml:space="preserve">Sorghum </w:t>
      </w:r>
      <w:proofErr w:type="spellStart"/>
      <w:r w:rsidRPr="000741BA">
        <w:rPr>
          <w:rFonts w:ascii="Times New Roman" w:eastAsia="Calibri" w:hAnsi="Times New Roman" w:cs="Times New Roman"/>
          <w:i/>
          <w:iCs/>
          <w:kern w:val="2"/>
          <w:sz w:val="24"/>
          <w:szCs w:val="24"/>
          <w:lang w:val="en-IN" w:bidi="te-IN"/>
          <w14:ligatures w14:val="standardContextual"/>
        </w:rPr>
        <w:t>bicolor</w:t>
      </w:r>
      <w:proofErr w:type="spellEnd"/>
      <w:r w:rsidRPr="000741BA">
        <w:rPr>
          <w:rFonts w:ascii="Times New Roman" w:eastAsia="Calibri" w:hAnsi="Times New Roman" w:cs="Times New Roman"/>
          <w:i/>
          <w:iCs/>
          <w:kern w:val="2"/>
          <w:sz w:val="24"/>
          <w:szCs w:val="24"/>
          <w:lang w:val="en-IN" w:bidi="te-IN"/>
          <w14:ligatures w14:val="standardContextual"/>
        </w:rPr>
        <w:t xml:space="preserve"> </w:t>
      </w:r>
      <w:r w:rsidRPr="000741BA">
        <w:rPr>
          <w:rFonts w:ascii="Times New Roman" w:eastAsia="Calibri" w:hAnsi="Times New Roman" w:cs="Times New Roman"/>
          <w:kern w:val="2"/>
          <w:sz w:val="24"/>
          <w:szCs w:val="24"/>
          <w:lang w:val="en-IN" w:bidi="te-IN"/>
          <w14:ligatures w14:val="standardContextual"/>
        </w:rPr>
        <w:t xml:space="preserve">(L.) Moench) genotypes. </w:t>
      </w:r>
      <w:r w:rsidRPr="000741BA">
        <w:rPr>
          <w:rFonts w:ascii="Times New Roman" w:eastAsia="Calibri" w:hAnsi="Times New Roman" w:cs="Times New Roman"/>
          <w:i/>
          <w:iCs/>
          <w:kern w:val="2"/>
          <w:sz w:val="24"/>
          <w:szCs w:val="24"/>
          <w:lang w:val="en-IN" w:bidi="te-IN"/>
          <w14:ligatures w14:val="standardContextual"/>
        </w:rPr>
        <w:t>BMC Genomic Data.</w:t>
      </w:r>
      <w:r w:rsidRPr="000741BA">
        <w:rPr>
          <w:rFonts w:ascii="Times New Roman" w:eastAsia="Calibri" w:hAnsi="Times New Roman" w:cs="Times New Roman"/>
          <w:kern w:val="2"/>
          <w:sz w:val="24"/>
          <w:szCs w:val="24"/>
          <w:lang w:val="en-IN" w:bidi="te-IN"/>
          <w14:ligatures w14:val="standardContextual"/>
        </w:rPr>
        <w:t xml:space="preserve"> 25:74. </w:t>
      </w:r>
    </w:p>
    <w:p w14:paraId="725A9244"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proofErr w:type="spellStart"/>
      <w:r w:rsidRPr="000741BA">
        <w:rPr>
          <w:rFonts w:ascii="Times New Roman" w:eastAsia="Calibri" w:hAnsi="Times New Roman" w:cs="Times New Roman"/>
          <w:kern w:val="2"/>
          <w:sz w:val="24"/>
          <w:szCs w:val="24"/>
          <w:lang w:val="en-IN" w:bidi="te-IN"/>
          <w14:ligatures w14:val="standardContextual"/>
        </w:rPr>
        <w:t>Nyadanu</w:t>
      </w:r>
      <w:proofErr w:type="spellEnd"/>
      <w:r w:rsidRPr="000741BA">
        <w:rPr>
          <w:rFonts w:ascii="Times New Roman" w:eastAsia="Calibri" w:hAnsi="Times New Roman" w:cs="Times New Roman"/>
          <w:kern w:val="2"/>
          <w:sz w:val="24"/>
          <w:szCs w:val="24"/>
          <w:lang w:val="en-IN" w:bidi="te-IN"/>
          <w14:ligatures w14:val="standardContextual"/>
        </w:rPr>
        <w:t xml:space="preserve">, D and </w:t>
      </w:r>
      <w:proofErr w:type="spellStart"/>
      <w:r w:rsidRPr="000741BA">
        <w:rPr>
          <w:rFonts w:ascii="Times New Roman" w:eastAsia="Calibri" w:hAnsi="Times New Roman" w:cs="Times New Roman"/>
          <w:kern w:val="2"/>
          <w:sz w:val="24"/>
          <w:szCs w:val="24"/>
          <w:lang w:val="en-IN" w:bidi="te-IN"/>
          <w14:ligatures w14:val="standardContextual"/>
        </w:rPr>
        <w:t>Dikera</w:t>
      </w:r>
      <w:proofErr w:type="spellEnd"/>
      <w:r w:rsidRPr="000741BA">
        <w:rPr>
          <w:rFonts w:ascii="Times New Roman" w:eastAsia="Calibri" w:hAnsi="Times New Roman" w:cs="Times New Roman"/>
          <w:kern w:val="2"/>
          <w:sz w:val="24"/>
          <w:szCs w:val="24"/>
          <w:lang w:val="en-IN" w:bidi="te-IN"/>
          <w14:ligatures w14:val="standardContextual"/>
        </w:rPr>
        <w:t>, E. 2014. Exploring variation, relationships and heritability of traits among selected accessions of sorghum (</w:t>
      </w:r>
      <w:r w:rsidRPr="000741BA">
        <w:rPr>
          <w:rFonts w:ascii="Times New Roman" w:eastAsia="Calibri" w:hAnsi="Times New Roman" w:cs="Times New Roman"/>
          <w:i/>
          <w:iCs/>
          <w:kern w:val="2"/>
          <w:sz w:val="24"/>
          <w:szCs w:val="24"/>
          <w:lang w:val="en-IN" w:bidi="te-IN"/>
          <w14:ligatures w14:val="standardContextual"/>
        </w:rPr>
        <w:t xml:space="preserve">Sorghum </w:t>
      </w:r>
      <w:proofErr w:type="spellStart"/>
      <w:r w:rsidRPr="000741BA">
        <w:rPr>
          <w:rFonts w:ascii="Times New Roman" w:eastAsia="Calibri" w:hAnsi="Times New Roman" w:cs="Times New Roman"/>
          <w:i/>
          <w:iCs/>
          <w:kern w:val="2"/>
          <w:sz w:val="24"/>
          <w:szCs w:val="24"/>
          <w:lang w:val="en-IN" w:bidi="te-IN"/>
          <w14:ligatures w14:val="standardContextual"/>
        </w:rPr>
        <w:t>bicolor</w:t>
      </w:r>
      <w:proofErr w:type="spellEnd"/>
      <w:r w:rsidRPr="000741BA">
        <w:rPr>
          <w:rFonts w:ascii="Times New Roman" w:eastAsia="Calibri" w:hAnsi="Times New Roman" w:cs="Times New Roman"/>
          <w:i/>
          <w:iCs/>
          <w:kern w:val="2"/>
          <w:sz w:val="24"/>
          <w:szCs w:val="24"/>
          <w:lang w:val="en-IN" w:bidi="te-IN"/>
          <w14:ligatures w14:val="standardContextual"/>
        </w:rPr>
        <w:t xml:space="preserve"> </w:t>
      </w:r>
      <w:r w:rsidRPr="000741BA">
        <w:rPr>
          <w:rFonts w:ascii="Times New Roman" w:eastAsia="Calibri" w:hAnsi="Times New Roman" w:cs="Times New Roman"/>
          <w:kern w:val="2"/>
          <w:sz w:val="24"/>
          <w:szCs w:val="24"/>
          <w:lang w:val="en-IN" w:bidi="te-IN"/>
          <w14:ligatures w14:val="standardContextual"/>
        </w:rPr>
        <w:t xml:space="preserve">(L.) Moench) in the upper east region of Ghana. </w:t>
      </w:r>
      <w:r w:rsidRPr="000741BA">
        <w:rPr>
          <w:rFonts w:ascii="Times New Roman" w:eastAsia="Calibri" w:hAnsi="Times New Roman" w:cs="Times New Roman"/>
          <w:i/>
          <w:iCs/>
          <w:kern w:val="2"/>
          <w:sz w:val="24"/>
          <w:szCs w:val="24"/>
          <w:lang w:val="en-IN" w:bidi="te-IN"/>
          <w14:ligatures w14:val="standardContextual"/>
        </w:rPr>
        <w:t>Journal of Plant Breeding and Genetics.</w:t>
      </w:r>
      <w:r w:rsidRPr="000741BA">
        <w:rPr>
          <w:rFonts w:ascii="Times New Roman" w:eastAsia="Calibri" w:hAnsi="Times New Roman" w:cs="Times New Roman"/>
          <w:kern w:val="2"/>
          <w:sz w:val="24"/>
          <w:szCs w:val="24"/>
          <w:lang w:val="en-IN" w:bidi="te-IN"/>
          <w14:ligatures w14:val="standardContextual"/>
        </w:rPr>
        <w:t xml:space="preserve"> 2 (3): 101-107.</w:t>
      </w:r>
    </w:p>
    <w:p w14:paraId="17AA3630"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 xml:space="preserve">Panse, V.G and </w:t>
      </w:r>
      <w:proofErr w:type="spellStart"/>
      <w:r w:rsidRPr="000741BA">
        <w:rPr>
          <w:rFonts w:ascii="Times New Roman" w:eastAsia="Calibri" w:hAnsi="Times New Roman" w:cs="Times New Roman"/>
          <w:kern w:val="2"/>
          <w:sz w:val="24"/>
          <w:szCs w:val="24"/>
          <w:lang w:val="en-IN" w:bidi="te-IN"/>
          <w14:ligatures w14:val="standardContextual"/>
        </w:rPr>
        <w:t>Sukhatme</w:t>
      </w:r>
      <w:proofErr w:type="spellEnd"/>
      <w:r w:rsidRPr="000741BA">
        <w:rPr>
          <w:rFonts w:ascii="Times New Roman" w:eastAsia="Calibri" w:hAnsi="Times New Roman" w:cs="Times New Roman"/>
          <w:kern w:val="2"/>
          <w:sz w:val="24"/>
          <w:szCs w:val="24"/>
          <w:lang w:val="en-IN" w:bidi="te-IN"/>
          <w14:ligatures w14:val="standardContextual"/>
        </w:rPr>
        <w:t xml:space="preserve">, P.V. 1985. </w:t>
      </w:r>
      <w:r w:rsidRPr="000741BA">
        <w:rPr>
          <w:rFonts w:ascii="Times New Roman" w:eastAsia="Calibri" w:hAnsi="Times New Roman" w:cs="Times New Roman"/>
          <w:i/>
          <w:iCs/>
          <w:kern w:val="2"/>
          <w:sz w:val="24"/>
          <w:szCs w:val="24"/>
          <w:lang w:val="en-IN" w:bidi="te-IN"/>
          <w14:ligatures w14:val="standardContextual"/>
        </w:rPr>
        <w:t>Statistical methods for Agricultural workers.</w:t>
      </w:r>
      <w:r w:rsidRPr="000741BA">
        <w:rPr>
          <w:rFonts w:ascii="Times New Roman" w:eastAsia="Calibri" w:hAnsi="Times New Roman" w:cs="Times New Roman"/>
          <w:kern w:val="2"/>
          <w:sz w:val="24"/>
          <w:szCs w:val="24"/>
          <w:lang w:val="en-IN" w:bidi="te-IN"/>
          <w14:ligatures w14:val="standardContextual"/>
        </w:rPr>
        <w:t xml:space="preserve"> Published by ICAR, New Delhi.</w:t>
      </w:r>
    </w:p>
    <w:p w14:paraId="77ED9019"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bidi="te-IN"/>
          <w14:ligatures w14:val="standardContextual"/>
        </w:rPr>
      </w:pPr>
      <w:r w:rsidRPr="000741BA">
        <w:rPr>
          <w:rFonts w:ascii="Times New Roman" w:eastAsia="Calibri" w:hAnsi="Times New Roman" w:cs="Times New Roman"/>
          <w:kern w:val="2"/>
          <w:sz w:val="24"/>
          <w:szCs w:val="24"/>
          <w:lang w:bidi="te-IN"/>
          <w14:ligatures w14:val="standardContextual"/>
        </w:rPr>
        <w:t>Prasad, B.V.V and Sreedhar, V. 2020. Assessment of variability, correlation and path analysis for yield and yield related traits in yellow pericarp sorghum germplasm lines (</w:t>
      </w:r>
      <w:r w:rsidRPr="000741BA">
        <w:rPr>
          <w:rFonts w:ascii="Times New Roman" w:eastAsia="Calibri" w:hAnsi="Times New Roman" w:cs="Times New Roman"/>
          <w:i/>
          <w:iCs/>
          <w:kern w:val="2"/>
          <w:sz w:val="24"/>
          <w:szCs w:val="24"/>
          <w:lang w:bidi="te-IN"/>
          <w14:ligatures w14:val="standardContextual"/>
        </w:rPr>
        <w:t xml:space="preserve">Sorghum bicolor </w:t>
      </w:r>
      <w:r w:rsidRPr="000741BA">
        <w:rPr>
          <w:rFonts w:ascii="Times New Roman" w:eastAsia="Calibri" w:hAnsi="Times New Roman" w:cs="Times New Roman"/>
          <w:kern w:val="2"/>
          <w:sz w:val="24"/>
          <w:szCs w:val="24"/>
          <w:lang w:bidi="te-IN"/>
          <w14:ligatures w14:val="standardContextual"/>
        </w:rPr>
        <w:t xml:space="preserve">(L.) Moench). </w:t>
      </w:r>
      <w:r w:rsidRPr="000741BA">
        <w:rPr>
          <w:rFonts w:ascii="Times New Roman" w:eastAsia="Calibri" w:hAnsi="Times New Roman" w:cs="Times New Roman"/>
          <w:i/>
          <w:iCs/>
          <w:kern w:val="2"/>
          <w:sz w:val="24"/>
          <w:szCs w:val="24"/>
          <w:lang w:bidi="te-IN"/>
          <w14:ligatures w14:val="standardContextual"/>
        </w:rPr>
        <w:t>Journal of Pharmacognosy and Phytochemistry</w:t>
      </w:r>
      <w:r w:rsidRPr="000741BA">
        <w:rPr>
          <w:rFonts w:ascii="Times New Roman" w:eastAsia="Calibri" w:hAnsi="Times New Roman" w:cs="Times New Roman"/>
          <w:kern w:val="2"/>
          <w:sz w:val="24"/>
          <w:szCs w:val="24"/>
          <w:lang w:bidi="te-IN"/>
          <w14:ligatures w14:val="standardContextual"/>
        </w:rPr>
        <w:t>. 9(1):870-873.</w:t>
      </w:r>
    </w:p>
    <w:p w14:paraId="6FBE05EA"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lastRenderedPageBreak/>
        <w:t xml:space="preserve">Rachman, F., </w:t>
      </w:r>
      <w:proofErr w:type="spellStart"/>
      <w:r w:rsidRPr="000741BA">
        <w:rPr>
          <w:rFonts w:ascii="Times New Roman" w:eastAsia="Calibri" w:hAnsi="Times New Roman" w:cs="Times New Roman"/>
          <w:kern w:val="2"/>
          <w:sz w:val="24"/>
          <w:szCs w:val="24"/>
          <w:lang w:val="en-IN" w:bidi="te-IN"/>
          <w14:ligatures w14:val="standardContextual"/>
        </w:rPr>
        <w:t>Trikoesoemaningtyas</w:t>
      </w:r>
      <w:proofErr w:type="spellEnd"/>
      <w:r w:rsidRPr="000741BA">
        <w:rPr>
          <w:rFonts w:ascii="Times New Roman" w:eastAsia="Calibri" w:hAnsi="Times New Roman" w:cs="Times New Roman"/>
          <w:kern w:val="2"/>
          <w:sz w:val="24"/>
          <w:szCs w:val="24"/>
          <w:lang w:val="en-IN" w:bidi="te-IN"/>
          <w14:ligatures w14:val="standardContextual"/>
        </w:rPr>
        <w:t xml:space="preserve">, </w:t>
      </w:r>
      <w:proofErr w:type="spellStart"/>
      <w:r w:rsidRPr="000741BA">
        <w:rPr>
          <w:rFonts w:ascii="Times New Roman" w:eastAsia="Calibri" w:hAnsi="Times New Roman" w:cs="Times New Roman"/>
          <w:kern w:val="2"/>
          <w:sz w:val="24"/>
          <w:szCs w:val="24"/>
          <w:lang w:val="en-IN" w:bidi="te-IN"/>
          <w14:ligatures w14:val="standardContextual"/>
        </w:rPr>
        <w:t>wirnas</w:t>
      </w:r>
      <w:proofErr w:type="spellEnd"/>
      <w:r w:rsidRPr="000741BA">
        <w:rPr>
          <w:rFonts w:ascii="Times New Roman" w:eastAsia="Calibri" w:hAnsi="Times New Roman" w:cs="Times New Roman"/>
          <w:kern w:val="2"/>
          <w:sz w:val="24"/>
          <w:szCs w:val="24"/>
          <w:lang w:val="en-IN" w:bidi="te-IN"/>
          <w14:ligatures w14:val="standardContextual"/>
        </w:rPr>
        <w:t xml:space="preserve">, D and </w:t>
      </w:r>
      <w:proofErr w:type="spellStart"/>
      <w:r w:rsidRPr="000741BA">
        <w:rPr>
          <w:rFonts w:ascii="Times New Roman" w:eastAsia="Calibri" w:hAnsi="Times New Roman" w:cs="Times New Roman"/>
          <w:kern w:val="2"/>
          <w:sz w:val="24"/>
          <w:szCs w:val="24"/>
          <w:lang w:val="en-IN" w:bidi="te-IN"/>
          <w14:ligatures w14:val="standardContextual"/>
        </w:rPr>
        <w:t>Reflinur</w:t>
      </w:r>
      <w:proofErr w:type="spellEnd"/>
      <w:r w:rsidRPr="000741BA">
        <w:rPr>
          <w:rFonts w:ascii="Times New Roman" w:eastAsia="Calibri" w:hAnsi="Times New Roman" w:cs="Times New Roman"/>
          <w:kern w:val="2"/>
          <w:sz w:val="24"/>
          <w:szCs w:val="24"/>
          <w:lang w:val="en-IN" w:bidi="te-IN"/>
          <w14:ligatures w14:val="standardContextual"/>
        </w:rPr>
        <w:t xml:space="preserve">. R. 2022. Estimation of genetic parameters and heterosis through line × tester crosses of national sorghum varieties and local Indonesian cultivars. </w:t>
      </w:r>
      <w:proofErr w:type="spellStart"/>
      <w:r w:rsidRPr="000741BA">
        <w:rPr>
          <w:rFonts w:ascii="Times New Roman" w:eastAsia="Calibri" w:hAnsi="Times New Roman" w:cs="Times New Roman"/>
          <w:i/>
          <w:iCs/>
          <w:kern w:val="2"/>
          <w:sz w:val="24"/>
          <w:szCs w:val="24"/>
          <w:lang w:val="en-IN" w:bidi="te-IN"/>
          <w14:ligatures w14:val="standardContextual"/>
        </w:rPr>
        <w:t>Biodiversitas</w:t>
      </w:r>
      <w:proofErr w:type="spellEnd"/>
      <w:r w:rsidRPr="000741BA">
        <w:rPr>
          <w:rFonts w:ascii="Times New Roman" w:eastAsia="Calibri" w:hAnsi="Times New Roman" w:cs="Times New Roman"/>
          <w:kern w:val="2"/>
          <w:sz w:val="24"/>
          <w:szCs w:val="24"/>
          <w:lang w:val="en-IN" w:bidi="te-IN"/>
          <w14:ligatures w14:val="standardContextual"/>
        </w:rPr>
        <w:t xml:space="preserve"> </w:t>
      </w:r>
      <w:r w:rsidRPr="000741BA">
        <w:rPr>
          <w:rFonts w:ascii="Times New Roman" w:eastAsia="Calibri" w:hAnsi="Times New Roman" w:cs="Times New Roman"/>
          <w:i/>
          <w:iCs/>
          <w:kern w:val="2"/>
          <w:sz w:val="24"/>
          <w:szCs w:val="24"/>
          <w:lang w:val="en-IN" w:bidi="te-IN"/>
          <w14:ligatures w14:val="standardContextual"/>
        </w:rPr>
        <w:t xml:space="preserve">Journal of Biological Diversity. </w:t>
      </w:r>
      <w:r w:rsidRPr="000741BA">
        <w:rPr>
          <w:rFonts w:ascii="Times New Roman" w:eastAsia="Calibri" w:hAnsi="Times New Roman" w:cs="Times New Roman"/>
          <w:kern w:val="2"/>
          <w:sz w:val="24"/>
          <w:szCs w:val="24"/>
          <w:lang w:val="en-IN" w:bidi="te-IN"/>
          <w14:ligatures w14:val="standardContextual"/>
        </w:rPr>
        <w:t>23 (3): 1588-1597.</w:t>
      </w:r>
    </w:p>
    <w:p w14:paraId="5F727DAC" w14:textId="77777777" w:rsidR="00D222C8" w:rsidRPr="000741BA" w:rsidRDefault="00D222C8" w:rsidP="00D222C8">
      <w:pPr>
        <w:spacing w:line="240" w:lineRule="auto"/>
        <w:ind w:left="719" w:hanging="719"/>
        <w:jc w:val="both"/>
        <w:rPr>
          <w:rFonts w:ascii="Times New Roman" w:eastAsia="Calibri" w:hAnsi="Times New Roman" w:cs="Times New Roman"/>
          <w:sz w:val="24"/>
          <w:szCs w:val="24"/>
        </w:rPr>
      </w:pPr>
      <w:r w:rsidRPr="000741BA">
        <w:rPr>
          <w:rFonts w:ascii="Times New Roman" w:eastAsia="Calibri" w:hAnsi="Times New Roman" w:cs="Times New Roman"/>
          <w:sz w:val="24"/>
          <w:szCs w:val="24"/>
        </w:rPr>
        <w:t>Sen, R., Saini, R.K., Singh, S.K and Kumar, A. 2019. Study of genetic variability of fodder yield and it’s components in forage sorghum (</w:t>
      </w:r>
      <w:r w:rsidRPr="000741BA">
        <w:rPr>
          <w:rFonts w:ascii="Times New Roman" w:eastAsia="Calibri" w:hAnsi="Times New Roman" w:cs="Times New Roman"/>
          <w:i/>
          <w:iCs/>
          <w:sz w:val="24"/>
          <w:szCs w:val="24"/>
        </w:rPr>
        <w:t xml:space="preserve">Sorghum bicolor </w:t>
      </w:r>
      <w:r w:rsidRPr="000741BA">
        <w:rPr>
          <w:rFonts w:ascii="Times New Roman" w:eastAsia="Calibri" w:hAnsi="Times New Roman" w:cs="Times New Roman"/>
          <w:sz w:val="24"/>
          <w:szCs w:val="24"/>
        </w:rPr>
        <w:t xml:space="preserve">(L.) Moench). </w:t>
      </w:r>
      <w:r w:rsidRPr="000741BA">
        <w:rPr>
          <w:rFonts w:ascii="Times New Roman" w:eastAsia="Calibri" w:hAnsi="Times New Roman" w:cs="Times New Roman"/>
          <w:i/>
          <w:iCs/>
          <w:sz w:val="24"/>
          <w:szCs w:val="24"/>
        </w:rPr>
        <w:t>Forage Research.</w:t>
      </w:r>
      <w:r w:rsidRPr="000741BA">
        <w:rPr>
          <w:rFonts w:ascii="Times New Roman" w:eastAsia="Calibri" w:hAnsi="Times New Roman" w:cs="Times New Roman"/>
          <w:sz w:val="24"/>
          <w:szCs w:val="24"/>
        </w:rPr>
        <w:t xml:space="preserve"> 45(2): 156-158.</w:t>
      </w:r>
    </w:p>
    <w:p w14:paraId="464C1A55"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 xml:space="preserve">Shivani, D and Sreelakshmi, C.H.  2014.  Genotype x Environment interaction and Stability analysis in </w:t>
      </w:r>
      <w:r w:rsidRPr="000741BA">
        <w:rPr>
          <w:rFonts w:ascii="Times New Roman" w:eastAsia="Calibri" w:hAnsi="Times New Roman" w:cs="Times New Roman"/>
          <w:i/>
          <w:iCs/>
          <w:kern w:val="2"/>
          <w:sz w:val="24"/>
          <w:szCs w:val="24"/>
          <w:lang w:val="en-IN" w:bidi="te-IN"/>
          <w14:ligatures w14:val="standardContextual"/>
        </w:rPr>
        <w:t>rabi</w:t>
      </w:r>
      <w:r w:rsidRPr="000741BA">
        <w:rPr>
          <w:rFonts w:ascii="Times New Roman" w:eastAsia="Calibri" w:hAnsi="Times New Roman" w:cs="Times New Roman"/>
          <w:kern w:val="2"/>
          <w:sz w:val="24"/>
          <w:szCs w:val="24"/>
          <w:lang w:val="en-IN" w:bidi="te-IN"/>
          <w14:ligatures w14:val="standardContextual"/>
        </w:rPr>
        <w:t xml:space="preserve"> Sorghum. </w:t>
      </w:r>
      <w:r w:rsidRPr="000741BA">
        <w:rPr>
          <w:rFonts w:ascii="Times New Roman" w:eastAsia="Calibri" w:hAnsi="Times New Roman" w:cs="Times New Roman"/>
          <w:i/>
          <w:iCs/>
          <w:kern w:val="2"/>
          <w:sz w:val="24"/>
          <w:szCs w:val="24"/>
          <w:lang w:val="en-IN" w:bidi="te-IN"/>
          <w14:ligatures w14:val="standardContextual"/>
        </w:rPr>
        <w:t>Journal of Global Biosciences.</w:t>
      </w:r>
      <w:r w:rsidRPr="000741BA">
        <w:rPr>
          <w:rFonts w:ascii="Times New Roman" w:eastAsia="Calibri" w:hAnsi="Times New Roman" w:cs="Times New Roman"/>
          <w:kern w:val="2"/>
          <w:sz w:val="24"/>
          <w:szCs w:val="24"/>
          <w:lang w:val="en-IN" w:bidi="te-IN"/>
          <w14:ligatures w14:val="standardContextual"/>
        </w:rPr>
        <w:t xml:space="preserve"> 3(2): 626-632.</w:t>
      </w:r>
    </w:p>
    <w:p w14:paraId="709B0977"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shd w:val="clear" w:color="auto" w:fill="FFFFFF"/>
          <w:lang w:val="en-IN" w:bidi="te-IN"/>
          <w14:ligatures w14:val="standardContextual"/>
        </w:rPr>
      </w:pPr>
      <w:r w:rsidRPr="000741BA">
        <w:rPr>
          <w:rFonts w:ascii="Times New Roman" w:eastAsia="Calibri" w:hAnsi="Times New Roman" w:cs="Times New Roman"/>
          <w:kern w:val="2"/>
          <w:sz w:val="24"/>
          <w:szCs w:val="24"/>
          <w:shd w:val="clear" w:color="auto" w:fill="FFFFFF"/>
          <w:lang w:val="en-IN" w:bidi="te-IN"/>
          <w14:ligatures w14:val="standardContextual"/>
        </w:rPr>
        <w:t xml:space="preserve">Shivaprasad, T., Girish, G., </w:t>
      </w:r>
      <w:proofErr w:type="spellStart"/>
      <w:r w:rsidRPr="000741BA">
        <w:rPr>
          <w:rFonts w:ascii="Times New Roman" w:eastAsia="Calibri" w:hAnsi="Times New Roman" w:cs="Times New Roman"/>
          <w:kern w:val="2"/>
          <w:sz w:val="24"/>
          <w:szCs w:val="24"/>
          <w:shd w:val="clear" w:color="auto" w:fill="FFFFFF"/>
          <w:lang w:val="en-IN" w:bidi="te-IN"/>
          <w14:ligatures w14:val="standardContextual"/>
        </w:rPr>
        <w:t>Badigannavar</w:t>
      </w:r>
      <w:proofErr w:type="spellEnd"/>
      <w:r w:rsidRPr="000741BA">
        <w:rPr>
          <w:rFonts w:ascii="Times New Roman" w:eastAsia="Calibri" w:hAnsi="Times New Roman" w:cs="Times New Roman"/>
          <w:kern w:val="2"/>
          <w:sz w:val="24"/>
          <w:szCs w:val="24"/>
          <w:shd w:val="clear" w:color="auto" w:fill="FFFFFF"/>
          <w:lang w:val="en-IN" w:bidi="te-IN"/>
          <w14:ligatures w14:val="standardContextual"/>
        </w:rPr>
        <w:t xml:space="preserve">, A., </w:t>
      </w:r>
      <w:proofErr w:type="spellStart"/>
      <w:r w:rsidRPr="000741BA">
        <w:rPr>
          <w:rFonts w:ascii="Times New Roman" w:eastAsia="Calibri" w:hAnsi="Times New Roman" w:cs="Times New Roman"/>
          <w:kern w:val="2"/>
          <w:sz w:val="24"/>
          <w:szCs w:val="24"/>
          <w:shd w:val="clear" w:color="auto" w:fill="FFFFFF"/>
          <w:lang w:val="en-IN" w:bidi="te-IN"/>
          <w14:ligatures w14:val="standardContextual"/>
        </w:rPr>
        <w:t>Muniswamy</w:t>
      </w:r>
      <w:proofErr w:type="spellEnd"/>
      <w:r w:rsidRPr="000741BA">
        <w:rPr>
          <w:rFonts w:ascii="Times New Roman" w:eastAsia="Calibri" w:hAnsi="Times New Roman" w:cs="Times New Roman"/>
          <w:kern w:val="2"/>
          <w:sz w:val="24"/>
          <w:szCs w:val="24"/>
          <w:shd w:val="clear" w:color="auto" w:fill="FFFFFF"/>
          <w:lang w:val="en-IN" w:bidi="te-IN"/>
          <w14:ligatures w14:val="standardContextual"/>
        </w:rPr>
        <w:t>, S., Yogesh, L. N and Ganapathi, T. R. 2019. Genetic variability, correlation and path coefficient studies in sorghum (</w:t>
      </w:r>
      <w:r w:rsidRPr="000741BA">
        <w:rPr>
          <w:rFonts w:ascii="Times New Roman" w:eastAsia="Calibri" w:hAnsi="Times New Roman" w:cs="Times New Roman"/>
          <w:i/>
          <w:iCs/>
          <w:kern w:val="2"/>
          <w:sz w:val="24"/>
          <w:szCs w:val="24"/>
          <w:shd w:val="clear" w:color="auto" w:fill="FFFFFF"/>
          <w:lang w:val="en-IN" w:bidi="te-IN"/>
          <w14:ligatures w14:val="standardContextual"/>
        </w:rPr>
        <w:t xml:space="preserve">Sorghum </w:t>
      </w:r>
      <w:proofErr w:type="spellStart"/>
      <w:r w:rsidRPr="000741BA">
        <w:rPr>
          <w:rFonts w:ascii="Times New Roman" w:eastAsia="Calibri" w:hAnsi="Times New Roman" w:cs="Times New Roman"/>
          <w:i/>
          <w:iCs/>
          <w:kern w:val="2"/>
          <w:sz w:val="24"/>
          <w:szCs w:val="24"/>
          <w:shd w:val="clear" w:color="auto" w:fill="FFFFFF"/>
          <w:lang w:val="en-IN" w:bidi="te-IN"/>
          <w14:ligatures w14:val="standardContextual"/>
        </w:rPr>
        <w:t>bicolor</w:t>
      </w:r>
      <w:proofErr w:type="spellEnd"/>
      <w:r w:rsidRPr="000741BA">
        <w:rPr>
          <w:rFonts w:ascii="Times New Roman" w:eastAsia="Calibri" w:hAnsi="Times New Roman" w:cs="Times New Roman"/>
          <w:i/>
          <w:iCs/>
          <w:kern w:val="2"/>
          <w:sz w:val="24"/>
          <w:szCs w:val="24"/>
          <w:shd w:val="clear" w:color="auto" w:fill="FFFFFF"/>
          <w:lang w:val="en-IN" w:bidi="te-IN"/>
          <w14:ligatures w14:val="standardContextual"/>
        </w:rPr>
        <w:t xml:space="preserve"> </w:t>
      </w:r>
      <w:r w:rsidRPr="000741BA">
        <w:rPr>
          <w:rFonts w:ascii="Times New Roman" w:eastAsia="Calibri" w:hAnsi="Times New Roman" w:cs="Times New Roman"/>
          <w:kern w:val="2"/>
          <w:sz w:val="24"/>
          <w:szCs w:val="24"/>
          <w:shd w:val="clear" w:color="auto" w:fill="FFFFFF"/>
          <w:lang w:val="en-IN" w:bidi="te-IN"/>
          <w14:ligatures w14:val="standardContextual"/>
        </w:rPr>
        <w:t>(L.) Moench) mutants. </w:t>
      </w:r>
      <w:r w:rsidRPr="000741BA">
        <w:rPr>
          <w:rFonts w:ascii="Times New Roman" w:eastAsia="Calibri" w:hAnsi="Times New Roman" w:cs="Times New Roman"/>
          <w:i/>
          <w:iCs/>
          <w:kern w:val="2"/>
          <w:sz w:val="24"/>
          <w:szCs w:val="24"/>
          <w:shd w:val="clear" w:color="auto" w:fill="FFFFFF"/>
          <w:lang w:val="en-IN" w:bidi="te-IN"/>
          <w14:ligatures w14:val="standardContextual"/>
        </w:rPr>
        <w:t>Electronic Journal of Plant Breeding</w:t>
      </w:r>
      <w:r w:rsidRPr="000741BA">
        <w:rPr>
          <w:rFonts w:ascii="Times New Roman" w:eastAsia="Calibri" w:hAnsi="Times New Roman" w:cs="Times New Roman"/>
          <w:kern w:val="2"/>
          <w:sz w:val="24"/>
          <w:szCs w:val="24"/>
          <w:shd w:val="clear" w:color="auto" w:fill="FFFFFF"/>
          <w:lang w:val="en-IN" w:bidi="te-IN"/>
          <w14:ligatures w14:val="standardContextual"/>
        </w:rPr>
        <w:t>. 10(4): 1383-1389.</w:t>
      </w:r>
    </w:p>
    <w:p w14:paraId="1D066040" w14:textId="77777777" w:rsidR="00D222C8" w:rsidRPr="000741BA" w:rsidRDefault="00D222C8" w:rsidP="00D222C8">
      <w:pPr>
        <w:spacing w:line="240" w:lineRule="auto"/>
        <w:ind w:left="719" w:hanging="719"/>
        <w:jc w:val="both"/>
        <w:rPr>
          <w:rFonts w:ascii="Times New Roman" w:eastAsia="Calibri" w:hAnsi="Times New Roman" w:cs="Times New Roman"/>
          <w:sz w:val="24"/>
          <w:szCs w:val="24"/>
        </w:rPr>
      </w:pPr>
      <w:r w:rsidRPr="000741BA">
        <w:rPr>
          <w:rFonts w:ascii="Times New Roman" w:eastAsia="Calibri" w:hAnsi="Times New Roman" w:cs="Times New Roman"/>
          <w:sz w:val="24"/>
          <w:szCs w:val="24"/>
        </w:rPr>
        <w:t xml:space="preserve">Singh, S.K., </w:t>
      </w:r>
      <w:proofErr w:type="spellStart"/>
      <w:r w:rsidRPr="000741BA">
        <w:rPr>
          <w:rFonts w:ascii="Times New Roman" w:eastAsia="Calibri" w:hAnsi="Times New Roman" w:cs="Times New Roman"/>
          <w:sz w:val="24"/>
          <w:szCs w:val="24"/>
        </w:rPr>
        <w:t>Gangwar</w:t>
      </w:r>
      <w:proofErr w:type="spellEnd"/>
      <w:r w:rsidRPr="000741BA">
        <w:rPr>
          <w:rFonts w:ascii="Times New Roman" w:eastAsia="Calibri" w:hAnsi="Times New Roman" w:cs="Times New Roman"/>
          <w:sz w:val="24"/>
          <w:szCs w:val="24"/>
        </w:rPr>
        <w:t xml:space="preserve">, L.K and Chaudhary, M. 2019. Studies on character association and path analysis in forage sorghum. </w:t>
      </w:r>
      <w:r w:rsidRPr="000741BA">
        <w:rPr>
          <w:rFonts w:ascii="Times New Roman" w:eastAsia="Calibri" w:hAnsi="Times New Roman" w:cs="Times New Roman"/>
          <w:i/>
          <w:iCs/>
          <w:sz w:val="24"/>
          <w:szCs w:val="24"/>
        </w:rPr>
        <w:t>International Journal of Chemical Studies</w:t>
      </w:r>
      <w:r w:rsidRPr="000741BA">
        <w:rPr>
          <w:rFonts w:ascii="Times New Roman" w:eastAsia="Calibri" w:hAnsi="Times New Roman" w:cs="Times New Roman"/>
          <w:sz w:val="24"/>
          <w:szCs w:val="24"/>
        </w:rPr>
        <w:t>. 7(5): 2939-2942.</w:t>
      </w:r>
    </w:p>
    <w:p w14:paraId="64B0DE9B"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 xml:space="preserve">Sivasubramanian, S and </w:t>
      </w:r>
      <w:proofErr w:type="spellStart"/>
      <w:r w:rsidRPr="000741BA">
        <w:rPr>
          <w:rFonts w:ascii="Times New Roman" w:eastAsia="Calibri" w:hAnsi="Times New Roman" w:cs="Times New Roman"/>
          <w:kern w:val="2"/>
          <w:sz w:val="24"/>
          <w:szCs w:val="24"/>
          <w:lang w:val="en-IN" w:bidi="te-IN"/>
          <w14:ligatures w14:val="standardContextual"/>
        </w:rPr>
        <w:t>Madhavamenon</w:t>
      </w:r>
      <w:proofErr w:type="spellEnd"/>
      <w:r w:rsidRPr="000741BA">
        <w:rPr>
          <w:rFonts w:ascii="Times New Roman" w:eastAsia="Calibri" w:hAnsi="Times New Roman" w:cs="Times New Roman"/>
          <w:kern w:val="2"/>
          <w:sz w:val="24"/>
          <w:szCs w:val="24"/>
          <w:lang w:val="en-IN" w:bidi="te-IN"/>
          <w14:ligatures w14:val="standardContextual"/>
        </w:rPr>
        <w:t xml:space="preserve">, P. 1973. Combining ability in rice. </w:t>
      </w:r>
      <w:r w:rsidRPr="000741BA">
        <w:rPr>
          <w:rFonts w:ascii="Times New Roman" w:eastAsia="Calibri" w:hAnsi="Times New Roman" w:cs="Times New Roman"/>
          <w:i/>
          <w:iCs/>
          <w:kern w:val="2"/>
          <w:sz w:val="24"/>
          <w:szCs w:val="24"/>
          <w:lang w:val="en-IN" w:bidi="te-IN"/>
          <w14:ligatures w14:val="standardContextual"/>
        </w:rPr>
        <w:t>Madras Agricultural Journal.</w:t>
      </w:r>
      <w:r w:rsidRPr="000741BA">
        <w:rPr>
          <w:rFonts w:ascii="Times New Roman" w:eastAsia="Calibri" w:hAnsi="Times New Roman" w:cs="Times New Roman"/>
          <w:kern w:val="2"/>
          <w:sz w:val="24"/>
          <w:szCs w:val="24"/>
          <w:lang w:val="en-IN" w:bidi="te-IN"/>
          <w14:ligatures w14:val="standardContextual"/>
        </w:rPr>
        <w:t xml:space="preserve"> 60: 419-421.</w:t>
      </w:r>
    </w:p>
    <w:p w14:paraId="1873E3C3"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shd w:val="clear" w:color="auto" w:fill="FFFFFF"/>
          <w:lang w:val="en-IN" w:bidi="te-IN"/>
          <w14:ligatures w14:val="standardContextual"/>
        </w:rPr>
        <w:t xml:space="preserve">Sujatha, K and Pushpavalli, S.N.C.V.L. 2017. Variability and genetic divergence among the </w:t>
      </w:r>
      <w:r w:rsidRPr="000741BA">
        <w:rPr>
          <w:rFonts w:ascii="Times New Roman" w:eastAsia="Calibri" w:hAnsi="Times New Roman" w:cs="Times New Roman"/>
          <w:i/>
          <w:iCs/>
          <w:kern w:val="2"/>
          <w:sz w:val="24"/>
          <w:szCs w:val="24"/>
          <w:shd w:val="clear" w:color="auto" w:fill="FFFFFF"/>
          <w:lang w:val="en-IN" w:bidi="te-IN"/>
          <w14:ligatures w14:val="standardContextual"/>
        </w:rPr>
        <w:t xml:space="preserve">rabi </w:t>
      </w:r>
      <w:r w:rsidRPr="000741BA">
        <w:rPr>
          <w:rFonts w:ascii="Times New Roman" w:eastAsia="Calibri" w:hAnsi="Times New Roman" w:cs="Times New Roman"/>
          <w:kern w:val="2"/>
          <w:sz w:val="24"/>
          <w:szCs w:val="24"/>
          <w:shd w:val="clear" w:color="auto" w:fill="FFFFFF"/>
          <w:lang w:val="en-IN" w:bidi="te-IN"/>
          <w14:ligatures w14:val="standardContextual"/>
        </w:rPr>
        <w:t>sorghum germplasm adapted to deep soil situations. </w:t>
      </w:r>
      <w:r w:rsidRPr="000741BA">
        <w:rPr>
          <w:rFonts w:ascii="Times New Roman" w:eastAsia="Calibri" w:hAnsi="Times New Roman" w:cs="Times New Roman"/>
          <w:i/>
          <w:iCs/>
          <w:kern w:val="2"/>
          <w:sz w:val="24"/>
          <w:szCs w:val="24"/>
          <w:shd w:val="clear" w:color="auto" w:fill="FFFFFF"/>
          <w:lang w:val="en-IN" w:bidi="te-IN"/>
          <w14:ligatures w14:val="standardContextual"/>
        </w:rPr>
        <w:t xml:space="preserve">Life Sciences International Research Journal. </w:t>
      </w:r>
      <w:r w:rsidRPr="000741BA">
        <w:rPr>
          <w:rFonts w:ascii="Times New Roman" w:eastAsia="Calibri" w:hAnsi="Times New Roman" w:cs="Times New Roman"/>
          <w:kern w:val="2"/>
          <w:sz w:val="24"/>
          <w:szCs w:val="24"/>
          <w:shd w:val="clear" w:color="auto" w:fill="FFFFFF"/>
          <w:lang w:val="en-IN" w:bidi="te-IN"/>
          <w14:ligatures w14:val="standardContextual"/>
        </w:rPr>
        <w:t>4(1): 110-114.</w:t>
      </w:r>
      <w:r w:rsidRPr="000741BA">
        <w:rPr>
          <w:rFonts w:ascii="Times New Roman" w:eastAsia="Calibri" w:hAnsi="Times New Roman" w:cs="Times New Roman"/>
          <w:kern w:val="2"/>
          <w:sz w:val="24"/>
          <w:szCs w:val="24"/>
          <w:lang w:val="en-IN" w:bidi="te-IN"/>
          <w14:ligatures w14:val="standardContextual"/>
        </w:rPr>
        <w:t xml:space="preserve"> </w:t>
      </w:r>
    </w:p>
    <w:p w14:paraId="30F56DCF"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shd w:val="clear" w:color="auto" w:fill="FFFFFF"/>
          <w:lang w:val="en-IN" w:bidi="te-IN"/>
          <w14:ligatures w14:val="standardContextual"/>
        </w:rPr>
      </w:pPr>
      <w:r w:rsidRPr="000741BA">
        <w:rPr>
          <w:rFonts w:ascii="Times New Roman" w:eastAsia="Calibri" w:hAnsi="Times New Roman" w:cs="Times New Roman"/>
          <w:kern w:val="2"/>
          <w:sz w:val="24"/>
          <w:szCs w:val="24"/>
          <w:shd w:val="clear" w:color="auto" w:fill="FFFFFF"/>
          <w:lang w:val="en-IN" w:bidi="te-IN"/>
          <w14:ligatures w14:val="standardContextual"/>
        </w:rPr>
        <w:t xml:space="preserve">Swamy, N., Biradar, B. D., </w:t>
      </w:r>
      <w:proofErr w:type="spellStart"/>
      <w:r w:rsidRPr="000741BA">
        <w:rPr>
          <w:rFonts w:ascii="Times New Roman" w:eastAsia="Calibri" w:hAnsi="Times New Roman" w:cs="Times New Roman"/>
          <w:kern w:val="2"/>
          <w:sz w:val="24"/>
          <w:szCs w:val="24"/>
          <w:shd w:val="clear" w:color="auto" w:fill="FFFFFF"/>
          <w:lang w:val="en-IN" w:bidi="te-IN"/>
          <w14:ligatures w14:val="standardContextual"/>
        </w:rPr>
        <w:t>Sajjanar</w:t>
      </w:r>
      <w:proofErr w:type="spellEnd"/>
      <w:r w:rsidRPr="000741BA">
        <w:rPr>
          <w:rFonts w:ascii="Times New Roman" w:eastAsia="Calibri" w:hAnsi="Times New Roman" w:cs="Times New Roman"/>
          <w:kern w:val="2"/>
          <w:sz w:val="24"/>
          <w:szCs w:val="24"/>
          <w:shd w:val="clear" w:color="auto" w:fill="FFFFFF"/>
          <w:lang w:val="en-IN" w:bidi="te-IN"/>
          <w14:ligatures w14:val="standardContextual"/>
        </w:rPr>
        <w:t xml:space="preserve">, G. M., Ashwathama, V. H., Sajjan, A. S and Biradar, A.P. 2018. Genetic variability and correlation studies for productivity traits in </w:t>
      </w:r>
      <w:r w:rsidRPr="000741BA">
        <w:rPr>
          <w:rFonts w:ascii="Times New Roman" w:eastAsia="Calibri" w:hAnsi="Times New Roman" w:cs="Times New Roman"/>
          <w:i/>
          <w:iCs/>
          <w:kern w:val="2"/>
          <w:sz w:val="24"/>
          <w:szCs w:val="24"/>
          <w:shd w:val="clear" w:color="auto" w:fill="FFFFFF"/>
          <w:lang w:val="en-IN" w:bidi="te-IN"/>
          <w14:ligatures w14:val="standardContextual"/>
        </w:rPr>
        <w:t>rabi</w:t>
      </w:r>
      <w:r w:rsidRPr="000741BA">
        <w:rPr>
          <w:rFonts w:ascii="Times New Roman" w:eastAsia="Calibri" w:hAnsi="Times New Roman" w:cs="Times New Roman"/>
          <w:kern w:val="2"/>
          <w:sz w:val="24"/>
          <w:szCs w:val="24"/>
          <w:shd w:val="clear" w:color="auto" w:fill="FFFFFF"/>
          <w:lang w:val="en-IN" w:bidi="te-IN"/>
          <w14:ligatures w14:val="standardContextual"/>
        </w:rPr>
        <w:t xml:space="preserve"> sorghum (</w:t>
      </w:r>
      <w:r w:rsidRPr="000741BA">
        <w:rPr>
          <w:rFonts w:ascii="Times New Roman" w:eastAsia="Calibri" w:hAnsi="Times New Roman" w:cs="Times New Roman"/>
          <w:i/>
          <w:iCs/>
          <w:kern w:val="2"/>
          <w:sz w:val="24"/>
          <w:szCs w:val="24"/>
          <w:shd w:val="clear" w:color="auto" w:fill="FFFFFF"/>
          <w:lang w:val="en-IN" w:bidi="te-IN"/>
          <w14:ligatures w14:val="standardContextual"/>
        </w:rPr>
        <w:t xml:space="preserve">Sorghum </w:t>
      </w:r>
      <w:proofErr w:type="spellStart"/>
      <w:r w:rsidRPr="000741BA">
        <w:rPr>
          <w:rFonts w:ascii="Times New Roman" w:eastAsia="Calibri" w:hAnsi="Times New Roman" w:cs="Times New Roman"/>
          <w:i/>
          <w:iCs/>
          <w:kern w:val="2"/>
          <w:sz w:val="24"/>
          <w:szCs w:val="24"/>
          <w:shd w:val="clear" w:color="auto" w:fill="FFFFFF"/>
          <w:lang w:val="en-IN" w:bidi="te-IN"/>
          <w14:ligatures w14:val="standardContextual"/>
        </w:rPr>
        <w:t>bicolor</w:t>
      </w:r>
      <w:proofErr w:type="spellEnd"/>
      <w:r w:rsidRPr="000741BA">
        <w:rPr>
          <w:rFonts w:ascii="Times New Roman" w:eastAsia="Calibri" w:hAnsi="Times New Roman" w:cs="Times New Roman"/>
          <w:i/>
          <w:iCs/>
          <w:kern w:val="2"/>
          <w:sz w:val="24"/>
          <w:szCs w:val="24"/>
          <w:shd w:val="clear" w:color="auto" w:fill="FFFFFF"/>
          <w:lang w:val="en-IN" w:bidi="te-IN"/>
          <w14:ligatures w14:val="standardContextual"/>
        </w:rPr>
        <w:t xml:space="preserve"> </w:t>
      </w:r>
      <w:r w:rsidRPr="000741BA">
        <w:rPr>
          <w:rFonts w:ascii="Times New Roman" w:eastAsia="Calibri" w:hAnsi="Times New Roman" w:cs="Times New Roman"/>
          <w:kern w:val="2"/>
          <w:sz w:val="24"/>
          <w:szCs w:val="24"/>
          <w:shd w:val="clear" w:color="auto" w:fill="FFFFFF"/>
          <w:lang w:val="en-IN" w:bidi="te-IN"/>
          <w14:ligatures w14:val="standardContextual"/>
        </w:rPr>
        <w:t>(L.) Moench). </w:t>
      </w:r>
      <w:r w:rsidRPr="000741BA">
        <w:rPr>
          <w:rFonts w:ascii="Times New Roman" w:eastAsia="Calibri" w:hAnsi="Times New Roman" w:cs="Times New Roman"/>
          <w:i/>
          <w:iCs/>
          <w:kern w:val="2"/>
          <w:sz w:val="24"/>
          <w:szCs w:val="24"/>
          <w:shd w:val="clear" w:color="auto" w:fill="FFFFFF"/>
          <w:lang w:val="en-IN" w:bidi="te-IN"/>
          <w14:ligatures w14:val="standardContextual"/>
        </w:rPr>
        <w:t>Journal of Pharmacognosy and Phytochemistry</w:t>
      </w:r>
      <w:r w:rsidRPr="000741BA">
        <w:rPr>
          <w:rFonts w:ascii="Times New Roman" w:eastAsia="Calibri" w:hAnsi="Times New Roman" w:cs="Times New Roman"/>
          <w:kern w:val="2"/>
          <w:sz w:val="24"/>
          <w:szCs w:val="24"/>
          <w:shd w:val="clear" w:color="auto" w:fill="FFFFFF"/>
          <w:lang w:val="en-IN" w:bidi="te-IN"/>
          <w14:ligatures w14:val="standardContextual"/>
        </w:rPr>
        <w:t>. 7(6): 1785-1788.</w:t>
      </w:r>
    </w:p>
    <w:p w14:paraId="528259FE"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shd w:val="clear" w:color="auto" w:fill="FFFFFF"/>
          <w:lang w:val="en-IN" w:bidi="te-IN"/>
          <w14:ligatures w14:val="standardContextual"/>
        </w:rPr>
      </w:pPr>
      <w:r w:rsidRPr="000741BA">
        <w:rPr>
          <w:rFonts w:ascii="Times New Roman" w:eastAsia="Calibri" w:hAnsi="Times New Roman" w:cs="Times New Roman"/>
          <w:kern w:val="2"/>
          <w:sz w:val="24"/>
          <w:szCs w:val="24"/>
          <w:shd w:val="clear" w:color="auto" w:fill="FFFFFF"/>
          <w:lang w:val="en-IN" w:bidi="te-IN"/>
          <w14:ligatures w14:val="standardContextual"/>
        </w:rPr>
        <w:t>Tesfaye, K. 2017. Genetic diversity study of sorghum (</w:t>
      </w:r>
      <w:r w:rsidRPr="000741BA">
        <w:rPr>
          <w:rFonts w:ascii="Times New Roman" w:eastAsia="Calibri" w:hAnsi="Times New Roman" w:cs="Times New Roman"/>
          <w:i/>
          <w:iCs/>
          <w:kern w:val="2"/>
          <w:sz w:val="24"/>
          <w:szCs w:val="24"/>
          <w:shd w:val="clear" w:color="auto" w:fill="FFFFFF"/>
          <w:lang w:val="en-IN" w:bidi="te-IN"/>
          <w14:ligatures w14:val="standardContextual"/>
        </w:rPr>
        <w:t xml:space="preserve">Sorghum </w:t>
      </w:r>
      <w:proofErr w:type="spellStart"/>
      <w:r w:rsidRPr="000741BA">
        <w:rPr>
          <w:rFonts w:ascii="Times New Roman" w:eastAsia="Calibri" w:hAnsi="Times New Roman" w:cs="Times New Roman"/>
          <w:i/>
          <w:iCs/>
          <w:kern w:val="2"/>
          <w:sz w:val="24"/>
          <w:szCs w:val="24"/>
          <w:shd w:val="clear" w:color="auto" w:fill="FFFFFF"/>
          <w:lang w:val="en-IN" w:bidi="te-IN"/>
          <w14:ligatures w14:val="standardContextual"/>
        </w:rPr>
        <w:t>bicolor</w:t>
      </w:r>
      <w:proofErr w:type="spellEnd"/>
      <w:r w:rsidRPr="000741BA">
        <w:rPr>
          <w:rFonts w:ascii="Times New Roman" w:eastAsia="Calibri" w:hAnsi="Times New Roman" w:cs="Times New Roman"/>
          <w:i/>
          <w:iCs/>
          <w:kern w:val="2"/>
          <w:sz w:val="24"/>
          <w:szCs w:val="24"/>
          <w:shd w:val="clear" w:color="auto" w:fill="FFFFFF"/>
          <w:lang w:val="en-IN" w:bidi="te-IN"/>
          <w14:ligatures w14:val="standardContextual"/>
        </w:rPr>
        <w:t xml:space="preserve"> </w:t>
      </w:r>
      <w:r w:rsidRPr="000741BA">
        <w:rPr>
          <w:rFonts w:ascii="Times New Roman" w:eastAsia="Calibri" w:hAnsi="Times New Roman" w:cs="Times New Roman"/>
          <w:kern w:val="2"/>
          <w:sz w:val="24"/>
          <w:szCs w:val="24"/>
          <w:shd w:val="clear" w:color="auto" w:fill="FFFFFF"/>
          <w:lang w:val="en-IN" w:bidi="te-IN"/>
          <w14:ligatures w14:val="standardContextual"/>
        </w:rPr>
        <w:t xml:space="preserve">(L.) Moench) genotypes, Ethiopia. Acta Universitatis </w:t>
      </w:r>
      <w:proofErr w:type="spellStart"/>
      <w:r w:rsidRPr="000741BA">
        <w:rPr>
          <w:rFonts w:ascii="Times New Roman" w:eastAsia="Calibri" w:hAnsi="Times New Roman" w:cs="Times New Roman"/>
          <w:kern w:val="2"/>
          <w:sz w:val="24"/>
          <w:szCs w:val="24"/>
          <w:shd w:val="clear" w:color="auto" w:fill="FFFFFF"/>
          <w:lang w:val="en-IN" w:bidi="te-IN"/>
          <w14:ligatures w14:val="standardContextual"/>
        </w:rPr>
        <w:t>Sapientiae</w:t>
      </w:r>
      <w:proofErr w:type="spellEnd"/>
      <w:r w:rsidRPr="000741BA">
        <w:rPr>
          <w:rFonts w:ascii="Times New Roman" w:eastAsia="Calibri" w:hAnsi="Times New Roman" w:cs="Times New Roman"/>
          <w:kern w:val="2"/>
          <w:sz w:val="24"/>
          <w:szCs w:val="24"/>
          <w:shd w:val="clear" w:color="auto" w:fill="FFFFFF"/>
          <w:lang w:val="en-IN" w:bidi="te-IN"/>
          <w14:ligatures w14:val="standardContextual"/>
        </w:rPr>
        <w:t xml:space="preserve">. </w:t>
      </w:r>
      <w:r w:rsidRPr="000741BA">
        <w:rPr>
          <w:rFonts w:ascii="Times New Roman" w:eastAsia="Calibri" w:hAnsi="Times New Roman" w:cs="Times New Roman"/>
          <w:i/>
          <w:iCs/>
          <w:kern w:val="2"/>
          <w:sz w:val="24"/>
          <w:szCs w:val="24"/>
          <w:shd w:val="clear" w:color="auto" w:fill="FFFFFF"/>
          <w:lang w:val="en-IN" w:bidi="te-IN"/>
          <w14:ligatures w14:val="standardContextual"/>
        </w:rPr>
        <w:t>Agriculture and Environment</w:t>
      </w:r>
      <w:r w:rsidRPr="000741BA">
        <w:rPr>
          <w:rFonts w:ascii="Times New Roman" w:eastAsia="Calibri" w:hAnsi="Times New Roman" w:cs="Times New Roman"/>
          <w:kern w:val="2"/>
          <w:sz w:val="24"/>
          <w:szCs w:val="24"/>
          <w:shd w:val="clear" w:color="auto" w:fill="FFFFFF"/>
          <w:lang w:val="en-IN" w:bidi="te-IN"/>
          <w14:ligatures w14:val="standardContextual"/>
        </w:rPr>
        <w:t>. 9(1):  44-54.</w:t>
      </w:r>
    </w:p>
    <w:p w14:paraId="6DC33D29"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bidi="te-IN"/>
          <w14:ligatures w14:val="standardContextual"/>
        </w:rPr>
      </w:pPr>
      <w:r w:rsidRPr="000741BA">
        <w:rPr>
          <w:rFonts w:ascii="Times New Roman" w:eastAsia="Calibri" w:hAnsi="Times New Roman" w:cs="Times New Roman"/>
          <w:kern w:val="2"/>
          <w:sz w:val="24"/>
          <w:szCs w:val="24"/>
          <w:lang w:bidi="te-IN"/>
          <w14:ligatures w14:val="standardContextual"/>
        </w:rPr>
        <w:t xml:space="preserve">Yadav, V., Singh, S.K., Katiyar, H., Lodhi, S.K and Singh, K. 2019. Genetic variability, heritability and genetic advance for fodder yield and its components in forage sorghum. </w:t>
      </w:r>
      <w:r w:rsidRPr="000741BA">
        <w:rPr>
          <w:rFonts w:ascii="Times New Roman" w:eastAsia="Calibri" w:hAnsi="Times New Roman" w:cs="Times New Roman"/>
          <w:i/>
          <w:iCs/>
          <w:kern w:val="2"/>
          <w:sz w:val="24"/>
          <w:szCs w:val="24"/>
          <w:lang w:bidi="te-IN"/>
          <w14:ligatures w14:val="standardContextual"/>
        </w:rPr>
        <w:t>Indian Journal of Agriculture and Allied Sciences</w:t>
      </w:r>
      <w:r w:rsidRPr="000741BA">
        <w:rPr>
          <w:rFonts w:ascii="Times New Roman" w:eastAsia="Calibri" w:hAnsi="Times New Roman" w:cs="Times New Roman"/>
          <w:kern w:val="2"/>
          <w:sz w:val="24"/>
          <w:szCs w:val="24"/>
          <w:lang w:bidi="te-IN"/>
          <w14:ligatures w14:val="standardContextual"/>
        </w:rPr>
        <w:t>. 5(1): 30-32.</w:t>
      </w:r>
    </w:p>
    <w:p w14:paraId="760E5091"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lang w:val="en-IN" w:bidi="te-IN"/>
          <w14:ligatures w14:val="standardContextual"/>
        </w:rPr>
      </w:pPr>
      <w:r w:rsidRPr="000741BA">
        <w:rPr>
          <w:rFonts w:ascii="Times New Roman" w:eastAsia="Calibri" w:hAnsi="Times New Roman" w:cs="Times New Roman"/>
          <w:kern w:val="2"/>
          <w:sz w:val="24"/>
          <w:szCs w:val="24"/>
          <w:lang w:val="en-IN" w:bidi="te-IN"/>
          <w14:ligatures w14:val="standardContextual"/>
        </w:rPr>
        <w:t>Zhang, Y., Chen, J., Gao, Z., Wang, H., Liang, D and Guo, Q. 2024. Identification of heterosis and combining ability in the hybrids of male sterile and restorer sorghum (</w:t>
      </w:r>
      <w:r w:rsidRPr="000741BA">
        <w:rPr>
          <w:rFonts w:ascii="Times New Roman" w:eastAsia="Calibri" w:hAnsi="Times New Roman" w:cs="Times New Roman"/>
          <w:i/>
          <w:iCs/>
          <w:kern w:val="2"/>
          <w:sz w:val="24"/>
          <w:szCs w:val="24"/>
          <w:lang w:val="en-IN" w:bidi="te-IN"/>
          <w14:ligatures w14:val="standardContextual"/>
        </w:rPr>
        <w:t xml:space="preserve">Sorghum </w:t>
      </w:r>
      <w:proofErr w:type="spellStart"/>
      <w:r w:rsidRPr="000741BA">
        <w:rPr>
          <w:rFonts w:ascii="Times New Roman" w:eastAsia="Calibri" w:hAnsi="Times New Roman" w:cs="Times New Roman"/>
          <w:i/>
          <w:iCs/>
          <w:kern w:val="2"/>
          <w:sz w:val="24"/>
          <w:szCs w:val="24"/>
          <w:lang w:val="en-IN" w:bidi="te-IN"/>
          <w14:ligatures w14:val="standardContextual"/>
        </w:rPr>
        <w:t>bicolor</w:t>
      </w:r>
      <w:proofErr w:type="spellEnd"/>
      <w:r w:rsidRPr="000741BA">
        <w:rPr>
          <w:rFonts w:ascii="Times New Roman" w:eastAsia="Calibri" w:hAnsi="Times New Roman" w:cs="Times New Roman"/>
          <w:i/>
          <w:iCs/>
          <w:kern w:val="2"/>
          <w:sz w:val="24"/>
          <w:szCs w:val="24"/>
          <w:lang w:val="en-IN" w:bidi="te-IN"/>
          <w14:ligatures w14:val="standardContextual"/>
        </w:rPr>
        <w:t xml:space="preserve"> </w:t>
      </w:r>
      <w:r w:rsidRPr="000741BA">
        <w:rPr>
          <w:rFonts w:ascii="Times New Roman" w:eastAsia="Calibri" w:hAnsi="Times New Roman" w:cs="Times New Roman"/>
          <w:kern w:val="2"/>
          <w:sz w:val="24"/>
          <w:szCs w:val="24"/>
          <w:lang w:val="en-IN" w:bidi="te-IN"/>
          <w14:ligatures w14:val="standardContextual"/>
        </w:rPr>
        <w:t xml:space="preserve">(L.) Moench) lines. </w:t>
      </w:r>
      <w:proofErr w:type="spellStart"/>
      <w:r w:rsidRPr="000741BA">
        <w:rPr>
          <w:rFonts w:ascii="Times New Roman" w:eastAsia="Calibri" w:hAnsi="Times New Roman" w:cs="Times New Roman"/>
          <w:i/>
          <w:iCs/>
          <w:kern w:val="2"/>
          <w:sz w:val="24"/>
          <w:szCs w:val="24"/>
          <w:lang w:val="en-IN" w:bidi="te-IN"/>
          <w14:ligatures w14:val="standardContextual"/>
        </w:rPr>
        <w:t>PLoS</w:t>
      </w:r>
      <w:proofErr w:type="spellEnd"/>
      <w:r w:rsidRPr="000741BA">
        <w:rPr>
          <w:rFonts w:ascii="Times New Roman" w:eastAsia="Calibri" w:hAnsi="Times New Roman" w:cs="Times New Roman"/>
          <w:i/>
          <w:iCs/>
          <w:kern w:val="2"/>
          <w:sz w:val="24"/>
          <w:szCs w:val="24"/>
          <w:lang w:val="en-IN" w:bidi="te-IN"/>
          <w14:ligatures w14:val="standardContextual"/>
        </w:rPr>
        <w:t xml:space="preserve"> ONE.</w:t>
      </w:r>
      <w:r w:rsidRPr="000741BA">
        <w:rPr>
          <w:rFonts w:ascii="Times New Roman" w:eastAsia="Calibri" w:hAnsi="Times New Roman" w:cs="Times New Roman"/>
          <w:kern w:val="2"/>
          <w:sz w:val="24"/>
          <w:szCs w:val="24"/>
          <w:lang w:val="en-IN" w:bidi="te-IN"/>
          <w14:ligatures w14:val="standardContextual"/>
        </w:rPr>
        <w:t xml:space="preserve"> 19(1): 1-18.</w:t>
      </w:r>
    </w:p>
    <w:p w14:paraId="1E35C27D" w14:textId="77777777" w:rsidR="00D222C8" w:rsidRPr="000741BA" w:rsidRDefault="00D222C8" w:rsidP="00D222C8">
      <w:pPr>
        <w:spacing w:line="240" w:lineRule="auto"/>
        <w:ind w:left="719" w:hanging="719"/>
        <w:jc w:val="both"/>
        <w:rPr>
          <w:rFonts w:ascii="Times New Roman" w:eastAsia="Calibri" w:hAnsi="Times New Roman" w:cs="Times New Roman"/>
          <w:kern w:val="2"/>
          <w:sz w:val="24"/>
          <w:szCs w:val="24"/>
          <w:shd w:val="clear" w:color="auto" w:fill="FFFFFF"/>
          <w:lang w:val="en-IN" w:bidi="te-IN"/>
          <w14:ligatures w14:val="standardContextual"/>
        </w:rPr>
      </w:pPr>
      <w:proofErr w:type="spellStart"/>
      <w:r w:rsidRPr="000741BA">
        <w:rPr>
          <w:rFonts w:ascii="Times New Roman" w:eastAsia="Calibri" w:hAnsi="Times New Roman" w:cs="Times New Roman"/>
          <w:kern w:val="2"/>
          <w:sz w:val="24"/>
          <w:szCs w:val="24"/>
          <w:shd w:val="clear" w:color="auto" w:fill="FFFFFF"/>
          <w:lang w:val="en-IN" w:bidi="te-IN"/>
          <w14:ligatures w14:val="standardContextual"/>
        </w:rPr>
        <w:t>Zinzala</w:t>
      </w:r>
      <w:proofErr w:type="spellEnd"/>
      <w:r w:rsidRPr="000741BA">
        <w:rPr>
          <w:rFonts w:ascii="Times New Roman" w:eastAsia="Calibri" w:hAnsi="Times New Roman" w:cs="Times New Roman"/>
          <w:kern w:val="2"/>
          <w:sz w:val="24"/>
          <w:szCs w:val="24"/>
          <w:shd w:val="clear" w:color="auto" w:fill="FFFFFF"/>
          <w:lang w:val="en-IN" w:bidi="te-IN"/>
          <w14:ligatures w14:val="standardContextual"/>
        </w:rPr>
        <w:t>, S., Davda, B. K., Modha, K. G and Pathak, V. D. 2018. Studies on variability, correlation and path coefficient analysis in sorghum. </w:t>
      </w:r>
      <w:r w:rsidRPr="000741BA">
        <w:rPr>
          <w:rFonts w:ascii="Times New Roman" w:eastAsia="Calibri" w:hAnsi="Times New Roman" w:cs="Times New Roman"/>
          <w:i/>
          <w:iCs/>
          <w:kern w:val="2"/>
          <w:sz w:val="24"/>
          <w:szCs w:val="24"/>
          <w:shd w:val="clear" w:color="auto" w:fill="FFFFFF"/>
          <w:lang w:val="en-IN" w:bidi="te-IN"/>
          <w14:ligatures w14:val="standardContextual"/>
        </w:rPr>
        <w:t>International Journal of Agriculture Sciences</w:t>
      </w:r>
      <w:r w:rsidRPr="000741BA">
        <w:rPr>
          <w:rFonts w:ascii="Times New Roman" w:eastAsia="Calibri" w:hAnsi="Times New Roman" w:cs="Times New Roman"/>
          <w:kern w:val="2"/>
          <w:sz w:val="24"/>
          <w:szCs w:val="24"/>
          <w:shd w:val="clear" w:color="auto" w:fill="FFFFFF"/>
          <w:lang w:val="en-IN" w:bidi="te-IN"/>
          <w14:ligatures w14:val="standardContextual"/>
        </w:rPr>
        <w:t>. 10 (19): 7285-7287.</w:t>
      </w:r>
      <w:commentRangeEnd w:id="4"/>
      <w:r w:rsidR="00A3723F">
        <w:rPr>
          <w:rStyle w:val="CommentReference"/>
        </w:rPr>
        <w:commentReference w:id="4"/>
      </w:r>
    </w:p>
    <w:p w14:paraId="0F72F9F9" w14:textId="77777777" w:rsidR="007C08A8" w:rsidRPr="003209AE" w:rsidRDefault="007C08A8" w:rsidP="005E280D">
      <w:pPr>
        <w:rPr>
          <w:rFonts w:ascii="Times New Roman" w:hAnsi="Times New Roman" w:cs="Times New Roman"/>
          <w:sz w:val="24"/>
          <w:szCs w:val="24"/>
        </w:rPr>
        <w:sectPr w:rsidR="007C08A8" w:rsidRPr="003209AE" w:rsidSect="00C96F80">
          <w:headerReference w:type="even" r:id="rId11"/>
          <w:headerReference w:type="default" r:id="rId12"/>
          <w:footerReference w:type="even" r:id="rId13"/>
          <w:footerReference w:type="default" r:id="rId14"/>
          <w:headerReference w:type="first" r:id="rId15"/>
          <w:footerReference w:type="first" r:id="rId16"/>
          <w:pgSz w:w="11906" w:h="16838" w:code="9"/>
          <w:pgMar w:top="993" w:right="1440" w:bottom="993" w:left="1440" w:header="720" w:footer="720" w:gutter="0"/>
          <w:cols w:space="708"/>
          <w:docGrid w:linePitch="360"/>
        </w:sectPr>
      </w:pPr>
    </w:p>
    <w:p w14:paraId="48EC80A6" w14:textId="77777777" w:rsidR="0002738C" w:rsidRPr="003209AE" w:rsidRDefault="0002738C" w:rsidP="0002738C">
      <w:pPr>
        <w:spacing w:after="120" w:line="276" w:lineRule="auto"/>
        <w:rPr>
          <w:rFonts w:ascii="Times New Roman" w:hAnsi="Times New Roman" w:cs="Times New Roman"/>
          <w:sz w:val="24"/>
          <w:szCs w:val="24"/>
        </w:rPr>
      </w:pPr>
      <w:r w:rsidRPr="003209AE">
        <w:rPr>
          <w:rFonts w:ascii="Times New Roman" w:hAnsi="Times New Roman" w:cs="Times New Roman"/>
          <w:b/>
          <w:sz w:val="24"/>
          <w:szCs w:val="24"/>
        </w:rPr>
        <w:lastRenderedPageBreak/>
        <w:t xml:space="preserve">Table </w:t>
      </w:r>
      <w:r w:rsidR="00D75609" w:rsidRPr="003209AE">
        <w:rPr>
          <w:rFonts w:ascii="Times New Roman" w:hAnsi="Times New Roman" w:cs="Times New Roman"/>
          <w:b/>
          <w:sz w:val="24"/>
          <w:szCs w:val="24"/>
        </w:rPr>
        <w:t>2.</w:t>
      </w:r>
      <w:r w:rsidRPr="003209AE">
        <w:rPr>
          <w:rFonts w:ascii="Times New Roman" w:hAnsi="Times New Roman" w:cs="Times New Roman"/>
          <w:b/>
          <w:sz w:val="24"/>
          <w:szCs w:val="24"/>
        </w:rPr>
        <w:t xml:space="preserve"> Analysis of variance for yield and yield attributing traits in sorghum at </w:t>
      </w:r>
      <w:proofErr w:type="spellStart"/>
      <w:r w:rsidRPr="003209AE">
        <w:rPr>
          <w:rFonts w:ascii="Times New Roman" w:hAnsi="Times New Roman" w:cs="Times New Roman"/>
          <w:b/>
          <w:sz w:val="24"/>
          <w:szCs w:val="24"/>
        </w:rPr>
        <w:t>Nandyal</w:t>
      </w:r>
      <w:proofErr w:type="spellEnd"/>
      <w:r w:rsidRPr="003209AE">
        <w:rPr>
          <w:rFonts w:ascii="Times New Roman" w:hAnsi="Times New Roman" w:cs="Times New Roman"/>
          <w:b/>
          <w:sz w:val="24"/>
          <w:szCs w:val="24"/>
        </w:rPr>
        <w:t xml:space="preserve">, </w:t>
      </w:r>
      <w:proofErr w:type="spellStart"/>
      <w:r w:rsidRPr="003209AE">
        <w:rPr>
          <w:rFonts w:ascii="Times New Roman" w:hAnsi="Times New Roman" w:cs="Times New Roman"/>
          <w:b/>
          <w:sz w:val="24"/>
          <w:szCs w:val="24"/>
        </w:rPr>
        <w:t>Podalakur</w:t>
      </w:r>
      <w:proofErr w:type="spellEnd"/>
      <w:r w:rsidRPr="003209AE">
        <w:rPr>
          <w:rFonts w:ascii="Times New Roman" w:hAnsi="Times New Roman" w:cs="Times New Roman"/>
          <w:b/>
          <w:sz w:val="24"/>
          <w:szCs w:val="24"/>
        </w:rPr>
        <w:t xml:space="preserve"> and Guntur</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929"/>
        <w:gridCol w:w="2248"/>
        <w:gridCol w:w="2547"/>
        <w:gridCol w:w="3002"/>
        <w:gridCol w:w="2327"/>
      </w:tblGrid>
      <w:tr w:rsidR="0002738C" w:rsidRPr="000741BA" w14:paraId="0BB13981" w14:textId="77777777" w:rsidTr="00B22435">
        <w:trPr>
          <w:trHeight w:val="130"/>
        </w:trPr>
        <w:tc>
          <w:tcPr>
            <w:tcW w:w="321" w:type="pct"/>
            <w:vMerge w:val="restart"/>
            <w:noWrap/>
            <w:vAlign w:val="center"/>
            <w:hideMark/>
          </w:tcPr>
          <w:p w14:paraId="34104D2D" w14:textId="77777777" w:rsidR="0002738C" w:rsidRPr="000741BA" w:rsidRDefault="0002738C" w:rsidP="00305505">
            <w:pPr>
              <w:spacing w:after="0" w:line="240" w:lineRule="auto"/>
              <w:ind w:left="-119"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S. No.</w:t>
            </w:r>
          </w:p>
        </w:tc>
        <w:tc>
          <w:tcPr>
            <w:tcW w:w="1050" w:type="pct"/>
            <w:vMerge w:val="restart"/>
            <w:noWrap/>
            <w:vAlign w:val="center"/>
            <w:hideMark/>
          </w:tcPr>
          <w:p w14:paraId="706D8E43" w14:textId="77777777" w:rsidR="0002738C" w:rsidRPr="000741BA" w:rsidRDefault="0002738C" w:rsidP="00305505">
            <w:pPr>
              <w:spacing w:after="0" w:line="240" w:lineRule="auto"/>
              <w:ind w:left="-119" w:right="-150"/>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Character</w:t>
            </w:r>
          </w:p>
        </w:tc>
        <w:tc>
          <w:tcPr>
            <w:tcW w:w="806" w:type="pct"/>
            <w:vMerge w:val="restart"/>
            <w:vAlign w:val="center"/>
            <w:hideMark/>
          </w:tcPr>
          <w:p w14:paraId="35F79527" w14:textId="77777777" w:rsidR="0002738C" w:rsidRPr="000741BA" w:rsidRDefault="0002738C" w:rsidP="00305505">
            <w:pPr>
              <w:spacing w:after="0" w:line="240" w:lineRule="auto"/>
              <w:ind w:left="-119"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Environments</w:t>
            </w:r>
          </w:p>
        </w:tc>
        <w:tc>
          <w:tcPr>
            <w:tcW w:w="2823" w:type="pct"/>
            <w:gridSpan w:val="3"/>
            <w:noWrap/>
            <w:vAlign w:val="center"/>
            <w:hideMark/>
          </w:tcPr>
          <w:p w14:paraId="7621D9E6" w14:textId="77777777" w:rsidR="0002738C" w:rsidRPr="000741BA" w:rsidRDefault="0002738C" w:rsidP="00305505">
            <w:pPr>
              <w:spacing w:after="0" w:line="240" w:lineRule="auto"/>
              <w:ind w:left="-119"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Source of Variation</w:t>
            </w:r>
          </w:p>
        </w:tc>
      </w:tr>
      <w:tr w:rsidR="0002738C" w:rsidRPr="000741BA" w14:paraId="14983E65" w14:textId="77777777" w:rsidTr="00B22435">
        <w:trPr>
          <w:trHeight w:val="20"/>
        </w:trPr>
        <w:tc>
          <w:tcPr>
            <w:tcW w:w="321" w:type="pct"/>
            <w:vMerge/>
            <w:vAlign w:val="center"/>
            <w:hideMark/>
          </w:tcPr>
          <w:p w14:paraId="28F7C189" w14:textId="77777777" w:rsidR="0002738C" w:rsidRPr="000741BA" w:rsidRDefault="0002738C" w:rsidP="00305505">
            <w:pPr>
              <w:spacing w:after="0" w:line="240" w:lineRule="auto"/>
              <w:ind w:left="-119" w:right="-75"/>
              <w:rPr>
                <w:rFonts w:ascii="Times New Roman" w:eastAsia="Times New Roman" w:hAnsi="Times New Roman" w:cs="Times New Roman"/>
                <w:b/>
                <w:bCs/>
                <w:sz w:val="24"/>
                <w:szCs w:val="24"/>
              </w:rPr>
            </w:pPr>
          </w:p>
        </w:tc>
        <w:tc>
          <w:tcPr>
            <w:tcW w:w="1050" w:type="pct"/>
            <w:vMerge/>
            <w:vAlign w:val="center"/>
            <w:hideMark/>
          </w:tcPr>
          <w:p w14:paraId="43C87D09" w14:textId="77777777" w:rsidR="0002738C" w:rsidRPr="000741BA" w:rsidRDefault="0002738C" w:rsidP="00305505">
            <w:pPr>
              <w:spacing w:after="0" w:line="240" w:lineRule="auto"/>
              <w:ind w:left="-119" w:right="-150"/>
              <w:rPr>
                <w:rFonts w:ascii="Times New Roman" w:eastAsia="Times New Roman" w:hAnsi="Times New Roman" w:cs="Times New Roman"/>
                <w:b/>
                <w:bCs/>
                <w:sz w:val="24"/>
                <w:szCs w:val="24"/>
              </w:rPr>
            </w:pPr>
          </w:p>
        </w:tc>
        <w:tc>
          <w:tcPr>
            <w:tcW w:w="806" w:type="pct"/>
            <w:vMerge/>
            <w:vAlign w:val="center"/>
            <w:hideMark/>
          </w:tcPr>
          <w:p w14:paraId="7D719B0E" w14:textId="77777777" w:rsidR="0002738C" w:rsidRPr="000741BA" w:rsidRDefault="0002738C" w:rsidP="00305505">
            <w:pPr>
              <w:spacing w:after="0" w:line="240" w:lineRule="auto"/>
              <w:ind w:left="-119" w:right="-75"/>
              <w:jc w:val="center"/>
              <w:rPr>
                <w:rFonts w:ascii="Times New Roman" w:eastAsia="Times New Roman" w:hAnsi="Times New Roman" w:cs="Times New Roman"/>
                <w:b/>
                <w:bCs/>
                <w:sz w:val="24"/>
                <w:szCs w:val="24"/>
              </w:rPr>
            </w:pPr>
          </w:p>
        </w:tc>
        <w:tc>
          <w:tcPr>
            <w:tcW w:w="913" w:type="pct"/>
            <w:vAlign w:val="center"/>
            <w:hideMark/>
          </w:tcPr>
          <w:p w14:paraId="0A5671A8" w14:textId="77777777" w:rsidR="0002738C" w:rsidRPr="000741BA" w:rsidRDefault="0002738C" w:rsidP="00305505">
            <w:pPr>
              <w:spacing w:after="0" w:line="240" w:lineRule="auto"/>
              <w:ind w:left="-119"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Replications </w:t>
            </w:r>
          </w:p>
        </w:tc>
        <w:tc>
          <w:tcPr>
            <w:tcW w:w="1076" w:type="pct"/>
            <w:vAlign w:val="center"/>
            <w:hideMark/>
          </w:tcPr>
          <w:p w14:paraId="31530064" w14:textId="77777777" w:rsidR="0002738C" w:rsidRPr="000741BA" w:rsidRDefault="0002738C" w:rsidP="00305505">
            <w:pPr>
              <w:spacing w:after="0" w:line="240" w:lineRule="auto"/>
              <w:ind w:left="-119"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Treatments </w:t>
            </w:r>
          </w:p>
        </w:tc>
        <w:tc>
          <w:tcPr>
            <w:tcW w:w="834" w:type="pct"/>
            <w:vAlign w:val="center"/>
            <w:hideMark/>
          </w:tcPr>
          <w:p w14:paraId="5842C54F" w14:textId="77777777" w:rsidR="0002738C" w:rsidRPr="000741BA" w:rsidRDefault="0002738C" w:rsidP="00305505">
            <w:pPr>
              <w:spacing w:after="0" w:line="240" w:lineRule="auto"/>
              <w:ind w:left="-119"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Error </w:t>
            </w:r>
          </w:p>
        </w:tc>
      </w:tr>
      <w:tr w:rsidR="0002738C" w:rsidRPr="000741BA" w14:paraId="1514DBF6" w14:textId="77777777" w:rsidTr="00B22435">
        <w:trPr>
          <w:trHeight w:val="288"/>
        </w:trPr>
        <w:tc>
          <w:tcPr>
            <w:tcW w:w="321" w:type="pct"/>
            <w:vMerge/>
            <w:vAlign w:val="center"/>
          </w:tcPr>
          <w:p w14:paraId="2F9E623D" w14:textId="77777777" w:rsidR="0002738C" w:rsidRPr="000741BA" w:rsidRDefault="0002738C" w:rsidP="00305505">
            <w:pPr>
              <w:spacing w:after="0" w:line="240" w:lineRule="auto"/>
              <w:ind w:left="-120" w:right="-75"/>
              <w:rPr>
                <w:rFonts w:ascii="Times New Roman" w:eastAsia="Times New Roman" w:hAnsi="Times New Roman" w:cs="Times New Roman"/>
                <w:b/>
                <w:bCs/>
                <w:sz w:val="24"/>
                <w:szCs w:val="24"/>
              </w:rPr>
            </w:pPr>
          </w:p>
        </w:tc>
        <w:tc>
          <w:tcPr>
            <w:tcW w:w="1050" w:type="pct"/>
            <w:vMerge/>
            <w:vAlign w:val="center"/>
          </w:tcPr>
          <w:p w14:paraId="6A2B84D1" w14:textId="77777777" w:rsidR="0002738C" w:rsidRPr="000741BA" w:rsidRDefault="0002738C" w:rsidP="00305505">
            <w:pPr>
              <w:spacing w:after="0" w:line="240" w:lineRule="auto"/>
              <w:ind w:left="-120" w:right="-150"/>
              <w:rPr>
                <w:rFonts w:ascii="Times New Roman" w:eastAsia="Times New Roman" w:hAnsi="Times New Roman" w:cs="Times New Roman"/>
                <w:b/>
                <w:bCs/>
                <w:sz w:val="24"/>
                <w:szCs w:val="24"/>
              </w:rPr>
            </w:pPr>
          </w:p>
        </w:tc>
        <w:tc>
          <w:tcPr>
            <w:tcW w:w="806" w:type="pct"/>
            <w:vAlign w:val="center"/>
          </w:tcPr>
          <w:p w14:paraId="22932AC8"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proofErr w:type="spellStart"/>
            <w:r w:rsidRPr="000741BA">
              <w:rPr>
                <w:rFonts w:ascii="Times New Roman" w:eastAsia="Times New Roman" w:hAnsi="Times New Roman" w:cs="Times New Roman"/>
                <w:b/>
                <w:bCs/>
                <w:sz w:val="24"/>
                <w:szCs w:val="24"/>
              </w:rPr>
              <w:t>df</w:t>
            </w:r>
            <w:proofErr w:type="spellEnd"/>
          </w:p>
        </w:tc>
        <w:tc>
          <w:tcPr>
            <w:tcW w:w="913" w:type="pct"/>
            <w:vAlign w:val="center"/>
          </w:tcPr>
          <w:p w14:paraId="02DD00DE"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1</w:t>
            </w:r>
          </w:p>
        </w:tc>
        <w:tc>
          <w:tcPr>
            <w:tcW w:w="1076" w:type="pct"/>
            <w:vAlign w:val="center"/>
          </w:tcPr>
          <w:p w14:paraId="7376FFB0"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26</w:t>
            </w:r>
          </w:p>
        </w:tc>
        <w:tc>
          <w:tcPr>
            <w:tcW w:w="834" w:type="pct"/>
            <w:vAlign w:val="center"/>
          </w:tcPr>
          <w:p w14:paraId="373C083D"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26</w:t>
            </w:r>
          </w:p>
        </w:tc>
      </w:tr>
      <w:tr w:rsidR="0002738C" w:rsidRPr="000741BA" w14:paraId="2BB2F19A" w14:textId="77777777" w:rsidTr="00B22435">
        <w:trPr>
          <w:trHeight w:val="20"/>
        </w:trPr>
        <w:tc>
          <w:tcPr>
            <w:tcW w:w="321" w:type="pct"/>
            <w:vMerge w:val="restart"/>
            <w:noWrap/>
            <w:vAlign w:val="center"/>
            <w:hideMark/>
          </w:tcPr>
          <w:p w14:paraId="5C473100"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w:t>
            </w:r>
          </w:p>
        </w:tc>
        <w:tc>
          <w:tcPr>
            <w:tcW w:w="1050" w:type="pct"/>
            <w:vMerge w:val="restart"/>
            <w:noWrap/>
            <w:vAlign w:val="center"/>
            <w:hideMark/>
          </w:tcPr>
          <w:p w14:paraId="322FB587"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Plant height </w:t>
            </w:r>
            <w:r w:rsidRPr="000741BA">
              <w:rPr>
                <w:rFonts w:ascii="Times New Roman" w:hAnsi="Times New Roman" w:cs="Times New Roman"/>
                <w:sz w:val="24"/>
                <w:szCs w:val="24"/>
              </w:rPr>
              <w:t>(cm)</w:t>
            </w:r>
          </w:p>
        </w:tc>
        <w:tc>
          <w:tcPr>
            <w:tcW w:w="806" w:type="pct"/>
            <w:noWrap/>
            <w:vAlign w:val="center"/>
            <w:hideMark/>
          </w:tcPr>
          <w:p w14:paraId="6B53BE6D"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w:t>
            </w:r>
          </w:p>
        </w:tc>
        <w:tc>
          <w:tcPr>
            <w:tcW w:w="913" w:type="pct"/>
            <w:noWrap/>
            <w:vAlign w:val="center"/>
            <w:hideMark/>
          </w:tcPr>
          <w:p w14:paraId="06BD5942"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4.61</w:t>
            </w:r>
          </w:p>
        </w:tc>
        <w:tc>
          <w:tcPr>
            <w:tcW w:w="1076" w:type="pct"/>
            <w:noWrap/>
            <w:vAlign w:val="center"/>
            <w:hideMark/>
          </w:tcPr>
          <w:p w14:paraId="2915DD9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841.46**</w:t>
            </w:r>
          </w:p>
        </w:tc>
        <w:tc>
          <w:tcPr>
            <w:tcW w:w="834" w:type="pct"/>
            <w:noWrap/>
            <w:vAlign w:val="center"/>
            <w:hideMark/>
          </w:tcPr>
          <w:p w14:paraId="46E3C96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102.19</w:t>
            </w:r>
          </w:p>
        </w:tc>
      </w:tr>
      <w:tr w:rsidR="0002738C" w:rsidRPr="000741BA" w14:paraId="5A33832F" w14:textId="77777777" w:rsidTr="00B22435">
        <w:trPr>
          <w:trHeight w:val="20"/>
        </w:trPr>
        <w:tc>
          <w:tcPr>
            <w:tcW w:w="321" w:type="pct"/>
            <w:vMerge/>
            <w:vAlign w:val="center"/>
            <w:hideMark/>
          </w:tcPr>
          <w:p w14:paraId="0AEB71B9"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05767258"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2C0D4CEC"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P</w:t>
            </w:r>
          </w:p>
        </w:tc>
        <w:tc>
          <w:tcPr>
            <w:tcW w:w="913" w:type="pct"/>
            <w:noWrap/>
            <w:vAlign w:val="center"/>
            <w:hideMark/>
          </w:tcPr>
          <w:p w14:paraId="154CC0F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67.92</w:t>
            </w:r>
          </w:p>
        </w:tc>
        <w:tc>
          <w:tcPr>
            <w:tcW w:w="1076" w:type="pct"/>
            <w:noWrap/>
            <w:vAlign w:val="center"/>
            <w:hideMark/>
          </w:tcPr>
          <w:p w14:paraId="3C94A026"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752.83**</w:t>
            </w:r>
          </w:p>
        </w:tc>
        <w:tc>
          <w:tcPr>
            <w:tcW w:w="834" w:type="pct"/>
            <w:noWrap/>
            <w:vAlign w:val="center"/>
            <w:hideMark/>
          </w:tcPr>
          <w:p w14:paraId="2CD09D69"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135.51</w:t>
            </w:r>
          </w:p>
        </w:tc>
      </w:tr>
      <w:tr w:rsidR="0002738C" w:rsidRPr="000741BA" w14:paraId="3219FB92" w14:textId="77777777" w:rsidTr="00B22435">
        <w:trPr>
          <w:trHeight w:val="20"/>
        </w:trPr>
        <w:tc>
          <w:tcPr>
            <w:tcW w:w="321" w:type="pct"/>
            <w:vMerge/>
            <w:vAlign w:val="center"/>
            <w:hideMark/>
          </w:tcPr>
          <w:p w14:paraId="053C8B34"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7EB4F74B"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7F7FFB4B"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G</w:t>
            </w:r>
          </w:p>
        </w:tc>
        <w:tc>
          <w:tcPr>
            <w:tcW w:w="913" w:type="pct"/>
            <w:noWrap/>
            <w:vAlign w:val="center"/>
            <w:hideMark/>
          </w:tcPr>
          <w:p w14:paraId="6BD8609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0.65</w:t>
            </w:r>
          </w:p>
        </w:tc>
        <w:tc>
          <w:tcPr>
            <w:tcW w:w="1076" w:type="pct"/>
            <w:noWrap/>
            <w:vAlign w:val="center"/>
            <w:hideMark/>
          </w:tcPr>
          <w:p w14:paraId="66FF1DF5"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685.91**</w:t>
            </w:r>
          </w:p>
        </w:tc>
        <w:tc>
          <w:tcPr>
            <w:tcW w:w="834" w:type="pct"/>
            <w:noWrap/>
            <w:vAlign w:val="center"/>
            <w:hideMark/>
          </w:tcPr>
          <w:p w14:paraId="642D1F6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128.67</w:t>
            </w:r>
          </w:p>
        </w:tc>
      </w:tr>
      <w:tr w:rsidR="0002738C" w:rsidRPr="000741BA" w14:paraId="2B28B24F" w14:textId="77777777" w:rsidTr="00B22435">
        <w:trPr>
          <w:trHeight w:val="20"/>
        </w:trPr>
        <w:tc>
          <w:tcPr>
            <w:tcW w:w="321" w:type="pct"/>
            <w:vMerge w:val="restart"/>
            <w:noWrap/>
            <w:vAlign w:val="center"/>
            <w:hideMark/>
          </w:tcPr>
          <w:p w14:paraId="29D4EB61"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w:t>
            </w:r>
          </w:p>
        </w:tc>
        <w:tc>
          <w:tcPr>
            <w:tcW w:w="1050" w:type="pct"/>
            <w:vMerge w:val="restart"/>
            <w:noWrap/>
            <w:vAlign w:val="center"/>
            <w:hideMark/>
          </w:tcPr>
          <w:p w14:paraId="6856ABD2"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Panicle length </w:t>
            </w:r>
            <w:r w:rsidRPr="000741BA">
              <w:rPr>
                <w:rFonts w:ascii="Times New Roman" w:hAnsi="Times New Roman" w:cs="Times New Roman"/>
                <w:sz w:val="24"/>
                <w:szCs w:val="24"/>
              </w:rPr>
              <w:t>(cm)</w:t>
            </w:r>
          </w:p>
        </w:tc>
        <w:tc>
          <w:tcPr>
            <w:tcW w:w="806" w:type="pct"/>
            <w:noWrap/>
            <w:vAlign w:val="center"/>
            <w:hideMark/>
          </w:tcPr>
          <w:p w14:paraId="600A9158"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w:t>
            </w:r>
          </w:p>
        </w:tc>
        <w:tc>
          <w:tcPr>
            <w:tcW w:w="913" w:type="pct"/>
            <w:noWrap/>
            <w:vAlign w:val="center"/>
            <w:hideMark/>
          </w:tcPr>
          <w:p w14:paraId="1076D90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2.61</w:t>
            </w:r>
          </w:p>
        </w:tc>
        <w:tc>
          <w:tcPr>
            <w:tcW w:w="1076" w:type="pct"/>
            <w:noWrap/>
            <w:vAlign w:val="center"/>
            <w:hideMark/>
          </w:tcPr>
          <w:p w14:paraId="3A7199C5"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5.05**</w:t>
            </w:r>
          </w:p>
        </w:tc>
        <w:tc>
          <w:tcPr>
            <w:tcW w:w="834" w:type="pct"/>
            <w:noWrap/>
            <w:vAlign w:val="center"/>
            <w:hideMark/>
          </w:tcPr>
          <w:p w14:paraId="3324F06F"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1.56</w:t>
            </w:r>
          </w:p>
        </w:tc>
      </w:tr>
      <w:tr w:rsidR="0002738C" w:rsidRPr="000741BA" w14:paraId="4B6CA68C" w14:textId="77777777" w:rsidTr="00B22435">
        <w:trPr>
          <w:trHeight w:val="20"/>
        </w:trPr>
        <w:tc>
          <w:tcPr>
            <w:tcW w:w="321" w:type="pct"/>
            <w:vMerge/>
            <w:vAlign w:val="center"/>
            <w:hideMark/>
          </w:tcPr>
          <w:p w14:paraId="534D4E5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57C2A6E2"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6189190C"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P</w:t>
            </w:r>
          </w:p>
        </w:tc>
        <w:tc>
          <w:tcPr>
            <w:tcW w:w="913" w:type="pct"/>
            <w:noWrap/>
            <w:vAlign w:val="center"/>
            <w:hideMark/>
          </w:tcPr>
          <w:p w14:paraId="6392BF3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0.32</w:t>
            </w:r>
          </w:p>
        </w:tc>
        <w:tc>
          <w:tcPr>
            <w:tcW w:w="1076" w:type="pct"/>
            <w:noWrap/>
            <w:vAlign w:val="center"/>
            <w:hideMark/>
          </w:tcPr>
          <w:p w14:paraId="0FBF9E38"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5.57**</w:t>
            </w:r>
          </w:p>
        </w:tc>
        <w:tc>
          <w:tcPr>
            <w:tcW w:w="834" w:type="pct"/>
            <w:noWrap/>
            <w:vAlign w:val="center"/>
            <w:hideMark/>
          </w:tcPr>
          <w:p w14:paraId="4525850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0.77</w:t>
            </w:r>
          </w:p>
        </w:tc>
      </w:tr>
      <w:tr w:rsidR="0002738C" w:rsidRPr="000741BA" w14:paraId="382D15DE" w14:textId="77777777" w:rsidTr="00B22435">
        <w:trPr>
          <w:trHeight w:val="20"/>
        </w:trPr>
        <w:tc>
          <w:tcPr>
            <w:tcW w:w="321" w:type="pct"/>
            <w:vMerge/>
            <w:vAlign w:val="center"/>
            <w:hideMark/>
          </w:tcPr>
          <w:p w14:paraId="223E164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42E8D42B"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79204890"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G</w:t>
            </w:r>
          </w:p>
        </w:tc>
        <w:tc>
          <w:tcPr>
            <w:tcW w:w="913" w:type="pct"/>
            <w:noWrap/>
            <w:vAlign w:val="center"/>
            <w:hideMark/>
          </w:tcPr>
          <w:p w14:paraId="668CBF6F"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8.50</w:t>
            </w:r>
          </w:p>
        </w:tc>
        <w:tc>
          <w:tcPr>
            <w:tcW w:w="1076" w:type="pct"/>
            <w:noWrap/>
            <w:vAlign w:val="center"/>
            <w:hideMark/>
          </w:tcPr>
          <w:p w14:paraId="409900B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4.63**</w:t>
            </w:r>
          </w:p>
        </w:tc>
        <w:tc>
          <w:tcPr>
            <w:tcW w:w="834" w:type="pct"/>
            <w:noWrap/>
            <w:vAlign w:val="center"/>
            <w:hideMark/>
          </w:tcPr>
          <w:p w14:paraId="48BDE5F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1.15</w:t>
            </w:r>
          </w:p>
        </w:tc>
      </w:tr>
      <w:tr w:rsidR="0002738C" w:rsidRPr="000741BA" w14:paraId="7C815B00" w14:textId="77777777" w:rsidTr="00B22435">
        <w:trPr>
          <w:trHeight w:val="20"/>
        </w:trPr>
        <w:tc>
          <w:tcPr>
            <w:tcW w:w="321" w:type="pct"/>
            <w:vMerge w:val="restart"/>
            <w:noWrap/>
            <w:vAlign w:val="center"/>
            <w:hideMark/>
          </w:tcPr>
          <w:p w14:paraId="34ACC24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w:t>
            </w:r>
          </w:p>
        </w:tc>
        <w:tc>
          <w:tcPr>
            <w:tcW w:w="1050" w:type="pct"/>
            <w:vMerge w:val="restart"/>
            <w:noWrap/>
            <w:vAlign w:val="center"/>
            <w:hideMark/>
          </w:tcPr>
          <w:p w14:paraId="62A54B4C"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Days to 50% flowering</w:t>
            </w:r>
          </w:p>
        </w:tc>
        <w:tc>
          <w:tcPr>
            <w:tcW w:w="806" w:type="pct"/>
            <w:noWrap/>
            <w:vAlign w:val="center"/>
            <w:hideMark/>
          </w:tcPr>
          <w:p w14:paraId="7A467CF8"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w:t>
            </w:r>
          </w:p>
        </w:tc>
        <w:tc>
          <w:tcPr>
            <w:tcW w:w="913" w:type="pct"/>
            <w:noWrap/>
            <w:vAlign w:val="center"/>
            <w:hideMark/>
          </w:tcPr>
          <w:p w14:paraId="7D35388A"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105.14</w:t>
            </w:r>
          </w:p>
        </w:tc>
        <w:tc>
          <w:tcPr>
            <w:tcW w:w="1076" w:type="pct"/>
            <w:noWrap/>
            <w:vAlign w:val="center"/>
            <w:hideMark/>
          </w:tcPr>
          <w:p w14:paraId="7DC70F79"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2.88*</w:t>
            </w:r>
          </w:p>
        </w:tc>
        <w:tc>
          <w:tcPr>
            <w:tcW w:w="834" w:type="pct"/>
            <w:noWrap/>
            <w:vAlign w:val="center"/>
            <w:hideMark/>
          </w:tcPr>
          <w:p w14:paraId="58A99336"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1.25</w:t>
            </w:r>
          </w:p>
        </w:tc>
      </w:tr>
      <w:tr w:rsidR="0002738C" w:rsidRPr="000741BA" w14:paraId="6A6D8163" w14:textId="77777777" w:rsidTr="00B22435">
        <w:trPr>
          <w:trHeight w:val="20"/>
        </w:trPr>
        <w:tc>
          <w:tcPr>
            <w:tcW w:w="321" w:type="pct"/>
            <w:vMerge/>
            <w:vAlign w:val="center"/>
            <w:hideMark/>
          </w:tcPr>
          <w:p w14:paraId="098D0DC8"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03567206"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266104C8"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P</w:t>
            </w:r>
          </w:p>
        </w:tc>
        <w:tc>
          <w:tcPr>
            <w:tcW w:w="913" w:type="pct"/>
            <w:noWrap/>
            <w:vAlign w:val="center"/>
            <w:hideMark/>
          </w:tcPr>
          <w:p w14:paraId="730133C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0.08</w:t>
            </w:r>
          </w:p>
        </w:tc>
        <w:tc>
          <w:tcPr>
            <w:tcW w:w="1076" w:type="pct"/>
            <w:noWrap/>
            <w:vAlign w:val="center"/>
            <w:hideMark/>
          </w:tcPr>
          <w:p w14:paraId="102BA825"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3.66*</w:t>
            </w:r>
          </w:p>
        </w:tc>
        <w:tc>
          <w:tcPr>
            <w:tcW w:w="834" w:type="pct"/>
            <w:noWrap/>
            <w:vAlign w:val="center"/>
            <w:hideMark/>
          </w:tcPr>
          <w:p w14:paraId="75DE40EC"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1.53</w:t>
            </w:r>
          </w:p>
        </w:tc>
      </w:tr>
      <w:tr w:rsidR="0002738C" w:rsidRPr="000741BA" w14:paraId="108336A6" w14:textId="77777777" w:rsidTr="00B22435">
        <w:trPr>
          <w:trHeight w:val="20"/>
        </w:trPr>
        <w:tc>
          <w:tcPr>
            <w:tcW w:w="321" w:type="pct"/>
            <w:vMerge/>
            <w:vAlign w:val="center"/>
            <w:hideMark/>
          </w:tcPr>
          <w:p w14:paraId="0609A349"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3AC9E5B6"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6E7E47D0"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G</w:t>
            </w:r>
          </w:p>
        </w:tc>
        <w:tc>
          <w:tcPr>
            <w:tcW w:w="913" w:type="pct"/>
            <w:noWrap/>
            <w:vAlign w:val="center"/>
            <w:hideMark/>
          </w:tcPr>
          <w:p w14:paraId="7D95E87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1.22</w:t>
            </w:r>
          </w:p>
        </w:tc>
        <w:tc>
          <w:tcPr>
            <w:tcW w:w="1076" w:type="pct"/>
            <w:noWrap/>
            <w:vAlign w:val="center"/>
            <w:hideMark/>
          </w:tcPr>
          <w:p w14:paraId="7B03879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2.73</w:t>
            </w:r>
          </w:p>
        </w:tc>
        <w:tc>
          <w:tcPr>
            <w:tcW w:w="834" w:type="pct"/>
            <w:noWrap/>
            <w:vAlign w:val="center"/>
            <w:hideMark/>
          </w:tcPr>
          <w:p w14:paraId="5174FFB9"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2.95</w:t>
            </w:r>
          </w:p>
        </w:tc>
      </w:tr>
      <w:tr w:rsidR="0002738C" w:rsidRPr="000741BA" w14:paraId="7CDECEC6" w14:textId="77777777" w:rsidTr="00B22435">
        <w:trPr>
          <w:trHeight w:val="20"/>
        </w:trPr>
        <w:tc>
          <w:tcPr>
            <w:tcW w:w="321" w:type="pct"/>
            <w:vMerge w:val="restart"/>
            <w:noWrap/>
            <w:vAlign w:val="center"/>
            <w:hideMark/>
          </w:tcPr>
          <w:p w14:paraId="14D43B00"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w:t>
            </w:r>
          </w:p>
        </w:tc>
        <w:tc>
          <w:tcPr>
            <w:tcW w:w="1050" w:type="pct"/>
            <w:vMerge w:val="restart"/>
            <w:noWrap/>
            <w:vAlign w:val="center"/>
            <w:hideMark/>
          </w:tcPr>
          <w:p w14:paraId="2CE8276C"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Days to maturity</w:t>
            </w:r>
          </w:p>
        </w:tc>
        <w:tc>
          <w:tcPr>
            <w:tcW w:w="806" w:type="pct"/>
            <w:noWrap/>
            <w:vAlign w:val="center"/>
            <w:hideMark/>
          </w:tcPr>
          <w:p w14:paraId="613D2B74"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w:t>
            </w:r>
          </w:p>
        </w:tc>
        <w:tc>
          <w:tcPr>
            <w:tcW w:w="913" w:type="pct"/>
            <w:noWrap/>
            <w:vAlign w:val="center"/>
            <w:hideMark/>
          </w:tcPr>
          <w:p w14:paraId="02B8FD7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8.20</w:t>
            </w:r>
          </w:p>
        </w:tc>
        <w:tc>
          <w:tcPr>
            <w:tcW w:w="1076" w:type="pct"/>
            <w:noWrap/>
            <w:vAlign w:val="center"/>
            <w:hideMark/>
          </w:tcPr>
          <w:p w14:paraId="0DDFE55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6.25*</w:t>
            </w:r>
          </w:p>
        </w:tc>
        <w:tc>
          <w:tcPr>
            <w:tcW w:w="834" w:type="pct"/>
            <w:noWrap/>
            <w:vAlign w:val="center"/>
            <w:hideMark/>
          </w:tcPr>
          <w:p w14:paraId="616F10A7"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2.58</w:t>
            </w:r>
          </w:p>
        </w:tc>
      </w:tr>
      <w:tr w:rsidR="0002738C" w:rsidRPr="000741BA" w14:paraId="693630D0" w14:textId="77777777" w:rsidTr="00B22435">
        <w:trPr>
          <w:trHeight w:val="20"/>
        </w:trPr>
        <w:tc>
          <w:tcPr>
            <w:tcW w:w="321" w:type="pct"/>
            <w:vMerge/>
            <w:vAlign w:val="center"/>
            <w:hideMark/>
          </w:tcPr>
          <w:p w14:paraId="0AAF88A8"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0B1A38ED"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08068FCD"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P</w:t>
            </w:r>
          </w:p>
        </w:tc>
        <w:tc>
          <w:tcPr>
            <w:tcW w:w="913" w:type="pct"/>
            <w:noWrap/>
            <w:vAlign w:val="center"/>
            <w:hideMark/>
          </w:tcPr>
          <w:p w14:paraId="7EC76BAF"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4.44</w:t>
            </w:r>
          </w:p>
        </w:tc>
        <w:tc>
          <w:tcPr>
            <w:tcW w:w="1076" w:type="pct"/>
            <w:noWrap/>
            <w:vAlign w:val="center"/>
            <w:hideMark/>
          </w:tcPr>
          <w:p w14:paraId="437B0BF7"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5.22</w:t>
            </w:r>
          </w:p>
        </w:tc>
        <w:tc>
          <w:tcPr>
            <w:tcW w:w="834" w:type="pct"/>
            <w:noWrap/>
            <w:vAlign w:val="center"/>
            <w:hideMark/>
          </w:tcPr>
          <w:p w14:paraId="6286D214"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4.38</w:t>
            </w:r>
          </w:p>
        </w:tc>
      </w:tr>
      <w:tr w:rsidR="0002738C" w:rsidRPr="000741BA" w14:paraId="3C3750D4" w14:textId="77777777" w:rsidTr="00B22435">
        <w:trPr>
          <w:trHeight w:val="20"/>
        </w:trPr>
        <w:tc>
          <w:tcPr>
            <w:tcW w:w="321" w:type="pct"/>
            <w:vMerge/>
            <w:vAlign w:val="center"/>
            <w:hideMark/>
          </w:tcPr>
          <w:p w14:paraId="5EFB9CD0"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75BBBE10"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3E77583C"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G</w:t>
            </w:r>
          </w:p>
        </w:tc>
        <w:tc>
          <w:tcPr>
            <w:tcW w:w="913" w:type="pct"/>
            <w:noWrap/>
            <w:vAlign w:val="center"/>
            <w:hideMark/>
          </w:tcPr>
          <w:p w14:paraId="0380C959"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0.59</w:t>
            </w:r>
          </w:p>
        </w:tc>
        <w:tc>
          <w:tcPr>
            <w:tcW w:w="1076" w:type="pct"/>
            <w:noWrap/>
            <w:vAlign w:val="center"/>
            <w:hideMark/>
          </w:tcPr>
          <w:p w14:paraId="7EB8FCBF"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5.44</w:t>
            </w:r>
          </w:p>
        </w:tc>
        <w:tc>
          <w:tcPr>
            <w:tcW w:w="834" w:type="pct"/>
            <w:noWrap/>
            <w:vAlign w:val="center"/>
            <w:hideMark/>
          </w:tcPr>
          <w:p w14:paraId="19C52C0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4.62</w:t>
            </w:r>
          </w:p>
        </w:tc>
      </w:tr>
      <w:tr w:rsidR="0002738C" w:rsidRPr="000741BA" w14:paraId="4D8EA619" w14:textId="77777777" w:rsidTr="00B22435">
        <w:trPr>
          <w:trHeight w:val="20"/>
        </w:trPr>
        <w:tc>
          <w:tcPr>
            <w:tcW w:w="321" w:type="pct"/>
            <w:vMerge w:val="restart"/>
            <w:noWrap/>
            <w:vAlign w:val="center"/>
            <w:hideMark/>
          </w:tcPr>
          <w:p w14:paraId="31249CA6"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w:t>
            </w:r>
          </w:p>
        </w:tc>
        <w:tc>
          <w:tcPr>
            <w:tcW w:w="1050" w:type="pct"/>
            <w:vMerge w:val="restart"/>
            <w:noWrap/>
            <w:vAlign w:val="center"/>
            <w:hideMark/>
          </w:tcPr>
          <w:p w14:paraId="649A58A8"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100 grain weight (g)</w:t>
            </w:r>
          </w:p>
        </w:tc>
        <w:tc>
          <w:tcPr>
            <w:tcW w:w="806" w:type="pct"/>
            <w:noWrap/>
            <w:vAlign w:val="center"/>
            <w:hideMark/>
          </w:tcPr>
          <w:p w14:paraId="10480265"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w:t>
            </w:r>
          </w:p>
        </w:tc>
        <w:tc>
          <w:tcPr>
            <w:tcW w:w="913" w:type="pct"/>
            <w:noWrap/>
            <w:vAlign w:val="center"/>
            <w:hideMark/>
          </w:tcPr>
          <w:p w14:paraId="35909C9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0.00</w:t>
            </w:r>
          </w:p>
        </w:tc>
        <w:tc>
          <w:tcPr>
            <w:tcW w:w="1076" w:type="pct"/>
            <w:noWrap/>
            <w:vAlign w:val="center"/>
            <w:hideMark/>
          </w:tcPr>
          <w:p w14:paraId="07D4BDD4"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0.20**</w:t>
            </w:r>
          </w:p>
        </w:tc>
        <w:tc>
          <w:tcPr>
            <w:tcW w:w="834" w:type="pct"/>
            <w:noWrap/>
            <w:vAlign w:val="center"/>
            <w:hideMark/>
          </w:tcPr>
          <w:p w14:paraId="0783277D"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0.02</w:t>
            </w:r>
          </w:p>
        </w:tc>
      </w:tr>
      <w:tr w:rsidR="0002738C" w:rsidRPr="000741BA" w14:paraId="52ED0470" w14:textId="77777777" w:rsidTr="00B22435">
        <w:trPr>
          <w:trHeight w:val="20"/>
        </w:trPr>
        <w:tc>
          <w:tcPr>
            <w:tcW w:w="321" w:type="pct"/>
            <w:vMerge/>
            <w:vAlign w:val="center"/>
            <w:hideMark/>
          </w:tcPr>
          <w:p w14:paraId="7486F60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789A6347"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55DFA615"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P</w:t>
            </w:r>
          </w:p>
        </w:tc>
        <w:tc>
          <w:tcPr>
            <w:tcW w:w="913" w:type="pct"/>
            <w:noWrap/>
            <w:vAlign w:val="center"/>
            <w:hideMark/>
          </w:tcPr>
          <w:p w14:paraId="7FF3673D"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0.01</w:t>
            </w:r>
          </w:p>
        </w:tc>
        <w:tc>
          <w:tcPr>
            <w:tcW w:w="1076" w:type="pct"/>
            <w:noWrap/>
            <w:vAlign w:val="center"/>
            <w:hideMark/>
          </w:tcPr>
          <w:p w14:paraId="37CC99C7"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0.19**</w:t>
            </w:r>
          </w:p>
        </w:tc>
        <w:tc>
          <w:tcPr>
            <w:tcW w:w="834" w:type="pct"/>
            <w:noWrap/>
            <w:vAlign w:val="center"/>
            <w:hideMark/>
          </w:tcPr>
          <w:p w14:paraId="3F3442A2"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0.02</w:t>
            </w:r>
          </w:p>
        </w:tc>
      </w:tr>
      <w:tr w:rsidR="0002738C" w:rsidRPr="000741BA" w14:paraId="723CAEF7" w14:textId="77777777" w:rsidTr="00B22435">
        <w:trPr>
          <w:trHeight w:val="20"/>
        </w:trPr>
        <w:tc>
          <w:tcPr>
            <w:tcW w:w="321" w:type="pct"/>
            <w:vMerge/>
            <w:vAlign w:val="center"/>
            <w:hideMark/>
          </w:tcPr>
          <w:p w14:paraId="69D01061"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6E115551"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2A02FCD6"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G</w:t>
            </w:r>
          </w:p>
        </w:tc>
        <w:tc>
          <w:tcPr>
            <w:tcW w:w="913" w:type="pct"/>
            <w:noWrap/>
            <w:vAlign w:val="center"/>
            <w:hideMark/>
          </w:tcPr>
          <w:p w14:paraId="4FAA73AF"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0.00</w:t>
            </w:r>
          </w:p>
        </w:tc>
        <w:tc>
          <w:tcPr>
            <w:tcW w:w="1076" w:type="pct"/>
            <w:noWrap/>
            <w:vAlign w:val="center"/>
            <w:hideMark/>
          </w:tcPr>
          <w:p w14:paraId="5924E786"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0.15**</w:t>
            </w:r>
          </w:p>
        </w:tc>
        <w:tc>
          <w:tcPr>
            <w:tcW w:w="834" w:type="pct"/>
            <w:noWrap/>
            <w:vAlign w:val="center"/>
            <w:hideMark/>
          </w:tcPr>
          <w:p w14:paraId="77D2EF8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0.02</w:t>
            </w:r>
          </w:p>
        </w:tc>
      </w:tr>
      <w:tr w:rsidR="0002738C" w:rsidRPr="000741BA" w14:paraId="2E80F48A" w14:textId="77777777" w:rsidTr="00B22435">
        <w:trPr>
          <w:trHeight w:val="20"/>
        </w:trPr>
        <w:tc>
          <w:tcPr>
            <w:tcW w:w="321" w:type="pct"/>
            <w:vMerge w:val="restart"/>
            <w:noWrap/>
            <w:vAlign w:val="center"/>
            <w:hideMark/>
          </w:tcPr>
          <w:p w14:paraId="1D112328"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w:t>
            </w:r>
          </w:p>
        </w:tc>
        <w:tc>
          <w:tcPr>
            <w:tcW w:w="1050" w:type="pct"/>
            <w:vMerge w:val="restart"/>
            <w:noWrap/>
            <w:vAlign w:val="center"/>
            <w:hideMark/>
          </w:tcPr>
          <w:p w14:paraId="357E7EE3"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Grain yield </w:t>
            </w:r>
            <w:r w:rsidRPr="000741BA">
              <w:rPr>
                <w:rFonts w:ascii="Times New Roman" w:eastAsia="Times New Roman" w:hAnsi="Times New Roman" w:cs="Times New Roman"/>
                <w:spacing w:val="6"/>
                <w:sz w:val="24"/>
                <w:szCs w:val="24"/>
              </w:rPr>
              <w:t>(kg ha</w:t>
            </w:r>
            <w:r w:rsidRPr="000741BA">
              <w:rPr>
                <w:rFonts w:ascii="Times New Roman" w:eastAsia="Times New Roman" w:hAnsi="Times New Roman" w:cs="Times New Roman"/>
                <w:spacing w:val="6"/>
                <w:sz w:val="24"/>
                <w:szCs w:val="24"/>
                <w:vertAlign w:val="superscript"/>
              </w:rPr>
              <w:t>-1</w:t>
            </w:r>
            <w:r w:rsidRPr="000741BA">
              <w:rPr>
                <w:rFonts w:ascii="Times New Roman" w:eastAsia="Times New Roman" w:hAnsi="Times New Roman" w:cs="Times New Roman"/>
                <w:spacing w:val="6"/>
                <w:sz w:val="24"/>
                <w:szCs w:val="24"/>
              </w:rPr>
              <w:t>)</w:t>
            </w:r>
          </w:p>
        </w:tc>
        <w:tc>
          <w:tcPr>
            <w:tcW w:w="806" w:type="pct"/>
            <w:noWrap/>
            <w:vAlign w:val="center"/>
            <w:hideMark/>
          </w:tcPr>
          <w:p w14:paraId="50D69DA2"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w:t>
            </w:r>
          </w:p>
        </w:tc>
        <w:tc>
          <w:tcPr>
            <w:tcW w:w="913" w:type="pct"/>
            <w:noWrap/>
            <w:vAlign w:val="center"/>
            <w:hideMark/>
          </w:tcPr>
          <w:p w14:paraId="546A4184"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12042.56</w:t>
            </w:r>
          </w:p>
        </w:tc>
        <w:tc>
          <w:tcPr>
            <w:tcW w:w="1076" w:type="pct"/>
            <w:noWrap/>
            <w:vAlign w:val="center"/>
            <w:hideMark/>
          </w:tcPr>
          <w:p w14:paraId="0B6053DA"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365711.60*</w:t>
            </w:r>
          </w:p>
        </w:tc>
        <w:tc>
          <w:tcPr>
            <w:tcW w:w="834" w:type="pct"/>
            <w:noWrap/>
            <w:vAlign w:val="center"/>
            <w:hideMark/>
          </w:tcPr>
          <w:p w14:paraId="097D7F15"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34969.14</w:t>
            </w:r>
          </w:p>
        </w:tc>
      </w:tr>
      <w:tr w:rsidR="0002738C" w:rsidRPr="000741BA" w14:paraId="3BA4D742" w14:textId="77777777" w:rsidTr="00B22435">
        <w:trPr>
          <w:trHeight w:val="20"/>
        </w:trPr>
        <w:tc>
          <w:tcPr>
            <w:tcW w:w="321" w:type="pct"/>
            <w:vMerge/>
            <w:vAlign w:val="center"/>
            <w:hideMark/>
          </w:tcPr>
          <w:p w14:paraId="2432168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3097A61E"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44CC9BA6"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P</w:t>
            </w:r>
          </w:p>
        </w:tc>
        <w:tc>
          <w:tcPr>
            <w:tcW w:w="913" w:type="pct"/>
            <w:noWrap/>
            <w:vAlign w:val="center"/>
            <w:hideMark/>
          </w:tcPr>
          <w:p w14:paraId="787C0578"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997.51</w:t>
            </w:r>
          </w:p>
        </w:tc>
        <w:tc>
          <w:tcPr>
            <w:tcW w:w="1076" w:type="pct"/>
            <w:noWrap/>
            <w:vAlign w:val="center"/>
            <w:hideMark/>
          </w:tcPr>
          <w:p w14:paraId="48EAC87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335834.80*</w:t>
            </w:r>
          </w:p>
        </w:tc>
        <w:tc>
          <w:tcPr>
            <w:tcW w:w="834" w:type="pct"/>
            <w:noWrap/>
            <w:vAlign w:val="center"/>
            <w:hideMark/>
          </w:tcPr>
          <w:p w14:paraId="7218C75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25249.79</w:t>
            </w:r>
          </w:p>
        </w:tc>
      </w:tr>
      <w:tr w:rsidR="0002738C" w:rsidRPr="000741BA" w14:paraId="7CB4E660" w14:textId="77777777" w:rsidTr="00B22435">
        <w:trPr>
          <w:trHeight w:val="20"/>
        </w:trPr>
        <w:tc>
          <w:tcPr>
            <w:tcW w:w="321" w:type="pct"/>
            <w:vMerge/>
            <w:vAlign w:val="center"/>
            <w:hideMark/>
          </w:tcPr>
          <w:p w14:paraId="3DE2D9B7"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42C71A0C"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6B3F0CA8"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G</w:t>
            </w:r>
          </w:p>
        </w:tc>
        <w:tc>
          <w:tcPr>
            <w:tcW w:w="913" w:type="pct"/>
            <w:noWrap/>
            <w:vAlign w:val="center"/>
            <w:hideMark/>
          </w:tcPr>
          <w:p w14:paraId="6CD5821D"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34357.69</w:t>
            </w:r>
          </w:p>
        </w:tc>
        <w:tc>
          <w:tcPr>
            <w:tcW w:w="1076" w:type="pct"/>
            <w:noWrap/>
            <w:vAlign w:val="center"/>
            <w:hideMark/>
          </w:tcPr>
          <w:p w14:paraId="55ED80C1"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595500.20**</w:t>
            </w:r>
          </w:p>
        </w:tc>
        <w:tc>
          <w:tcPr>
            <w:tcW w:w="834" w:type="pct"/>
            <w:noWrap/>
            <w:vAlign w:val="center"/>
            <w:hideMark/>
          </w:tcPr>
          <w:p w14:paraId="13714D7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40880.50</w:t>
            </w:r>
          </w:p>
        </w:tc>
      </w:tr>
      <w:tr w:rsidR="0002738C" w:rsidRPr="000741BA" w14:paraId="65D1A9A4" w14:textId="77777777" w:rsidTr="00B22435">
        <w:trPr>
          <w:trHeight w:val="20"/>
        </w:trPr>
        <w:tc>
          <w:tcPr>
            <w:tcW w:w="321" w:type="pct"/>
            <w:vMerge w:val="restart"/>
            <w:noWrap/>
            <w:vAlign w:val="center"/>
            <w:hideMark/>
          </w:tcPr>
          <w:p w14:paraId="42F6FA85"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w:t>
            </w:r>
          </w:p>
        </w:tc>
        <w:tc>
          <w:tcPr>
            <w:tcW w:w="1050" w:type="pct"/>
            <w:vMerge w:val="restart"/>
            <w:noWrap/>
            <w:vAlign w:val="center"/>
            <w:hideMark/>
          </w:tcPr>
          <w:p w14:paraId="17F58DB8"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Dry fodder yield </w:t>
            </w:r>
            <w:r w:rsidRPr="000741BA">
              <w:rPr>
                <w:rFonts w:ascii="Times New Roman" w:eastAsia="Times New Roman" w:hAnsi="Times New Roman" w:cs="Times New Roman"/>
                <w:spacing w:val="6"/>
                <w:sz w:val="24"/>
                <w:szCs w:val="24"/>
              </w:rPr>
              <w:t>(kg ha</w:t>
            </w:r>
            <w:r w:rsidRPr="000741BA">
              <w:rPr>
                <w:rFonts w:ascii="Times New Roman" w:eastAsia="Times New Roman" w:hAnsi="Times New Roman" w:cs="Times New Roman"/>
                <w:spacing w:val="6"/>
                <w:sz w:val="24"/>
                <w:szCs w:val="24"/>
                <w:vertAlign w:val="superscript"/>
              </w:rPr>
              <w:t>-1</w:t>
            </w:r>
            <w:r w:rsidRPr="000741BA">
              <w:rPr>
                <w:rFonts w:ascii="Times New Roman" w:eastAsia="Times New Roman" w:hAnsi="Times New Roman" w:cs="Times New Roman"/>
                <w:spacing w:val="6"/>
                <w:sz w:val="24"/>
                <w:szCs w:val="24"/>
              </w:rPr>
              <w:t>)</w:t>
            </w:r>
          </w:p>
        </w:tc>
        <w:tc>
          <w:tcPr>
            <w:tcW w:w="806" w:type="pct"/>
            <w:noWrap/>
            <w:vAlign w:val="center"/>
            <w:hideMark/>
          </w:tcPr>
          <w:p w14:paraId="424A97AC"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w:t>
            </w:r>
          </w:p>
        </w:tc>
        <w:tc>
          <w:tcPr>
            <w:tcW w:w="913" w:type="pct"/>
            <w:noWrap/>
            <w:vAlign w:val="center"/>
            <w:hideMark/>
          </w:tcPr>
          <w:p w14:paraId="42A9746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360249.70</w:t>
            </w:r>
          </w:p>
        </w:tc>
        <w:tc>
          <w:tcPr>
            <w:tcW w:w="1076" w:type="pct"/>
            <w:noWrap/>
            <w:vAlign w:val="center"/>
            <w:hideMark/>
          </w:tcPr>
          <w:p w14:paraId="79E47CB8"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2422138.00**</w:t>
            </w:r>
          </w:p>
        </w:tc>
        <w:tc>
          <w:tcPr>
            <w:tcW w:w="834" w:type="pct"/>
            <w:noWrap/>
            <w:vAlign w:val="center"/>
            <w:hideMark/>
          </w:tcPr>
          <w:p w14:paraId="4D919A1A"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911408.30</w:t>
            </w:r>
          </w:p>
        </w:tc>
      </w:tr>
      <w:tr w:rsidR="0002738C" w:rsidRPr="000741BA" w14:paraId="571A593D" w14:textId="77777777" w:rsidTr="00B22435">
        <w:trPr>
          <w:trHeight w:val="20"/>
        </w:trPr>
        <w:tc>
          <w:tcPr>
            <w:tcW w:w="321" w:type="pct"/>
            <w:vMerge/>
            <w:vAlign w:val="center"/>
            <w:hideMark/>
          </w:tcPr>
          <w:p w14:paraId="3765DC62" w14:textId="77777777" w:rsidR="0002738C" w:rsidRPr="000741BA" w:rsidRDefault="0002738C" w:rsidP="00305505">
            <w:pPr>
              <w:spacing w:after="0" w:line="240" w:lineRule="auto"/>
              <w:ind w:left="-120" w:right="-75"/>
              <w:rPr>
                <w:rFonts w:ascii="Times New Roman" w:eastAsia="Times New Roman" w:hAnsi="Times New Roman" w:cs="Times New Roman"/>
                <w:b/>
                <w:bCs/>
                <w:sz w:val="24"/>
                <w:szCs w:val="24"/>
              </w:rPr>
            </w:pPr>
          </w:p>
        </w:tc>
        <w:tc>
          <w:tcPr>
            <w:tcW w:w="1050" w:type="pct"/>
            <w:vMerge/>
            <w:vAlign w:val="center"/>
            <w:hideMark/>
          </w:tcPr>
          <w:p w14:paraId="59C47357" w14:textId="77777777" w:rsidR="0002738C" w:rsidRPr="000741BA" w:rsidRDefault="0002738C" w:rsidP="00305505">
            <w:pPr>
              <w:spacing w:after="0" w:line="240" w:lineRule="auto"/>
              <w:ind w:left="-120" w:right="-150"/>
              <w:rPr>
                <w:rFonts w:ascii="Times New Roman" w:eastAsia="Times New Roman" w:hAnsi="Times New Roman" w:cs="Times New Roman"/>
                <w:b/>
                <w:bCs/>
                <w:sz w:val="24"/>
                <w:szCs w:val="24"/>
              </w:rPr>
            </w:pPr>
          </w:p>
        </w:tc>
        <w:tc>
          <w:tcPr>
            <w:tcW w:w="806" w:type="pct"/>
            <w:noWrap/>
            <w:vAlign w:val="center"/>
            <w:hideMark/>
          </w:tcPr>
          <w:p w14:paraId="6089C558"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P</w:t>
            </w:r>
          </w:p>
        </w:tc>
        <w:tc>
          <w:tcPr>
            <w:tcW w:w="913" w:type="pct"/>
            <w:noWrap/>
            <w:vAlign w:val="center"/>
            <w:hideMark/>
          </w:tcPr>
          <w:p w14:paraId="20649AA9"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1327491.00</w:t>
            </w:r>
          </w:p>
        </w:tc>
        <w:tc>
          <w:tcPr>
            <w:tcW w:w="1076" w:type="pct"/>
            <w:noWrap/>
            <w:vAlign w:val="center"/>
            <w:hideMark/>
          </w:tcPr>
          <w:p w14:paraId="4E8E0921"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2060892.00**</w:t>
            </w:r>
          </w:p>
        </w:tc>
        <w:tc>
          <w:tcPr>
            <w:tcW w:w="834" w:type="pct"/>
            <w:noWrap/>
            <w:vAlign w:val="center"/>
            <w:hideMark/>
          </w:tcPr>
          <w:p w14:paraId="3A01189F"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345429.60</w:t>
            </w:r>
          </w:p>
        </w:tc>
      </w:tr>
      <w:tr w:rsidR="0002738C" w:rsidRPr="000741BA" w14:paraId="2BED4ED2" w14:textId="77777777" w:rsidTr="00B22435">
        <w:trPr>
          <w:trHeight w:val="63"/>
        </w:trPr>
        <w:tc>
          <w:tcPr>
            <w:tcW w:w="321" w:type="pct"/>
            <w:vMerge/>
            <w:vAlign w:val="center"/>
            <w:hideMark/>
          </w:tcPr>
          <w:p w14:paraId="28DE4BF5" w14:textId="77777777" w:rsidR="0002738C" w:rsidRPr="000741BA" w:rsidRDefault="0002738C" w:rsidP="00305505">
            <w:pPr>
              <w:spacing w:after="0" w:line="240" w:lineRule="auto"/>
              <w:ind w:left="-120" w:right="-75"/>
              <w:rPr>
                <w:rFonts w:ascii="Times New Roman" w:eastAsia="Times New Roman" w:hAnsi="Times New Roman" w:cs="Times New Roman"/>
                <w:b/>
                <w:bCs/>
                <w:sz w:val="24"/>
                <w:szCs w:val="24"/>
              </w:rPr>
            </w:pPr>
          </w:p>
        </w:tc>
        <w:tc>
          <w:tcPr>
            <w:tcW w:w="1050" w:type="pct"/>
            <w:vMerge/>
            <w:vAlign w:val="center"/>
            <w:hideMark/>
          </w:tcPr>
          <w:p w14:paraId="7314C4D3" w14:textId="77777777" w:rsidR="0002738C" w:rsidRPr="000741BA" w:rsidRDefault="0002738C" w:rsidP="00305505">
            <w:pPr>
              <w:spacing w:after="0" w:line="240" w:lineRule="auto"/>
              <w:ind w:left="-120" w:right="-150"/>
              <w:rPr>
                <w:rFonts w:ascii="Times New Roman" w:eastAsia="Times New Roman" w:hAnsi="Times New Roman" w:cs="Times New Roman"/>
                <w:b/>
                <w:bCs/>
                <w:sz w:val="24"/>
                <w:szCs w:val="24"/>
              </w:rPr>
            </w:pPr>
          </w:p>
        </w:tc>
        <w:tc>
          <w:tcPr>
            <w:tcW w:w="806" w:type="pct"/>
            <w:noWrap/>
            <w:vAlign w:val="center"/>
            <w:hideMark/>
          </w:tcPr>
          <w:p w14:paraId="7ECFD626"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G</w:t>
            </w:r>
          </w:p>
        </w:tc>
        <w:tc>
          <w:tcPr>
            <w:tcW w:w="913" w:type="pct"/>
            <w:noWrap/>
            <w:vAlign w:val="center"/>
            <w:hideMark/>
          </w:tcPr>
          <w:p w14:paraId="0657679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22428.20</w:t>
            </w:r>
          </w:p>
        </w:tc>
        <w:tc>
          <w:tcPr>
            <w:tcW w:w="1076" w:type="pct"/>
            <w:noWrap/>
            <w:vAlign w:val="center"/>
            <w:hideMark/>
          </w:tcPr>
          <w:p w14:paraId="622EDCF5"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1283522.00**</w:t>
            </w:r>
          </w:p>
        </w:tc>
        <w:tc>
          <w:tcPr>
            <w:tcW w:w="834" w:type="pct"/>
            <w:noWrap/>
            <w:vAlign w:val="center"/>
            <w:hideMark/>
          </w:tcPr>
          <w:p w14:paraId="3ADF8490"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346576.30</w:t>
            </w:r>
          </w:p>
        </w:tc>
      </w:tr>
    </w:tbl>
    <w:p w14:paraId="49F5A535" w14:textId="77777777" w:rsidR="0002738C" w:rsidRPr="003209AE" w:rsidRDefault="0002738C" w:rsidP="00B676B8">
      <w:pPr>
        <w:spacing w:after="100" w:line="240" w:lineRule="auto"/>
        <w:ind w:left="1296" w:hanging="1296"/>
        <w:jc w:val="both"/>
        <w:rPr>
          <w:rFonts w:ascii="Times New Roman" w:eastAsia="Calibri" w:hAnsi="Times New Roman" w:cs="Times New Roman"/>
          <w:b/>
          <w:bCs/>
          <w:sz w:val="24"/>
          <w:szCs w:val="24"/>
        </w:rPr>
      </w:pPr>
      <w:r w:rsidRPr="003209AE">
        <w:rPr>
          <w:rFonts w:ascii="Times New Roman" w:hAnsi="Times New Roman" w:cs="Times New Roman"/>
          <w:bCs/>
          <w:sz w:val="24"/>
          <w:szCs w:val="24"/>
        </w:rPr>
        <w:t xml:space="preserve">N= </w:t>
      </w:r>
      <w:proofErr w:type="spellStart"/>
      <w:proofErr w:type="gramStart"/>
      <w:r w:rsidRPr="003209AE">
        <w:rPr>
          <w:rFonts w:ascii="Times New Roman" w:hAnsi="Times New Roman" w:cs="Times New Roman"/>
          <w:bCs/>
          <w:sz w:val="24"/>
          <w:szCs w:val="24"/>
        </w:rPr>
        <w:t>Nandyal</w:t>
      </w:r>
      <w:proofErr w:type="spellEnd"/>
      <w:r w:rsidRPr="003209AE">
        <w:rPr>
          <w:rFonts w:ascii="Times New Roman" w:hAnsi="Times New Roman" w:cs="Times New Roman"/>
          <w:bCs/>
          <w:sz w:val="24"/>
          <w:szCs w:val="24"/>
        </w:rPr>
        <w:t xml:space="preserve">,   </w:t>
      </w:r>
      <w:proofErr w:type="gramEnd"/>
      <w:r w:rsidRPr="003209AE">
        <w:rPr>
          <w:rFonts w:ascii="Times New Roman" w:hAnsi="Times New Roman" w:cs="Times New Roman"/>
          <w:bCs/>
          <w:sz w:val="24"/>
          <w:szCs w:val="24"/>
        </w:rPr>
        <w:t xml:space="preserve">P= </w:t>
      </w:r>
      <w:proofErr w:type="spellStart"/>
      <w:r w:rsidRPr="003209AE">
        <w:rPr>
          <w:rFonts w:ascii="Times New Roman" w:hAnsi="Times New Roman" w:cs="Times New Roman"/>
          <w:bCs/>
          <w:sz w:val="24"/>
          <w:szCs w:val="24"/>
        </w:rPr>
        <w:t>Podalakur</w:t>
      </w:r>
      <w:proofErr w:type="spellEnd"/>
      <w:r w:rsidRPr="003209AE">
        <w:rPr>
          <w:rFonts w:ascii="Times New Roman" w:hAnsi="Times New Roman" w:cs="Times New Roman"/>
          <w:bCs/>
          <w:sz w:val="24"/>
          <w:szCs w:val="24"/>
        </w:rPr>
        <w:t xml:space="preserve">, G= Guntur                                </w:t>
      </w:r>
      <w:r w:rsidRPr="003209AE">
        <w:rPr>
          <w:rFonts w:ascii="Times New Roman" w:hAnsi="Times New Roman" w:cs="Times New Roman"/>
          <w:bCs/>
          <w:sz w:val="24"/>
          <w:szCs w:val="24"/>
        </w:rPr>
        <w:tab/>
      </w:r>
      <w:r w:rsidRPr="003209AE">
        <w:rPr>
          <w:rFonts w:ascii="Times New Roman" w:hAnsi="Times New Roman" w:cs="Times New Roman"/>
          <w:bCs/>
          <w:sz w:val="24"/>
          <w:szCs w:val="24"/>
        </w:rPr>
        <w:tab/>
        <w:t xml:space="preserve"> </w:t>
      </w:r>
      <w:r w:rsidRPr="003209AE">
        <w:rPr>
          <w:rFonts w:ascii="Times New Roman" w:hAnsi="Times New Roman" w:cs="Times New Roman"/>
          <w:bCs/>
          <w:sz w:val="24"/>
          <w:szCs w:val="24"/>
        </w:rPr>
        <w:tab/>
        <w:t xml:space="preserve">      * Significance at 5% level    </w:t>
      </w:r>
      <w:r w:rsidRPr="003209AE">
        <w:rPr>
          <w:rFonts w:ascii="Times New Roman" w:hAnsi="Times New Roman" w:cs="Times New Roman"/>
          <w:sz w:val="24"/>
          <w:szCs w:val="24"/>
        </w:rPr>
        <w:t>**</w:t>
      </w:r>
      <w:r w:rsidRPr="003209AE">
        <w:rPr>
          <w:rFonts w:ascii="Times New Roman" w:hAnsi="Times New Roman" w:cs="Times New Roman"/>
          <w:bCs/>
          <w:sz w:val="24"/>
          <w:szCs w:val="24"/>
        </w:rPr>
        <w:t xml:space="preserve"> Significance at 1% level</w:t>
      </w:r>
    </w:p>
    <w:p w14:paraId="6FCFB0B4" w14:textId="77777777" w:rsidR="0002738C" w:rsidRPr="003209AE" w:rsidRDefault="0002738C" w:rsidP="00B676B8">
      <w:pPr>
        <w:spacing w:after="100" w:line="240" w:lineRule="auto"/>
        <w:ind w:left="1296" w:hanging="1296"/>
        <w:jc w:val="both"/>
        <w:rPr>
          <w:rFonts w:ascii="Times New Roman" w:eastAsia="Calibri" w:hAnsi="Times New Roman" w:cs="Times New Roman"/>
          <w:b/>
          <w:bCs/>
          <w:sz w:val="24"/>
          <w:szCs w:val="24"/>
        </w:rPr>
      </w:pPr>
    </w:p>
    <w:p w14:paraId="0DBACA0D" w14:textId="77777777" w:rsidR="00F65A23" w:rsidRPr="003209AE" w:rsidRDefault="00F65A23" w:rsidP="0002738C">
      <w:pPr>
        <w:tabs>
          <w:tab w:val="left" w:pos="1545"/>
        </w:tabs>
        <w:jc w:val="both"/>
        <w:rPr>
          <w:rFonts w:ascii="Times New Roman" w:hAnsi="Times New Roman" w:cs="Times New Roman"/>
          <w:b/>
          <w:sz w:val="24"/>
          <w:szCs w:val="24"/>
        </w:rPr>
      </w:pPr>
    </w:p>
    <w:p w14:paraId="51E6147C" w14:textId="77777777" w:rsidR="00F65A23" w:rsidRPr="003209AE" w:rsidRDefault="00F65A23" w:rsidP="0002738C">
      <w:pPr>
        <w:tabs>
          <w:tab w:val="left" w:pos="1545"/>
        </w:tabs>
        <w:jc w:val="both"/>
        <w:rPr>
          <w:rFonts w:ascii="Times New Roman" w:hAnsi="Times New Roman" w:cs="Times New Roman"/>
          <w:b/>
          <w:sz w:val="24"/>
          <w:szCs w:val="24"/>
        </w:rPr>
      </w:pPr>
    </w:p>
    <w:p w14:paraId="02ACC8FE" w14:textId="77777777" w:rsidR="0002738C" w:rsidRPr="003209AE" w:rsidRDefault="0002738C" w:rsidP="0002738C">
      <w:pPr>
        <w:tabs>
          <w:tab w:val="left" w:pos="1545"/>
        </w:tabs>
        <w:jc w:val="both"/>
        <w:rPr>
          <w:rFonts w:ascii="Times New Roman" w:hAnsi="Times New Roman" w:cs="Times New Roman"/>
          <w:b/>
          <w:sz w:val="24"/>
          <w:szCs w:val="24"/>
        </w:rPr>
      </w:pPr>
      <w:r w:rsidRPr="003209AE">
        <w:rPr>
          <w:rFonts w:ascii="Times New Roman" w:hAnsi="Times New Roman" w:cs="Times New Roman"/>
          <w:b/>
          <w:sz w:val="24"/>
          <w:szCs w:val="24"/>
        </w:rPr>
        <w:lastRenderedPageBreak/>
        <w:t xml:space="preserve">Table </w:t>
      </w:r>
      <w:r w:rsidR="00D75609" w:rsidRPr="003209AE">
        <w:rPr>
          <w:rFonts w:ascii="Times New Roman" w:hAnsi="Times New Roman" w:cs="Times New Roman"/>
          <w:b/>
          <w:sz w:val="24"/>
          <w:szCs w:val="24"/>
        </w:rPr>
        <w:t>3.</w:t>
      </w:r>
      <w:r w:rsidRPr="003209AE">
        <w:rPr>
          <w:rFonts w:ascii="Times New Roman" w:hAnsi="Times New Roman" w:cs="Times New Roman"/>
          <w:b/>
          <w:sz w:val="24"/>
          <w:szCs w:val="24"/>
        </w:rPr>
        <w:t xml:space="preserve"> Pooled ANOVA for yield and yield attributing traits over three locations in sorghum</w:t>
      </w:r>
    </w:p>
    <w:tbl>
      <w:tblPr>
        <w:tblW w:w="5000" w:type="pct"/>
        <w:jc w:val="center"/>
        <w:tblLook w:val="04A0" w:firstRow="1" w:lastRow="0" w:firstColumn="1" w:lastColumn="0" w:noHBand="0" w:noVBand="1"/>
      </w:tblPr>
      <w:tblGrid>
        <w:gridCol w:w="1041"/>
        <w:gridCol w:w="3211"/>
        <w:gridCol w:w="1738"/>
        <w:gridCol w:w="1741"/>
        <w:gridCol w:w="2142"/>
        <w:gridCol w:w="2371"/>
        <w:gridCol w:w="1704"/>
      </w:tblGrid>
      <w:tr w:rsidR="0002738C" w:rsidRPr="000741BA" w14:paraId="07F6552D" w14:textId="77777777" w:rsidTr="00B22435">
        <w:trPr>
          <w:trHeight w:val="432"/>
          <w:jc w:val="center"/>
        </w:trPr>
        <w:tc>
          <w:tcPr>
            <w:tcW w:w="373" w:type="pct"/>
            <w:vMerge w:val="restart"/>
            <w:tcBorders>
              <w:top w:val="single" w:sz="4" w:space="0" w:color="auto"/>
              <w:left w:val="single" w:sz="4" w:space="0" w:color="auto"/>
              <w:bottom w:val="single" w:sz="4" w:space="0" w:color="auto"/>
              <w:right w:val="single" w:sz="4" w:space="0" w:color="auto"/>
            </w:tcBorders>
            <w:noWrap/>
            <w:vAlign w:val="center"/>
            <w:hideMark/>
          </w:tcPr>
          <w:p w14:paraId="39A779FC"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S. No.</w:t>
            </w:r>
          </w:p>
        </w:tc>
        <w:tc>
          <w:tcPr>
            <w:tcW w:w="1151" w:type="pct"/>
            <w:vMerge w:val="restart"/>
            <w:tcBorders>
              <w:top w:val="single" w:sz="4" w:space="0" w:color="auto"/>
              <w:left w:val="single" w:sz="4" w:space="0" w:color="auto"/>
              <w:bottom w:val="single" w:sz="4" w:space="0" w:color="auto"/>
              <w:right w:val="single" w:sz="4" w:space="0" w:color="auto"/>
            </w:tcBorders>
            <w:noWrap/>
            <w:vAlign w:val="center"/>
            <w:hideMark/>
          </w:tcPr>
          <w:p w14:paraId="68FF9DDA"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Character</w:t>
            </w:r>
          </w:p>
        </w:tc>
        <w:tc>
          <w:tcPr>
            <w:tcW w:w="3476" w:type="pct"/>
            <w:gridSpan w:val="5"/>
            <w:tcBorders>
              <w:top w:val="single" w:sz="4" w:space="0" w:color="auto"/>
              <w:left w:val="nil"/>
              <w:bottom w:val="single" w:sz="4" w:space="0" w:color="auto"/>
              <w:right w:val="single" w:sz="4" w:space="0" w:color="auto"/>
            </w:tcBorders>
            <w:noWrap/>
            <w:vAlign w:val="center"/>
            <w:hideMark/>
          </w:tcPr>
          <w:p w14:paraId="315794DB"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Mean sum of squares</w:t>
            </w:r>
          </w:p>
        </w:tc>
      </w:tr>
      <w:tr w:rsidR="0002738C" w:rsidRPr="000741BA" w14:paraId="2378B656" w14:textId="77777777" w:rsidTr="00B22435">
        <w:trPr>
          <w:trHeight w:val="626"/>
          <w:jc w:val="center"/>
        </w:trPr>
        <w:tc>
          <w:tcPr>
            <w:tcW w:w="373" w:type="pct"/>
            <w:vMerge/>
            <w:tcBorders>
              <w:top w:val="single" w:sz="4" w:space="0" w:color="auto"/>
              <w:left w:val="single" w:sz="4" w:space="0" w:color="auto"/>
              <w:bottom w:val="single" w:sz="4" w:space="0" w:color="auto"/>
              <w:right w:val="single" w:sz="4" w:space="0" w:color="auto"/>
            </w:tcBorders>
            <w:vAlign w:val="center"/>
            <w:hideMark/>
          </w:tcPr>
          <w:p w14:paraId="102E5AFE"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1151" w:type="pct"/>
            <w:vMerge/>
            <w:tcBorders>
              <w:top w:val="single" w:sz="4" w:space="0" w:color="auto"/>
              <w:left w:val="single" w:sz="4" w:space="0" w:color="auto"/>
              <w:bottom w:val="single" w:sz="4" w:space="0" w:color="auto"/>
              <w:right w:val="single" w:sz="4" w:space="0" w:color="auto"/>
            </w:tcBorders>
            <w:vAlign w:val="center"/>
            <w:hideMark/>
          </w:tcPr>
          <w:p w14:paraId="5D658C3A"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623" w:type="pct"/>
            <w:vMerge w:val="restart"/>
            <w:tcBorders>
              <w:top w:val="nil"/>
              <w:left w:val="single" w:sz="4" w:space="0" w:color="auto"/>
              <w:bottom w:val="single" w:sz="4" w:space="0" w:color="000000"/>
              <w:right w:val="single" w:sz="4" w:space="0" w:color="auto"/>
            </w:tcBorders>
            <w:vAlign w:val="center"/>
            <w:hideMark/>
          </w:tcPr>
          <w:p w14:paraId="1BC171A0"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Replication </w:t>
            </w:r>
          </w:p>
        </w:tc>
        <w:tc>
          <w:tcPr>
            <w:tcW w:w="624" w:type="pct"/>
            <w:vMerge w:val="restart"/>
            <w:tcBorders>
              <w:top w:val="nil"/>
              <w:left w:val="single" w:sz="4" w:space="0" w:color="auto"/>
              <w:bottom w:val="single" w:sz="4" w:space="0" w:color="000000"/>
              <w:right w:val="single" w:sz="4" w:space="0" w:color="auto"/>
            </w:tcBorders>
            <w:vAlign w:val="center"/>
            <w:hideMark/>
          </w:tcPr>
          <w:p w14:paraId="6730D7D2"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 Treatments </w:t>
            </w:r>
          </w:p>
        </w:tc>
        <w:tc>
          <w:tcPr>
            <w:tcW w:w="768" w:type="pct"/>
            <w:vMerge w:val="restart"/>
            <w:tcBorders>
              <w:top w:val="nil"/>
              <w:left w:val="single" w:sz="4" w:space="0" w:color="auto"/>
              <w:bottom w:val="single" w:sz="4" w:space="0" w:color="000000"/>
              <w:right w:val="single" w:sz="4" w:space="0" w:color="auto"/>
            </w:tcBorders>
            <w:vAlign w:val="center"/>
            <w:hideMark/>
          </w:tcPr>
          <w:p w14:paraId="57D4852E"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Seasons </w:t>
            </w:r>
          </w:p>
        </w:tc>
        <w:tc>
          <w:tcPr>
            <w:tcW w:w="850" w:type="pct"/>
            <w:vMerge w:val="restart"/>
            <w:tcBorders>
              <w:top w:val="nil"/>
              <w:left w:val="single" w:sz="4" w:space="0" w:color="auto"/>
              <w:bottom w:val="single" w:sz="4" w:space="0" w:color="auto"/>
              <w:right w:val="single" w:sz="4" w:space="0" w:color="auto"/>
            </w:tcBorders>
            <w:vAlign w:val="center"/>
            <w:hideMark/>
          </w:tcPr>
          <w:p w14:paraId="0F061326"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Treatments × Seasons </w:t>
            </w:r>
          </w:p>
        </w:tc>
        <w:tc>
          <w:tcPr>
            <w:tcW w:w="611" w:type="pct"/>
            <w:vMerge w:val="restart"/>
            <w:tcBorders>
              <w:top w:val="nil"/>
              <w:left w:val="single" w:sz="4" w:space="0" w:color="auto"/>
              <w:bottom w:val="single" w:sz="4" w:space="0" w:color="auto"/>
              <w:right w:val="single" w:sz="4" w:space="0" w:color="auto"/>
            </w:tcBorders>
            <w:vAlign w:val="center"/>
            <w:hideMark/>
          </w:tcPr>
          <w:p w14:paraId="77195FAF"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Pooled Error </w:t>
            </w:r>
          </w:p>
        </w:tc>
      </w:tr>
      <w:tr w:rsidR="0002738C" w:rsidRPr="000741BA" w14:paraId="66CF0E22" w14:textId="77777777" w:rsidTr="000741BA">
        <w:trPr>
          <w:trHeight w:val="537"/>
          <w:jc w:val="center"/>
        </w:trPr>
        <w:tc>
          <w:tcPr>
            <w:tcW w:w="373" w:type="pct"/>
            <w:vMerge/>
            <w:tcBorders>
              <w:top w:val="single" w:sz="4" w:space="0" w:color="auto"/>
              <w:left w:val="single" w:sz="4" w:space="0" w:color="auto"/>
              <w:bottom w:val="single" w:sz="4" w:space="0" w:color="auto"/>
              <w:right w:val="single" w:sz="4" w:space="0" w:color="auto"/>
            </w:tcBorders>
            <w:vAlign w:val="center"/>
            <w:hideMark/>
          </w:tcPr>
          <w:p w14:paraId="68F7BB29"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1151" w:type="pct"/>
            <w:vMerge/>
            <w:tcBorders>
              <w:top w:val="single" w:sz="4" w:space="0" w:color="auto"/>
              <w:left w:val="single" w:sz="4" w:space="0" w:color="auto"/>
              <w:bottom w:val="single" w:sz="4" w:space="0" w:color="auto"/>
              <w:right w:val="single" w:sz="4" w:space="0" w:color="auto"/>
            </w:tcBorders>
            <w:vAlign w:val="center"/>
            <w:hideMark/>
          </w:tcPr>
          <w:p w14:paraId="02D3FD66"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623" w:type="pct"/>
            <w:vMerge/>
            <w:tcBorders>
              <w:top w:val="nil"/>
              <w:left w:val="single" w:sz="4" w:space="0" w:color="auto"/>
              <w:bottom w:val="single" w:sz="4" w:space="0" w:color="000000"/>
              <w:right w:val="single" w:sz="4" w:space="0" w:color="auto"/>
            </w:tcBorders>
            <w:vAlign w:val="center"/>
            <w:hideMark/>
          </w:tcPr>
          <w:p w14:paraId="19ACDBF1"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624" w:type="pct"/>
            <w:vMerge/>
            <w:tcBorders>
              <w:top w:val="nil"/>
              <w:left w:val="single" w:sz="4" w:space="0" w:color="auto"/>
              <w:bottom w:val="single" w:sz="4" w:space="0" w:color="000000"/>
              <w:right w:val="single" w:sz="4" w:space="0" w:color="auto"/>
            </w:tcBorders>
            <w:vAlign w:val="center"/>
            <w:hideMark/>
          </w:tcPr>
          <w:p w14:paraId="177E74A3"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768" w:type="pct"/>
            <w:vMerge/>
            <w:tcBorders>
              <w:top w:val="nil"/>
              <w:left w:val="single" w:sz="4" w:space="0" w:color="auto"/>
              <w:bottom w:val="single" w:sz="4" w:space="0" w:color="000000"/>
              <w:right w:val="single" w:sz="4" w:space="0" w:color="auto"/>
            </w:tcBorders>
            <w:vAlign w:val="center"/>
            <w:hideMark/>
          </w:tcPr>
          <w:p w14:paraId="694D51A7"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850" w:type="pct"/>
            <w:vMerge/>
            <w:tcBorders>
              <w:top w:val="nil"/>
              <w:left w:val="single" w:sz="4" w:space="0" w:color="auto"/>
              <w:bottom w:val="single" w:sz="4" w:space="0" w:color="auto"/>
              <w:right w:val="single" w:sz="4" w:space="0" w:color="auto"/>
            </w:tcBorders>
            <w:vAlign w:val="center"/>
            <w:hideMark/>
          </w:tcPr>
          <w:p w14:paraId="56425599"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611" w:type="pct"/>
            <w:vMerge/>
            <w:tcBorders>
              <w:top w:val="nil"/>
              <w:left w:val="single" w:sz="4" w:space="0" w:color="auto"/>
              <w:bottom w:val="single" w:sz="4" w:space="0" w:color="auto"/>
              <w:right w:val="single" w:sz="4" w:space="0" w:color="auto"/>
            </w:tcBorders>
            <w:vAlign w:val="center"/>
            <w:hideMark/>
          </w:tcPr>
          <w:p w14:paraId="49DAB7EE"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r>
      <w:tr w:rsidR="0002738C" w:rsidRPr="000741BA" w14:paraId="2A4107D2" w14:textId="77777777" w:rsidTr="00B22435">
        <w:trPr>
          <w:trHeight w:val="20"/>
          <w:jc w:val="center"/>
        </w:trPr>
        <w:tc>
          <w:tcPr>
            <w:tcW w:w="373" w:type="pct"/>
            <w:tcBorders>
              <w:top w:val="nil"/>
              <w:left w:val="single" w:sz="4" w:space="0" w:color="auto"/>
              <w:bottom w:val="single" w:sz="4" w:space="0" w:color="auto"/>
              <w:right w:val="single" w:sz="4" w:space="0" w:color="auto"/>
            </w:tcBorders>
            <w:noWrap/>
            <w:vAlign w:val="center"/>
          </w:tcPr>
          <w:p w14:paraId="305E250A" w14:textId="77777777" w:rsidR="0002738C" w:rsidRPr="000741BA" w:rsidRDefault="0002738C" w:rsidP="000741BA">
            <w:pPr>
              <w:spacing w:after="0" w:line="240" w:lineRule="auto"/>
              <w:rPr>
                <w:rFonts w:ascii="Times New Roman" w:eastAsia="Times New Roman" w:hAnsi="Times New Roman" w:cs="Times New Roman"/>
                <w:sz w:val="24"/>
                <w:szCs w:val="24"/>
              </w:rPr>
            </w:pPr>
          </w:p>
        </w:tc>
        <w:tc>
          <w:tcPr>
            <w:tcW w:w="1151" w:type="pct"/>
            <w:tcBorders>
              <w:top w:val="nil"/>
              <w:left w:val="nil"/>
              <w:bottom w:val="single" w:sz="4" w:space="0" w:color="auto"/>
              <w:right w:val="single" w:sz="4" w:space="0" w:color="auto"/>
            </w:tcBorders>
            <w:noWrap/>
            <w:vAlign w:val="center"/>
          </w:tcPr>
          <w:p w14:paraId="26BFBFAF" w14:textId="77777777" w:rsidR="0002738C" w:rsidRPr="000741BA" w:rsidRDefault="0002738C" w:rsidP="000741BA">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b/>
                <w:bCs/>
                <w:sz w:val="24"/>
                <w:szCs w:val="24"/>
              </w:rPr>
              <w:t>Degrees of freedom</w:t>
            </w:r>
          </w:p>
        </w:tc>
        <w:tc>
          <w:tcPr>
            <w:tcW w:w="623" w:type="pct"/>
            <w:tcBorders>
              <w:top w:val="nil"/>
              <w:left w:val="nil"/>
              <w:bottom w:val="single" w:sz="4" w:space="0" w:color="auto"/>
              <w:right w:val="single" w:sz="4" w:space="0" w:color="auto"/>
            </w:tcBorders>
            <w:noWrap/>
            <w:vAlign w:val="center"/>
          </w:tcPr>
          <w:p w14:paraId="25296841" w14:textId="77777777" w:rsidR="0002738C" w:rsidRPr="000741BA" w:rsidRDefault="0002738C" w:rsidP="000741BA">
            <w:pPr>
              <w:spacing w:after="0" w:line="240" w:lineRule="auto"/>
              <w:jc w:val="center"/>
              <w:rPr>
                <w:rFonts w:ascii="Times New Roman" w:eastAsia="Times New Roman" w:hAnsi="Times New Roman" w:cs="Times New Roman"/>
                <w:b/>
                <w:sz w:val="24"/>
                <w:szCs w:val="24"/>
              </w:rPr>
            </w:pPr>
            <w:r w:rsidRPr="000741BA">
              <w:rPr>
                <w:rFonts w:ascii="Times New Roman" w:eastAsia="Times New Roman" w:hAnsi="Times New Roman" w:cs="Times New Roman"/>
                <w:b/>
                <w:sz w:val="24"/>
                <w:szCs w:val="24"/>
              </w:rPr>
              <w:t>1</w:t>
            </w:r>
          </w:p>
        </w:tc>
        <w:tc>
          <w:tcPr>
            <w:tcW w:w="624" w:type="pct"/>
            <w:tcBorders>
              <w:top w:val="nil"/>
              <w:left w:val="nil"/>
              <w:bottom w:val="single" w:sz="4" w:space="0" w:color="auto"/>
              <w:right w:val="single" w:sz="4" w:space="0" w:color="auto"/>
            </w:tcBorders>
            <w:noWrap/>
            <w:vAlign w:val="center"/>
          </w:tcPr>
          <w:p w14:paraId="40914A9F" w14:textId="77777777" w:rsidR="0002738C" w:rsidRPr="000741BA" w:rsidRDefault="0002738C" w:rsidP="000741BA">
            <w:pPr>
              <w:spacing w:after="0" w:line="240" w:lineRule="auto"/>
              <w:jc w:val="center"/>
              <w:rPr>
                <w:rFonts w:ascii="Times New Roman" w:eastAsia="Times New Roman" w:hAnsi="Times New Roman" w:cs="Times New Roman"/>
                <w:b/>
                <w:sz w:val="24"/>
                <w:szCs w:val="24"/>
              </w:rPr>
            </w:pPr>
            <w:r w:rsidRPr="000741BA">
              <w:rPr>
                <w:rFonts w:ascii="Times New Roman" w:eastAsia="Times New Roman" w:hAnsi="Times New Roman" w:cs="Times New Roman"/>
                <w:b/>
                <w:sz w:val="24"/>
                <w:szCs w:val="24"/>
              </w:rPr>
              <w:t>26</w:t>
            </w:r>
          </w:p>
        </w:tc>
        <w:tc>
          <w:tcPr>
            <w:tcW w:w="768" w:type="pct"/>
            <w:tcBorders>
              <w:top w:val="nil"/>
              <w:left w:val="nil"/>
              <w:bottom w:val="single" w:sz="4" w:space="0" w:color="auto"/>
              <w:right w:val="single" w:sz="4" w:space="0" w:color="auto"/>
            </w:tcBorders>
            <w:noWrap/>
            <w:vAlign w:val="center"/>
          </w:tcPr>
          <w:p w14:paraId="20E89AC4" w14:textId="77777777" w:rsidR="0002738C" w:rsidRPr="000741BA" w:rsidRDefault="0002738C" w:rsidP="000741BA">
            <w:pPr>
              <w:spacing w:after="0" w:line="240" w:lineRule="auto"/>
              <w:jc w:val="center"/>
              <w:rPr>
                <w:rFonts w:ascii="Times New Roman" w:eastAsia="Times New Roman" w:hAnsi="Times New Roman" w:cs="Times New Roman"/>
                <w:b/>
                <w:sz w:val="24"/>
                <w:szCs w:val="24"/>
              </w:rPr>
            </w:pPr>
            <w:r w:rsidRPr="000741BA">
              <w:rPr>
                <w:rFonts w:ascii="Times New Roman" w:eastAsia="Times New Roman" w:hAnsi="Times New Roman" w:cs="Times New Roman"/>
                <w:b/>
                <w:sz w:val="24"/>
                <w:szCs w:val="24"/>
              </w:rPr>
              <w:t>6</w:t>
            </w:r>
          </w:p>
        </w:tc>
        <w:tc>
          <w:tcPr>
            <w:tcW w:w="850" w:type="pct"/>
            <w:tcBorders>
              <w:top w:val="nil"/>
              <w:left w:val="nil"/>
              <w:bottom w:val="single" w:sz="4" w:space="0" w:color="auto"/>
              <w:right w:val="single" w:sz="4" w:space="0" w:color="auto"/>
            </w:tcBorders>
            <w:noWrap/>
            <w:vAlign w:val="center"/>
          </w:tcPr>
          <w:p w14:paraId="1686255A" w14:textId="77777777" w:rsidR="0002738C" w:rsidRPr="000741BA" w:rsidRDefault="0002738C" w:rsidP="000741BA">
            <w:pPr>
              <w:spacing w:after="0" w:line="240" w:lineRule="auto"/>
              <w:jc w:val="center"/>
              <w:rPr>
                <w:rFonts w:ascii="Times New Roman" w:eastAsia="Times New Roman" w:hAnsi="Times New Roman" w:cs="Times New Roman"/>
                <w:b/>
                <w:sz w:val="24"/>
                <w:szCs w:val="24"/>
              </w:rPr>
            </w:pPr>
            <w:r w:rsidRPr="000741BA">
              <w:rPr>
                <w:rFonts w:ascii="Times New Roman" w:eastAsia="Times New Roman" w:hAnsi="Times New Roman" w:cs="Times New Roman"/>
                <w:b/>
                <w:sz w:val="24"/>
                <w:szCs w:val="24"/>
              </w:rPr>
              <w:t>156</w:t>
            </w:r>
          </w:p>
        </w:tc>
        <w:tc>
          <w:tcPr>
            <w:tcW w:w="611" w:type="pct"/>
            <w:tcBorders>
              <w:top w:val="nil"/>
              <w:left w:val="nil"/>
              <w:bottom w:val="single" w:sz="4" w:space="0" w:color="auto"/>
              <w:right w:val="single" w:sz="4" w:space="0" w:color="auto"/>
            </w:tcBorders>
            <w:noWrap/>
            <w:vAlign w:val="center"/>
          </w:tcPr>
          <w:p w14:paraId="3353A07F" w14:textId="77777777" w:rsidR="0002738C" w:rsidRPr="000741BA" w:rsidRDefault="0002738C" w:rsidP="000741BA">
            <w:pPr>
              <w:spacing w:after="0" w:line="240" w:lineRule="auto"/>
              <w:jc w:val="center"/>
              <w:rPr>
                <w:rFonts w:ascii="Times New Roman" w:eastAsia="Times New Roman" w:hAnsi="Times New Roman" w:cs="Times New Roman"/>
                <w:b/>
                <w:sz w:val="24"/>
                <w:szCs w:val="24"/>
              </w:rPr>
            </w:pPr>
            <w:r w:rsidRPr="000741BA">
              <w:rPr>
                <w:rFonts w:ascii="Times New Roman" w:eastAsia="Times New Roman" w:hAnsi="Times New Roman" w:cs="Times New Roman"/>
                <w:b/>
                <w:sz w:val="24"/>
                <w:szCs w:val="24"/>
              </w:rPr>
              <w:t>188</w:t>
            </w:r>
          </w:p>
        </w:tc>
      </w:tr>
      <w:tr w:rsidR="0002738C" w:rsidRPr="000741BA" w14:paraId="269E7967" w14:textId="77777777" w:rsidTr="00B22435">
        <w:trPr>
          <w:trHeight w:val="432"/>
          <w:jc w:val="center"/>
        </w:trPr>
        <w:tc>
          <w:tcPr>
            <w:tcW w:w="373" w:type="pct"/>
            <w:tcBorders>
              <w:top w:val="nil"/>
              <w:left w:val="single" w:sz="4" w:space="0" w:color="auto"/>
              <w:bottom w:val="single" w:sz="4" w:space="0" w:color="auto"/>
              <w:right w:val="single" w:sz="4" w:space="0" w:color="auto"/>
            </w:tcBorders>
            <w:noWrap/>
            <w:vAlign w:val="center"/>
            <w:hideMark/>
          </w:tcPr>
          <w:p w14:paraId="1BD5DB68"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w:t>
            </w:r>
          </w:p>
        </w:tc>
        <w:tc>
          <w:tcPr>
            <w:tcW w:w="1151" w:type="pct"/>
            <w:tcBorders>
              <w:top w:val="nil"/>
              <w:left w:val="nil"/>
              <w:bottom w:val="single" w:sz="4" w:space="0" w:color="auto"/>
              <w:right w:val="single" w:sz="4" w:space="0" w:color="auto"/>
            </w:tcBorders>
            <w:noWrap/>
            <w:vAlign w:val="center"/>
            <w:hideMark/>
          </w:tcPr>
          <w:p w14:paraId="764EEFA2" w14:textId="77777777" w:rsidR="0002738C" w:rsidRPr="000741BA" w:rsidRDefault="0002738C" w:rsidP="000741BA">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Plant height </w:t>
            </w:r>
            <w:r w:rsidRPr="000741BA">
              <w:rPr>
                <w:rFonts w:ascii="Times New Roman" w:hAnsi="Times New Roman" w:cs="Times New Roman"/>
                <w:sz w:val="24"/>
                <w:szCs w:val="24"/>
              </w:rPr>
              <w:t>(cm)</w:t>
            </w:r>
          </w:p>
        </w:tc>
        <w:tc>
          <w:tcPr>
            <w:tcW w:w="623" w:type="pct"/>
            <w:tcBorders>
              <w:top w:val="nil"/>
              <w:left w:val="nil"/>
              <w:bottom w:val="single" w:sz="4" w:space="0" w:color="auto"/>
              <w:right w:val="single" w:sz="4" w:space="0" w:color="auto"/>
            </w:tcBorders>
            <w:noWrap/>
            <w:vAlign w:val="center"/>
            <w:hideMark/>
          </w:tcPr>
          <w:p w14:paraId="4D4C054C"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10.14</w:t>
            </w:r>
          </w:p>
        </w:tc>
        <w:tc>
          <w:tcPr>
            <w:tcW w:w="624" w:type="pct"/>
            <w:tcBorders>
              <w:top w:val="nil"/>
              <w:left w:val="nil"/>
              <w:bottom w:val="single" w:sz="4" w:space="0" w:color="auto"/>
              <w:right w:val="single" w:sz="4" w:space="0" w:color="auto"/>
            </w:tcBorders>
            <w:noWrap/>
            <w:vAlign w:val="center"/>
            <w:hideMark/>
          </w:tcPr>
          <w:p w14:paraId="787420BA"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5127.57**</w:t>
            </w:r>
          </w:p>
        </w:tc>
        <w:tc>
          <w:tcPr>
            <w:tcW w:w="768" w:type="pct"/>
            <w:tcBorders>
              <w:top w:val="nil"/>
              <w:left w:val="nil"/>
              <w:bottom w:val="single" w:sz="4" w:space="0" w:color="auto"/>
              <w:right w:val="single" w:sz="4" w:space="0" w:color="auto"/>
            </w:tcBorders>
            <w:noWrap/>
            <w:vAlign w:val="center"/>
            <w:hideMark/>
          </w:tcPr>
          <w:p w14:paraId="1A1883E5"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1670.06**</w:t>
            </w:r>
          </w:p>
        </w:tc>
        <w:tc>
          <w:tcPr>
            <w:tcW w:w="850" w:type="pct"/>
            <w:tcBorders>
              <w:top w:val="nil"/>
              <w:left w:val="nil"/>
              <w:bottom w:val="single" w:sz="4" w:space="0" w:color="auto"/>
              <w:right w:val="single" w:sz="4" w:space="0" w:color="auto"/>
            </w:tcBorders>
            <w:noWrap/>
            <w:vAlign w:val="center"/>
            <w:hideMark/>
          </w:tcPr>
          <w:p w14:paraId="3988B9A4"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121.03</w:t>
            </w:r>
          </w:p>
        </w:tc>
        <w:tc>
          <w:tcPr>
            <w:tcW w:w="611" w:type="pct"/>
            <w:tcBorders>
              <w:top w:val="nil"/>
              <w:left w:val="nil"/>
              <w:bottom w:val="single" w:sz="4" w:space="0" w:color="auto"/>
              <w:right w:val="single" w:sz="4" w:space="0" w:color="auto"/>
            </w:tcBorders>
            <w:noWrap/>
            <w:vAlign w:val="center"/>
            <w:hideMark/>
          </w:tcPr>
          <w:p w14:paraId="4D468D10"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196.78</w:t>
            </w:r>
          </w:p>
        </w:tc>
      </w:tr>
      <w:tr w:rsidR="0002738C" w:rsidRPr="000741BA" w14:paraId="0C31876F" w14:textId="77777777" w:rsidTr="00B22435">
        <w:trPr>
          <w:trHeight w:val="432"/>
          <w:jc w:val="center"/>
        </w:trPr>
        <w:tc>
          <w:tcPr>
            <w:tcW w:w="373" w:type="pct"/>
            <w:tcBorders>
              <w:top w:val="nil"/>
              <w:left w:val="single" w:sz="4" w:space="0" w:color="auto"/>
              <w:bottom w:val="single" w:sz="4" w:space="0" w:color="auto"/>
              <w:right w:val="single" w:sz="4" w:space="0" w:color="auto"/>
            </w:tcBorders>
            <w:noWrap/>
            <w:vAlign w:val="center"/>
            <w:hideMark/>
          </w:tcPr>
          <w:p w14:paraId="28A42F0C"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w:t>
            </w:r>
          </w:p>
        </w:tc>
        <w:tc>
          <w:tcPr>
            <w:tcW w:w="1151" w:type="pct"/>
            <w:tcBorders>
              <w:top w:val="nil"/>
              <w:left w:val="nil"/>
              <w:bottom w:val="single" w:sz="4" w:space="0" w:color="auto"/>
              <w:right w:val="single" w:sz="4" w:space="0" w:color="auto"/>
            </w:tcBorders>
            <w:noWrap/>
            <w:vAlign w:val="center"/>
            <w:hideMark/>
          </w:tcPr>
          <w:p w14:paraId="3DADB5E7" w14:textId="77777777" w:rsidR="0002738C" w:rsidRPr="000741BA" w:rsidRDefault="0002738C" w:rsidP="000741BA">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Panicle length </w:t>
            </w:r>
            <w:r w:rsidRPr="000741BA">
              <w:rPr>
                <w:rFonts w:ascii="Times New Roman" w:hAnsi="Times New Roman" w:cs="Times New Roman"/>
                <w:sz w:val="24"/>
                <w:szCs w:val="24"/>
              </w:rPr>
              <w:t>(cm)</w:t>
            </w:r>
          </w:p>
        </w:tc>
        <w:tc>
          <w:tcPr>
            <w:tcW w:w="623" w:type="pct"/>
            <w:tcBorders>
              <w:top w:val="nil"/>
              <w:left w:val="nil"/>
              <w:bottom w:val="single" w:sz="4" w:space="0" w:color="auto"/>
              <w:right w:val="single" w:sz="4" w:space="0" w:color="auto"/>
            </w:tcBorders>
            <w:noWrap/>
            <w:vAlign w:val="center"/>
            <w:hideMark/>
          </w:tcPr>
          <w:p w14:paraId="4C2830E4"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13.01</w:t>
            </w:r>
          </w:p>
        </w:tc>
        <w:tc>
          <w:tcPr>
            <w:tcW w:w="624" w:type="pct"/>
            <w:tcBorders>
              <w:top w:val="nil"/>
              <w:left w:val="nil"/>
              <w:bottom w:val="single" w:sz="4" w:space="0" w:color="auto"/>
              <w:right w:val="single" w:sz="4" w:space="0" w:color="auto"/>
            </w:tcBorders>
            <w:noWrap/>
            <w:vAlign w:val="center"/>
            <w:hideMark/>
          </w:tcPr>
          <w:p w14:paraId="3CE869BA"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21.34**</w:t>
            </w:r>
          </w:p>
        </w:tc>
        <w:tc>
          <w:tcPr>
            <w:tcW w:w="768" w:type="pct"/>
            <w:tcBorders>
              <w:top w:val="nil"/>
              <w:left w:val="nil"/>
              <w:bottom w:val="single" w:sz="4" w:space="0" w:color="auto"/>
              <w:right w:val="single" w:sz="4" w:space="0" w:color="auto"/>
            </w:tcBorders>
            <w:noWrap/>
            <w:vAlign w:val="center"/>
            <w:hideMark/>
          </w:tcPr>
          <w:p w14:paraId="3B2CE8AD"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86.48**</w:t>
            </w:r>
          </w:p>
        </w:tc>
        <w:tc>
          <w:tcPr>
            <w:tcW w:w="850" w:type="pct"/>
            <w:tcBorders>
              <w:top w:val="nil"/>
              <w:left w:val="nil"/>
              <w:bottom w:val="single" w:sz="4" w:space="0" w:color="auto"/>
              <w:right w:val="single" w:sz="4" w:space="0" w:color="auto"/>
            </w:tcBorders>
            <w:noWrap/>
            <w:vAlign w:val="center"/>
            <w:hideMark/>
          </w:tcPr>
          <w:p w14:paraId="44E70219"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5.53**</w:t>
            </w:r>
          </w:p>
        </w:tc>
        <w:tc>
          <w:tcPr>
            <w:tcW w:w="611" w:type="pct"/>
            <w:tcBorders>
              <w:top w:val="nil"/>
              <w:left w:val="nil"/>
              <w:bottom w:val="single" w:sz="4" w:space="0" w:color="auto"/>
              <w:right w:val="single" w:sz="4" w:space="0" w:color="auto"/>
            </w:tcBorders>
            <w:noWrap/>
            <w:vAlign w:val="center"/>
            <w:hideMark/>
          </w:tcPr>
          <w:p w14:paraId="6D485D55"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2.46</w:t>
            </w:r>
          </w:p>
        </w:tc>
      </w:tr>
      <w:tr w:rsidR="0002738C" w:rsidRPr="000741BA" w14:paraId="12CF4566" w14:textId="77777777" w:rsidTr="00B22435">
        <w:trPr>
          <w:trHeight w:val="432"/>
          <w:jc w:val="center"/>
        </w:trPr>
        <w:tc>
          <w:tcPr>
            <w:tcW w:w="373" w:type="pct"/>
            <w:tcBorders>
              <w:top w:val="nil"/>
              <w:left w:val="single" w:sz="4" w:space="0" w:color="auto"/>
              <w:bottom w:val="single" w:sz="4" w:space="0" w:color="auto"/>
              <w:right w:val="single" w:sz="4" w:space="0" w:color="auto"/>
            </w:tcBorders>
            <w:noWrap/>
            <w:vAlign w:val="center"/>
            <w:hideMark/>
          </w:tcPr>
          <w:p w14:paraId="6325630C"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w:t>
            </w:r>
          </w:p>
        </w:tc>
        <w:tc>
          <w:tcPr>
            <w:tcW w:w="1151" w:type="pct"/>
            <w:tcBorders>
              <w:top w:val="nil"/>
              <w:left w:val="nil"/>
              <w:bottom w:val="single" w:sz="4" w:space="0" w:color="auto"/>
              <w:right w:val="single" w:sz="4" w:space="0" w:color="auto"/>
            </w:tcBorders>
            <w:noWrap/>
            <w:vAlign w:val="center"/>
            <w:hideMark/>
          </w:tcPr>
          <w:p w14:paraId="2C55A644" w14:textId="77777777" w:rsidR="0002738C" w:rsidRPr="000741BA" w:rsidRDefault="0002738C" w:rsidP="000741BA">
            <w:pPr>
              <w:spacing w:after="0" w:line="240" w:lineRule="auto"/>
              <w:ind w:right="-75"/>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Days to 50% flowering </w:t>
            </w:r>
          </w:p>
        </w:tc>
        <w:tc>
          <w:tcPr>
            <w:tcW w:w="623" w:type="pct"/>
            <w:tcBorders>
              <w:top w:val="nil"/>
              <w:left w:val="nil"/>
              <w:bottom w:val="single" w:sz="4" w:space="0" w:color="auto"/>
              <w:right w:val="single" w:sz="4" w:space="0" w:color="auto"/>
            </w:tcBorders>
            <w:noWrap/>
            <w:vAlign w:val="center"/>
            <w:hideMark/>
          </w:tcPr>
          <w:p w14:paraId="6CD84F8C"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160.71</w:t>
            </w:r>
          </w:p>
        </w:tc>
        <w:tc>
          <w:tcPr>
            <w:tcW w:w="624" w:type="pct"/>
            <w:tcBorders>
              <w:top w:val="nil"/>
              <w:left w:val="nil"/>
              <w:bottom w:val="single" w:sz="4" w:space="0" w:color="auto"/>
              <w:right w:val="single" w:sz="4" w:space="0" w:color="auto"/>
            </w:tcBorders>
            <w:noWrap/>
            <w:vAlign w:val="center"/>
            <w:hideMark/>
          </w:tcPr>
          <w:p w14:paraId="4170ADB0"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8.02</w:t>
            </w:r>
          </w:p>
        </w:tc>
        <w:tc>
          <w:tcPr>
            <w:tcW w:w="768" w:type="pct"/>
            <w:tcBorders>
              <w:top w:val="nil"/>
              <w:left w:val="nil"/>
              <w:bottom w:val="single" w:sz="4" w:space="0" w:color="auto"/>
              <w:right w:val="single" w:sz="4" w:space="0" w:color="auto"/>
            </w:tcBorders>
            <w:noWrap/>
            <w:vAlign w:val="center"/>
            <w:hideMark/>
          </w:tcPr>
          <w:p w14:paraId="1AC40E49"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43.04**</w:t>
            </w:r>
          </w:p>
        </w:tc>
        <w:tc>
          <w:tcPr>
            <w:tcW w:w="850" w:type="pct"/>
            <w:tcBorders>
              <w:top w:val="nil"/>
              <w:left w:val="nil"/>
              <w:bottom w:val="single" w:sz="4" w:space="0" w:color="auto"/>
              <w:right w:val="single" w:sz="4" w:space="0" w:color="auto"/>
            </w:tcBorders>
            <w:noWrap/>
            <w:vAlign w:val="center"/>
            <w:hideMark/>
          </w:tcPr>
          <w:p w14:paraId="6E64B5B9"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6.92</w:t>
            </w:r>
          </w:p>
        </w:tc>
        <w:tc>
          <w:tcPr>
            <w:tcW w:w="611" w:type="pct"/>
            <w:tcBorders>
              <w:top w:val="nil"/>
              <w:left w:val="nil"/>
              <w:bottom w:val="single" w:sz="4" w:space="0" w:color="auto"/>
              <w:right w:val="single" w:sz="4" w:space="0" w:color="auto"/>
            </w:tcBorders>
            <w:noWrap/>
            <w:vAlign w:val="center"/>
            <w:hideMark/>
          </w:tcPr>
          <w:p w14:paraId="289C64AF"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7.37</w:t>
            </w:r>
          </w:p>
        </w:tc>
      </w:tr>
      <w:tr w:rsidR="0002738C" w:rsidRPr="000741BA" w14:paraId="56D6B606" w14:textId="77777777" w:rsidTr="00B22435">
        <w:trPr>
          <w:trHeight w:val="432"/>
          <w:jc w:val="center"/>
        </w:trPr>
        <w:tc>
          <w:tcPr>
            <w:tcW w:w="373" w:type="pct"/>
            <w:tcBorders>
              <w:top w:val="nil"/>
              <w:left w:val="single" w:sz="4" w:space="0" w:color="auto"/>
              <w:bottom w:val="single" w:sz="4" w:space="0" w:color="auto"/>
              <w:right w:val="single" w:sz="4" w:space="0" w:color="auto"/>
            </w:tcBorders>
            <w:noWrap/>
            <w:vAlign w:val="center"/>
            <w:hideMark/>
          </w:tcPr>
          <w:p w14:paraId="34A619E5"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w:t>
            </w:r>
          </w:p>
        </w:tc>
        <w:tc>
          <w:tcPr>
            <w:tcW w:w="1151" w:type="pct"/>
            <w:tcBorders>
              <w:top w:val="nil"/>
              <w:left w:val="nil"/>
              <w:bottom w:val="single" w:sz="4" w:space="0" w:color="auto"/>
              <w:right w:val="single" w:sz="4" w:space="0" w:color="auto"/>
            </w:tcBorders>
            <w:noWrap/>
            <w:vAlign w:val="center"/>
            <w:hideMark/>
          </w:tcPr>
          <w:p w14:paraId="633C36BD" w14:textId="77777777" w:rsidR="0002738C" w:rsidRPr="000741BA" w:rsidRDefault="0002738C" w:rsidP="000741BA">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Days to maturity</w:t>
            </w:r>
          </w:p>
        </w:tc>
        <w:tc>
          <w:tcPr>
            <w:tcW w:w="623" w:type="pct"/>
            <w:tcBorders>
              <w:top w:val="nil"/>
              <w:left w:val="nil"/>
              <w:bottom w:val="single" w:sz="4" w:space="0" w:color="auto"/>
              <w:right w:val="single" w:sz="4" w:space="0" w:color="auto"/>
            </w:tcBorders>
            <w:noWrap/>
            <w:vAlign w:val="center"/>
            <w:hideMark/>
          </w:tcPr>
          <w:p w14:paraId="180CD49E"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29.34 </w:t>
            </w:r>
          </w:p>
        </w:tc>
        <w:tc>
          <w:tcPr>
            <w:tcW w:w="624" w:type="pct"/>
            <w:tcBorders>
              <w:top w:val="nil"/>
              <w:left w:val="nil"/>
              <w:bottom w:val="single" w:sz="4" w:space="0" w:color="auto"/>
              <w:right w:val="single" w:sz="4" w:space="0" w:color="auto"/>
            </w:tcBorders>
            <w:noWrap/>
            <w:vAlign w:val="center"/>
            <w:hideMark/>
          </w:tcPr>
          <w:p w14:paraId="3F4570B7"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12.87**</w:t>
            </w:r>
          </w:p>
        </w:tc>
        <w:tc>
          <w:tcPr>
            <w:tcW w:w="768" w:type="pct"/>
            <w:tcBorders>
              <w:top w:val="nil"/>
              <w:left w:val="nil"/>
              <w:bottom w:val="single" w:sz="4" w:space="0" w:color="auto"/>
              <w:right w:val="single" w:sz="4" w:space="0" w:color="auto"/>
            </w:tcBorders>
            <w:noWrap/>
            <w:vAlign w:val="center"/>
            <w:hideMark/>
          </w:tcPr>
          <w:p w14:paraId="6601E29D"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36.23**</w:t>
            </w:r>
          </w:p>
        </w:tc>
        <w:tc>
          <w:tcPr>
            <w:tcW w:w="850" w:type="pct"/>
            <w:tcBorders>
              <w:top w:val="nil"/>
              <w:left w:val="nil"/>
              <w:bottom w:val="single" w:sz="4" w:space="0" w:color="auto"/>
              <w:right w:val="single" w:sz="4" w:space="0" w:color="auto"/>
            </w:tcBorders>
            <w:noWrap/>
            <w:vAlign w:val="center"/>
            <w:hideMark/>
          </w:tcPr>
          <w:p w14:paraId="715F7B79"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15.28**</w:t>
            </w:r>
          </w:p>
        </w:tc>
        <w:tc>
          <w:tcPr>
            <w:tcW w:w="611" w:type="pct"/>
            <w:tcBorders>
              <w:top w:val="nil"/>
              <w:left w:val="nil"/>
              <w:bottom w:val="single" w:sz="4" w:space="0" w:color="auto"/>
              <w:right w:val="single" w:sz="4" w:space="0" w:color="auto"/>
            </w:tcBorders>
            <w:noWrap/>
            <w:vAlign w:val="center"/>
            <w:hideMark/>
          </w:tcPr>
          <w:p w14:paraId="7710B402"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6.25</w:t>
            </w:r>
          </w:p>
        </w:tc>
      </w:tr>
      <w:tr w:rsidR="0002738C" w:rsidRPr="000741BA" w14:paraId="4F7468A6" w14:textId="77777777" w:rsidTr="00B22435">
        <w:trPr>
          <w:trHeight w:val="432"/>
          <w:jc w:val="center"/>
        </w:trPr>
        <w:tc>
          <w:tcPr>
            <w:tcW w:w="373" w:type="pct"/>
            <w:tcBorders>
              <w:top w:val="nil"/>
              <w:left w:val="single" w:sz="4" w:space="0" w:color="auto"/>
              <w:bottom w:val="single" w:sz="4" w:space="0" w:color="auto"/>
              <w:right w:val="single" w:sz="4" w:space="0" w:color="auto"/>
            </w:tcBorders>
            <w:noWrap/>
            <w:vAlign w:val="center"/>
            <w:hideMark/>
          </w:tcPr>
          <w:p w14:paraId="0611E36B"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w:t>
            </w:r>
          </w:p>
        </w:tc>
        <w:tc>
          <w:tcPr>
            <w:tcW w:w="1151" w:type="pct"/>
            <w:tcBorders>
              <w:top w:val="nil"/>
              <w:left w:val="nil"/>
              <w:bottom w:val="single" w:sz="4" w:space="0" w:color="auto"/>
              <w:right w:val="single" w:sz="4" w:space="0" w:color="auto"/>
            </w:tcBorders>
            <w:noWrap/>
            <w:vAlign w:val="center"/>
            <w:hideMark/>
          </w:tcPr>
          <w:p w14:paraId="774E2E2C" w14:textId="77777777" w:rsidR="0002738C" w:rsidRPr="000741BA" w:rsidRDefault="0002738C" w:rsidP="000741BA">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100 grain weight (g)</w:t>
            </w:r>
          </w:p>
        </w:tc>
        <w:tc>
          <w:tcPr>
            <w:tcW w:w="623" w:type="pct"/>
            <w:tcBorders>
              <w:top w:val="nil"/>
              <w:left w:val="nil"/>
              <w:bottom w:val="single" w:sz="4" w:space="0" w:color="auto"/>
              <w:right w:val="single" w:sz="4" w:space="0" w:color="auto"/>
            </w:tcBorders>
            <w:noWrap/>
            <w:vAlign w:val="center"/>
            <w:hideMark/>
          </w:tcPr>
          <w:p w14:paraId="0D4E57EE"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0.01</w:t>
            </w:r>
          </w:p>
        </w:tc>
        <w:tc>
          <w:tcPr>
            <w:tcW w:w="624" w:type="pct"/>
            <w:tcBorders>
              <w:top w:val="nil"/>
              <w:left w:val="nil"/>
              <w:bottom w:val="single" w:sz="4" w:space="0" w:color="auto"/>
              <w:right w:val="single" w:sz="4" w:space="0" w:color="auto"/>
            </w:tcBorders>
            <w:noWrap/>
            <w:vAlign w:val="center"/>
            <w:hideMark/>
          </w:tcPr>
          <w:p w14:paraId="11900860"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1.08**</w:t>
            </w:r>
          </w:p>
        </w:tc>
        <w:tc>
          <w:tcPr>
            <w:tcW w:w="768" w:type="pct"/>
            <w:tcBorders>
              <w:top w:val="nil"/>
              <w:left w:val="nil"/>
              <w:bottom w:val="single" w:sz="4" w:space="0" w:color="auto"/>
              <w:right w:val="single" w:sz="4" w:space="0" w:color="auto"/>
            </w:tcBorders>
            <w:noWrap/>
            <w:vAlign w:val="center"/>
            <w:hideMark/>
          </w:tcPr>
          <w:p w14:paraId="5D9E0637"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0.526**</w:t>
            </w:r>
          </w:p>
        </w:tc>
        <w:tc>
          <w:tcPr>
            <w:tcW w:w="850" w:type="pct"/>
            <w:tcBorders>
              <w:top w:val="nil"/>
              <w:left w:val="nil"/>
              <w:bottom w:val="single" w:sz="4" w:space="0" w:color="auto"/>
              <w:right w:val="single" w:sz="4" w:space="0" w:color="auto"/>
            </w:tcBorders>
            <w:noWrap/>
            <w:vAlign w:val="center"/>
            <w:hideMark/>
          </w:tcPr>
          <w:p w14:paraId="126166CB"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0.10**</w:t>
            </w:r>
          </w:p>
        </w:tc>
        <w:tc>
          <w:tcPr>
            <w:tcW w:w="611" w:type="pct"/>
            <w:tcBorders>
              <w:top w:val="nil"/>
              <w:left w:val="nil"/>
              <w:bottom w:val="single" w:sz="4" w:space="0" w:color="auto"/>
              <w:right w:val="single" w:sz="4" w:space="0" w:color="auto"/>
            </w:tcBorders>
            <w:noWrap/>
            <w:vAlign w:val="center"/>
            <w:hideMark/>
          </w:tcPr>
          <w:p w14:paraId="3DB1220F"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0.03</w:t>
            </w:r>
          </w:p>
        </w:tc>
      </w:tr>
      <w:tr w:rsidR="0002738C" w:rsidRPr="000741BA" w14:paraId="3C04CD48" w14:textId="77777777" w:rsidTr="00B22435">
        <w:trPr>
          <w:trHeight w:val="432"/>
          <w:jc w:val="center"/>
        </w:trPr>
        <w:tc>
          <w:tcPr>
            <w:tcW w:w="373" w:type="pct"/>
            <w:tcBorders>
              <w:top w:val="nil"/>
              <w:left w:val="single" w:sz="4" w:space="0" w:color="auto"/>
              <w:bottom w:val="single" w:sz="4" w:space="0" w:color="auto"/>
              <w:right w:val="single" w:sz="4" w:space="0" w:color="auto"/>
            </w:tcBorders>
            <w:noWrap/>
            <w:vAlign w:val="center"/>
            <w:hideMark/>
          </w:tcPr>
          <w:p w14:paraId="3FDF81EB"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w:t>
            </w:r>
          </w:p>
        </w:tc>
        <w:tc>
          <w:tcPr>
            <w:tcW w:w="1151" w:type="pct"/>
            <w:tcBorders>
              <w:top w:val="nil"/>
              <w:left w:val="nil"/>
              <w:bottom w:val="single" w:sz="4" w:space="0" w:color="auto"/>
              <w:right w:val="single" w:sz="4" w:space="0" w:color="auto"/>
            </w:tcBorders>
            <w:noWrap/>
            <w:vAlign w:val="center"/>
            <w:hideMark/>
          </w:tcPr>
          <w:p w14:paraId="7C87F77F" w14:textId="77777777" w:rsidR="0002738C" w:rsidRPr="000741BA" w:rsidRDefault="0002738C" w:rsidP="000741BA">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Grain yield </w:t>
            </w:r>
            <w:r w:rsidRPr="000741BA">
              <w:rPr>
                <w:rFonts w:ascii="Times New Roman" w:eastAsia="Times New Roman" w:hAnsi="Times New Roman" w:cs="Times New Roman"/>
                <w:spacing w:val="6"/>
                <w:sz w:val="24"/>
                <w:szCs w:val="24"/>
              </w:rPr>
              <w:t>(kg ha</w:t>
            </w:r>
            <w:r w:rsidRPr="000741BA">
              <w:rPr>
                <w:rFonts w:ascii="Times New Roman" w:eastAsia="Times New Roman" w:hAnsi="Times New Roman" w:cs="Times New Roman"/>
                <w:spacing w:val="6"/>
                <w:sz w:val="24"/>
                <w:szCs w:val="24"/>
                <w:vertAlign w:val="superscript"/>
              </w:rPr>
              <w:t>-1</w:t>
            </w:r>
            <w:r w:rsidRPr="000741BA">
              <w:rPr>
                <w:rFonts w:ascii="Times New Roman" w:eastAsia="Times New Roman" w:hAnsi="Times New Roman" w:cs="Times New Roman"/>
                <w:spacing w:val="6"/>
                <w:sz w:val="24"/>
                <w:szCs w:val="24"/>
              </w:rPr>
              <w:t>)</w:t>
            </w:r>
          </w:p>
        </w:tc>
        <w:tc>
          <w:tcPr>
            <w:tcW w:w="623" w:type="pct"/>
            <w:tcBorders>
              <w:top w:val="nil"/>
              <w:left w:val="nil"/>
              <w:bottom w:val="single" w:sz="4" w:space="0" w:color="auto"/>
              <w:right w:val="single" w:sz="4" w:space="0" w:color="auto"/>
            </w:tcBorders>
            <w:noWrap/>
            <w:vAlign w:val="center"/>
            <w:hideMark/>
          </w:tcPr>
          <w:p w14:paraId="072ECF42"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1564.89</w:t>
            </w:r>
          </w:p>
        </w:tc>
        <w:tc>
          <w:tcPr>
            <w:tcW w:w="624" w:type="pct"/>
            <w:tcBorders>
              <w:top w:val="nil"/>
              <w:left w:val="nil"/>
              <w:bottom w:val="single" w:sz="4" w:space="0" w:color="auto"/>
              <w:right w:val="single" w:sz="4" w:space="0" w:color="auto"/>
            </w:tcBorders>
            <w:noWrap/>
            <w:vAlign w:val="center"/>
            <w:hideMark/>
          </w:tcPr>
          <w:p w14:paraId="29D1BDDE"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2651079**</w:t>
            </w:r>
          </w:p>
        </w:tc>
        <w:tc>
          <w:tcPr>
            <w:tcW w:w="768" w:type="pct"/>
            <w:tcBorders>
              <w:top w:val="nil"/>
              <w:left w:val="nil"/>
              <w:bottom w:val="single" w:sz="4" w:space="0" w:color="auto"/>
              <w:right w:val="single" w:sz="4" w:space="0" w:color="auto"/>
            </w:tcBorders>
            <w:noWrap/>
            <w:vAlign w:val="center"/>
            <w:hideMark/>
          </w:tcPr>
          <w:p w14:paraId="6E6DAB89"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3168006**</w:t>
            </w:r>
          </w:p>
        </w:tc>
        <w:tc>
          <w:tcPr>
            <w:tcW w:w="850" w:type="pct"/>
            <w:tcBorders>
              <w:top w:val="nil"/>
              <w:left w:val="nil"/>
              <w:bottom w:val="single" w:sz="4" w:space="0" w:color="auto"/>
              <w:right w:val="single" w:sz="4" w:space="0" w:color="auto"/>
            </w:tcBorders>
            <w:noWrap/>
            <w:vAlign w:val="center"/>
            <w:hideMark/>
          </w:tcPr>
          <w:p w14:paraId="005AA853"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138807.10**</w:t>
            </w:r>
          </w:p>
        </w:tc>
        <w:tc>
          <w:tcPr>
            <w:tcW w:w="611" w:type="pct"/>
            <w:tcBorders>
              <w:top w:val="nil"/>
              <w:left w:val="nil"/>
              <w:bottom w:val="single" w:sz="4" w:space="0" w:color="auto"/>
              <w:right w:val="single" w:sz="4" w:space="0" w:color="auto"/>
            </w:tcBorders>
            <w:noWrap/>
            <w:vAlign w:val="center"/>
            <w:hideMark/>
          </w:tcPr>
          <w:p w14:paraId="30F82DE1"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83362.02</w:t>
            </w:r>
          </w:p>
        </w:tc>
      </w:tr>
      <w:tr w:rsidR="0002738C" w:rsidRPr="000741BA" w14:paraId="50AB2B8C" w14:textId="77777777" w:rsidTr="00B22435">
        <w:trPr>
          <w:trHeight w:val="432"/>
          <w:jc w:val="center"/>
        </w:trPr>
        <w:tc>
          <w:tcPr>
            <w:tcW w:w="373" w:type="pct"/>
            <w:tcBorders>
              <w:top w:val="nil"/>
              <w:left w:val="single" w:sz="4" w:space="0" w:color="auto"/>
              <w:bottom w:val="single" w:sz="4" w:space="0" w:color="auto"/>
              <w:right w:val="single" w:sz="4" w:space="0" w:color="auto"/>
            </w:tcBorders>
            <w:noWrap/>
            <w:vAlign w:val="center"/>
            <w:hideMark/>
          </w:tcPr>
          <w:p w14:paraId="1F442264"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w:t>
            </w:r>
          </w:p>
        </w:tc>
        <w:tc>
          <w:tcPr>
            <w:tcW w:w="1151" w:type="pct"/>
            <w:tcBorders>
              <w:top w:val="nil"/>
              <w:left w:val="nil"/>
              <w:bottom w:val="single" w:sz="4" w:space="0" w:color="auto"/>
              <w:right w:val="single" w:sz="4" w:space="0" w:color="auto"/>
            </w:tcBorders>
            <w:noWrap/>
            <w:vAlign w:val="center"/>
            <w:hideMark/>
          </w:tcPr>
          <w:p w14:paraId="13E82B00" w14:textId="77777777" w:rsidR="0002738C" w:rsidRPr="000741BA" w:rsidRDefault="0002738C" w:rsidP="000741BA">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Dry fodder yield </w:t>
            </w:r>
            <w:r w:rsidRPr="000741BA">
              <w:rPr>
                <w:rFonts w:ascii="Times New Roman" w:eastAsia="Times New Roman" w:hAnsi="Times New Roman" w:cs="Times New Roman"/>
                <w:spacing w:val="6"/>
                <w:sz w:val="24"/>
                <w:szCs w:val="24"/>
              </w:rPr>
              <w:t>(kg ha</w:t>
            </w:r>
            <w:r w:rsidRPr="000741BA">
              <w:rPr>
                <w:rFonts w:ascii="Times New Roman" w:eastAsia="Times New Roman" w:hAnsi="Times New Roman" w:cs="Times New Roman"/>
                <w:spacing w:val="6"/>
                <w:sz w:val="24"/>
                <w:szCs w:val="24"/>
                <w:vertAlign w:val="superscript"/>
              </w:rPr>
              <w:t>-1</w:t>
            </w:r>
            <w:r w:rsidRPr="000741BA">
              <w:rPr>
                <w:rFonts w:ascii="Times New Roman" w:eastAsia="Times New Roman" w:hAnsi="Times New Roman" w:cs="Times New Roman"/>
                <w:spacing w:val="6"/>
                <w:sz w:val="24"/>
                <w:szCs w:val="24"/>
              </w:rPr>
              <w:t>)</w:t>
            </w:r>
          </w:p>
        </w:tc>
        <w:tc>
          <w:tcPr>
            <w:tcW w:w="623" w:type="pct"/>
            <w:tcBorders>
              <w:top w:val="nil"/>
              <w:left w:val="nil"/>
              <w:bottom w:val="single" w:sz="4" w:space="0" w:color="auto"/>
              <w:right w:val="single" w:sz="4" w:space="0" w:color="auto"/>
            </w:tcBorders>
            <w:noWrap/>
            <w:vAlign w:val="center"/>
            <w:hideMark/>
          </w:tcPr>
          <w:p w14:paraId="4CC65C37"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2771350</w:t>
            </w:r>
          </w:p>
        </w:tc>
        <w:tc>
          <w:tcPr>
            <w:tcW w:w="624" w:type="pct"/>
            <w:tcBorders>
              <w:top w:val="nil"/>
              <w:left w:val="nil"/>
              <w:bottom w:val="single" w:sz="4" w:space="0" w:color="auto"/>
              <w:right w:val="single" w:sz="4" w:space="0" w:color="auto"/>
            </w:tcBorders>
            <w:noWrap/>
            <w:vAlign w:val="center"/>
            <w:hideMark/>
          </w:tcPr>
          <w:p w14:paraId="70CC932D"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7728339.00**</w:t>
            </w:r>
          </w:p>
        </w:tc>
        <w:tc>
          <w:tcPr>
            <w:tcW w:w="768" w:type="pct"/>
            <w:tcBorders>
              <w:top w:val="nil"/>
              <w:left w:val="nil"/>
              <w:bottom w:val="single" w:sz="4" w:space="0" w:color="auto"/>
              <w:right w:val="single" w:sz="4" w:space="0" w:color="auto"/>
            </w:tcBorders>
            <w:noWrap/>
            <w:vAlign w:val="center"/>
            <w:hideMark/>
          </w:tcPr>
          <w:p w14:paraId="73372672"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48625270.00**</w:t>
            </w:r>
          </w:p>
        </w:tc>
        <w:tc>
          <w:tcPr>
            <w:tcW w:w="850" w:type="pct"/>
            <w:tcBorders>
              <w:top w:val="nil"/>
              <w:left w:val="nil"/>
              <w:bottom w:val="single" w:sz="4" w:space="0" w:color="auto"/>
              <w:right w:val="single" w:sz="4" w:space="0" w:color="auto"/>
            </w:tcBorders>
            <w:noWrap/>
            <w:vAlign w:val="center"/>
            <w:hideMark/>
          </w:tcPr>
          <w:p w14:paraId="25CAE26B"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1899727.00**</w:t>
            </w:r>
          </w:p>
        </w:tc>
        <w:tc>
          <w:tcPr>
            <w:tcW w:w="611" w:type="pct"/>
            <w:tcBorders>
              <w:top w:val="nil"/>
              <w:left w:val="nil"/>
              <w:bottom w:val="single" w:sz="4" w:space="0" w:color="auto"/>
              <w:right w:val="single" w:sz="4" w:space="0" w:color="auto"/>
            </w:tcBorders>
            <w:noWrap/>
            <w:vAlign w:val="center"/>
            <w:hideMark/>
          </w:tcPr>
          <w:p w14:paraId="735CF836"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1060904</w:t>
            </w:r>
          </w:p>
        </w:tc>
      </w:tr>
    </w:tbl>
    <w:p w14:paraId="51B2847B" w14:textId="77777777" w:rsidR="0002738C" w:rsidRPr="003209AE" w:rsidRDefault="0002738C" w:rsidP="00B676B8">
      <w:pPr>
        <w:spacing w:after="100" w:line="240" w:lineRule="auto"/>
        <w:ind w:left="1296" w:hanging="1296"/>
        <w:jc w:val="both"/>
        <w:rPr>
          <w:rFonts w:ascii="Times New Roman" w:hAnsi="Times New Roman" w:cs="Times New Roman"/>
          <w:sz w:val="27"/>
          <w:szCs w:val="27"/>
        </w:rPr>
      </w:pPr>
      <w:r w:rsidRPr="003209AE">
        <w:rPr>
          <w:rFonts w:ascii="Times New Roman" w:hAnsi="Times New Roman" w:cs="Times New Roman"/>
          <w:sz w:val="27"/>
          <w:szCs w:val="27"/>
        </w:rPr>
        <w:t>* Significance at 5% level          ** Significance at 1% level</w:t>
      </w:r>
    </w:p>
    <w:p w14:paraId="48914EBB" w14:textId="77777777" w:rsidR="0002738C" w:rsidRPr="003209AE" w:rsidRDefault="0002738C" w:rsidP="00B676B8">
      <w:pPr>
        <w:spacing w:after="100" w:line="240" w:lineRule="auto"/>
        <w:ind w:left="1296" w:hanging="1296"/>
        <w:jc w:val="both"/>
        <w:rPr>
          <w:rFonts w:ascii="Times New Roman" w:eastAsia="Calibri" w:hAnsi="Times New Roman" w:cs="Times New Roman"/>
          <w:b/>
          <w:bCs/>
          <w:sz w:val="24"/>
          <w:szCs w:val="24"/>
        </w:rPr>
      </w:pPr>
    </w:p>
    <w:p w14:paraId="098632EE" w14:textId="77777777" w:rsidR="00305505" w:rsidRPr="003209AE" w:rsidRDefault="00305505" w:rsidP="00D45858">
      <w:pPr>
        <w:jc w:val="both"/>
        <w:rPr>
          <w:rFonts w:ascii="Times New Roman" w:hAnsi="Times New Roman" w:cs="Times New Roman"/>
          <w:b/>
          <w:sz w:val="26"/>
          <w:szCs w:val="26"/>
        </w:rPr>
      </w:pPr>
    </w:p>
    <w:p w14:paraId="7C5C8383" w14:textId="77777777" w:rsidR="00305505" w:rsidRPr="003209AE" w:rsidRDefault="00305505" w:rsidP="00D45858">
      <w:pPr>
        <w:jc w:val="both"/>
        <w:rPr>
          <w:rFonts w:ascii="Times New Roman" w:hAnsi="Times New Roman" w:cs="Times New Roman"/>
          <w:b/>
          <w:sz w:val="26"/>
          <w:szCs w:val="26"/>
        </w:rPr>
      </w:pPr>
    </w:p>
    <w:p w14:paraId="042E3B7E" w14:textId="77777777" w:rsidR="00305505" w:rsidRPr="003209AE" w:rsidRDefault="00305505" w:rsidP="00D45858">
      <w:pPr>
        <w:jc w:val="both"/>
        <w:rPr>
          <w:rFonts w:ascii="Times New Roman" w:hAnsi="Times New Roman" w:cs="Times New Roman"/>
          <w:b/>
          <w:sz w:val="26"/>
          <w:szCs w:val="26"/>
        </w:rPr>
      </w:pPr>
    </w:p>
    <w:p w14:paraId="7CAD10D5" w14:textId="77777777" w:rsidR="00305505" w:rsidRPr="003209AE" w:rsidRDefault="00305505" w:rsidP="00D45858">
      <w:pPr>
        <w:jc w:val="both"/>
        <w:rPr>
          <w:rFonts w:ascii="Times New Roman" w:hAnsi="Times New Roman" w:cs="Times New Roman"/>
          <w:b/>
          <w:sz w:val="26"/>
          <w:szCs w:val="26"/>
        </w:rPr>
      </w:pPr>
    </w:p>
    <w:p w14:paraId="166BC733" w14:textId="77777777" w:rsidR="00305505" w:rsidRPr="003209AE" w:rsidRDefault="00305505" w:rsidP="00D45858">
      <w:pPr>
        <w:jc w:val="both"/>
        <w:rPr>
          <w:rFonts w:ascii="Times New Roman" w:hAnsi="Times New Roman" w:cs="Times New Roman"/>
          <w:b/>
          <w:sz w:val="26"/>
          <w:szCs w:val="26"/>
        </w:rPr>
      </w:pPr>
    </w:p>
    <w:p w14:paraId="3FC5A0E8" w14:textId="77777777" w:rsidR="00D45858" w:rsidRPr="003209AE" w:rsidRDefault="00D45858" w:rsidP="00305505">
      <w:pPr>
        <w:jc w:val="both"/>
        <w:rPr>
          <w:rFonts w:ascii="Times New Roman" w:hAnsi="Times New Roman" w:cs="Times New Roman"/>
          <w:b/>
          <w:sz w:val="24"/>
          <w:szCs w:val="24"/>
        </w:rPr>
      </w:pPr>
      <w:r w:rsidRPr="003209AE">
        <w:rPr>
          <w:rFonts w:ascii="Times New Roman" w:hAnsi="Times New Roman" w:cs="Times New Roman"/>
          <w:b/>
          <w:sz w:val="24"/>
          <w:szCs w:val="24"/>
        </w:rPr>
        <w:lastRenderedPageBreak/>
        <w:t xml:space="preserve">Table </w:t>
      </w:r>
      <w:r w:rsidR="00D75609" w:rsidRPr="003209AE">
        <w:rPr>
          <w:rFonts w:ascii="Times New Roman" w:hAnsi="Times New Roman" w:cs="Times New Roman"/>
          <w:b/>
          <w:sz w:val="24"/>
          <w:szCs w:val="24"/>
        </w:rPr>
        <w:t>4.</w:t>
      </w:r>
      <w:r w:rsidRPr="003209AE">
        <w:rPr>
          <w:rFonts w:ascii="Times New Roman" w:hAnsi="Times New Roman" w:cs="Times New Roman"/>
          <w:b/>
          <w:sz w:val="24"/>
          <w:szCs w:val="24"/>
        </w:rPr>
        <w:t xml:space="preserve"> Analysis of variance for physiological traits in sorghum during </w:t>
      </w:r>
      <w:r w:rsidRPr="003209AE">
        <w:rPr>
          <w:rFonts w:ascii="Times New Roman" w:hAnsi="Times New Roman" w:cs="Times New Roman"/>
          <w:b/>
          <w:i/>
          <w:iCs/>
          <w:sz w:val="24"/>
          <w:szCs w:val="24"/>
        </w:rPr>
        <w:t>summer</w:t>
      </w:r>
      <w:r w:rsidRPr="003209AE">
        <w:rPr>
          <w:rFonts w:ascii="Times New Roman" w:hAnsi="Times New Roman" w:cs="Times New Roman"/>
          <w:b/>
          <w:sz w:val="24"/>
          <w:szCs w:val="24"/>
        </w:rPr>
        <w:t xml:space="preserve"> 2022, </w:t>
      </w:r>
      <w:r w:rsidRPr="003209AE">
        <w:rPr>
          <w:rFonts w:ascii="Times New Roman" w:hAnsi="Times New Roman" w:cs="Times New Roman"/>
          <w:b/>
          <w:i/>
          <w:iCs/>
          <w:sz w:val="24"/>
          <w:szCs w:val="24"/>
        </w:rPr>
        <w:t>summer</w:t>
      </w:r>
      <w:r w:rsidRPr="003209AE">
        <w:rPr>
          <w:rFonts w:ascii="Times New Roman" w:hAnsi="Times New Roman" w:cs="Times New Roman"/>
          <w:b/>
          <w:sz w:val="24"/>
          <w:szCs w:val="24"/>
        </w:rPr>
        <w:t xml:space="preserve"> 2023 and pooled over seasons at </w:t>
      </w:r>
      <w:r w:rsidR="00305505" w:rsidRPr="003209AE">
        <w:rPr>
          <w:rFonts w:ascii="Times New Roman" w:hAnsi="Times New Roman" w:cs="Times New Roman"/>
          <w:b/>
          <w:sz w:val="24"/>
          <w:szCs w:val="24"/>
        </w:rPr>
        <w:t xml:space="preserve">     </w:t>
      </w:r>
      <w:r w:rsidR="00305505" w:rsidRPr="003209AE">
        <w:rPr>
          <w:rFonts w:ascii="Times New Roman" w:hAnsi="Times New Roman" w:cs="Times New Roman"/>
          <w:b/>
          <w:sz w:val="24"/>
          <w:szCs w:val="24"/>
        </w:rPr>
        <w:tab/>
      </w:r>
      <w:r w:rsidR="00305505" w:rsidRPr="003209AE">
        <w:rPr>
          <w:rFonts w:ascii="Times New Roman" w:hAnsi="Times New Roman" w:cs="Times New Roman"/>
          <w:b/>
          <w:sz w:val="24"/>
          <w:szCs w:val="24"/>
        </w:rPr>
        <w:tab/>
        <w:t xml:space="preserve">    </w:t>
      </w:r>
      <w:proofErr w:type="spellStart"/>
      <w:r w:rsidRPr="003209AE">
        <w:rPr>
          <w:rFonts w:ascii="Times New Roman" w:hAnsi="Times New Roman" w:cs="Times New Roman"/>
          <w:b/>
          <w:sz w:val="24"/>
          <w:szCs w:val="24"/>
        </w:rPr>
        <w:t>Nandyal</w:t>
      </w:r>
      <w:proofErr w:type="spellEnd"/>
      <w:r w:rsidRPr="003209AE">
        <w:rPr>
          <w:rFonts w:ascii="Times New Roman" w:hAnsi="Times New Roman" w:cs="Times New Roman"/>
          <w:b/>
          <w:sz w:val="24"/>
          <w:szCs w:val="24"/>
        </w:rPr>
        <w:t xml:space="preserve"> </w:t>
      </w:r>
    </w:p>
    <w:tbl>
      <w:tblPr>
        <w:tblW w:w="5014" w:type="pct"/>
        <w:jc w:val="center"/>
        <w:tblLayout w:type="fixed"/>
        <w:tblLook w:val="04A0" w:firstRow="1" w:lastRow="0" w:firstColumn="1" w:lastColumn="0" w:noHBand="0" w:noVBand="1"/>
      </w:tblPr>
      <w:tblGrid>
        <w:gridCol w:w="1330"/>
        <w:gridCol w:w="3183"/>
        <w:gridCol w:w="106"/>
        <w:gridCol w:w="2562"/>
        <w:gridCol w:w="2442"/>
        <w:gridCol w:w="2358"/>
        <w:gridCol w:w="2006"/>
      </w:tblGrid>
      <w:tr w:rsidR="00D45858" w:rsidRPr="000741BA" w14:paraId="2B87478D" w14:textId="77777777" w:rsidTr="00B22435">
        <w:trPr>
          <w:trHeight w:val="270"/>
          <w:jc w:val="center"/>
        </w:trPr>
        <w:tc>
          <w:tcPr>
            <w:tcW w:w="475" w:type="pct"/>
            <w:vMerge w:val="restart"/>
            <w:tcBorders>
              <w:top w:val="single" w:sz="4" w:space="0" w:color="auto"/>
              <w:left w:val="single" w:sz="4" w:space="0" w:color="auto"/>
              <w:bottom w:val="single" w:sz="4" w:space="0" w:color="auto"/>
              <w:right w:val="single" w:sz="4" w:space="0" w:color="auto"/>
            </w:tcBorders>
            <w:noWrap/>
            <w:vAlign w:val="center"/>
            <w:hideMark/>
          </w:tcPr>
          <w:p w14:paraId="1BBAB2A9" w14:textId="77777777" w:rsidR="00D45858" w:rsidRPr="000741BA" w:rsidRDefault="00D45858" w:rsidP="00305505">
            <w:pPr>
              <w:spacing w:after="0" w:line="240" w:lineRule="auto"/>
              <w:jc w:val="both"/>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S. No.</w:t>
            </w:r>
          </w:p>
        </w:tc>
        <w:tc>
          <w:tcPr>
            <w:tcW w:w="1176"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6464B0B8"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Source</w:t>
            </w:r>
          </w:p>
        </w:tc>
        <w:tc>
          <w:tcPr>
            <w:tcW w:w="916" w:type="pct"/>
            <w:vMerge w:val="restart"/>
            <w:tcBorders>
              <w:top w:val="single" w:sz="4" w:space="0" w:color="auto"/>
              <w:left w:val="single" w:sz="4" w:space="0" w:color="auto"/>
              <w:right w:val="single" w:sz="4" w:space="0" w:color="auto"/>
            </w:tcBorders>
            <w:vAlign w:val="center"/>
          </w:tcPr>
          <w:p w14:paraId="05DC6CF2"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Seasons</w:t>
            </w:r>
          </w:p>
        </w:tc>
        <w:tc>
          <w:tcPr>
            <w:tcW w:w="2433" w:type="pct"/>
            <w:gridSpan w:val="3"/>
            <w:tcBorders>
              <w:top w:val="single" w:sz="4" w:space="0" w:color="auto"/>
              <w:left w:val="single" w:sz="4" w:space="0" w:color="auto"/>
              <w:bottom w:val="single" w:sz="4" w:space="0" w:color="auto"/>
              <w:right w:val="single" w:sz="4" w:space="0" w:color="auto"/>
            </w:tcBorders>
            <w:noWrap/>
            <w:vAlign w:val="center"/>
            <w:hideMark/>
          </w:tcPr>
          <w:p w14:paraId="744C3B2E"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Mean Sum of Squares (MSS)</w:t>
            </w:r>
          </w:p>
        </w:tc>
      </w:tr>
      <w:tr w:rsidR="00D45858" w:rsidRPr="000741BA" w14:paraId="40400056" w14:textId="77777777" w:rsidTr="00B22435">
        <w:trPr>
          <w:trHeight w:val="361"/>
          <w:jc w:val="center"/>
        </w:trPr>
        <w:tc>
          <w:tcPr>
            <w:tcW w:w="475" w:type="pct"/>
            <w:vMerge/>
            <w:tcBorders>
              <w:top w:val="single" w:sz="4" w:space="0" w:color="auto"/>
              <w:left w:val="single" w:sz="4" w:space="0" w:color="auto"/>
              <w:bottom w:val="single" w:sz="4" w:space="0" w:color="auto"/>
              <w:right w:val="single" w:sz="4" w:space="0" w:color="auto"/>
            </w:tcBorders>
            <w:vAlign w:val="center"/>
            <w:hideMark/>
          </w:tcPr>
          <w:p w14:paraId="7FD0BF2A" w14:textId="77777777" w:rsidR="00D45858" w:rsidRPr="000741BA" w:rsidRDefault="00D45858" w:rsidP="00305505">
            <w:pPr>
              <w:spacing w:after="0" w:line="240" w:lineRule="auto"/>
              <w:rPr>
                <w:rFonts w:ascii="Times New Roman" w:eastAsia="Times New Roman" w:hAnsi="Times New Roman" w:cs="Times New Roman"/>
                <w:b/>
                <w:bCs/>
                <w:sz w:val="24"/>
                <w:szCs w:val="24"/>
              </w:rPr>
            </w:pPr>
          </w:p>
        </w:tc>
        <w:tc>
          <w:tcPr>
            <w:tcW w:w="1176" w:type="pct"/>
            <w:gridSpan w:val="2"/>
            <w:vMerge/>
            <w:tcBorders>
              <w:top w:val="single" w:sz="4" w:space="0" w:color="auto"/>
              <w:left w:val="single" w:sz="4" w:space="0" w:color="auto"/>
              <w:bottom w:val="single" w:sz="4" w:space="0" w:color="auto"/>
              <w:right w:val="single" w:sz="4" w:space="0" w:color="auto"/>
            </w:tcBorders>
            <w:vAlign w:val="center"/>
            <w:hideMark/>
          </w:tcPr>
          <w:p w14:paraId="0642B163"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p>
        </w:tc>
        <w:tc>
          <w:tcPr>
            <w:tcW w:w="916" w:type="pct"/>
            <w:vMerge/>
            <w:tcBorders>
              <w:left w:val="single" w:sz="4" w:space="0" w:color="auto"/>
              <w:bottom w:val="single" w:sz="4" w:space="0" w:color="auto"/>
              <w:right w:val="single" w:sz="4" w:space="0" w:color="auto"/>
            </w:tcBorders>
            <w:vAlign w:val="center"/>
          </w:tcPr>
          <w:p w14:paraId="479BD1A5"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3FC68700"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Replication</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3E35DF98"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Treatment</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33CFA6D5"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Error</w:t>
            </w:r>
          </w:p>
        </w:tc>
      </w:tr>
      <w:tr w:rsidR="00D45858" w:rsidRPr="000741BA" w14:paraId="66EFFBE2" w14:textId="77777777" w:rsidTr="00B22435">
        <w:trPr>
          <w:trHeight w:val="325"/>
          <w:jc w:val="center"/>
        </w:trPr>
        <w:tc>
          <w:tcPr>
            <w:tcW w:w="475" w:type="pct"/>
            <w:vMerge/>
            <w:tcBorders>
              <w:top w:val="single" w:sz="4" w:space="0" w:color="auto"/>
              <w:left w:val="single" w:sz="4" w:space="0" w:color="auto"/>
              <w:bottom w:val="single" w:sz="4" w:space="0" w:color="auto"/>
              <w:right w:val="single" w:sz="4" w:space="0" w:color="auto"/>
            </w:tcBorders>
            <w:vAlign w:val="center"/>
            <w:hideMark/>
          </w:tcPr>
          <w:p w14:paraId="7259BD9A" w14:textId="77777777" w:rsidR="00D45858" w:rsidRPr="000741BA" w:rsidRDefault="00D45858" w:rsidP="00305505">
            <w:pPr>
              <w:spacing w:after="0" w:line="240" w:lineRule="auto"/>
              <w:rPr>
                <w:rFonts w:ascii="Times New Roman" w:eastAsia="Times New Roman" w:hAnsi="Times New Roman" w:cs="Times New Roman"/>
                <w:b/>
                <w:bCs/>
                <w:sz w:val="24"/>
                <w:szCs w:val="24"/>
              </w:rPr>
            </w:pPr>
          </w:p>
        </w:tc>
        <w:tc>
          <w:tcPr>
            <w:tcW w:w="2092" w:type="pct"/>
            <w:gridSpan w:val="3"/>
            <w:tcBorders>
              <w:top w:val="single" w:sz="4" w:space="0" w:color="auto"/>
              <w:left w:val="single" w:sz="4" w:space="0" w:color="auto"/>
              <w:bottom w:val="single" w:sz="4" w:space="0" w:color="auto"/>
              <w:right w:val="single" w:sz="4" w:space="0" w:color="auto"/>
            </w:tcBorders>
            <w:noWrap/>
            <w:vAlign w:val="center"/>
            <w:hideMark/>
          </w:tcPr>
          <w:p w14:paraId="77CBBF64"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Degrees of freedom</w:t>
            </w:r>
          </w:p>
        </w:tc>
        <w:tc>
          <w:tcPr>
            <w:tcW w:w="873" w:type="pct"/>
            <w:tcBorders>
              <w:top w:val="nil"/>
              <w:left w:val="single" w:sz="4" w:space="0" w:color="auto"/>
              <w:bottom w:val="single" w:sz="4" w:space="0" w:color="auto"/>
              <w:right w:val="single" w:sz="4" w:space="0" w:color="auto"/>
            </w:tcBorders>
            <w:noWrap/>
            <w:vAlign w:val="center"/>
            <w:hideMark/>
          </w:tcPr>
          <w:p w14:paraId="5E7A68AC"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1</w:t>
            </w:r>
          </w:p>
        </w:tc>
        <w:tc>
          <w:tcPr>
            <w:tcW w:w="843" w:type="pct"/>
            <w:tcBorders>
              <w:top w:val="nil"/>
              <w:left w:val="nil"/>
              <w:bottom w:val="single" w:sz="4" w:space="0" w:color="auto"/>
              <w:right w:val="single" w:sz="4" w:space="0" w:color="auto"/>
            </w:tcBorders>
            <w:noWrap/>
            <w:vAlign w:val="center"/>
            <w:hideMark/>
          </w:tcPr>
          <w:p w14:paraId="190E6661"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26</w:t>
            </w:r>
          </w:p>
        </w:tc>
        <w:tc>
          <w:tcPr>
            <w:tcW w:w="717" w:type="pct"/>
            <w:tcBorders>
              <w:top w:val="nil"/>
              <w:left w:val="nil"/>
              <w:bottom w:val="single" w:sz="4" w:space="0" w:color="auto"/>
              <w:right w:val="single" w:sz="4" w:space="0" w:color="auto"/>
            </w:tcBorders>
            <w:noWrap/>
            <w:vAlign w:val="center"/>
            <w:hideMark/>
          </w:tcPr>
          <w:p w14:paraId="587A4D2F"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26</w:t>
            </w:r>
          </w:p>
        </w:tc>
      </w:tr>
      <w:tr w:rsidR="00D45858" w:rsidRPr="000741BA" w14:paraId="1BA3D3B9" w14:textId="77777777" w:rsidTr="00B22435">
        <w:trPr>
          <w:trHeight w:val="281"/>
          <w:jc w:val="center"/>
        </w:trPr>
        <w:tc>
          <w:tcPr>
            <w:tcW w:w="475" w:type="pct"/>
            <w:vMerge w:val="restart"/>
            <w:tcBorders>
              <w:top w:val="nil"/>
              <w:left w:val="single" w:sz="4" w:space="0" w:color="auto"/>
              <w:right w:val="single" w:sz="4" w:space="0" w:color="auto"/>
            </w:tcBorders>
            <w:noWrap/>
            <w:vAlign w:val="center"/>
          </w:tcPr>
          <w:p w14:paraId="1F9EF7F4"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w:t>
            </w:r>
          </w:p>
        </w:tc>
        <w:tc>
          <w:tcPr>
            <w:tcW w:w="1138" w:type="pct"/>
            <w:vMerge w:val="restart"/>
            <w:tcBorders>
              <w:top w:val="single" w:sz="4" w:space="0" w:color="auto"/>
              <w:left w:val="single" w:sz="4" w:space="0" w:color="auto"/>
              <w:right w:val="single" w:sz="4" w:space="0" w:color="auto"/>
            </w:tcBorders>
            <w:noWrap/>
            <w:vAlign w:val="center"/>
            <w:hideMark/>
          </w:tcPr>
          <w:p w14:paraId="309AFFDE"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SCMR </w:t>
            </w:r>
          </w:p>
          <w:p w14:paraId="4556B247"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 </w:t>
            </w: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2A022456"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2022</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2F38C93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308C11E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43.12**</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0896C8D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4.02</w:t>
            </w:r>
          </w:p>
        </w:tc>
      </w:tr>
      <w:tr w:rsidR="00D45858" w:rsidRPr="000741BA" w14:paraId="4371512D" w14:textId="77777777" w:rsidTr="00B22435">
        <w:trPr>
          <w:trHeight w:val="315"/>
          <w:jc w:val="center"/>
        </w:trPr>
        <w:tc>
          <w:tcPr>
            <w:tcW w:w="475" w:type="pct"/>
            <w:vMerge/>
            <w:tcBorders>
              <w:left w:val="single" w:sz="4" w:space="0" w:color="auto"/>
              <w:right w:val="single" w:sz="4" w:space="0" w:color="auto"/>
            </w:tcBorders>
            <w:noWrap/>
            <w:vAlign w:val="center"/>
            <w:hideMark/>
          </w:tcPr>
          <w:p w14:paraId="76FE1E1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right w:val="single" w:sz="4" w:space="0" w:color="auto"/>
            </w:tcBorders>
            <w:noWrap/>
            <w:vAlign w:val="center"/>
            <w:hideMark/>
          </w:tcPr>
          <w:p w14:paraId="0DD58046"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52A6B32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2023</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6033C21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1.19</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3CA923C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36.89**</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3FCD563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7.59</w:t>
            </w:r>
          </w:p>
        </w:tc>
      </w:tr>
      <w:tr w:rsidR="00D45858" w:rsidRPr="000741BA" w14:paraId="1C19E68E" w14:textId="77777777" w:rsidTr="00B22435">
        <w:trPr>
          <w:trHeight w:val="315"/>
          <w:jc w:val="center"/>
        </w:trPr>
        <w:tc>
          <w:tcPr>
            <w:tcW w:w="475" w:type="pct"/>
            <w:vMerge/>
            <w:tcBorders>
              <w:left w:val="single" w:sz="4" w:space="0" w:color="auto"/>
              <w:bottom w:val="single" w:sz="4" w:space="0" w:color="auto"/>
              <w:right w:val="single" w:sz="4" w:space="0" w:color="auto"/>
            </w:tcBorders>
            <w:noWrap/>
            <w:vAlign w:val="center"/>
            <w:hideMark/>
          </w:tcPr>
          <w:p w14:paraId="6D43F2FA"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bottom w:val="single" w:sz="4" w:space="0" w:color="auto"/>
              <w:right w:val="single" w:sz="4" w:space="0" w:color="auto"/>
            </w:tcBorders>
            <w:noWrap/>
            <w:vAlign w:val="center"/>
            <w:hideMark/>
          </w:tcPr>
          <w:p w14:paraId="62CD5389"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7A0A8C34"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Pooled</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01B19424"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0.31</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148CD643"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32.41**</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7A04901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3.82</w:t>
            </w:r>
          </w:p>
        </w:tc>
      </w:tr>
      <w:tr w:rsidR="00D45858" w:rsidRPr="000741BA" w14:paraId="3EE95463" w14:textId="77777777" w:rsidTr="00B22435">
        <w:trPr>
          <w:trHeight w:val="315"/>
          <w:jc w:val="center"/>
        </w:trPr>
        <w:tc>
          <w:tcPr>
            <w:tcW w:w="475" w:type="pct"/>
            <w:vMerge w:val="restart"/>
            <w:tcBorders>
              <w:top w:val="nil"/>
              <w:left w:val="single" w:sz="4" w:space="0" w:color="auto"/>
              <w:right w:val="single" w:sz="4" w:space="0" w:color="auto"/>
            </w:tcBorders>
            <w:noWrap/>
            <w:vAlign w:val="center"/>
          </w:tcPr>
          <w:p w14:paraId="28AEA1A4"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w:t>
            </w:r>
          </w:p>
        </w:tc>
        <w:tc>
          <w:tcPr>
            <w:tcW w:w="1138" w:type="pct"/>
            <w:vMerge w:val="restart"/>
            <w:tcBorders>
              <w:top w:val="single" w:sz="4" w:space="0" w:color="auto"/>
              <w:left w:val="single" w:sz="4" w:space="0" w:color="auto"/>
              <w:right w:val="single" w:sz="4" w:space="0" w:color="auto"/>
            </w:tcBorders>
            <w:noWrap/>
            <w:vAlign w:val="center"/>
            <w:hideMark/>
          </w:tcPr>
          <w:p w14:paraId="4E7BD211"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SLA (cm</w:t>
            </w:r>
            <w:r w:rsidRPr="000741BA">
              <w:rPr>
                <w:rFonts w:ascii="Times New Roman" w:eastAsia="Times New Roman" w:hAnsi="Times New Roman" w:cs="Times New Roman"/>
                <w:sz w:val="24"/>
                <w:szCs w:val="24"/>
                <w:vertAlign w:val="superscript"/>
              </w:rPr>
              <w:t>2</w:t>
            </w:r>
            <w:r w:rsidRPr="000741BA">
              <w:rPr>
                <w:rFonts w:ascii="Times New Roman" w:eastAsia="Times New Roman" w:hAnsi="Times New Roman" w:cs="Times New Roman"/>
                <w:sz w:val="24"/>
                <w:szCs w:val="24"/>
              </w:rPr>
              <w:t xml:space="preserve"> g</w:t>
            </w:r>
            <w:r w:rsidRPr="000741BA">
              <w:rPr>
                <w:rFonts w:ascii="Times New Roman" w:eastAsia="Times New Roman" w:hAnsi="Times New Roman" w:cs="Times New Roman"/>
                <w:sz w:val="24"/>
                <w:szCs w:val="24"/>
                <w:vertAlign w:val="superscript"/>
              </w:rPr>
              <w:t>-1</w:t>
            </w:r>
            <w:r w:rsidRPr="000741BA">
              <w:rPr>
                <w:rFonts w:ascii="Times New Roman" w:eastAsia="Times New Roman" w:hAnsi="Times New Roman" w:cs="Times New Roman"/>
                <w:sz w:val="24"/>
                <w:szCs w:val="24"/>
              </w:rPr>
              <w:t>)</w:t>
            </w:r>
          </w:p>
          <w:p w14:paraId="7F36A692"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 </w:t>
            </w: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6EA12B6B"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2022</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380B95CB"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22.92</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2F7E5235"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256.53**</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1C247D5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32.35</w:t>
            </w:r>
          </w:p>
        </w:tc>
      </w:tr>
      <w:tr w:rsidR="00D45858" w:rsidRPr="000741BA" w14:paraId="11283A9C" w14:textId="77777777" w:rsidTr="00B22435">
        <w:trPr>
          <w:trHeight w:val="315"/>
          <w:jc w:val="center"/>
        </w:trPr>
        <w:tc>
          <w:tcPr>
            <w:tcW w:w="475" w:type="pct"/>
            <w:vMerge/>
            <w:tcBorders>
              <w:left w:val="single" w:sz="4" w:space="0" w:color="auto"/>
              <w:right w:val="single" w:sz="4" w:space="0" w:color="auto"/>
            </w:tcBorders>
            <w:noWrap/>
            <w:vAlign w:val="center"/>
            <w:hideMark/>
          </w:tcPr>
          <w:p w14:paraId="1857356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right w:val="single" w:sz="4" w:space="0" w:color="auto"/>
            </w:tcBorders>
            <w:noWrap/>
            <w:vAlign w:val="center"/>
            <w:hideMark/>
          </w:tcPr>
          <w:p w14:paraId="64A794CA"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0C03FF53"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2023</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1066C2E3"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2.71</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514F26A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273.69**</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6489AFC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34.75</w:t>
            </w:r>
          </w:p>
        </w:tc>
      </w:tr>
      <w:tr w:rsidR="00D45858" w:rsidRPr="000741BA" w14:paraId="03E63392" w14:textId="77777777" w:rsidTr="00B22435">
        <w:trPr>
          <w:trHeight w:val="315"/>
          <w:jc w:val="center"/>
        </w:trPr>
        <w:tc>
          <w:tcPr>
            <w:tcW w:w="475" w:type="pct"/>
            <w:vMerge/>
            <w:tcBorders>
              <w:left w:val="single" w:sz="4" w:space="0" w:color="auto"/>
              <w:bottom w:val="single" w:sz="4" w:space="0" w:color="auto"/>
              <w:right w:val="single" w:sz="4" w:space="0" w:color="auto"/>
            </w:tcBorders>
            <w:noWrap/>
            <w:vAlign w:val="center"/>
            <w:hideMark/>
          </w:tcPr>
          <w:p w14:paraId="4F5D2EB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bottom w:val="single" w:sz="4" w:space="0" w:color="auto"/>
              <w:right w:val="single" w:sz="4" w:space="0" w:color="auto"/>
            </w:tcBorders>
            <w:noWrap/>
            <w:vAlign w:val="center"/>
            <w:hideMark/>
          </w:tcPr>
          <w:p w14:paraId="44D502BC"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3AD6B63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Pooled</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5A1A6175"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10.35</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4119A5C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232.54**</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0FF9F986"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28.86</w:t>
            </w:r>
          </w:p>
        </w:tc>
      </w:tr>
      <w:tr w:rsidR="00D45858" w:rsidRPr="000741BA" w14:paraId="153264AA" w14:textId="77777777" w:rsidTr="00B22435">
        <w:trPr>
          <w:trHeight w:val="315"/>
          <w:jc w:val="center"/>
        </w:trPr>
        <w:tc>
          <w:tcPr>
            <w:tcW w:w="475" w:type="pct"/>
            <w:vMerge w:val="restart"/>
            <w:tcBorders>
              <w:top w:val="nil"/>
              <w:left w:val="single" w:sz="4" w:space="0" w:color="auto"/>
              <w:right w:val="single" w:sz="4" w:space="0" w:color="auto"/>
            </w:tcBorders>
            <w:noWrap/>
            <w:vAlign w:val="center"/>
          </w:tcPr>
          <w:p w14:paraId="315509C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w:t>
            </w:r>
          </w:p>
        </w:tc>
        <w:tc>
          <w:tcPr>
            <w:tcW w:w="1138" w:type="pct"/>
            <w:vMerge w:val="restart"/>
            <w:tcBorders>
              <w:top w:val="single" w:sz="4" w:space="0" w:color="auto"/>
              <w:left w:val="single" w:sz="4" w:space="0" w:color="auto"/>
              <w:right w:val="single" w:sz="4" w:space="0" w:color="auto"/>
            </w:tcBorders>
            <w:noWrap/>
            <w:vAlign w:val="center"/>
            <w:hideMark/>
          </w:tcPr>
          <w:p w14:paraId="26642747"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RWC (%)</w:t>
            </w:r>
          </w:p>
          <w:p w14:paraId="6B43936D"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 </w:t>
            </w: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1A7BA52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2022</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147A7F1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8.42</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3A6A4D4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81.11**</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1B227D6C"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7.16</w:t>
            </w:r>
          </w:p>
        </w:tc>
      </w:tr>
      <w:tr w:rsidR="00D45858" w:rsidRPr="000741BA" w14:paraId="40D17CBB" w14:textId="77777777" w:rsidTr="00B22435">
        <w:trPr>
          <w:trHeight w:val="315"/>
          <w:jc w:val="center"/>
        </w:trPr>
        <w:tc>
          <w:tcPr>
            <w:tcW w:w="475" w:type="pct"/>
            <w:vMerge/>
            <w:tcBorders>
              <w:left w:val="single" w:sz="4" w:space="0" w:color="auto"/>
              <w:right w:val="single" w:sz="4" w:space="0" w:color="auto"/>
            </w:tcBorders>
            <w:noWrap/>
            <w:vAlign w:val="center"/>
            <w:hideMark/>
          </w:tcPr>
          <w:p w14:paraId="494C8BB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right w:val="single" w:sz="4" w:space="0" w:color="auto"/>
            </w:tcBorders>
            <w:noWrap/>
            <w:vAlign w:val="center"/>
            <w:hideMark/>
          </w:tcPr>
          <w:p w14:paraId="18991A5E"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449539AD"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2023</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2BD27E2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33.58</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453EBC5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73.57**</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12CC4075"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6.01</w:t>
            </w:r>
          </w:p>
        </w:tc>
      </w:tr>
      <w:tr w:rsidR="00D45858" w:rsidRPr="000741BA" w14:paraId="6F7E8F39" w14:textId="77777777" w:rsidTr="00B22435">
        <w:trPr>
          <w:trHeight w:val="315"/>
          <w:jc w:val="center"/>
        </w:trPr>
        <w:tc>
          <w:tcPr>
            <w:tcW w:w="475" w:type="pct"/>
            <w:vMerge/>
            <w:tcBorders>
              <w:left w:val="single" w:sz="4" w:space="0" w:color="auto"/>
              <w:bottom w:val="single" w:sz="4" w:space="0" w:color="auto"/>
              <w:right w:val="single" w:sz="4" w:space="0" w:color="auto"/>
            </w:tcBorders>
            <w:noWrap/>
            <w:vAlign w:val="center"/>
            <w:hideMark/>
          </w:tcPr>
          <w:p w14:paraId="3FAADC9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bottom w:val="single" w:sz="4" w:space="0" w:color="auto"/>
              <w:right w:val="single" w:sz="4" w:space="0" w:color="auto"/>
            </w:tcBorders>
            <w:noWrap/>
            <w:vAlign w:val="center"/>
            <w:hideMark/>
          </w:tcPr>
          <w:p w14:paraId="18DC56DB"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57FCE18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Pooled</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1B64ED4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18.91</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09F0AD7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67.51**</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713A954D"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4.58</w:t>
            </w:r>
          </w:p>
        </w:tc>
      </w:tr>
      <w:tr w:rsidR="00D45858" w:rsidRPr="000741BA" w14:paraId="425FEA12" w14:textId="77777777" w:rsidTr="00B22435">
        <w:trPr>
          <w:trHeight w:val="315"/>
          <w:jc w:val="center"/>
        </w:trPr>
        <w:tc>
          <w:tcPr>
            <w:tcW w:w="475" w:type="pct"/>
            <w:vMerge w:val="restart"/>
            <w:tcBorders>
              <w:top w:val="nil"/>
              <w:left w:val="single" w:sz="4" w:space="0" w:color="auto"/>
              <w:right w:val="single" w:sz="4" w:space="0" w:color="auto"/>
            </w:tcBorders>
            <w:noWrap/>
            <w:vAlign w:val="center"/>
          </w:tcPr>
          <w:p w14:paraId="65497F6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w:t>
            </w:r>
          </w:p>
        </w:tc>
        <w:tc>
          <w:tcPr>
            <w:tcW w:w="1138" w:type="pct"/>
            <w:vMerge w:val="restart"/>
            <w:tcBorders>
              <w:top w:val="single" w:sz="4" w:space="0" w:color="auto"/>
              <w:left w:val="single" w:sz="4" w:space="0" w:color="auto"/>
              <w:right w:val="single" w:sz="4" w:space="0" w:color="auto"/>
            </w:tcBorders>
            <w:noWrap/>
            <w:vAlign w:val="center"/>
            <w:hideMark/>
          </w:tcPr>
          <w:p w14:paraId="4FA9A2CE"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 xml:space="preserve">Per cent </w:t>
            </w:r>
            <w:r w:rsidRPr="000741BA">
              <w:rPr>
                <w:rFonts w:ascii="Times New Roman" w:eastAsia="Times New Roman" w:hAnsi="Times New Roman" w:cs="Times New Roman"/>
                <w:sz w:val="24"/>
                <w:szCs w:val="24"/>
              </w:rPr>
              <w:t xml:space="preserve">membrane damage </w:t>
            </w: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39D7938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2022</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1E42671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0.79</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7479FC8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93.41**</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06D8B33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4.12</w:t>
            </w:r>
          </w:p>
        </w:tc>
      </w:tr>
      <w:tr w:rsidR="00D45858" w:rsidRPr="000741BA" w14:paraId="1BDAD024" w14:textId="77777777" w:rsidTr="00B22435">
        <w:trPr>
          <w:trHeight w:val="315"/>
          <w:jc w:val="center"/>
        </w:trPr>
        <w:tc>
          <w:tcPr>
            <w:tcW w:w="475" w:type="pct"/>
            <w:vMerge/>
            <w:tcBorders>
              <w:left w:val="single" w:sz="4" w:space="0" w:color="auto"/>
              <w:right w:val="single" w:sz="4" w:space="0" w:color="auto"/>
            </w:tcBorders>
            <w:noWrap/>
            <w:vAlign w:val="center"/>
          </w:tcPr>
          <w:p w14:paraId="74A38B0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right w:val="single" w:sz="4" w:space="0" w:color="auto"/>
            </w:tcBorders>
            <w:noWrap/>
            <w:vAlign w:val="center"/>
            <w:hideMark/>
          </w:tcPr>
          <w:p w14:paraId="411896BB"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675B570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2023</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3626923E"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0.12</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00C5212E"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73.92**</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25968E3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2.97</w:t>
            </w:r>
          </w:p>
        </w:tc>
      </w:tr>
      <w:tr w:rsidR="00D45858" w:rsidRPr="000741BA" w14:paraId="7EDAAC05" w14:textId="77777777" w:rsidTr="00B22435">
        <w:trPr>
          <w:trHeight w:val="315"/>
          <w:jc w:val="center"/>
        </w:trPr>
        <w:tc>
          <w:tcPr>
            <w:tcW w:w="475" w:type="pct"/>
            <w:vMerge/>
            <w:tcBorders>
              <w:left w:val="single" w:sz="4" w:space="0" w:color="auto"/>
              <w:bottom w:val="single" w:sz="4" w:space="0" w:color="auto"/>
              <w:right w:val="single" w:sz="4" w:space="0" w:color="auto"/>
            </w:tcBorders>
            <w:noWrap/>
            <w:vAlign w:val="center"/>
          </w:tcPr>
          <w:p w14:paraId="346FB33B"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bottom w:val="single" w:sz="4" w:space="0" w:color="auto"/>
              <w:right w:val="single" w:sz="4" w:space="0" w:color="auto"/>
            </w:tcBorders>
            <w:noWrap/>
            <w:vAlign w:val="center"/>
            <w:hideMark/>
          </w:tcPr>
          <w:p w14:paraId="3C3BBED4"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5B14ABC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Pooled</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430F1B3B"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0.04</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35947EC6"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87.42**</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1CD051B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4.77</w:t>
            </w:r>
          </w:p>
        </w:tc>
      </w:tr>
      <w:tr w:rsidR="00D45858" w:rsidRPr="000741BA" w14:paraId="6FDB656C" w14:textId="77777777" w:rsidTr="00B22435">
        <w:trPr>
          <w:trHeight w:val="315"/>
          <w:jc w:val="center"/>
        </w:trPr>
        <w:tc>
          <w:tcPr>
            <w:tcW w:w="475" w:type="pct"/>
            <w:vMerge w:val="restart"/>
            <w:tcBorders>
              <w:top w:val="nil"/>
              <w:left w:val="single" w:sz="4" w:space="0" w:color="auto"/>
              <w:right w:val="single" w:sz="4" w:space="0" w:color="auto"/>
            </w:tcBorders>
            <w:noWrap/>
            <w:vAlign w:val="center"/>
          </w:tcPr>
          <w:p w14:paraId="260628EA"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w:t>
            </w:r>
          </w:p>
        </w:tc>
        <w:tc>
          <w:tcPr>
            <w:tcW w:w="1138" w:type="pct"/>
            <w:vMerge w:val="restart"/>
            <w:tcBorders>
              <w:top w:val="single" w:sz="4" w:space="0" w:color="auto"/>
              <w:left w:val="single" w:sz="4" w:space="0" w:color="auto"/>
              <w:right w:val="single" w:sz="4" w:space="0" w:color="auto"/>
            </w:tcBorders>
            <w:noWrap/>
            <w:vAlign w:val="center"/>
            <w:hideMark/>
          </w:tcPr>
          <w:p w14:paraId="555C5E77"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Canopy temperature (</w:t>
            </w:r>
            <w:r w:rsidRPr="000741BA">
              <w:rPr>
                <w:rFonts w:ascii="Times New Roman" w:eastAsia="Times New Roman" w:hAnsi="Times New Roman" w:cs="Times New Roman"/>
                <w:sz w:val="24"/>
                <w:szCs w:val="24"/>
                <w:vertAlign w:val="superscript"/>
              </w:rPr>
              <w:t>0</w:t>
            </w:r>
            <w:r w:rsidRPr="000741BA">
              <w:rPr>
                <w:rFonts w:ascii="Times New Roman" w:eastAsia="Times New Roman" w:hAnsi="Times New Roman" w:cs="Times New Roman"/>
                <w:sz w:val="24"/>
                <w:szCs w:val="24"/>
              </w:rPr>
              <w:t>C)</w:t>
            </w:r>
          </w:p>
          <w:p w14:paraId="53A0E3AE"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 </w:t>
            </w: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5E4B6BFE"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2022</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0E7ACAB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0.01</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17BE8C7E"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10.11**</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04208D5A"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2.74</w:t>
            </w:r>
          </w:p>
        </w:tc>
      </w:tr>
      <w:tr w:rsidR="00D45858" w:rsidRPr="000741BA" w14:paraId="3BED3C44" w14:textId="77777777" w:rsidTr="00B22435">
        <w:trPr>
          <w:trHeight w:val="315"/>
          <w:jc w:val="center"/>
        </w:trPr>
        <w:tc>
          <w:tcPr>
            <w:tcW w:w="475" w:type="pct"/>
            <w:vMerge/>
            <w:tcBorders>
              <w:left w:val="single" w:sz="4" w:space="0" w:color="auto"/>
              <w:right w:val="single" w:sz="4" w:space="0" w:color="auto"/>
            </w:tcBorders>
            <w:noWrap/>
            <w:vAlign w:val="center"/>
          </w:tcPr>
          <w:p w14:paraId="4ECED51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right w:val="single" w:sz="4" w:space="0" w:color="auto"/>
            </w:tcBorders>
            <w:noWrap/>
            <w:vAlign w:val="center"/>
            <w:hideMark/>
          </w:tcPr>
          <w:p w14:paraId="6FD2EDE3"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09FCFF53"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2023</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49DBCF5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8.17</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10AD512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6.17**</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640F599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2.24</w:t>
            </w:r>
          </w:p>
        </w:tc>
      </w:tr>
      <w:tr w:rsidR="00D45858" w:rsidRPr="000741BA" w14:paraId="0F2EEA96" w14:textId="77777777" w:rsidTr="00B22435">
        <w:trPr>
          <w:trHeight w:val="315"/>
          <w:jc w:val="center"/>
        </w:trPr>
        <w:tc>
          <w:tcPr>
            <w:tcW w:w="475" w:type="pct"/>
            <w:vMerge/>
            <w:tcBorders>
              <w:left w:val="single" w:sz="4" w:space="0" w:color="auto"/>
              <w:bottom w:val="single" w:sz="4" w:space="0" w:color="auto"/>
              <w:right w:val="single" w:sz="4" w:space="0" w:color="auto"/>
            </w:tcBorders>
            <w:noWrap/>
            <w:vAlign w:val="center"/>
          </w:tcPr>
          <w:p w14:paraId="172DD5F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bottom w:val="single" w:sz="4" w:space="0" w:color="auto"/>
              <w:right w:val="single" w:sz="4" w:space="0" w:color="auto"/>
            </w:tcBorders>
            <w:noWrap/>
            <w:vAlign w:val="center"/>
            <w:hideMark/>
          </w:tcPr>
          <w:p w14:paraId="54756534"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36B84FE3"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Pooled</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57DD82B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2.17</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67EBA83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6.54**</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56A1907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1.49</w:t>
            </w:r>
          </w:p>
        </w:tc>
      </w:tr>
      <w:tr w:rsidR="00D45858" w:rsidRPr="000741BA" w14:paraId="2AAB0CC2" w14:textId="77777777" w:rsidTr="00B22435">
        <w:trPr>
          <w:trHeight w:val="315"/>
          <w:jc w:val="center"/>
        </w:trPr>
        <w:tc>
          <w:tcPr>
            <w:tcW w:w="475" w:type="pct"/>
            <w:vMerge w:val="restart"/>
            <w:tcBorders>
              <w:top w:val="nil"/>
              <w:left w:val="single" w:sz="4" w:space="0" w:color="auto"/>
              <w:right w:val="single" w:sz="4" w:space="0" w:color="auto"/>
            </w:tcBorders>
            <w:noWrap/>
            <w:vAlign w:val="center"/>
          </w:tcPr>
          <w:p w14:paraId="15EA446D"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w:t>
            </w:r>
          </w:p>
        </w:tc>
        <w:tc>
          <w:tcPr>
            <w:tcW w:w="1138" w:type="pct"/>
            <w:vMerge w:val="restart"/>
            <w:tcBorders>
              <w:top w:val="single" w:sz="4" w:space="0" w:color="auto"/>
              <w:left w:val="single" w:sz="4" w:space="0" w:color="auto"/>
              <w:right w:val="single" w:sz="4" w:space="0" w:color="auto"/>
            </w:tcBorders>
            <w:noWrap/>
            <w:vAlign w:val="center"/>
            <w:hideMark/>
          </w:tcPr>
          <w:p w14:paraId="574FCB75"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Stay green score </w:t>
            </w:r>
          </w:p>
          <w:p w14:paraId="2B3D3ABF"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 </w:t>
            </w: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670372CC"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2022</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0A57EBE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0.53</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6A01D70E"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2.81**</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63A421A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0.33</w:t>
            </w:r>
          </w:p>
        </w:tc>
      </w:tr>
      <w:tr w:rsidR="00D45858" w:rsidRPr="000741BA" w14:paraId="1FB9BAE1" w14:textId="77777777" w:rsidTr="00B22435">
        <w:trPr>
          <w:trHeight w:val="315"/>
          <w:jc w:val="center"/>
        </w:trPr>
        <w:tc>
          <w:tcPr>
            <w:tcW w:w="475" w:type="pct"/>
            <w:vMerge/>
            <w:tcBorders>
              <w:left w:val="single" w:sz="4" w:space="0" w:color="auto"/>
              <w:right w:val="single" w:sz="4" w:space="0" w:color="auto"/>
            </w:tcBorders>
            <w:noWrap/>
            <w:vAlign w:val="center"/>
          </w:tcPr>
          <w:p w14:paraId="7F153E3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right w:val="single" w:sz="4" w:space="0" w:color="auto"/>
            </w:tcBorders>
            <w:noWrap/>
            <w:vAlign w:val="center"/>
            <w:hideMark/>
          </w:tcPr>
          <w:p w14:paraId="6D000E8E"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363B4A4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2023</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1B9E81C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0.41</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2AE4A6C6"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1.95**</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20DED5B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0.19</w:t>
            </w:r>
          </w:p>
        </w:tc>
      </w:tr>
      <w:tr w:rsidR="00D45858" w:rsidRPr="000741BA" w14:paraId="10C88237" w14:textId="77777777" w:rsidTr="00B22435">
        <w:trPr>
          <w:trHeight w:val="315"/>
          <w:jc w:val="center"/>
        </w:trPr>
        <w:tc>
          <w:tcPr>
            <w:tcW w:w="475" w:type="pct"/>
            <w:vMerge/>
            <w:tcBorders>
              <w:left w:val="single" w:sz="4" w:space="0" w:color="auto"/>
              <w:bottom w:val="single" w:sz="4" w:space="0" w:color="auto"/>
              <w:right w:val="single" w:sz="4" w:space="0" w:color="auto"/>
            </w:tcBorders>
            <w:noWrap/>
            <w:vAlign w:val="center"/>
          </w:tcPr>
          <w:p w14:paraId="334304B5"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bottom w:val="single" w:sz="4" w:space="0" w:color="auto"/>
              <w:right w:val="single" w:sz="4" w:space="0" w:color="auto"/>
            </w:tcBorders>
            <w:noWrap/>
            <w:vAlign w:val="center"/>
            <w:hideMark/>
          </w:tcPr>
          <w:p w14:paraId="2D186BB9"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1CE9552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Pooled</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3E7379F4"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0.47</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6F1A4A7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1.98**</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5EA8E79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0.16</w:t>
            </w:r>
          </w:p>
        </w:tc>
      </w:tr>
    </w:tbl>
    <w:p w14:paraId="773837F7" w14:textId="77777777" w:rsidR="00D45858" w:rsidRPr="003209AE" w:rsidRDefault="00D45858" w:rsidP="00D45858">
      <w:pPr>
        <w:rPr>
          <w:rFonts w:ascii="Times New Roman" w:hAnsi="Times New Roman" w:cs="Times New Roman"/>
          <w:sz w:val="26"/>
          <w:szCs w:val="26"/>
        </w:rPr>
      </w:pPr>
      <w:r w:rsidRPr="003209AE">
        <w:rPr>
          <w:rFonts w:ascii="Times New Roman" w:hAnsi="Times New Roman" w:cs="Times New Roman"/>
          <w:sz w:val="21"/>
          <w:szCs w:val="21"/>
        </w:rPr>
        <w:t>SCMR= SPAD Chlorophyll meter reading, SLA=Specific Leaf Area, RWC=Relative Water Content</w:t>
      </w:r>
      <w:r w:rsidRPr="003209AE">
        <w:rPr>
          <w:rFonts w:ascii="Times New Roman" w:hAnsi="Times New Roman" w:cs="Times New Roman"/>
          <w:sz w:val="21"/>
          <w:szCs w:val="21"/>
        </w:rPr>
        <w:br w:type="textWrapping" w:clear="all"/>
      </w:r>
      <w:r w:rsidRPr="003209AE">
        <w:rPr>
          <w:rFonts w:ascii="Times New Roman" w:hAnsi="Times New Roman" w:cs="Times New Roman"/>
          <w:sz w:val="26"/>
          <w:szCs w:val="26"/>
        </w:rPr>
        <w:br w:type="page"/>
      </w:r>
    </w:p>
    <w:p w14:paraId="42C80394" w14:textId="77777777" w:rsidR="00D45858" w:rsidRPr="003209AE" w:rsidRDefault="00D45858" w:rsidP="00305505">
      <w:pPr>
        <w:spacing w:line="240" w:lineRule="auto"/>
        <w:ind w:left="1440" w:hanging="1440"/>
        <w:jc w:val="both"/>
        <w:rPr>
          <w:rFonts w:ascii="Times New Roman" w:hAnsi="Times New Roman" w:cs="Times New Roman"/>
          <w:sz w:val="24"/>
          <w:szCs w:val="24"/>
        </w:rPr>
      </w:pPr>
      <w:r w:rsidRPr="003209AE">
        <w:rPr>
          <w:rFonts w:ascii="Times New Roman" w:hAnsi="Times New Roman" w:cs="Times New Roman"/>
          <w:b/>
          <w:sz w:val="24"/>
          <w:szCs w:val="24"/>
        </w:rPr>
        <w:lastRenderedPageBreak/>
        <w:t xml:space="preserve">Table </w:t>
      </w:r>
      <w:r w:rsidR="00D75609" w:rsidRPr="003209AE">
        <w:rPr>
          <w:rFonts w:ascii="Times New Roman" w:hAnsi="Times New Roman" w:cs="Times New Roman"/>
          <w:b/>
          <w:sz w:val="24"/>
          <w:szCs w:val="24"/>
        </w:rPr>
        <w:t xml:space="preserve">5. </w:t>
      </w:r>
      <w:r w:rsidRPr="003209AE">
        <w:rPr>
          <w:rFonts w:ascii="Times New Roman" w:hAnsi="Times New Roman" w:cs="Times New Roman"/>
          <w:b/>
          <w:sz w:val="24"/>
          <w:szCs w:val="24"/>
        </w:rPr>
        <w:t xml:space="preserve">Pooled analysis of variance for physiological traits in sorghum during </w:t>
      </w:r>
      <w:r w:rsidRPr="003209AE">
        <w:rPr>
          <w:rFonts w:ascii="Times New Roman" w:hAnsi="Times New Roman" w:cs="Times New Roman"/>
          <w:b/>
          <w:i/>
          <w:iCs/>
          <w:sz w:val="24"/>
          <w:szCs w:val="24"/>
        </w:rPr>
        <w:t xml:space="preserve">summer </w:t>
      </w:r>
      <w:r w:rsidRPr="003209AE">
        <w:rPr>
          <w:rFonts w:ascii="Times New Roman" w:hAnsi="Times New Roman" w:cs="Times New Roman"/>
          <w:b/>
          <w:sz w:val="24"/>
          <w:szCs w:val="24"/>
        </w:rPr>
        <w:t xml:space="preserve">2022, </w:t>
      </w:r>
      <w:r w:rsidRPr="003209AE">
        <w:rPr>
          <w:rFonts w:ascii="Times New Roman" w:hAnsi="Times New Roman" w:cs="Times New Roman"/>
          <w:b/>
          <w:i/>
          <w:iCs/>
          <w:sz w:val="24"/>
          <w:szCs w:val="24"/>
        </w:rPr>
        <w:t>summer</w:t>
      </w:r>
      <w:r w:rsidRPr="003209AE">
        <w:rPr>
          <w:rFonts w:ascii="Times New Roman" w:hAnsi="Times New Roman" w:cs="Times New Roman"/>
          <w:b/>
          <w:sz w:val="24"/>
          <w:szCs w:val="24"/>
        </w:rPr>
        <w:t xml:space="preserve"> 2023 and pooled over seasons at </w:t>
      </w:r>
      <w:proofErr w:type="spellStart"/>
      <w:r w:rsidRPr="003209AE">
        <w:rPr>
          <w:rFonts w:ascii="Times New Roman" w:hAnsi="Times New Roman" w:cs="Times New Roman"/>
          <w:b/>
          <w:sz w:val="24"/>
          <w:szCs w:val="24"/>
        </w:rPr>
        <w:t>Nandyal</w:t>
      </w:r>
      <w:proofErr w:type="spellEnd"/>
      <w:r w:rsidRPr="003209AE">
        <w:rPr>
          <w:rFonts w:ascii="Times New Roman" w:hAnsi="Times New Roman" w:cs="Times New Roman"/>
          <w:sz w:val="24"/>
          <w:szCs w:val="24"/>
        </w:rPr>
        <w:t xml:space="preserve"> </w:t>
      </w:r>
    </w:p>
    <w:tbl>
      <w:tblPr>
        <w:tblW w:w="5000" w:type="pct"/>
        <w:jc w:val="center"/>
        <w:tblLook w:val="04A0" w:firstRow="1" w:lastRow="0" w:firstColumn="1" w:lastColumn="0" w:noHBand="0" w:noVBand="1"/>
      </w:tblPr>
      <w:tblGrid>
        <w:gridCol w:w="1052"/>
        <w:gridCol w:w="5339"/>
        <w:gridCol w:w="2711"/>
        <w:gridCol w:w="2812"/>
        <w:gridCol w:w="2034"/>
      </w:tblGrid>
      <w:tr w:rsidR="00D45858" w:rsidRPr="000741BA" w14:paraId="14919360" w14:textId="77777777" w:rsidTr="00B22435">
        <w:trPr>
          <w:trHeight w:val="352"/>
          <w:jc w:val="center"/>
        </w:trPr>
        <w:tc>
          <w:tcPr>
            <w:tcW w:w="377" w:type="pct"/>
            <w:vMerge w:val="restart"/>
            <w:tcBorders>
              <w:top w:val="single" w:sz="4" w:space="0" w:color="auto"/>
              <w:left w:val="single" w:sz="4" w:space="0" w:color="auto"/>
              <w:bottom w:val="single" w:sz="4" w:space="0" w:color="auto"/>
              <w:right w:val="single" w:sz="4" w:space="0" w:color="auto"/>
            </w:tcBorders>
            <w:vAlign w:val="center"/>
            <w:hideMark/>
          </w:tcPr>
          <w:p w14:paraId="0E3E208E"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S.</w:t>
            </w:r>
          </w:p>
          <w:p w14:paraId="0073AE9F"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No.</w:t>
            </w:r>
          </w:p>
        </w:tc>
        <w:tc>
          <w:tcPr>
            <w:tcW w:w="1914" w:type="pct"/>
            <w:vMerge w:val="restart"/>
            <w:tcBorders>
              <w:top w:val="single" w:sz="4" w:space="0" w:color="auto"/>
              <w:left w:val="single" w:sz="4" w:space="0" w:color="auto"/>
              <w:bottom w:val="single" w:sz="4" w:space="0" w:color="auto"/>
              <w:right w:val="single" w:sz="4" w:space="0" w:color="auto"/>
            </w:tcBorders>
            <w:vAlign w:val="center"/>
            <w:hideMark/>
          </w:tcPr>
          <w:p w14:paraId="70FEC4BA"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Source </w:t>
            </w:r>
          </w:p>
        </w:tc>
        <w:tc>
          <w:tcPr>
            <w:tcW w:w="2709" w:type="pct"/>
            <w:gridSpan w:val="3"/>
            <w:tcBorders>
              <w:top w:val="single" w:sz="4" w:space="0" w:color="auto"/>
              <w:left w:val="single" w:sz="4" w:space="0" w:color="auto"/>
              <w:bottom w:val="single" w:sz="4" w:space="0" w:color="auto"/>
              <w:right w:val="single" w:sz="4" w:space="0" w:color="auto"/>
            </w:tcBorders>
            <w:vAlign w:val="center"/>
            <w:hideMark/>
          </w:tcPr>
          <w:p w14:paraId="78CE11E6"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Mean Sum of Squares (MSS)</w:t>
            </w:r>
          </w:p>
        </w:tc>
      </w:tr>
      <w:tr w:rsidR="00D45858" w:rsidRPr="000741BA" w14:paraId="724BDE43" w14:textId="77777777" w:rsidTr="00B22435">
        <w:trPr>
          <w:trHeight w:val="20"/>
          <w:jc w:val="center"/>
        </w:trPr>
        <w:tc>
          <w:tcPr>
            <w:tcW w:w="377" w:type="pct"/>
            <w:vMerge/>
            <w:tcBorders>
              <w:top w:val="single" w:sz="4" w:space="0" w:color="auto"/>
              <w:left w:val="single" w:sz="4" w:space="0" w:color="auto"/>
              <w:bottom w:val="single" w:sz="4" w:space="0" w:color="auto"/>
              <w:right w:val="single" w:sz="4" w:space="0" w:color="auto"/>
            </w:tcBorders>
            <w:vAlign w:val="center"/>
            <w:hideMark/>
          </w:tcPr>
          <w:p w14:paraId="2FCF963A"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p>
        </w:tc>
        <w:tc>
          <w:tcPr>
            <w:tcW w:w="1914" w:type="pct"/>
            <w:vMerge/>
            <w:tcBorders>
              <w:top w:val="single" w:sz="4" w:space="0" w:color="auto"/>
              <w:left w:val="single" w:sz="4" w:space="0" w:color="auto"/>
              <w:bottom w:val="single" w:sz="4" w:space="0" w:color="auto"/>
              <w:right w:val="single" w:sz="4" w:space="0" w:color="auto"/>
            </w:tcBorders>
            <w:vAlign w:val="center"/>
            <w:hideMark/>
          </w:tcPr>
          <w:p w14:paraId="49C30C6E" w14:textId="77777777" w:rsidR="00D45858" w:rsidRPr="000741BA" w:rsidRDefault="00D45858" w:rsidP="00305505">
            <w:pPr>
              <w:spacing w:after="0" w:line="240" w:lineRule="auto"/>
              <w:rPr>
                <w:rFonts w:ascii="Times New Roman" w:eastAsia="Times New Roman" w:hAnsi="Times New Roman" w:cs="Times New Roman"/>
                <w:b/>
                <w:bCs/>
                <w:sz w:val="24"/>
                <w:szCs w:val="24"/>
              </w:rPr>
            </w:pPr>
          </w:p>
        </w:tc>
        <w:tc>
          <w:tcPr>
            <w:tcW w:w="972" w:type="pct"/>
            <w:tcBorders>
              <w:top w:val="single" w:sz="4" w:space="0" w:color="auto"/>
              <w:left w:val="single" w:sz="4" w:space="0" w:color="auto"/>
              <w:bottom w:val="single" w:sz="4" w:space="0" w:color="auto"/>
              <w:right w:val="single" w:sz="4" w:space="0" w:color="auto"/>
            </w:tcBorders>
            <w:vAlign w:val="center"/>
            <w:hideMark/>
          </w:tcPr>
          <w:p w14:paraId="5AC0BE3D"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Replication</w:t>
            </w:r>
          </w:p>
        </w:tc>
        <w:tc>
          <w:tcPr>
            <w:tcW w:w="1008" w:type="pct"/>
            <w:tcBorders>
              <w:top w:val="single" w:sz="4" w:space="0" w:color="auto"/>
              <w:left w:val="single" w:sz="4" w:space="0" w:color="auto"/>
              <w:bottom w:val="single" w:sz="4" w:space="0" w:color="auto"/>
              <w:right w:val="single" w:sz="4" w:space="0" w:color="auto"/>
            </w:tcBorders>
            <w:vAlign w:val="center"/>
            <w:hideMark/>
          </w:tcPr>
          <w:p w14:paraId="2F4F01AE"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Treatment</w:t>
            </w:r>
          </w:p>
        </w:tc>
        <w:tc>
          <w:tcPr>
            <w:tcW w:w="729" w:type="pct"/>
            <w:tcBorders>
              <w:top w:val="single" w:sz="4" w:space="0" w:color="auto"/>
              <w:left w:val="single" w:sz="4" w:space="0" w:color="auto"/>
              <w:bottom w:val="single" w:sz="4" w:space="0" w:color="auto"/>
              <w:right w:val="single" w:sz="4" w:space="0" w:color="auto"/>
            </w:tcBorders>
            <w:vAlign w:val="center"/>
            <w:hideMark/>
          </w:tcPr>
          <w:p w14:paraId="050029AF"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Error</w:t>
            </w:r>
          </w:p>
        </w:tc>
      </w:tr>
      <w:tr w:rsidR="00D45858" w:rsidRPr="000741BA" w14:paraId="517D4C0F" w14:textId="77777777" w:rsidTr="00B22435">
        <w:trPr>
          <w:trHeight w:val="20"/>
          <w:jc w:val="center"/>
        </w:trPr>
        <w:tc>
          <w:tcPr>
            <w:tcW w:w="377" w:type="pct"/>
            <w:vMerge/>
            <w:tcBorders>
              <w:top w:val="single" w:sz="4" w:space="0" w:color="auto"/>
              <w:left w:val="single" w:sz="4" w:space="0" w:color="auto"/>
              <w:bottom w:val="single" w:sz="4" w:space="0" w:color="auto"/>
              <w:right w:val="single" w:sz="4" w:space="0" w:color="auto"/>
            </w:tcBorders>
            <w:vAlign w:val="center"/>
            <w:hideMark/>
          </w:tcPr>
          <w:p w14:paraId="639A9950"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p>
        </w:tc>
        <w:tc>
          <w:tcPr>
            <w:tcW w:w="1914" w:type="pct"/>
            <w:tcBorders>
              <w:top w:val="single" w:sz="4" w:space="0" w:color="auto"/>
              <w:left w:val="single" w:sz="4" w:space="0" w:color="auto"/>
              <w:bottom w:val="single" w:sz="4" w:space="0" w:color="auto"/>
              <w:right w:val="single" w:sz="4" w:space="0" w:color="auto"/>
            </w:tcBorders>
            <w:vAlign w:val="center"/>
            <w:hideMark/>
          </w:tcPr>
          <w:p w14:paraId="3CF87E56"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Degrees of freedom</w:t>
            </w:r>
          </w:p>
        </w:tc>
        <w:tc>
          <w:tcPr>
            <w:tcW w:w="972" w:type="pct"/>
            <w:tcBorders>
              <w:top w:val="nil"/>
              <w:left w:val="nil"/>
              <w:bottom w:val="single" w:sz="4" w:space="0" w:color="auto"/>
              <w:right w:val="single" w:sz="4" w:space="0" w:color="auto"/>
            </w:tcBorders>
            <w:noWrap/>
            <w:vAlign w:val="center"/>
            <w:hideMark/>
          </w:tcPr>
          <w:p w14:paraId="24136EC7"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1</w:t>
            </w:r>
          </w:p>
        </w:tc>
        <w:tc>
          <w:tcPr>
            <w:tcW w:w="1008" w:type="pct"/>
            <w:tcBorders>
              <w:top w:val="nil"/>
              <w:left w:val="nil"/>
              <w:bottom w:val="single" w:sz="4" w:space="0" w:color="auto"/>
              <w:right w:val="single" w:sz="4" w:space="0" w:color="auto"/>
            </w:tcBorders>
            <w:noWrap/>
            <w:vAlign w:val="center"/>
            <w:hideMark/>
          </w:tcPr>
          <w:p w14:paraId="188D915A"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26</w:t>
            </w:r>
          </w:p>
        </w:tc>
        <w:tc>
          <w:tcPr>
            <w:tcW w:w="729" w:type="pct"/>
            <w:tcBorders>
              <w:top w:val="nil"/>
              <w:left w:val="nil"/>
              <w:bottom w:val="single" w:sz="4" w:space="0" w:color="auto"/>
              <w:right w:val="single" w:sz="4" w:space="0" w:color="auto"/>
            </w:tcBorders>
            <w:noWrap/>
            <w:vAlign w:val="center"/>
            <w:hideMark/>
          </w:tcPr>
          <w:p w14:paraId="0A0DE0FF"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26</w:t>
            </w:r>
          </w:p>
        </w:tc>
      </w:tr>
      <w:tr w:rsidR="00D45858" w:rsidRPr="000741BA" w14:paraId="0A735919" w14:textId="77777777" w:rsidTr="00B22435">
        <w:trPr>
          <w:trHeight w:val="20"/>
          <w:jc w:val="center"/>
        </w:trPr>
        <w:tc>
          <w:tcPr>
            <w:tcW w:w="377" w:type="pct"/>
            <w:tcBorders>
              <w:top w:val="nil"/>
              <w:left w:val="single" w:sz="4" w:space="0" w:color="auto"/>
              <w:bottom w:val="single" w:sz="4" w:space="0" w:color="auto"/>
              <w:right w:val="single" w:sz="4" w:space="0" w:color="auto"/>
            </w:tcBorders>
            <w:noWrap/>
            <w:vAlign w:val="center"/>
            <w:hideMark/>
          </w:tcPr>
          <w:p w14:paraId="4EDBC8D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w:t>
            </w:r>
          </w:p>
        </w:tc>
        <w:tc>
          <w:tcPr>
            <w:tcW w:w="1914" w:type="pct"/>
            <w:tcBorders>
              <w:top w:val="single" w:sz="4" w:space="0" w:color="auto"/>
              <w:left w:val="single" w:sz="4" w:space="0" w:color="auto"/>
              <w:bottom w:val="single" w:sz="4" w:space="0" w:color="auto"/>
              <w:right w:val="single" w:sz="4" w:space="0" w:color="auto"/>
            </w:tcBorders>
            <w:vAlign w:val="center"/>
            <w:hideMark/>
          </w:tcPr>
          <w:p w14:paraId="60B4E7CD"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SCMR </w:t>
            </w:r>
          </w:p>
        </w:tc>
        <w:tc>
          <w:tcPr>
            <w:tcW w:w="972" w:type="pct"/>
            <w:tcBorders>
              <w:top w:val="single" w:sz="4" w:space="0" w:color="auto"/>
              <w:left w:val="single" w:sz="4" w:space="0" w:color="auto"/>
              <w:bottom w:val="single" w:sz="4" w:space="0" w:color="auto"/>
              <w:right w:val="single" w:sz="4" w:space="0" w:color="auto"/>
            </w:tcBorders>
            <w:vAlign w:val="center"/>
            <w:hideMark/>
          </w:tcPr>
          <w:p w14:paraId="172D7B7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0.31</w:t>
            </w:r>
          </w:p>
        </w:tc>
        <w:tc>
          <w:tcPr>
            <w:tcW w:w="1008" w:type="pct"/>
            <w:tcBorders>
              <w:top w:val="single" w:sz="4" w:space="0" w:color="auto"/>
              <w:left w:val="single" w:sz="4" w:space="0" w:color="auto"/>
              <w:bottom w:val="single" w:sz="4" w:space="0" w:color="auto"/>
              <w:right w:val="single" w:sz="4" w:space="0" w:color="auto"/>
            </w:tcBorders>
            <w:vAlign w:val="center"/>
            <w:hideMark/>
          </w:tcPr>
          <w:p w14:paraId="46E55AF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32.41**</w:t>
            </w:r>
          </w:p>
        </w:tc>
        <w:tc>
          <w:tcPr>
            <w:tcW w:w="729" w:type="pct"/>
            <w:tcBorders>
              <w:top w:val="single" w:sz="4" w:space="0" w:color="auto"/>
              <w:left w:val="single" w:sz="4" w:space="0" w:color="auto"/>
              <w:bottom w:val="single" w:sz="4" w:space="0" w:color="auto"/>
              <w:right w:val="single" w:sz="4" w:space="0" w:color="auto"/>
            </w:tcBorders>
            <w:vAlign w:val="center"/>
            <w:hideMark/>
          </w:tcPr>
          <w:p w14:paraId="67DFA96B"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3.82</w:t>
            </w:r>
          </w:p>
        </w:tc>
      </w:tr>
      <w:tr w:rsidR="00D45858" w:rsidRPr="000741BA" w14:paraId="2FB50D01" w14:textId="77777777" w:rsidTr="00B22435">
        <w:trPr>
          <w:trHeight w:val="20"/>
          <w:jc w:val="center"/>
        </w:trPr>
        <w:tc>
          <w:tcPr>
            <w:tcW w:w="377" w:type="pct"/>
            <w:tcBorders>
              <w:top w:val="nil"/>
              <w:left w:val="single" w:sz="4" w:space="0" w:color="auto"/>
              <w:bottom w:val="single" w:sz="4" w:space="0" w:color="auto"/>
              <w:right w:val="single" w:sz="4" w:space="0" w:color="auto"/>
            </w:tcBorders>
            <w:noWrap/>
            <w:vAlign w:val="center"/>
            <w:hideMark/>
          </w:tcPr>
          <w:p w14:paraId="062DC4CA"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w:t>
            </w:r>
          </w:p>
        </w:tc>
        <w:tc>
          <w:tcPr>
            <w:tcW w:w="1914" w:type="pct"/>
            <w:tcBorders>
              <w:top w:val="single" w:sz="4" w:space="0" w:color="auto"/>
              <w:left w:val="single" w:sz="4" w:space="0" w:color="auto"/>
              <w:bottom w:val="single" w:sz="4" w:space="0" w:color="auto"/>
              <w:right w:val="single" w:sz="4" w:space="0" w:color="auto"/>
            </w:tcBorders>
            <w:vAlign w:val="center"/>
            <w:hideMark/>
          </w:tcPr>
          <w:p w14:paraId="24E32F68"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SLA (cm</w:t>
            </w:r>
            <w:r w:rsidRPr="000741BA">
              <w:rPr>
                <w:rFonts w:ascii="Times New Roman" w:eastAsia="Times New Roman" w:hAnsi="Times New Roman" w:cs="Times New Roman"/>
                <w:sz w:val="24"/>
                <w:szCs w:val="24"/>
                <w:vertAlign w:val="superscript"/>
              </w:rPr>
              <w:t>2</w:t>
            </w:r>
            <w:r w:rsidRPr="000741BA">
              <w:rPr>
                <w:rFonts w:ascii="Times New Roman" w:eastAsia="Times New Roman" w:hAnsi="Times New Roman" w:cs="Times New Roman"/>
                <w:sz w:val="24"/>
                <w:szCs w:val="24"/>
              </w:rPr>
              <w:t xml:space="preserve"> g</w:t>
            </w:r>
            <w:r w:rsidRPr="000741BA">
              <w:rPr>
                <w:rFonts w:ascii="Times New Roman" w:eastAsia="Times New Roman" w:hAnsi="Times New Roman" w:cs="Times New Roman"/>
                <w:sz w:val="24"/>
                <w:szCs w:val="24"/>
                <w:vertAlign w:val="superscript"/>
              </w:rPr>
              <w:t>-1</w:t>
            </w:r>
            <w:r w:rsidRPr="000741BA">
              <w:rPr>
                <w:rFonts w:ascii="Times New Roman" w:eastAsia="Times New Roman" w:hAnsi="Times New Roman" w:cs="Times New Roman"/>
                <w:sz w:val="24"/>
                <w:szCs w:val="24"/>
              </w:rPr>
              <w:t>)</w:t>
            </w:r>
          </w:p>
        </w:tc>
        <w:tc>
          <w:tcPr>
            <w:tcW w:w="972" w:type="pct"/>
            <w:tcBorders>
              <w:top w:val="single" w:sz="4" w:space="0" w:color="auto"/>
              <w:left w:val="single" w:sz="4" w:space="0" w:color="auto"/>
              <w:bottom w:val="single" w:sz="4" w:space="0" w:color="auto"/>
              <w:right w:val="single" w:sz="4" w:space="0" w:color="auto"/>
            </w:tcBorders>
            <w:vAlign w:val="center"/>
            <w:hideMark/>
          </w:tcPr>
          <w:p w14:paraId="3A9E8133"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10.35</w:t>
            </w:r>
          </w:p>
        </w:tc>
        <w:tc>
          <w:tcPr>
            <w:tcW w:w="1008" w:type="pct"/>
            <w:tcBorders>
              <w:top w:val="single" w:sz="4" w:space="0" w:color="auto"/>
              <w:left w:val="single" w:sz="4" w:space="0" w:color="auto"/>
              <w:bottom w:val="single" w:sz="4" w:space="0" w:color="auto"/>
              <w:right w:val="single" w:sz="4" w:space="0" w:color="auto"/>
            </w:tcBorders>
            <w:vAlign w:val="center"/>
            <w:hideMark/>
          </w:tcPr>
          <w:p w14:paraId="6DCF41E3"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232.54**</w:t>
            </w:r>
          </w:p>
        </w:tc>
        <w:tc>
          <w:tcPr>
            <w:tcW w:w="729" w:type="pct"/>
            <w:tcBorders>
              <w:top w:val="single" w:sz="4" w:space="0" w:color="auto"/>
              <w:left w:val="single" w:sz="4" w:space="0" w:color="auto"/>
              <w:bottom w:val="single" w:sz="4" w:space="0" w:color="auto"/>
              <w:right w:val="single" w:sz="4" w:space="0" w:color="auto"/>
            </w:tcBorders>
            <w:vAlign w:val="center"/>
            <w:hideMark/>
          </w:tcPr>
          <w:p w14:paraId="431FA2CB"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28.86</w:t>
            </w:r>
          </w:p>
        </w:tc>
      </w:tr>
      <w:tr w:rsidR="00D45858" w:rsidRPr="000741BA" w14:paraId="3300D797" w14:textId="77777777" w:rsidTr="00B22435">
        <w:trPr>
          <w:trHeight w:val="20"/>
          <w:jc w:val="center"/>
        </w:trPr>
        <w:tc>
          <w:tcPr>
            <w:tcW w:w="377" w:type="pct"/>
            <w:tcBorders>
              <w:top w:val="nil"/>
              <w:left w:val="single" w:sz="4" w:space="0" w:color="auto"/>
              <w:bottom w:val="single" w:sz="4" w:space="0" w:color="auto"/>
              <w:right w:val="single" w:sz="4" w:space="0" w:color="auto"/>
            </w:tcBorders>
            <w:noWrap/>
            <w:vAlign w:val="center"/>
            <w:hideMark/>
          </w:tcPr>
          <w:p w14:paraId="4FC0AF3C"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w:t>
            </w:r>
          </w:p>
        </w:tc>
        <w:tc>
          <w:tcPr>
            <w:tcW w:w="1914" w:type="pct"/>
            <w:tcBorders>
              <w:top w:val="single" w:sz="4" w:space="0" w:color="auto"/>
              <w:left w:val="single" w:sz="4" w:space="0" w:color="auto"/>
              <w:bottom w:val="single" w:sz="4" w:space="0" w:color="auto"/>
              <w:right w:val="single" w:sz="4" w:space="0" w:color="auto"/>
            </w:tcBorders>
            <w:vAlign w:val="center"/>
            <w:hideMark/>
          </w:tcPr>
          <w:p w14:paraId="2E0F82C4"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RWC (%)</w:t>
            </w:r>
          </w:p>
        </w:tc>
        <w:tc>
          <w:tcPr>
            <w:tcW w:w="972" w:type="pct"/>
            <w:tcBorders>
              <w:top w:val="single" w:sz="4" w:space="0" w:color="auto"/>
              <w:left w:val="single" w:sz="4" w:space="0" w:color="auto"/>
              <w:bottom w:val="single" w:sz="4" w:space="0" w:color="auto"/>
              <w:right w:val="single" w:sz="4" w:space="0" w:color="auto"/>
            </w:tcBorders>
            <w:vAlign w:val="center"/>
            <w:hideMark/>
          </w:tcPr>
          <w:p w14:paraId="2418573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18.91</w:t>
            </w:r>
          </w:p>
        </w:tc>
        <w:tc>
          <w:tcPr>
            <w:tcW w:w="1008" w:type="pct"/>
            <w:tcBorders>
              <w:top w:val="single" w:sz="4" w:space="0" w:color="auto"/>
              <w:left w:val="single" w:sz="4" w:space="0" w:color="auto"/>
              <w:bottom w:val="single" w:sz="4" w:space="0" w:color="auto"/>
              <w:right w:val="single" w:sz="4" w:space="0" w:color="auto"/>
            </w:tcBorders>
            <w:vAlign w:val="center"/>
            <w:hideMark/>
          </w:tcPr>
          <w:p w14:paraId="54D7CEA6"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67.52**</w:t>
            </w:r>
          </w:p>
        </w:tc>
        <w:tc>
          <w:tcPr>
            <w:tcW w:w="729" w:type="pct"/>
            <w:tcBorders>
              <w:top w:val="single" w:sz="4" w:space="0" w:color="auto"/>
              <w:left w:val="single" w:sz="4" w:space="0" w:color="auto"/>
              <w:bottom w:val="single" w:sz="4" w:space="0" w:color="auto"/>
              <w:right w:val="single" w:sz="4" w:space="0" w:color="auto"/>
            </w:tcBorders>
            <w:vAlign w:val="center"/>
            <w:hideMark/>
          </w:tcPr>
          <w:p w14:paraId="761F8A1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4.58</w:t>
            </w:r>
          </w:p>
        </w:tc>
      </w:tr>
      <w:tr w:rsidR="00D45858" w:rsidRPr="000741BA" w14:paraId="4FF2F793" w14:textId="77777777" w:rsidTr="00B22435">
        <w:trPr>
          <w:trHeight w:val="20"/>
          <w:jc w:val="center"/>
        </w:trPr>
        <w:tc>
          <w:tcPr>
            <w:tcW w:w="377" w:type="pct"/>
            <w:tcBorders>
              <w:top w:val="nil"/>
              <w:left w:val="single" w:sz="4" w:space="0" w:color="auto"/>
              <w:bottom w:val="single" w:sz="4" w:space="0" w:color="auto"/>
              <w:right w:val="single" w:sz="4" w:space="0" w:color="auto"/>
            </w:tcBorders>
            <w:noWrap/>
            <w:vAlign w:val="center"/>
            <w:hideMark/>
          </w:tcPr>
          <w:p w14:paraId="425B89DB"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w:t>
            </w:r>
          </w:p>
        </w:tc>
        <w:tc>
          <w:tcPr>
            <w:tcW w:w="1914" w:type="pct"/>
            <w:tcBorders>
              <w:top w:val="single" w:sz="4" w:space="0" w:color="auto"/>
              <w:left w:val="single" w:sz="4" w:space="0" w:color="auto"/>
              <w:bottom w:val="single" w:sz="4" w:space="0" w:color="auto"/>
              <w:right w:val="single" w:sz="4" w:space="0" w:color="auto"/>
            </w:tcBorders>
            <w:vAlign w:val="center"/>
            <w:hideMark/>
          </w:tcPr>
          <w:p w14:paraId="4CC473C5"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 xml:space="preserve">Per cent </w:t>
            </w:r>
            <w:r w:rsidRPr="000741BA">
              <w:rPr>
                <w:rFonts w:ascii="Times New Roman" w:eastAsia="Times New Roman" w:hAnsi="Times New Roman" w:cs="Times New Roman"/>
                <w:sz w:val="24"/>
                <w:szCs w:val="24"/>
              </w:rPr>
              <w:t xml:space="preserve">membrane damage </w:t>
            </w:r>
          </w:p>
        </w:tc>
        <w:tc>
          <w:tcPr>
            <w:tcW w:w="972" w:type="pct"/>
            <w:tcBorders>
              <w:top w:val="single" w:sz="4" w:space="0" w:color="auto"/>
              <w:left w:val="single" w:sz="4" w:space="0" w:color="auto"/>
              <w:bottom w:val="single" w:sz="4" w:space="0" w:color="auto"/>
              <w:right w:val="single" w:sz="4" w:space="0" w:color="auto"/>
            </w:tcBorders>
            <w:vAlign w:val="center"/>
            <w:hideMark/>
          </w:tcPr>
          <w:p w14:paraId="279A24E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0.04</w:t>
            </w:r>
          </w:p>
        </w:tc>
        <w:tc>
          <w:tcPr>
            <w:tcW w:w="1008" w:type="pct"/>
            <w:tcBorders>
              <w:top w:val="single" w:sz="4" w:space="0" w:color="auto"/>
              <w:left w:val="single" w:sz="4" w:space="0" w:color="auto"/>
              <w:bottom w:val="single" w:sz="4" w:space="0" w:color="auto"/>
              <w:right w:val="single" w:sz="4" w:space="0" w:color="auto"/>
            </w:tcBorders>
            <w:vAlign w:val="center"/>
            <w:hideMark/>
          </w:tcPr>
          <w:p w14:paraId="5F86B80A"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87.42**</w:t>
            </w:r>
          </w:p>
        </w:tc>
        <w:tc>
          <w:tcPr>
            <w:tcW w:w="729" w:type="pct"/>
            <w:tcBorders>
              <w:top w:val="single" w:sz="4" w:space="0" w:color="auto"/>
              <w:left w:val="single" w:sz="4" w:space="0" w:color="auto"/>
              <w:bottom w:val="single" w:sz="4" w:space="0" w:color="auto"/>
              <w:right w:val="single" w:sz="4" w:space="0" w:color="auto"/>
            </w:tcBorders>
            <w:vAlign w:val="center"/>
            <w:hideMark/>
          </w:tcPr>
          <w:p w14:paraId="4E4F36B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4.77</w:t>
            </w:r>
          </w:p>
        </w:tc>
      </w:tr>
      <w:tr w:rsidR="00D45858" w:rsidRPr="000741BA" w14:paraId="5A7CDBF3" w14:textId="77777777" w:rsidTr="00B22435">
        <w:trPr>
          <w:trHeight w:val="20"/>
          <w:jc w:val="center"/>
        </w:trPr>
        <w:tc>
          <w:tcPr>
            <w:tcW w:w="377" w:type="pct"/>
            <w:tcBorders>
              <w:top w:val="nil"/>
              <w:left w:val="single" w:sz="4" w:space="0" w:color="auto"/>
              <w:bottom w:val="single" w:sz="4" w:space="0" w:color="auto"/>
              <w:right w:val="single" w:sz="4" w:space="0" w:color="auto"/>
            </w:tcBorders>
            <w:noWrap/>
            <w:vAlign w:val="center"/>
            <w:hideMark/>
          </w:tcPr>
          <w:p w14:paraId="3710AE3A"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w:t>
            </w:r>
          </w:p>
        </w:tc>
        <w:tc>
          <w:tcPr>
            <w:tcW w:w="1914" w:type="pct"/>
            <w:tcBorders>
              <w:top w:val="single" w:sz="4" w:space="0" w:color="auto"/>
              <w:left w:val="single" w:sz="4" w:space="0" w:color="auto"/>
              <w:bottom w:val="single" w:sz="4" w:space="0" w:color="auto"/>
              <w:right w:val="single" w:sz="4" w:space="0" w:color="auto"/>
            </w:tcBorders>
            <w:vAlign w:val="center"/>
            <w:hideMark/>
          </w:tcPr>
          <w:p w14:paraId="15F8A929"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Canopy temperature (</w:t>
            </w:r>
            <w:r w:rsidRPr="000741BA">
              <w:rPr>
                <w:rFonts w:ascii="Times New Roman" w:eastAsia="Times New Roman" w:hAnsi="Times New Roman" w:cs="Times New Roman"/>
                <w:sz w:val="24"/>
                <w:szCs w:val="24"/>
                <w:vertAlign w:val="superscript"/>
              </w:rPr>
              <w:t>0</w:t>
            </w:r>
            <w:r w:rsidRPr="000741BA">
              <w:rPr>
                <w:rFonts w:ascii="Times New Roman" w:eastAsia="Times New Roman" w:hAnsi="Times New Roman" w:cs="Times New Roman"/>
                <w:sz w:val="24"/>
                <w:szCs w:val="24"/>
              </w:rPr>
              <w:t>C)</w:t>
            </w:r>
          </w:p>
        </w:tc>
        <w:tc>
          <w:tcPr>
            <w:tcW w:w="972" w:type="pct"/>
            <w:tcBorders>
              <w:top w:val="single" w:sz="4" w:space="0" w:color="auto"/>
              <w:left w:val="single" w:sz="4" w:space="0" w:color="auto"/>
              <w:bottom w:val="single" w:sz="4" w:space="0" w:color="auto"/>
              <w:right w:val="single" w:sz="4" w:space="0" w:color="auto"/>
            </w:tcBorders>
            <w:vAlign w:val="center"/>
            <w:hideMark/>
          </w:tcPr>
          <w:p w14:paraId="7F7E454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2.17</w:t>
            </w:r>
          </w:p>
        </w:tc>
        <w:tc>
          <w:tcPr>
            <w:tcW w:w="1008" w:type="pct"/>
            <w:tcBorders>
              <w:top w:val="single" w:sz="4" w:space="0" w:color="auto"/>
              <w:left w:val="single" w:sz="4" w:space="0" w:color="auto"/>
              <w:bottom w:val="single" w:sz="4" w:space="0" w:color="auto"/>
              <w:right w:val="single" w:sz="4" w:space="0" w:color="auto"/>
            </w:tcBorders>
            <w:vAlign w:val="center"/>
            <w:hideMark/>
          </w:tcPr>
          <w:p w14:paraId="2A35E97A"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6.54**</w:t>
            </w:r>
          </w:p>
        </w:tc>
        <w:tc>
          <w:tcPr>
            <w:tcW w:w="729" w:type="pct"/>
            <w:tcBorders>
              <w:top w:val="single" w:sz="4" w:space="0" w:color="auto"/>
              <w:left w:val="single" w:sz="4" w:space="0" w:color="auto"/>
              <w:bottom w:val="single" w:sz="4" w:space="0" w:color="auto"/>
              <w:right w:val="single" w:sz="4" w:space="0" w:color="auto"/>
            </w:tcBorders>
            <w:vAlign w:val="center"/>
            <w:hideMark/>
          </w:tcPr>
          <w:p w14:paraId="714AB7D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1.49</w:t>
            </w:r>
          </w:p>
        </w:tc>
      </w:tr>
      <w:tr w:rsidR="00D45858" w:rsidRPr="000741BA" w14:paraId="5CC7E0B3" w14:textId="77777777" w:rsidTr="00B22435">
        <w:trPr>
          <w:trHeight w:val="20"/>
          <w:jc w:val="center"/>
        </w:trPr>
        <w:tc>
          <w:tcPr>
            <w:tcW w:w="377" w:type="pct"/>
            <w:tcBorders>
              <w:top w:val="single" w:sz="4" w:space="0" w:color="auto"/>
              <w:left w:val="single" w:sz="4" w:space="0" w:color="auto"/>
              <w:bottom w:val="single" w:sz="4" w:space="0" w:color="auto"/>
              <w:right w:val="single" w:sz="4" w:space="0" w:color="auto"/>
            </w:tcBorders>
            <w:noWrap/>
            <w:vAlign w:val="center"/>
          </w:tcPr>
          <w:p w14:paraId="030ECF86"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w:t>
            </w:r>
          </w:p>
        </w:tc>
        <w:tc>
          <w:tcPr>
            <w:tcW w:w="1914" w:type="pct"/>
            <w:tcBorders>
              <w:top w:val="single" w:sz="4" w:space="0" w:color="auto"/>
              <w:left w:val="single" w:sz="4" w:space="0" w:color="auto"/>
              <w:bottom w:val="single" w:sz="4" w:space="0" w:color="auto"/>
              <w:right w:val="single" w:sz="4" w:space="0" w:color="auto"/>
            </w:tcBorders>
            <w:vAlign w:val="center"/>
          </w:tcPr>
          <w:p w14:paraId="6A3BFDC7"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Stay green score</w:t>
            </w:r>
          </w:p>
        </w:tc>
        <w:tc>
          <w:tcPr>
            <w:tcW w:w="972" w:type="pct"/>
            <w:tcBorders>
              <w:top w:val="single" w:sz="4" w:space="0" w:color="auto"/>
              <w:left w:val="single" w:sz="4" w:space="0" w:color="auto"/>
              <w:bottom w:val="single" w:sz="4" w:space="0" w:color="auto"/>
              <w:right w:val="single" w:sz="4" w:space="0" w:color="auto"/>
            </w:tcBorders>
            <w:vAlign w:val="center"/>
          </w:tcPr>
          <w:p w14:paraId="1A839AAE"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0.47</w:t>
            </w:r>
          </w:p>
        </w:tc>
        <w:tc>
          <w:tcPr>
            <w:tcW w:w="1008" w:type="pct"/>
            <w:tcBorders>
              <w:top w:val="single" w:sz="4" w:space="0" w:color="auto"/>
              <w:left w:val="single" w:sz="4" w:space="0" w:color="auto"/>
              <w:bottom w:val="single" w:sz="4" w:space="0" w:color="auto"/>
              <w:right w:val="single" w:sz="4" w:space="0" w:color="auto"/>
            </w:tcBorders>
            <w:vAlign w:val="center"/>
          </w:tcPr>
          <w:p w14:paraId="45D1D875"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1.98**</w:t>
            </w:r>
          </w:p>
        </w:tc>
        <w:tc>
          <w:tcPr>
            <w:tcW w:w="729" w:type="pct"/>
            <w:tcBorders>
              <w:top w:val="single" w:sz="4" w:space="0" w:color="auto"/>
              <w:left w:val="single" w:sz="4" w:space="0" w:color="auto"/>
              <w:bottom w:val="single" w:sz="4" w:space="0" w:color="auto"/>
              <w:right w:val="single" w:sz="4" w:space="0" w:color="auto"/>
            </w:tcBorders>
            <w:vAlign w:val="center"/>
          </w:tcPr>
          <w:p w14:paraId="1E69D2C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0.16</w:t>
            </w:r>
          </w:p>
        </w:tc>
      </w:tr>
      <w:tr w:rsidR="00D45858" w:rsidRPr="000741BA" w14:paraId="6A3F9AD6" w14:textId="77777777" w:rsidTr="00B22435">
        <w:trPr>
          <w:trHeight w:val="20"/>
          <w:jc w:val="center"/>
        </w:trPr>
        <w:tc>
          <w:tcPr>
            <w:tcW w:w="5000" w:type="pct"/>
            <w:gridSpan w:val="5"/>
            <w:tcBorders>
              <w:top w:val="single" w:sz="4" w:space="0" w:color="auto"/>
            </w:tcBorders>
            <w:vAlign w:val="center"/>
            <w:hideMark/>
          </w:tcPr>
          <w:p w14:paraId="7B042D02" w14:textId="77777777" w:rsidR="00D45858" w:rsidRPr="000741BA" w:rsidRDefault="00D45858" w:rsidP="00305505">
            <w:pPr>
              <w:spacing w:after="0" w:line="240" w:lineRule="auto"/>
              <w:jc w:val="both"/>
              <w:rPr>
                <w:rFonts w:ascii="Times New Roman" w:hAnsi="Times New Roman" w:cs="Times New Roman"/>
                <w:sz w:val="24"/>
                <w:szCs w:val="24"/>
              </w:rPr>
            </w:pPr>
            <w:r w:rsidRPr="000741BA">
              <w:rPr>
                <w:rFonts w:ascii="Times New Roman" w:hAnsi="Times New Roman" w:cs="Times New Roman"/>
                <w:sz w:val="24"/>
                <w:szCs w:val="24"/>
              </w:rPr>
              <w:t>SCMR= SPAD Chlorophyll meter reading, SLA=Specific Leaf Area, RWC=Relative Water Content</w:t>
            </w:r>
          </w:p>
        </w:tc>
      </w:tr>
      <w:tr w:rsidR="00D45858" w:rsidRPr="000741BA" w14:paraId="712E32CA" w14:textId="77777777" w:rsidTr="00B22435">
        <w:trPr>
          <w:trHeight w:val="20"/>
          <w:jc w:val="center"/>
        </w:trPr>
        <w:tc>
          <w:tcPr>
            <w:tcW w:w="5000" w:type="pct"/>
            <w:gridSpan w:val="5"/>
            <w:vAlign w:val="center"/>
            <w:hideMark/>
          </w:tcPr>
          <w:p w14:paraId="2524005A"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Significant at 5% level of significance               ** Significant at 1 % level of significance</w:t>
            </w:r>
          </w:p>
        </w:tc>
      </w:tr>
      <w:tr w:rsidR="00D45858" w:rsidRPr="000741BA" w14:paraId="2E2F326D" w14:textId="77777777" w:rsidTr="00B22435">
        <w:trPr>
          <w:trHeight w:val="20"/>
          <w:jc w:val="center"/>
        </w:trPr>
        <w:tc>
          <w:tcPr>
            <w:tcW w:w="3263" w:type="pct"/>
            <w:gridSpan w:val="3"/>
            <w:tcBorders>
              <w:left w:val="nil"/>
              <w:bottom w:val="nil"/>
              <w:right w:val="nil"/>
            </w:tcBorders>
            <w:vAlign w:val="center"/>
            <w:hideMark/>
          </w:tcPr>
          <w:p w14:paraId="145F7522"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1008" w:type="pct"/>
            <w:tcBorders>
              <w:left w:val="nil"/>
              <w:bottom w:val="nil"/>
              <w:right w:val="nil"/>
            </w:tcBorders>
            <w:vAlign w:val="center"/>
            <w:hideMark/>
          </w:tcPr>
          <w:p w14:paraId="2D1D55AC"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729" w:type="pct"/>
            <w:tcBorders>
              <w:left w:val="nil"/>
              <w:bottom w:val="nil"/>
              <w:right w:val="nil"/>
            </w:tcBorders>
            <w:vAlign w:val="center"/>
            <w:hideMark/>
          </w:tcPr>
          <w:p w14:paraId="596C636D"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r>
    </w:tbl>
    <w:p w14:paraId="63AE53AA" w14:textId="77777777" w:rsidR="00D45858" w:rsidRPr="003209AE" w:rsidRDefault="00D45858" w:rsidP="00B676B8">
      <w:pPr>
        <w:spacing w:after="100" w:line="240" w:lineRule="auto"/>
        <w:ind w:left="1296" w:hanging="1296"/>
        <w:jc w:val="both"/>
        <w:rPr>
          <w:rFonts w:ascii="Times New Roman" w:eastAsia="Calibri" w:hAnsi="Times New Roman" w:cs="Times New Roman"/>
          <w:b/>
          <w:bCs/>
          <w:sz w:val="24"/>
          <w:szCs w:val="24"/>
        </w:rPr>
      </w:pPr>
    </w:p>
    <w:p w14:paraId="31CC9952" w14:textId="77777777" w:rsidR="007C08A8" w:rsidRPr="003209AE" w:rsidRDefault="007C08A8" w:rsidP="00B676B8">
      <w:pPr>
        <w:spacing w:after="100" w:line="240" w:lineRule="auto"/>
        <w:ind w:left="1296" w:hanging="1296"/>
        <w:jc w:val="both"/>
        <w:rPr>
          <w:rFonts w:ascii="Times New Roman" w:eastAsia="Calibri" w:hAnsi="Times New Roman" w:cs="Times New Roman"/>
          <w:b/>
          <w:bCs/>
          <w:sz w:val="24"/>
          <w:szCs w:val="24"/>
        </w:rPr>
      </w:pPr>
      <w:r w:rsidRPr="003209AE">
        <w:rPr>
          <w:rFonts w:ascii="Times New Roman" w:eastAsia="Calibri" w:hAnsi="Times New Roman" w:cs="Times New Roman"/>
          <w:b/>
          <w:bCs/>
          <w:sz w:val="24"/>
          <w:szCs w:val="24"/>
        </w:rPr>
        <w:t xml:space="preserve">Table </w:t>
      </w:r>
      <w:r w:rsidR="00D75609" w:rsidRPr="003209AE">
        <w:rPr>
          <w:rFonts w:ascii="Times New Roman" w:eastAsia="Calibri" w:hAnsi="Times New Roman" w:cs="Times New Roman"/>
          <w:b/>
          <w:bCs/>
          <w:sz w:val="24"/>
          <w:szCs w:val="24"/>
        </w:rPr>
        <w:t>6.</w:t>
      </w:r>
      <w:r w:rsidRPr="003209AE">
        <w:rPr>
          <w:rFonts w:ascii="Times New Roman" w:eastAsia="Calibri" w:hAnsi="Times New Roman" w:cs="Times New Roman"/>
          <w:b/>
          <w:bCs/>
          <w:sz w:val="24"/>
          <w:szCs w:val="24"/>
        </w:rPr>
        <w:t xml:space="preserve"> Estimation of variability and genetic parameters for grain yield and yield components in sorghum at three locations and pooled over locations</w:t>
      </w:r>
    </w:p>
    <w:tbl>
      <w:tblPr>
        <w:tblW w:w="5000" w:type="pct"/>
        <w:jc w:val="center"/>
        <w:tblLook w:val="04A0" w:firstRow="1" w:lastRow="0" w:firstColumn="1" w:lastColumn="0" w:noHBand="0" w:noVBand="1"/>
      </w:tblPr>
      <w:tblGrid>
        <w:gridCol w:w="1932"/>
        <w:gridCol w:w="1030"/>
        <w:gridCol w:w="1030"/>
        <w:gridCol w:w="943"/>
        <w:gridCol w:w="943"/>
        <w:gridCol w:w="942"/>
        <w:gridCol w:w="942"/>
        <w:gridCol w:w="942"/>
        <w:gridCol w:w="942"/>
        <w:gridCol w:w="510"/>
        <w:gridCol w:w="510"/>
        <w:gridCol w:w="510"/>
        <w:gridCol w:w="621"/>
        <w:gridCol w:w="510"/>
        <w:gridCol w:w="510"/>
        <w:gridCol w:w="510"/>
        <w:gridCol w:w="621"/>
      </w:tblGrid>
      <w:tr w:rsidR="007C08A8" w:rsidRPr="000741BA" w14:paraId="427CB808" w14:textId="77777777" w:rsidTr="00B676B8">
        <w:trPr>
          <w:jc w:val="center"/>
        </w:trPr>
        <w:tc>
          <w:tcPr>
            <w:tcW w:w="584" w:type="pct"/>
            <w:vMerge w:val="restart"/>
            <w:tcBorders>
              <w:top w:val="single" w:sz="4" w:space="0" w:color="auto"/>
              <w:left w:val="single" w:sz="4" w:space="0" w:color="auto"/>
              <w:bottom w:val="single" w:sz="4" w:space="0" w:color="auto"/>
              <w:right w:val="single" w:sz="4" w:space="0" w:color="auto"/>
            </w:tcBorders>
            <w:noWrap/>
            <w:vAlign w:val="center"/>
            <w:hideMark/>
          </w:tcPr>
          <w:p w14:paraId="11229C3C"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Character</w:t>
            </w:r>
          </w:p>
          <w:p w14:paraId="77D05B2C" w14:textId="77777777" w:rsidR="00B676B8" w:rsidRPr="000741BA" w:rsidRDefault="00B676B8" w:rsidP="00305505">
            <w:pPr>
              <w:spacing w:after="0" w:line="240" w:lineRule="auto"/>
              <w:ind w:left="-120" w:right="-120"/>
              <w:jc w:val="center"/>
              <w:rPr>
                <w:rFonts w:ascii="Times New Roman" w:eastAsia="Times New Roman" w:hAnsi="Times New Roman" w:cs="Times New Roman"/>
                <w:b/>
                <w:bCs/>
              </w:rPr>
            </w:pPr>
          </w:p>
        </w:tc>
        <w:tc>
          <w:tcPr>
            <w:tcW w:w="2723" w:type="pct"/>
            <w:gridSpan w:val="8"/>
            <w:tcBorders>
              <w:top w:val="single" w:sz="4" w:space="0" w:color="auto"/>
              <w:left w:val="nil"/>
              <w:bottom w:val="single" w:sz="4" w:space="0" w:color="auto"/>
              <w:right w:val="single" w:sz="4" w:space="0" w:color="000000"/>
            </w:tcBorders>
            <w:noWrap/>
            <w:vAlign w:val="center"/>
            <w:hideMark/>
          </w:tcPr>
          <w:p w14:paraId="0F469BBA"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Variance</w:t>
            </w:r>
          </w:p>
        </w:tc>
        <w:tc>
          <w:tcPr>
            <w:tcW w:w="1694" w:type="pct"/>
            <w:gridSpan w:val="8"/>
            <w:tcBorders>
              <w:top w:val="single" w:sz="4" w:space="0" w:color="auto"/>
              <w:left w:val="nil"/>
              <w:bottom w:val="single" w:sz="4" w:space="0" w:color="auto"/>
              <w:right w:val="single" w:sz="4" w:space="0" w:color="000000"/>
            </w:tcBorders>
          </w:tcPr>
          <w:p w14:paraId="22D0E20C"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Coefficient of Variance</w:t>
            </w:r>
          </w:p>
        </w:tc>
      </w:tr>
      <w:tr w:rsidR="007C08A8" w:rsidRPr="000741BA" w14:paraId="1CDA2C22" w14:textId="77777777" w:rsidTr="00B676B8">
        <w:trPr>
          <w:jc w:val="center"/>
        </w:trPr>
        <w:tc>
          <w:tcPr>
            <w:tcW w:w="584" w:type="pct"/>
            <w:vMerge/>
            <w:tcBorders>
              <w:top w:val="single" w:sz="4" w:space="0" w:color="auto"/>
              <w:left w:val="single" w:sz="4" w:space="0" w:color="auto"/>
              <w:bottom w:val="single" w:sz="4" w:space="0" w:color="auto"/>
              <w:right w:val="single" w:sz="4" w:space="0" w:color="auto"/>
            </w:tcBorders>
            <w:vAlign w:val="center"/>
            <w:hideMark/>
          </w:tcPr>
          <w:p w14:paraId="45ACE44C" w14:textId="77777777" w:rsidR="007C08A8" w:rsidRPr="000741BA" w:rsidRDefault="007C08A8" w:rsidP="00305505">
            <w:pPr>
              <w:spacing w:after="0" w:line="240" w:lineRule="auto"/>
              <w:ind w:left="-120" w:right="-120"/>
              <w:jc w:val="both"/>
              <w:rPr>
                <w:rFonts w:ascii="Times New Roman" w:eastAsia="Times New Roman" w:hAnsi="Times New Roman" w:cs="Times New Roman"/>
                <w:b/>
                <w:bCs/>
              </w:rPr>
            </w:pPr>
          </w:p>
        </w:tc>
        <w:tc>
          <w:tcPr>
            <w:tcW w:w="1418" w:type="pct"/>
            <w:gridSpan w:val="4"/>
            <w:tcBorders>
              <w:top w:val="single" w:sz="4" w:space="0" w:color="auto"/>
              <w:left w:val="nil"/>
              <w:bottom w:val="single" w:sz="4" w:space="0" w:color="auto"/>
              <w:right w:val="single" w:sz="4" w:space="0" w:color="000000"/>
            </w:tcBorders>
            <w:noWrap/>
            <w:vAlign w:val="center"/>
            <w:hideMark/>
          </w:tcPr>
          <w:p w14:paraId="14BF05D6"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Phenotypic</w:t>
            </w:r>
          </w:p>
        </w:tc>
        <w:tc>
          <w:tcPr>
            <w:tcW w:w="1304" w:type="pct"/>
            <w:gridSpan w:val="4"/>
            <w:tcBorders>
              <w:top w:val="single" w:sz="4" w:space="0" w:color="auto"/>
              <w:left w:val="nil"/>
              <w:bottom w:val="single" w:sz="4" w:space="0" w:color="auto"/>
              <w:right w:val="single" w:sz="4" w:space="0" w:color="000000"/>
            </w:tcBorders>
            <w:noWrap/>
            <w:vAlign w:val="center"/>
            <w:hideMark/>
          </w:tcPr>
          <w:p w14:paraId="7F4FAE7E"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Genotypic</w:t>
            </w:r>
          </w:p>
        </w:tc>
        <w:tc>
          <w:tcPr>
            <w:tcW w:w="823" w:type="pct"/>
            <w:gridSpan w:val="4"/>
            <w:tcBorders>
              <w:top w:val="single" w:sz="4" w:space="0" w:color="auto"/>
              <w:left w:val="nil"/>
              <w:bottom w:val="single" w:sz="4" w:space="0" w:color="auto"/>
              <w:right w:val="single" w:sz="4" w:space="0" w:color="000000"/>
            </w:tcBorders>
          </w:tcPr>
          <w:p w14:paraId="2EE60A1E"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PCV</w:t>
            </w:r>
          </w:p>
        </w:tc>
        <w:tc>
          <w:tcPr>
            <w:tcW w:w="871" w:type="pct"/>
            <w:gridSpan w:val="4"/>
            <w:tcBorders>
              <w:top w:val="single" w:sz="4" w:space="0" w:color="auto"/>
              <w:left w:val="nil"/>
              <w:bottom w:val="single" w:sz="4" w:space="0" w:color="auto"/>
              <w:right w:val="single" w:sz="4" w:space="0" w:color="000000"/>
            </w:tcBorders>
          </w:tcPr>
          <w:p w14:paraId="4A1EDB91"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GCV</w:t>
            </w:r>
          </w:p>
        </w:tc>
      </w:tr>
      <w:tr w:rsidR="007C08A8" w:rsidRPr="000741BA" w14:paraId="3C9765D9" w14:textId="77777777" w:rsidTr="00B676B8">
        <w:trPr>
          <w:jc w:val="center"/>
        </w:trPr>
        <w:tc>
          <w:tcPr>
            <w:tcW w:w="584" w:type="pct"/>
            <w:vMerge/>
            <w:tcBorders>
              <w:top w:val="single" w:sz="4" w:space="0" w:color="auto"/>
              <w:left w:val="single" w:sz="4" w:space="0" w:color="auto"/>
              <w:bottom w:val="single" w:sz="4" w:space="0" w:color="auto"/>
              <w:right w:val="single" w:sz="4" w:space="0" w:color="auto"/>
            </w:tcBorders>
            <w:vAlign w:val="center"/>
            <w:hideMark/>
          </w:tcPr>
          <w:p w14:paraId="78DBE1C0" w14:textId="77777777" w:rsidR="007C08A8" w:rsidRPr="000741BA" w:rsidRDefault="007C08A8" w:rsidP="00305505">
            <w:pPr>
              <w:spacing w:after="0" w:line="240" w:lineRule="auto"/>
              <w:ind w:left="-120" w:right="-120"/>
              <w:jc w:val="both"/>
              <w:rPr>
                <w:rFonts w:ascii="Times New Roman" w:eastAsia="Times New Roman" w:hAnsi="Times New Roman" w:cs="Times New Roman"/>
                <w:b/>
                <w:bCs/>
              </w:rPr>
            </w:pPr>
          </w:p>
        </w:tc>
        <w:tc>
          <w:tcPr>
            <w:tcW w:w="355" w:type="pct"/>
            <w:tcBorders>
              <w:top w:val="nil"/>
              <w:left w:val="nil"/>
              <w:bottom w:val="single" w:sz="4" w:space="0" w:color="auto"/>
              <w:right w:val="single" w:sz="4" w:space="0" w:color="auto"/>
            </w:tcBorders>
            <w:noWrap/>
            <w:vAlign w:val="center"/>
            <w:hideMark/>
          </w:tcPr>
          <w:p w14:paraId="267074F1"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N</w:t>
            </w:r>
          </w:p>
        </w:tc>
        <w:tc>
          <w:tcPr>
            <w:tcW w:w="354" w:type="pct"/>
            <w:tcBorders>
              <w:top w:val="nil"/>
              <w:left w:val="nil"/>
              <w:bottom w:val="single" w:sz="4" w:space="0" w:color="auto"/>
              <w:right w:val="single" w:sz="4" w:space="0" w:color="auto"/>
            </w:tcBorders>
            <w:noWrap/>
            <w:vAlign w:val="center"/>
            <w:hideMark/>
          </w:tcPr>
          <w:p w14:paraId="4343147F"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w:t>
            </w:r>
          </w:p>
        </w:tc>
        <w:tc>
          <w:tcPr>
            <w:tcW w:w="354" w:type="pct"/>
            <w:tcBorders>
              <w:top w:val="nil"/>
              <w:left w:val="nil"/>
              <w:bottom w:val="single" w:sz="4" w:space="0" w:color="auto"/>
              <w:right w:val="single" w:sz="4" w:space="0" w:color="auto"/>
            </w:tcBorders>
            <w:noWrap/>
            <w:vAlign w:val="center"/>
            <w:hideMark/>
          </w:tcPr>
          <w:p w14:paraId="7F7628E5"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G</w:t>
            </w:r>
          </w:p>
        </w:tc>
        <w:tc>
          <w:tcPr>
            <w:tcW w:w="354" w:type="pct"/>
            <w:tcBorders>
              <w:top w:val="nil"/>
              <w:left w:val="nil"/>
              <w:bottom w:val="single" w:sz="4" w:space="0" w:color="auto"/>
              <w:right w:val="single" w:sz="4" w:space="0" w:color="auto"/>
            </w:tcBorders>
            <w:noWrap/>
            <w:vAlign w:val="center"/>
            <w:hideMark/>
          </w:tcPr>
          <w:p w14:paraId="730BD472"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Pooled</w:t>
            </w:r>
          </w:p>
        </w:tc>
        <w:tc>
          <w:tcPr>
            <w:tcW w:w="310" w:type="pct"/>
            <w:tcBorders>
              <w:top w:val="nil"/>
              <w:left w:val="nil"/>
              <w:bottom w:val="single" w:sz="4" w:space="0" w:color="auto"/>
              <w:right w:val="single" w:sz="4" w:space="0" w:color="auto"/>
            </w:tcBorders>
            <w:noWrap/>
            <w:vAlign w:val="center"/>
            <w:hideMark/>
          </w:tcPr>
          <w:p w14:paraId="27E211FA"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N</w:t>
            </w:r>
          </w:p>
        </w:tc>
        <w:tc>
          <w:tcPr>
            <w:tcW w:w="354" w:type="pct"/>
            <w:tcBorders>
              <w:top w:val="nil"/>
              <w:left w:val="nil"/>
              <w:bottom w:val="single" w:sz="4" w:space="0" w:color="auto"/>
              <w:right w:val="single" w:sz="4" w:space="0" w:color="auto"/>
            </w:tcBorders>
            <w:noWrap/>
            <w:vAlign w:val="center"/>
            <w:hideMark/>
          </w:tcPr>
          <w:p w14:paraId="26D86157"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w:t>
            </w:r>
          </w:p>
        </w:tc>
        <w:tc>
          <w:tcPr>
            <w:tcW w:w="310" w:type="pct"/>
            <w:tcBorders>
              <w:top w:val="nil"/>
              <w:left w:val="nil"/>
              <w:bottom w:val="single" w:sz="4" w:space="0" w:color="auto"/>
              <w:right w:val="single" w:sz="4" w:space="0" w:color="auto"/>
            </w:tcBorders>
            <w:noWrap/>
            <w:vAlign w:val="center"/>
            <w:hideMark/>
          </w:tcPr>
          <w:p w14:paraId="561AFEF3"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G</w:t>
            </w:r>
          </w:p>
        </w:tc>
        <w:tc>
          <w:tcPr>
            <w:tcW w:w="330" w:type="pct"/>
            <w:tcBorders>
              <w:top w:val="nil"/>
              <w:left w:val="nil"/>
              <w:bottom w:val="single" w:sz="4" w:space="0" w:color="auto"/>
              <w:right w:val="single" w:sz="4" w:space="0" w:color="auto"/>
            </w:tcBorders>
            <w:noWrap/>
            <w:vAlign w:val="center"/>
            <w:hideMark/>
          </w:tcPr>
          <w:p w14:paraId="64B3A0E5"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Pooled</w:t>
            </w:r>
          </w:p>
        </w:tc>
        <w:tc>
          <w:tcPr>
            <w:tcW w:w="202" w:type="pct"/>
            <w:tcBorders>
              <w:top w:val="nil"/>
              <w:left w:val="nil"/>
              <w:bottom w:val="single" w:sz="4" w:space="0" w:color="auto"/>
              <w:right w:val="single" w:sz="4" w:space="0" w:color="auto"/>
            </w:tcBorders>
            <w:vAlign w:val="center"/>
          </w:tcPr>
          <w:p w14:paraId="5A304B41"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N</w:t>
            </w:r>
          </w:p>
        </w:tc>
        <w:tc>
          <w:tcPr>
            <w:tcW w:w="206" w:type="pct"/>
            <w:tcBorders>
              <w:top w:val="nil"/>
              <w:left w:val="nil"/>
              <w:bottom w:val="single" w:sz="4" w:space="0" w:color="auto"/>
              <w:right w:val="single" w:sz="4" w:space="0" w:color="auto"/>
            </w:tcBorders>
            <w:vAlign w:val="center"/>
          </w:tcPr>
          <w:p w14:paraId="09C3E332"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w:t>
            </w:r>
          </w:p>
        </w:tc>
        <w:tc>
          <w:tcPr>
            <w:tcW w:w="193" w:type="pct"/>
            <w:tcBorders>
              <w:top w:val="nil"/>
              <w:left w:val="nil"/>
              <w:bottom w:val="single" w:sz="4" w:space="0" w:color="auto"/>
              <w:right w:val="single" w:sz="4" w:space="0" w:color="auto"/>
            </w:tcBorders>
            <w:vAlign w:val="center"/>
          </w:tcPr>
          <w:p w14:paraId="3AEF9BD4"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G</w:t>
            </w:r>
          </w:p>
        </w:tc>
        <w:tc>
          <w:tcPr>
            <w:tcW w:w="222" w:type="pct"/>
            <w:tcBorders>
              <w:top w:val="nil"/>
              <w:left w:val="nil"/>
              <w:bottom w:val="single" w:sz="4" w:space="0" w:color="auto"/>
              <w:right w:val="single" w:sz="4" w:space="0" w:color="auto"/>
            </w:tcBorders>
            <w:vAlign w:val="center"/>
          </w:tcPr>
          <w:p w14:paraId="1539E35E"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Pooled</w:t>
            </w:r>
          </w:p>
        </w:tc>
        <w:tc>
          <w:tcPr>
            <w:tcW w:w="221" w:type="pct"/>
            <w:tcBorders>
              <w:top w:val="nil"/>
              <w:left w:val="nil"/>
              <w:bottom w:val="single" w:sz="4" w:space="0" w:color="auto"/>
              <w:right w:val="single" w:sz="4" w:space="0" w:color="auto"/>
            </w:tcBorders>
            <w:vAlign w:val="center"/>
          </w:tcPr>
          <w:p w14:paraId="68D44E55"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N</w:t>
            </w:r>
          </w:p>
        </w:tc>
        <w:tc>
          <w:tcPr>
            <w:tcW w:w="226" w:type="pct"/>
            <w:tcBorders>
              <w:top w:val="nil"/>
              <w:left w:val="nil"/>
              <w:bottom w:val="single" w:sz="4" w:space="0" w:color="auto"/>
              <w:right w:val="single" w:sz="4" w:space="0" w:color="auto"/>
            </w:tcBorders>
            <w:vAlign w:val="center"/>
          </w:tcPr>
          <w:p w14:paraId="33CE1422"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w:t>
            </w:r>
          </w:p>
        </w:tc>
        <w:tc>
          <w:tcPr>
            <w:tcW w:w="194" w:type="pct"/>
            <w:tcBorders>
              <w:top w:val="nil"/>
              <w:left w:val="nil"/>
              <w:bottom w:val="single" w:sz="4" w:space="0" w:color="auto"/>
              <w:right w:val="single" w:sz="4" w:space="0" w:color="auto"/>
            </w:tcBorders>
            <w:vAlign w:val="center"/>
          </w:tcPr>
          <w:p w14:paraId="03E71C7F"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G</w:t>
            </w:r>
          </w:p>
        </w:tc>
        <w:tc>
          <w:tcPr>
            <w:tcW w:w="229" w:type="pct"/>
            <w:tcBorders>
              <w:top w:val="nil"/>
              <w:left w:val="nil"/>
              <w:bottom w:val="single" w:sz="4" w:space="0" w:color="auto"/>
              <w:right w:val="single" w:sz="4" w:space="0" w:color="auto"/>
            </w:tcBorders>
            <w:vAlign w:val="center"/>
          </w:tcPr>
          <w:p w14:paraId="543CD3D5"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Pooled</w:t>
            </w:r>
          </w:p>
        </w:tc>
      </w:tr>
      <w:tr w:rsidR="007C08A8" w:rsidRPr="000741BA" w14:paraId="3654C54C" w14:textId="77777777" w:rsidTr="00B676B8">
        <w:trPr>
          <w:jc w:val="center"/>
        </w:trPr>
        <w:tc>
          <w:tcPr>
            <w:tcW w:w="584" w:type="pct"/>
            <w:tcBorders>
              <w:top w:val="nil"/>
              <w:left w:val="single" w:sz="4" w:space="0" w:color="auto"/>
              <w:bottom w:val="single" w:sz="4" w:space="0" w:color="auto"/>
              <w:right w:val="single" w:sz="4" w:space="0" w:color="auto"/>
            </w:tcBorders>
            <w:noWrap/>
            <w:vAlign w:val="center"/>
            <w:hideMark/>
          </w:tcPr>
          <w:p w14:paraId="172B1D03"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rPr>
              <w:t xml:space="preserve">Plant height </w:t>
            </w:r>
            <w:r w:rsidRPr="000741BA">
              <w:rPr>
                <w:rFonts w:ascii="Times New Roman" w:eastAsia="Calibri" w:hAnsi="Times New Roman" w:cs="Times New Roman"/>
              </w:rPr>
              <w:t>(cm)</w:t>
            </w:r>
          </w:p>
        </w:tc>
        <w:tc>
          <w:tcPr>
            <w:tcW w:w="355" w:type="pct"/>
            <w:tcBorders>
              <w:top w:val="nil"/>
              <w:left w:val="nil"/>
              <w:bottom w:val="single" w:sz="4" w:space="0" w:color="auto"/>
              <w:right w:val="single" w:sz="4" w:space="0" w:color="auto"/>
            </w:tcBorders>
            <w:noWrap/>
            <w:vAlign w:val="center"/>
            <w:hideMark/>
          </w:tcPr>
          <w:p w14:paraId="6C04B42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486.47</w:t>
            </w:r>
          </w:p>
        </w:tc>
        <w:tc>
          <w:tcPr>
            <w:tcW w:w="354" w:type="pct"/>
            <w:tcBorders>
              <w:top w:val="nil"/>
              <w:left w:val="nil"/>
              <w:bottom w:val="single" w:sz="4" w:space="0" w:color="auto"/>
              <w:right w:val="single" w:sz="4" w:space="0" w:color="auto"/>
            </w:tcBorders>
            <w:noWrap/>
            <w:vAlign w:val="center"/>
            <w:hideMark/>
          </w:tcPr>
          <w:p w14:paraId="0B7F7776"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444.17</w:t>
            </w:r>
          </w:p>
        </w:tc>
        <w:tc>
          <w:tcPr>
            <w:tcW w:w="354" w:type="pct"/>
            <w:tcBorders>
              <w:top w:val="nil"/>
              <w:left w:val="nil"/>
              <w:bottom w:val="single" w:sz="4" w:space="0" w:color="auto"/>
              <w:right w:val="single" w:sz="4" w:space="0" w:color="auto"/>
            </w:tcBorders>
            <w:noWrap/>
            <w:vAlign w:val="center"/>
            <w:hideMark/>
          </w:tcPr>
          <w:p w14:paraId="3416AE21"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407.29</w:t>
            </w:r>
          </w:p>
        </w:tc>
        <w:tc>
          <w:tcPr>
            <w:tcW w:w="354" w:type="pct"/>
            <w:tcBorders>
              <w:top w:val="nil"/>
              <w:left w:val="nil"/>
              <w:bottom w:val="single" w:sz="4" w:space="0" w:color="auto"/>
              <w:right w:val="single" w:sz="4" w:space="0" w:color="auto"/>
            </w:tcBorders>
            <w:noWrap/>
            <w:vAlign w:val="center"/>
            <w:hideMark/>
          </w:tcPr>
          <w:p w14:paraId="6522EDAB"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413.40</w:t>
            </w:r>
          </w:p>
        </w:tc>
        <w:tc>
          <w:tcPr>
            <w:tcW w:w="310" w:type="pct"/>
            <w:tcBorders>
              <w:top w:val="nil"/>
              <w:left w:val="nil"/>
              <w:bottom w:val="single" w:sz="4" w:space="0" w:color="auto"/>
              <w:right w:val="single" w:sz="4" w:space="0" w:color="auto"/>
            </w:tcBorders>
            <w:noWrap/>
            <w:vAlign w:val="center"/>
            <w:hideMark/>
          </w:tcPr>
          <w:p w14:paraId="0804B67B"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369.29</w:t>
            </w:r>
          </w:p>
        </w:tc>
        <w:tc>
          <w:tcPr>
            <w:tcW w:w="354" w:type="pct"/>
            <w:tcBorders>
              <w:top w:val="nil"/>
              <w:left w:val="nil"/>
              <w:bottom w:val="single" w:sz="4" w:space="0" w:color="auto"/>
              <w:right w:val="single" w:sz="4" w:space="0" w:color="auto"/>
            </w:tcBorders>
            <w:noWrap/>
            <w:vAlign w:val="center"/>
            <w:hideMark/>
          </w:tcPr>
          <w:p w14:paraId="37D93BBD"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308.66</w:t>
            </w:r>
          </w:p>
        </w:tc>
        <w:tc>
          <w:tcPr>
            <w:tcW w:w="310" w:type="pct"/>
            <w:tcBorders>
              <w:top w:val="nil"/>
              <w:left w:val="nil"/>
              <w:bottom w:val="single" w:sz="4" w:space="0" w:color="auto"/>
              <w:right w:val="single" w:sz="4" w:space="0" w:color="auto"/>
            </w:tcBorders>
            <w:noWrap/>
            <w:vAlign w:val="center"/>
            <w:hideMark/>
          </w:tcPr>
          <w:p w14:paraId="23D59E33"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278.62</w:t>
            </w:r>
          </w:p>
        </w:tc>
        <w:tc>
          <w:tcPr>
            <w:tcW w:w="330" w:type="pct"/>
            <w:tcBorders>
              <w:top w:val="nil"/>
              <w:left w:val="nil"/>
              <w:bottom w:val="single" w:sz="4" w:space="0" w:color="auto"/>
              <w:right w:val="single" w:sz="4" w:space="0" w:color="auto"/>
            </w:tcBorders>
            <w:noWrap/>
            <w:vAlign w:val="center"/>
            <w:hideMark/>
          </w:tcPr>
          <w:p w14:paraId="5522CA84"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319.12</w:t>
            </w:r>
          </w:p>
        </w:tc>
        <w:tc>
          <w:tcPr>
            <w:tcW w:w="202" w:type="pct"/>
            <w:tcBorders>
              <w:top w:val="nil"/>
              <w:left w:val="nil"/>
              <w:bottom w:val="single" w:sz="4" w:space="0" w:color="auto"/>
              <w:right w:val="single" w:sz="4" w:space="0" w:color="auto"/>
            </w:tcBorders>
            <w:vAlign w:val="center"/>
          </w:tcPr>
          <w:p w14:paraId="32C00870"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11.28</w:t>
            </w:r>
          </w:p>
        </w:tc>
        <w:tc>
          <w:tcPr>
            <w:tcW w:w="206" w:type="pct"/>
            <w:tcBorders>
              <w:top w:val="nil"/>
              <w:left w:val="nil"/>
              <w:bottom w:val="single" w:sz="4" w:space="0" w:color="auto"/>
              <w:right w:val="single" w:sz="4" w:space="0" w:color="auto"/>
            </w:tcBorders>
            <w:vAlign w:val="center"/>
          </w:tcPr>
          <w:p w14:paraId="0C108C6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10.86</w:t>
            </w:r>
          </w:p>
        </w:tc>
        <w:tc>
          <w:tcPr>
            <w:tcW w:w="193" w:type="pct"/>
            <w:tcBorders>
              <w:top w:val="nil"/>
              <w:left w:val="nil"/>
              <w:bottom w:val="single" w:sz="4" w:space="0" w:color="auto"/>
              <w:right w:val="single" w:sz="4" w:space="0" w:color="auto"/>
            </w:tcBorders>
            <w:vAlign w:val="center"/>
          </w:tcPr>
          <w:p w14:paraId="71E70B7B"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10.39</w:t>
            </w:r>
          </w:p>
        </w:tc>
        <w:tc>
          <w:tcPr>
            <w:tcW w:w="222" w:type="pct"/>
            <w:tcBorders>
              <w:top w:val="nil"/>
              <w:left w:val="nil"/>
              <w:bottom w:val="single" w:sz="4" w:space="0" w:color="auto"/>
              <w:right w:val="single" w:sz="4" w:space="0" w:color="auto"/>
            </w:tcBorders>
            <w:vAlign w:val="center"/>
          </w:tcPr>
          <w:p w14:paraId="47B05323"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10.53</w:t>
            </w:r>
          </w:p>
        </w:tc>
        <w:tc>
          <w:tcPr>
            <w:tcW w:w="221" w:type="pct"/>
            <w:tcBorders>
              <w:top w:val="nil"/>
              <w:left w:val="nil"/>
              <w:bottom w:val="single" w:sz="4" w:space="0" w:color="auto"/>
              <w:right w:val="single" w:sz="4" w:space="0" w:color="auto"/>
            </w:tcBorders>
            <w:vAlign w:val="center"/>
          </w:tcPr>
          <w:p w14:paraId="52723D74"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9.83</w:t>
            </w:r>
          </w:p>
        </w:tc>
        <w:tc>
          <w:tcPr>
            <w:tcW w:w="226" w:type="pct"/>
            <w:tcBorders>
              <w:top w:val="nil"/>
              <w:left w:val="nil"/>
              <w:bottom w:val="single" w:sz="4" w:space="0" w:color="auto"/>
              <w:right w:val="single" w:sz="4" w:space="0" w:color="auto"/>
            </w:tcBorders>
            <w:vAlign w:val="center"/>
          </w:tcPr>
          <w:p w14:paraId="03AC7FE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9.05</w:t>
            </w:r>
          </w:p>
        </w:tc>
        <w:tc>
          <w:tcPr>
            <w:tcW w:w="194" w:type="pct"/>
            <w:tcBorders>
              <w:top w:val="nil"/>
              <w:left w:val="nil"/>
              <w:bottom w:val="single" w:sz="4" w:space="0" w:color="auto"/>
              <w:right w:val="single" w:sz="4" w:space="0" w:color="auto"/>
            </w:tcBorders>
            <w:vAlign w:val="center"/>
          </w:tcPr>
          <w:p w14:paraId="0BB2B46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8.59</w:t>
            </w:r>
          </w:p>
        </w:tc>
        <w:tc>
          <w:tcPr>
            <w:tcW w:w="229" w:type="pct"/>
            <w:tcBorders>
              <w:top w:val="nil"/>
              <w:left w:val="nil"/>
              <w:bottom w:val="single" w:sz="4" w:space="0" w:color="auto"/>
              <w:right w:val="single" w:sz="4" w:space="0" w:color="auto"/>
            </w:tcBorders>
            <w:vAlign w:val="center"/>
          </w:tcPr>
          <w:p w14:paraId="61C0A3B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9.25</w:t>
            </w:r>
          </w:p>
        </w:tc>
      </w:tr>
      <w:tr w:rsidR="007C08A8" w:rsidRPr="000741BA" w14:paraId="1F06EA7F" w14:textId="77777777" w:rsidTr="00B676B8">
        <w:trPr>
          <w:jc w:val="center"/>
        </w:trPr>
        <w:tc>
          <w:tcPr>
            <w:tcW w:w="584" w:type="pct"/>
            <w:tcBorders>
              <w:top w:val="nil"/>
              <w:left w:val="single" w:sz="4" w:space="0" w:color="auto"/>
              <w:bottom w:val="single" w:sz="4" w:space="0" w:color="auto"/>
              <w:right w:val="single" w:sz="4" w:space="0" w:color="auto"/>
            </w:tcBorders>
            <w:noWrap/>
            <w:vAlign w:val="center"/>
            <w:hideMark/>
          </w:tcPr>
          <w:p w14:paraId="6D21C215"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rPr>
              <w:t xml:space="preserve">Panicle length </w:t>
            </w:r>
            <w:r w:rsidRPr="000741BA">
              <w:rPr>
                <w:rFonts w:ascii="Times New Roman" w:eastAsia="Calibri" w:hAnsi="Times New Roman" w:cs="Times New Roman"/>
              </w:rPr>
              <w:t>(cm)</w:t>
            </w:r>
          </w:p>
        </w:tc>
        <w:tc>
          <w:tcPr>
            <w:tcW w:w="355" w:type="pct"/>
            <w:tcBorders>
              <w:top w:val="nil"/>
              <w:left w:val="nil"/>
              <w:bottom w:val="single" w:sz="4" w:space="0" w:color="auto"/>
              <w:right w:val="single" w:sz="4" w:space="0" w:color="auto"/>
            </w:tcBorders>
            <w:noWrap/>
            <w:vAlign w:val="center"/>
            <w:hideMark/>
          </w:tcPr>
          <w:p w14:paraId="431F98C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5.38</w:t>
            </w:r>
          </w:p>
        </w:tc>
        <w:tc>
          <w:tcPr>
            <w:tcW w:w="354" w:type="pct"/>
            <w:tcBorders>
              <w:top w:val="nil"/>
              <w:left w:val="nil"/>
              <w:bottom w:val="single" w:sz="4" w:space="0" w:color="auto"/>
              <w:right w:val="single" w:sz="4" w:space="0" w:color="auto"/>
            </w:tcBorders>
            <w:noWrap/>
            <w:vAlign w:val="center"/>
            <w:hideMark/>
          </w:tcPr>
          <w:p w14:paraId="2E354C49"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3.17</w:t>
            </w:r>
          </w:p>
        </w:tc>
        <w:tc>
          <w:tcPr>
            <w:tcW w:w="354" w:type="pct"/>
            <w:tcBorders>
              <w:top w:val="nil"/>
              <w:left w:val="nil"/>
              <w:bottom w:val="single" w:sz="4" w:space="0" w:color="auto"/>
              <w:right w:val="single" w:sz="4" w:space="0" w:color="auto"/>
            </w:tcBorders>
            <w:noWrap/>
            <w:vAlign w:val="center"/>
            <w:hideMark/>
          </w:tcPr>
          <w:p w14:paraId="4DBC4A43"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2.89</w:t>
            </w:r>
          </w:p>
        </w:tc>
        <w:tc>
          <w:tcPr>
            <w:tcW w:w="354" w:type="pct"/>
            <w:tcBorders>
              <w:top w:val="nil"/>
              <w:left w:val="nil"/>
              <w:bottom w:val="single" w:sz="4" w:space="0" w:color="auto"/>
              <w:right w:val="single" w:sz="4" w:space="0" w:color="auto"/>
            </w:tcBorders>
            <w:noWrap/>
            <w:vAlign w:val="center"/>
            <w:hideMark/>
          </w:tcPr>
          <w:p w14:paraId="4B79B99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1.84</w:t>
            </w:r>
          </w:p>
        </w:tc>
        <w:tc>
          <w:tcPr>
            <w:tcW w:w="310" w:type="pct"/>
            <w:tcBorders>
              <w:top w:val="nil"/>
              <w:left w:val="nil"/>
              <w:bottom w:val="single" w:sz="4" w:space="0" w:color="auto"/>
              <w:right w:val="single" w:sz="4" w:space="0" w:color="auto"/>
            </w:tcBorders>
            <w:noWrap/>
            <w:vAlign w:val="center"/>
            <w:hideMark/>
          </w:tcPr>
          <w:p w14:paraId="17D1BA1D"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2.54</w:t>
            </w:r>
          </w:p>
        </w:tc>
        <w:tc>
          <w:tcPr>
            <w:tcW w:w="354" w:type="pct"/>
            <w:tcBorders>
              <w:top w:val="nil"/>
              <w:left w:val="nil"/>
              <w:bottom w:val="single" w:sz="4" w:space="0" w:color="auto"/>
              <w:right w:val="single" w:sz="4" w:space="0" w:color="auto"/>
            </w:tcBorders>
            <w:noWrap/>
            <w:vAlign w:val="center"/>
            <w:hideMark/>
          </w:tcPr>
          <w:p w14:paraId="63DD9F5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2.40</w:t>
            </w:r>
          </w:p>
        </w:tc>
        <w:tc>
          <w:tcPr>
            <w:tcW w:w="310" w:type="pct"/>
            <w:tcBorders>
              <w:top w:val="nil"/>
              <w:left w:val="nil"/>
              <w:bottom w:val="single" w:sz="4" w:space="0" w:color="auto"/>
              <w:right w:val="single" w:sz="4" w:space="0" w:color="auto"/>
            </w:tcBorders>
            <w:noWrap/>
            <w:vAlign w:val="center"/>
            <w:hideMark/>
          </w:tcPr>
          <w:p w14:paraId="4837686F"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1.74</w:t>
            </w:r>
          </w:p>
        </w:tc>
        <w:tc>
          <w:tcPr>
            <w:tcW w:w="330" w:type="pct"/>
            <w:tcBorders>
              <w:top w:val="nil"/>
              <w:left w:val="nil"/>
              <w:bottom w:val="single" w:sz="4" w:space="0" w:color="auto"/>
              <w:right w:val="single" w:sz="4" w:space="0" w:color="auto"/>
            </w:tcBorders>
            <w:noWrap/>
            <w:vAlign w:val="center"/>
            <w:hideMark/>
          </w:tcPr>
          <w:p w14:paraId="10AE4644"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1.21</w:t>
            </w:r>
          </w:p>
        </w:tc>
        <w:tc>
          <w:tcPr>
            <w:tcW w:w="202" w:type="pct"/>
            <w:tcBorders>
              <w:top w:val="nil"/>
              <w:left w:val="nil"/>
              <w:bottom w:val="single" w:sz="4" w:space="0" w:color="auto"/>
              <w:right w:val="single" w:sz="4" w:space="0" w:color="auto"/>
            </w:tcBorders>
            <w:vAlign w:val="center"/>
          </w:tcPr>
          <w:p w14:paraId="08CA4D50"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9.93</w:t>
            </w:r>
          </w:p>
        </w:tc>
        <w:tc>
          <w:tcPr>
            <w:tcW w:w="206" w:type="pct"/>
            <w:tcBorders>
              <w:top w:val="nil"/>
              <w:left w:val="nil"/>
              <w:bottom w:val="single" w:sz="4" w:space="0" w:color="auto"/>
              <w:right w:val="single" w:sz="4" w:space="0" w:color="auto"/>
            </w:tcBorders>
            <w:vAlign w:val="center"/>
          </w:tcPr>
          <w:p w14:paraId="5404A8C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8.57</w:t>
            </w:r>
          </w:p>
        </w:tc>
        <w:tc>
          <w:tcPr>
            <w:tcW w:w="193" w:type="pct"/>
            <w:tcBorders>
              <w:top w:val="nil"/>
              <w:left w:val="nil"/>
              <w:bottom w:val="single" w:sz="4" w:space="0" w:color="auto"/>
              <w:right w:val="single" w:sz="4" w:space="0" w:color="auto"/>
            </w:tcBorders>
            <w:vAlign w:val="center"/>
          </w:tcPr>
          <w:p w14:paraId="51CC2619"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8.13</w:t>
            </w:r>
          </w:p>
        </w:tc>
        <w:tc>
          <w:tcPr>
            <w:tcW w:w="222" w:type="pct"/>
            <w:tcBorders>
              <w:top w:val="nil"/>
              <w:left w:val="nil"/>
              <w:bottom w:val="single" w:sz="4" w:space="0" w:color="auto"/>
              <w:right w:val="single" w:sz="4" w:space="0" w:color="auto"/>
            </w:tcBorders>
            <w:vAlign w:val="center"/>
          </w:tcPr>
          <w:p w14:paraId="1FDE695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6.26</w:t>
            </w:r>
          </w:p>
        </w:tc>
        <w:tc>
          <w:tcPr>
            <w:tcW w:w="221" w:type="pct"/>
            <w:tcBorders>
              <w:top w:val="nil"/>
              <w:left w:val="nil"/>
              <w:bottom w:val="single" w:sz="4" w:space="0" w:color="auto"/>
              <w:right w:val="single" w:sz="4" w:space="0" w:color="auto"/>
            </w:tcBorders>
            <w:vAlign w:val="center"/>
          </w:tcPr>
          <w:p w14:paraId="327B3945"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6.82</w:t>
            </w:r>
          </w:p>
        </w:tc>
        <w:tc>
          <w:tcPr>
            <w:tcW w:w="226" w:type="pct"/>
            <w:tcBorders>
              <w:top w:val="nil"/>
              <w:left w:val="nil"/>
              <w:bottom w:val="single" w:sz="4" w:space="0" w:color="auto"/>
              <w:right w:val="single" w:sz="4" w:space="0" w:color="auto"/>
            </w:tcBorders>
            <w:vAlign w:val="center"/>
          </w:tcPr>
          <w:p w14:paraId="3C50D4A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7.46</w:t>
            </w:r>
          </w:p>
        </w:tc>
        <w:tc>
          <w:tcPr>
            <w:tcW w:w="194" w:type="pct"/>
            <w:tcBorders>
              <w:top w:val="nil"/>
              <w:left w:val="nil"/>
              <w:bottom w:val="single" w:sz="4" w:space="0" w:color="auto"/>
              <w:right w:val="single" w:sz="4" w:space="0" w:color="auto"/>
            </w:tcBorders>
            <w:vAlign w:val="center"/>
          </w:tcPr>
          <w:p w14:paraId="03FBA4B4"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6.31</w:t>
            </w:r>
          </w:p>
        </w:tc>
        <w:tc>
          <w:tcPr>
            <w:tcW w:w="229" w:type="pct"/>
            <w:tcBorders>
              <w:top w:val="nil"/>
              <w:left w:val="nil"/>
              <w:bottom w:val="single" w:sz="4" w:space="0" w:color="auto"/>
              <w:right w:val="single" w:sz="4" w:space="0" w:color="auto"/>
            </w:tcBorders>
            <w:vAlign w:val="center"/>
          </w:tcPr>
          <w:p w14:paraId="67EA352D"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5.06</w:t>
            </w:r>
          </w:p>
        </w:tc>
      </w:tr>
      <w:tr w:rsidR="007C08A8" w:rsidRPr="000741BA" w14:paraId="2F9C7A91" w14:textId="77777777" w:rsidTr="00B676B8">
        <w:trPr>
          <w:jc w:val="center"/>
        </w:trPr>
        <w:tc>
          <w:tcPr>
            <w:tcW w:w="584" w:type="pct"/>
            <w:tcBorders>
              <w:top w:val="nil"/>
              <w:left w:val="single" w:sz="4" w:space="0" w:color="auto"/>
              <w:bottom w:val="single" w:sz="4" w:space="0" w:color="auto"/>
              <w:right w:val="single" w:sz="4" w:space="0" w:color="auto"/>
            </w:tcBorders>
            <w:noWrap/>
            <w:vAlign w:val="center"/>
            <w:hideMark/>
          </w:tcPr>
          <w:p w14:paraId="675EDA3C"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rPr>
              <w:t xml:space="preserve">Days to 50% flowering </w:t>
            </w:r>
          </w:p>
        </w:tc>
        <w:tc>
          <w:tcPr>
            <w:tcW w:w="355" w:type="pct"/>
            <w:tcBorders>
              <w:top w:val="nil"/>
              <w:left w:val="nil"/>
              <w:bottom w:val="single" w:sz="4" w:space="0" w:color="auto"/>
              <w:right w:val="single" w:sz="4" w:space="0" w:color="auto"/>
            </w:tcBorders>
            <w:noWrap/>
            <w:vAlign w:val="center"/>
            <w:hideMark/>
          </w:tcPr>
          <w:p w14:paraId="3CE7104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2.03</w:t>
            </w:r>
          </w:p>
        </w:tc>
        <w:tc>
          <w:tcPr>
            <w:tcW w:w="354" w:type="pct"/>
            <w:tcBorders>
              <w:top w:val="nil"/>
              <w:left w:val="nil"/>
              <w:bottom w:val="single" w:sz="4" w:space="0" w:color="auto"/>
              <w:right w:val="single" w:sz="4" w:space="0" w:color="auto"/>
            </w:tcBorders>
            <w:noWrap/>
            <w:vAlign w:val="center"/>
            <w:hideMark/>
          </w:tcPr>
          <w:p w14:paraId="07695861"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2.60</w:t>
            </w:r>
          </w:p>
        </w:tc>
        <w:tc>
          <w:tcPr>
            <w:tcW w:w="354" w:type="pct"/>
            <w:tcBorders>
              <w:top w:val="nil"/>
              <w:left w:val="nil"/>
              <w:bottom w:val="single" w:sz="4" w:space="0" w:color="auto"/>
              <w:right w:val="single" w:sz="4" w:space="0" w:color="auto"/>
            </w:tcBorders>
            <w:noWrap/>
            <w:vAlign w:val="center"/>
            <w:hideMark/>
          </w:tcPr>
          <w:p w14:paraId="6F70451F"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2.84</w:t>
            </w:r>
          </w:p>
        </w:tc>
        <w:tc>
          <w:tcPr>
            <w:tcW w:w="354" w:type="pct"/>
            <w:tcBorders>
              <w:top w:val="nil"/>
              <w:left w:val="nil"/>
              <w:bottom w:val="single" w:sz="4" w:space="0" w:color="auto"/>
              <w:right w:val="single" w:sz="4" w:space="0" w:color="auto"/>
            </w:tcBorders>
            <w:noWrap/>
            <w:vAlign w:val="center"/>
            <w:hideMark/>
          </w:tcPr>
          <w:p w14:paraId="4118A5D5"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1.02</w:t>
            </w:r>
          </w:p>
        </w:tc>
        <w:tc>
          <w:tcPr>
            <w:tcW w:w="310" w:type="pct"/>
            <w:tcBorders>
              <w:top w:val="nil"/>
              <w:left w:val="nil"/>
              <w:bottom w:val="single" w:sz="4" w:space="0" w:color="auto"/>
              <w:right w:val="single" w:sz="4" w:space="0" w:color="auto"/>
            </w:tcBorders>
            <w:noWrap/>
            <w:vAlign w:val="center"/>
            <w:hideMark/>
          </w:tcPr>
          <w:p w14:paraId="699EA1AF"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0.81</w:t>
            </w:r>
          </w:p>
        </w:tc>
        <w:tc>
          <w:tcPr>
            <w:tcW w:w="354" w:type="pct"/>
            <w:tcBorders>
              <w:top w:val="nil"/>
              <w:left w:val="nil"/>
              <w:bottom w:val="single" w:sz="4" w:space="0" w:color="auto"/>
              <w:right w:val="single" w:sz="4" w:space="0" w:color="auto"/>
            </w:tcBorders>
            <w:noWrap/>
            <w:vAlign w:val="center"/>
            <w:hideMark/>
          </w:tcPr>
          <w:p w14:paraId="05ADB774"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1.07</w:t>
            </w:r>
          </w:p>
        </w:tc>
        <w:tc>
          <w:tcPr>
            <w:tcW w:w="310" w:type="pct"/>
            <w:tcBorders>
              <w:top w:val="nil"/>
              <w:left w:val="nil"/>
              <w:bottom w:val="single" w:sz="4" w:space="0" w:color="auto"/>
              <w:right w:val="single" w:sz="4" w:space="0" w:color="auto"/>
            </w:tcBorders>
            <w:noWrap/>
            <w:vAlign w:val="center"/>
            <w:hideMark/>
          </w:tcPr>
          <w:p w14:paraId="7463A0C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0.66</w:t>
            </w:r>
          </w:p>
        </w:tc>
        <w:tc>
          <w:tcPr>
            <w:tcW w:w="330" w:type="pct"/>
            <w:tcBorders>
              <w:top w:val="nil"/>
              <w:left w:val="nil"/>
              <w:bottom w:val="single" w:sz="4" w:space="0" w:color="auto"/>
              <w:right w:val="single" w:sz="4" w:space="0" w:color="auto"/>
            </w:tcBorders>
            <w:noWrap/>
            <w:vAlign w:val="center"/>
            <w:hideMark/>
          </w:tcPr>
          <w:p w14:paraId="2D1CB323"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0.24</w:t>
            </w:r>
          </w:p>
        </w:tc>
        <w:tc>
          <w:tcPr>
            <w:tcW w:w="202" w:type="pct"/>
            <w:tcBorders>
              <w:top w:val="nil"/>
              <w:left w:val="nil"/>
              <w:bottom w:val="single" w:sz="4" w:space="0" w:color="auto"/>
              <w:right w:val="single" w:sz="4" w:space="0" w:color="auto"/>
            </w:tcBorders>
            <w:vAlign w:val="center"/>
          </w:tcPr>
          <w:p w14:paraId="41111776"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2.32</w:t>
            </w:r>
          </w:p>
        </w:tc>
        <w:tc>
          <w:tcPr>
            <w:tcW w:w="206" w:type="pct"/>
            <w:tcBorders>
              <w:top w:val="nil"/>
              <w:left w:val="nil"/>
              <w:bottom w:val="single" w:sz="4" w:space="0" w:color="auto"/>
              <w:right w:val="single" w:sz="4" w:space="0" w:color="auto"/>
            </w:tcBorders>
            <w:vAlign w:val="center"/>
          </w:tcPr>
          <w:p w14:paraId="47BDEA3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2.64</w:t>
            </w:r>
          </w:p>
        </w:tc>
        <w:tc>
          <w:tcPr>
            <w:tcW w:w="193" w:type="pct"/>
            <w:tcBorders>
              <w:top w:val="nil"/>
              <w:left w:val="nil"/>
              <w:bottom w:val="single" w:sz="4" w:space="0" w:color="auto"/>
              <w:right w:val="single" w:sz="4" w:space="0" w:color="auto"/>
            </w:tcBorders>
            <w:vAlign w:val="center"/>
          </w:tcPr>
          <w:p w14:paraId="5BCF7D2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2.78</w:t>
            </w:r>
          </w:p>
        </w:tc>
        <w:tc>
          <w:tcPr>
            <w:tcW w:w="222" w:type="pct"/>
            <w:tcBorders>
              <w:top w:val="nil"/>
              <w:left w:val="nil"/>
              <w:bottom w:val="single" w:sz="4" w:space="0" w:color="auto"/>
              <w:right w:val="single" w:sz="4" w:space="0" w:color="auto"/>
            </w:tcBorders>
            <w:vAlign w:val="center"/>
          </w:tcPr>
          <w:p w14:paraId="4201F37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1.66</w:t>
            </w:r>
          </w:p>
        </w:tc>
        <w:tc>
          <w:tcPr>
            <w:tcW w:w="221" w:type="pct"/>
            <w:tcBorders>
              <w:top w:val="nil"/>
              <w:left w:val="nil"/>
              <w:bottom w:val="single" w:sz="4" w:space="0" w:color="auto"/>
              <w:right w:val="single" w:sz="4" w:space="0" w:color="auto"/>
            </w:tcBorders>
            <w:vAlign w:val="center"/>
          </w:tcPr>
          <w:p w14:paraId="5FE657C6"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1.47</w:t>
            </w:r>
          </w:p>
        </w:tc>
        <w:tc>
          <w:tcPr>
            <w:tcW w:w="226" w:type="pct"/>
            <w:tcBorders>
              <w:top w:val="nil"/>
              <w:left w:val="nil"/>
              <w:bottom w:val="single" w:sz="4" w:space="0" w:color="auto"/>
              <w:right w:val="single" w:sz="4" w:space="0" w:color="auto"/>
            </w:tcBorders>
            <w:vAlign w:val="center"/>
          </w:tcPr>
          <w:p w14:paraId="22C2399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1.69</w:t>
            </w:r>
          </w:p>
        </w:tc>
        <w:tc>
          <w:tcPr>
            <w:tcW w:w="194" w:type="pct"/>
            <w:tcBorders>
              <w:top w:val="nil"/>
              <w:left w:val="nil"/>
              <w:bottom w:val="single" w:sz="4" w:space="0" w:color="auto"/>
              <w:right w:val="single" w:sz="4" w:space="0" w:color="auto"/>
            </w:tcBorders>
            <w:vAlign w:val="center"/>
          </w:tcPr>
          <w:p w14:paraId="10276C6F"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1.34</w:t>
            </w:r>
          </w:p>
        </w:tc>
        <w:tc>
          <w:tcPr>
            <w:tcW w:w="229" w:type="pct"/>
            <w:tcBorders>
              <w:top w:val="nil"/>
              <w:left w:val="nil"/>
              <w:bottom w:val="single" w:sz="4" w:space="0" w:color="auto"/>
              <w:right w:val="single" w:sz="4" w:space="0" w:color="auto"/>
            </w:tcBorders>
            <w:vAlign w:val="center"/>
          </w:tcPr>
          <w:p w14:paraId="5377A25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0.80</w:t>
            </w:r>
          </w:p>
        </w:tc>
      </w:tr>
      <w:tr w:rsidR="007C08A8" w:rsidRPr="000741BA" w14:paraId="3079B696" w14:textId="77777777" w:rsidTr="00B676B8">
        <w:trPr>
          <w:jc w:val="center"/>
        </w:trPr>
        <w:tc>
          <w:tcPr>
            <w:tcW w:w="584" w:type="pct"/>
            <w:tcBorders>
              <w:top w:val="nil"/>
              <w:left w:val="single" w:sz="4" w:space="0" w:color="auto"/>
              <w:bottom w:val="single" w:sz="4" w:space="0" w:color="auto"/>
              <w:right w:val="single" w:sz="4" w:space="0" w:color="auto"/>
            </w:tcBorders>
            <w:noWrap/>
            <w:vAlign w:val="center"/>
            <w:hideMark/>
          </w:tcPr>
          <w:p w14:paraId="2116C9AB"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rPr>
              <w:t>Days to maturity</w:t>
            </w:r>
          </w:p>
        </w:tc>
        <w:tc>
          <w:tcPr>
            <w:tcW w:w="355" w:type="pct"/>
            <w:tcBorders>
              <w:top w:val="nil"/>
              <w:left w:val="nil"/>
              <w:bottom w:val="single" w:sz="4" w:space="0" w:color="auto"/>
              <w:right w:val="single" w:sz="4" w:space="0" w:color="auto"/>
            </w:tcBorders>
            <w:noWrap/>
            <w:vAlign w:val="center"/>
            <w:hideMark/>
          </w:tcPr>
          <w:p w14:paraId="0243796B"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4.21</w:t>
            </w:r>
          </w:p>
        </w:tc>
        <w:tc>
          <w:tcPr>
            <w:tcW w:w="354" w:type="pct"/>
            <w:tcBorders>
              <w:top w:val="nil"/>
              <w:left w:val="nil"/>
              <w:bottom w:val="single" w:sz="4" w:space="0" w:color="auto"/>
              <w:right w:val="single" w:sz="4" w:space="0" w:color="auto"/>
            </w:tcBorders>
            <w:noWrap/>
            <w:vAlign w:val="center"/>
            <w:hideMark/>
          </w:tcPr>
          <w:p w14:paraId="7195BE9B"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4.80</w:t>
            </w:r>
          </w:p>
        </w:tc>
        <w:tc>
          <w:tcPr>
            <w:tcW w:w="354" w:type="pct"/>
            <w:tcBorders>
              <w:top w:val="nil"/>
              <w:left w:val="nil"/>
              <w:bottom w:val="single" w:sz="4" w:space="0" w:color="auto"/>
              <w:right w:val="single" w:sz="4" w:space="0" w:color="auto"/>
            </w:tcBorders>
            <w:noWrap/>
            <w:vAlign w:val="center"/>
            <w:hideMark/>
          </w:tcPr>
          <w:p w14:paraId="18BE3E1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5.03</w:t>
            </w:r>
          </w:p>
        </w:tc>
        <w:tc>
          <w:tcPr>
            <w:tcW w:w="354" w:type="pct"/>
            <w:tcBorders>
              <w:top w:val="nil"/>
              <w:left w:val="nil"/>
              <w:bottom w:val="single" w:sz="4" w:space="0" w:color="auto"/>
              <w:right w:val="single" w:sz="4" w:space="0" w:color="auto"/>
            </w:tcBorders>
            <w:noWrap/>
            <w:vAlign w:val="center"/>
            <w:hideMark/>
          </w:tcPr>
          <w:p w14:paraId="5561CE6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1.65</w:t>
            </w:r>
          </w:p>
        </w:tc>
        <w:tc>
          <w:tcPr>
            <w:tcW w:w="310" w:type="pct"/>
            <w:tcBorders>
              <w:top w:val="nil"/>
              <w:left w:val="nil"/>
              <w:bottom w:val="single" w:sz="4" w:space="0" w:color="auto"/>
              <w:right w:val="single" w:sz="4" w:space="0" w:color="auto"/>
            </w:tcBorders>
            <w:noWrap/>
            <w:vAlign w:val="center"/>
            <w:hideMark/>
          </w:tcPr>
          <w:p w14:paraId="2438268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2.03</w:t>
            </w:r>
          </w:p>
        </w:tc>
        <w:tc>
          <w:tcPr>
            <w:tcW w:w="354" w:type="pct"/>
            <w:tcBorders>
              <w:top w:val="nil"/>
              <w:left w:val="nil"/>
              <w:bottom w:val="single" w:sz="4" w:space="0" w:color="auto"/>
              <w:right w:val="single" w:sz="4" w:space="0" w:color="auto"/>
            </w:tcBorders>
            <w:noWrap/>
            <w:vAlign w:val="center"/>
            <w:hideMark/>
          </w:tcPr>
          <w:p w14:paraId="192ACC1B"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2.54</w:t>
            </w:r>
          </w:p>
        </w:tc>
        <w:tc>
          <w:tcPr>
            <w:tcW w:w="310" w:type="pct"/>
            <w:tcBorders>
              <w:top w:val="nil"/>
              <w:left w:val="nil"/>
              <w:bottom w:val="single" w:sz="4" w:space="0" w:color="auto"/>
              <w:right w:val="single" w:sz="4" w:space="0" w:color="auto"/>
            </w:tcBorders>
            <w:noWrap/>
            <w:vAlign w:val="center"/>
            <w:hideMark/>
          </w:tcPr>
          <w:p w14:paraId="19E4F11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1.94</w:t>
            </w:r>
          </w:p>
        </w:tc>
        <w:tc>
          <w:tcPr>
            <w:tcW w:w="330" w:type="pct"/>
            <w:tcBorders>
              <w:top w:val="nil"/>
              <w:left w:val="nil"/>
              <w:bottom w:val="single" w:sz="4" w:space="0" w:color="auto"/>
              <w:right w:val="single" w:sz="4" w:space="0" w:color="auto"/>
            </w:tcBorders>
            <w:noWrap/>
            <w:vAlign w:val="center"/>
            <w:hideMark/>
          </w:tcPr>
          <w:p w14:paraId="7F01CB8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1.31</w:t>
            </w:r>
          </w:p>
        </w:tc>
        <w:tc>
          <w:tcPr>
            <w:tcW w:w="202" w:type="pct"/>
            <w:tcBorders>
              <w:top w:val="nil"/>
              <w:left w:val="nil"/>
              <w:bottom w:val="single" w:sz="4" w:space="0" w:color="auto"/>
              <w:right w:val="single" w:sz="4" w:space="0" w:color="auto"/>
            </w:tcBorders>
            <w:vAlign w:val="center"/>
          </w:tcPr>
          <w:p w14:paraId="02EAFC61"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1.92</w:t>
            </w:r>
          </w:p>
        </w:tc>
        <w:tc>
          <w:tcPr>
            <w:tcW w:w="206" w:type="pct"/>
            <w:tcBorders>
              <w:top w:val="nil"/>
              <w:left w:val="nil"/>
              <w:bottom w:val="single" w:sz="4" w:space="0" w:color="auto"/>
              <w:right w:val="single" w:sz="4" w:space="0" w:color="auto"/>
            </w:tcBorders>
            <w:vAlign w:val="center"/>
          </w:tcPr>
          <w:p w14:paraId="0BE0B709"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2.08</w:t>
            </w:r>
          </w:p>
        </w:tc>
        <w:tc>
          <w:tcPr>
            <w:tcW w:w="193" w:type="pct"/>
            <w:tcBorders>
              <w:top w:val="nil"/>
              <w:left w:val="nil"/>
              <w:bottom w:val="single" w:sz="4" w:space="0" w:color="auto"/>
              <w:right w:val="single" w:sz="4" w:space="0" w:color="auto"/>
            </w:tcBorders>
            <w:vAlign w:val="center"/>
          </w:tcPr>
          <w:p w14:paraId="46DA84AD"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2.11</w:t>
            </w:r>
          </w:p>
        </w:tc>
        <w:tc>
          <w:tcPr>
            <w:tcW w:w="222" w:type="pct"/>
            <w:tcBorders>
              <w:top w:val="nil"/>
              <w:left w:val="nil"/>
              <w:bottom w:val="single" w:sz="4" w:space="0" w:color="auto"/>
              <w:right w:val="single" w:sz="4" w:space="0" w:color="auto"/>
            </w:tcBorders>
            <w:vAlign w:val="center"/>
          </w:tcPr>
          <w:p w14:paraId="4820B85B"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1.21</w:t>
            </w:r>
          </w:p>
        </w:tc>
        <w:tc>
          <w:tcPr>
            <w:tcW w:w="221" w:type="pct"/>
            <w:tcBorders>
              <w:top w:val="nil"/>
              <w:left w:val="nil"/>
              <w:bottom w:val="single" w:sz="4" w:space="0" w:color="auto"/>
              <w:right w:val="single" w:sz="4" w:space="0" w:color="auto"/>
            </w:tcBorders>
            <w:vAlign w:val="center"/>
          </w:tcPr>
          <w:p w14:paraId="2A4D4B9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1.33</w:t>
            </w:r>
          </w:p>
        </w:tc>
        <w:tc>
          <w:tcPr>
            <w:tcW w:w="226" w:type="pct"/>
            <w:tcBorders>
              <w:top w:val="nil"/>
              <w:left w:val="nil"/>
              <w:bottom w:val="single" w:sz="4" w:space="0" w:color="auto"/>
              <w:right w:val="single" w:sz="4" w:space="0" w:color="auto"/>
            </w:tcBorders>
            <w:vAlign w:val="center"/>
          </w:tcPr>
          <w:p w14:paraId="725A5D43"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1.50</w:t>
            </w:r>
          </w:p>
        </w:tc>
        <w:tc>
          <w:tcPr>
            <w:tcW w:w="194" w:type="pct"/>
            <w:tcBorders>
              <w:top w:val="nil"/>
              <w:left w:val="nil"/>
              <w:bottom w:val="single" w:sz="4" w:space="0" w:color="auto"/>
              <w:right w:val="single" w:sz="4" w:space="0" w:color="auto"/>
            </w:tcBorders>
            <w:vAlign w:val="center"/>
          </w:tcPr>
          <w:p w14:paraId="0FB8B905"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1.30</w:t>
            </w:r>
          </w:p>
        </w:tc>
        <w:tc>
          <w:tcPr>
            <w:tcW w:w="229" w:type="pct"/>
            <w:tcBorders>
              <w:top w:val="nil"/>
              <w:left w:val="nil"/>
              <w:bottom w:val="single" w:sz="4" w:space="0" w:color="auto"/>
              <w:right w:val="single" w:sz="4" w:space="0" w:color="auto"/>
            </w:tcBorders>
            <w:vAlign w:val="center"/>
          </w:tcPr>
          <w:p w14:paraId="3C9EBB06"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1.07</w:t>
            </w:r>
          </w:p>
        </w:tc>
      </w:tr>
      <w:tr w:rsidR="007C08A8" w:rsidRPr="000741BA" w14:paraId="0BE04FF4" w14:textId="77777777" w:rsidTr="00B676B8">
        <w:trPr>
          <w:jc w:val="center"/>
        </w:trPr>
        <w:tc>
          <w:tcPr>
            <w:tcW w:w="584" w:type="pct"/>
            <w:tcBorders>
              <w:top w:val="nil"/>
              <w:left w:val="single" w:sz="4" w:space="0" w:color="auto"/>
              <w:bottom w:val="single" w:sz="4" w:space="0" w:color="auto"/>
              <w:right w:val="single" w:sz="4" w:space="0" w:color="auto"/>
            </w:tcBorders>
            <w:noWrap/>
            <w:vAlign w:val="center"/>
            <w:hideMark/>
          </w:tcPr>
          <w:p w14:paraId="485E776D"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rPr>
              <w:t>100 seed weight (g)</w:t>
            </w:r>
          </w:p>
        </w:tc>
        <w:tc>
          <w:tcPr>
            <w:tcW w:w="355" w:type="pct"/>
            <w:tcBorders>
              <w:top w:val="nil"/>
              <w:left w:val="nil"/>
              <w:bottom w:val="single" w:sz="4" w:space="0" w:color="auto"/>
              <w:right w:val="single" w:sz="4" w:space="0" w:color="auto"/>
            </w:tcBorders>
            <w:noWrap/>
            <w:vAlign w:val="center"/>
            <w:hideMark/>
          </w:tcPr>
          <w:p w14:paraId="6B186FC1"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0.10</w:t>
            </w:r>
          </w:p>
        </w:tc>
        <w:tc>
          <w:tcPr>
            <w:tcW w:w="354" w:type="pct"/>
            <w:tcBorders>
              <w:top w:val="nil"/>
              <w:left w:val="nil"/>
              <w:bottom w:val="single" w:sz="4" w:space="0" w:color="auto"/>
              <w:right w:val="single" w:sz="4" w:space="0" w:color="auto"/>
            </w:tcBorders>
            <w:noWrap/>
            <w:vAlign w:val="center"/>
            <w:hideMark/>
          </w:tcPr>
          <w:p w14:paraId="2384332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0.10</w:t>
            </w:r>
          </w:p>
        </w:tc>
        <w:tc>
          <w:tcPr>
            <w:tcW w:w="354" w:type="pct"/>
            <w:tcBorders>
              <w:top w:val="nil"/>
              <w:left w:val="nil"/>
              <w:bottom w:val="single" w:sz="4" w:space="0" w:color="auto"/>
              <w:right w:val="single" w:sz="4" w:space="0" w:color="auto"/>
            </w:tcBorders>
            <w:noWrap/>
            <w:vAlign w:val="center"/>
            <w:hideMark/>
          </w:tcPr>
          <w:p w14:paraId="21AC2D20"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0.09</w:t>
            </w:r>
          </w:p>
        </w:tc>
        <w:tc>
          <w:tcPr>
            <w:tcW w:w="354" w:type="pct"/>
            <w:tcBorders>
              <w:top w:val="nil"/>
              <w:left w:val="nil"/>
              <w:bottom w:val="single" w:sz="4" w:space="0" w:color="auto"/>
              <w:right w:val="single" w:sz="4" w:space="0" w:color="auto"/>
            </w:tcBorders>
            <w:noWrap/>
            <w:vAlign w:val="center"/>
            <w:hideMark/>
          </w:tcPr>
          <w:p w14:paraId="654BEE0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0.08</w:t>
            </w:r>
          </w:p>
        </w:tc>
        <w:tc>
          <w:tcPr>
            <w:tcW w:w="310" w:type="pct"/>
            <w:tcBorders>
              <w:top w:val="nil"/>
              <w:left w:val="nil"/>
              <w:bottom w:val="single" w:sz="4" w:space="0" w:color="auto"/>
              <w:right w:val="single" w:sz="4" w:space="0" w:color="auto"/>
            </w:tcBorders>
            <w:noWrap/>
            <w:vAlign w:val="center"/>
            <w:hideMark/>
          </w:tcPr>
          <w:p w14:paraId="2CF8693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0.09</w:t>
            </w:r>
          </w:p>
        </w:tc>
        <w:tc>
          <w:tcPr>
            <w:tcW w:w="354" w:type="pct"/>
            <w:tcBorders>
              <w:top w:val="nil"/>
              <w:left w:val="nil"/>
              <w:bottom w:val="single" w:sz="4" w:space="0" w:color="auto"/>
              <w:right w:val="single" w:sz="4" w:space="0" w:color="auto"/>
            </w:tcBorders>
            <w:noWrap/>
            <w:vAlign w:val="center"/>
            <w:hideMark/>
          </w:tcPr>
          <w:p w14:paraId="50E99D40"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0.09</w:t>
            </w:r>
          </w:p>
        </w:tc>
        <w:tc>
          <w:tcPr>
            <w:tcW w:w="310" w:type="pct"/>
            <w:tcBorders>
              <w:top w:val="nil"/>
              <w:left w:val="nil"/>
              <w:bottom w:val="single" w:sz="4" w:space="0" w:color="auto"/>
              <w:right w:val="single" w:sz="4" w:space="0" w:color="auto"/>
            </w:tcBorders>
            <w:noWrap/>
            <w:vAlign w:val="center"/>
            <w:hideMark/>
          </w:tcPr>
          <w:p w14:paraId="2D428F85"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0.07</w:t>
            </w:r>
          </w:p>
        </w:tc>
        <w:tc>
          <w:tcPr>
            <w:tcW w:w="330" w:type="pct"/>
            <w:tcBorders>
              <w:top w:val="nil"/>
              <w:left w:val="nil"/>
              <w:bottom w:val="single" w:sz="4" w:space="0" w:color="auto"/>
              <w:right w:val="single" w:sz="4" w:space="0" w:color="auto"/>
            </w:tcBorders>
            <w:noWrap/>
            <w:vAlign w:val="center"/>
            <w:hideMark/>
          </w:tcPr>
          <w:p w14:paraId="6D88B10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0.07</w:t>
            </w:r>
          </w:p>
        </w:tc>
        <w:tc>
          <w:tcPr>
            <w:tcW w:w="202" w:type="pct"/>
            <w:tcBorders>
              <w:top w:val="nil"/>
              <w:left w:val="nil"/>
              <w:bottom w:val="single" w:sz="4" w:space="0" w:color="auto"/>
              <w:right w:val="single" w:sz="4" w:space="0" w:color="auto"/>
            </w:tcBorders>
            <w:vAlign w:val="center"/>
          </w:tcPr>
          <w:p w14:paraId="2FFCB0A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11.04</w:t>
            </w:r>
          </w:p>
        </w:tc>
        <w:tc>
          <w:tcPr>
            <w:tcW w:w="206" w:type="pct"/>
            <w:tcBorders>
              <w:top w:val="nil"/>
              <w:left w:val="nil"/>
              <w:bottom w:val="single" w:sz="4" w:space="0" w:color="auto"/>
              <w:right w:val="single" w:sz="4" w:space="0" w:color="auto"/>
            </w:tcBorders>
            <w:vAlign w:val="center"/>
          </w:tcPr>
          <w:p w14:paraId="0C12301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11.02</w:t>
            </w:r>
          </w:p>
        </w:tc>
        <w:tc>
          <w:tcPr>
            <w:tcW w:w="193" w:type="pct"/>
            <w:tcBorders>
              <w:top w:val="nil"/>
              <w:left w:val="nil"/>
              <w:bottom w:val="single" w:sz="4" w:space="0" w:color="auto"/>
              <w:right w:val="single" w:sz="4" w:space="0" w:color="auto"/>
            </w:tcBorders>
            <w:vAlign w:val="center"/>
          </w:tcPr>
          <w:p w14:paraId="30CCB7E1"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9.87</w:t>
            </w:r>
          </w:p>
        </w:tc>
        <w:tc>
          <w:tcPr>
            <w:tcW w:w="222" w:type="pct"/>
            <w:tcBorders>
              <w:top w:val="nil"/>
              <w:left w:val="nil"/>
              <w:bottom w:val="single" w:sz="4" w:space="0" w:color="auto"/>
              <w:right w:val="single" w:sz="4" w:space="0" w:color="auto"/>
            </w:tcBorders>
            <w:vAlign w:val="center"/>
          </w:tcPr>
          <w:p w14:paraId="38B7096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9.78</w:t>
            </w:r>
          </w:p>
        </w:tc>
        <w:tc>
          <w:tcPr>
            <w:tcW w:w="221" w:type="pct"/>
            <w:tcBorders>
              <w:top w:val="nil"/>
              <w:left w:val="nil"/>
              <w:bottom w:val="single" w:sz="4" w:space="0" w:color="auto"/>
              <w:right w:val="single" w:sz="4" w:space="0" w:color="auto"/>
            </w:tcBorders>
            <w:vAlign w:val="center"/>
          </w:tcPr>
          <w:p w14:paraId="60F1A0D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10.07</w:t>
            </w:r>
          </w:p>
        </w:tc>
        <w:tc>
          <w:tcPr>
            <w:tcW w:w="226" w:type="pct"/>
            <w:tcBorders>
              <w:top w:val="nil"/>
              <w:left w:val="nil"/>
              <w:bottom w:val="single" w:sz="4" w:space="0" w:color="auto"/>
              <w:right w:val="single" w:sz="4" w:space="0" w:color="auto"/>
            </w:tcBorders>
            <w:vAlign w:val="center"/>
          </w:tcPr>
          <w:p w14:paraId="30B551A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10.09</w:t>
            </w:r>
          </w:p>
        </w:tc>
        <w:tc>
          <w:tcPr>
            <w:tcW w:w="194" w:type="pct"/>
            <w:tcBorders>
              <w:top w:val="nil"/>
              <w:left w:val="nil"/>
              <w:bottom w:val="single" w:sz="4" w:space="0" w:color="auto"/>
              <w:right w:val="single" w:sz="4" w:space="0" w:color="auto"/>
            </w:tcBorders>
            <w:vAlign w:val="center"/>
          </w:tcPr>
          <w:p w14:paraId="370AF1F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8.91</w:t>
            </w:r>
          </w:p>
        </w:tc>
        <w:tc>
          <w:tcPr>
            <w:tcW w:w="229" w:type="pct"/>
            <w:tcBorders>
              <w:top w:val="nil"/>
              <w:left w:val="nil"/>
              <w:bottom w:val="single" w:sz="4" w:space="0" w:color="auto"/>
              <w:right w:val="single" w:sz="4" w:space="0" w:color="auto"/>
            </w:tcBorders>
            <w:vAlign w:val="center"/>
          </w:tcPr>
          <w:p w14:paraId="39F1CA0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9.26</w:t>
            </w:r>
          </w:p>
        </w:tc>
      </w:tr>
      <w:tr w:rsidR="007C08A8" w:rsidRPr="000741BA" w14:paraId="15C9737E" w14:textId="77777777" w:rsidTr="00B676B8">
        <w:trPr>
          <w:jc w:val="center"/>
        </w:trPr>
        <w:tc>
          <w:tcPr>
            <w:tcW w:w="584" w:type="pct"/>
            <w:tcBorders>
              <w:top w:val="nil"/>
              <w:left w:val="single" w:sz="4" w:space="0" w:color="auto"/>
              <w:bottom w:val="single" w:sz="4" w:space="0" w:color="auto"/>
              <w:right w:val="single" w:sz="4" w:space="0" w:color="auto"/>
            </w:tcBorders>
            <w:noWrap/>
            <w:vAlign w:val="center"/>
            <w:hideMark/>
          </w:tcPr>
          <w:p w14:paraId="3767FC36"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rPr>
              <w:t xml:space="preserve">Grain yield </w:t>
            </w:r>
            <w:r w:rsidRPr="000741BA">
              <w:rPr>
                <w:rFonts w:ascii="Times New Roman" w:eastAsia="Times New Roman" w:hAnsi="Times New Roman" w:cs="Times New Roman"/>
                <w:spacing w:val="6"/>
              </w:rPr>
              <w:t>(kg ha</w:t>
            </w:r>
            <w:r w:rsidRPr="000741BA">
              <w:rPr>
                <w:rFonts w:ascii="Times New Roman" w:eastAsia="Times New Roman" w:hAnsi="Times New Roman" w:cs="Times New Roman"/>
                <w:spacing w:val="6"/>
                <w:vertAlign w:val="superscript"/>
              </w:rPr>
              <w:t>-1</w:t>
            </w:r>
            <w:r w:rsidRPr="000741BA">
              <w:rPr>
                <w:rFonts w:ascii="Times New Roman" w:eastAsia="Times New Roman" w:hAnsi="Times New Roman" w:cs="Times New Roman"/>
                <w:spacing w:val="6"/>
              </w:rPr>
              <w:t>)</w:t>
            </w:r>
          </w:p>
        </w:tc>
        <w:tc>
          <w:tcPr>
            <w:tcW w:w="355" w:type="pct"/>
            <w:tcBorders>
              <w:top w:val="nil"/>
              <w:left w:val="nil"/>
              <w:bottom w:val="single" w:sz="4" w:space="0" w:color="auto"/>
              <w:right w:val="single" w:sz="4" w:space="0" w:color="auto"/>
            </w:tcBorders>
            <w:noWrap/>
            <w:vAlign w:val="center"/>
            <w:hideMark/>
          </w:tcPr>
          <w:p w14:paraId="2B4382C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220418.80</w:t>
            </w:r>
          </w:p>
        </w:tc>
        <w:tc>
          <w:tcPr>
            <w:tcW w:w="354" w:type="pct"/>
            <w:tcBorders>
              <w:top w:val="nil"/>
              <w:left w:val="nil"/>
              <w:bottom w:val="single" w:sz="4" w:space="0" w:color="auto"/>
              <w:right w:val="single" w:sz="4" w:space="0" w:color="auto"/>
            </w:tcBorders>
            <w:noWrap/>
            <w:vAlign w:val="center"/>
            <w:hideMark/>
          </w:tcPr>
          <w:p w14:paraId="57FCD9F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180542.30</w:t>
            </w:r>
          </w:p>
        </w:tc>
        <w:tc>
          <w:tcPr>
            <w:tcW w:w="354" w:type="pct"/>
            <w:tcBorders>
              <w:top w:val="nil"/>
              <w:left w:val="nil"/>
              <w:bottom w:val="single" w:sz="4" w:space="0" w:color="auto"/>
              <w:right w:val="single" w:sz="4" w:space="0" w:color="auto"/>
            </w:tcBorders>
            <w:noWrap/>
            <w:vAlign w:val="center"/>
            <w:hideMark/>
          </w:tcPr>
          <w:p w14:paraId="1A43CCF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318190.30</w:t>
            </w:r>
          </w:p>
        </w:tc>
        <w:tc>
          <w:tcPr>
            <w:tcW w:w="354" w:type="pct"/>
            <w:tcBorders>
              <w:top w:val="nil"/>
              <w:left w:val="nil"/>
              <w:bottom w:val="single" w:sz="4" w:space="0" w:color="auto"/>
              <w:right w:val="single" w:sz="4" w:space="0" w:color="auto"/>
            </w:tcBorders>
            <w:noWrap/>
            <w:vAlign w:val="center"/>
            <w:hideMark/>
          </w:tcPr>
          <w:p w14:paraId="361B5548"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197636.60</w:t>
            </w:r>
          </w:p>
        </w:tc>
        <w:tc>
          <w:tcPr>
            <w:tcW w:w="310" w:type="pct"/>
            <w:tcBorders>
              <w:top w:val="nil"/>
              <w:left w:val="nil"/>
              <w:bottom w:val="single" w:sz="4" w:space="0" w:color="auto"/>
              <w:right w:val="single" w:sz="4" w:space="0" w:color="auto"/>
            </w:tcBorders>
            <w:noWrap/>
            <w:vAlign w:val="center"/>
            <w:hideMark/>
          </w:tcPr>
          <w:p w14:paraId="51A3896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173614.90</w:t>
            </w:r>
          </w:p>
        </w:tc>
        <w:tc>
          <w:tcPr>
            <w:tcW w:w="354" w:type="pct"/>
            <w:tcBorders>
              <w:top w:val="nil"/>
              <w:left w:val="nil"/>
              <w:bottom w:val="single" w:sz="4" w:space="0" w:color="auto"/>
              <w:right w:val="single" w:sz="4" w:space="0" w:color="auto"/>
            </w:tcBorders>
            <w:noWrap/>
            <w:vAlign w:val="center"/>
            <w:hideMark/>
          </w:tcPr>
          <w:p w14:paraId="09DB94AF"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155292.50</w:t>
            </w:r>
          </w:p>
        </w:tc>
        <w:tc>
          <w:tcPr>
            <w:tcW w:w="310" w:type="pct"/>
            <w:tcBorders>
              <w:top w:val="nil"/>
              <w:left w:val="nil"/>
              <w:bottom w:val="single" w:sz="4" w:space="0" w:color="auto"/>
              <w:right w:val="single" w:sz="4" w:space="0" w:color="auto"/>
            </w:tcBorders>
            <w:noWrap/>
            <w:vAlign w:val="center"/>
            <w:hideMark/>
          </w:tcPr>
          <w:p w14:paraId="47E3A3A3"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277309.80</w:t>
            </w:r>
          </w:p>
        </w:tc>
        <w:tc>
          <w:tcPr>
            <w:tcW w:w="330" w:type="pct"/>
            <w:tcBorders>
              <w:top w:val="nil"/>
              <w:left w:val="nil"/>
              <w:bottom w:val="single" w:sz="4" w:space="0" w:color="auto"/>
              <w:right w:val="single" w:sz="4" w:space="0" w:color="auto"/>
            </w:tcBorders>
            <w:noWrap/>
            <w:vAlign w:val="center"/>
            <w:hideMark/>
          </w:tcPr>
          <w:p w14:paraId="0309888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181088.50</w:t>
            </w:r>
          </w:p>
        </w:tc>
        <w:tc>
          <w:tcPr>
            <w:tcW w:w="202" w:type="pct"/>
            <w:tcBorders>
              <w:top w:val="nil"/>
              <w:left w:val="nil"/>
              <w:bottom w:val="single" w:sz="4" w:space="0" w:color="auto"/>
              <w:right w:val="single" w:sz="4" w:space="0" w:color="auto"/>
            </w:tcBorders>
            <w:vAlign w:val="center"/>
          </w:tcPr>
          <w:p w14:paraId="1FC81EA8"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14.94</w:t>
            </w:r>
          </w:p>
        </w:tc>
        <w:tc>
          <w:tcPr>
            <w:tcW w:w="206" w:type="pct"/>
            <w:tcBorders>
              <w:top w:val="nil"/>
              <w:left w:val="nil"/>
              <w:bottom w:val="single" w:sz="4" w:space="0" w:color="auto"/>
              <w:right w:val="single" w:sz="4" w:space="0" w:color="auto"/>
            </w:tcBorders>
            <w:vAlign w:val="center"/>
          </w:tcPr>
          <w:p w14:paraId="5B4CC48F"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14.47</w:t>
            </w:r>
          </w:p>
        </w:tc>
        <w:tc>
          <w:tcPr>
            <w:tcW w:w="193" w:type="pct"/>
            <w:tcBorders>
              <w:top w:val="nil"/>
              <w:left w:val="nil"/>
              <w:bottom w:val="single" w:sz="4" w:space="0" w:color="auto"/>
              <w:right w:val="single" w:sz="4" w:space="0" w:color="auto"/>
            </w:tcBorders>
            <w:vAlign w:val="center"/>
          </w:tcPr>
          <w:p w14:paraId="2B1D9544"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19.25</w:t>
            </w:r>
          </w:p>
        </w:tc>
        <w:tc>
          <w:tcPr>
            <w:tcW w:w="222" w:type="pct"/>
            <w:tcBorders>
              <w:top w:val="nil"/>
              <w:left w:val="nil"/>
              <w:bottom w:val="single" w:sz="4" w:space="0" w:color="auto"/>
              <w:right w:val="single" w:sz="4" w:space="0" w:color="auto"/>
            </w:tcBorders>
            <w:vAlign w:val="center"/>
          </w:tcPr>
          <w:p w14:paraId="28F41A16"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14.67</w:t>
            </w:r>
          </w:p>
        </w:tc>
        <w:tc>
          <w:tcPr>
            <w:tcW w:w="221" w:type="pct"/>
            <w:tcBorders>
              <w:top w:val="nil"/>
              <w:left w:val="nil"/>
              <w:bottom w:val="single" w:sz="4" w:space="0" w:color="auto"/>
              <w:right w:val="single" w:sz="4" w:space="0" w:color="auto"/>
            </w:tcBorders>
            <w:vAlign w:val="center"/>
          </w:tcPr>
          <w:p w14:paraId="3799834D"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13.26</w:t>
            </w:r>
          </w:p>
        </w:tc>
        <w:tc>
          <w:tcPr>
            <w:tcW w:w="226" w:type="pct"/>
            <w:tcBorders>
              <w:top w:val="nil"/>
              <w:left w:val="nil"/>
              <w:bottom w:val="single" w:sz="4" w:space="0" w:color="auto"/>
              <w:right w:val="single" w:sz="4" w:space="0" w:color="auto"/>
            </w:tcBorders>
            <w:vAlign w:val="center"/>
          </w:tcPr>
          <w:p w14:paraId="174EFB7D"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13.42</w:t>
            </w:r>
          </w:p>
        </w:tc>
        <w:tc>
          <w:tcPr>
            <w:tcW w:w="194" w:type="pct"/>
            <w:tcBorders>
              <w:top w:val="nil"/>
              <w:left w:val="nil"/>
              <w:bottom w:val="single" w:sz="4" w:space="0" w:color="auto"/>
              <w:right w:val="single" w:sz="4" w:space="0" w:color="auto"/>
            </w:tcBorders>
            <w:vAlign w:val="center"/>
          </w:tcPr>
          <w:p w14:paraId="4C12AE1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17.97</w:t>
            </w:r>
          </w:p>
        </w:tc>
        <w:tc>
          <w:tcPr>
            <w:tcW w:w="229" w:type="pct"/>
            <w:tcBorders>
              <w:top w:val="nil"/>
              <w:left w:val="nil"/>
              <w:bottom w:val="single" w:sz="4" w:space="0" w:color="auto"/>
              <w:right w:val="single" w:sz="4" w:space="0" w:color="auto"/>
            </w:tcBorders>
            <w:vAlign w:val="center"/>
          </w:tcPr>
          <w:p w14:paraId="03ACC335"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14.04</w:t>
            </w:r>
          </w:p>
        </w:tc>
      </w:tr>
      <w:tr w:rsidR="007C08A8" w:rsidRPr="000741BA" w14:paraId="4D026D69" w14:textId="77777777" w:rsidTr="00B676B8">
        <w:trPr>
          <w:jc w:val="center"/>
        </w:trPr>
        <w:tc>
          <w:tcPr>
            <w:tcW w:w="584" w:type="pct"/>
            <w:tcBorders>
              <w:top w:val="nil"/>
              <w:left w:val="single" w:sz="4" w:space="0" w:color="auto"/>
              <w:bottom w:val="single" w:sz="4" w:space="0" w:color="auto"/>
              <w:right w:val="single" w:sz="4" w:space="0" w:color="auto"/>
            </w:tcBorders>
            <w:noWrap/>
            <w:vAlign w:val="center"/>
            <w:hideMark/>
          </w:tcPr>
          <w:p w14:paraId="6C6054D4"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rPr>
              <w:t xml:space="preserve">Dry fodder yield </w:t>
            </w:r>
          </w:p>
          <w:p w14:paraId="46A341BA"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spacing w:val="6"/>
              </w:rPr>
              <w:t>(kg ha</w:t>
            </w:r>
            <w:r w:rsidRPr="000741BA">
              <w:rPr>
                <w:rFonts w:ascii="Times New Roman" w:eastAsia="Times New Roman" w:hAnsi="Times New Roman" w:cs="Times New Roman"/>
                <w:spacing w:val="6"/>
                <w:vertAlign w:val="superscript"/>
              </w:rPr>
              <w:t>-1</w:t>
            </w:r>
            <w:r w:rsidRPr="000741BA">
              <w:rPr>
                <w:rFonts w:ascii="Times New Roman" w:eastAsia="Times New Roman" w:hAnsi="Times New Roman" w:cs="Times New Roman"/>
                <w:spacing w:val="6"/>
              </w:rPr>
              <w:t>)</w:t>
            </w:r>
          </w:p>
        </w:tc>
        <w:tc>
          <w:tcPr>
            <w:tcW w:w="355" w:type="pct"/>
            <w:tcBorders>
              <w:top w:val="nil"/>
              <w:left w:val="nil"/>
              <w:bottom w:val="single" w:sz="4" w:space="0" w:color="auto"/>
              <w:right w:val="single" w:sz="4" w:space="0" w:color="auto"/>
            </w:tcBorders>
            <w:noWrap/>
            <w:vAlign w:val="center"/>
            <w:hideMark/>
          </w:tcPr>
          <w:p w14:paraId="001D480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1748705.00</w:t>
            </w:r>
          </w:p>
        </w:tc>
        <w:tc>
          <w:tcPr>
            <w:tcW w:w="354" w:type="pct"/>
            <w:tcBorders>
              <w:top w:val="nil"/>
              <w:left w:val="nil"/>
              <w:bottom w:val="single" w:sz="4" w:space="0" w:color="auto"/>
              <w:right w:val="single" w:sz="4" w:space="0" w:color="auto"/>
            </w:tcBorders>
            <w:noWrap/>
            <w:vAlign w:val="center"/>
            <w:hideMark/>
          </w:tcPr>
          <w:p w14:paraId="7E60E4A5"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1203161.00</w:t>
            </w:r>
          </w:p>
        </w:tc>
        <w:tc>
          <w:tcPr>
            <w:tcW w:w="354" w:type="pct"/>
            <w:tcBorders>
              <w:top w:val="nil"/>
              <w:left w:val="nil"/>
              <w:bottom w:val="single" w:sz="4" w:space="0" w:color="auto"/>
              <w:right w:val="single" w:sz="4" w:space="0" w:color="auto"/>
            </w:tcBorders>
            <w:noWrap/>
            <w:vAlign w:val="center"/>
            <w:hideMark/>
          </w:tcPr>
          <w:p w14:paraId="66307F4F"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815049.00</w:t>
            </w:r>
          </w:p>
        </w:tc>
        <w:tc>
          <w:tcPr>
            <w:tcW w:w="354" w:type="pct"/>
            <w:tcBorders>
              <w:top w:val="nil"/>
              <w:left w:val="nil"/>
              <w:bottom w:val="single" w:sz="4" w:space="0" w:color="auto"/>
              <w:right w:val="single" w:sz="4" w:space="0" w:color="auto"/>
            </w:tcBorders>
            <w:noWrap/>
            <w:vAlign w:val="center"/>
            <w:hideMark/>
          </w:tcPr>
          <w:p w14:paraId="6D90DB2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697988.50</w:t>
            </w:r>
          </w:p>
        </w:tc>
        <w:tc>
          <w:tcPr>
            <w:tcW w:w="310" w:type="pct"/>
            <w:tcBorders>
              <w:top w:val="nil"/>
              <w:left w:val="nil"/>
              <w:bottom w:val="single" w:sz="4" w:space="0" w:color="auto"/>
              <w:right w:val="single" w:sz="4" w:space="0" w:color="auto"/>
            </w:tcBorders>
            <w:noWrap/>
            <w:vAlign w:val="center"/>
            <w:hideMark/>
          </w:tcPr>
          <w:p w14:paraId="6935599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866735.80</w:t>
            </w:r>
          </w:p>
        </w:tc>
        <w:tc>
          <w:tcPr>
            <w:tcW w:w="354" w:type="pct"/>
            <w:tcBorders>
              <w:top w:val="nil"/>
              <w:left w:val="nil"/>
              <w:bottom w:val="single" w:sz="4" w:space="0" w:color="auto"/>
              <w:right w:val="single" w:sz="4" w:space="0" w:color="auto"/>
            </w:tcBorders>
            <w:noWrap/>
            <w:vAlign w:val="center"/>
            <w:hideMark/>
          </w:tcPr>
          <w:p w14:paraId="3EBBB713"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857731.40</w:t>
            </w:r>
          </w:p>
        </w:tc>
        <w:tc>
          <w:tcPr>
            <w:tcW w:w="310" w:type="pct"/>
            <w:tcBorders>
              <w:top w:val="nil"/>
              <w:left w:val="nil"/>
              <w:bottom w:val="single" w:sz="4" w:space="0" w:color="auto"/>
              <w:right w:val="single" w:sz="4" w:space="0" w:color="auto"/>
            </w:tcBorders>
            <w:noWrap/>
            <w:vAlign w:val="center"/>
            <w:hideMark/>
          </w:tcPr>
          <w:p w14:paraId="426B21F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468472.80</w:t>
            </w:r>
          </w:p>
        </w:tc>
        <w:tc>
          <w:tcPr>
            <w:tcW w:w="330" w:type="pct"/>
            <w:tcBorders>
              <w:top w:val="nil"/>
              <w:left w:val="nil"/>
              <w:bottom w:val="single" w:sz="4" w:space="0" w:color="auto"/>
              <w:right w:val="single" w:sz="4" w:space="0" w:color="auto"/>
            </w:tcBorders>
            <w:noWrap/>
            <w:vAlign w:val="center"/>
            <w:hideMark/>
          </w:tcPr>
          <w:p w14:paraId="23035800"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406059.50</w:t>
            </w:r>
          </w:p>
        </w:tc>
        <w:tc>
          <w:tcPr>
            <w:tcW w:w="202" w:type="pct"/>
            <w:tcBorders>
              <w:top w:val="nil"/>
              <w:left w:val="nil"/>
              <w:bottom w:val="single" w:sz="4" w:space="0" w:color="auto"/>
              <w:right w:val="single" w:sz="4" w:space="0" w:color="auto"/>
            </w:tcBorders>
            <w:vAlign w:val="center"/>
          </w:tcPr>
          <w:p w14:paraId="5253CC38"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15.93</w:t>
            </w:r>
          </w:p>
        </w:tc>
        <w:tc>
          <w:tcPr>
            <w:tcW w:w="206" w:type="pct"/>
            <w:tcBorders>
              <w:top w:val="nil"/>
              <w:left w:val="nil"/>
              <w:bottom w:val="single" w:sz="4" w:space="0" w:color="auto"/>
              <w:right w:val="single" w:sz="4" w:space="0" w:color="auto"/>
            </w:tcBorders>
            <w:vAlign w:val="center"/>
          </w:tcPr>
          <w:p w14:paraId="73CE6079"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13.61</w:t>
            </w:r>
          </w:p>
        </w:tc>
        <w:tc>
          <w:tcPr>
            <w:tcW w:w="193" w:type="pct"/>
            <w:tcBorders>
              <w:top w:val="nil"/>
              <w:left w:val="nil"/>
              <w:bottom w:val="single" w:sz="4" w:space="0" w:color="auto"/>
              <w:right w:val="single" w:sz="4" w:space="0" w:color="auto"/>
            </w:tcBorders>
            <w:vAlign w:val="center"/>
          </w:tcPr>
          <w:p w14:paraId="4F5803E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10.87</w:t>
            </w:r>
          </w:p>
        </w:tc>
        <w:tc>
          <w:tcPr>
            <w:tcW w:w="222" w:type="pct"/>
            <w:tcBorders>
              <w:top w:val="nil"/>
              <w:left w:val="nil"/>
              <w:bottom w:val="single" w:sz="4" w:space="0" w:color="auto"/>
              <w:right w:val="single" w:sz="4" w:space="0" w:color="auto"/>
            </w:tcBorders>
            <w:vAlign w:val="center"/>
          </w:tcPr>
          <w:p w14:paraId="7E99CDBD"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10.21</w:t>
            </w:r>
          </w:p>
        </w:tc>
        <w:tc>
          <w:tcPr>
            <w:tcW w:w="221" w:type="pct"/>
            <w:tcBorders>
              <w:top w:val="nil"/>
              <w:left w:val="nil"/>
              <w:bottom w:val="single" w:sz="4" w:space="0" w:color="auto"/>
              <w:right w:val="single" w:sz="4" w:space="0" w:color="auto"/>
            </w:tcBorders>
            <w:vAlign w:val="center"/>
          </w:tcPr>
          <w:p w14:paraId="6D76C74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11.21</w:t>
            </w:r>
          </w:p>
        </w:tc>
        <w:tc>
          <w:tcPr>
            <w:tcW w:w="226" w:type="pct"/>
            <w:tcBorders>
              <w:top w:val="nil"/>
              <w:left w:val="nil"/>
              <w:bottom w:val="single" w:sz="4" w:space="0" w:color="auto"/>
              <w:right w:val="single" w:sz="4" w:space="0" w:color="auto"/>
            </w:tcBorders>
            <w:vAlign w:val="center"/>
          </w:tcPr>
          <w:p w14:paraId="00C85700"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11.49</w:t>
            </w:r>
          </w:p>
        </w:tc>
        <w:tc>
          <w:tcPr>
            <w:tcW w:w="194" w:type="pct"/>
            <w:tcBorders>
              <w:top w:val="nil"/>
              <w:left w:val="nil"/>
              <w:bottom w:val="single" w:sz="4" w:space="0" w:color="auto"/>
              <w:right w:val="single" w:sz="4" w:space="0" w:color="auto"/>
            </w:tcBorders>
            <w:vAlign w:val="center"/>
          </w:tcPr>
          <w:p w14:paraId="20BE4AE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8.24</w:t>
            </w:r>
          </w:p>
        </w:tc>
        <w:tc>
          <w:tcPr>
            <w:tcW w:w="229" w:type="pct"/>
            <w:tcBorders>
              <w:top w:val="nil"/>
              <w:left w:val="nil"/>
              <w:bottom w:val="single" w:sz="4" w:space="0" w:color="auto"/>
              <w:right w:val="single" w:sz="4" w:space="0" w:color="auto"/>
            </w:tcBorders>
            <w:vAlign w:val="center"/>
          </w:tcPr>
          <w:p w14:paraId="3F4B7634"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7.79</w:t>
            </w:r>
          </w:p>
        </w:tc>
      </w:tr>
    </w:tbl>
    <w:p w14:paraId="712C466F" w14:textId="77777777" w:rsidR="007C08A8" w:rsidRPr="003209AE" w:rsidRDefault="007C08A8" w:rsidP="00B676B8">
      <w:pPr>
        <w:spacing w:line="240" w:lineRule="auto"/>
        <w:jc w:val="both"/>
        <w:rPr>
          <w:rFonts w:ascii="Times New Roman" w:eastAsia="Calibri" w:hAnsi="Times New Roman" w:cs="Times New Roman"/>
        </w:rPr>
      </w:pPr>
      <w:r w:rsidRPr="003209AE">
        <w:rPr>
          <w:rFonts w:ascii="Times New Roman" w:eastAsia="Calibri" w:hAnsi="Times New Roman" w:cs="Times New Roman"/>
        </w:rPr>
        <w:t>N=</w:t>
      </w:r>
      <w:proofErr w:type="spellStart"/>
      <w:r w:rsidRPr="003209AE">
        <w:rPr>
          <w:rFonts w:ascii="Times New Roman" w:eastAsia="Calibri" w:hAnsi="Times New Roman" w:cs="Times New Roman"/>
        </w:rPr>
        <w:t>Nandyal</w:t>
      </w:r>
      <w:proofErr w:type="spellEnd"/>
      <w:r w:rsidRPr="003209AE">
        <w:rPr>
          <w:rFonts w:ascii="Times New Roman" w:eastAsia="Calibri" w:hAnsi="Times New Roman" w:cs="Times New Roman"/>
        </w:rPr>
        <w:t xml:space="preserve">    P=</w:t>
      </w:r>
      <w:proofErr w:type="spellStart"/>
      <w:r w:rsidRPr="003209AE">
        <w:rPr>
          <w:rFonts w:ascii="Times New Roman" w:eastAsia="Calibri" w:hAnsi="Times New Roman" w:cs="Times New Roman"/>
        </w:rPr>
        <w:t>Podalakur</w:t>
      </w:r>
      <w:proofErr w:type="spellEnd"/>
      <w:r w:rsidRPr="003209AE">
        <w:rPr>
          <w:rFonts w:ascii="Times New Roman" w:eastAsia="Calibri" w:hAnsi="Times New Roman" w:cs="Times New Roman"/>
        </w:rPr>
        <w:t xml:space="preserve">   G=Guntur</w:t>
      </w:r>
    </w:p>
    <w:p w14:paraId="4A9702BD" w14:textId="77777777" w:rsidR="00F65A23" w:rsidRDefault="00F65A23" w:rsidP="00B676B8">
      <w:pPr>
        <w:spacing w:after="120" w:line="240" w:lineRule="auto"/>
        <w:jc w:val="both"/>
        <w:rPr>
          <w:rFonts w:ascii="Times New Roman" w:hAnsi="Times New Roman" w:cs="Times New Roman"/>
          <w:b/>
          <w:bCs/>
          <w:sz w:val="24"/>
          <w:szCs w:val="24"/>
        </w:rPr>
      </w:pPr>
    </w:p>
    <w:p w14:paraId="231A16D7" w14:textId="77777777" w:rsidR="000741BA" w:rsidRPr="003209AE" w:rsidRDefault="000741BA" w:rsidP="00B676B8">
      <w:pPr>
        <w:spacing w:after="120" w:line="240" w:lineRule="auto"/>
        <w:jc w:val="both"/>
        <w:rPr>
          <w:rFonts w:ascii="Times New Roman" w:hAnsi="Times New Roman" w:cs="Times New Roman"/>
          <w:b/>
          <w:bCs/>
          <w:sz w:val="24"/>
          <w:szCs w:val="24"/>
        </w:rPr>
      </w:pPr>
    </w:p>
    <w:p w14:paraId="1E50F497" w14:textId="77777777" w:rsidR="007C08A8" w:rsidRPr="003209AE" w:rsidRDefault="007C08A8" w:rsidP="00B676B8">
      <w:pPr>
        <w:spacing w:after="120" w:line="240" w:lineRule="auto"/>
        <w:jc w:val="both"/>
        <w:rPr>
          <w:rFonts w:ascii="Times New Roman" w:hAnsi="Times New Roman" w:cs="Times New Roman"/>
          <w:b/>
          <w:bCs/>
          <w:sz w:val="24"/>
          <w:szCs w:val="24"/>
        </w:rPr>
      </w:pPr>
      <w:r w:rsidRPr="003209AE">
        <w:rPr>
          <w:rFonts w:ascii="Times New Roman" w:hAnsi="Times New Roman" w:cs="Times New Roman"/>
          <w:b/>
          <w:bCs/>
          <w:sz w:val="24"/>
          <w:szCs w:val="24"/>
        </w:rPr>
        <w:t xml:space="preserve">Table </w:t>
      </w:r>
      <w:r w:rsidR="006A1F9F" w:rsidRPr="003209AE">
        <w:rPr>
          <w:rFonts w:ascii="Times New Roman" w:hAnsi="Times New Roman" w:cs="Times New Roman"/>
          <w:b/>
          <w:bCs/>
          <w:sz w:val="24"/>
          <w:szCs w:val="24"/>
        </w:rPr>
        <w:t xml:space="preserve">7. </w:t>
      </w:r>
      <w:r w:rsidRPr="003209AE">
        <w:rPr>
          <w:rFonts w:ascii="Times New Roman" w:hAnsi="Times New Roman" w:cs="Times New Roman"/>
          <w:b/>
          <w:bCs/>
          <w:sz w:val="24"/>
          <w:szCs w:val="24"/>
        </w:rPr>
        <w:t xml:space="preserve">Estimation of genetic parameters for yield and yield components in sorghum at three locations and pooled over locations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808"/>
        <w:gridCol w:w="809"/>
        <w:gridCol w:w="809"/>
        <w:gridCol w:w="813"/>
        <w:gridCol w:w="943"/>
        <w:gridCol w:w="1080"/>
        <w:gridCol w:w="943"/>
        <w:gridCol w:w="948"/>
        <w:gridCol w:w="809"/>
        <w:gridCol w:w="809"/>
        <w:gridCol w:w="1080"/>
        <w:gridCol w:w="1130"/>
      </w:tblGrid>
      <w:tr w:rsidR="007C08A8" w:rsidRPr="003209AE" w14:paraId="6ACD69C7" w14:textId="77777777" w:rsidTr="00B676B8">
        <w:trPr>
          <w:trHeight w:val="509"/>
          <w:jc w:val="center"/>
        </w:trPr>
        <w:tc>
          <w:tcPr>
            <w:tcW w:w="1064" w:type="pct"/>
            <w:vMerge w:val="restart"/>
            <w:noWrap/>
            <w:vAlign w:val="center"/>
            <w:hideMark/>
          </w:tcPr>
          <w:p w14:paraId="22C3F5DC" w14:textId="77777777" w:rsidR="007C08A8" w:rsidRPr="003209AE" w:rsidRDefault="007C08A8" w:rsidP="00305505">
            <w:pPr>
              <w:spacing w:after="0" w:line="240" w:lineRule="auto"/>
              <w:jc w:val="both"/>
              <w:rPr>
                <w:rFonts w:ascii="Times New Roman" w:eastAsia="Times New Roman" w:hAnsi="Times New Roman" w:cs="Times New Roman"/>
                <w:b/>
                <w:bCs/>
              </w:rPr>
            </w:pPr>
            <w:r w:rsidRPr="003209AE">
              <w:rPr>
                <w:rFonts w:ascii="Times New Roman" w:eastAsia="Times New Roman" w:hAnsi="Times New Roman" w:cs="Times New Roman"/>
                <w:b/>
                <w:bCs/>
              </w:rPr>
              <w:t>Character</w:t>
            </w:r>
          </w:p>
        </w:tc>
        <w:tc>
          <w:tcPr>
            <w:tcW w:w="1161" w:type="pct"/>
            <w:gridSpan w:val="4"/>
            <w:vMerge w:val="restart"/>
            <w:noWrap/>
            <w:vAlign w:val="center"/>
            <w:hideMark/>
          </w:tcPr>
          <w:p w14:paraId="52BBCAD1"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 xml:space="preserve">Heritability in broad sense </w:t>
            </w:r>
          </w:p>
          <w:p w14:paraId="0960A239"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(h</w:t>
            </w:r>
            <w:r w:rsidRPr="003209AE">
              <w:rPr>
                <w:rFonts w:ascii="Times New Roman" w:eastAsia="Times New Roman" w:hAnsi="Times New Roman" w:cs="Times New Roman"/>
                <w:b/>
                <w:bCs/>
                <w:vertAlign w:val="superscript"/>
              </w:rPr>
              <w:t>2</w:t>
            </w:r>
            <w:r w:rsidRPr="003209AE">
              <w:rPr>
                <w:rFonts w:ascii="Times New Roman" w:eastAsia="Times New Roman" w:hAnsi="Times New Roman" w:cs="Times New Roman"/>
                <w:b/>
                <w:bCs/>
              </w:rPr>
              <w:t>)</w:t>
            </w:r>
          </w:p>
          <w:p w14:paraId="5B3C2691"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w:t>
            </w:r>
          </w:p>
        </w:tc>
        <w:tc>
          <w:tcPr>
            <w:tcW w:w="1403" w:type="pct"/>
            <w:gridSpan w:val="4"/>
            <w:vMerge w:val="restart"/>
            <w:noWrap/>
            <w:vAlign w:val="center"/>
            <w:hideMark/>
          </w:tcPr>
          <w:p w14:paraId="2DA07BEB"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Genetic Advance</w:t>
            </w:r>
          </w:p>
          <w:p w14:paraId="00BEA7CA"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(GA)</w:t>
            </w:r>
          </w:p>
          <w:p w14:paraId="2D379373"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w:t>
            </w:r>
          </w:p>
        </w:tc>
        <w:tc>
          <w:tcPr>
            <w:tcW w:w="1372" w:type="pct"/>
            <w:gridSpan w:val="4"/>
            <w:vMerge w:val="restart"/>
            <w:noWrap/>
            <w:vAlign w:val="center"/>
            <w:hideMark/>
          </w:tcPr>
          <w:p w14:paraId="48207CEB"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 xml:space="preserve">Genetic Advance as </w:t>
            </w:r>
          </w:p>
          <w:p w14:paraId="2165160F"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 xml:space="preserve"> </w:t>
            </w:r>
            <w:r w:rsidRPr="003209AE">
              <w:rPr>
                <w:rFonts w:ascii="Times New Roman" w:eastAsia="Times New Roman" w:hAnsi="Times New Roman" w:cs="Times New Roman"/>
                <w:b/>
                <w:bCs/>
                <w:i/>
                <w:iCs/>
              </w:rPr>
              <w:t xml:space="preserve">per cent </w:t>
            </w:r>
            <w:r w:rsidRPr="003209AE">
              <w:rPr>
                <w:rFonts w:ascii="Times New Roman" w:eastAsia="Times New Roman" w:hAnsi="Times New Roman" w:cs="Times New Roman"/>
                <w:b/>
                <w:bCs/>
              </w:rPr>
              <w:t xml:space="preserve">of mean </w:t>
            </w:r>
          </w:p>
          <w:p w14:paraId="3E0BEE9A"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(GAM)</w:t>
            </w:r>
          </w:p>
        </w:tc>
      </w:tr>
      <w:tr w:rsidR="007C08A8" w:rsidRPr="003209AE" w14:paraId="14F47B03" w14:textId="77777777" w:rsidTr="00B676B8">
        <w:trPr>
          <w:trHeight w:val="509"/>
          <w:jc w:val="center"/>
        </w:trPr>
        <w:tc>
          <w:tcPr>
            <w:tcW w:w="1064" w:type="pct"/>
            <w:vMerge/>
            <w:vAlign w:val="center"/>
            <w:hideMark/>
          </w:tcPr>
          <w:p w14:paraId="655FDD58" w14:textId="77777777" w:rsidR="007C08A8" w:rsidRPr="003209AE" w:rsidRDefault="007C08A8" w:rsidP="00305505">
            <w:pPr>
              <w:spacing w:after="0" w:line="240" w:lineRule="auto"/>
              <w:jc w:val="both"/>
              <w:rPr>
                <w:rFonts w:ascii="Times New Roman" w:eastAsia="Times New Roman" w:hAnsi="Times New Roman" w:cs="Times New Roman"/>
                <w:b/>
                <w:bCs/>
              </w:rPr>
            </w:pPr>
          </w:p>
        </w:tc>
        <w:tc>
          <w:tcPr>
            <w:tcW w:w="1161" w:type="pct"/>
            <w:gridSpan w:val="4"/>
            <w:vMerge/>
            <w:vAlign w:val="center"/>
            <w:hideMark/>
          </w:tcPr>
          <w:p w14:paraId="29BB6218"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p>
        </w:tc>
        <w:tc>
          <w:tcPr>
            <w:tcW w:w="1403" w:type="pct"/>
            <w:gridSpan w:val="4"/>
            <w:vMerge/>
            <w:vAlign w:val="center"/>
            <w:hideMark/>
          </w:tcPr>
          <w:p w14:paraId="14AF067E"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p>
        </w:tc>
        <w:tc>
          <w:tcPr>
            <w:tcW w:w="1372" w:type="pct"/>
            <w:gridSpan w:val="4"/>
            <w:vMerge/>
            <w:vAlign w:val="center"/>
            <w:hideMark/>
          </w:tcPr>
          <w:p w14:paraId="1998C619"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p>
        </w:tc>
      </w:tr>
      <w:tr w:rsidR="007C08A8" w:rsidRPr="003209AE" w14:paraId="26939CC1" w14:textId="77777777" w:rsidTr="00B676B8">
        <w:trPr>
          <w:trHeight w:val="20"/>
          <w:jc w:val="center"/>
        </w:trPr>
        <w:tc>
          <w:tcPr>
            <w:tcW w:w="1064" w:type="pct"/>
            <w:vMerge/>
            <w:vAlign w:val="center"/>
            <w:hideMark/>
          </w:tcPr>
          <w:p w14:paraId="021FD1F9" w14:textId="77777777" w:rsidR="007C08A8" w:rsidRPr="003209AE" w:rsidRDefault="007C08A8" w:rsidP="00305505">
            <w:pPr>
              <w:spacing w:after="0" w:line="240" w:lineRule="auto"/>
              <w:jc w:val="both"/>
              <w:rPr>
                <w:rFonts w:ascii="Times New Roman" w:eastAsia="Times New Roman" w:hAnsi="Times New Roman" w:cs="Times New Roman"/>
                <w:b/>
                <w:bCs/>
              </w:rPr>
            </w:pPr>
          </w:p>
        </w:tc>
        <w:tc>
          <w:tcPr>
            <w:tcW w:w="290" w:type="pct"/>
            <w:noWrap/>
            <w:vAlign w:val="center"/>
            <w:hideMark/>
          </w:tcPr>
          <w:p w14:paraId="19C6F38F"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N</w:t>
            </w:r>
          </w:p>
        </w:tc>
        <w:tc>
          <w:tcPr>
            <w:tcW w:w="290" w:type="pct"/>
            <w:noWrap/>
            <w:vAlign w:val="center"/>
            <w:hideMark/>
          </w:tcPr>
          <w:p w14:paraId="007A6DFA"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P</w:t>
            </w:r>
          </w:p>
        </w:tc>
        <w:tc>
          <w:tcPr>
            <w:tcW w:w="290" w:type="pct"/>
            <w:noWrap/>
            <w:vAlign w:val="center"/>
            <w:hideMark/>
          </w:tcPr>
          <w:p w14:paraId="73D9BCB3"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G</w:t>
            </w:r>
          </w:p>
        </w:tc>
        <w:tc>
          <w:tcPr>
            <w:tcW w:w="291" w:type="pct"/>
            <w:noWrap/>
            <w:vAlign w:val="center"/>
            <w:hideMark/>
          </w:tcPr>
          <w:p w14:paraId="032917AB"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Pooled</w:t>
            </w:r>
          </w:p>
        </w:tc>
        <w:tc>
          <w:tcPr>
            <w:tcW w:w="338" w:type="pct"/>
            <w:noWrap/>
            <w:vAlign w:val="center"/>
            <w:hideMark/>
          </w:tcPr>
          <w:p w14:paraId="5A7DA4B4"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N</w:t>
            </w:r>
          </w:p>
        </w:tc>
        <w:tc>
          <w:tcPr>
            <w:tcW w:w="387" w:type="pct"/>
            <w:noWrap/>
            <w:vAlign w:val="center"/>
            <w:hideMark/>
          </w:tcPr>
          <w:p w14:paraId="21248654"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P</w:t>
            </w:r>
          </w:p>
        </w:tc>
        <w:tc>
          <w:tcPr>
            <w:tcW w:w="338" w:type="pct"/>
            <w:noWrap/>
            <w:vAlign w:val="center"/>
            <w:hideMark/>
          </w:tcPr>
          <w:p w14:paraId="11421571"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G</w:t>
            </w:r>
          </w:p>
        </w:tc>
        <w:tc>
          <w:tcPr>
            <w:tcW w:w="340" w:type="pct"/>
            <w:noWrap/>
            <w:vAlign w:val="center"/>
            <w:hideMark/>
          </w:tcPr>
          <w:p w14:paraId="2F3D4A1F"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Pooled</w:t>
            </w:r>
          </w:p>
        </w:tc>
        <w:tc>
          <w:tcPr>
            <w:tcW w:w="290" w:type="pct"/>
            <w:noWrap/>
            <w:vAlign w:val="center"/>
            <w:hideMark/>
          </w:tcPr>
          <w:p w14:paraId="5D515855"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N</w:t>
            </w:r>
          </w:p>
        </w:tc>
        <w:tc>
          <w:tcPr>
            <w:tcW w:w="290" w:type="pct"/>
            <w:noWrap/>
            <w:vAlign w:val="center"/>
            <w:hideMark/>
          </w:tcPr>
          <w:p w14:paraId="14B6A340"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P</w:t>
            </w:r>
          </w:p>
        </w:tc>
        <w:tc>
          <w:tcPr>
            <w:tcW w:w="387" w:type="pct"/>
            <w:noWrap/>
            <w:vAlign w:val="center"/>
            <w:hideMark/>
          </w:tcPr>
          <w:p w14:paraId="3DA19715"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G</w:t>
            </w:r>
          </w:p>
        </w:tc>
        <w:tc>
          <w:tcPr>
            <w:tcW w:w="405" w:type="pct"/>
            <w:noWrap/>
            <w:vAlign w:val="center"/>
            <w:hideMark/>
          </w:tcPr>
          <w:p w14:paraId="7B2DC962"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Pooled</w:t>
            </w:r>
          </w:p>
        </w:tc>
      </w:tr>
      <w:tr w:rsidR="007C08A8" w:rsidRPr="003209AE" w14:paraId="697A7B19" w14:textId="77777777" w:rsidTr="00B676B8">
        <w:trPr>
          <w:trHeight w:val="20"/>
          <w:jc w:val="center"/>
        </w:trPr>
        <w:tc>
          <w:tcPr>
            <w:tcW w:w="1064" w:type="pct"/>
            <w:noWrap/>
            <w:vAlign w:val="center"/>
            <w:hideMark/>
          </w:tcPr>
          <w:p w14:paraId="07F15E2D" w14:textId="77777777" w:rsidR="007C08A8" w:rsidRPr="003209AE" w:rsidRDefault="007C08A8" w:rsidP="00305505">
            <w:pPr>
              <w:spacing w:after="0" w:line="240" w:lineRule="auto"/>
              <w:ind w:right="-150"/>
              <w:jc w:val="both"/>
              <w:rPr>
                <w:rFonts w:ascii="Times New Roman" w:eastAsia="Times New Roman" w:hAnsi="Times New Roman" w:cs="Times New Roman"/>
              </w:rPr>
            </w:pPr>
            <w:r w:rsidRPr="003209AE">
              <w:rPr>
                <w:rFonts w:ascii="Times New Roman" w:eastAsia="Times New Roman" w:hAnsi="Times New Roman" w:cs="Times New Roman"/>
              </w:rPr>
              <w:t xml:space="preserve">Plant height </w:t>
            </w:r>
            <w:r w:rsidRPr="003209AE">
              <w:rPr>
                <w:rFonts w:ascii="Times New Roman" w:hAnsi="Times New Roman" w:cs="Times New Roman"/>
              </w:rPr>
              <w:t>(cm)</w:t>
            </w:r>
          </w:p>
        </w:tc>
        <w:tc>
          <w:tcPr>
            <w:tcW w:w="290" w:type="pct"/>
            <w:noWrap/>
            <w:vAlign w:val="center"/>
            <w:hideMark/>
          </w:tcPr>
          <w:p w14:paraId="51B69174"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76</w:t>
            </w:r>
          </w:p>
        </w:tc>
        <w:tc>
          <w:tcPr>
            <w:tcW w:w="290" w:type="pct"/>
            <w:noWrap/>
            <w:vAlign w:val="center"/>
            <w:hideMark/>
          </w:tcPr>
          <w:p w14:paraId="63F6F65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70</w:t>
            </w:r>
          </w:p>
        </w:tc>
        <w:tc>
          <w:tcPr>
            <w:tcW w:w="290" w:type="pct"/>
            <w:noWrap/>
            <w:vAlign w:val="center"/>
            <w:hideMark/>
          </w:tcPr>
          <w:p w14:paraId="14545FD7"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68</w:t>
            </w:r>
          </w:p>
        </w:tc>
        <w:tc>
          <w:tcPr>
            <w:tcW w:w="291" w:type="pct"/>
            <w:noWrap/>
            <w:vAlign w:val="center"/>
            <w:hideMark/>
          </w:tcPr>
          <w:p w14:paraId="03ED697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77</w:t>
            </w:r>
          </w:p>
        </w:tc>
        <w:tc>
          <w:tcPr>
            <w:tcW w:w="338" w:type="pct"/>
            <w:noWrap/>
            <w:vAlign w:val="center"/>
            <w:hideMark/>
          </w:tcPr>
          <w:p w14:paraId="45F4A498"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34.49</w:t>
            </w:r>
          </w:p>
        </w:tc>
        <w:tc>
          <w:tcPr>
            <w:tcW w:w="387" w:type="pct"/>
            <w:noWrap/>
            <w:vAlign w:val="center"/>
            <w:hideMark/>
          </w:tcPr>
          <w:p w14:paraId="555B404C"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30.17</w:t>
            </w:r>
          </w:p>
        </w:tc>
        <w:tc>
          <w:tcPr>
            <w:tcW w:w="338" w:type="pct"/>
            <w:noWrap/>
            <w:vAlign w:val="center"/>
            <w:hideMark/>
          </w:tcPr>
          <w:p w14:paraId="28BE7EB9"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28.44</w:t>
            </w:r>
          </w:p>
        </w:tc>
        <w:tc>
          <w:tcPr>
            <w:tcW w:w="340" w:type="pct"/>
            <w:noWrap/>
            <w:vAlign w:val="center"/>
            <w:hideMark/>
          </w:tcPr>
          <w:p w14:paraId="2F10544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32.33</w:t>
            </w:r>
          </w:p>
        </w:tc>
        <w:tc>
          <w:tcPr>
            <w:tcW w:w="290" w:type="pct"/>
            <w:noWrap/>
            <w:vAlign w:val="center"/>
            <w:hideMark/>
          </w:tcPr>
          <w:p w14:paraId="207CFB4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17.64</w:t>
            </w:r>
          </w:p>
        </w:tc>
        <w:tc>
          <w:tcPr>
            <w:tcW w:w="290" w:type="pct"/>
            <w:noWrap/>
            <w:vAlign w:val="center"/>
            <w:hideMark/>
          </w:tcPr>
          <w:p w14:paraId="75C1DA4A"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15.55</w:t>
            </w:r>
          </w:p>
        </w:tc>
        <w:tc>
          <w:tcPr>
            <w:tcW w:w="387" w:type="pct"/>
            <w:noWrap/>
            <w:vAlign w:val="center"/>
            <w:hideMark/>
          </w:tcPr>
          <w:p w14:paraId="28E04BDC"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14.64</w:t>
            </w:r>
          </w:p>
        </w:tc>
        <w:tc>
          <w:tcPr>
            <w:tcW w:w="405" w:type="pct"/>
            <w:noWrap/>
            <w:vAlign w:val="center"/>
            <w:hideMark/>
          </w:tcPr>
          <w:p w14:paraId="3FCAFDE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16.75</w:t>
            </w:r>
          </w:p>
        </w:tc>
      </w:tr>
      <w:tr w:rsidR="007C08A8" w:rsidRPr="003209AE" w14:paraId="16D586AD" w14:textId="77777777" w:rsidTr="00B676B8">
        <w:trPr>
          <w:trHeight w:val="20"/>
          <w:jc w:val="center"/>
        </w:trPr>
        <w:tc>
          <w:tcPr>
            <w:tcW w:w="1064" w:type="pct"/>
            <w:noWrap/>
            <w:vAlign w:val="center"/>
            <w:hideMark/>
          </w:tcPr>
          <w:p w14:paraId="1AD17089" w14:textId="77777777" w:rsidR="007C08A8" w:rsidRPr="003209AE" w:rsidRDefault="007C08A8" w:rsidP="00305505">
            <w:pPr>
              <w:spacing w:after="0" w:line="240" w:lineRule="auto"/>
              <w:ind w:right="-150"/>
              <w:jc w:val="both"/>
              <w:rPr>
                <w:rFonts w:ascii="Times New Roman" w:eastAsia="Times New Roman" w:hAnsi="Times New Roman" w:cs="Times New Roman"/>
              </w:rPr>
            </w:pPr>
            <w:r w:rsidRPr="003209AE">
              <w:rPr>
                <w:rFonts w:ascii="Times New Roman" w:eastAsia="Times New Roman" w:hAnsi="Times New Roman" w:cs="Times New Roman"/>
              </w:rPr>
              <w:t xml:space="preserve">Panicle length </w:t>
            </w:r>
            <w:r w:rsidRPr="003209AE">
              <w:rPr>
                <w:rFonts w:ascii="Times New Roman" w:hAnsi="Times New Roman" w:cs="Times New Roman"/>
              </w:rPr>
              <w:t>(cm)</w:t>
            </w:r>
          </w:p>
        </w:tc>
        <w:tc>
          <w:tcPr>
            <w:tcW w:w="290" w:type="pct"/>
            <w:noWrap/>
            <w:vAlign w:val="center"/>
            <w:hideMark/>
          </w:tcPr>
          <w:p w14:paraId="6FD6F44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47</w:t>
            </w:r>
          </w:p>
        </w:tc>
        <w:tc>
          <w:tcPr>
            <w:tcW w:w="290" w:type="pct"/>
            <w:noWrap/>
            <w:vAlign w:val="center"/>
            <w:hideMark/>
          </w:tcPr>
          <w:p w14:paraId="246771EA"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76</w:t>
            </w:r>
          </w:p>
        </w:tc>
        <w:tc>
          <w:tcPr>
            <w:tcW w:w="290" w:type="pct"/>
            <w:noWrap/>
            <w:vAlign w:val="center"/>
            <w:hideMark/>
          </w:tcPr>
          <w:p w14:paraId="2F89D12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60</w:t>
            </w:r>
          </w:p>
        </w:tc>
        <w:tc>
          <w:tcPr>
            <w:tcW w:w="291" w:type="pct"/>
            <w:noWrap/>
            <w:vAlign w:val="center"/>
            <w:hideMark/>
          </w:tcPr>
          <w:p w14:paraId="552AD43C"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65</w:t>
            </w:r>
          </w:p>
        </w:tc>
        <w:tc>
          <w:tcPr>
            <w:tcW w:w="338" w:type="pct"/>
            <w:noWrap/>
            <w:vAlign w:val="center"/>
            <w:hideMark/>
          </w:tcPr>
          <w:p w14:paraId="671CEBAB"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2.26</w:t>
            </w:r>
          </w:p>
        </w:tc>
        <w:tc>
          <w:tcPr>
            <w:tcW w:w="387" w:type="pct"/>
            <w:noWrap/>
            <w:vAlign w:val="center"/>
            <w:hideMark/>
          </w:tcPr>
          <w:p w14:paraId="5B89F236"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2.78</w:t>
            </w:r>
          </w:p>
        </w:tc>
        <w:tc>
          <w:tcPr>
            <w:tcW w:w="338" w:type="pct"/>
            <w:noWrap/>
            <w:vAlign w:val="center"/>
            <w:hideMark/>
          </w:tcPr>
          <w:p w14:paraId="561DDB75"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2.11</w:t>
            </w:r>
          </w:p>
        </w:tc>
        <w:tc>
          <w:tcPr>
            <w:tcW w:w="340" w:type="pct"/>
            <w:noWrap/>
            <w:vAlign w:val="center"/>
            <w:hideMark/>
          </w:tcPr>
          <w:p w14:paraId="5278E92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1.83</w:t>
            </w:r>
          </w:p>
        </w:tc>
        <w:tc>
          <w:tcPr>
            <w:tcW w:w="290" w:type="pct"/>
            <w:noWrap/>
            <w:vAlign w:val="center"/>
            <w:hideMark/>
          </w:tcPr>
          <w:p w14:paraId="03963CBE"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9.66</w:t>
            </w:r>
          </w:p>
        </w:tc>
        <w:tc>
          <w:tcPr>
            <w:tcW w:w="290" w:type="pct"/>
            <w:noWrap/>
            <w:vAlign w:val="center"/>
            <w:hideMark/>
          </w:tcPr>
          <w:p w14:paraId="35A4ECE3"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13.38</w:t>
            </w:r>
          </w:p>
        </w:tc>
        <w:tc>
          <w:tcPr>
            <w:tcW w:w="387" w:type="pct"/>
            <w:noWrap/>
            <w:vAlign w:val="center"/>
            <w:hideMark/>
          </w:tcPr>
          <w:p w14:paraId="13208C38"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10.08</w:t>
            </w:r>
          </w:p>
        </w:tc>
        <w:tc>
          <w:tcPr>
            <w:tcW w:w="405" w:type="pct"/>
            <w:noWrap/>
            <w:vAlign w:val="center"/>
            <w:hideMark/>
          </w:tcPr>
          <w:p w14:paraId="62B00C52"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8.43</w:t>
            </w:r>
          </w:p>
        </w:tc>
      </w:tr>
      <w:tr w:rsidR="007C08A8" w:rsidRPr="003209AE" w14:paraId="2FBE8FF8" w14:textId="77777777" w:rsidTr="00B676B8">
        <w:trPr>
          <w:trHeight w:val="20"/>
          <w:jc w:val="center"/>
        </w:trPr>
        <w:tc>
          <w:tcPr>
            <w:tcW w:w="1064" w:type="pct"/>
            <w:noWrap/>
            <w:vAlign w:val="center"/>
            <w:hideMark/>
          </w:tcPr>
          <w:p w14:paraId="189C4902" w14:textId="77777777" w:rsidR="007C08A8" w:rsidRPr="003209AE" w:rsidRDefault="007C08A8" w:rsidP="00305505">
            <w:pPr>
              <w:spacing w:after="0" w:line="240" w:lineRule="auto"/>
              <w:ind w:right="-150"/>
              <w:jc w:val="both"/>
              <w:rPr>
                <w:rFonts w:ascii="Times New Roman" w:eastAsia="Times New Roman" w:hAnsi="Times New Roman" w:cs="Times New Roman"/>
              </w:rPr>
            </w:pPr>
            <w:r w:rsidRPr="003209AE">
              <w:rPr>
                <w:rFonts w:ascii="Times New Roman" w:eastAsia="Times New Roman" w:hAnsi="Times New Roman" w:cs="Times New Roman"/>
              </w:rPr>
              <w:t xml:space="preserve">Days to 50% flowering </w:t>
            </w:r>
          </w:p>
        </w:tc>
        <w:tc>
          <w:tcPr>
            <w:tcW w:w="290" w:type="pct"/>
            <w:noWrap/>
            <w:vAlign w:val="center"/>
            <w:hideMark/>
          </w:tcPr>
          <w:p w14:paraId="3EA98102"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40</w:t>
            </w:r>
          </w:p>
        </w:tc>
        <w:tc>
          <w:tcPr>
            <w:tcW w:w="290" w:type="pct"/>
            <w:noWrap/>
            <w:vAlign w:val="center"/>
            <w:hideMark/>
          </w:tcPr>
          <w:p w14:paraId="07C6F4C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41</w:t>
            </w:r>
          </w:p>
        </w:tc>
        <w:tc>
          <w:tcPr>
            <w:tcW w:w="290" w:type="pct"/>
            <w:noWrap/>
            <w:vAlign w:val="center"/>
            <w:hideMark/>
          </w:tcPr>
          <w:p w14:paraId="76AA5CD2"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23</w:t>
            </w:r>
          </w:p>
        </w:tc>
        <w:tc>
          <w:tcPr>
            <w:tcW w:w="291" w:type="pct"/>
            <w:noWrap/>
            <w:vAlign w:val="center"/>
            <w:hideMark/>
          </w:tcPr>
          <w:p w14:paraId="00B7EA44"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24</w:t>
            </w:r>
          </w:p>
        </w:tc>
        <w:tc>
          <w:tcPr>
            <w:tcW w:w="338" w:type="pct"/>
            <w:noWrap/>
            <w:vAlign w:val="center"/>
            <w:hideMark/>
          </w:tcPr>
          <w:p w14:paraId="2AA2DD7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1.18</w:t>
            </w:r>
          </w:p>
        </w:tc>
        <w:tc>
          <w:tcPr>
            <w:tcW w:w="387" w:type="pct"/>
            <w:noWrap/>
            <w:vAlign w:val="center"/>
            <w:hideMark/>
          </w:tcPr>
          <w:p w14:paraId="4517D363"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1.37</w:t>
            </w:r>
          </w:p>
        </w:tc>
        <w:tc>
          <w:tcPr>
            <w:tcW w:w="338" w:type="pct"/>
            <w:noWrap/>
            <w:vAlign w:val="center"/>
            <w:hideMark/>
          </w:tcPr>
          <w:p w14:paraId="3E154D2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0.81</w:t>
            </w:r>
          </w:p>
        </w:tc>
        <w:tc>
          <w:tcPr>
            <w:tcW w:w="340" w:type="pct"/>
            <w:noWrap/>
            <w:vAlign w:val="center"/>
            <w:hideMark/>
          </w:tcPr>
          <w:p w14:paraId="523E8F2A"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0.49</w:t>
            </w:r>
          </w:p>
        </w:tc>
        <w:tc>
          <w:tcPr>
            <w:tcW w:w="290" w:type="pct"/>
            <w:noWrap/>
            <w:vAlign w:val="center"/>
            <w:hideMark/>
          </w:tcPr>
          <w:p w14:paraId="4507139A"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1.92</w:t>
            </w:r>
          </w:p>
        </w:tc>
        <w:tc>
          <w:tcPr>
            <w:tcW w:w="290" w:type="pct"/>
            <w:noWrap/>
            <w:vAlign w:val="center"/>
            <w:hideMark/>
          </w:tcPr>
          <w:p w14:paraId="3B87D084"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2.24</w:t>
            </w:r>
          </w:p>
        </w:tc>
        <w:tc>
          <w:tcPr>
            <w:tcW w:w="387" w:type="pct"/>
            <w:noWrap/>
            <w:vAlign w:val="center"/>
            <w:hideMark/>
          </w:tcPr>
          <w:p w14:paraId="64571C10"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1.33</w:t>
            </w:r>
          </w:p>
        </w:tc>
        <w:tc>
          <w:tcPr>
            <w:tcW w:w="405" w:type="pct"/>
            <w:noWrap/>
            <w:vAlign w:val="center"/>
            <w:hideMark/>
          </w:tcPr>
          <w:p w14:paraId="7CDC6FEB"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0.81</w:t>
            </w:r>
          </w:p>
        </w:tc>
      </w:tr>
      <w:tr w:rsidR="007C08A8" w:rsidRPr="003209AE" w14:paraId="26CA0829" w14:textId="77777777" w:rsidTr="00B676B8">
        <w:trPr>
          <w:trHeight w:val="20"/>
          <w:jc w:val="center"/>
        </w:trPr>
        <w:tc>
          <w:tcPr>
            <w:tcW w:w="1064" w:type="pct"/>
            <w:noWrap/>
            <w:vAlign w:val="center"/>
            <w:hideMark/>
          </w:tcPr>
          <w:p w14:paraId="3CA5F1D7" w14:textId="77777777" w:rsidR="007C08A8" w:rsidRPr="003209AE" w:rsidRDefault="007C08A8" w:rsidP="00305505">
            <w:pPr>
              <w:spacing w:after="0" w:line="240" w:lineRule="auto"/>
              <w:ind w:right="-150"/>
              <w:jc w:val="both"/>
              <w:rPr>
                <w:rFonts w:ascii="Times New Roman" w:eastAsia="Times New Roman" w:hAnsi="Times New Roman" w:cs="Times New Roman"/>
              </w:rPr>
            </w:pPr>
            <w:r w:rsidRPr="003209AE">
              <w:rPr>
                <w:rFonts w:ascii="Times New Roman" w:eastAsia="Times New Roman" w:hAnsi="Times New Roman" w:cs="Times New Roman"/>
              </w:rPr>
              <w:t>Days to maturity</w:t>
            </w:r>
          </w:p>
        </w:tc>
        <w:tc>
          <w:tcPr>
            <w:tcW w:w="290" w:type="pct"/>
            <w:noWrap/>
            <w:vAlign w:val="center"/>
            <w:hideMark/>
          </w:tcPr>
          <w:p w14:paraId="453B894A"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48</w:t>
            </w:r>
          </w:p>
        </w:tc>
        <w:tc>
          <w:tcPr>
            <w:tcW w:w="290" w:type="pct"/>
            <w:noWrap/>
            <w:vAlign w:val="center"/>
            <w:hideMark/>
          </w:tcPr>
          <w:p w14:paraId="180EC0F7"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53</w:t>
            </w:r>
          </w:p>
        </w:tc>
        <w:tc>
          <w:tcPr>
            <w:tcW w:w="290" w:type="pct"/>
            <w:noWrap/>
            <w:vAlign w:val="center"/>
            <w:hideMark/>
          </w:tcPr>
          <w:p w14:paraId="090D787C"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39</w:t>
            </w:r>
          </w:p>
        </w:tc>
        <w:tc>
          <w:tcPr>
            <w:tcW w:w="291" w:type="pct"/>
            <w:noWrap/>
            <w:vAlign w:val="center"/>
            <w:hideMark/>
          </w:tcPr>
          <w:p w14:paraId="64D3DBBA"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79</w:t>
            </w:r>
          </w:p>
        </w:tc>
        <w:tc>
          <w:tcPr>
            <w:tcW w:w="338" w:type="pct"/>
            <w:noWrap/>
            <w:vAlign w:val="center"/>
            <w:hideMark/>
          </w:tcPr>
          <w:p w14:paraId="2EA14EA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2.04</w:t>
            </w:r>
          </w:p>
        </w:tc>
        <w:tc>
          <w:tcPr>
            <w:tcW w:w="387" w:type="pct"/>
            <w:noWrap/>
            <w:vAlign w:val="center"/>
            <w:hideMark/>
          </w:tcPr>
          <w:p w14:paraId="7D524B14"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2.39</w:t>
            </w:r>
          </w:p>
        </w:tc>
        <w:tc>
          <w:tcPr>
            <w:tcW w:w="338" w:type="pct"/>
            <w:noWrap/>
            <w:vAlign w:val="center"/>
            <w:hideMark/>
          </w:tcPr>
          <w:p w14:paraId="5917413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1.78</w:t>
            </w:r>
          </w:p>
        </w:tc>
        <w:tc>
          <w:tcPr>
            <w:tcW w:w="340" w:type="pct"/>
            <w:noWrap/>
            <w:vAlign w:val="center"/>
            <w:hideMark/>
          </w:tcPr>
          <w:p w14:paraId="6C2EAE7A"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2.10</w:t>
            </w:r>
          </w:p>
        </w:tc>
        <w:tc>
          <w:tcPr>
            <w:tcW w:w="290" w:type="pct"/>
            <w:noWrap/>
            <w:vAlign w:val="center"/>
            <w:hideMark/>
          </w:tcPr>
          <w:p w14:paraId="55E87F0C"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1.90</w:t>
            </w:r>
          </w:p>
        </w:tc>
        <w:tc>
          <w:tcPr>
            <w:tcW w:w="290" w:type="pct"/>
            <w:noWrap/>
            <w:vAlign w:val="center"/>
            <w:hideMark/>
          </w:tcPr>
          <w:p w14:paraId="535ECB98"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2.26</w:t>
            </w:r>
          </w:p>
        </w:tc>
        <w:tc>
          <w:tcPr>
            <w:tcW w:w="387" w:type="pct"/>
            <w:noWrap/>
            <w:vAlign w:val="center"/>
            <w:hideMark/>
          </w:tcPr>
          <w:p w14:paraId="76B5770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1.67</w:t>
            </w:r>
          </w:p>
        </w:tc>
        <w:tc>
          <w:tcPr>
            <w:tcW w:w="405" w:type="pct"/>
            <w:noWrap/>
            <w:vAlign w:val="center"/>
            <w:hideMark/>
          </w:tcPr>
          <w:p w14:paraId="2AA5696B"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1.97</w:t>
            </w:r>
          </w:p>
        </w:tc>
      </w:tr>
      <w:tr w:rsidR="007C08A8" w:rsidRPr="003209AE" w14:paraId="1C121D03" w14:textId="77777777" w:rsidTr="00B676B8">
        <w:trPr>
          <w:trHeight w:val="20"/>
          <w:jc w:val="center"/>
        </w:trPr>
        <w:tc>
          <w:tcPr>
            <w:tcW w:w="1064" w:type="pct"/>
            <w:noWrap/>
            <w:vAlign w:val="center"/>
            <w:hideMark/>
          </w:tcPr>
          <w:p w14:paraId="2FA7E204" w14:textId="77777777" w:rsidR="007C08A8" w:rsidRPr="003209AE" w:rsidRDefault="007C08A8" w:rsidP="00305505">
            <w:pPr>
              <w:spacing w:after="0" w:line="240" w:lineRule="auto"/>
              <w:ind w:right="-150"/>
              <w:jc w:val="both"/>
              <w:rPr>
                <w:rFonts w:ascii="Times New Roman" w:eastAsia="Times New Roman" w:hAnsi="Times New Roman" w:cs="Times New Roman"/>
              </w:rPr>
            </w:pPr>
            <w:r w:rsidRPr="003209AE">
              <w:rPr>
                <w:rFonts w:ascii="Times New Roman" w:eastAsia="Times New Roman" w:hAnsi="Times New Roman" w:cs="Times New Roman"/>
              </w:rPr>
              <w:t>100 seed weight (g)</w:t>
            </w:r>
          </w:p>
        </w:tc>
        <w:tc>
          <w:tcPr>
            <w:tcW w:w="290" w:type="pct"/>
            <w:noWrap/>
            <w:vAlign w:val="center"/>
            <w:hideMark/>
          </w:tcPr>
          <w:p w14:paraId="5696741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83</w:t>
            </w:r>
          </w:p>
        </w:tc>
        <w:tc>
          <w:tcPr>
            <w:tcW w:w="290" w:type="pct"/>
            <w:noWrap/>
            <w:vAlign w:val="center"/>
            <w:hideMark/>
          </w:tcPr>
          <w:p w14:paraId="64F1735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84</w:t>
            </w:r>
          </w:p>
        </w:tc>
        <w:tc>
          <w:tcPr>
            <w:tcW w:w="290" w:type="pct"/>
            <w:noWrap/>
            <w:vAlign w:val="center"/>
            <w:hideMark/>
          </w:tcPr>
          <w:p w14:paraId="1DE3E080"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82</w:t>
            </w:r>
          </w:p>
        </w:tc>
        <w:tc>
          <w:tcPr>
            <w:tcW w:w="291" w:type="pct"/>
            <w:noWrap/>
            <w:vAlign w:val="center"/>
            <w:hideMark/>
          </w:tcPr>
          <w:p w14:paraId="4A2851E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90</w:t>
            </w:r>
          </w:p>
        </w:tc>
        <w:tc>
          <w:tcPr>
            <w:tcW w:w="338" w:type="pct"/>
            <w:noWrap/>
            <w:vAlign w:val="center"/>
            <w:hideMark/>
          </w:tcPr>
          <w:p w14:paraId="07DC29F3"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0.55</w:t>
            </w:r>
          </w:p>
        </w:tc>
        <w:tc>
          <w:tcPr>
            <w:tcW w:w="387" w:type="pct"/>
            <w:noWrap/>
            <w:vAlign w:val="center"/>
            <w:hideMark/>
          </w:tcPr>
          <w:p w14:paraId="244206E0"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0.55</w:t>
            </w:r>
          </w:p>
        </w:tc>
        <w:tc>
          <w:tcPr>
            <w:tcW w:w="338" w:type="pct"/>
            <w:noWrap/>
            <w:vAlign w:val="center"/>
            <w:hideMark/>
          </w:tcPr>
          <w:p w14:paraId="140E90A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0.49</w:t>
            </w:r>
          </w:p>
        </w:tc>
        <w:tc>
          <w:tcPr>
            <w:tcW w:w="340" w:type="pct"/>
            <w:noWrap/>
            <w:vAlign w:val="center"/>
            <w:hideMark/>
          </w:tcPr>
          <w:p w14:paraId="0DD0F366"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0.53</w:t>
            </w:r>
          </w:p>
        </w:tc>
        <w:tc>
          <w:tcPr>
            <w:tcW w:w="290" w:type="pct"/>
            <w:noWrap/>
            <w:vAlign w:val="center"/>
            <w:hideMark/>
          </w:tcPr>
          <w:p w14:paraId="24164C86"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18.92</w:t>
            </w:r>
          </w:p>
        </w:tc>
        <w:tc>
          <w:tcPr>
            <w:tcW w:w="290" w:type="pct"/>
            <w:noWrap/>
            <w:vAlign w:val="center"/>
            <w:hideMark/>
          </w:tcPr>
          <w:p w14:paraId="06827A90"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19.02</w:t>
            </w:r>
          </w:p>
        </w:tc>
        <w:tc>
          <w:tcPr>
            <w:tcW w:w="387" w:type="pct"/>
            <w:noWrap/>
            <w:vAlign w:val="center"/>
            <w:hideMark/>
          </w:tcPr>
          <w:p w14:paraId="56A49D89"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16.57</w:t>
            </w:r>
          </w:p>
        </w:tc>
        <w:tc>
          <w:tcPr>
            <w:tcW w:w="405" w:type="pct"/>
            <w:noWrap/>
            <w:vAlign w:val="center"/>
            <w:hideMark/>
          </w:tcPr>
          <w:p w14:paraId="043C6598"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18.04</w:t>
            </w:r>
          </w:p>
        </w:tc>
      </w:tr>
      <w:tr w:rsidR="007C08A8" w:rsidRPr="003209AE" w14:paraId="0B50E6E8" w14:textId="77777777" w:rsidTr="00B676B8">
        <w:trPr>
          <w:trHeight w:val="20"/>
          <w:jc w:val="center"/>
        </w:trPr>
        <w:tc>
          <w:tcPr>
            <w:tcW w:w="1064" w:type="pct"/>
            <w:noWrap/>
            <w:vAlign w:val="center"/>
            <w:hideMark/>
          </w:tcPr>
          <w:p w14:paraId="7DEFB6AE" w14:textId="77777777" w:rsidR="007C08A8" w:rsidRPr="003209AE" w:rsidRDefault="007C08A8" w:rsidP="00305505">
            <w:pPr>
              <w:spacing w:after="0" w:line="240" w:lineRule="auto"/>
              <w:ind w:right="-150"/>
              <w:jc w:val="both"/>
              <w:rPr>
                <w:rFonts w:ascii="Times New Roman" w:eastAsia="Times New Roman" w:hAnsi="Times New Roman" w:cs="Times New Roman"/>
              </w:rPr>
            </w:pPr>
            <w:r w:rsidRPr="003209AE">
              <w:rPr>
                <w:rFonts w:ascii="Times New Roman" w:eastAsia="Times New Roman" w:hAnsi="Times New Roman" w:cs="Times New Roman"/>
              </w:rPr>
              <w:t xml:space="preserve">Grain yield </w:t>
            </w:r>
            <w:r w:rsidRPr="003209AE">
              <w:rPr>
                <w:rFonts w:ascii="Times New Roman" w:eastAsia="Times New Roman" w:hAnsi="Times New Roman" w:cs="Times New Roman"/>
                <w:spacing w:val="6"/>
              </w:rPr>
              <w:t>(kg ha</w:t>
            </w:r>
            <w:r w:rsidRPr="003209AE">
              <w:rPr>
                <w:rFonts w:ascii="Times New Roman" w:eastAsia="Times New Roman" w:hAnsi="Times New Roman" w:cs="Times New Roman"/>
                <w:spacing w:val="6"/>
                <w:vertAlign w:val="superscript"/>
              </w:rPr>
              <w:t>-1</w:t>
            </w:r>
            <w:r w:rsidRPr="003209AE">
              <w:rPr>
                <w:rFonts w:ascii="Times New Roman" w:eastAsia="Times New Roman" w:hAnsi="Times New Roman" w:cs="Times New Roman"/>
                <w:spacing w:val="6"/>
              </w:rPr>
              <w:t>)</w:t>
            </w:r>
          </w:p>
        </w:tc>
        <w:tc>
          <w:tcPr>
            <w:tcW w:w="290" w:type="pct"/>
            <w:noWrap/>
            <w:vAlign w:val="center"/>
            <w:hideMark/>
          </w:tcPr>
          <w:p w14:paraId="7040330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79</w:t>
            </w:r>
          </w:p>
        </w:tc>
        <w:tc>
          <w:tcPr>
            <w:tcW w:w="290" w:type="pct"/>
            <w:noWrap/>
            <w:vAlign w:val="center"/>
            <w:hideMark/>
          </w:tcPr>
          <w:p w14:paraId="69F3BE68"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86</w:t>
            </w:r>
          </w:p>
        </w:tc>
        <w:tc>
          <w:tcPr>
            <w:tcW w:w="290" w:type="pct"/>
            <w:noWrap/>
            <w:vAlign w:val="center"/>
            <w:hideMark/>
          </w:tcPr>
          <w:p w14:paraId="46DC94A4"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87</w:t>
            </w:r>
          </w:p>
        </w:tc>
        <w:tc>
          <w:tcPr>
            <w:tcW w:w="291" w:type="pct"/>
            <w:noWrap/>
            <w:vAlign w:val="center"/>
            <w:hideMark/>
          </w:tcPr>
          <w:p w14:paraId="173F30E5"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92</w:t>
            </w:r>
          </w:p>
        </w:tc>
        <w:tc>
          <w:tcPr>
            <w:tcW w:w="338" w:type="pct"/>
            <w:noWrap/>
            <w:vAlign w:val="center"/>
            <w:hideMark/>
          </w:tcPr>
          <w:p w14:paraId="6E438872"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761.78</w:t>
            </w:r>
          </w:p>
        </w:tc>
        <w:tc>
          <w:tcPr>
            <w:tcW w:w="387" w:type="pct"/>
            <w:noWrap/>
            <w:vAlign w:val="center"/>
            <w:hideMark/>
          </w:tcPr>
          <w:p w14:paraId="2FD673A7"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752.88</w:t>
            </w:r>
          </w:p>
        </w:tc>
        <w:tc>
          <w:tcPr>
            <w:tcW w:w="338" w:type="pct"/>
            <w:noWrap/>
            <w:vAlign w:val="center"/>
            <w:hideMark/>
          </w:tcPr>
          <w:p w14:paraId="511F996B"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1012.72</w:t>
            </w:r>
          </w:p>
        </w:tc>
        <w:tc>
          <w:tcPr>
            <w:tcW w:w="340" w:type="pct"/>
            <w:noWrap/>
            <w:vAlign w:val="center"/>
            <w:hideMark/>
          </w:tcPr>
          <w:p w14:paraId="444D9036"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839.12</w:t>
            </w:r>
          </w:p>
        </w:tc>
        <w:tc>
          <w:tcPr>
            <w:tcW w:w="290" w:type="pct"/>
            <w:noWrap/>
            <w:vAlign w:val="center"/>
            <w:hideMark/>
          </w:tcPr>
          <w:p w14:paraId="6EA2487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24.24</w:t>
            </w:r>
          </w:p>
        </w:tc>
        <w:tc>
          <w:tcPr>
            <w:tcW w:w="290" w:type="pct"/>
            <w:noWrap/>
            <w:vAlign w:val="center"/>
            <w:hideMark/>
          </w:tcPr>
          <w:p w14:paraId="62C42B04"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25.64</w:t>
            </w:r>
          </w:p>
        </w:tc>
        <w:tc>
          <w:tcPr>
            <w:tcW w:w="387" w:type="pct"/>
            <w:noWrap/>
            <w:vAlign w:val="center"/>
            <w:hideMark/>
          </w:tcPr>
          <w:p w14:paraId="1AB33476"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34.56</w:t>
            </w:r>
          </w:p>
        </w:tc>
        <w:tc>
          <w:tcPr>
            <w:tcW w:w="405" w:type="pct"/>
            <w:noWrap/>
            <w:vAlign w:val="center"/>
            <w:hideMark/>
          </w:tcPr>
          <w:p w14:paraId="67F05DF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27.69</w:t>
            </w:r>
          </w:p>
        </w:tc>
      </w:tr>
      <w:tr w:rsidR="007C08A8" w:rsidRPr="003209AE" w14:paraId="27ECC841" w14:textId="77777777" w:rsidTr="00B676B8">
        <w:trPr>
          <w:trHeight w:val="20"/>
          <w:jc w:val="center"/>
        </w:trPr>
        <w:tc>
          <w:tcPr>
            <w:tcW w:w="1064" w:type="pct"/>
            <w:noWrap/>
            <w:vAlign w:val="center"/>
            <w:hideMark/>
          </w:tcPr>
          <w:p w14:paraId="39B70B87" w14:textId="77777777" w:rsidR="007C08A8" w:rsidRPr="003209AE" w:rsidRDefault="007C08A8" w:rsidP="00305505">
            <w:pPr>
              <w:spacing w:after="0" w:line="240" w:lineRule="auto"/>
              <w:ind w:right="-150"/>
              <w:jc w:val="both"/>
              <w:rPr>
                <w:rFonts w:ascii="Times New Roman" w:eastAsia="Times New Roman" w:hAnsi="Times New Roman" w:cs="Times New Roman"/>
              </w:rPr>
            </w:pPr>
            <w:r w:rsidRPr="003209AE">
              <w:rPr>
                <w:rFonts w:ascii="Times New Roman" w:eastAsia="Times New Roman" w:hAnsi="Times New Roman" w:cs="Times New Roman"/>
              </w:rPr>
              <w:t xml:space="preserve">Dry fodder </w:t>
            </w:r>
            <w:proofErr w:type="gramStart"/>
            <w:r w:rsidRPr="003209AE">
              <w:rPr>
                <w:rFonts w:ascii="Times New Roman" w:eastAsia="Times New Roman" w:hAnsi="Times New Roman" w:cs="Times New Roman"/>
              </w:rPr>
              <w:t xml:space="preserve">yield  </w:t>
            </w:r>
            <w:r w:rsidRPr="003209AE">
              <w:rPr>
                <w:rFonts w:ascii="Times New Roman" w:eastAsia="Times New Roman" w:hAnsi="Times New Roman" w:cs="Times New Roman"/>
                <w:spacing w:val="6"/>
              </w:rPr>
              <w:t>(</w:t>
            </w:r>
            <w:proofErr w:type="gramEnd"/>
            <w:r w:rsidRPr="003209AE">
              <w:rPr>
                <w:rFonts w:ascii="Times New Roman" w:eastAsia="Times New Roman" w:hAnsi="Times New Roman" w:cs="Times New Roman"/>
                <w:spacing w:val="6"/>
              </w:rPr>
              <w:t>kg ha</w:t>
            </w:r>
            <w:r w:rsidRPr="003209AE">
              <w:rPr>
                <w:rFonts w:ascii="Times New Roman" w:eastAsia="Times New Roman" w:hAnsi="Times New Roman" w:cs="Times New Roman"/>
                <w:spacing w:val="6"/>
                <w:vertAlign w:val="superscript"/>
              </w:rPr>
              <w:t>-1</w:t>
            </w:r>
            <w:r w:rsidRPr="003209AE">
              <w:rPr>
                <w:rFonts w:ascii="Times New Roman" w:eastAsia="Times New Roman" w:hAnsi="Times New Roman" w:cs="Times New Roman"/>
                <w:spacing w:val="6"/>
              </w:rPr>
              <w:t>)</w:t>
            </w:r>
          </w:p>
        </w:tc>
        <w:tc>
          <w:tcPr>
            <w:tcW w:w="290" w:type="pct"/>
            <w:noWrap/>
            <w:vAlign w:val="center"/>
            <w:hideMark/>
          </w:tcPr>
          <w:p w14:paraId="3E420B3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50</w:t>
            </w:r>
          </w:p>
        </w:tc>
        <w:tc>
          <w:tcPr>
            <w:tcW w:w="290" w:type="pct"/>
            <w:noWrap/>
            <w:vAlign w:val="center"/>
            <w:hideMark/>
          </w:tcPr>
          <w:p w14:paraId="06B425C7"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71</w:t>
            </w:r>
          </w:p>
        </w:tc>
        <w:tc>
          <w:tcPr>
            <w:tcW w:w="290" w:type="pct"/>
            <w:noWrap/>
            <w:vAlign w:val="center"/>
            <w:hideMark/>
          </w:tcPr>
          <w:p w14:paraId="481A080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58</w:t>
            </w:r>
          </w:p>
        </w:tc>
        <w:tc>
          <w:tcPr>
            <w:tcW w:w="291" w:type="pct"/>
            <w:noWrap/>
            <w:vAlign w:val="center"/>
            <w:hideMark/>
          </w:tcPr>
          <w:p w14:paraId="29B1D77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58</w:t>
            </w:r>
          </w:p>
        </w:tc>
        <w:tc>
          <w:tcPr>
            <w:tcW w:w="338" w:type="pct"/>
            <w:noWrap/>
            <w:vAlign w:val="center"/>
            <w:hideMark/>
          </w:tcPr>
          <w:p w14:paraId="26A4E167"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1350.19</w:t>
            </w:r>
          </w:p>
        </w:tc>
        <w:tc>
          <w:tcPr>
            <w:tcW w:w="387" w:type="pct"/>
            <w:noWrap/>
            <w:vAlign w:val="center"/>
            <w:hideMark/>
          </w:tcPr>
          <w:p w14:paraId="1E680416"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1610.86</w:t>
            </w:r>
          </w:p>
        </w:tc>
        <w:tc>
          <w:tcPr>
            <w:tcW w:w="338" w:type="pct"/>
            <w:noWrap/>
            <w:vAlign w:val="center"/>
            <w:hideMark/>
          </w:tcPr>
          <w:p w14:paraId="17718767"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1068.96</w:t>
            </w:r>
          </w:p>
        </w:tc>
        <w:tc>
          <w:tcPr>
            <w:tcW w:w="340" w:type="pct"/>
            <w:noWrap/>
            <w:vAlign w:val="center"/>
            <w:hideMark/>
          </w:tcPr>
          <w:p w14:paraId="796431D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1001.23</w:t>
            </w:r>
          </w:p>
        </w:tc>
        <w:tc>
          <w:tcPr>
            <w:tcW w:w="290" w:type="pct"/>
            <w:noWrap/>
            <w:vAlign w:val="center"/>
            <w:hideMark/>
          </w:tcPr>
          <w:p w14:paraId="13D9D503"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16.26</w:t>
            </w:r>
          </w:p>
        </w:tc>
        <w:tc>
          <w:tcPr>
            <w:tcW w:w="290" w:type="pct"/>
            <w:noWrap/>
            <w:vAlign w:val="center"/>
            <w:hideMark/>
          </w:tcPr>
          <w:p w14:paraId="26CD92F5"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19.99</w:t>
            </w:r>
          </w:p>
        </w:tc>
        <w:tc>
          <w:tcPr>
            <w:tcW w:w="387" w:type="pct"/>
            <w:noWrap/>
            <w:vAlign w:val="center"/>
            <w:hideMark/>
          </w:tcPr>
          <w:p w14:paraId="378B83B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12.87</w:t>
            </w:r>
          </w:p>
        </w:tc>
        <w:tc>
          <w:tcPr>
            <w:tcW w:w="405" w:type="pct"/>
            <w:noWrap/>
            <w:vAlign w:val="center"/>
            <w:hideMark/>
          </w:tcPr>
          <w:p w14:paraId="7E47EA19"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12.23</w:t>
            </w:r>
          </w:p>
        </w:tc>
      </w:tr>
    </w:tbl>
    <w:p w14:paraId="41CB332A" w14:textId="77777777" w:rsidR="007C08A8" w:rsidRPr="003209AE" w:rsidRDefault="007C08A8" w:rsidP="00B676B8">
      <w:pPr>
        <w:spacing w:line="240" w:lineRule="auto"/>
        <w:jc w:val="both"/>
        <w:rPr>
          <w:rFonts w:ascii="Times New Roman" w:hAnsi="Times New Roman" w:cs="Times New Roman"/>
        </w:rPr>
      </w:pPr>
      <w:r w:rsidRPr="003209AE">
        <w:rPr>
          <w:rFonts w:ascii="Times New Roman" w:hAnsi="Times New Roman" w:cs="Times New Roman"/>
        </w:rPr>
        <w:t>N=</w:t>
      </w:r>
      <w:proofErr w:type="spellStart"/>
      <w:r w:rsidRPr="003209AE">
        <w:rPr>
          <w:rFonts w:ascii="Times New Roman" w:hAnsi="Times New Roman" w:cs="Times New Roman"/>
        </w:rPr>
        <w:t>Nandyal</w:t>
      </w:r>
      <w:proofErr w:type="spellEnd"/>
      <w:r w:rsidRPr="003209AE">
        <w:rPr>
          <w:rFonts w:ascii="Times New Roman" w:hAnsi="Times New Roman" w:cs="Times New Roman"/>
        </w:rPr>
        <w:t xml:space="preserve">    P=</w:t>
      </w:r>
      <w:proofErr w:type="spellStart"/>
      <w:r w:rsidRPr="003209AE">
        <w:rPr>
          <w:rFonts w:ascii="Times New Roman" w:hAnsi="Times New Roman" w:cs="Times New Roman"/>
        </w:rPr>
        <w:t>Podalakur</w:t>
      </w:r>
      <w:proofErr w:type="spellEnd"/>
      <w:r w:rsidRPr="003209AE">
        <w:rPr>
          <w:rFonts w:ascii="Times New Roman" w:hAnsi="Times New Roman" w:cs="Times New Roman"/>
        </w:rPr>
        <w:t xml:space="preserve">    G=Guntur</w:t>
      </w:r>
    </w:p>
    <w:p w14:paraId="2B76AC06"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02B22CE3"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0870B79E"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6740CFE3"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3C741DBC"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4DA57D87"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60CD81C7"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46F8920C"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4907BFA2"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494F8B8F" w14:textId="77777777" w:rsidR="00F65A23" w:rsidRPr="003209AE" w:rsidRDefault="00F65A23" w:rsidP="00305505">
      <w:pPr>
        <w:tabs>
          <w:tab w:val="left" w:pos="7513"/>
        </w:tabs>
        <w:ind w:left="1134" w:hanging="1296"/>
        <w:jc w:val="both"/>
        <w:rPr>
          <w:rFonts w:ascii="Times New Roman" w:hAnsi="Times New Roman" w:cs="Times New Roman"/>
          <w:b/>
          <w:bCs/>
          <w:sz w:val="24"/>
          <w:szCs w:val="24"/>
        </w:rPr>
      </w:pPr>
    </w:p>
    <w:p w14:paraId="0BA9C166" w14:textId="77777777" w:rsidR="00F65A23" w:rsidRPr="003209AE" w:rsidRDefault="00F65A23" w:rsidP="00305505">
      <w:pPr>
        <w:tabs>
          <w:tab w:val="left" w:pos="7513"/>
        </w:tabs>
        <w:ind w:left="1134" w:hanging="1296"/>
        <w:jc w:val="both"/>
        <w:rPr>
          <w:rFonts w:ascii="Times New Roman" w:hAnsi="Times New Roman" w:cs="Times New Roman"/>
          <w:b/>
          <w:bCs/>
          <w:sz w:val="24"/>
          <w:szCs w:val="24"/>
        </w:rPr>
      </w:pPr>
    </w:p>
    <w:p w14:paraId="0A6D0E5F" w14:textId="77777777" w:rsidR="00D45858" w:rsidRPr="003209AE" w:rsidRDefault="00026681" w:rsidP="00305505">
      <w:pPr>
        <w:tabs>
          <w:tab w:val="left" w:pos="7513"/>
        </w:tabs>
        <w:ind w:left="1134" w:hanging="1296"/>
        <w:jc w:val="both"/>
        <w:rPr>
          <w:rFonts w:ascii="Times New Roman" w:hAnsi="Times New Roman" w:cs="Times New Roman"/>
          <w:b/>
          <w:bCs/>
          <w:sz w:val="24"/>
          <w:szCs w:val="24"/>
        </w:rPr>
      </w:pPr>
      <w:r w:rsidRPr="003209AE">
        <w:rPr>
          <w:rFonts w:ascii="Times New Roman" w:hAnsi="Times New Roman" w:cs="Times New Roman"/>
          <w:b/>
          <w:bCs/>
          <w:sz w:val="24"/>
          <w:szCs w:val="24"/>
        </w:rPr>
        <w:t>Table</w:t>
      </w:r>
      <w:r w:rsidR="00D45858" w:rsidRPr="003209AE">
        <w:rPr>
          <w:rFonts w:ascii="Times New Roman" w:hAnsi="Times New Roman" w:cs="Times New Roman"/>
          <w:b/>
          <w:bCs/>
          <w:sz w:val="24"/>
          <w:szCs w:val="24"/>
        </w:rPr>
        <w:t xml:space="preserve"> </w:t>
      </w:r>
      <w:r w:rsidR="006A1F9F" w:rsidRPr="003209AE">
        <w:rPr>
          <w:rFonts w:ascii="Times New Roman" w:hAnsi="Times New Roman" w:cs="Times New Roman"/>
          <w:b/>
          <w:bCs/>
          <w:sz w:val="24"/>
          <w:szCs w:val="24"/>
        </w:rPr>
        <w:t xml:space="preserve">8. </w:t>
      </w:r>
      <w:r w:rsidR="00D45858" w:rsidRPr="003209AE">
        <w:rPr>
          <w:rFonts w:ascii="Times New Roman" w:hAnsi="Times New Roman" w:cs="Times New Roman"/>
          <w:b/>
          <w:bCs/>
          <w:sz w:val="24"/>
          <w:szCs w:val="24"/>
        </w:rPr>
        <w:t xml:space="preserve">Estimation of </w:t>
      </w:r>
      <w:r w:rsidR="00D45858" w:rsidRPr="003209AE">
        <w:rPr>
          <w:rFonts w:ascii="Times New Roman" w:eastAsia="Times New Roman" w:hAnsi="Times New Roman" w:cs="Times New Roman"/>
          <w:b/>
          <w:bCs/>
          <w:sz w:val="24"/>
          <w:szCs w:val="24"/>
        </w:rPr>
        <w:t>genetic parameters</w:t>
      </w:r>
      <w:r w:rsidR="00D45858" w:rsidRPr="003209AE">
        <w:rPr>
          <w:rFonts w:ascii="Times New Roman" w:hAnsi="Times New Roman" w:cs="Times New Roman"/>
          <w:b/>
          <w:bCs/>
          <w:sz w:val="24"/>
          <w:szCs w:val="24"/>
        </w:rPr>
        <w:t xml:space="preserve"> for physiological traits in sorghum during </w:t>
      </w:r>
      <w:r w:rsidR="00D45858" w:rsidRPr="003209AE">
        <w:rPr>
          <w:rFonts w:ascii="Times New Roman" w:hAnsi="Times New Roman" w:cs="Times New Roman"/>
          <w:b/>
          <w:bCs/>
          <w:i/>
          <w:iCs/>
          <w:sz w:val="24"/>
          <w:szCs w:val="24"/>
        </w:rPr>
        <w:t>summer</w:t>
      </w:r>
      <w:r w:rsidR="00D45858" w:rsidRPr="003209AE">
        <w:rPr>
          <w:rFonts w:ascii="Times New Roman" w:hAnsi="Times New Roman" w:cs="Times New Roman"/>
          <w:b/>
          <w:bCs/>
          <w:i/>
          <w:sz w:val="24"/>
          <w:szCs w:val="24"/>
        </w:rPr>
        <w:t xml:space="preserve"> </w:t>
      </w:r>
      <w:r w:rsidR="00D45858" w:rsidRPr="003209AE">
        <w:rPr>
          <w:rFonts w:ascii="Times New Roman" w:hAnsi="Times New Roman" w:cs="Times New Roman"/>
          <w:b/>
          <w:bCs/>
          <w:sz w:val="24"/>
          <w:szCs w:val="24"/>
        </w:rPr>
        <w:t xml:space="preserve">2022, </w:t>
      </w:r>
      <w:r w:rsidR="00D45858" w:rsidRPr="003209AE">
        <w:rPr>
          <w:rFonts w:ascii="Times New Roman" w:hAnsi="Times New Roman" w:cs="Times New Roman"/>
          <w:b/>
          <w:bCs/>
          <w:i/>
          <w:iCs/>
          <w:sz w:val="24"/>
          <w:szCs w:val="24"/>
        </w:rPr>
        <w:t>summer</w:t>
      </w:r>
      <w:r w:rsidR="00D45858" w:rsidRPr="003209AE">
        <w:rPr>
          <w:rFonts w:ascii="Times New Roman" w:hAnsi="Times New Roman" w:cs="Times New Roman"/>
          <w:b/>
          <w:bCs/>
          <w:sz w:val="24"/>
          <w:szCs w:val="24"/>
        </w:rPr>
        <w:t xml:space="preserve"> 2023 and pooled </w:t>
      </w:r>
      <w:r w:rsidR="00305505" w:rsidRPr="003209AE">
        <w:rPr>
          <w:rFonts w:ascii="Times New Roman" w:hAnsi="Times New Roman" w:cs="Times New Roman"/>
          <w:b/>
          <w:bCs/>
          <w:sz w:val="24"/>
          <w:szCs w:val="24"/>
        </w:rPr>
        <w:t xml:space="preserve">over </w:t>
      </w:r>
      <w:r w:rsidR="00D45858" w:rsidRPr="003209AE">
        <w:rPr>
          <w:rFonts w:ascii="Times New Roman" w:hAnsi="Times New Roman" w:cs="Times New Roman"/>
          <w:b/>
          <w:bCs/>
          <w:sz w:val="24"/>
          <w:szCs w:val="24"/>
        </w:rPr>
        <w:t xml:space="preserve">seasons at </w:t>
      </w:r>
      <w:proofErr w:type="spellStart"/>
      <w:r w:rsidR="00D45858" w:rsidRPr="003209AE">
        <w:rPr>
          <w:rFonts w:ascii="Times New Roman" w:hAnsi="Times New Roman" w:cs="Times New Roman"/>
          <w:b/>
          <w:bCs/>
          <w:sz w:val="24"/>
          <w:szCs w:val="24"/>
        </w:rPr>
        <w:t>Nandyal</w:t>
      </w:r>
      <w:proofErr w:type="spellEnd"/>
      <w:r w:rsidR="00D45858" w:rsidRPr="003209AE">
        <w:rPr>
          <w:rFonts w:ascii="Times New Roman" w:hAnsi="Times New Roman" w:cs="Times New Roman"/>
          <w:b/>
          <w:bCs/>
          <w:sz w:val="24"/>
          <w:szCs w:val="24"/>
        </w:rPr>
        <w:t xml:space="preserve"> </w:t>
      </w:r>
    </w:p>
    <w:tbl>
      <w:tblPr>
        <w:tblW w:w="5113" w:type="pct"/>
        <w:jc w:val="center"/>
        <w:tblLayout w:type="fixed"/>
        <w:tblLook w:val="04A0" w:firstRow="1" w:lastRow="0" w:firstColumn="1" w:lastColumn="0" w:noHBand="0" w:noVBand="1"/>
      </w:tblPr>
      <w:tblGrid>
        <w:gridCol w:w="822"/>
        <w:gridCol w:w="1674"/>
        <w:gridCol w:w="2930"/>
        <w:gridCol w:w="1115"/>
        <w:gridCol w:w="1081"/>
        <w:gridCol w:w="2077"/>
        <w:gridCol w:w="1937"/>
        <w:gridCol w:w="2627"/>
      </w:tblGrid>
      <w:tr w:rsidR="00D45858" w:rsidRPr="005710DA" w14:paraId="633A4496" w14:textId="77777777" w:rsidTr="00B22435">
        <w:trPr>
          <w:trHeight w:val="979"/>
          <w:jc w:val="center"/>
        </w:trPr>
        <w:tc>
          <w:tcPr>
            <w:tcW w:w="288" w:type="pct"/>
            <w:tcBorders>
              <w:top w:val="single" w:sz="4" w:space="0" w:color="auto"/>
              <w:left w:val="single" w:sz="4" w:space="0" w:color="auto"/>
              <w:bottom w:val="single" w:sz="4" w:space="0" w:color="auto"/>
              <w:right w:val="single" w:sz="4" w:space="0" w:color="auto"/>
            </w:tcBorders>
            <w:vAlign w:val="center"/>
            <w:hideMark/>
          </w:tcPr>
          <w:p w14:paraId="14CCFB5A" w14:textId="77777777" w:rsidR="00D45858" w:rsidRPr="005710DA" w:rsidRDefault="00D45858" w:rsidP="00305505">
            <w:pPr>
              <w:spacing w:after="0" w:line="240" w:lineRule="auto"/>
              <w:jc w:val="center"/>
              <w:rPr>
                <w:rFonts w:ascii="Times New Roman" w:eastAsia="Times New Roman" w:hAnsi="Times New Roman" w:cs="Times New Roman"/>
                <w:b/>
                <w:bCs/>
              </w:rPr>
            </w:pPr>
            <w:proofErr w:type="spellStart"/>
            <w:r w:rsidRPr="005710DA">
              <w:rPr>
                <w:rFonts w:ascii="Times New Roman" w:eastAsia="Times New Roman" w:hAnsi="Times New Roman" w:cs="Times New Roman"/>
                <w:b/>
                <w:bCs/>
              </w:rPr>
              <w:t>S.No</w:t>
            </w:r>
            <w:proofErr w:type="spellEnd"/>
            <w:r w:rsidRPr="005710DA">
              <w:rPr>
                <w:rFonts w:ascii="Times New Roman" w:eastAsia="Times New Roman" w:hAnsi="Times New Roman" w:cs="Times New Roman"/>
                <w:b/>
                <w:bCs/>
              </w:rPr>
              <w:t>.</w:t>
            </w:r>
          </w:p>
        </w:tc>
        <w:tc>
          <w:tcPr>
            <w:tcW w:w="587" w:type="pct"/>
            <w:tcBorders>
              <w:top w:val="single" w:sz="4" w:space="0" w:color="auto"/>
              <w:left w:val="nil"/>
              <w:bottom w:val="single" w:sz="4" w:space="0" w:color="auto"/>
              <w:right w:val="single" w:sz="4" w:space="0" w:color="auto"/>
            </w:tcBorders>
          </w:tcPr>
          <w:p w14:paraId="16D35EF3" w14:textId="77777777" w:rsidR="00D45858" w:rsidRPr="005710DA" w:rsidRDefault="00D45858" w:rsidP="00305505">
            <w:pPr>
              <w:spacing w:after="0" w:line="240" w:lineRule="auto"/>
              <w:jc w:val="both"/>
              <w:rPr>
                <w:rFonts w:ascii="Times New Roman" w:eastAsia="Times New Roman" w:hAnsi="Times New Roman" w:cs="Times New Roman"/>
                <w:b/>
                <w:bCs/>
              </w:rPr>
            </w:pPr>
          </w:p>
        </w:tc>
        <w:tc>
          <w:tcPr>
            <w:tcW w:w="1027" w:type="pct"/>
            <w:tcBorders>
              <w:top w:val="single" w:sz="4" w:space="0" w:color="auto"/>
              <w:left w:val="single" w:sz="4" w:space="0" w:color="auto"/>
              <w:bottom w:val="single" w:sz="4" w:space="0" w:color="auto"/>
              <w:right w:val="single" w:sz="4" w:space="0" w:color="auto"/>
            </w:tcBorders>
            <w:hideMark/>
          </w:tcPr>
          <w:p w14:paraId="45EE4D0B"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b/>
                <w:bCs/>
                <w:noProof/>
                <w:lang w:val="en-IN" w:eastAsia="en-IN" w:bidi="te-IN"/>
              </w:rPr>
              <mc:AlternateContent>
                <mc:Choice Requires="wps">
                  <w:drawing>
                    <wp:anchor distT="0" distB="0" distL="114300" distR="114300" simplePos="0" relativeHeight="251658752" behindDoc="0" locked="0" layoutInCell="1" allowOverlap="1" wp14:anchorId="6F008F4F" wp14:editId="0386B96C">
                      <wp:simplePos x="0" y="0"/>
                      <wp:positionH relativeFrom="column">
                        <wp:posOffset>-49085</wp:posOffset>
                      </wp:positionH>
                      <wp:positionV relativeFrom="paragraph">
                        <wp:posOffset>10255</wp:posOffset>
                      </wp:positionV>
                      <wp:extent cx="1794681" cy="573206"/>
                      <wp:effectExtent l="0" t="0" r="15240" b="36830"/>
                      <wp:wrapNone/>
                      <wp:docPr id="27" name="Straight Connector 27"/>
                      <wp:cNvGraphicFramePr/>
                      <a:graphic xmlns:a="http://schemas.openxmlformats.org/drawingml/2006/main">
                        <a:graphicData uri="http://schemas.microsoft.com/office/word/2010/wordprocessingShape">
                          <wps:wsp>
                            <wps:cNvCnPr/>
                            <wps:spPr>
                              <a:xfrm>
                                <a:off x="0" y="0"/>
                                <a:ext cx="1794681" cy="5732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D1D10" id="Straight Connector 2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8pt" to="137.4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IfktwEAANkDAAAOAAAAZHJzL2Uyb0RvYy54bWysU8tu2zAQvBfoPxC815Tc1EkEyzkkSC5B&#10;G/TxAQy1tAiQXIJkLfnvS1K2FDQFiga9rPjYmd0ZrrY3o9HkAD4otC2tVxUlYAV2yu5b+uP7/Ycr&#10;SkLktuMaLbT0CIHe7N6/2w6ugTX2qDvwJJHY0AyupX2MrmEsiB4MDyt0YNOlRG94TFu/Z53nQ2I3&#10;mq2rasMG9J3zKCCEdHo3XdJd4ZcSRPwiZYBIdEtTb7FEX+Jzjmy35c3ec9crcWqDv6ELw5VNRWeq&#10;Ox45+enVKyqjhMeAMq4EGoZSKgFFQ1JTV7+p+dZzB0VLMie42abw/2jF58OtffLJhsGFJrgnn1WM&#10;0pv8Tf2RsZh1nM2CMRKRDuvL64vNVU2JSHefLj+uq012ky1o50N8ADQkL1qqlc1ieMMPjyFOqeeU&#10;fKxtjgG16u6V1mWTxwButScHnh4wjvWpxIusVDAj2dJ/WcWjhon1K0iiutxxqV5Ga+HkQoCNZ15t&#10;U3aGydTBDKz+DjzlZyiUsfsX8IwoldHGGWyURf+n6osVcso/OzDpzhY8Y3csL1usSfNTHuc063lA&#10;X+4LfPkjd78AAAD//wMAUEsDBBQABgAIAAAAIQCRnbPF3AAAAAcBAAAPAAAAZHJzL2Rvd25yZXYu&#10;eG1sTI7NToNAFIX3Jr7D5Jq4a4c2DRRkaIzRjXEDdqG7KXMLROYOZYaCb+91pcvzk3O+/LDYXlxx&#10;9J0jBZt1BAKpdqajRsHx/WW1B+GDJqN7R6jgGz0citubXGfGzVTitQqN4BHymVbQhjBkUvq6Rav9&#10;2g1InJ3daHVgOTbSjHrmcdvLbRTF0uqO+KHVAz61WH9Vk1Xwennzx11cPpcfl301f56ntnGo1P3d&#10;8vgAIuAS/srwi8/oUDDTyU1kvOgVrJKEm+zHIDjeJrsUxElBuklBFrn8z1/8AAAA//8DAFBLAQIt&#10;ABQABgAIAAAAIQC2gziS/gAAAOEBAAATAAAAAAAAAAAAAAAAAAAAAABbQ29udGVudF9UeXBlc10u&#10;eG1sUEsBAi0AFAAGAAgAAAAhADj9If/WAAAAlAEAAAsAAAAAAAAAAAAAAAAALwEAAF9yZWxzLy5y&#10;ZWxzUEsBAi0AFAAGAAgAAAAhAJWUh+S3AQAA2QMAAA4AAAAAAAAAAAAAAAAALgIAAGRycy9lMm9E&#10;b2MueG1sUEsBAi0AFAAGAAgAAAAhAJGds8XcAAAABwEAAA8AAAAAAAAAAAAAAAAAEQQAAGRycy9k&#10;b3ducmV2LnhtbFBLBQYAAAAABAAEAPMAAAAaBQAAAAA=&#10;" strokecolor="black [3213]"/>
                  </w:pict>
                </mc:Fallback>
              </mc:AlternateContent>
            </w:r>
            <w:r w:rsidRPr="005710DA">
              <w:rPr>
                <w:rFonts w:ascii="Times New Roman" w:eastAsia="Times New Roman" w:hAnsi="Times New Roman" w:cs="Times New Roman"/>
                <w:b/>
                <w:bCs/>
              </w:rPr>
              <w:t xml:space="preserve">         </w:t>
            </w:r>
            <w:proofErr w:type="gramStart"/>
            <w:r w:rsidRPr="005710DA">
              <w:rPr>
                <w:rFonts w:ascii="Times New Roman" w:eastAsia="Times New Roman" w:hAnsi="Times New Roman" w:cs="Times New Roman"/>
                <w:b/>
                <w:bCs/>
              </w:rPr>
              <w:t>Genetic  parameters</w:t>
            </w:r>
            <w:proofErr w:type="gramEnd"/>
          </w:p>
          <w:p w14:paraId="620E84BF" w14:textId="77777777" w:rsidR="00305505"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b/>
                <w:bCs/>
              </w:rPr>
              <w:t xml:space="preserve">   </w:t>
            </w:r>
          </w:p>
          <w:p w14:paraId="620786D9"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b/>
                <w:bCs/>
              </w:rPr>
              <w:t>Seasons</w:t>
            </w:r>
          </w:p>
        </w:tc>
        <w:tc>
          <w:tcPr>
            <w:tcW w:w="391" w:type="pct"/>
            <w:tcBorders>
              <w:top w:val="single" w:sz="4" w:space="0" w:color="auto"/>
              <w:left w:val="single" w:sz="4" w:space="0" w:color="auto"/>
              <w:bottom w:val="single" w:sz="4" w:space="0" w:color="auto"/>
              <w:right w:val="single" w:sz="4" w:space="0" w:color="auto"/>
            </w:tcBorders>
            <w:vAlign w:val="center"/>
          </w:tcPr>
          <w:p w14:paraId="55CD2F83"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b/>
                <w:bCs/>
              </w:rPr>
              <w:t>PCV</w:t>
            </w:r>
          </w:p>
        </w:tc>
        <w:tc>
          <w:tcPr>
            <w:tcW w:w="379" w:type="pct"/>
            <w:tcBorders>
              <w:top w:val="single" w:sz="4" w:space="0" w:color="auto"/>
              <w:left w:val="single" w:sz="4" w:space="0" w:color="auto"/>
              <w:bottom w:val="single" w:sz="4" w:space="0" w:color="auto"/>
              <w:right w:val="single" w:sz="4" w:space="0" w:color="auto"/>
            </w:tcBorders>
            <w:noWrap/>
            <w:vAlign w:val="center"/>
            <w:hideMark/>
          </w:tcPr>
          <w:p w14:paraId="3BA49805"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b/>
                <w:bCs/>
              </w:rPr>
              <w:t>GCV</w:t>
            </w:r>
          </w:p>
        </w:tc>
        <w:tc>
          <w:tcPr>
            <w:tcW w:w="728" w:type="pct"/>
            <w:tcBorders>
              <w:top w:val="single" w:sz="4" w:space="0" w:color="auto"/>
              <w:left w:val="nil"/>
              <w:bottom w:val="single" w:sz="4" w:space="0" w:color="auto"/>
              <w:right w:val="single" w:sz="4" w:space="0" w:color="auto"/>
            </w:tcBorders>
            <w:vAlign w:val="center"/>
            <w:hideMark/>
          </w:tcPr>
          <w:p w14:paraId="3468D315"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b/>
                <w:bCs/>
              </w:rPr>
              <w:t>Heritability in broad sense (h</w:t>
            </w:r>
            <w:r w:rsidRPr="005710DA">
              <w:rPr>
                <w:rFonts w:ascii="Times New Roman" w:eastAsia="Times New Roman" w:hAnsi="Times New Roman" w:cs="Times New Roman"/>
                <w:b/>
                <w:bCs/>
                <w:vertAlign w:val="superscript"/>
              </w:rPr>
              <w:t>2</w:t>
            </w:r>
            <w:r w:rsidRPr="005710DA">
              <w:rPr>
                <w:rFonts w:ascii="Times New Roman" w:eastAsia="Times New Roman" w:hAnsi="Times New Roman" w:cs="Times New Roman"/>
                <w:b/>
                <w:bCs/>
              </w:rPr>
              <w:t>)</w:t>
            </w:r>
            <w:r w:rsidR="00305505" w:rsidRPr="005710DA">
              <w:rPr>
                <w:rFonts w:ascii="Times New Roman" w:eastAsia="Times New Roman" w:hAnsi="Times New Roman" w:cs="Times New Roman"/>
                <w:b/>
                <w:bCs/>
              </w:rPr>
              <w:t xml:space="preserve"> </w:t>
            </w:r>
            <w:r w:rsidRPr="005710DA">
              <w:rPr>
                <w:rFonts w:ascii="Times New Roman" w:eastAsia="Times New Roman" w:hAnsi="Times New Roman" w:cs="Times New Roman"/>
                <w:b/>
                <w:bCs/>
              </w:rPr>
              <w:t>(%)</w:t>
            </w:r>
          </w:p>
        </w:tc>
        <w:tc>
          <w:tcPr>
            <w:tcW w:w="679" w:type="pct"/>
            <w:tcBorders>
              <w:top w:val="single" w:sz="4" w:space="0" w:color="auto"/>
              <w:left w:val="nil"/>
              <w:bottom w:val="single" w:sz="4" w:space="0" w:color="auto"/>
              <w:right w:val="single" w:sz="4" w:space="0" w:color="auto"/>
            </w:tcBorders>
            <w:noWrap/>
            <w:vAlign w:val="center"/>
            <w:hideMark/>
          </w:tcPr>
          <w:p w14:paraId="3476893F"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b/>
                <w:bCs/>
              </w:rPr>
              <w:t>Genetic Advance</w:t>
            </w:r>
          </w:p>
          <w:p w14:paraId="427C0DB4"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b/>
                <w:bCs/>
              </w:rPr>
              <w:t>(GA)</w:t>
            </w:r>
            <w:r w:rsidR="00305505" w:rsidRPr="005710DA">
              <w:rPr>
                <w:rFonts w:ascii="Times New Roman" w:eastAsia="Times New Roman" w:hAnsi="Times New Roman" w:cs="Times New Roman"/>
                <w:b/>
                <w:bCs/>
              </w:rPr>
              <w:t xml:space="preserve"> </w:t>
            </w:r>
            <w:r w:rsidRPr="005710DA">
              <w:rPr>
                <w:rFonts w:ascii="Times New Roman" w:eastAsia="Times New Roman" w:hAnsi="Times New Roman" w:cs="Times New Roman"/>
                <w:b/>
                <w:bCs/>
              </w:rPr>
              <w:t>(%)</w:t>
            </w:r>
          </w:p>
        </w:tc>
        <w:tc>
          <w:tcPr>
            <w:tcW w:w="921" w:type="pct"/>
            <w:tcBorders>
              <w:top w:val="single" w:sz="4" w:space="0" w:color="auto"/>
              <w:left w:val="nil"/>
              <w:bottom w:val="single" w:sz="4" w:space="0" w:color="auto"/>
              <w:right w:val="single" w:sz="4" w:space="0" w:color="auto"/>
            </w:tcBorders>
            <w:vAlign w:val="center"/>
            <w:hideMark/>
          </w:tcPr>
          <w:p w14:paraId="2C2687BC"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b/>
                <w:bCs/>
              </w:rPr>
              <w:t xml:space="preserve">Genetic Advance as </w:t>
            </w:r>
          </w:p>
          <w:p w14:paraId="5D320CDD"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b/>
                <w:bCs/>
              </w:rPr>
              <w:t xml:space="preserve"> </w:t>
            </w:r>
            <w:r w:rsidRPr="005710DA">
              <w:rPr>
                <w:rFonts w:ascii="Times New Roman" w:eastAsia="Times New Roman" w:hAnsi="Times New Roman" w:cs="Times New Roman"/>
                <w:b/>
                <w:bCs/>
                <w:i/>
                <w:iCs/>
              </w:rPr>
              <w:t xml:space="preserve">Per cent </w:t>
            </w:r>
            <w:r w:rsidRPr="005710DA">
              <w:rPr>
                <w:rFonts w:ascii="Times New Roman" w:eastAsia="Times New Roman" w:hAnsi="Times New Roman" w:cs="Times New Roman"/>
                <w:b/>
                <w:bCs/>
              </w:rPr>
              <w:t xml:space="preserve">of mean </w:t>
            </w:r>
          </w:p>
          <w:p w14:paraId="642464C2"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b/>
                <w:bCs/>
              </w:rPr>
              <w:t>(GAM)</w:t>
            </w:r>
          </w:p>
        </w:tc>
      </w:tr>
      <w:tr w:rsidR="00D45858" w:rsidRPr="005710DA" w14:paraId="3CEB5B53" w14:textId="77777777" w:rsidTr="00B22435">
        <w:trPr>
          <w:trHeight w:val="347"/>
          <w:jc w:val="center"/>
        </w:trPr>
        <w:tc>
          <w:tcPr>
            <w:tcW w:w="288" w:type="pct"/>
            <w:vMerge w:val="restart"/>
            <w:tcBorders>
              <w:top w:val="single" w:sz="4" w:space="0" w:color="auto"/>
              <w:left w:val="single" w:sz="4" w:space="0" w:color="auto"/>
              <w:right w:val="single" w:sz="4" w:space="0" w:color="auto"/>
            </w:tcBorders>
            <w:vAlign w:val="center"/>
          </w:tcPr>
          <w:p w14:paraId="4D660DBA"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w:t>
            </w:r>
          </w:p>
        </w:tc>
        <w:tc>
          <w:tcPr>
            <w:tcW w:w="587" w:type="pct"/>
            <w:vMerge w:val="restart"/>
            <w:tcBorders>
              <w:top w:val="single" w:sz="4" w:space="0" w:color="auto"/>
              <w:left w:val="nil"/>
              <w:right w:val="single" w:sz="4" w:space="0" w:color="auto"/>
            </w:tcBorders>
            <w:vAlign w:val="center"/>
          </w:tcPr>
          <w:p w14:paraId="5F296D3D" w14:textId="77777777" w:rsidR="00D45858" w:rsidRPr="005710DA" w:rsidRDefault="00D45858" w:rsidP="00305505">
            <w:pPr>
              <w:spacing w:after="0" w:line="240" w:lineRule="auto"/>
              <w:rPr>
                <w:rFonts w:ascii="Times New Roman" w:eastAsia="Times New Roman" w:hAnsi="Times New Roman" w:cs="Times New Roman"/>
              </w:rPr>
            </w:pPr>
            <w:r w:rsidRPr="005710DA">
              <w:rPr>
                <w:rFonts w:ascii="Times New Roman" w:eastAsia="Times New Roman" w:hAnsi="Times New Roman" w:cs="Times New Roman"/>
              </w:rPr>
              <w:t>SPAD Chlorophyll meter reading (SCMR)</w:t>
            </w:r>
          </w:p>
        </w:tc>
        <w:tc>
          <w:tcPr>
            <w:tcW w:w="1027" w:type="pct"/>
            <w:tcBorders>
              <w:top w:val="single" w:sz="4" w:space="0" w:color="auto"/>
              <w:left w:val="single" w:sz="4" w:space="0" w:color="auto"/>
              <w:bottom w:val="single" w:sz="4" w:space="0" w:color="auto"/>
              <w:right w:val="single" w:sz="4" w:space="0" w:color="auto"/>
            </w:tcBorders>
            <w:vAlign w:val="center"/>
          </w:tcPr>
          <w:p w14:paraId="5350A0BD"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2022</w:t>
            </w:r>
          </w:p>
        </w:tc>
        <w:tc>
          <w:tcPr>
            <w:tcW w:w="391" w:type="pct"/>
            <w:tcBorders>
              <w:top w:val="single" w:sz="4" w:space="0" w:color="auto"/>
              <w:left w:val="nil"/>
              <w:bottom w:val="single" w:sz="4" w:space="0" w:color="auto"/>
              <w:right w:val="single" w:sz="4" w:space="0" w:color="auto"/>
            </w:tcBorders>
            <w:vAlign w:val="center"/>
          </w:tcPr>
          <w:p w14:paraId="57335BDC"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11.53</w:t>
            </w:r>
          </w:p>
        </w:tc>
        <w:tc>
          <w:tcPr>
            <w:tcW w:w="379" w:type="pct"/>
            <w:tcBorders>
              <w:top w:val="single" w:sz="4" w:space="0" w:color="auto"/>
              <w:left w:val="single" w:sz="4" w:space="0" w:color="auto"/>
              <w:bottom w:val="single" w:sz="4" w:space="0" w:color="auto"/>
              <w:right w:val="single" w:sz="4" w:space="0" w:color="auto"/>
            </w:tcBorders>
            <w:noWrap/>
            <w:vAlign w:val="center"/>
          </w:tcPr>
          <w:p w14:paraId="6857E1A8"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10.50</w:t>
            </w:r>
          </w:p>
        </w:tc>
        <w:tc>
          <w:tcPr>
            <w:tcW w:w="728" w:type="pct"/>
            <w:tcBorders>
              <w:top w:val="single" w:sz="4" w:space="0" w:color="auto"/>
              <w:left w:val="nil"/>
              <w:bottom w:val="single" w:sz="4" w:space="0" w:color="auto"/>
              <w:right w:val="single" w:sz="4" w:space="0" w:color="auto"/>
            </w:tcBorders>
            <w:vAlign w:val="center"/>
          </w:tcPr>
          <w:p w14:paraId="0E78E8F7"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82.96</w:t>
            </w:r>
          </w:p>
        </w:tc>
        <w:tc>
          <w:tcPr>
            <w:tcW w:w="679" w:type="pct"/>
            <w:tcBorders>
              <w:top w:val="single" w:sz="4" w:space="0" w:color="auto"/>
              <w:left w:val="nil"/>
              <w:bottom w:val="single" w:sz="4" w:space="0" w:color="auto"/>
              <w:right w:val="single" w:sz="4" w:space="0" w:color="auto"/>
            </w:tcBorders>
            <w:noWrap/>
            <w:vAlign w:val="center"/>
          </w:tcPr>
          <w:p w14:paraId="4F8DF3AB"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8.30</w:t>
            </w:r>
          </w:p>
        </w:tc>
        <w:tc>
          <w:tcPr>
            <w:tcW w:w="921" w:type="pct"/>
            <w:tcBorders>
              <w:top w:val="single" w:sz="4" w:space="0" w:color="auto"/>
              <w:left w:val="nil"/>
              <w:bottom w:val="single" w:sz="4" w:space="0" w:color="auto"/>
              <w:right w:val="single" w:sz="4" w:space="0" w:color="auto"/>
            </w:tcBorders>
            <w:vAlign w:val="center"/>
          </w:tcPr>
          <w:p w14:paraId="13C9B9D8"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19.70</w:t>
            </w:r>
          </w:p>
        </w:tc>
      </w:tr>
      <w:tr w:rsidR="00D45858" w:rsidRPr="005710DA" w14:paraId="5C8EEA3A" w14:textId="77777777" w:rsidTr="00B22435">
        <w:trPr>
          <w:trHeight w:val="347"/>
          <w:jc w:val="center"/>
        </w:trPr>
        <w:tc>
          <w:tcPr>
            <w:tcW w:w="288" w:type="pct"/>
            <w:vMerge/>
            <w:tcBorders>
              <w:left w:val="single" w:sz="4" w:space="0" w:color="auto"/>
              <w:right w:val="single" w:sz="4" w:space="0" w:color="auto"/>
            </w:tcBorders>
            <w:vAlign w:val="center"/>
          </w:tcPr>
          <w:p w14:paraId="2C1B6069"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right w:val="single" w:sz="4" w:space="0" w:color="auto"/>
            </w:tcBorders>
            <w:vAlign w:val="center"/>
          </w:tcPr>
          <w:p w14:paraId="314E6D25" w14:textId="77777777" w:rsidR="00D45858" w:rsidRPr="005710DA" w:rsidRDefault="00D45858" w:rsidP="00305505">
            <w:pPr>
              <w:spacing w:after="0" w:line="240" w:lineRule="auto"/>
              <w:rPr>
                <w:rFonts w:ascii="Times New Roman" w:eastAsia="Times New Roman" w:hAnsi="Times New Roman" w:cs="Times New Roman"/>
              </w:rPr>
            </w:pPr>
          </w:p>
        </w:tc>
        <w:tc>
          <w:tcPr>
            <w:tcW w:w="1027" w:type="pct"/>
            <w:tcBorders>
              <w:top w:val="single" w:sz="4" w:space="0" w:color="auto"/>
              <w:left w:val="single" w:sz="4" w:space="0" w:color="auto"/>
              <w:bottom w:val="single" w:sz="4" w:space="0" w:color="auto"/>
              <w:right w:val="single" w:sz="4" w:space="0" w:color="auto"/>
            </w:tcBorders>
            <w:vAlign w:val="center"/>
          </w:tcPr>
          <w:p w14:paraId="28BDE57B"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2023</w:t>
            </w:r>
          </w:p>
        </w:tc>
        <w:tc>
          <w:tcPr>
            <w:tcW w:w="391" w:type="pct"/>
            <w:tcBorders>
              <w:top w:val="single" w:sz="4" w:space="0" w:color="auto"/>
              <w:left w:val="nil"/>
              <w:bottom w:val="single" w:sz="4" w:space="0" w:color="auto"/>
              <w:right w:val="single" w:sz="4" w:space="0" w:color="auto"/>
            </w:tcBorders>
            <w:vAlign w:val="center"/>
          </w:tcPr>
          <w:p w14:paraId="18196CA3"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11.46</w:t>
            </w:r>
          </w:p>
        </w:tc>
        <w:tc>
          <w:tcPr>
            <w:tcW w:w="379" w:type="pct"/>
            <w:tcBorders>
              <w:top w:val="single" w:sz="4" w:space="0" w:color="auto"/>
              <w:left w:val="single" w:sz="4" w:space="0" w:color="auto"/>
              <w:bottom w:val="single" w:sz="4" w:space="0" w:color="auto"/>
              <w:right w:val="single" w:sz="4" w:space="0" w:color="auto"/>
            </w:tcBorders>
            <w:noWrap/>
            <w:vAlign w:val="center"/>
          </w:tcPr>
          <w:p w14:paraId="22697199"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9.30</w:t>
            </w:r>
          </w:p>
        </w:tc>
        <w:tc>
          <w:tcPr>
            <w:tcW w:w="728" w:type="pct"/>
            <w:tcBorders>
              <w:top w:val="single" w:sz="4" w:space="0" w:color="auto"/>
              <w:left w:val="nil"/>
              <w:bottom w:val="single" w:sz="4" w:space="0" w:color="auto"/>
              <w:right w:val="single" w:sz="4" w:space="0" w:color="auto"/>
            </w:tcBorders>
            <w:vAlign w:val="center"/>
          </w:tcPr>
          <w:p w14:paraId="4237BFE4"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65.89</w:t>
            </w:r>
          </w:p>
        </w:tc>
        <w:tc>
          <w:tcPr>
            <w:tcW w:w="679" w:type="pct"/>
            <w:tcBorders>
              <w:top w:val="single" w:sz="4" w:space="0" w:color="auto"/>
              <w:left w:val="nil"/>
              <w:bottom w:val="single" w:sz="4" w:space="0" w:color="auto"/>
              <w:right w:val="single" w:sz="4" w:space="0" w:color="auto"/>
            </w:tcBorders>
            <w:noWrap/>
            <w:vAlign w:val="center"/>
          </w:tcPr>
          <w:p w14:paraId="6FC96857"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6.41</w:t>
            </w:r>
          </w:p>
        </w:tc>
        <w:tc>
          <w:tcPr>
            <w:tcW w:w="921" w:type="pct"/>
            <w:tcBorders>
              <w:top w:val="single" w:sz="4" w:space="0" w:color="auto"/>
              <w:left w:val="nil"/>
              <w:bottom w:val="single" w:sz="4" w:space="0" w:color="auto"/>
              <w:right w:val="single" w:sz="4" w:space="0" w:color="auto"/>
            </w:tcBorders>
            <w:vAlign w:val="center"/>
          </w:tcPr>
          <w:p w14:paraId="1CB4BBA2"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15.55</w:t>
            </w:r>
          </w:p>
        </w:tc>
      </w:tr>
      <w:tr w:rsidR="00D45858" w:rsidRPr="005710DA" w14:paraId="1D6E788E" w14:textId="77777777" w:rsidTr="00B22435">
        <w:trPr>
          <w:trHeight w:val="274"/>
          <w:jc w:val="center"/>
        </w:trPr>
        <w:tc>
          <w:tcPr>
            <w:tcW w:w="288" w:type="pct"/>
            <w:vMerge/>
            <w:tcBorders>
              <w:left w:val="single" w:sz="4" w:space="0" w:color="auto"/>
              <w:bottom w:val="single" w:sz="4" w:space="0" w:color="auto"/>
              <w:right w:val="single" w:sz="4" w:space="0" w:color="auto"/>
            </w:tcBorders>
            <w:vAlign w:val="center"/>
          </w:tcPr>
          <w:p w14:paraId="71BC8BA2"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bottom w:val="single" w:sz="4" w:space="0" w:color="auto"/>
              <w:right w:val="single" w:sz="4" w:space="0" w:color="auto"/>
            </w:tcBorders>
            <w:vAlign w:val="center"/>
          </w:tcPr>
          <w:p w14:paraId="6945BA83" w14:textId="77777777" w:rsidR="00D45858" w:rsidRPr="005710DA" w:rsidRDefault="00D45858" w:rsidP="00305505">
            <w:pPr>
              <w:spacing w:after="0" w:line="240" w:lineRule="auto"/>
              <w:rPr>
                <w:rFonts w:ascii="Times New Roman" w:eastAsia="Times New Roman" w:hAnsi="Times New Roman" w:cs="Times New Roman"/>
              </w:rPr>
            </w:pPr>
          </w:p>
        </w:tc>
        <w:tc>
          <w:tcPr>
            <w:tcW w:w="1027" w:type="pct"/>
            <w:tcBorders>
              <w:top w:val="single" w:sz="4" w:space="0" w:color="auto"/>
              <w:left w:val="single" w:sz="4" w:space="0" w:color="auto"/>
              <w:bottom w:val="single" w:sz="4" w:space="0" w:color="auto"/>
              <w:right w:val="single" w:sz="4" w:space="0" w:color="auto"/>
            </w:tcBorders>
            <w:vAlign w:val="center"/>
          </w:tcPr>
          <w:p w14:paraId="33112CC0"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b/>
                <w:bCs/>
              </w:rPr>
              <w:t xml:space="preserve">Pooled </w:t>
            </w:r>
          </w:p>
        </w:tc>
        <w:tc>
          <w:tcPr>
            <w:tcW w:w="391" w:type="pct"/>
            <w:tcBorders>
              <w:top w:val="single" w:sz="4" w:space="0" w:color="auto"/>
              <w:left w:val="nil"/>
              <w:bottom w:val="single" w:sz="4" w:space="0" w:color="auto"/>
              <w:right w:val="single" w:sz="4" w:space="0" w:color="auto"/>
            </w:tcBorders>
            <w:vAlign w:val="center"/>
          </w:tcPr>
          <w:p w14:paraId="34EE9093"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10.22</w:t>
            </w:r>
          </w:p>
        </w:tc>
        <w:tc>
          <w:tcPr>
            <w:tcW w:w="379" w:type="pct"/>
            <w:tcBorders>
              <w:top w:val="single" w:sz="4" w:space="0" w:color="auto"/>
              <w:left w:val="single" w:sz="4" w:space="0" w:color="auto"/>
              <w:bottom w:val="single" w:sz="4" w:space="0" w:color="auto"/>
              <w:right w:val="single" w:sz="4" w:space="0" w:color="auto"/>
            </w:tcBorders>
            <w:noWrap/>
            <w:vAlign w:val="center"/>
          </w:tcPr>
          <w:p w14:paraId="3F2D348A"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9.08</w:t>
            </w:r>
          </w:p>
        </w:tc>
        <w:tc>
          <w:tcPr>
            <w:tcW w:w="728" w:type="pct"/>
            <w:tcBorders>
              <w:top w:val="single" w:sz="4" w:space="0" w:color="auto"/>
              <w:left w:val="nil"/>
              <w:bottom w:val="single" w:sz="4" w:space="0" w:color="auto"/>
              <w:right w:val="single" w:sz="4" w:space="0" w:color="auto"/>
            </w:tcBorders>
            <w:vAlign w:val="center"/>
          </w:tcPr>
          <w:p w14:paraId="44456381"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78.93</w:t>
            </w:r>
          </w:p>
        </w:tc>
        <w:tc>
          <w:tcPr>
            <w:tcW w:w="679" w:type="pct"/>
            <w:tcBorders>
              <w:top w:val="single" w:sz="4" w:space="0" w:color="auto"/>
              <w:left w:val="nil"/>
              <w:bottom w:val="single" w:sz="4" w:space="0" w:color="auto"/>
              <w:right w:val="single" w:sz="4" w:space="0" w:color="auto"/>
            </w:tcBorders>
            <w:noWrap/>
            <w:vAlign w:val="center"/>
          </w:tcPr>
          <w:p w14:paraId="35072FBE"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6.92</w:t>
            </w:r>
          </w:p>
        </w:tc>
        <w:tc>
          <w:tcPr>
            <w:tcW w:w="921" w:type="pct"/>
            <w:tcBorders>
              <w:top w:val="single" w:sz="4" w:space="0" w:color="auto"/>
              <w:left w:val="nil"/>
              <w:bottom w:val="single" w:sz="4" w:space="0" w:color="auto"/>
              <w:right w:val="single" w:sz="4" w:space="0" w:color="auto"/>
            </w:tcBorders>
            <w:vAlign w:val="center"/>
          </w:tcPr>
          <w:p w14:paraId="6FBF6ABB"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16.62</w:t>
            </w:r>
          </w:p>
        </w:tc>
      </w:tr>
      <w:tr w:rsidR="00D45858" w:rsidRPr="005710DA" w14:paraId="627358AD" w14:textId="77777777" w:rsidTr="00B22435">
        <w:trPr>
          <w:trHeight w:val="347"/>
          <w:jc w:val="center"/>
        </w:trPr>
        <w:tc>
          <w:tcPr>
            <w:tcW w:w="288" w:type="pct"/>
            <w:vMerge w:val="restart"/>
            <w:tcBorders>
              <w:top w:val="single" w:sz="4" w:space="0" w:color="auto"/>
              <w:left w:val="single" w:sz="4" w:space="0" w:color="auto"/>
              <w:right w:val="single" w:sz="4" w:space="0" w:color="auto"/>
            </w:tcBorders>
            <w:vAlign w:val="center"/>
          </w:tcPr>
          <w:p w14:paraId="3213935D"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2</w:t>
            </w:r>
          </w:p>
        </w:tc>
        <w:tc>
          <w:tcPr>
            <w:tcW w:w="587" w:type="pct"/>
            <w:vMerge w:val="restart"/>
            <w:tcBorders>
              <w:top w:val="single" w:sz="4" w:space="0" w:color="auto"/>
              <w:left w:val="nil"/>
              <w:right w:val="single" w:sz="4" w:space="0" w:color="auto"/>
            </w:tcBorders>
            <w:vAlign w:val="center"/>
          </w:tcPr>
          <w:p w14:paraId="34091DF8" w14:textId="77777777" w:rsidR="00D45858" w:rsidRPr="005710DA" w:rsidRDefault="00D45858" w:rsidP="00305505">
            <w:pPr>
              <w:spacing w:after="0" w:line="240" w:lineRule="auto"/>
              <w:rPr>
                <w:rFonts w:ascii="Times New Roman" w:eastAsia="Times New Roman" w:hAnsi="Times New Roman" w:cs="Times New Roman"/>
                <w:b/>
                <w:bCs/>
              </w:rPr>
            </w:pPr>
            <w:r w:rsidRPr="005710DA">
              <w:rPr>
                <w:rFonts w:ascii="Times New Roman" w:eastAsia="Times New Roman" w:hAnsi="Times New Roman" w:cs="Times New Roman"/>
              </w:rPr>
              <w:t>Specific Leaf Area (SLA)</w:t>
            </w:r>
          </w:p>
        </w:tc>
        <w:tc>
          <w:tcPr>
            <w:tcW w:w="1027" w:type="pct"/>
            <w:tcBorders>
              <w:top w:val="single" w:sz="4" w:space="0" w:color="auto"/>
              <w:left w:val="single" w:sz="4" w:space="0" w:color="auto"/>
              <w:bottom w:val="single" w:sz="4" w:space="0" w:color="auto"/>
              <w:right w:val="single" w:sz="4" w:space="0" w:color="auto"/>
            </w:tcBorders>
            <w:vAlign w:val="center"/>
          </w:tcPr>
          <w:p w14:paraId="5CCF7BFF"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2022</w:t>
            </w:r>
          </w:p>
        </w:tc>
        <w:tc>
          <w:tcPr>
            <w:tcW w:w="391" w:type="pct"/>
            <w:tcBorders>
              <w:top w:val="single" w:sz="4" w:space="0" w:color="auto"/>
              <w:left w:val="nil"/>
              <w:bottom w:val="single" w:sz="4" w:space="0" w:color="auto"/>
              <w:right w:val="single" w:sz="4" w:space="0" w:color="auto"/>
            </w:tcBorders>
            <w:vAlign w:val="center"/>
          </w:tcPr>
          <w:p w14:paraId="1ED4DBBA"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7.64</w:t>
            </w:r>
          </w:p>
        </w:tc>
        <w:tc>
          <w:tcPr>
            <w:tcW w:w="379" w:type="pct"/>
            <w:tcBorders>
              <w:top w:val="single" w:sz="4" w:space="0" w:color="auto"/>
              <w:left w:val="single" w:sz="4" w:space="0" w:color="auto"/>
              <w:bottom w:val="single" w:sz="4" w:space="0" w:color="auto"/>
              <w:right w:val="single" w:sz="4" w:space="0" w:color="auto"/>
            </w:tcBorders>
            <w:noWrap/>
            <w:vAlign w:val="center"/>
          </w:tcPr>
          <w:p w14:paraId="66FE2C3C"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6.73</w:t>
            </w:r>
          </w:p>
        </w:tc>
        <w:tc>
          <w:tcPr>
            <w:tcW w:w="728" w:type="pct"/>
            <w:tcBorders>
              <w:top w:val="single" w:sz="4" w:space="0" w:color="auto"/>
              <w:left w:val="nil"/>
              <w:bottom w:val="single" w:sz="4" w:space="0" w:color="auto"/>
              <w:right w:val="single" w:sz="4" w:space="0" w:color="auto"/>
            </w:tcBorders>
            <w:vAlign w:val="center"/>
          </w:tcPr>
          <w:p w14:paraId="3FF3E671"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77.61</w:t>
            </w:r>
          </w:p>
        </w:tc>
        <w:tc>
          <w:tcPr>
            <w:tcW w:w="679" w:type="pct"/>
            <w:tcBorders>
              <w:top w:val="single" w:sz="4" w:space="0" w:color="auto"/>
              <w:left w:val="nil"/>
              <w:bottom w:val="single" w:sz="4" w:space="0" w:color="auto"/>
              <w:right w:val="single" w:sz="4" w:space="0" w:color="auto"/>
            </w:tcBorders>
            <w:noWrap/>
            <w:vAlign w:val="center"/>
          </w:tcPr>
          <w:p w14:paraId="0ADC656E"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19.22</w:t>
            </w:r>
          </w:p>
        </w:tc>
        <w:tc>
          <w:tcPr>
            <w:tcW w:w="921" w:type="pct"/>
            <w:tcBorders>
              <w:top w:val="single" w:sz="4" w:space="0" w:color="auto"/>
              <w:left w:val="nil"/>
              <w:bottom w:val="single" w:sz="4" w:space="0" w:color="auto"/>
              <w:right w:val="single" w:sz="4" w:space="0" w:color="auto"/>
            </w:tcBorders>
            <w:vAlign w:val="center"/>
          </w:tcPr>
          <w:p w14:paraId="442BE169"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12.21</w:t>
            </w:r>
          </w:p>
        </w:tc>
      </w:tr>
      <w:tr w:rsidR="00D45858" w:rsidRPr="005710DA" w14:paraId="474F664E" w14:textId="77777777" w:rsidTr="00B22435">
        <w:trPr>
          <w:trHeight w:val="347"/>
          <w:jc w:val="center"/>
        </w:trPr>
        <w:tc>
          <w:tcPr>
            <w:tcW w:w="288" w:type="pct"/>
            <w:vMerge/>
            <w:tcBorders>
              <w:left w:val="single" w:sz="4" w:space="0" w:color="auto"/>
              <w:right w:val="single" w:sz="4" w:space="0" w:color="auto"/>
            </w:tcBorders>
            <w:vAlign w:val="center"/>
          </w:tcPr>
          <w:p w14:paraId="7E1DD563"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right w:val="single" w:sz="4" w:space="0" w:color="auto"/>
            </w:tcBorders>
            <w:vAlign w:val="center"/>
          </w:tcPr>
          <w:p w14:paraId="5990306C" w14:textId="77777777" w:rsidR="00D45858" w:rsidRPr="005710DA" w:rsidRDefault="00D45858" w:rsidP="00305505">
            <w:pPr>
              <w:spacing w:after="0" w:line="240" w:lineRule="auto"/>
              <w:rPr>
                <w:rFonts w:ascii="Times New Roman" w:eastAsia="Times New Roman" w:hAnsi="Times New Roman" w:cs="Times New Roman"/>
                <w:b/>
                <w:bCs/>
              </w:rPr>
            </w:pPr>
          </w:p>
        </w:tc>
        <w:tc>
          <w:tcPr>
            <w:tcW w:w="1027" w:type="pct"/>
            <w:tcBorders>
              <w:top w:val="single" w:sz="4" w:space="0" w:color="auto"/>
              <w:left w:val="single" w:sz="4" w:space="0" w:color="auto"/>
              <w:bottom w:val="single" w:sz="4" w:space="0" w:color="auto"/>
              <w:right w:val="single" w:sz="4" w:space="0" w:color="auto"/>
            </w:tcBorders>
            <w:vAlign w:val="center"/>
          </w:tcPr>
          <w:p w14:paraId="0B9E8A03"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2023</w:t>
            </w:r>
          </w:p>
        </w:tc>
        <w:tc>
          <w:tcPr>
            <w:tcW w:w="391" w:type="pct"/>
            <w:tcBorders>
              <w:top w:val="single" w:sz="4" w:space="0" w:color="auto"/>
              <w:left w:val="nil"/>
              <w:bottom w:val="single" w:sz="4" w:space="0" w:color="auto"/>
              <w:right w:val="single" w:sz="4" w:space="0" w:color="auto"/>
            </w:tcBorders>
            <w:vAlign w:val="center"/>
          </w:tcPr>
          <w:p w14:paraId="5C214258"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7.93</w:t>
            </w:r>
          </w:p>
        </w:tc>
        <w:tc>
          <w:tcPr>
            <w:tcW w:w="379" w:type="pct"/>
            <w:tcBorders>
              <w:top w:val="single" w:sz="4" w:space="0" w:color="auto"/>
              <w:left w:val="single" w:sz="4" w:space="0" w:color="auto"/>
              <w:bottom w:val="single" w:sz="4" w:space="0" w:color="auto"/>
              <w:right w:val="single" w:sz="4" w:space="0" w:color="auto"/>
            </w:tcBorders>
            <w:noWrap/>
            <w:vAlign w:val="center"/>
          </w:tcPr>
          <w:p w14:paraId="02FB1F16"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6.98</w:t>
            </w:r>
          </w:p>
        </w:tc>
        <w:tc>
          <w:tcPr>
            <w:tcW w:w="728" w:type="pct"/>
            <w:tcBorders>
              <w:top w:val="single" w:sz="4" w:space="0" w:color="auto"/>
              <w:left w:val="nil"/>
              <w:bottom w:val="single" w:sz="4" w:space="0" w:color="auto"/>
              <w:right w:val="single" w:sz="4" w:space="0" w:color="auto"/>
            </w:tcBorders>
            <w:vAlign w:val="center"/>
          </w:tcPr>
          <w:p w14:paraId="76E43ECB"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77.47</w:t>
            </w:r>
          </w:p>
        </w:tc>
        <w:tc>
          <w:tcPr>
            <w:tcW w:w="679" w:type="pct"/>
            <w:tcBorders>
              <w:top w:val="single" w:sz="4" w:space="0" w:color="auto"/>
              <w:left w:val="nil"/>
              <w:bottom w:val="single" w:sz="4" w:space="0" w:color="auto"/>
              <w:right w:val="single" w:sz="4" w:space="0" w:color="auto"/>
            </w:tcBorders>
            <w:noWrap/>
            <w:vAlign w:val="center"/>
          </w:tcPr>
          <w:p w14:paraId="2D49ED9B"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19.82</w:t>
            </w:r>
          </w:p>
        </w:tc>
        <w:tc>
          <w:tcPr>
            <w:tcW w:w="921" w:type="pct"/>
            <w:tcBorders>
              <w:top w:val="single" w:sz="4" w:space="0" w:color="auto"/>
              <w:left w:val="nil"/>
              <w:bottom w:val="single" w:sz="4" w:space="0" w:color="auto"/>
              <w:right w:val="single" w:sz="4" w:space="0" w:color="auto"/>
            </w:tcBorders>
            <w:vAlign w:val="center"/>
          </w:tcPr>
          <w:p w14:paraId="082D2775"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12.66</w:t>
            </w:r>
          </w:p>
        </w:tc>
      </w:tr>
      <w:tr w:rsidR="00D45858" w:rsidRPr="005710DA" w14:paraId="71A3C528" w14:textId="77777777" w:rsidTr="00B22435">
        <w:trPr>
          <w:trHeight w:val="191"/>
          <w:jc w:val="center"/>
        </w:trPr>
        <w:tc>
          <w:tcPr>
            <w:tcW w:w="288" w:type="pct"/>
            <w:vMerge/>
            <w:tcBorders>
              <w:left w:val="single" w:sz="4" w:space="0" w:color="auto"/>
              <w:bottom w:val="single" w:sz="4" w:space="0" w:color="auto"/>
              <w:right w:val="single" w:sz="4" w:space="0" w:color="auto"/>
            </w:tcBorders>
            <w:vAlign w:val="center"/>
          </w:tcPr>
          <w:p w14:paraId="4C149E05"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bottom w:val="single" w:sz="4" w:space="0" w:color="auto"/>
              <w:right w:val="single" w:sz="4" w:space="0" w:color="auto"/>
            </w:tcBorders>
            <w:vAlign w:val="center"/>
          </w:tcPr>
          <w:p w14:paraId="4DFEFDEE" w14:textId="77777777" w:rsidR="00D45858" w:rsidRPr="005710DA" w:rsidRDefault="00D45858" w:rsidP="00305505">
            <w:pPr>
              <w:spacing w:after="0" w:line="240" w:lineRule="auto"/>
              <w:rPr>
                <w:rFonts w:ascii="Times New Roman" w:eastAsia="Times New Roman" w:hAnsi="Times New Roman" w:cs="Times New Roman"/>
                <w:b/>
                <w:bCs/>
              </w:rPr>
            </w:pPr>
          </w:p>
        </w:tc>
        <w:tc>
          <w:tcPr>
            <w:tcW w:w="1027" w:type="pct"/>
            <w:tcBorders>
              <w:top w:val="single" w:sz="4" w:space="0" w:color="auto"/>
              <w:left w:val="single" w:sz="4" w:space="0" w:color="auto"/>
              <w:bottom w:val="single" w:sz="4" w:space="0" w:color="auto"/>
              <w:right w:val="single" w:sz="4" w:space="0" w:color="auto"/>
            </w:tcBorders>
            <w:vAlign w:val="center"/>
          </w:tcPr>
          <w:p w14:paraId="4A6084AD"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b/>
                <w:bCs/>
              </w:rPr>
              <w:t xml:space="preserve">Pooled </w:t>
            </w:r>
          </w:p>
        </w:tc>
        <w:tc>
          <w:tcPr>
            <w:tcW w:w="391" w:type="pct"/>
            <w:tcBorders>
              <w:top w:val="single" w:sz="4" w:space="0" w:color="auto"/>
              <w:left w:val="nil"/>
              <w:bottom w:val="single" w:sz="4" w:space="0" w:color="auto"/>
              <w:right w:val="single" w:sz="4" w:space="0" w:color="auto"/>
            </w:tcBorders>
            <w:vAlign w:val="center"/>
          </w:tcPr>
          <w:p w14:paraId="73CECC4B"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7.29</w:t>
            </w:r>
          </w:p>
        </w:tc>
        <w:tc>
          <w:tcPr>
            <w:tcW w:w="379" w:type="pct"/>
            <w:tcBorders>
              <w:top w:val="single" w:sz="4" w:space="0" w:color="auto"/>
              <w:left w:val="single" w:sz="4" w:space="0" w:color="auto"/>
              <w:bottom w:val="single" w:sz="4" w:space="0" w:color="auto"/>
              <w:right w:val="single" w:sz="4" w:space="0" w:color="auto"/>
            </w:tcBorders>
            <w:noWrap/>
            <w:vAlign w:val="center"/>
          </w:tcPr>
          <w:p w14:paraId="5F804537"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6.43</w:t>
            </w:r>
          </w:p>
        </w:tc>
        <w:tc>
          <w:tcPr>
            <w:tcW w:w="728" w:type="pct"/>
            <w:tcBorders>
              <w:top w:val="single" w:sz="4" w:space="0" w:color="auto"/>
              <w:left w:val="nil"/>
              <w:bottom w:val="single" w:sz="4" w:space="0" w:color="auto"/>
              <w:right w:val="single" w:sz="4" w:space="0" w:color="auto"/>
            </w:tcBorders>
            <w:vAlign w:val="center"/>
          </w:tcPr>
          <w:p w14:paraId="56EC4571"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77.93</w:t>
            </w:r>
          </w:p>
        </w:tc>
        <w:tc>
          <w:tcPr>
            <w:tcW w:w="679" w:type="pct"/>
            <w:tcBorders>
              <w:top w:val="single" w:sz="4" w:space="0" w:color="auto"/>
              <w:left w:val="nil"/>
              <w:bottom w:val="single" w:sz="4" w:space="0" w:color="auto"/>
              <w:right w:val="single" w:sz="4" w:space="0" w:color="auto"/>
            </w:tcBorders>
            <w:noWrap/>
            <w:vAlign w:val="center"/>
          </w:tcPr>
          <w:p w14:paraId="4130E08F"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18.36</w:t>
            </w:r>
          </w:p>
        </w:tc>
        <w:tc>
          <w:tcPr>
            <w:tcW w:w="921" w:type="pct"/>
            <w:tcBorders>
              <w:top w:val="single" w:sz="4" w:space="0" w:color="auto"/>
              <w:left w:val="nil"/>
              <w:bottom w:val="single" w:sz="4" w:space="0" w:color="auto"/>
              <w:right w:val="single" w:sz="4" w:space="0" w:color="auto"/>
            </w:tcBorders>
            <w:vAlign w:val="center"/>
          </w:tcPr>
          <w:p w14:paraId="0B23A5FE"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11.69</w:t>
            </w:r>
          </w:p>
        </w:tc>
      </w:tr>
      <w:tr w:rsidR="00D45858" w:rsidRPr="005710DA" w14:paraId="6AB73AED" w14:textId="77777777" w:rsidTr="00B22435">
        <w:trPr>
          <w:trHeight w:val="347"/>
          <w:jc w:val="center"/>
        </w:trPr>
        <w:tc>
          <w:tcPr>
            <w:tcW w:w="288" w:type="pct"/>
            <w:vMerge w:val="restart"/>
            <w:tcBorders>
              <w:top w:val="single" w:sz="4" w:space="0" w:color="auto"/>
              <w:left w:val="single" w:sz="4" w:space="0" w:color="auto"/>
              <w:right w:val="single" w:sz="4" w:space="0" w:color="auto"/>
            </w:tcBorders>
            <w:vAlign w:val="center"/>
          </w:tcPr>
          <w:p w14:paraId="32CF7F1A"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3</w:t>
            </w:r>
          </w:p>
        </w:tc>
        <w:tc>
          <w:tcPr>
            <w:tcW w:w="587" w:type="pct"/>
            <w:vMerge w:val="restart"/>
            <w:tcBorders>
              <w:top w:val="single" w:sz="4" w:space="0" w:color="auto"/>
              <w:left w:val="nil"/>
              <w:right w:val="single" w:sz="4" w:space="0" w:color="auto"/>
            </w:tcBorders>
            <w:vAlign w:val="center"/>
          </w:tcPr>
          <w:p w14:paraId="5D4BCDC1" w14:textId="77777777" w:rsidR="00D45858" w:rsidRPr="005710DA" w:rsidRDefault="00D45858" w:rsidP="00305505">
            <w:pPr>
              <w:spacing w:after="0" w:line="240" w:lineRule="auto"/>
              <w:rPr>
                <w:rFonts w:ascii="Times New Roman" w:eastAsia="Times New Roman" w:hAnsi="Times New Roman" w:cs="Times New Roman"/>
                <w:b/>
                <w:bCs/>
              </w:rPr>
            </w:pPr>
            <w:r w:rsidRPr="005710DA">
              <w:rPr>
                <w:rFonts w:ascii="Times New Roman" w:eastAsia="Times New Roman" w:hAnsi="Times New Roman" w:cs="Times New Roman"/>
              </w:rPr>
              <w:t>Relative water content (RWC)</w:t>
            </w:r>
          </w:p>
        </w:tc>
        <w:tc>
          <w:tcPr>
            <w:tcW w:w="1027" w:type="pct"/>
            <w:tcBorders>
              <w:top w:val="single" w:sz="4" w:space="0" w:color="auto"/>
              <w:left w:val="single" w:sz="4" w:space="0" w:color="auto"/>
              <w:bottom w:val="single" w:sz="4" w:space="0" w:color="auto"/>
              <w:right w:val="single" w:sz="4" w:space="0" w:color="auto"/>
            </w:tcBorders>
            <w:vAlign w:val="center"/>
          </w:tcPr>
          <w:p w14:paraId="40213FA1"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2022</w:t>
            </w:r>
          </w:p>
        </w:tc>
        <w:tc>
          <w:tcPr>
            <w:tcW w:w="391" w:type="pct"/>
            <w:tcBorders>
              <w:top w:val="single" w:sz="4" w:space="0" w:color="auto"/>
              <w:left w:val="nil"/>
              <w:bottom w:val="single" w:sz="4" w:space="0" w:color="auto"/>
              <w:right w:val="single" w:sz="4" w:space="0" w:color="auto"/>
            </w:tcBorders>
            <w:vAlign w:val="center"/>
          </w:tcPr>
          <w:p w14:paraId="5692C726"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17.23</w:t>
            </w:r>
          </w:p>
        </w:tc>
        <w:tc>
          <w:tcPr>
            <w:tcW w:w="379" w:type="pct"/>
            <w:tcBorders>
              <w:top w:val="single" w:sz="4" w:space="0" w:color="auto"/>
              <w:left w:val="single" w:sz="4" w:space="0" w:color="auto"/>
              <w:bottom w:val="single" w:sz="4" w:space="0" w:color="auto"/>
              <w:right w:val="single" w:sz="4" w:space="0" w:color="auto"/>
            </w:tcBorders>
            <w:noWrap/>
            <w:vAlign w:val="center"/>
          </w:tcPr>
          <w:p w14:paraId="57EED777"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15.77</w:t>
            </w:r>
          </w:p>
        </w:tc>
        <w:tc>
          <w:tcPr>
            <w:tcW w:w="728" w:type="pct"/>
            <w:tcBorders>
              <w:top w:val="single" w:sz="4" w:space="0" w:color="auto"/>
              <w:left w:val="nil"/>
              <w:bottom w:val="single" w:sz="4" w:space="0" w:color="auto"/>
              <w:right w:val="single" w:sz="4" w:space="0" w:color="auto"/>
            </w:tcBorders>
            <w:vAlign w:val="center"/>
          </w:tcPr>
          <w:p w14:paraId="00CCE832"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83.78</w:t>
            </w:r>
          </w:p>
        </w:tc>
        <w:tc>
          <w:tcPr>
            <w:tcW w:w="679" w:type="pct"/>
            <w:tcBorders>
              <w:top w:val="single" w:sz="4" w:space="0" w:color="auto"/>
              <w:left w:val="nil"/>
              <w:bottom w:val="single" w:sz="4" w:space="0" w:color="auto"/>
              <w:right w:val="single" w:sz="4" w:space="0" w:color="auto"/>
            </w:tcBorders>
            <w:noWrap/>
            <w:vAlign w:val="center"/>
          </w:tcPr>
          <w:p w14:paraId="4FF47239"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11.47</w:t>
            </w:r>
          </w:p>
        </w:tc>
        <w:tc>
          <w:tcPr>
            <w:tcW w:w="921" w:type="pct"/>
            <w:tcBorders>
              <w:top w:val="single" w:sz="4" w:space="0" w:color="auto"/>
              <w:left w:val="nil"/>
              <w:bottom w:val="single" w:sz="4" w:space="0" w:color="auto"/>
              <w:right w:val="single" w:sz="4" w:space="0" w:color="auto"/>
            </w:tcBorders>
            <w:vAlign w:val="center"/>
          </w:tcPr>
          <w:p w14:paraId="6FCEC70D"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29.73</w:t>
            </w:r>
          </w:p>
        </w:tc>
      </w:tr>
      <w:tr w:rsidR="00D45858" w:rsidRPr="005710DA" w14:paraId="67328276" w14:textId="77777777" w:rsidTr="00B22435">
        <w:trPr>
          <w:trHeight w:val="347"/>
          <w:jc w:val="center"/>
        </w:trPr>
        <w:tc>
          <w:tcPr>
            <w:tcW w:w="288" w:type="pct"/>
            <w:vMerge/>
            <w:tcBorders>
              <w:left w:val="single" w:sz="4" w:space="0" w:color="auto"/>
              <w:right w:val="single" w:sz="4" w:space="0" w:color="auto"/>
            </w:tcBorders>
            <w:vAlign w:val="center"/>
          </w:tcPr>
          <w:p w14:paraId="125C8405"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right w:val="single" w:sz="4" w:space="0" w:color="auto"/>
            </w:tcBorders>
            <w:vAlign w:val="center"/>
          </w:tcPr>
          <w:p w14:paraId="02417934" w14:textId="77777777" w:rsidR="00D45858" w:rsidRPr="005710DA" w:rsidRDefault="00D45858" w:rsidP="00305505">
            <w:pPr>
              <w:spacing w:after="0" w:line="240" w:lineRule="auto"/>
              <w:rPr>
                <w:rFonts w:ascii="Times New Roman" w:eastAsia="Times New Roman" w:hAnsi="Times New Roman" w:cs="Times New Roman"/>
                <w:b/>
                <w:bCs/>
              </w:rPr>
            </w:pPr>
          </w:p>
        </w:tc>
        <w:tc>
          <w:tcPr>
            <w:tcW w:w="1027" w:type="pct"/>
            <w:tcBorders>
              <w:top w:val="single" w:sz="4" w:space="0" w:color="auto"/>
              <w:left w:val="single" w:sz="4" w:space="0" w:color="auto"/>
              <w:bottom w:val="single" w:sz="4" w:space="0" w:color="auto"/>
              <w:right w:val="single" w:sz="4" w:space="0" w:color="auto"/>
            </w:tcBorders>
            <w:vAlign w:val="center"/>
          </w:tcPr>
          <w:p w14:paraId="24D37B03"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2023</w:t>
            </w:r>
          </w:p>
        </w:tc>
        <w:tc>
          <w:tcPr>
            <w:tcW w:w="391" w:type="pct"/>
            <w:tcBorders>
              <w:top w:val="single" w:sz="4" w:space="0" w:color="auto"/>
              <w:left w:val="nil"/>
              <w:bottom w:val="single" w:sz="4" w:space="0" w:color="auto"/>
              <w:right w:val="single" w:sz="4" w:space="0" w:color="auto"/>
            </w:tcBorders>
            <w:vAlign w:val="center"/>
          </w:tcPr>
          <w:p w14:paraId="6022E1A1"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15.94</w:t>
            </w:r>
          </w:p>
        </w:tc>
        <w:tc>
          <w:tcPr>
            <w:tcW w:w="379" w:type="pct"/>
            <w:tcBorders>
              <w:top w:val="single" w:sz="4" w:space="0" w:color="auto"/>
              <w:left w:val="single" w:sz="4" w:space="0" w:color="auto"/>
              <w:bottom w:val="single" w:sz="4" w:space="0" w:color="auto"/>
              <w:right w:val="single" w:sz="4" w:space="0" w:color="auto"/>
            </w:tcBorders>
            <w:noWrap/>
            <w:vAlign w:val="center"/>
          </w:tcPr>
          <w:p w14:paraId="3536CF88"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14.69</w:t>
            </w:r>
          </w:p>
        </w:tc>
        <w:tc>
          <w:tcPr>
            <w:tcW w:w="728" w:type="pct"/>
            <w:tcBorders>
              <w:top w:val="single" w:sz="4" w:space="0" w:color="auto"/>
              <w:left w:val="nil"/>
              <w:bottom w:val="single" w:sz="4" w:space="0" w:color="auto"/>
              <w:right w:val="single" w:sz="4" w:space="0" w:color="auto"/>
            </w:tcBorders>
            <w:vAlign w:val="center"/>
          </w:tcPr>
          <w:p w14:paraId="12C4596B"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84.91</w:t>
            </w:r>
          </w:p>
        </w:tc>
        <w:tc>
          <w:tcPr>
            <w:tcW w:w="679" w:type="pct"/>
            <w:tcBorders>
              <w:top w:val="single" w:sz="4" w:space="0" w:color="auto"/>
              <w:left w:val="nil"/>
              <w:bottom w:val="single" w:sz="4" w:space="0" w:color="auto"/>
              <w:right w:val="single" w:sz="4" w:space="0" w:color="auto"/>
            </w:tcBorders>
            <w:noWrap/>
            <w:vAlign w:val="center"/>
          </w:tcPr>
          <w:p w14:paraId="11A71C84"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11.04</w:t>
            </w:r>
          </w:p>
        </w:tc>
        <w:tc>
          <w:tcPr>
            <w:tcW w:w="921" w:type="pct"/>
            <w:tcBorders>
              <w:top w:val="single" w:sz="4" w:space="0" w:color="auto"/>
              <w:left w:val="nil"/>
              <w:bottom w:val="single" w:sz="4" w:space="0" w:color="auto"/>
              <w:right w:val="single" w:sz="4" w:space="0" w:color="auto"/>
            </w:tcBorders>
            <w:vAlign w:val="center"/>
          </w:tcPr>
          <w:p w14:paraId="52FDA1BC"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27.87</w:t>
            </w:r>
          </w:p>
        </w:tc>
      </w:tr>
      <w:tr w:rsidR="00D45858" w:rsidRPr="005710DA" w14:paraId="7E7D56E0" w14:textId="77777777" w:rsidTr="00B22435">
        <w:trPr>
          <w:trHeight w:val="347"/>
          <w:jc w:val="center"/>
        </w:trPr>
        <w:tc>
          <w:tcPr>
            <w:tcW w:w="288" w:type="pct"/>
            <w:vMerge/>
            <w:tcBorders>
              <w:left w:val="single" w:sz="4" w:space="0" w:color="auto"/>
              <w:bottom w:val="single" w:sz="4" w:space="0" w:color="auto"/>
              <w:right w:val="single" w:sz="4" w:space="0" w:color="auto"/>
            </w:tcBorders>
            <w:vAlign w:val="center"/>
          </w:tcPr>
          <w:p w14:paraId="17C3C88E"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bottom w:val="single" w:sz="4" w:space="0" w:color="auto"/>
              <w:right w:val="single" w:sz="4" w:space="0" w:color="auto"/>
            </w:tcBorders>
            <w:vAlign w:val="center"/>
          </w:tcPr>
          <w:p w14:paraId="4CF1A156" w14:textId="77777777" w:rsidR="00D45858" w:rsidRPr="005710DA" w:rsidRDefault="00D45858" w:rsidP="00305505">
            <w:pPr>
              <w:spacing w:after="0" w:line="240" w:lineRule="auto"/>
              <w:rPr>
                <w:rFonts w:ascii="Times New Roman" w:eastAsia="Times New Roman" w:hAnsi="Times New Roman" w:cs="Times New Roman"/>
                <w:b/>
                <w:bCs/>
              </w:rPr>
            </w:pPr>
          </w:p>
        </w:tc>
        <w:tc>
          <w:tcPr>
            <w:tcW w:w="1027" w:type="pct"/>
            <w:tcBorders>
              <w:top w:val="single" w:sz="4" w:space="0" w:color="auto"/>
              <w:left w:val="single" w:sz="4" w:space="0" w:color="auto"/>
              <w:bottom w:val="single" w:sz="4" w:space="0" w:color="auto"/>
              <w:right w:val="single" w:sz="4" w:space="0" w:color="auto"/>
            </w:tcBorders>
            <w:vAlign w:val="center"/>
          </w:tcPr>
          <w:p w14:paraId="6CC75175"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b/>
                <w:bCs/>
              </w:rPr>
              <w:t xml:space="preserve">Pooled </w:t>
            </w:r>
          </w:p>
        </w:tc>
        <w:tc>
          <w:tcPr>
            <w:tcW w:w="391" w:type="pct"/>
            <w:tcBorders>
              <w:top w:val="single" w:sz="4" w:space="0" w:color="auto"/>
              <w:left w:val="nil"/>
              <w:bottom w:val="single" w:sz="4" w:space="0" w:color="auto"/>
              <w:right w:val="single" w:sz="4" w:space="0" w:color="auto"/>
            </w:tcBorders>
            <w:vAlign w:val="center"/>
          </w:tcPr>
          <w:p w14:paraId="358CE0F4"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15.37</w:t>
            </w:r>
          </w:p>
        </w:tc>
        <w:tc>
          <w:tcPr>
            <w:tcW w:w="379" w:type="pct"/>
            <w:tcBorders>
              <w:top w:val="single" w:sz="4" w:space="0" w:color="auto"/>
              <w:left w:val="single" w:sz="4" w:space="0" w:color="auto"/>
              <w:bottom w:val="single" w:sz="4" w:space="0" w:color="auto"/>
              <w:right w:val="single" w:sz="4" w:space="0" w:color="auto"/>
            </w:tcBorders>
            <w:noWrap/>
            <w:vAlign w:val="center"/>
          </w:tcPr>
          <w:p w14:paraId="789EB665"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14.36</w:t>
            </w:r>
          </w:p>
        </w:tc>
        <w:tc>
          <w:tcPr>
            <w:tcW w:w="728" w:type="pct"/>
            <w:tcBorders>
              <w:top w:val="single" w:sz="4" w:space="0" w:color="auto"/>
              <w:left w:val="nil"/>
              <w:bottom w:val="single" w:sz="4" w:space="0" w:color="auto"/>
              <w:right w:val="single" w:sz="4" w:space="0" w:color="auto"/>
            </w:tcBorders>
            <w:vAlign w:val="center"/>
          </w:tcPr>
          <w:p w14:paraId="7BC84503"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87.30</w:t>
            </w:r>
          </w:p>
        </w:tc>
        <w:tc>
          <w:tcPr>
            <w:tcW w:w="679" w:type="pct"/>
            <w:tcBorders>
              <w:top w:val="single" w:sz="4" w:space="0" w:color="auto"/>
              <w:left w:val="nil"/>
              <w:bottom w:val="single" w:sz="4" w:space="0" w:color="auto"/>
              <w:right w:val="single" w:sz="4" w:space="0" w:color="auto"/>
            </w:tcBorders>
            <w:noWrap/>
            <w:vAlign w:val="center"/>
          </w:tcPr>
          <w:p w14:paraId="4D0C7BE6"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10.80</w:t>
            </w:r>
          </w:p>
        </w:tc>
        <w:tc>
          <w:tcPr>
            <w:tcW w:w="921" w:type="pct"/>
            <w:tcBorders>
              <w:top w:val="single" w:sz="4" w:space="0" w:color="auto"/>
              <w:left w:val="nil"/>
              <w:bottom w:val="single" w:sz="4" w:space="0" w:color="auto"/>
              <w:right w:val="single" w:sz="4" w:space="0" w:color="auto"/>
            </w:tcBorders>
            <w:vAlign w:val="center"/>
          </w:tcPr>
          <w:p w14:paraId="72FA1179"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27.63</w:t>
            </w:r>
          </w:p>
        </w:tc>
      </w:tr>
      <w:tr w:rsidR="00D45858" w:rsidRPr="005710DA" w14:paraId="5DB51F55" w14:textId="77777777" w:rsidTr="00B22435">
        <w:trPr>
          <w:trHeight w:val="347"/>
          <w:jc w:val="center"/>
        </w:trPr>
        <w:tc>
          <w:tcPr>
            <w:tcW w:w="288" w:type="pct"/>
            <w:vMerge w:val="restart"/>
            <w:tcBorders>
              <w:top w:val="single" w:sz="4" w:space="0" w:color="auto"/>
              <w:left w:val="single" w:sz="4" w:space="0" w:color="auto"/>
              <w:right w:val="single" w:sz="4" w:space="0" w:color="auto"/>
            </w:tcBorders>
            <w:vAlign w:val="center"/>
          </w:tcPr>
          <w:p w14:paraId="297ABC66"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w:t>
            </w:r>
          </w:p>
          <w:p w14:paraId="649A539E" w14:textId="77777777" w:rsidR="00D45858" w:rsidRPr="005710DA" w:rsidRDefault="00D45858" w:rsidP="00305505">
            <w:pPr>
              <w:spacing w:after="0" w:line="240" w:lineRule="auto"/>
              <w:jc w:val="center"/>
              <w:rPr>
                <w:rFonts w:ascii="Times New Roman" w:eastAsia="Times New Roman" w:hAnsi="Times New Roman" w:cs="Times New Roman"/>
              </w:rPr>
            </w:pPr>
          </w:p>
          <w:p w14:paraId="0F86C7F1"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val="restart"/>
            <w:tcBorders>
              <w:top w:val="single" w:sz="4" w:space="0" w:color="auto"/>
              <w:left w:val="nil"/>
              <w:right w:val="single" w:sz="4" w:space="0" w:color="auto"/>
            </w:tcBorders>
            <w:vAlign w:val="center"/>
          </w:tcPr>
          <w:p w14:paraId="40B11F79" w14:textId="77777777" w:rsidR="00D45858" w:rsidRPr="005710DA" w:rsidRDefault="00D45858" w:rsidP="00305505">
            <w:pPr>
              <w:spacing w:after="0" w:line="240" w:lineRule="auto"/>
              <w:rPr>
                <w:rFonts w:ascii="Times New Roman" w:eastAsia="Times New Roman" w:hAnsi="Times New Roman" w:cs="Times New Roman"/>
                <w:b/>
                <w:bCs/>
              </w:rPr>
            </w:pPr>
            <w:r w:rsidRPr="005710DA">
              <w:rPr>
                <w:rFonts w:ascii="Times New Roman" w:eastAsia="Times New Roman" w:hAnsi="Times New Roman" w:cs="Times New Roman"/>
                <w:i/>
                <w:iCs/>
              </w:rPr>
              <w:t xml:space="preserve">Per </w:t>
            </w:r>
            <w:proofErr w:type="gramStart"/>
            <w:r w:rsidRPr="005710DA">
              <w:rPr>
                <w:rFonts w:ascii="Times New Roman" w:eastAsia="Times New Roman" w:hAnsi="Times New Roman" w:cs="Times New Roman"/>
                <w:i/>
                <w:iCs/>
              </w:rPr>
              <w:t xml:space="preserve">cent </w:t>
            </w:r>
            <w:r w:rsidRPr="005710DA">
              <w:rPr>
                <w:rFonts w:ascii="Times New Roman" w:eastAsia="Times New Roman" w:hAnsi="Times New Roman" w:cs="Times New Roman"/>
              </w:rPr>
              <w:t xml:space="preserve"> membrane</w:t>
            </w:r>
            <w:proofErr w:type="gramEnd"/>
            <w:r w:rsidRPr="005710DA">
              <w:rPr>
                <w:rFonts w:ascii="Times New Roman" w:eastAsia="Times New Roman" w:hAnsi="Times New Roman" w:cs="Times New Roman"/>
              </w:rPr>
              <w:t xml:space="preserve"> damage</w:t>
            </w:r>
          </w:p>
        </w:tc>
        <w:tc>
          <w:tcPr>
            <w:tcW w:w="1027" w:type="pct"/>
            <w:tcBorders>
              <w:top w:val="single" w:sz="4" w:space="0" w:color="auto"/>
              <w:left w:val="single" w:sz="4" w:space="0" w:color="auto"/>
              <w:bottom w:val="single" w:sz="4" w:space="0" w:color="auto"/>
              <w:right w:val="single" w:sz="4" w:space="0" w:color="auto"/>
            </w:tcBorders>
            <w:vAlign w:val="center"/>
          </w:tcPr>
          <w:p w14:paraId="66114444"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2022</w:t>
            </w:r>
          </w:p>
        </w:tc>
        <w:tc>
          <w:tcPr>
            <w:tcW w:w="391" w:type="pct"/>
            <w:tcBorders>
              <w:top w:val="single" w:sz="4" w:space="0" w:color="auto"/>
              <w:left w:val="nil"/>
              <w:bottom w:val="single" w:sz="4" w:space="0" w:color="auto"/>
              <w:right w:val="single" w:sz="4" w:space="0" w:color="auto"/>
            </w:tcBorders>
            <w:vAlign w:val="center"/>
          </w:tcPr>
          <w:p w14:paraId="3F74C057"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8.92</w:t>
            </w:r>
          </w:p>
        </w:tc>
        <w:tc>
          <w:tcPr>
            <w:tcW w:w="379" w:type="pct"/>
            <w:tcBorders>
              <w:top w:val="single" w:sz="4" w:space="0" w:color="auto"/>
              <w:left w:val="single" w:sz="4" w:space="0" w:color="auto"/>
              <w:bottom w:val="single" w:sz="4" w:space="0" w:color="auto"/>
              <w:right w:val="single" w:sz="4" w:space="0" w:color="auto"/>
            </w:tcBorders>
            <w:noWrap/>
            <w:vAlign w:val="center"/>
          </w:tcPr>
          <w:p w14:paraId="7D03A910"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8.54</w:t>
            </w:r>
          </w:p>
        </w:tc>
        <w:tc>
          <w:tcPr>
            <w:tcW w:w="728" w:type="pct"/>
            <w:tcBorders>
              <w:top w:val="single" w:sz="4" w:space="0" w:color="auto"/>
              <w:left w:val="nil"/>
              <w:bottom w:val="single" w:sz="4" w:space="0" w:color="auto"/>
              <w:right w:val="single" w:sz="4" w:space="0" w:color="auto"/>
            </w:tcBorders>
            <w:vAlign w:val="center"/>
          </w:tcPr>
          <w:p w14:paraId="1079B464"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91.55</w:t>
            </w:r>
          </w:p>
        </w:tc>
        <w:tc>
          <w:tcPr>
            <w:tcW w:w="679" w:type="pct"/>
            <w:tcBorders>
              <w:top w:val="single" w:sz="4" w:space="0" w:color="auto"/>
              <w:left w:val="nil"/>
              <w:bottom w:val="single" w:sz="4" w:space="0" w:color="auto"/>
              <w:right w:val="single" w:sz="4" w:space="0" w:color="auto"/>
            </w:tcBorders>
            <w:noWrap/>
            <w:vAlign w:val="center"/>
          </w:tcPr>
          <w:p w14:paraId="280A1142"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13.17</w:t>
            </w:r>
          </w:p>
        </w:tc>
        <w:tc>
          <w:tcPr>
            <w:tcW w:w="921" w:type="pct"/>
            <w:tcBorders>
              <w:top w:val="single" w:sz="4" w:space="0" w:color="auto"/>
              <w:left w:val="nil"/>
              <w:bottom w:val="single" w:sz="4" w:space="0" w:color="auto"/>
              <w:right w:val="single" w:sz="4" w:space="0" w:color="auto"/>
            </w:tcBorders>
            <w:vAlign w:val="center"/>
          </w:tcPr>
          <w:p w14:paraId="2544DBE8"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16.82</w:t>
            </w:r>
          </w:p>
        </w:tc>
      </w:tr>
      <w:tr w:rsidR="00D45858" w:rsidRPr="005710DA" w14:paraId="719AA4B4" w14:textId="77777777" w:rsidTr="00B22435">
        <w:trPr>
          <w:trHeight w:val="347"/>
          <w:jc w:val="center"/>
        </w:trPr>
        <w:tc>
          <w:tcPr>
            <w:tcW w:w="288" w:type="pct"/>
            <w:vMerge/>
            <w:tcBorders>
              <w:left w:val="single" w:sz="4" w:space="0" w:color="auto"/>
              <w:right w:val="single" w:sz="4" w:space="0" w:color="auto"/>
            </w:tcBorders>
            <w:vAlign w:val="center"/>
            <w:hideMark/>
          </w:tcPr>
          <w:p w14:paraId="087FE7BC"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right w:val="single" w:sz="4" w:space="0" w:color="auto"/>
            </w:tcBorders>
            <w:vAlign w:val="center"/>
          </w:tcPr>
          <w:p w14:paraId="2DE9C155" w14:textId="77777777" w:rsidR="00D45858" w:rsidRPr="005710DA" w:rsidRDefault="00D45858" w:rsidP="00305505">
            <w:pPr>
              <w:spacing w:after="0" w:line="240" w:lineRule="auto"/>
              <w:rPr>
                <w:rFonts w:ascii="Times New Roman" w:eastAsia="Times New Roman" w:hAnsi="Times New Roman" w:cs="Times New Roman"/>
              </w:rPr>
            </w:pPr>
          </w:p>
        </w:tc>
        <w:tc>
          <w:tcPr>
            <w:tcW w:w="1027" w:type="pct"/>
            <w:tcBorders>
              <w:top w:val="nil"/>
              <w:left w:val="single" w:sz="4" w:space="0" w:color="auto"/>
              <w:bottom w:val="single" w:sz="4" w:space="0" w:color="auto"/>
              <w:right w:val="single" w:sz="4" w:space="0" w:color="auto"/>
            </w:tcBorders>
            <w:noWrap/>
            <w:vAlign w:val="center"/>
          </w:tcPr>
          <w:p w14:paraId="7BAAAFE5" w14:textId="77777777" w:rsidR="00D45858" w:rsidRPr="005710DA" w:rsidRDefault="00D45858" w:rsidP="00305505">
            <w:pPr>
              <w:spacing w:after="0" w:line="240" w:lineRule="auto"/>
              <w:jc w:val="both"/>
              <w:rPr>
                <w:rFonts w:ascii="Times New Roman" w:eastAsia="Times New Roman" w:hAnsi="Times New Roman" w:cs="Times New Roman"/>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2023</w:t>
            </w:r>
          </w:p>
        </w:tc>
        <w:tc>
          <w:tcPr>
            <w:tcW w:w="391" w:type="pct"/>
            <w:tcBorders>
              <w:top w:val="nil"/>
              <w:left w:val="nil"/>
              <w:bottom w:val="single" w:sz="4" w:space="0" w:color="auto"/>
              <w:right w:val="single" w:sz="4" w:space="0" w:color="auto"/>
            </w:tcBorders>
            <w:vAlign w:val="center"/>
          </w:tcPr>
          <w:p w14:paraId="5E2AD21C"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8.00</w:t>
            </w:r>
          </w:p>
        </w:tc>
        <w:tc>
          <w:tcPr>
            <w:tcW w:w="379" w:type="pct"/>
            <w:tcBorders>
              <w:top w:val="nil"/>
              <w:left w:val="single" w:sz="4" w:space="0" w:color="auto"/>
              <w:bottom w:val="single" w:sz="4" w:space="0" w:color="auto"/>
              <w:right w:val="single" w:sz="4" w:space="0" w:color="auto"/>
            </w:tcBorders>
            <w:noWrap/>
            <w:vAlign w:val="center"/>
          </w:tcPr>
          <w:p w14:paraId="2BCB67FF"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7.68</w:t>
            </w:r>
          </w:p>
        </w:tc>
        <w:tc>
          <w:tcPr>
            <w:tcW w:w="728" w:type="pct"/>
            <w:tcBorders>
              <w:top w:val="nil"/>
              <w:left w:val="nil"/>
              <w:bottom w:val="single" w:sz="4" w:space="0" w:color="auto"/>
              <w:right w:val="single" w:sz="4" w:space="0" w:color="auto"/>
            </w:tcBorders>
            <w:noWrap/>
            <w:vAlign w:val="center"/>
          </w:tcPr>
          <w:p w14:paraId="356163B9"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92.29</w:t>
            </w:r>
          </w:p>
        </w:tc>
        <w:tc>
          <w:tcPr>
            <w:tcW w:w="679" w:type="pct"/>
            <w:tcBorders>
              <w:top w:val="nil"/>
              <w:left w:val="nil"/>
              <w:bottom w:val="single" w:sz="4" w:space="0" w:color="auto"/>
              <w:right w:val="single" w:sz="4" w:space="0" w:color="auto"/>
            </w:tcBorders>
            <w:noWrap/>
            <w:vAlign w:val="center"/>
          </w:tcPr>
          <w:p w14:paraId="743B91FC"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11.79</w:t>
            </w:r>
          </w:p>
        </w:tc>
        <w:tc>
          <w:tcPr>
            <w:tcW w:w="921" w:type="pct"/>
            <w:tcBorders>
              <w:top w:val="nil"/>
              <w:left w:val="nil"/>
              <w:bottom w:val="single" w:sz="4" w:space="0" w:color="auto"/>
              <w:right w:val="single" w:sz="4" w:space="0" w:color="auto"/>
            </w:tcBorders>
            <w:noWrap/>
            <w:vAlign w:val="center"/>
          </w:tcPr>
          <w:p w14:paraId="2C5C7253"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15.20</w:t>
            </w:r>
          </w:p>
        </w:tc>
      </w:tr>
      <w:tr w:rsidR="00D45858" w:rsidRPr="005710DA" w14:paraId="34FEB9D6" w14:textId="77777777" w:rsidTr="00B22435">
        <w:trPr>
          <w:trHeight w:val="180"/>
          <w:jc w:val="center"/>
        </w:trPr>
        <w:tc>
          <w:tcPr>
            <w:tcW w:w="288" w:type="pct"/>
            <w:vMerge/>
            <w:tcBorders>
              <w:left w:val="single" w:sz="4" w:space="0" w:color="auto"/>
              <w:bottom w:val="single" w:sz="4" w:space="0" w:color="auto"/>
              <w:right w:val="single" w:sz="4" w:space="0" w:color="auto"/>
            </w:tcBorders>
            <w:vAlign w:val="center"/>
            <w:hideMark/>
          </w:tcPr>
          <w:p w14:paraId="54AD8354"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bottom w:val="single" w:sz="4" w:space="0" w:color="auto"/>
              <w:right w:val="single" w:sz="4" w:space="0" w:color="auto"/>
            </w:tcBorders>
            <w:vAlign w:val="center"/>
          </w:tcPr>
          <w:p w14:paraId="1F9403C3" w14:textId="77777777" w:rsidR="00D45858" w:rsidRPr="005710DA" w:rsidRDefault="00D45858" w:rsidP="00305505">
            <w:pPr>
              <w:spacing w:after="0" w:line="240" w:lineRule="auto"/>
              <w:rPr>
                <w:rFonts w:ascii="Times New Roman" w:eastAsia="Times New Roman" w:hAnsi="Times New Roman" w:cs="Times New Roman"/>
              </w:rPr>
            </w:pPr>
          </w:p>
        </w:tc>
        <w:tc>
          <w:tcPr>
            <w:tcW w:w="1027" w:type="pct"/>
            <w:tcBorders>
              <w:top w:val="nil"/>
              <w:left w:val="single" w:sz="4" w:space="0" w:color="auto"/>
              <w:bottom w:val="single" w:sz="4" w:space="0" w:color="auto"/>
              <w:right w:val="single" w:sz="4" w:space="0" w:color="auto"/>
            </w:tcBorders>
            <w:noWrap/>
            <w:vAlign w:val="center"/>
            <w:hideMark/>
          </w:tcPr>
          <w:p w14:paraId="0C6105F1" w14:textId="77777777" w:rsidR="00D45858" w:rsidRPr="005710DA" w:rsidRDefault="00D45858" w:rsidP="00305505">
            <w:pPr>
              <w:spacing w:after="0" w:line="240" w:lineRule="auto"/>
              <w:jc w:val="both"/>
              <w:rPr>
                <w:rFonts w:ascii="Times New Roman" w:eastAsia="Times New Roman" w:hAnsi="Times New Roman" w:cs="Times New Roman"/>
              </w:rPr>
            </w:pPr>
            <w:r w:rsidRPr="005710DA">
              <w:rPr>
                <w:rFonts w:ascii="Times New Roman" w:eastAsia="Times New Roman" w:hAnsi="Times New Roman" w:cs="Times New Roman"/>
                <w:b/>
                <w:bCs/>
              </w:rPr>
              <w:t>Pooled</w:t>
            </w:r>
          </w:p>
        </w:tc>
        <w:tc>
          <w:tcPr>
            <w:tcW w:w="391" w:type="pct"/>
            <w:tcBorders>
              <w:top w:val="nil"/>
              <w:left w:val="nil"/>
              <w:bottom w:val="single" w:sz="4" w:space="0" w:color="auto"/>
              <w:right w:val="single" w:sz="4" w:space="0" w:color="auto"/>
            </w:tcBorders>
            <w:vAlign w:val="center"/>
          </w:tcPr>
          <w:p w14:paraId="012DA793"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8.84</w:t>
            </w:r>
          </w:p>
        </w:tc>
        <w:tc>
          <w:tcPr>
            <w:tcW w:w="379" w:type="pct"/>
            <w:tcBorders>
              <w:top w:val="nil"/>
              <w:left w:val="single" w:sz="4" w:space="0" w:color="auto"/>
              <w:bottom w:val="single" w:sz="4" w:space="0" w:color="auto"/>
              <w:right w:val="single" w:sz="4" w:space="0" w:color="auto"/>
            </w:tcBorders>
            <w:noWrap/>
            <w:vAlign w:val="center"/>
          </w:tcPr>
          <w:p w14:paraId="4F826EA5"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8.37</w:t>
            </w:r>
          </w:p>
        </w:tc>
        <w:tc>
          <w:tcPr>
            <w:tcW w:w="728" w:type="pct"/>
            <w:tcBorders>
              <w:top w:val="nil"/>
              <w:left w:val="nil"/>
              <w:bottom w:val="single" w:sz="4" w:space="0" w:color="auto"/>
              <w:right w:val="single" w:sz="4" w:space="0" w:color="auto"/>
            </w:tcBorders>
            <w:noWrap/>
            <w:vAlign w:val="center"/>
          </w:tcPr>
          <w:p w14:paraId="59DB8B47"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89.66</w:t>
            </w:r>
          </w:p>
        </w:tc>
        <w:tc>
          <w:tcPr>
            <w:tcW w:w="679" w:type="pct"/>
            <w:tcBorders>
              <w:top w:val="nil"/>
              <w:left w:val="nil"/>
              <w:bottom w:val="single" w:sz="4" w:space="0" w:color="auto"/>
              <w:right w:val="single" w:sz="4" w:space="0" w:color="auto"/>
            </w:tcBorders>
            <w:noWrap/>
            <w:vAlign w:val="center"/>
          </w:tcPr>
          <w:p w14:paraId="567B1834"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12.54</w:t>
            </w:r>
          </w:p>
        </w:tc>
        <w:tc>
          <w:tcPr>
            <w:tcW w:w="921" w:type="pct"/>
            <w:tcBorders>
              <w:top w:val="nil"/>
              <w:left w:val="nil"/>
              <w:bottom w:val="single" w:sz="4" w:space="0" w:color="auto"/>
              <w:right w:val="single" w:sz="4" w:space="0" w:color="auto"/>
            </w:tcBorders>
            <w:noWrap/>
            <w:vAlign w:val="center"/>
          </w:tcPr>
          <w:p w14:paraId="4B5C74EE"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16.32</w:t>
            </w:r>
          </w:p>
        </w:tc>
      </w:tr>
      <w:tr w:rsidR="00D45858" w:rsidRPr="005710DA" w14:paraId="235C2186" w14:textId="77777777" w:rsidTr="00B22435">
        <w:trPr>
          <w:trHeight w:val="347"/>
          <w:jc w:val="center"/>
        </w:trPr>
        <w:tc>
          <w:tcPr>
            <w:tcW w:w="288" w:type="pct"/>
            <w:vMerge w:val="restart"/>
            <w:tcBorders>
              <w:top w:val="nil"/>
              <w:left w:val="single" w:sz="4" w:space="0" w:color="auto"/>
              <w:right w:val="single" w:sz="4" w:space="0" w:color="auto"/>
            </w:tcBorders>
            <w:vAlign w:val="center"/>
            <w:hideMark/>
          </w:tcPr>
          <w:p w14:paraId="2B2C0562"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5</w:t>
            </w:r>
          </w:p>
        </w:tc>
        <w:tc>
          <w:tcPr>
            <w:tcW w:w="587" w:type="pct"/>
            <w:vMerge w:val="restart"/>
            <w:tcBorders>
              <w:top w:val="single" w:sz="4" w:space="0" w:color="auto"/>
              <w:left w:val="nil"/>
              <w:right w:val="single" w:sz="4" w:space="0" w:color="auto"/>
            </w:tcBorders>
            <w:vAlign w:val="center"/>
          </w:tcPr>
          <w:p w14:paraId="52D754BF" w14:textId="77777777" w:rsidR="00D45858" w:rsidRPr="005710DA" w:rsidRDefault="00D45858" w:rsidP="00305505">
            <w:pPr>
              <w:spacing w:after="0" w:line="240" w:lineRule="auto"/>
              <w:rPr>
                <w:rFonts w:ascii="Times New Roman" w:eastAsia="Times New Roman" w:hAnsi="Times New Roman" w:cs="Times New Roman"/>
              </w:rPr>
            </w:pPr>
            <w:r w:rsidRPr="005710DA">
              <w:rPr>
                <w:rFonts w:ascii="Times New Roman" w:eastAsia="Times New Roman" w:hAnsi="Times New Roman" w:cs="Times New Roman"/>
              </w:rPr>
              <w:t>Canopy temperature</w:t>
            </w:r>
          </w:p>
        </w:tc>
        <w:tc>
          <w:tcPr>
            <w:tcW w:w="1027" w:type="pct"/>
            <w:tcBorders>
              <w:top w:val="nil"/>
              <w:left w:val="single" w:sz="4" w:space="0" w:color="auto"/>
              <w:bottom w:val="single" w:sz="4" w:space="0" w:color="auto"/>
              <w:right w:val="single" w:sz="4" w:space="0" w:color="auto"/>
            </w:tcBorders>
            <w:noWrap/>
            <w:vAlign w:val="center"/>
            <w:hideMark/>
          </w:tcPr>
          <w:p w14:paraId="29DAFC8E" w14:textId="77777777" w:rsidR="00D45858" w:rsidRPr="005710DA" w:rsidRDefault="00D45858" w:rsidP="00305505">
            <w:pPr>
              <w:spacing w:after="0" w:line="240" w:lineRule="auto"/>
              <w:jc w:val="both"/>
              <w:rPr>
                <w:rFonts w:ascii="Times New Roman" w:eastAsia="Times New Roman" w:hAnsi="Times New Roman" w:cs="Times New Roman"/>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2022</w:t>
            </w:r>
          </w:p>
        </w:tc>
        <w:tc>
          <w:tcPr>
            <w:tcW w:w="391" w:type="pct"/>
            <w:tcBorders>
              <w:top w:val="nil"/>
              <w:left w:val="nil"/>
              <w:bottom w:val="single" w:sz="4" w:space="0" w:color="auto"/>
              <w:right w:val="single" w:sz="4" w:space="0" w:color="auto"/>
            </w:tcBorders>
            <w:vAlign w:val="center"/>
          </w:tcPr>
          <w:p w14:paraId="51178CE8"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6.10</w:t>
            </w:r>
          </w:p>
        </w:tc>
        <w:tc>
          <w:tcPr>
            <w:tcW w:w="379" w:type="pct"/>
            <w:tcBorders>
              <w:top w:val="nil"/>
              <w:left w:val="single" w:sz="4" w:space="0" w:color="auto"/>
              <w:bottom w:val="single" w:sz="4" w:space="0" w:color="auto"/>
              <w:right w:val="single" w:sz="4" w:space="0" w:color="auto"/>
            </w:tcBorders>
            <w:noWrap/>
            <w:vAlign w:val="center"/>
          </w:tcPr>
          <w:p w14:paraId="0F857866"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4.62</w:t>
            </w:r>
          </w:p>
        </w:tc>
        <w:tc>
          <w:tcPr>
            <w:tcW w:w="728" w:type="pct"/>
            <w:tcBorders>
              <w:top w:val="nil"/>
              <w:left w:val="nil"/>
              <w:bottom w:val="single" w:sz="4" w:space="0" w:color="auto"/>
              <w:right w:val="single" w:sz="4" w:space="0" w:color="auto"/>
            </w:tcBorders>
            <w:noWrap/>
            <w:vAlign w:val="center"/>
          </w:tcPr>
          <w:p w14:paraId="0E68ABE9"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57.32</w:t>
            </w:r>
          </w:p>
        </w:tc>
        <w:tc>
          <w:tcPr>
            <w:tcW w:w="679" w:type="pct"/>
            <w:tcBorders>
              <w:top w:val="nil"/>
              <w:left w:val="nil"/>
              <w:bottom w:val="single" w:sz="4" w:space="0" w:color="auto"/>
              <w:right w:val="single" w:sz="4" w:space="0" w:color="auto"/>
            </w:tcBorders>
            <w:noWrap/>
            <w:vAlign w:val="center"/>
          </w:tcPr>
          <w:p w14:paraId="6097CEBA"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3.00</w:t>
            </w:r>
          </w:p>
        </w:tc>
        <w:tc>
          <w:tcPr>
            <w:tcW w:w="921" w:type="pct"/>
            <w:tcBorders>
              <w:top w:val="nil"/>
              <w:left w:val="nil"/>
              <w:bottom w:val="single" w:sz="4" w:space="0" w:color="auto"/>
              <w:right w:val="single" w:sz="4" w:space="0" w:color="auto"/>
            </w:tcBorders>
            <w:noWrap/>
            <w:vAlign w:val="center"/>
          </w:tcPr>
          <w:p w14:paraId="3AE2A18B"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7.20</w:t>
            </w:r>
          </w:p>
        </w:tc>
      </w:tr>
      <w:tr w:rsidR="00D45858" w:rsidRPr="005710DA" w14:paraId="5592EB63" w14:textId="77777777" w:rsidTr="00B22435">
        <w:trPr>
          <w:trHeight w:val="347"/>
          <w:jc w:val="center"/>
        </w:trPr>
        <w:tc>
          <w:tcPr>
            <w:tcW w:w="288" w:type="pct"/>
            <w:vMerge/>
            <w:tcBorders>
              <w:left w:val="single" w:sz="4" w:space="0" w:color="auto"/>
              <w:right w:val="single" w:sz="4" w:space="0" w:color="auto"/>
            </w:tcBorders>
            <w:vAlign w:val="center"/>
            <w:hideMark/>
          </w:tcPr>
          <w:p w14:paraId="207EC4DC"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right w:val="single" w:sz="4" w:space="0" w:color="auto"/>
            </w:tcBorders>
            <w:vAlign w:val="center"/>
          </w:tcPr>
          <w:p w14:paraId="3A52E1B9" w14:textId="77777777" w:rsidR="00D45858" w:rsidRPr="005710DA" w:rsidRDefault="00D45858" w:rsidP="00305505">
            <w:pPr>
              <w:spacing w:after="0" w:line="240" w:lineRule="auto"/>
              <w:rPr>
                <w:rFonts w:ascii="Times New Roman" w:eastAsia="Times New Roman" w:hAnsi="Times New Roman" w:cs="Times New Roman"/>
              </w:rPr>
            </w:pPr>
          </w:p>
        </w:tc>
        <w:tc>
          <w:tcPr>
            <w:tcW w:w="1027" w:type="pct"/>
            <w:tcBorders>
              <w:top w:val="nil"/>
              <w:left w:val="single" w:sz="4" w:space="0" w:color="auto"/>
              <w:bottom w:val="single" w:sz="4" w:space="0" w:color="auto"/>
              <w:right w:val="single" w:sz="4" w:space="0" w:color="auto"/>
            </w:tcBorders>
            <w:vAlign w:val="center"/>
            <w:hideMark/>
          </w:tcPr>
          <w:p w14:paraId="18AA39B8" w14:textId="77777777" w:rsidR="00D45858" w:rsidRPr="005710DA" w:rsidRDefault="00D45858" w:rsidP="00305505">
            <w:pPr>
              <w:spacing w:after="0" w:line="240" w:lineRule="auto"/>
              <w:jc w:val="both"/>
              <w:rPr>
                <w:rFonts w:ascii="Times New Roman" w:eastAsia="Times New Roman" w:hAnsi="Times New Roman" w:cs="Times New Roman"/>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2023</w:t>
            </w:r>
          </w:p>
        </w:tc>
        <w:tc>
          <w:tcPr>
            <w:tcW w:w="391" w:type="pct"/>
            <w:tcBorders>
              <w:top w:val="nil"/>
              <w:left w:val="nil"/>
              <w:bottom w:val="single" w:sz="4" w:space="0" w:color="auto"/>
              <w:right w:val="single" w:sz="4" w:space="0" w:color="auto"/>
            </w:tcBorders>
            <w:vAlign w:val="center"/>
          </w:tcPr>
          <w:p w14:paraId="55751492"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4.96</w:t>
            </w:r>
          </w:p>
        </w:tc>
        <w:tc>
          <w:tcPr>
            <w:tcW w:w="379" w:type="pct"/>
            <w:tcBorders>
              <w:top w:val="nil"/>
              <w:left w:val="single" w:sz="4" w:space="0" w:color="auto"/>
              <w:bottom w:val="single" w:sz="4" w:space="0" w:color="auto"/>
              <w:right w:val="single" w:sz="4" w:space="0" w:color="auto"/>
            </w:tcBorders>
            <w:noWrap/>
            <w:vAlign w:val="center"/>
          </w:tcPr>
          <w:p w14:paraId="07A2FEE2"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3.39</w:t>
            </w:r>
          </w:p>
        </w:tc>
        <w:tc>
          <w:tcPr>
            <w:tcW w:w="728" w:type="pct"/>
            <w:tcBorders>
              <w:top w:val="nil"/>
              <w:left w:val="nil"/>
              <w:bottom w:val="single" w:sz="4" w:space="0" w:color="auto"/>
              <w:right w:val="single" w:sz="4" w:space="0" w:color="auto"/>
            </w:tcBorders>
            <w:noWrap/>
            <w:vAlign w:val="center"/>
          </w:tcPr>
          <w:p w14:paraId="1318CF6A"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46.82</w:t>
            </w:r>
          </w:p>
        </w:tc>
        <w:tc>
          <w:tcPr>
            <w:tcW w:w="679" w:type="pct"/>
            <w:tcBorders>
              <w:top w:val="nil"/>
              <w:left w:val="nil"/>
              <w:bottom w:val="single" w:sz="4" w:space="0" w:color="auto"/>
              <w:right w:val="single" w:sz="4" w:space="0" w:color="auto"/>
            </w:tcBorders>
            <w:noWrap/>
            <w:vAlign w:val="center"/>
          </w:tcPr>
          <w:p w14:paraId="39D9C889"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1.98</w:t>
            </w:r>
          </w:p>
        </w:tc>
        <w:tc>
          <w:tcPr>
            <w:tcW w:w="921" w:type="pct"/>
            <w:tcBorders>
              <w:top w:val="nil"/>
              <w:left w:val="nil"/>
              <w:bottom w:val="single" w:sz="4" w:space="0" w:color="auto"/>
              <w:right w:val="single" w:sz="4" w:space="0" w:color="auto"/>
            </w:tcBorders>
            <w:noWrap/>
            <w:vAlign w:val="center"/>
          </w:tcPr>
          <w:p w14:paraId="72EEFDFE"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4.78</w:t>
            </w:r>
          </w:p>
        </w:tc>
      </w:tr>
      <w:tr w:rsidR="00D45858" w:rsidRPr="005710DA" w14:paraId="263A8EB6" w14:textId="77777777" w:rsidTr="00B22435">
        <w:trPr>
          <w:trHeight w:val="347"/>
          <w:jc w:val="center"/>
        </w:trPr>
        <w:tc>
          <w:tcPr>
            <w:tcW w:w="288" w:type="pct"/>
            <w:vMerge/>
            <w:tcBorders>
              <w:left w:val="single" w:sz="4" w:space="0" w:color="auto"/>
              <w:bottom w:val="single" w:sz="4" w:space="0" w:color="auto"/>
              <w:right w:val="single" w:sz="4" w:space="0" w:color="auto"/>
            </w:tcBorders>
            <w:vAlign w:val="center"/>
            <w:hideMark/>
          </w:tcPr>
          <w:p w14:paraId="005D2762"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bottom w:val="single" w:sz="4" w:space="0" w:color="auto"/>
              <w:right w:val="single" w:sz="4" w:space="0" w:color="auto"/>
            </w:tcBorders>
            <w:vAlign w:val="center"/>
          </w:tcPr>
          <w:p w14:paraId="10BC9C18" w14:textId="77777777" w:rsidR="00D45858" w:rsidRPr="005710DA" w:rsidRDefault="00D45858" w:rsidP="00305505">
            <w:pPr>
              <w:spacing w:after="0" w:line="240" w:lineRule="auto"/>
              <w:rPr>
                <w:rFonts w:ascii="Times New Roman" w:eastAsia="Times New Roman" w:hAnsi="Times New Roman" w:cs="Times New Roman"/>
              </w:rPr>
            </w:pPr>
          </w:p>
        </w:tc>
        <w:tc>
          <w:tcPr>
            <w:tcW w:w="1027" w:type="pct"/>
            <w:tcBorders>
              <w:top w:val="nil"/>
              <w:left w:val="single" w:sz="4" w:space="0" w:color="auto"/>
              <w:bottom w:val="single" w:sz="4" w:space="0" w:color="auto"/>
              <w:right w:val="single" w:sz="4" w:space="0" w:color="auto"/>
            </w:tcBorders>
            <w:vAlign w:val="center"/>
            <w:hideMark/>
          </w:tcPr>
          <w:p w14:paraId="2EBCEEC2" w14:textId="77777777" w:rsidR="00D45858" w:rsidRPr="005710DA" w:rsidRDefault="00D45858" w:rsidP="00305505">
            <w:pPr>
              <w:spacing w:after="0" w:line="240" w:lineRule="auto"/>
              <w:jc w:val="both"/>
              <w:rPr>
                <w:rFonts w:ascii="Times New Roman" w:eastAsia="Times New Roman" w:hAnsi="Times New Roman" w:cs="Times New Roman"/>
              </w:rPr>
            </w:pPr>
            <w:r w:rsidRPr="005710DA">
              <w:rPr>
                <w:rFonts w:ascii="Times New Roman" w:eastAsia="Times New Roman" w:hAnsi="Times New Roman" w:cs="Times New Roman"/>
                <w:b/>
                <w:bCs/>
              </w:rPr>
              <w:t>Pooled</w:t>
            </w:r>
          </w:p>
        </w:tc>
        <w:tc>
          <w:tcPr>
            <w:tcW w:w="391" w:type="pct"/>
            <w:tcBorders>
              <w:top w:val="nil"/>
              <w:left w:val="nil"/>
              <w:bottom w:val="single" w:sz="4" w:space="0" w:color="auto"/>
              <w:right w:val="single" w:sz="4" w:space="0" w:color="auto"/>
            </w:tcBorders>
            <w:vAlign w:val="center"/>
          </w:tcPr>
          <w:p w14:paraId="21204680"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4.83</w:t>
            </w:r>
          </w:p>
        </w:tc>
        <w:tc>
          <w:tcPr>
            <w:tcW w:w="379" w:type="pct"/>
            <w:tcBorders>
              <w:top w:val="nil"/>
              <w:left w:val="single" w:sz="4" w:space="0" w:color="auto"/>
              <w:bottom w:val="single" w:sz="4" w:space="0" w:color="auto"/>
              <w:right w:val="single" w:sz="4" w:space="0" w:color="auto"/>
            </w:tcBorders>
            <w:noWrap/>
            <w:vAlign w:val="center"/>
            <w:hideMark/>
          </w:tcPr>
          <w:p w14:paraId="6E3D6720"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3.83</w:t>
            </w:r>
          </w:p>
        </w:tc>
        <w:tc>
          <w:tcPr>
            <w:tcW w:w="728" w:type="pct"/>
            <w:tcBorders>
              <w:top w:val="nil"/>
              <w:left w:val="nil"/>
              <w:bottom w:val="single" w:sz="4" w:space="0" w:color="auto"/>
              <w:right w:val="single" w:sz="4" w:space="0" w:color="auto"/>
            </w:tcBorders>
            <w:noWrap/>
            <w:vAlign w:val="center"/>
            <w:hideMark/>
          </w:tcPr>
          <w:p w14:paraId="44AA3388"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62.85</w:t>
            </w:r>
          </w:p>
        </w:tc>
        <w:tc>
          <w:tcPr>
            <w:tcW w:w="679" w:type="pct"/>
            <w:tcBorders>
              <w:top w:val="nil"/>
              <w:left w:val="nil"/>
              <w:bottom w:val="single" w:sz="4" w:space="0" w:color="auto"/>
              <w:right w:val="single" w:sz="4" w:space="0" w:color="auto"/>
            </w:tcBorders>
            <w:noWrap/>
            <w:vAlign w:val="center"/>
            <w:hideMark/>
          </w:tcPr>
          <w:p w14:paraId="5087BA74"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2.60</w:t>
            </w:r>
          </w:p>
        </w:tc>
        <w:tc>
          <w:tcPr>
            <w:tcW w:w="921" w:type="pct"/>
            <w:tcBorders>
              <w:top w:val="nil"/>
              <w:left w:val="nil"/>
              <w:bottom w:val="single" w:sz="4" w:space="0" w:color="auto"/>
              <w:right w:val="single" w:sz="4" w:space="0" w:color="auto"/>
            </w:tcBorders>
            <w:noWrap/>
            <w:vAlign w:val="center"/>
            <w:hideMark/>
          </w:tcPr>
          <w:p w14:paraId="0208CA03"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6.25</w:t>
            </w:r>
          </w:p>
        </w:tc>
      </w:tr>
      <w:tr w:rsidR="00D45858" w:rsidRPr="005710DA" w14:paraId="2DF7F9DB" w14:textId="77777777" w:rsidTr="00B22435">
        <w:trPr>
          <w:trHeight w:val="172"/>
          <w:jc w:val="center"/>
        </w:trPr>
        <w:tc>
          <w:tcPr>
            <w:tcW w:w="288" w:type="pct"/>
            <w:vMerge w:val="restart"/>
            <w:tcBorders>
              <w:top w:val="single" w:sz="4" w:space="0" w:color="auto"/>
              <w:left w:val="single" w:sz="4" w:space="0" w:color="auto"/>
              <w:right w:val="single" w:sz="4" w:space="0" w:color="auto"/>
            </w:tcBorders>
            <w:vAlign w:val="center"/>
          </w:tcPr>
          <w:p w14:paraId="2F81A9BF"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6</w:t>
            </w:r>
          </w:p>
        </w:tc>
        <w:tc>
          <w:tcPr>
            <w:tcW w:w="587" w:type="pct"/>
            <w:vMerge w:val="restart"/>
            <w:tcBorders>
              <w:top w:val="single" w:sz="4" w:space="0" w:color="auto"/>
              <w:left w:val="nil"/>
              <w:right w:val="single" w:sz="4" w:space="0" w:color="auto"/>
            </w:tcBorders>
            <w:vAlign w:val="center"/>
          </w:tcPr>
          <w:p w14:paraId="1C59D5C3" w14:textId="77777777" w:rsidR="00D45858" w:rsidRPr="005710DA" w:rsidRDefault="00D45858" w:rsidP="00305505">
            <w:pPr>
              <w:spacing w:after="0" w:line="240" w:lineRule="auto"/>
              <w:rPr>
                <w:rFonts w:ascii="Times New Roman" w:eastAsia="Times New Roman" w:hAnsi="Times New Roman" w:cs="Times New Roman"/>
              </w:rPr>
            </w:pPr>
            <w:r w:rsidRPr="005710DA">
              <w:rPr>
                <w:rFonts w:ascii="Times New Roman" w:eastAsia="Times New Roman" w:hAnsi="Times New Roman" w:cs="Times New Roman"/>
              </w:rPr>
              <w:t>Stay green score</w:t>
            </w:r>
          </w:p>
        </w:tc>
        <w:tc>
          <w:tcPr>
            <w:tcW w:w="1027" w:type="pct"/>
            <w:tcBorders>
              <w:top w:val="single" w:sz="4" w:space="0" w:color="auto"/>
              <w:left w:val="single" w:sz="4" w:space="0" w:color="auto"/>
              <w:bottom w:val="single" w:sz="4" w:space="0" w:color="auto"/>
              <w:right w:val="single" w:sz="4" w:space="0" w:color="auto"/>
            </w:tcBorders>
            <w:vAlign w:val="center"/>
          </w:tcPr>
          <w:p w14:paraId="3D6A575B"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2022</w:t>
            </w:r>
          </w:p>
        </w:tc>
        <w:tc>
          <w:tcPr>
            <w:tcW w:w="391" w:type="pct"/>
            <w:tcBorders>
              <w:top w:val="single" w:sz="4" w:space="0" w:color="auto"/>
              <w:left w:val="nil"/>
              <w:bottom w:val="single" w:sz="4" w:space="0" w:color="auto"/>
              <w:right w:val="single" w:sz="4" w:space="0" w:color="auto"/>
            </w:tcBorders>
            <w:vAlign w:val="center"/>
          </w:tcPr>
          <w:p w14:paraId="33A61CC5"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46.39</w:t>
            </w:r>
          </w:p>
        </w:tc>
        <w:tc>
          <w:tcPr>
            <w:tcW w:w="379" w:type="pct"/>
            <w:tcBorders>
              <w:top w:val="single" w:sz="4" w:space="0" w:color="auto"/>
              <w:left w:val="single" w:sz="4" w:space="0" w:color="auto"/>
              <w:bottom w:val="single" w:sz="4" w:space="0" w:color="auto"/>
              <w:right w:val="single" w:sz="4" w:space="0" w:color="auto"/>
            </w:tcBorders>
            <w:noWrap/>
            <w:vAlign w:val="center"/>
          </w:tcPr>
          <w:p w14:paraId="06AA7BD3"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41.22</w:t>
            </w:r>
          </w:p>
        </w:tc>
        <w:tc>
          <w:tcPr>
            <w:tcW w:w="728" w:type="pct"/>
            <w:tcBorders>
              <w:top w:val="single" w:sz="4" w:space="0" w:color="auto"/>
              <w:left w:val="nil"/>
              <w:bottom w:val="single" w:sz="4" w:space="0" w:color="auto"/>
              <w:right w:val="single" w:sz="4" w:space="0" w:color="auto"/>
            </w:tcBorders>
            <w:noWrap/>
            <w:vAlign w:val="center"/>
          </w:tcPr>
          <w:p w14:paraId="555D015A"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78.96</w:t>
            </w:r>
          </w:p>
        </w:tc>
        <w:tc>
          <w:tcPr>
            <w:tcW w:w="679" w:type="pct"/>
            <w:tcBorders>
              <w:top w:val="single" w:sz="4" w:space="0" w:color="auto"/>
              <w:left w:val="nil"/>
              <w:bottom w:val="single" w:sz="4" w:space="0" w:color="auto"/>
              <w:right w:val="single" w:sz="4" w:space="0" w:color="auto"/>
            </w:tcBorders>
            <w:noWrap/>
            <w:vAlign w:val="center"/>
          </w:tcPr>
          <w:p w14:paraId="6C09C045"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2.04</w:t>
            </w:r>
          </w:p>
        </w:tc>
        <w:tc>
          <w:tcPr>
            <w:tcW w:w="921" w:type="pct"/>
            <w:tcBorders>
              <w:top w:val="single" w:sz="4" w:space="0" w:color="auto"/>
              <w:left w:val="nil"/>
              <w:bottom w:val="single" w:sz="4" w:space="0" w:color="auto"/>
              <w:right w:val="single" w:sz="4" w:space="0" w:color="auto"/>
            </w:tcBorders>
            <w:noWrap/>
            <w:vAlign w:val="center"/>
          </w:tcPr>
          <w:p w14:paraId="4D220A75"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75.45</w:t>
            </w:r>
          </w:p>
        </w:tc>
      </w:tr>
      <w:tr w:rsidR="00D45858" w:rsidRPr="005710DA" w14:paraId="5060E116" w14:textId="77777777" w:rsidTr="00B22435">
        <w:trPr>
          <w:trHeight w:val="92"/>
          <w:jc w:val="center"/>
        </w:trPr>
        <w:tc>
          <w:tcPr>
            <w:tcW w:w="288" w:type="pct"/>
            <w:vMerge/>
            <w:tcBorders>
              <w:left w:val="single" w:sz="4" w:space="0" w:color="auto"/>
              <w:right w:val="single" w:sz="4" w:space="0" w:color="auto"/>
            </w:tcBorders>
            <w:vAlign w:val="center"/>
          </w:tcPr>
          <w:p w14:paraId="1D3907C0" w14:textId="77777777" w:rsidR="00D45858" w:rsidRPr="005710DA" w:rsidRDefault="00D45858" w:rsidP="00305505">
            <w:pPr>
              <w:spacing w:after="0" w:line="240" w:lineRule="auto"/>
              <w:jc w:val="both"/>
              <w:rPr>
                <w:rFonts w:ascii="Times New Roman" w:eastAsia="Times New Roman" w:hAnsi="Times New Roman" w:cs="Times New Roman"/>
                <w:bCs/>
              </w:rPr>
            </w:pPr>
          </w:p>
        </w:tc>
        <w:tc>
          <w:tcPr>
            <w:tcW w:w="587" w:type="pct"/>
            <w:vMerge/>
            <w:tcBorders>
              <w:left w:val="nil"/>
              <w:right w:val="single" w:sz="4" w:space="0" w:color="auto"/>
            </w:tcBorders>
          </w:tcPr>
          <w:p w14:paraId="2FEB0547" w14:textId="77777777" w:rsidR="00D45858" w:rsidRPr="005710DA" w:rsidRDefault="00D45858" w:rsidP="00305505">
            <w:pPr>
              <w:spacing w:after="0" w:line="240" w:lineRule="auto"/>
              <w:jc w:val="both"/>
              <w:rPr>
                <w:rFonts w:ascii="Times New Roman" w:eastAsia="Times New Roman" w:hAnsi="Times New Roman" w:cs="Times New Roman"/>
              </w:rPr>
            </w:pPr>
          </w:p>
        </w:tc>
        <w:tc>
          <w:tcPr>
            <w:tcW w:w="1027" w:type="pct"/>
            <w:tcBorders>
              <w:top w:val="single" w:sz="4" w:space="0" w:color="auto"/>
              <w:left w:val="single" w:sz="4" w:space="0" w:color="auto"/>
              <w:bottom w:val="single" w:sz="4" w:space="0" w:color="auto"/>
              <w:right w:val="single" w:sz="4" w:space="0" w:color="auto"/>
            </w:tcBorders>
            <w:vAlign w:val="center"/>
          </w:tcPr>
          <w:p w14:paraId="663634EE"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2023</w:t>
            </w:r>
          </w:p>
        </w:tc>
        <w:tc>
          <w:tcPr>
            <w:tcW w:w="391" w:type="pct"/>
            <w:tcBorders>
              <w:top w:val="single" w:sz="4" w:space="0" w:color="auto"/>
              <w:left w:val="nil"/>
              <w:bottom w:val="single" w:sz="4" w:space="0" w:color="auto"/>
              <w:right w:val="single" w:sz="4" w:space="0" w:color="auto"/>
            </w:tcBorders>
            <w:vAlign w:val="center"/>
          </w:tcPr>
          <w:p w14:paraId="48997AE2"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41.08</w:t>
            </w:r>
          </w:p>
        </w:tc>
        <w:tc>
          <w:tcPr>
            <w:tcW w:w="379" w:type="pct"/>
            <w:tcBorders>
              <w:top w:val="single" w:sz="4" w:space="0" w:color="auto"/>
              <w:left w:val="single" w:sz="4" w:space="0" w:color="auto"/>
              <w:bottom w:val="single" w:sz="4" w:space="0" w:color="auto"/>
              <w:right w:val="single" w:sz="4" w:space="0" w:color="auto"/>
            </w:tcBorders>
            <w:noWrap/>
            <w:vAlign w:val="center"/>
          </w:tcPr>
          <w:p w14:paraId="430C0392"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37.22</w:t>
            </w:r>
          </w:p>
        </w:tc>
        <w:tc>
          <w:tcPr>
            <w:tcW w:w="728" w:type="pct"/>
            <w:tcBorders>
              <w:top w:val="single" w:sz="4" w:space="0" w:color="auto"/>
              <w:left w:val="nil"/>
              <w:bottom w:val="single" w:sz="4" w:space="0" w:color="auto"/>
              <w:right w:val="single" w:sz="4" w:space="0" w:color="auto"/>
            </w:tcBorders>
            <w:noWrap/>
            <w:vAlign w:val="center"/>
          </w:tcPr>
          <w:p w14:paraId="3EF1DF37"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82.09</w:t>
            </w:r>
          </w:p>
        </w:tc>
        <w:tc>
          <w:tcPr>
            <w:tcW w:w="679" w:type="pct"/>
            <w:tcBorders>
              <w:top w:val="single" w:sz="4" w:space="0" w:color="auto"/>
              <w:left w:val="nil"/>
              <w:bottom w:val="single" w:sz="4" w:space="0" w:color="auto"/>
              <w:right w:val="single" w:sz="4" w:space="0" w:color="auto"/>
            </w:tcBorders>
            <w:noWrap/>
            <w:vAlign w:val="center"/>
          </w:tcPr>
          <w:p w14:paraId="600D1F63"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1.75</w:t>
            </w:r>
          </w:p>
        </w:tc>
        <w:tc>
          <w:tcPr>
            <w:tcW w:w="921" w:type="pct"/>
            <w:tcBorders>
              <w:top w:val="single" w:sz="4" w:space="0" w:color="auto"/>
              <w:left w:val="nil"/>
              <w:bottom w:val="single" w:sz="4" w:space="0" w:color="auto"/>
              <w:right w:val="single" w:sz="4" w:space="0" w:color="auto"/>
            </w:tcBorders>
            <w:noWrap/>
            <w:vAlign w:val="center"/>
          </w:tcPr>
          <w:p w14:paraId="727A1412"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69.46</w:t>
            </w:r>
          </w:p>
        </w:tc>
      </w:tr>
      <w:tr w:rsidR="00D45858" w:rsidRPr="00305505" w14:paraId="2C3995A7" w14:textId="77777777" w:rsidTr="00B22435">
        <w:trPr>
          <w:trHeight w:val="70"/>
          <w:jc w:val="center"/>
        </w:trPr>
        <w:tc>
          <w:tcPr>
            <w:tcW w:w="288" w:type="pct"/>
            <w:vMerge/>
            <w:tcBorders>
              <w:left w:val="single" w:sz="4" w:space="0" w:color="auto"/>
              <w:bottom w:val="single" w:sz="4" w:space="0" w:color="auto"/>
              <w:right w:val="single" w:sz="4" w:space="0" w:color="auto"/>
            </w:tcBorders>
            <w:vAlign w:val="center"/>
          </w:tcPr>
          <w:p w14:paraId="2FA7EE39" w14:textId="77777777" w:rsidR="00D45858" w:rsidRPr="005710DA" w:rsidRDefault="00D45858" w:rsidP="00305505">
            <w:pPr>
              <w:spacing w:after="0" w:line="240" w:lineRule="auto"/>
              <w:jc w:val="both"/>
              <w:rPr>
                <w:rFonts w:ascii="Times New Roman" w:eastAsia="Times New Roman" w:hAnsi="Times New Roman" w:cs="Times New Roman"/>
                <w:bCs/>
              </w:rPr>
            </w:pPr>
          </w:p>
        </w:tc>
        <w:tc>
          <w:tcPr>
            <w:tcW w:w="587" w:type="pct"/>
            <w:vMerge/>
            <w:tcBorders>
              <w:left w:val="nil"/>
              <w:bottom w:val="single" w:sz="4" w:space="0" w:color="auto"/>
              <w:right w:val="single" w:sz="4" w:space="0" w:color="auto"/>
            </w:tcBorders>
          </w:tcPr>
          <w:p w14:paraId="586AC364" w14:textId="77777777" w:rsidR="00D45858" w:rsidRPr="005710DA" w:rsidRDefault="00D45858" w:rsidP="00305505">
            <w:pPr>
              <w:spacing w:after="0" w:line="240" w:lineRule="auto"/>
              <w:jc w:val="both"/>
              <w:rPr>
                <w:rFonts w:ascii="Times New Roman" w:eastAsia="Times New Roman" w:hAnsi="Times New Roman" w:cs="Times New Roman"/>
              </w:rPr>
            </w:pPr>
          </w:p>
        </w:tc>
        <w:tc>
          <w:tcPr>
            <w:tcW w:w="1027" w:type="pct"/>
            <w:tcBorders>
              <w:top w:val="single" w:sz="4" w:space="0" w:color="auto"/>
              <w:left w:val="single" w:sz="4" w:space="0" w:color="auto"/>
              <w:bottom w:val="single" w:sz="4" w:space="0" w:color="auto"/>
              <w:right w:val="single" w:sz="4" w:space="0" w:color="auto"/>
            </w:tcBorders>
            <w:vAlign w:val="center"/>
          </w:tcPr>
          <w:p w14:paraId="12D6C67F"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b/>
                <w:bCs/>
              </w:rPr>
              <w:t>Pooled</w:t>
            </w:r>
          </w:p>
        </w:tc>
        <w:tc>
          <w:tcPr>
            <w:tcW w:w="391" w:type="pct"/>
            <w:tcBorders>
              <w:top w:val="single" w:sz="4" w:space="0" w:color="auto"/>
              <w:left w:val="nil"/>
              <w:bottom w:val="single" w:sz="4" w:space="0" w:color="auto"/>
              <w:right w:val="single" w:sz="4" w:space="0" w:color="auto"/>
            </w:tcBorders>
            <w:vAlign w:val="center"/>
          </w:tcPr>
          <w:p w14:paraId="5489B094"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39.66</w:t>
            </w:r>
          </w:p>
        </w:tc>
        <w:tc>
          <w:tcPr>
            <w:tcW w:w="379" w:type="pct"/>
            <w:tcBorders>
              <w:top w:val="single" w:sz="4" w:space="0" w:color="auto"/>
              <w:left w:val="single" w:sz="4" w:space="0" w:color="auto"/>
              <w:bottom w:val="single" w:sz="4" w:space="0" w:color="auto"/>
              <w:right w:val="single" w:sz="4" w:space="0" w:color="auto"/>
            </w:tcBorders>
            <w:noWrap/>
            <w:vAlign w:val="center"/>
          </w:tcPr>
          <w:p w14:paraId="414811AE"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36.50</w:t>
            </w:r>
          </w:p>
        </w:tc>
        <w:tc>
          <w:tcPr>
            <w:tcW w:w="728" w:type="pct"/>
            <w:tcBorders>
              <w:top w:val="single" w:sz="4" w:space="0" w:color="auto"/>
              <w:left w:val="nil"/>
              <w:bottom w:val="single" w:sz="4" w:space="0" w:color="auto"/>
              <w:right w:val="single" w:sz="4" w:space="0" w:color="auto"/>
            </w:tcBorders>
            <w:noWrap/>
            <w:vAlign w:val="center"/>
          </w:tcPr>
          <w:p w14:paraId="04DB19FB"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84.69</w:t>
            </w:r>
          </w:p>
        </w:tc>
        <w:tc>
          <w:tcPr>
            <w:tcW w:w="679" w:type="pct"/>
            <w:tcBorders>
              <w:top w:val="single" w:sz="4" w:space="0" w:color="auto"/>
              <w:left w:val="nil"/>
              <w:bottom w:val="single" w:sz="4" w:space="0" w:color="auto"/>
              <w:right w:val="single" w:sz="4" w:space="0" w:color="auto"/>
            </w:tcBorders>
            <w:noWrap/>
            <w:vAlign w:val="center"/>
          </w:tcPr>
          <w:p w14:paraId="64805686"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1.81</w:t>
            </w:r>
          </w:p>
        </w:tc>
        <w:tc>
          <w:tcPr>
            <w:tcW w:w="921" w:type="pct"/>
            <w:tcBorders>
              <w:top w:val="single" w:sz="4" w:space="0" w:color="auto"/>
              <w:left w:val="nil"/>
              <w:bottom w:val="single" w:sz="4" w:space="0" w:color="auto"/>
              <w:right w:val="single" w:sz="4" w:space="0" w:color="auto"/>
            </w:tcBorders>
            <w:noWrap/>
            <w:vAlign w:val="center"/>
          </w:tcPr>
          <w:p w14:paraId="2A843031" w14:textId="77777777" w:rsidR="00D45858" w:rsidRPr="00305505"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69.19</w:t>
            </w:r>
          </w:p>
        </w:tc>
      </w:tr>
    </w:tbl>
    <w:p w14:paraId="382EF6F1" w14:textId="77777777" w:rsidR="00D45858" w:rsidRPr="00B676B8" w:rsidRDefault="00D45858" w:rsidP="00B676B8">
      <w:pPr>
        <w:spacing w:line="240" w:lineRule="auto"/>
        <w:jc w:val="both"/>
        <w:rPr>
          <w:rFonts w:ascii="Times New Roman" w:hAnsi="Times New Roman" w:cs="Times New Roman"/>
          <w:sz w:val="24"/>
          <w:szCs w:val="24"/>
        </w:rPr>
      </w:pPr>
    </w:p>
    <w:p w14:paraId="27CA9337" w14:textId="77777777" w:rsidR="005710DA" w:rsidRPr="00B676B8" w:rsidRDefault="005710DA" w:rsidP="00B676B8">
      <w:pPr>
        <w:spacing w:line="240" w:lineRule="auto"/>
        <w:jc w:val="both"/>
        <w:rPr>
          <w:rFonts w:ascii="Times New Roman" w:hAnsi="Times New Roman" w:cs="Times New Roman"/>
          <w:b/>
          <w:bCs/>
          <w:sz w:val="24"/>
          <w:szCs w:val="24"/>
        </w:rPr>
      </w:pPr>
    </w:p>
    <w:sectPr w:rsidR="005710DA" w:rsidRPr="00B676B8" w:rsidSect="00F65A23">
      <w:pgSz w:w="16838" w:h="11906" w:orient="landscape"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HUKYA SRINIVAS" w:date="2026-03-30T21:28:00Z" w:initials="BS">
    <w:p w14:paraId="550135C2" w14:textId="6B84F3C6" w:rsidR="00A3723F" w:rsidRDefault="00A3723F">
      <w:pPr>
        <w:pStyle w:val="CommentText"/>
      </w:pPr>
      <w:r>
        <w:rPr>
          <w:rStyle w:val="CommentReference"/>
        </w:rPr>
        <w:annotationRef/>
      </w:r>
      <w:r>
        <w:t>Add photographs of investigation missing</w:t>
      </w:r>
    </w:p>
  </w:comment>
  <w:comment w:id="0" w:author="BHUKYA SRINIVAS" w:date="2026-03-30T20:40:00Z" w:initials="BS">
    <w:p w14:paraId="6B391B73" w14:textId="277C83F9" w:rsidR="002F2E0E" w:rsidRDefault="002F2E0E">
      <w:pPr>
        <w:pStyle w:val="CommentText"/>
      </w:pPr>
      <w:r>
        <w:rPr>
          <w:rStyle w:val="CommentReference"/>
        </w:rPr>
        <w:annotationRef/>
      </w:r>
      <w:r>
        <w:t>Change the title</w:t>
      </w:r>
    </w:p>
  </w:comment>
  <w:comment w:id="2" w:author="BHUKYA SRINIVAS" w:date="2026-03-30T20:41:00Z" w:initials="BS">
    <w:p w14:paraId="6EDFA56C" w14:textId="60BF0B8D" w:rsidR="002F2E0E" w:rsidRDefault="002F2E0E">
      <w:pPr>
        <w:pStyle w:val="CommentText"/>
      </w:pPr>
      <w:r>
        <w:rPr>
          <w:rStyle w:val="CommentReference"/>
        </w:rPr>
        <w:annotationRef/>
      </w:r>
      <w:r>
        <w:t xml:space="preserve">Introduction is very </w:t>
      </w:r>
      <w:proofErr w:type="spellStart"/>
      <w:r>
        <w:t>mearge</w:t>
      </w:r>
      <w:proofErr w:type="spellEnd"/>
      <w:r>
        <w:t>, kindly write with in 650-750 words</w:t>
      </w:r>
      <w:r w:rsidR="00A3723F">
        <w:t xml:space="preserve"> by adding </w:t>
      </w:r>
      <w:proofErr w:type="spellStart"/>
      <w:r w:rsidR="00A3723F">
        <w:t>atleast</w:t>
      </w:r>
      <w:proofErr w:type="spellEnd"/>
      <w:r w:rsidR="00A3723F">
        <w:t xml:space="preserve"> 15-20 latest references</w:t>
      </w:r>
    </w:p>
  </w:comment>
  <w:comment w:id="3" w:author="BHUKYA SRINIVAS" w:date="2026-03-30T21:25:00Z" w:initials="BS">
    <w:p w14:paraId="1C2B1557" w14:textId="0725CB2D" w:rsidR="00A3723F" w:rsidRDefault="00A3723F">
      <w:pPr>
        <w:pStyle w:val="CommentText"/>
      </w:pPr>
      <w:r>
        <w:rPr>
          <w:rStyle w:val="CommentReference"/>
        </w:rPr>
        <w:annotationRef/>
      </w:r>
      <w:r>
        <w:t>Rewrite the conclusion within 80-100 words without missing meaning</w:t>
      </w:r>
    </w:p>
  </w:comment>
  <w:comment w:id="4" w:author="BHUKYA SRINIVAS" w:date="2026-03-30T21:26:00Z" w:initials="BS">
    <w:p w14:paraId="4FF02030" w14:textId="52C46FC8" w:rsidR="00A3723F" w:rsidRPr="00A3723F" w:rsidRDefault="00A3723F">
      <w:pPr>
        <w:pStyle w:val="CommentText"/>
        <w:rPr>
          <w:b/>
          <w:bCs/>
        </w:rPr>
      </w:pPr>
      <w:r w:rsidRPr="00A3723F">
        <w:rPr>
          <w:rStyle w:val="CommentReference"/>
          <w:b/>
          <w:bCs/>
        </w:rPr>
        <w:annotationRef/>
      </w:r>
      <w:r w:rsidRPr="00A3723F">
        <w:rPr>
          <w:b/>
          <w:bCs/>
        </w:rPr>
        <w:t>Missing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0135C2" w15:done="0"/>
  <w15:commentEx w15:paraId="6B391B73" w15:done="0"/>
  <w15:commentEx w15:paraId="6EDFA56C" w15:done="0"/>
  <w15:commentEx w15:paraId="1C2B1557" w15:done="0"/>
  <w15:commentEx w15:paraId="4FF020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E66544" w16cex:dateUtc="2026-03-30T15:58:00Z"/>
  <w16cex:commentExtensible w16cex:durableId="7C54BEBA" w16cex:dateUtc="2026-03-30T15:10:00Z"/>
  <w16cex:commentExtensible w16cex:durableId="1D2DFCF1" w16cex:dateUtc="2026-03-30T15:11:00Z"/>
  <w16cex:commentExtensible w16cex:durableId="03BB5957" w16cex:dateUtc="2026-03-30T15:55:00Z"/>
  <w16cex:commentExtensible w16cex:durableId="7C737EE0" w16cex:dateUtc="2026-03-30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0135C2" w16cid:durableId="4EE66544"/>
  <w16cid:commentId w16cid:paraId="6B391B73" w16cid:durableId="7C54BEBA"/>
  <w16cid:commentId w16cid:paraId="6EDFA56C" w16cid:durableId="1D2DFCF1"/>
  <w16cid:commentId w16cid:paraId="1C2B1557" w16cid:durableId="03BB5957"/>
  <w16cid:commentId w16cid:paraId="4FF02030" w16cid:durableId="7C737E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DBF84" w14:textId="77777777" w:rsidR="00EA58B2" w:rsidRDefault="00EA58B2" w:rsidP="006930A7">
      <w:pPr>
        <w:spacing w:after="0" w:line="240" w:lineRule="auto"/>
      </w:pPr>
      <w:r>
        <w:separator/>
      </w:r>
    </w:p>
  </w:endnote>
  <w:endnote w:type="continuationSeparator" w:id="0">
    <w:p w14:paraId="666EB8B7" w14:textId="77777777" w:rsidR="00EA58B2" w:rsidRDefault="00EA58B2" w:rsidP="0069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0833" w14:textId="77777777" w:rsidR="006930A7" w:rsidRDefault="00693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CD4E" w14:textId="77777777" w:rsidR="006930A7" w:rsidRDefault="00693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A32B" w14:textId="77777777" w:rsidR="006930A7" w:rsidRDefault="00693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407BE" w14:textId="77777777" w:rsidR="00EA58B2" w:rsidRDefault="00EA58B2" w:rsidP="006930A7">
      <w:pPr>
        <w:spacing w:after="0" w:line="240" w:lineRule="auto"/>
      </w:pPr>
      <w:r>
        <w:separator/>
      </w:r>
    </w:p>
  </w:footnote>
  <w:footnote w:type="continuationSeparator" w:id="0">
    <w:p w14:paraId="73536062" w14:textId="77777777" w:rsidR="00EA58B2" w:rsidRDefault="00EA58B2" w:rsidP="00693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6CCE" w14:textId="6B53E1CE" w:rsidR="006930A7" w:rsidRDefault="00000000">
    <w:pPr>
      <w:pStyle w:val="Header"/>
    </w:pPr>
    <w:r>
      <w:rPr>
        <w:noProof/>
      </w:rPr>
      <w:pict w14:anchorId="022BF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612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65AE" w14:textId="2F01EB7D" w:rsidR="006930A7" w:rsidRDefault="00000000">
    <w:pPr>
      <w:pStyle w:val="Header"/>
    </w:pPr>
    <w:r>
      <w:rPr>
        <w:noProof/>
      </w:rPr>
      <w:pict w14:anchorId="47B61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612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4473" w14:textId="59FCDCE4" w:rsidR="006930A7" w:rsidRDefault="00000000">
    <w:pPr>
      <w:pStyle w:val="Header"/>
    </w:pPr>
    <w:r>
      <w:rPr>
        <w:noProof/>
      </w:rPr>
      <w:pict w14:anchorId="524FC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612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2FA"/>
    <w:multiLevelType w:val="hybridMultilevel"/>
    <w:tmpl w:val="FFFFFFFF"/>
    <w:lvl w:ilvl="0" w:tplc="D06EBE3E">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num w:numId="1" w16cid:durableId="21351704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UKYA SRINIVAS">
    <w15:presenceInfo w15:providerId="Windows Live" w15:userId="b99d68872ad98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F35"/>
    <w:rsid w:val="00007656"/>
    <w:rsid w:val="00026681"/>
    <w:rsid w:val="0002738C"/>
    <w:rsid w:val="0005460B"/>
    <w:rsid w:val="00056288"/>
    <w:rsid w:val="000741BA"/>
    <w:rsid w:val="000A2765"/>
    <w:rsid w:val="000E2798"/>
    <w:rsid w:val="000F27A9"/>
    <w:rsid w:val="00110C17"/>
    <w:rsid w:val="001146C3"/>
    <w:rsid w:val="001611E1"/>
    <w:rsid w:val="001B4A48"/>
    <w:rsid w:val="001B6709"/>
    <w:rsid w:val="00204D9C"/>
    <w:rsid w:val="00206420"/>
    <w:rsid w:val="0022789C"/>
    <w:rsid w:val="00261555"/>
    <w:rsid w:val="00277133"/>
    <w:rsid w:val="002F2E0E"/>
    <w:rsid w:val="00305505"/>
    <w:rsid w:val="003209AE"/>
    <w:rsid w:val="003340F9"/>
    <w:rsid w:val="003353FE"/>
    <w:rsid w:val="003358D5"/>
    <w:rsid w:val="003657B7"/>
    <w:rsid w:val="00420385"/>
    <w:rsid w:val="00465F63"/>
    <w:rsid w:val="00486BBE"/>
    <w:rsid w:val="004B400F"/>
    <w:rsid w:val="004D22C4"/>
    <w:rsid w:val="004E36EA"/>
    <w:rsid w:val="004E5C39"/>
    <w:rsid w:val="0051690B"/>
    <w:rsid w:val="005710DA"/>
    <w:rsid w:val="005E280D"/>
    <w:rsid w:val="005E327E"/>
    <w:rsid w:val="0064040D"/>
    <w:rsid w:val="00646120"/>
    <w:rsid w:val="00651EC9"/>
    <w:rsid w:val="006655CE"/>
    <w:rsid w:val="00683726"/>
    <w:rsid w:val="006908B4"/>
    <w:rsid w:val="006930A7"/>
    <w:rsid w:val="006A1F9F"/>
    <w:rsid w:val="006F6A46"/>
    <w:rsid w:val="00701D22"/>
    <w:rsid w:val="00733F75"/>
    <w:rsid w:val="00771276"/>
    <w:rsid w:val="007855E4"/>
    <w:rsid w:val="00797062"/>
    <w:rsid w:val="007C08A8"/>
    <w:rsid w:val="008A0759"/>
    <w:rsid w:val="008B7D7F"/>
    <w:rsid w:val="008C2B62"/>
    <w:rsid w:val="008E5B30"/>
    <w:rsid w:val="00952C8D"/>
    <w:rsid w:val="00952F2E"/>
    <w:rsid w:val="00962323"/>
    <w:rsid w:val="00965173"/>
    <w:rsid w:val="00990B51"/>
    <w:rsid w:val="009A7503"/>
    <w:rsid w:val="00A13921"/>
    <w:rsid w:val="00A13EB6"/>
    <w:rsid w:val="00A36677"/>
    <w:rsid w:val="00A3723F"/>
    <w:rsid w:val="00A4378F"/>
    <w:rsid w:val="00A46A0D"/>
    <w:rsid w:val="00A533E9"/>
    <w:rsid w:val="00A63320"/>
    <w:rsid w:val="00AA7A00"/>
    <w:rsid w:val="00AD549D"/>
    <w:rsid w:val="00B23623"/>
    <w:rsid w:val="00B676B8"/>
    <w:rsid w:val="00B84C75"/>
    <w:rsid w:val="00BF5909"/>
    <w:rsid w:val="00C3268D"/>
    <w:rsid w:val="00C47EEA"/>
    <w:rsid w:val="00C616F8"/>
    <w:rsid w:val="00C81EDE"/>
    <w:rsid w:val="00C851C6"/>
    <w:rsid w:val="00C96F80"/>
    <w:rsid w:val="00CD6FC8"/>
    <w:rsid w:val="00CF43F8"/>
    <w:rsid w:val="00D222C8"/>
    <w:rsid w:val="00D45858"/>
    <w:rsid w:val="00D526B7"/>
    <w:rsid w:val="00D75609"/>
    <w:rsid w:val="00D75F35"/>
    <w:rsid w:val="00D9177B"/>
    <w:rsid w:val="00DA5D1D"/>
    <w:rsid w:val="00DE41BF"/>
    <w:rsid w:val="00E021F0"/>
    <w:rsid w:val="00E21063"/>
    <w:rsid w:val="00E84BF7"/>
    <w:rsid w:val="00E91B77"/>
    <w:rsid w:val="00EA152E"/>
    <w:rsid w:val="00EA2362"/>
    <w:rsid w:val="00EA58B2"/>
    <w:rsid w:val="00ED6C54"/>
    <w:rsid w:val="00EF03B1"/>
    <w:rsid w:val="00F23639"/>
    <w:rsid w:val="00F517BF"/>
    <w:rsid w:val="00F60241"/>
    <w:rsid w:val="00F65A23"/>
    <w:rsid w:val="00F83778"/>
    <w:rsid w:val="00F85CF9"/>
    <w:rsid w:val="00FB3B9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E5062"/>
  <w15:docId w15:val="{719D3A62-E6BC-4505-A79F-C360B06B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F35"/>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BF7"/>
    <w:rPr>
      <w:rFonts w:ascii="Tahoma" w:hAnsi="Tahoma" w:cs="Tahoma"/>
      <w:sz w:val="16"/>
      <w:szCs w:val="16"/>
      <w:lang w:val="en-US"/>
    </w:rPr>
  </w:style>
  <w:style w:type="character" w:styleId="Hyperlink">
    <w:name w:val="Hyperlink"/>
    <w:basedOn w:val="DefaultParagraphFont"/>
    <w:uiPriority w:val="99"/>
    <w:unhideWhenUsed/>
    <w:rsid w:val="00EA152E"/>
    <w:rPr>
      <w:color w:val="0000FF"/>
      <w:u w:val="single"/>
    </w:rPr>
  </w:style>
  <w:style w:type="paragraph" w:styleId="NormalWeb">
    <w:name w:val="Normal (Web)"/>
    <w:basedOn w:val="Normal"/>
    <w:uiPriority w:val="99"/>
    <w:semiHidden/>
    <w:unhideWhenUsed/>
    <w:rsid w:val="00110C17"/>
    <w:pPr>
      <w:spacing w:before="100" w:beforeAutospacing="1" w:after="100" w:afterAutospacing="1" w:line="240" w:lineRule="auto"/>
    </w:pPr>
    <w:rPr>
      <w:rFonts w:ascii="Times New Roman" w:eastAsia="Times New Roman" w:hAnsi="Times New Roman" w:cs="Times New Roman"/>
      <w:sz w:val="24"/>
      <w:szCs w:val="24"/>
      <w:lang w:val="en-IN" w:eastAsia="en-IN" w:bidi="te-IN"/>
    </w:rPr>
  </w:style>
  <w:style w:type="character" w:styleId="Emphasis">
    <w:name w:val="Emphasis"/>
    <w:basedOn w:val="DefaultParagraphFont"/>
    <w:uiPriority w:val="20"/>
    <w:qFormat/>
    <w:rsid w:val="00EA2362"/>
    <w:rPr>
      <w:i/>
      <w:iCs/>
    </w:rPr>
  </w:style>
  <w:style w:type="character" w:styleId="UnresolvedMention">
    <w:name w:val="Unresolved Mention"/>
    <w:basedOn w:val="DefaultParagraphFont"/>
    <w:uiPriority w:val="99"/>
    <w:semiHidden/>
    <w:unhideWhenUsed/>
    <w:rsid w:val="000A2765"/>
    <w:rPr>
      <w:color w:val="605E5C"/>
      <w:shd w:val="clear" w:color="auto" w:fill="E1DFDD"/>
    </w:rPr>
  </w:style>
  <w:style w:type="paragraph" w:styleId="Header">
    <w:name w:val="header"/>
    <w:basedOn w:val="Normal"/>
    <w:link w:val="HeaderChar"/>
    <w:uiPriority w:val="99"/>
    <w:unhideWhenUsed/>
    <w:rsid w:val="00693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0A7"/>
    <w:rPr>
      <w:lang w:val="en-US"/>
    </w:rPr>
  </w:style>
  <w:style w:type="paragraph" w:styleId="Footer">
    <w:name w:val="footer"/>
    <w:basedOn w:val="Normal"/>
    <w:link w:val="FooterChar"/>
    <w:uiPriority w:val="99"/>
    <w:unhideWhenUsed/>
    <w:rsid w:val="00693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0A7"/>
    <w:rPr>
      <w:lang w:val="en-US"/>
    </w:rPr>
  </w:style>
  <w:style w:type="character" w:styleId="CommentReference">
    <w:name w:val="annotation reference"/>
    <w:basedOn w:val="DefaultParagraphFont"/>
    <w:uiPriority w:val="99"/>
    <w:semiHidden/>
    <w:unhideWhenUsed/>
    <w:rsid w:val="002F2E0E"/>
    <w:rPr>
      <w:sz w:val="16"/>
      <w:szCs w:val="16"/>
    </w:rPr>
  </w:style>
  <w:style w:type="paragraph" w:styleId="CommentText">
    <w:name w:val="annotation text"/>
    <w:basedOn w:val="Normal"/>
    <w:link w:val="CommentTextChar"/>
    <w:uiPriority w:val="99"/>
    <w:semiHidden/>
    <w:unhideWhenUsed/>
    <w:rsid w:val="002F2E0E"/>
    <w:pPr>
      <w:spacing w:line="240" w:lineRule="auto"/>
    </w:pPr>
    <w:rPr>
      <w:sz w:val="20"/>
      <w:szCs w:val="20"/>
    </w:rPr>
  </w:style>
  <w:style w:type="character" w:customStyle="1" w:styleId="CommentTextChar">
    <w:name w:val="Comment Text Char"/>
    <w:basedOn w:val="DefaultParagraphFont"/>
    <w:link w:val="CommentText"/>
    <w:uiPriority w:val="99"/>
    <w:semiHidden/>
    <w:rsid w:val="002F2E0E"/>
    <w:rPr>
      <w:sz w:val="20"/>
      <w:szCs w:val="20"/>
      <w:lang w:val="en-US"/>
    </w:rPr>
  </w:style>
  <w:style w:type="paragraph" w:styleId="CommentSubject">
    <w:name w:val="annotation subject"/>
    <w:basedOn w:val="CommentText"/>
    <w:next w:val="CommentText"/>
    <w:link w:val="CommentSubjectChar"/>
    <w:uiPriority w:val="99"/>
    <w:semiHidden/>
    <w:unhideWhenUsed/>
    <w:rsid w:val="002F2E0E"/>
    <w:rPr>
      <w:b/>
      <w:bCs/>
    </w:rPr>
  </w:style>
  <w:style w:type="character" w:customStyle="1" w:styleId="CommentSubjectChar">
    <w:name w:val="Comment Subject Char"/>
    <w:basedOn w:val="CommentTextChar"/>
    <w:link w:val="CommentSubject"/>
    <w:uiPriority w:val="99"/>
    <w:semiHidden/>
    <w:rsid w:val="002F2E0E"/>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1972">
      <w:bodyDiv w:val="1"/>
      <w:marLeft w:val="0"/>
      <w:marRight w:val="0"/>
      <w:marTop w:val="0"/>
      <w:marBottom w:val="0"/>
      <w:divBdr>
        <w:top w:val="none" w:sz="0" w:space="0" w:color="auto"/>
        <w:left w:val="none" w:sz="0" w:space="0" w:color="auto"/>
        <w:bottom w:val="none" w:sz="0" w:space="0" w:color="auto"/>
        <w:right w:val="none" w:sz="0" w:space="0" w:color="auto"/>
      </w:divBdr>
    </w:div>
    <w:div w:id="164440853">
      <w:bodyDiv w:val="1"/>
      <w:marLeft w:val="0"/>
      <w:marRight w:val="0"/>
      <w:marTop w:val="0"/>
      <w:marBottom w:val="0"/>
      <w:divBdr>
        <w:top w:val="none" w:sz="0" w:space="0" w:color="auto"/>
        <w:left w:val="none" w:sz="0" w:space="0" w:color="auto"/>
        <w:bottom w:val="none" w:sz="0" w:space="0" w:color="auto"/>
        <w:right w:val="none" w:sz="0" w:space="0" w:color="auto"/>
      </w:divBdr>
    </w:div>
    <w:div w:id="327565761">
      <w:bodyDiv w:val="1"/>
      <w:marLeft w:val="0"/>
      <w:marRight w:val="0"/>
      <w:marTop w:val="0"/>
      <w:marBottom w:val="0"/>
      <w:divBdr>
        <w:top w:val="none" w:sz="0" w:space="0" w:color="auto"/>
        <w:left w:val="none" w:sz="0" w:space="0" w:color="auto"/>
        <w:bottom w:val="none" w:sz="0" w:space="0" w:color="auto"/>
        <w:right w:val="none" w:sz="0" w:space="0" w:color="auto"/>
      </w:divBdr>
    </w:div>
    <w:div w:id="334579062">
      <w:bodyDiv w:val="1"/>
      <w:marLeft w:val="0"/>
      <w:marRight w:val="0"/>
      <w:marTop w:val="0"/>
      <w:marBottom w:val="0"/>
      <w:divBdr>
        <w:top w:val="none" w:sz="0" w:space="0" w:color="auto"/>
        <w:left w:val="none" w:sz="0" w:space="0" w:color="auto"/>
        <w:bottom w:val="none" w:sz="0" w:space="0" w:color="auto"/>
        <w:right w:val="none" w:sz="0" w:space="0" w:color="auto"/>
      </w:divBdr>
    </w:div>
    <w:div w:id="545213721">
      <w:bodyDiv w:val="1"/>
      <w:marLeft w:val="0"/>
      <w:marRight w:val="0"/>
      <w:marTop w:val="0"/>
      <w:marBottom w:val="0"/>
      <w:divBdr>
        <w:top w:val="none" w:sz="0" w:space="0" w:color="auto"/>
        <w:left w:val="none" w:sz="0" w:space="0" w:color="auto"/>
        <w:bottom w:val="none" w:sz="0" w:space="0" w:color="auto"/>
        <w:right w:val="none" w:sz="0" w:space="0" w:color="auto"/>
      </w:divBdr>
    </w:div>
    <w:div w:id="828910838">
      <w:bodyDiv w:val="1"/>
      <w:marLeft w:val="0"/>
      <w:marRight w:val="0"/>
      <w:marTop w:val="0"/>
      <w:marBottom w:val="0"/>
      <w:divBdr>
        <w:top w:val="none" w:sz="0" w:space="0" w:color="auto"/>
        <w:left w:val="none" w:sz="0" w:space="0" w:color="auto"/>
        <w:bottom w:val="none" w:sz="0" w:space="0" w:color="auto"/>
        <w:right w:val="none" w:sz="0" w:space="0" w:color="auto"/>
      </w:divBdr>
    </w:div>
    <w:div w:id="858006924">
      <w:bodyDiv w:val="1"/>
      <w:marLeft w:val="0"/>
      <w:marRight w:val="0"/>
      <w:marTop w:val="0"/>
      <w:marBottom w:val="0"/>
      <w:divBdr>
        <w:top w:val="none" w:sz="0" w:space="0" w:color="auto"/>
        <w:left w:val="none" w:sz="0" w:space="0" w:color="auto"/>
        <w:bottom w:val="none" w:sz="0" w:space="0" w:color="auto"/>
        <w:right w:val="none" w:sz="0" w:space="0" w:color="auto"/>
      </w:divBdr>
    </w:div>
    <w:div w:id="1061296028">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57226926">
      <w:bodyDiv w:val="1"/>
      <w:marLeft w:val="0"/>
      <w:marRight w:val="0"/>
      <w:marTop w:val="0"/>
      <w:marBottom w:val="0"/>
      <w:divBdr>
        <w:top w:val="none" w:sz="0" w:space="0" w:color="auto"/>
        <w:left w:val="none" w:sz="0" w:space="0" w:color="auto"/>
        <w:bottom w:val="none" w:sz="0" w:space="0" w:color="auto"/>
        <w:right w:val="none" w:sz="0" w:space="0" w:color="auto"/>
      </w:divBdr>
    </w:div>
    <w:div w:id="207758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6009</Words>
  <Characters>34252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BHUKYA SRINIVAS</cp:lastModifiedBy>
  <cp:revision>2</cp:revision>
  <dcterms:created xsi:type="dcterms:W3CDTF">2026-03-30T15:59:00Z</dcterms:created>
  <dcterms:modified xsi:type="dcterms:W3CDTF">2026-03-30T15:59:00Z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66b4d12a-be91-46db-b10d-645648492eda</vt:lpwstr>
  </property>
  <property fmtid="{D5CDD505-2E9C-101B-9397-08002B2CF9AE}" pid="3" name="_MarkAsFinal">
    <vt:bool>true</vt:bool>
  </property>
</Properties>
</file>