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037F5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B5183" w:rsidRPr="00037F5D" w:rsidRDefault="003B5183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037F5D" w:rsidTr="00107C72">
        <w:trPr>
          <w:trHeight w:val="290"/>
        </w:trPr>
        <w:tc>
          <w:tcPr>
            <w:tcW w:w="1186" w:type="pct"/>
          </w:tcPr>
          <w:p w:rsidR="003B5183" w:rsidRPr="00037F5D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037F5D" w:rsidRDefault="00B3071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037F5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037F5D" w:rsidTr="00107C72">
        <w:trPr>
          <w:trHeight w:val="290"/>
        </w:trPr>
        <w:tc>
          <w:tcPr>
            <w:tcW w:w="1186" w:type="pct"/>
          </w:tcPr>
          <w:p w:rsidR="003B5183" w:rsidRPr="00037F5D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037F5D" w:rsidRDefault="00CD5E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Ms_JEAI_155951</w:t>
            </w:r>
          </w:p>
        </w:tc>
      </w:tr>
      <w:tr w:rsidR="003B5183" w:rsidRPr="00037F5D" w:rsidTr="00107C72">
        <w:trPr>
          <w:trHeight w:val="650"/>
        </w:trPr>
        <w:tc>
          <w:tcPr>
            <w:tcW w:w="1186" w:type="pct"/>
          </w:tcPr>
          <w:p w:rsidR="003B5183" w:rsidRPr="00037F5D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037F5D" w:rsidRDefault="00CD5E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A Multinomial Logit Analysis of Livelihood Assets and Household Strategies in Kanem, Chad</w:t>
            </w:r>
          </w:p>
        </w:tc>
      </w:tr>
      <w:tr w:rsidR="003B5183" w:rsidRPr="00037F5D" w:rsidTr="00107C72">
        <w:trPr>
          <w:trHeight w:val="332"/>
        </w:trPr>
        <w:tc>
          <w:tcPr>
            <w:tcW w:w="1186" w:type="pct"/>
          </w:tcPr>
          <w:p w:rsidR="003B5183" w:rsidRPr="00037F5D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037F5D" w:rsidRDefault="003B5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37F5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37F5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3B5183" w:rsidRPr="00037F5D" w:rsidRDefault="003B5183" w:rsidP="003B518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037F5D" w:rsidTr="00770EEE">
        <w:tc>
          <w:tcPr>
            <w:tcW w:w="1789" w:type="pct"/>
            <w:noWrap/>
          </w:tcPr>
          <w:p w:rsidR="003B5183" w:rsidRPr="00037F5D" w:rsidRDefault="003B518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B5183" w:rsidRPr="00037F5D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B5183" w:rsidRPr="00037F5D" w:rsidRDefault="003B518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7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5183" w:rsidRPr="00037F5D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770EEE">
        <w:trPr>
          <w:trHeight w:val="1264"/>
        </w:trPr>
        <w:tc>
          <w:tcPr>
            <w:tcW w:w="1789" w:type="pct"/>
            <w:noWrap/>
          </w:tcPr>
          <w:p w:rsidR="003B5183" w:rsidRPr="00037F5D" w:rsidRDefault="003B518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338C2" w:rsidRPr="00037F5D" w:rsidRDefault="007338C2" w:rsidP="007338C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adds to the body of scientific knowledge b</w:t>
            </w:r>
            <w:r w:rsidR="0018781E"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 applying empirical data on how livelihood assets affect agricultural households' livelihood strategies in the Kanem region of Chad.</w:t>
            </w:r>
          </w:p>
          <w:p w:rsidR="003B5183" w:rsidRPr="00037F5D" w:rsidRDefault="0018781E" w:rsidP="007338C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study increases knowledge of the relationship between various kinds of capital and rural livelihood decisions in vulnerable areas by utilising a multinomial logit model inside the Sustainable Livelihood Framework.</w:t>
            </w:r>
          </w:p>
        </w:tc>
        <w:tc>
          <w:tcPr>
            <w:tcW w:w="1367" w:type="pct"/>
          </w:tcPr>
          <w:p w:rsidR="003B5183" w:rsidRPr="00037F5D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037F5D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37F5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37F5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037F5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B5183" w:rsidRPr="00037F5D" w:rsidRDefault="003B518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B5183" w:rsidRPr="00037F5D" w:rsidRDefault="003B51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037F5D" w:rsidTr="00107C72">
        <w:tc>
          <w:tcPr>
            <w:tcW w:w="1790" w:type="pct"/>
            <w:noWrap/>
          </w:tcPr>
          <w:p w:rsidR="003B5183" w:rsidRPr="00037F5D" w:rsidRDefault="003B51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B5183" w:rsidRPr="00037F5D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B5183" w:rsidRPr="00037F5D" w:rsidRDefault="003B5183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037F5D" w:rsidTr="00107C72">
        <w:trPr>
          <w:trHeight w:val="1262"/>
        </w:trPr>
        <w:tc>
          <w:tcPr>
            <w:tcW w:w="1790" w:type="pct"/>
            <w:noWrap/>
          </w:tcPr>
          <w:p w:rsidR="003B5183" w:rsidRPr="00037F5D" w:rsidRDefault="003B518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5183" w:rsidRPr="00037F5D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037F5D" w:rsidRDefault="003B518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037F5D" w:rsidRDefault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3B5183" w:rsidRPr="00037F5D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107C72">
        <w:trPr>
          <w:trHeight w:val="1262"/>
        </w:trPr>
        <w:tc>
          <w:tcPr>
            <w:tcW w:w="1790" w:type="pct"/>
            <w:noWrap/>
          </w:tcPr>
          <w:p w:rsidR="003B5183" w:rsidRPr="00037F5D" w:rsidRDefault="003B518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B5183" w:rsidRPr="00037F5D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037F5D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037F5D" w:rsidRDefault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3B5183" w:rsidRPr="00037F5D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18781E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18781E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1262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F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</w:t>
            </w:r>
            <w:proofErr w:type="gramStart"/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Satisfactory(</w:t>
            </w:r>
            <w:proofErr w:type="gramEnd"/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 approval from an institutional ethics committee)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C96DCC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1B266F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8781E" w:rsidRPr="00037F5D" w:rsidRDefault="00155824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8781E" w:rsidRPr="00037F5D" w:rsidRDefault="00155824" w:rsidP="001878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781E" w:rsidRPr="00037F5D" w:rsidTr="00107C72">
        <w:trPr>
          <w:trHeight w:val="703"/>
        </w:trPr>
        <w:tc>
          <w:tcPr>
            <w:tcW w:w="1790" w:type="pct"/>
            <w:noWrap/>
          </w:tcPr>
          <w:p w:rsidR="0018781E" w:rsidRPr="00037F5D" w:rsidRDefault="0018781E" w:rsidP="00187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781E" w:rsidRPr="00037F5D" w:rsidRDefault="0018781E" w:rsidP="00187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781E" w:rsidRPr="00037F5D" w:rsidRDefault="0018781E" w:rsidP="00187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8781E" w:rsidRPr="00037F5D" w:rsidRDefault="00155824" w:rsidP="00155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</w:t>
            </w:r>
            <w:proofErr w:type="gramStart"/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Satisfactory(</w:t>
            </w:r>
            <w:proofErr w:type="gramEnd"/>
            <w:r w:rsidRPr="00037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language editing required)</w:t>
            </w:r>
          </w:p>
        </w:tc>
        <w:tc>
          <w:tcPr>
            <w:tcW w:w="1367" w:type="pct"/>
          </w:tcPr>
          <w:p w:rsidR="0018781E" w:rsidRPr="00037F5D" w:rsidRDefault="0018781E" w:rsidP="001878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037F5D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37F5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37F5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037F5D" w:rsidTr="002E3E2C">
        <w:tc>
          <w:tcPr>
            <w:tcW w:w="1265" w:type="pct"/>
            <w:noWrap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B5183" w:rsidRPr="00037F5D" w:rsidRDefault="003B518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B5183" w:rsidRPr="00037F5D" w:rsidRDefault="003B518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F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2E3E2C">
        <w:trPr>
          <w:trHeight w:val="1262"/>
        </w:trPr>
        <w:tc>
          <w:tcPr>
            <w:tcW w:w="1265" w:type="pct"/>
            <w:noWrap/>
          </w:tcPr>
          <w:p w:rsidR="003B5183" w:rsidRPr="00037F5D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5183" w:rsidRPr="00037F5D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037F5D" w:rsidRDefault="003B518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B5183" w:rsidRPr="00037F5D" w:rsidRDefault="00EF477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2E3E2C">
        <w:trPr>
          <w:trHeight w:val="1262"/>
        </w:trPr>
        <w:tc>
          <w:tcPr>
            <w:tcW w:w="1265" w:type="pct"/>
            <w:noWrap/>
          </w:tcPr>
          <w:p w:rsidR="003B5183" w:rsidRPr="00037F5D" w:rsidRDefault="003B518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B5183" w:rsidRPr="00037F5D" w:rsidRDefault="003B518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037F5D" w:rsidRDefault="003B518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B5183" w:rsidRPr="00037F5D" w:rsidRDefault="00EF477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2E3E2C">
        <w:trPr>
          <w:trHeight w:val="704"/>
        </w:trPr>
        <w:tc>
          <w:tcPr>
            <w:tcW w:w="1265" w:type="pct"/>
            <w:noWrap/>
          </w:tcPr>
          <w:p w:rsidR="003B5183" w:rsidRPr="00037F5D" w:rsidRDefault="003B518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37F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7F5D">
              <w:rPr>
                <w:rFonts w:ascii="Arial" w:hAnsi="Arial" w:cs="Arial"/>
                <w:lang w:val="en-GB" w:eastAsia="en-US"/>
              </w:rPr>
              <w:br/>
            </w:r>
          </w:p>
          <w:p w:rsidR="003B5183" w:rsidRPr="00037F5D" w:rsidRDefault="003B518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8C6240" w:rsidRPr="00037F5D" w:rsidRDefault="008C6240" w:rsidP="009B6C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7F5D">
              <w:rPr>
                <w:rFonts w:ascii="Arial" w:hAnsi="Arial" w:cs="Arial"/>
                <w:sz w:val="20"/>
                <w:szCs w:val="20"/>
              </w:rPr>
              <w:t>Yes, with minor revisions recommended.</w:t>
            </w:r>
          </w:p>
          <w:p w:rsidR="003B5183" w:rsidRPr="00037F5D" w:rsidRDefault="009B6C99" w:rsidP="009B6C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7F5D">
              <w:rPr>
                <w:rFonts w:ascii="Arial" w:hAnsi="Arial" w:cs="Arial"/>
                <w:sz w:val="20"/>
                <w:szCs w:val="20"/>
              </w:rPr>
              <w:t>Should provide clearer definitions and measurement details for variables used in the analysis. Example</w:t>
            </w:r>
          </w:p>
          <w:p w:rsidR="009B6C99" w:rsidRPr="00037F5D" w:rsidRDefault="009B6C99" w:rsidP="009B6C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sz w:val="20"/>
                <w:szCs w:val="20"/>
              </w:rPr>
              <w:t>livelihood asset index-which method is used to normalize or the weightage for the capital components</w:t>
            </w:r>
          </w:p>
          <w:p w:rsidR="009B6C99" w:rsidRPr="00037F5D" w:rsidRDefault="009B6C99" w:rsidP="009B6C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 financial capital indicators (livestock units and access to credit) are aggregated within the financial capital index</w:t>
            </w:r>
          </w:p>
        </w:tc>
        <w:tc>
          <w:tcPr>
            <w:tcW w:w="1523" w:type="pct"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037F5D" w:rsidTr="002E3E2C">
        <w:trPr>
          <w:trHeight w:val="703"/>
        </w:trPr>
        <w:tc>
          <w:tcPr>
            <w:tcW w:w="1265" w:type="pct"/>
            <w:noWrap/>
          </w:tcPr>
          <w:p w:rsidR="003B5183" w:rsidRPr="00037F5D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5183" w:rsidRPr="00037F5D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5183" w:rsidRPr="00037F5D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037F5D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3B5183" w:rsidRPr="00037F5D" w:rsidRDefault="003F0C1B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:rsidR="003B5183" w:rsidRPr="00037F5D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037F5D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C8675A" w:rsidRPr="00037F5D" w:rsidRDefault="00C8675A" w:rsidP="00C8675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037F5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37F5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C8675A" w:rsidRPr="00037F5D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75A" w:rsidRPr="00037F5D" w:rsidRDefault="00C8675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37F5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C8675A" w:rsidRPr="00037F5D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75A" w:rsidRPr="00037F5D" w:rsidRDefault="00C8675A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C8675A" w:rsidRPr="00037F5D" w:rsidRDefault="00C8675A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F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675A" w:rsidRPr="00037F5D" w:rsidRDefault="00C8675A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75A" w:rsidRPr="00037F5D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75A" w:rsidRPr="00037F5D" w:rsidRDefault="00C8675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7F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75A" w:rsidRPr="00037F5D" w:rsidRDefault="00C8675A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675A" w:rsidRPr="00037F5D" w:rsidRDefault="00C8675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8675A" w:rsidRPr="00037F5D" w:rsidRDefault="00C8675A" w:rsidP="00C867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675A" w:rsidRPr="00037F5D" w:rsidRDefault="00C8675A" w:rsidP="00C8675A">
      <w:pPr>
        <w:rPr>
          <w:rFonts w:ascii="Arial" w:hAnsi="Arial" w:cs="Arial"/>
          <w:sz w:val="20"/>
          <w:szCs w:val="20"/>
        </w:rPr>
      </w:pPr>
    </w:p>
    <w:bookmarkEnd w:id="0"/>
    <w:p w:rsidR="00037F5D" w:rsidRPr="00037F5D" w:rsidRDefault="00037F5D" w:rsidP="00037F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F5D">
        <w:rPr>
          <w:rFonts w:ascii="Arial" w:hAnsi="Arial" w:cs="Arial"/>
          <w:b/>
          <w:u w:val="single"/>
        </w:rPr>
        <w:t>Reviewer details:</w:t>
      </w:r>
    </w:p>
    <w:p w:rsidR="003B5183" w:rsidRPr="00037F5D" w:rsidRDefault="003B5183" w:rsidP="003B51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37F5D" w:rsidRPr="00037F5D" w:rsidRDefault="00037F5D" w:rsidP="00037F5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proofErr w:type="gramStart"/>
      <w:r w:rsidRPr="00037F5D">
        <w:rPr>
          <w:rFonts w:ascii="Arial" w:hAnsi="Arial" w:cs="Arial"/>
          <w:sz w:val="20"/>
          <w:szCs w:val="20"/>
          <w:lang w:val="en-GB"/>
        </w:rPr>
        <w:t>S.Yavana</w:t>
      </w:r>
      <w:proofErr w:type="spellEnd"/>
      <w:proofErr w:type="gramEnd"/>
      <w:r w:rsidRPr="00037F5D">
        <w:rPr>
          <w:rFonts w:ascii="Arial" w:hAnsi="Arial" w:cs="Arial"/>
          <w:sz w:val="20"/>
          <w:szCs w:val="20"/>
          <w:lang w:val="en-GB"/>
        </w:rPr>
        <w:t xml:space="preserve"> Rani</w:t>
      </w:r>
      <w:r w:rsidRPr="00037F5D">
        <w:rPr>
          <w:rFonts w:ascii="Arial" w:hAnsi="Arial" w:cs="Arial"/>
          <w:sz w:val="20"/>
          <w:szCs w:val="20"/>
          <w:lang w:val="en-GB"/>
        </w:rPr>
        <w:t xml:space="preserve">, </w:t>
      </w:r>
      <w:r w:rsidRPr="00037F5D">
        <w:rPr>
          <w:rFonts w:ascii="Arial" w:hAnsi="Arial" w:cs="Arial"/>
          <w:sz w:val="20"/>
          <w:szCs w:val="20"/>
          <w:lang w:val="en-GB"/>
        </w:rPr>
        <w:t>Jain(Deemed-to-be University), India</w:t>
      </w:r>
      <w:bookmarkEnd w:id="1"/>
    </w:p>
    <w:sectPr w:rsidR="00037F5D" w:rsidRPr="00037F5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717" w:rsidRPr="0000007A" w:rsidRDefault="00B30717" w:rsidP="0099583E">
      <w:r>
        <w:separator/>
      </w:r>
    </w:p>
  </w:endnote>
  <w:endnote w:type="continuationSeparator" w:id="0">
    <w:p w:rsidR="00B30717" w:rsidRPr="0000007A" w:rsidRDefault="00B307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pStyle w:val="Footer"/>
      <w:jc w:val="right"/>
    </w:pPr>
  </w:p>
  <w:p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338C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338C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B5183" w:rsidRDefault="003B5183" w:rsidP="003B518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717" w:rsidRPr="0000007A" w:rsidRDefault="00B30717" w:rsidP="0099583E">
      <w:r>
        <w:separator/>
      </w:r>
    </w:p>
  </w:footnote>
  <w:footnote w:type="continuationSeparator" w:id="0">
    <w:p w:rsidR="00B30717" w:rsidRPr="0000007A" w:rsidRDefault="00B307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66A29"/>
    <w:multiLevelType w:val="hybridMultilevel"/>
    <w:tmpl w:val="67FC8F6C"/>
    <w:lvl w:ilvl="0" w:tplc="E5A8EB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6F3"/>
    <w:rsid w:val="00006187"/>
    <w:rsid w:val="00010403"/>
    <w:rsid w:val="00012C8B"/>
    <w:rsid w:val="00021981"/>
    <w:rsid w:val="000234E1"/>
    <w:rsid w:val="0002598E"/>
    <w:rsid w:val="00037D52"/>
    <w:rsid w:val="00037F5D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5824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8781E"/>
    <w:rsid w:val="0019527A"/>
    <w:rsid w:val="00197E68"/>
    <w:rsid w:val="001A1605"/>
    <w:rsid w:val="001B0C63"/>
    <w:rsid w:val="001B266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3F0C1B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545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61C3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67D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38C2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56E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75B"/>
    <w:rsid w:val="0087201B"/>
    <w:rsid w:val="00877F10"/>
    <w:rsid w:val="00882091"/>
    <w:rsid w:val="008913D5"/>
    <w:rsid w:val="00892893"/>
    <w:rsid w:val="00893E75"/>
    <w:rsid w:val="008C2778"/>
    <w:rsid w:val="008C2F62"/>
    <w:rsid w:val="008C6240"/>
    <w:rsid w:val="008D020E"/>
    <w:rsid w:val="008D0407"/>
    <w:rsid w:val="008D1117"/>
    <w:rsid w:val="008D15A4"/>
    <w:rsid w:val="008F36E4"/>
    <w:rsid w:val="008F6673"/>
    <w:rsid w:val="00914701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6C99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717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B60FB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8675A"/>
    <w:rsid w:val="00C92F3A"/>
    <w:rsid w:val="00C96DCC"/>
    <w:rsid w:val="00C97898"/>
    <w:rsid w:val="00CB429B"/>
    <w:rsid w:val="00CC2753"/>
    <w:rsid w:val="00CD093E"/>
    <w:rsid w:val="00CD1556"/>
    <w:rsid w:val="00CD1FD7"/>
    <w:rsid w:val="00CD5E66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4772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82A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5575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7F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15</cp:revision>
  <dcterms:created xsi:type="dcterms:W3CDTF">2026-03-24T06:13:00Z</dcterms:created>
  <dcterms:modified xsi:type="dcterms:W3CDTF">2026-04-02T11:46:00Z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