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7096A">
      <w:pPr>
        <w:pStyle w:val="13"/>
        <w:spacing w:line="240" w:lineRule="auto"/>
        <w:rPr>
          <w:rFonts w:ascii="Arial" w:hAnsi="Arial" w:cs="Arial"/>
          <w:bCs/>
          <w:iCs/>
          <w:kern w:val="28"/>
          <w:sz w:val="36"/>
        </w:rPr>
      </w:pPr>
      <w:r>
        <w:rPr>
          <w:rFonts w:ascii="Arial" w:hAnsi="Arial" w:cs="Arial"/>
          <w:bCs/>
          <w:iCs/>
          <w:kern w:val="28"/>
          <w:sz w:val="40"/>
          <w:szCs w:val="22"/>
          <w:lang w:val="en-IN"/>
        </w:rPr>
        <w:t>Integrated Weed Management Strategies for Enhancing Growth and Productivity of Irrigated Maize (</w:t>
      </w:r>
      <w:r>
        <w:rPr>
          <w:rFonts w:ascii="Arial" w:hAnsi="Arial" w:cs="Arial"/>
          <w:bCs/>
          <w:i/>
          <w:kern w:val="28"/>
          <w:sz w:val="40"/>
          <w:szCs w:val="22"/>
          <w:lang w:val="en-IN"/>
        </w:rPr>
        <w:t>Zea mays</w:t>
      </w:r>
      <w:r>
        <w:rPr>
          <w:rFonts w:ascii="Arial" w:hAnsi="Arial" w:cs="Arial"/>
          <w:bCs/>
          <w:iCs/>
          <w:kern w:val="28"/>
          <w:sz w:val="40"/>
          <w:szCs w:val="22"/>
          <w:lang w:val="en-IN"/>
        </w:rPr>
        <w:t xml:space="preserve"> L.)</w:t>
      </w:r>
    </w:p>
    <w:p w14:paraId="4780F80E">
      <w:pPr>
        <w:pStyle w:val="13"/>
        <w:spacing w:line="240" w:lineRule="auto"/>
        <w:rPr>
          <w:rFonts w:ascii="Arial" w:hAnsi="Arial" w:cs="Arial"/>
          <w:bCs/>
          <w:iCs/>
          <w:kern w:val="28"/>
          <w:sz w:val="36"/>
        </w:rPr>
      </w:pPr>
    </w:p>
    <w:p w14:paraId="18D7FE3F">
      <w:pPr>
        <w:pStyle w:val="16"/>
        <w:spacing w:after="0" w:line="240" w:lineRule="auto"/>
        <w:jc w:val="both"/>
        <w:rPr>
          <w:rFonts w:ascii="Arial" w:hAnsi="Arial" w:cs="Arial"/>
        </w:rPr>
      </w:pPr>
      <w:r>
        <w:rPr>
          <w:rFonts w:ascii="Arial" w:hAnsi="Arial" w:cs="Arial"/>
        </w:rPr>
        <mc:AlternateContent>
          <mc:Choice Requires="wps">
            <w:drawing>
              <wp:inline distT="0" distB="0" distL="0" distR="0">
                <wp:extent cx="5756275" cy="635"/>
                <wp:effectExtent l="9525" t="14605" r="15875" b="13970"/>
                <wp:docPr id="454480736"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straightConnector1">
                          <a:avLst/>
                        </a:prstGeom>
                        <a:noFill/>
                        <a:ln w="19050">
                          <a:solidFill>
                            <a:srgbClr val="000000"/>
                          </a:solidFill>
                          <a:round/>
                        </a:ln>
                      </wps:spPr>
                      <wps:bodyPr/>
                    </wps:wsp>
                  </a:graphicData>
                </a:graphic>
              </wp:inline>
            </w:drawing>
          </mc:Choice>
          <mc:Fallback>
            <w:pict>
              <v:shape id="Straight Arrow Connector 1" o:spid="_x0000_s1026" o:spt="32" type="#_x0000_t32" style="height:0.05pt;width:453.25pt;" filled="f" stroked="t" coordsize="21600,21600" o:gfxdata="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PULtAAAAACAQAADwAAAAAA&#10;AAABACAAAAAiAAAAZHJzL2Rvd25yZXYueG1sUEsBAhQAFAAAAAgAh07iQFuhWMjiAQAAygMAAA4A&#10;AAAAAAAAAQAgAAAAHwEAAGRycy9lMm9Eb2MueG1sUEsFBgAAAAAGAAYAWQEAAHMFAAAAAA==&#10;">
                <v:fill on="f" focussize="0,0"/>
                <v:stroke weight="1.5pt" color="#000000" joinstyle="round"/>
                <v:imagedata o:title=""/>
                <o:lock v:ext="edit" aspectratio="f"/>
                <w10:wrap type="none"/>
                <w10:anchorlock/>
              </v:shape>
            </w:pict>
          </mc:Fallback>
        </mc:AlternateContent>
      </w:r>
    </w:p>
    <w:p w14:paraId="31416678">
      <w:pPr>
        <w:pStyle w:val="15"/>
        <w:spacing w:after="0"/>
        <w:jc w:val="both"/>
        <w:rPr>
          <w:rFonts w:ascii="Arial" w:hAnsi="Arial" w:cs="Arial"/>
        </w:rPr>
      </w:pPr>
    </w:p>
    <w:p w14:paraId="3504CA2F">
      <w:pPr>
        <w:pStyle w:val="15"/>
        <w:spacing w:after="0"/>
        <w:jc w:val="both"/>
        <w:rPr>
          <w:rFonts w:ascii="Arial" w:hAnsi="Arial" w:cs="Arial"/>
        </w:rPr>
      </w:pPr>
      <w:r>
        <w:rPr>
          <w:rFonts w:ascii="Arial" w:hAnsi="Arial" w:cs="Arial"/>
        </w:rPr>
        <w:t>ABSTRACT</w:t>
      </w:r>
    </w:p>
    <w:p w14:paraId="13CD3695">
      <w:pPr>
        <w:pStyle w:val="15"/>
        <w:spacing w:after="0"/>
        <w:jc w:val="both"/>
        <w:rPr>
          <w:rFonts w:ascii="Arial" w:hAnsi="Arial" w:cs="Arial"/>
        </w:rPr>
      </w:pP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072"/>
      </w:tblGrid>
      <w:tr w14:paraId="01FBD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PrEx>
        <w:tc>
          <w:tcPr>
            <w:tcW w:w="9072" w:type="dxa"/>
            <w:shd w:val="clear" w:color="auto" w:fill="F2F2F2"/>
          </w:tcPr>
          <w:p w14:paraId="153FDE8D">
            <w:pPr>
              <w:pStyle w:val="17"/>
              <w:rPr>
                <w:rFonts w:ascii="Arial" w:hAnsi="Arial" w:eastAsia="Calibri" w:cs="Arial"/>
                <w:szCs w:val="22"/>
              </w:rPr>
            </w:pPr>
            <w:r>
              <w:rPr>
                <w:rFonts w:ascii="Arial" w:hAnsi="Arial" w:eastAsia="Calibri" w:cs="Arial"/>
                <w:b/>
                <w:szCs w:val="22"/>
              </w:rPr>
              <w:t xml:space="preserve">Aims: </w:t>
            </w:r>
            <w:r>
              <w:rPr>
                <w:rFonts w:ascii="Arial" w:hAnsi="Arial" w:eastAsia="Calibri" w:cs="Arial"/>
                <w:szCs w:val="22"/>
              </w:rPr>
              <w:t>The study was</w:t>
            </w:r>
            <w:commentRangeStart w:id="0"/>
            <w:r>
              <w:rPr>
                <w:rFonts w:ascii="Arial" w:hAnsi="Arial" w:eastAsia="Calibri" w:cs="Arial"/>
                <w:szCs w:val="22"/>
              </w:rPr>
              <w:t xml:space="preserve"> conduct</w:t>
            </w:r>
            <w:commentRangeEnd w:id="0"/>
            <w:r>
              <w:commentReference w:id="0"/>
            </w:r>
            <w:r>
              <w:rPr>
                <w:rFonts w:ascii="Arial" w:hAnsi="Arial" w:eastAsia="Calibri" w:cs="Arial"/>
                <w:szCs w:val="22"/>
              </w:rPr>
              <w:t xml:space="preserve"> to evaluate the better weed management practices to increase the productivity of irrigated maize</w:t>
            </w:r>
          </w:p>
          <w:p w14:paraId="4E499440">
            <w:pPr>
              <w:pStyle w:val="17"/>
              <w:rPr>
                <w:rFonts w:ascii="Arial" w:hAnsi="Arial" w:eastAsia="Calibri" w:cs="Arial"/>
                <w:szCs w:val="22"/>
              </w:rPr>
            </w:pPr>
            <w:r>
              <w:rPr>
                <w:rFonts w:ascii="Arial" w:hAnsi="Arial" w:eastAsia="Calibri" w:cs="Arial"/>
                <w:b/>
                <w:szCs w:val="22"/>
              </w:rPr>
              <w:t>Study design:</w:t>
            </w:r>
            <w:r>
              <w:rPr>
                <w:rFonts w:ascii="Arial" w:hAnsi="Arial" w:eastAsia="Calibri" w:cs="Arial"/>
                <w:szCs w:val="22"/>
              </w:rPr>
              <w:t xml:space="preserve">  Randomized Block Design</w:t>
            </w:r>
          </w:p>
          <w:p w14:paraId="77C92A99">
            <w:pPr>
              <w:pStyle w:val="17"/>
              <w:rPr>
                <w:rFonts w:ascii="Arial" w:hAnsi="Arial" w:eastAsia="Calibri" w:cs="Arial"/>
                <w:szCs w:val="22"/>
              </w:rPr>
            </w:pPr>
            <w:r>
              <w:rPr>
                <w:rFonts w:ascii="Arial" w:hAnsi="Arial" w:eastAsia="Calibri" w:cs="Arial"/>
                <w:b/>
                <w:szCs w:val="22"/>
              </w:rPr>
              <w:t>Place and Duration of Study:</w:t>
            </w:r>
            <w:r>
              <w:rPr>
                <w:rFonts w:ascii="Arial" w:hAnsi="Arial" w:eastAsia="Calibri" w:cs="Arial"/>
                <w:szCs w:val="22"/>
              </w:rPr>
              <w:t xml:space="preserve"> </w:t>
            </w:r>
            <w:r>
              <w:rPr>
                <w:rFonts w:ascii="Arial" w:hAnsi="Arial" w:cs="Arial"/>
                <w:szCs w:val="22"/>
              </w:rPr>
              <w:t>A field trial was conducted during the rabi season of 2025–26 at the Instructional Farm of Karunya Institute of Technology and Sciences, Coimbatore.</w:t>
            </w:r>
          </w:p>
          <w:p w14:paraId="7B741721">
            <w:pPr>
              <w:pStyle w:val="17"/>
              <w:rPr>
                <w:rFonts w:ascii="Arial" w:hAnsi="Arial" w:eastAsia="Calibri" w:cs="Arial"/>
                <w:szCs w:val="22"/>
              </w:rPr>
            </w:pPr>
            <w:r>
              <w:rPr>
                <w:rFonts w:ascii="Arial" w:hAnsi="Arial" w:eastAsia="Calibri" w:cs="Arial"/>
                <w:b/>
                <w:bCs/>
                <w:szCs w:val="22"/>
              </w:rPr>
              <w:t>Methodology:</w:t>
            </w:r>
            <w:r>
              <w:rPr>
                <w:rFonts w:ascii="Arial" w:hAnsi="Arial" w:eastAsia="Calibri" w:cs="Arial"/>
                <w:szCs w:val="22"/>
              </w:rPr>
              <w:t xml:space="preserve"> </w:t>
            </w:r>
            <w:r>
              <w:rPr>
                <w:rFonts w:ascii="Arial" w:hAnsi="Arial" w:cs="Arial"/>
                <w:szCs w:val="22"/>
              </w:rPr>
              <w:t>The study was conducted in randomized block design, with 11 different treatments i.e. In the experiment, eleven treatments were evaluated comprising sole maize with PE atrazine 50% WP @ 0.5 kg ha</w:t>
            </w:r>
            <w:r>
              <w:rPr>
                <w:rFonts w:ascii="Cambria Math" w:hAnsi="Cambria Math" w:cs="Cambria Math"/>
                <w:szCs w:val="22"/>
              </w:rPr>
              <w:t>⁻</w:t>
            </w:r>
            <w:r>
              <w:rPr>
                <w:rFonts w:ascii="Arial" w:hAnsi="Arial" w:cs="Arial"/>
                <w:szCs w:val="22"/>
              </w:rPr>
              <w:t>¹ followed by manual weeding (T</w:t>
            </w:r>
            <w:r>
              <w:rPr>
                <w:rFonts w:ascii="Cambria Math" w:hAnsi="Cambria Math" w:cs="Cambria Math"/>
                <w:szCs w:val="22"/>
              </w:rPr>
              <w:t>₁</w:t>
            </w:r>
            <w:r>
              <w:rPr>
                <w:rFonts w:ascii="Arial" w:hAnsi="Arial" w:cs="Arial"/>
                <w:szCs w:val="22"/>
              </w:rPr>
              <w:t>), 2,4-D 38% EC @ 1 kg ha</w:t>
            </w:r>
            <w:r>
              <w:rPr>
                <w:rFonts w:ascii="Cambria Math" w:hAnsi="Cambria Math" w:cs="Cambria Math"/>
                <w:szCs w:val="22"/>
              </w:rPr>
              <w:t>⁻</w:t>
            </w:r>
            <w:r>
              <w:rPr>
                <w:rFonts w:ascii="Arial" w:hAnsi="Arial" w:cs="Arial"/>
                <w:szCs w:val="22"/>
              </w:rPr>
              <w:t>¹ (T</w:t>
            </w:r>
            <w:r>
              <w:rPr>
                <w:rFonts w:ascii="Cambria Math" w:hAnsi="Cambria Math" w:cs="Cambria Math"/>
                <w:szCs w:val="22"/>
              </w:rPr>
              <w:t>₂</w:t>
            </w:r>
            <w:r>
              <w:rPr>
                <w:rFonts w:ascii="Arial" w:hAnsi="Arial" w:cs="Arial"/>
                <w:szCs w:val="22"/>
              </w:rPr>
              <w:t>), Tembotrione 34.4% SC @ 0.12 kg ha</w:t>
            </w:r>
            <w:r>
              <w:rPr>
                <w:rFonts w:ascii="Cambria Math" w:hAnsi="Cambria Math" w:cs="Cambria Math"/>
                <w:szCs w:val="22"/>
              </w:rPr>
              <w:t>⁻</w:t>
            </w:r>
            <w:r>
              <w:rPr>
                <w:rFonts w:ascii="Arial" w:hAnsi="Arial" w:cs="Arial"/>
                <w:szCs w:val="22"/>
              </w:rPr>
              <w:t>¹ (T</w:t>
            </w:r>
            <w:r>
              <w:rPr>
                <w:rFonts w:ascii="Cambria Math" w:hAnsi="Cambria Math" w:cs="Cambria Math"/>
                <w:szCs w:val="22"/>
              </w:rPr>
              <w:t>₃</w:t>
            </w:r>
            <w:r>
              <w:rPr>
                <w:rFonts w:ascii="Arial" w:hAnsi="Arial" w:cs="Arial"/>
                <w:szCs w:val="22"/>
              </w:rPr>
              <w:t>) or Topramezone 33.6% SC @ 0.025 kg ha</w:t>
            </w:r>
            <w:r>
              <w:rPr>
                <w:rFonts w:ascii="Cambria Math" w:hAnsi="Cambria Math" w:cs="Cambria Math"/>
                <w:szCs w:val="22"/>
              </w:rPr>
              <w:t>⁻</w:t>
            </w:r>
            <w:r>
              <w:rPr>
                <w:rFonts w:ascii="Arial" w:hAnsi="Arial" w:cs="Arial"/>
                <w:szCs w:val="22"/>
              </w:rPr>
              <w:t>¹ (T</w:t>
            </w:r>
            <w:r>
              <w:rPr>
                <w:rFonts w:ascii="Cambria Math" w:hAnsi="Cambria Math" w:cs="Cambria Math"/>
                <w:szCs w:val="22"/>
              </w:rPr>
              <w:t>₄</w:t>
            </w:r>
            <w:r>
              <w:rPr>
                <w:rFonts w:ascii="Arial" w:hAnsi="Arial" w:cs="Arial"/>
                <w:szCs w:val="22"/>
              </w:rPr>
              <w:t>) applied as PoE at 30 DAS; maize + dhaincha with manual incorporation (T</w:t>
            </w:r>
            <w:r>
              <w:rPr>
                <w:rFonts w:ascii="Cambria Math" w:hAnsi="Cambria Math" w:cs="Cambria Math"/>
                <w:szCs w:val="22"/>
              </w:rPr>
              <w:t>₅</w:t>
            </w:r>
            <w:r>
              <w:rPr>
                <w:rFonts w:ascii="Arial" w:hAnsi="Arial" w:cs="Arial"/>
                <w:szCs w:val="22"/>
              </w:rPr>
              <w:t>) or incorporation using PoE 2,4-D (T</w:t>
            </w:r>
            <w:r>
              <w:rPr>
                <w:rFonts w:ascii="Cambria Math" w:hAnsi="Cambria Math" w:cs="Cambria Math"/>
                <w:szCs w:val="22"/>
              </w:rPr>
              <w:t>₆</w:t>
            </w:r>
            <w:r>
              <w:rPr>
                <w:rFonts w:ascii="Arial" w:hAnsi="Arial" w:cs="Arial"/>
                <w:szCs w:val="22"/>
              </w:rPr>
              <w:t>), Tembotrione (T</w:t>
            </w:r>
            <w:r>
              <w:rPr>
                <w:rFonts w:ascii="Cambria Math" w:hAnsi="Cambria Math" w:cs="Cambria Math"/>
                <w:szCs w:val="22"/>
              </w:rPr>
              <w:t>₇</w:t>
            </w:r>
            <w:r>
              <w:rPr>
                <w:rFonts w:ascii="Arial" w:hAnsi="Arial" w:cs="Arial"/>
                <w:szCs w:val="22"/>
              </w:rPr>
              <w:t>) or Topramezone (T</w:t>
            </w:r>
            <w:r>
              <w:rPr>
                <w:rFonts w:ascii="Cambria Math" w:hAnsi="Cambria Math" w:cs="Cambria Math"/>
                <w:szCs w:val="22"/>
              </w:rPr>
              <w:t>₈</w:t>
            </w:r>
            <w:r>
              <w:rPr>
                <w:rFonts w:ascii="Arial" w:hAnsi="Arial" w:cs="Arial"/>
                <w:szCs w:val="22"/>
              </w:rPr>
              <w:t>) at 30 DAS; sole maize with manual weeding at 15 and 30 DAS (T</w:t>
            </w:r>
            <w:r>
              <w:rPr>
                <w:rFonts w:ascii="Cambria Math" w:hAnsi="Cambria Math" w:cs="Cambria Math"/>
                <w:szCs w:val="22"/>
              </w:rPr>
              <w:t>₉</w:t>
            </w:r>
            <w:r>
              <w:rPr>
                <w:rFonts w:ascii="Arial" w:hAnsi="Arial" w:cs="Arial"/>
                <w:szCs w:val="22"/>
              </w:rPr>
              <w:t>); along with a weed-free check (T</w:t>
            </w:r>
            <w:r>
              <w:rPr>
                <w:rFonts w:ascii="Cambria Math" w:hAnsi="Cambria Math" w:cs="Cambria Math"/>
                <w:szCs w:val="22"/>
              </w:rPr>
              <w:t>₁₀</w:t>
            </w:r>
            <w:r>
              <w:rPr>
                <w:rFonts w:ascii="Arial" w:hAnsi="Arial" w:cs="Arial"/>
                <w:szCs w:val="22"/>
              </w:rPr>
              <w:t>) and an un-weeded control (T</w:t>
            </w:r>
            <w:r>
              <w:rPr>
                <w:rFonts w:ascii="Cambria Math" w:hAnsi="Cambria Math" w:cs="Cambria Math"/>
                <w:szCs w:val="22"/>
              </w:rPr>
              <w:t>₁₁</w:t>
            </w:r>
            <w:r>
              <w:rPr>
                <w:rFonts w:ascii="Arial" w:hAnsi="Arial" w:cs="Arial"/>
                <w:szCs w:val="22"/>
              </w:rPr>
              <w:t>) and it was replicated thrice.</w:t>
            </w:r>
          </w:p>
          <w:p w14:paraId="2FA84E64">
            <w:pPr>
              <w:pStyle w:val="17"/>
              <w:rPr>
                <w:rFonts w:ascii="Arial" w:hAnsi="Arial" w:cs="Arial"/>
                <w:szCs w:val="22"/>
              </w:rPr>
            </w:pPr>
            <w:r>
              <w:rPr>
                <w:rFonts w:ascii="Arial" w:hAnsi="Arial" w:eastAsia="Calibri" w:cs="Arial"/>
                <w:b/>
                <w:bCs/>
                <w:szCs w:val="22"/>
              </w:rPr>
              <w:t>Results:</w:t>
            </w:r>
            <w:r>
              <w:rPr>
                <w:rFonts w:ascii="Arial" w:hAnsi="Arial" w:eastAsia="Calibri" w:cs="Arial"/>
                <w:szCs w:val="22"/>
              </w:rPr>
              <w:t xml:space="preserve"> The application of weed free check recorded higher growth characters i.e. plant height, dry matter production, leaf area index and higher yield attributes like </w:t>
            </w:r>
            <w:r>
              <w:rPr>
                <w:rFonts w:ascii="Arial" w:hAnsi="Arial" w:cs="Arial"/>
                <w:szCs w:val="22"/>
              </w:rPr>
              <w:t>no. of cobs</w:t>
            </w:r>
            <w:r>
              <w:rPr>
                <w:rFonts w:ascii="Arial" w:hAnsi="Arial" w:cs="Arial"/>
                <w:szCs w:val="22"/>
                <w:vertAlign w:val="superscript"/>
              </w:rPr>
              <w:t>-1</w:t>
            </w:r>
            <w:r>
              <w:rPr>
                <w:rFonts w:ascii="Arial" w:hAnsi="Arial" w:cs="Arial"/>
                <w:szCs w:val="22"/>
              </w:rPr>
              <w:t xml:space="preserve"> plant, no. of grain rows</w:t>
            </w:r>
            <w:r>
              <w:rPr>
                <w:rFonts w:ascii="Arial" w:hAnsi="Arial" w:cs="Arial"/>
                <w:szCs w:val="22"/>
                <w:vertAlign w:val="superscript"/>
              </w:rPr>
              <w:t xml:space="preserve">-1 </w:t>
            </w:r>
            <w:r>
              <w:rPr>
                <w:rFonts w:ascii="Arial" w:hAnsi="Arial" w:cs="Arial"/>
                <w:szCs w:val="22"/>
              </w:rPr>
              <w:t>cob, no. of grains</w:t>
            </w:r>
            <w:r>
              <w:rPr>
                <w:rFonts w:ascii="Arial" w:hAnsi="Arial" w:cs="Arial"/>
                <w:szCs w:val="22"/>
                <w:vertAlign w:val="superscript"/>
              </w:rPr>
              <w:t xml:space="preserve">-1 </w:t>
            </w:r>
            <w:r>
              <w:rPr>
                <w:rFonts w:ascii="Arial" w:hAnsi="Arial" w:cs="Arial"/>
                <w:szCs w:val="22"/>
              </w:rPr>
              <w:t>row, grain yield and haulm yield and it was followed by the combined application of maize + dhaincha incorporation using PoE Tembotrione 34.4% SC @ 0.12 kg ha</w:t>
            </w:r>
            <w:r>
              <w:rPr>
                <w:rFonts w:ascii="Cambria Math" w:hAnsi="Cambria Math" w:cs="Cambria Math"/>
                <w:szCs w:val="22"/>
              </w:rPr>
              <w:t>⁻</w:t>
            </w:r>
            <w:r>
              <w:rPr>
                <w:rFonts w:ascii="Arial" w:hAnsi="Arial" w:cs="Arial"/>
                <w:szCs w:val="22"/>
              </w:rPr>
              <w:t>¹</w:t>
            </w:r>
          </w:p>
          <w:p w14:paraId="42B3ACDF">
            <w:pPr>
              <w:pStyle w:val="17"/>
              <w:rPr>
                <w:rFonts w:ascii="Arial" w:hAnsi="Arial" w:eastAsia="Calibri" w:cs="Arial"/>
                <w:b/>
                <w:bCs/>
                <w:szCs w:val="22"/>
              </w:rPr>
            </w:pPr>
            <w:r>
              <w:rPr>
                <w:rFonts w:ascii="Arial" w:hAnsi="Arial" w:eastAsia="Calibri" w:cs="Arial"/>
                <w:b/>
                <w:bCs/>
                <w:szCs w:val="22"/>
              </w:rPr>
              <w:t>Conclusion:</w:t>
            </w:r>
            <w:r>
              <w:rPr>
                <w:rFonts w:ascii="Arial" w:hAnsi="Arial" w:eastAsia="Calibri" w:cs="Arial"/>
                <w:szCs w:val="22"/>
              </w:rPr>
              <w:t xml:space="preserve"> </w:t>
            </w:r>
            <w:r>
              <w:rPr>
                <w:rFonts w:ascii="Arial" w:hAnsi="Arial" w:cs="Arial"/>
                <w:szCs w:val="22"/>
              </w:rPr>
              <w:t>Effective weed management significantly improved the growth and yield of irrigated maize, with the weed-free check recording the highest growth parameters.</w:t>
            </w:r>
          </w:p>
        </w:tc>
      </w:tr>
    </w:tbl>
    <w:p w14:paraId="347821F8">
      <w:pPr>
        <w:pStyle w:val="17"/>
        <w:spacing w:after="0"/>
        <w:rPr>
          <w:rFonts w:ascii="Arial" w:hAnsi="Arial" w:cs="Arial"/>
          <w:i/>
        </w:rPr>
      </w:pPr>
    </w:p>
    <w:p w14:paraId="7FBBF34B">
      <w:pPr>
        <w:rPr>
          <w:rFonts w:ascii="Arial" w:hAnsi="Arial" w:eastAsia="Times New Roman" w:cs="Arial"/>
          <w:i/>
          <w:kern w:val="0"/>
          <w:lang w:val="en-US" w:eastAsia="en-US"/>
        </w:rPr>
      </w:pPr>
      <w:r>
        <w:rPr>
          <w:rFonts w:ascii="Arial" w:hAnsi="Arial" w:eastAsia="Times New Roman" w:cs="Arial"/>
          <w:i/>
          <w:kern w:val="0"/>
          <w:lang w:val="en-US" w:eastAsia="en-US"/>
        </w:rPr>
        <w:t xml:space="preserve">Keywords: </w:t>
      </w:r>
      <w:r>
        <w:rPr>
          <w:rFonts w:ascii="Arial" w:hAnsi="Arial" w:eastAsia="Times New Roman" w:cs="Arial"/>
          <w:i/>
          <w:iCs/>
          <w:kern w:val="0"/>
          <w:lang w:eastAsia="en-US"/>
        </w:rPr>
        <w:t>Maize, Dhaincha, Tembotrione, Hand weeding, Growth character</w:t>
      </w:r>
    </w:p>
    <w:p w14:paraId="3B60AB88">
      <w:pPr>
        <w:rPr>
          <w:rFonts w:ascii="Arial" w:hAnsi="Arial" w:cs="Arial"/>
          <w:b/>
          <w:bCs/>
          <w:sz w:val="22"/>
          <w:szCs w:val="22"/>
        </w:rPr>
      </w:pPr>
    </w:p>
    <w:p w14:paraId="7899C2D6">
      <w:pPr>
        <w:rPr>
          <w:rFonts w:ascii="Arial" w:hAnsi="Arial" w:cs="Arial"/>
          <w:b/>
          <w:bCs/>
          <w:sz w:val="22"/>
          <w:szCs w:val="22"/>
        </w:rPr>
      </w:pPr>
    </w:p>
    <w:p w14:paraId="68719109">
      <w:pPr>
        <w:rPr>
          <w:rFonts w:ascii="Arial" w:hAnsi="Arial" w:cs="Arial"/>
          <w:b/>
          <w:bCs/>
          <w:sz w:val="22"/>
          <w:szCs w:val="22"/>
        </w:rPr>
      </w:pPr>
      <w:r>
        <w:rPr>
          <w:rFonts w:ascii="Arial" w:hAnsi="Arial" w:cs="Arial"/>
          <w:b/>
          <w:bCs/>
          <w:sz w:val="22"/>
          <w:szCs w:val="22"/>
        </w:rPr>
        <w:t>1. INTRODUCTION</w:t>
      </w:r>
    </w:p>
    <w:p w14:paraId="5E11C1D3">
      <w:pPr>
        <w:ind w:right="168"/>
        <w:rPr>
          <w:rFonts w:ascii="Arial" w:hAnsi="Arial" w:cs="Arial"/>
        </w:rPr>
      </w:pPr>
      <w:r>
        <w:rPr>
          <w:rFonts w:ascii="Arial" w:hAnsi="Arial" w:cs="Arial"/>
        </w:rPr>
        <w:t>Maize (</w:t>
      </w:r>
      <w:r>
        <w:rPr>
          <w:rFonts w:ascii="Arial" w:hAnsi="Arial" w:cs="Arial"/>
          <w:i/>
          <w:iCs/>
        </w:rPr>
        <w:t>Zea mays</w:t>
      </w:r>
      <w:r>
        <w:rPr>
          <w:rFonts w:ascii="Arial" w:hAnsi="Arial" w:cs="Arial"/>
        </w:rPr>
        <w:t xml:space="preserve"> L.) is one of the most important cereal crops in the world and serves as a staple food for more than 900 million people in developing countries. It is widely utilized as a raw material for food sweeteners, alcoholic beverages, protein, oil, starch, and biofuel production. Owing to its exceptional genetic yield potential and wide adaptability, maize is often referred to as the “queen of cereals” (Gezahegn, 2021). It is considered a miracle crop because of its diverse utility as food, feed, fodder, and industrial raw material (Dass </w:t>
      </w:r>
      <w:r>
        <w:rPr>
          <w:rFonts w:ascii="Arial" w:hAnsi="Arial" w:cs="Arial"/>
          <w:i/>
          <w:iCs/>
        </w:rPr>
        <w:t>et al</w:t>
      </w:r>
      <w:r>
        <w:rPr>
          <w:rFonts w:ascii="Arial" w:hAnsi="Arial" w:cs="Arial"/>
        </w:rPr>
        <w:t xml:space="preserve">., 2008). Globally, maize ranks third after rice and wheat and plays a crucial role in food security, livestock nutrition, and industrial development (FAO, 2021). It is cultivated over approximately 183.3 million hectares with a production of about 1021.60 million metric tonnes (FAO, 2014–15). The USA contributes 35.34% of global production, followed by China, Brazil, EU-27, Ukraine, Mexico, Argentina, India, Indonesia, South Africa, and Russia. India ranks 8th in global maize production, contributing about 2.3% of total output (Suresh </w:t>
      </w:r>
      <w:r>
        <w:rPr>
          <w:rFonts w:ascii="Arial" w:hAnsi="Arial" w:cs="Arial"/>
          <w:i/>
          <w:iCs/>
        </w:rPr>
        <w:t>et al</w:t>
      </w:r>
      <w:r>
        <w:rPr>
          <w:rFonts w:ascii="Arial" w:hAnsi="Arial" w:cs="Arial"/>
        </w:rPr>
        <w:t>., 2017).</w:t>
      </w:r>
    </w:p>
    <w:p w14:paraId="6A45A8BF">
      <w:pPr>
        <w:ind w:right="168"/>
        <w:rPr>
          <w:rFonts w:ascii="Arial" w:hAnsi="Arial" w:cs="Arial"/>
        </w:rPr>
      </w:pPr>
      <w:r>
        <w:rPr>
          <w:rFonts w:ascii="Arial" w:hAnsi="Arial" w:cs="Arial"/>
        </w:rPr>
        <w:t xml:space="preserve">In India, maize is grown across seasons on about 9.5 million hectares with an annual production of 24.5 million tonnes, ranking third after rice and wheat (USDA, 2017). Tamil Nadu has witnessed significant growth in maize area (4.11%), production (8.59%), and productivity (4.31%) per annum due to shifting cultivation from rice and wheat, lower production costs, and increasing demand for poultry feed (Aruna </w:t>
      </w:r>
      <w:r>
        <w:rPr>
          <w:rFonts w:ascii="Arial" w:hAnsi="Arial" w:cs="Arial"/>
          <w:i/>
          <w:iCs/>
        </w:rPr>
        <w:t>et al</w:t>
      </w:r>
      <w:r>
        <w:rPr>
          <w:rFonts w:ascii="Arial" w:hAnsi="Arial" w:cs="Arial"/>
        </w:rPr>
        <w:t xml:space="preserve">., 2024). </w:t>
      </w:r>
    </w:p>
    <w:p w14:paraId="0D679336">
      <w:pPr>
        <w:ind w:right="168"/>
        <w:rPr>
          <w:rFonts w:ascii="Arial" w:hAnsi="Arial" w:cs="Arial"/>
        </w:rPr>
      </w:pPr>
      <w:r>
        <w:rPr>
          <w:rFonts w:ascii="Arial" w:hAnsi="Arial" w:cs="Arial"/>
        </w:rPr>
        <w:t xml:space="preserve">Despite its high yield potential, maize productivity is severely constrained by weeds, particularly under irrigated conditions. Adequate soil moisture and nutrients favour rapid weed growth, intensifying competition during early crop stages. Initial slow growth and wider row spacing allow luxuriant weed proliferation, causing yield reductions ranging from 28–100% (Dass </w:t>
      </w:r>
      <w:r>
        <w:rPr>
          <w:rFonts w:ascii="Arial" w:hAnsi="Arial" w:cs="Arial"/>
          <w:i/>
          <w:iCs/>
        </w:rPr>
        <w:t>et al</w:t>
      </w:r>
      <w:r>
        <w:rPr>
          <w:rFonts w:ascii="Arial" w:hAnsi="Arial" w:cs="Arial"/>
        </w:rPr>
        <w:t xml:space="preserve">., 2012; Das </w:t>
      </w:r>
      <w:r>
        <w:rPr>
          <w:rFonts w:ascii="Arial" w:hAnsi="Arial" w:cs="Arial"/>
          <w:i/>
          <w:iCs/>
        </w:rPr>
        <w:t>et al</w:t>
      </w:r>
      <w:r>
        <w:rPr>
          <w:rFonts w:ascii="Arial" w:hAnsi="Arial" w:cs="Arial"/>
        </w:rPr>
        <w:t xml:space="preserve">., 2020). Weeds in maize fields can remove up to 40–60 kg N, 10–15 kg P, and 30–50 kg K per hectare, significantly depleting soil nutrients (Reddy </w:t>
      </w:r>
      <w:r>
        <w:rPr>
          <w:rFonts w:ascii="Arial" w:hAnsi="Arial" w:cs="Arial"/>
          <w:i/>
          <w:iCs/>
        </w:rPr>
        <w:t>et al</w:t>
      </w:r>
      <w:r>
        <w:rPr>
          <w:rFonts w:ascii="Arial" w:hAnsi="Arial" w:cs="Arial"/>
        </w:rPr>
        <w:t xml:space="preserve">., 2018). Effective weed control can enhance grain yield by 77–96.7% (Sandhya </w:t>
      </w:r>
      <w:r>
        <w:rPr>
          <w:rFonts w:ascii="Arial" w:hAnsi="Arial" w:cs="Arial"/>
          <w:i/>
          <w:iCs/>
        </w:rPr>
        <w:t>et al</w:t>
      </w:r>
      <w:r>
        <w:rPr>
          <w:rFonts w:ascii="Arial" w:hAnsi="Arial" w:cs="Arial"/>
        </w:rPr>
        <w:t xml:space="preserve">., 2020). Also, Traditional weed management practices such as hand weeding and mechanical intercultivation are effective but labour-intensive and costly. Chemical weed control through pre- and post-emergence herbicides is widely adopted due to ease of application; however, indiscriminate use has resulted in herbicide resistance, environmental contamination, residue accumulation, and negative impacts on soil microbial diversity (Chauhan </w:t>
      </w:r>
      <w:r>
        <w:rPr>
          <w:rFonts w:ascii="Arial" w:hAnsi="Arial" w:cs="Arial"/>
          <w:i/>
          <w:iCs/>
        </w:rPr>
        <w:t>et al</w:t>
      </w:r>
      <w:r>
        <w:rPr>
          <w:rFonts w:ascii="Arial" w:hAnsi="Arial" w:cs="Arial"/>
        </w:rPr>
        <w:t xml:space="preserve">., 2020). </w:t>
      </w:r>
    </w:p>
    <w:p w14:paraId="67D5EBCC">
      <w:pPr>
        <w:ind w:right="168"/>
        <w:rPr>
          <w:rFonts w:ascii="Arial" w:hAnsi="Arial" w:cs="Arial"/>
        </w:rPr>
      </w:pPr>
      <w:r>
        <w:rPr>
          <w:rFonts w:ascii="Arial" w:hAnsi="Arial" w:cs="Arial"/>
        </w:rPr>
        <w:t xml:space="preserve">These challenges necessitate eco-friendly and integrated weed management strategies, Brown manuring effectively suppresses weeds through shading and mulching while improving soil organic matter, carbon and nitrogen reserves, and soil physical and biological properties (Singh </w:t>
      </w:r>
      <w:r>
        <w:rPr>
          <w:rFonts w:ascii="Arial" w:hAnsi="Arial" w:cs="Arial"/>
          <w:i/>
          <w:iCs/>
        </w:rPr>
        <w:t>et al</w:t>
      </w:r>
      <w:r>
        <w:rPr>
          <w:rFonts w:ascii="Arial" w:hAnsi="Arial" w:cs="Arial"/>
        </w:rPr>
        <w:t xml:space="preserve">., 2016). Intercropping maize with legumes significantly reduces weed dry weight (Pandey </w:t>
      </w:r>
      <w:r>
        <w:rPr>
          <w:rFonts w:ascii="Arial" w:hAnsi="Arial" w:cs="Arial"/>
          <w:i/>
          <w:iCs/>
        </w:rPr>
        <w:t>et al.,</w:t>
      </w:r>
      <w:r>
        <w:rPr>
          <w:rFonts w:ascii="Arial" w:hAnsi="Arial" w:cs="Arial"/>
        </w:rPr>
        <w:t xml:space="preserve"> 2003; Chalka and Nepalia, 2005), and BM has been reported to increase maize grain yield by up to 10% compared to unweeded control (Oyeogbe </w:t>
      </w:r>
      <w:r>
        <w:rPr>
          <w:rFonts w:ascii="Arial" w:hAnsi="Arial" w:cs="Arial"/>
          <w:i/>
          <w:iCs/>
        </w:rPr>
        <w:t>et al.,</w:t>
      </w:r>
      <w:r>
        <w:rPr>
          <w:rFonts w:ascii="Arial" w:hAnsi="Arial" w:cs="Arial"/>
        </w:rPr>
        <w:t xml:space="preserve"> 2017). Reduced weed competition positively influences the production of maize. To evaluate this, the experiment was conducted during</w:t>
      </w:r>
      <w:r>
        <w:rPr>
          <w:rFonts w:ascii="Arial" w:hAnsi="Arial" w:cs="Arial"/>
          <w:color w:val="FF0000"/>
        </w:rPr>
        <w:t xml:space="preserve"> </w:t>
      </w:r>
      <w:r>
        <w:rPr>
          <w:rFonts w:ascii="Arial" w:hAnsi="Arial" w:cs="Arial"/>
          <w:i/>
          <w:iCs/>
        </w:rPr>
        <w:t>rabi</w:t>
      </w:r>
      <w:r>
        <w:rPr>
          <w:rFonts w:ascii="Arial" w:hAnsi="Arial" w:cs="Arial"/>
        </w:rPr>
        <w:t xml:space="preserve"> season to identify the better weed management practices.</w:t>
      </w:r>
    </w:p>
    <w:p w14:paraId="14C3CFAC">
      <w:pPr>
        <w:rPr>
          <w:rFonts w:ascii="Arial" w:hAnsi="Arial" w:cs="Arial"/>
        </w:rPr>
      </w:pPr>
      <w:r>
        <w:rPr>
          <w:rFonts w:ascii="Arial" w:hAnsi="Arial" w:cs="Arial"/>
          <w:b/>
          <w:bCs/>
          <w:sz w:val="22"/>
          <w:szCs w:val="22"/>
        </w:rPr>
        <w:t>2. MATERIALS AND METHODS</w:t>
      </w:r>
    </w:p>
    <w:p w14:paraId="39AD2C38">
      <w:pPr>
        <w:spacing w:before="0" w:after="0"/>
        <w:rPr>
          <w:rFonts w:ascii="Arial" w:hAnsi="Arial" w:eastAsia="Times New Roman" w:cs="Arial"/>
          <w:bCs/>
          <w:kern w:val="36"/>
        </w:rPr>
      </w:pPr>
      <w:r>
        <w:rPr>
          <w:rFonts w:ascii="Arial" w:hAnsi="Arial" w:eastAsia="Times New Roman" w:cs="Arial"/>
          <w:bCs/>
          <w:kern w:val="36"/>
        </w:rPr>
        <w:t>A field trial was conducted during the rabi season of 2025-26 at the Instructional Farm of Karunya Institute of Technology and Sciences, Coimbatore. The farm is situated at an elevation of 474 meters above mean sea level and is located at 17°22′ N latitude and 77°58′ E longitude in the Western Zone of Tamil Nadu (Fig. 1). Soil analysis of the experimental site revealed that the soil was alkaline in nature, with a pH of 8.1 and an electrical conductivity (EC) of 0.28 dS/m. The soil was found to have low available nitrogen (255 kg/ha), medium available phosphorus (15.7 kg/ha), and high available potassium (185 kg/ha). The study was conducted in randomized block design, with 11 different treatments i.e. In the experiment, eleven treatments were evaluated comprising sole maize with PE atrazine 50% WP @ 0.5 kg ha</w:t>
      </w:r>
      <w:r>
        <w:rPr>
          <w:rFonts w:ascii="Cambria Math" w:hAnsi="Cambria Math" w:eastAsia="Times New Roman" w:cs="Cambria Math"/>
          <w:bCs/>
          <w:kern w:val="36"/>
        </w:rPr>
        <w:t>⁻</w:t>
      </w:r>
      <w:r>
        <w:rPr>
          <w:rFonts w:ascii="Arial" w:hAnsi="Arial" w:eastAsia="Times New Roman" w:cs="Arial"/>
          <w:bCs/>
          <w:kern w:val="36"/>
        </w:rPr>
        <w:t>¹ followed by manual weeding (T</w:t>
      </w:r>
      <w:r>
        <w:rPr>
          <w:rFonts w:ascii="Cambria Math" w:hAnsi="Cambria Math" w:eastAsia="Times New Roman" w:cs="Cambria Math"/>
          <w:bCs/>
          <w:kern w:val="36"/>
        </w:rPr>
        <w:t>₁</w:t>
      </w:r>
      <w:r>
        <w:rPr>
          <w:rFonts w:ascii="Arial" w:hAnsi="Arial" w:eastAsia="Times New Roman" w:cs="Arial"/>
          <w:bCs/>
          <w:kern w:val="36"/>
        </w:rPr>
        <w:t>), 2,4-D 38% EC @ 1 kg ha</w:t>
      </w:r>
      <w:r>
        <w:rPr>
          <w:rFonts w:ascii="Cambria Math" w:hAnsi="Cambria Math" w:eastAsia="Times New Roman" w:cs="Cambria Math"/>
          <w:bCs/>
          <w:kern w:val="36"/>
        </w:rPr>
        <w:t>⁻</w:t>
      </w:r>
      <w:r>
        <w:rPr>
          <w:rFonts w:ascii="Arial" w:hAnsi="Arial" w:eastAsia="Times New Roman" w:cs="Arial"/>
          <w:bCs/>
          <w:kern w:val="36"/>
        </w:rPr>
        <w:t>¹ (T</w:t>
      </w:r>
      <w:r>
        <w:rPr>
          <w:rFonts w:ascii="Cambria Math" w:hAnsi="Cambria Math" w:eastAsia="Times New Roman" w:cs="Cambria Math"/>
          <w:bCs/>
          <w:kern w:val="36"/>
        </w:rPr>
        <w:t>₂</w:t>
      </w:r>
      <w:r>
        <w:rPr>
          <w:rFonts w:ascii="Arial" w:hAnsi="Arial" w:eastAsia="Times New Roman" w:cs="Arial"/>
          <w:bCs/>
          <w:kern w:val="36"/>
        </w:rPr>
        <w:t>), Tembotrione 34.4% SC @ 0.12 kg ha</w:t>
      </w:r>
      <w:r>
        <w:rPr>
          <w:rFonts w:ascii="Cambria Math" w:hAnsi="Cambria Math" w:eastAsia="Times New Roman" w:cs="Cambria Math"/>
          <w:bCs/>
          <w:kern w:val="36"/>
        </w:rPr>
        <w:t>⁻</w:t>
      </w:r>
      <w:r>
        <w:rPr>
          <w:rFonts w:ascii="Arial" w:hAnsi="Arial" w:eastAsia="Times New Roman" w:cs="Arial"/>
          <w:bCs/>
          <w:kern w:val="36"/>
        </w:rPr>
        <w:t>¹ (T</w:t>
      </w:r>
      <w:r>
        <w:rPr>
          <w:rFonts w:ascii="Cambria Math" w:hAnsi="Cambria Math" w:eastAsia="Times New Roman" w:cs="Cambria Math"/>
          <w:bCs/>
          <w:kern w:val="36"/>
        </w:rPr>
        <w:t>₃</w:t>
      </w:r>
      <w:r>
        <w:rPr>
          <w:rFonts w:ascii="Arial" w:hAnsi="Arial" w:eastAsia="Times New Roman" w:cs="Arial"/>
          <w:bCs/>
          <w:kern w:val="36"/>
        </w:rPr>
        <w:t>) or Topramezone 33.6% SC @ 0.025 kg ha</w:t>
      </w:r>
      <w:r>
        <w:rPr>
          <w:rFonts w:ascii="Cambria Math" w:hAnsi="Cambria Math" w:eastAsia="Times New Roman" w:cs="Cambria Math"/>
          <w:bCs/>
          <w:kern w:val="36"/>
        </w:rPr>
        <w:t>⁻</w:t>
      </w:r>
      <w:r>
        <w:rPr>
          <w:rFonts w:ascii="Arial" w:hAnsi="Arial" w:eastAsia="Times New Roman" w:cs="Arial"/>
          <w:bCs/>
          <w:kern w:val="36"/>
        </w:rPr>
        <w:t>¹ (T</w:t>
      </w:r>
      <w:r>
        <w:rPr>
          <w:rFonts w:ascii="Cambria Math" w:hAnsi="Cambria Math" w:eastAsia="Times New Roman" w:cs="Cambria Math"/>
          <w:bCs/>
          <w:kern w:val="36"/>
        </w:rPr>
        <w:t>₄</w:t>
      </w:r>
      <w:r>
        <w:rPr>
          <w:rFonts w:ascii="Arial" w:hAnsi="Arial" w:eastAsia="Times New Roman" w:cs="Arial"/>
          <w:bCs/>
          <w:kern w:val="36"/>
        </w:rPr>
        <w:t>) applied as PoE at 30 DAS; maize + dhaincha with manual incorporation (T</w:t>
      </w:r>
      <w:r>
        <w:rPr>
          <w:rFonts w:ascii="Cambria Math" w:hAnsi="Cambria Math" w:eastAsia="Times New Roman" w:cs="Cambria Math"/>
          <w:bCs/>
          <w:kern w:val="36"/>
        </w:rPr>
        <w:t>₅</w:t>
      </w:r>
      <w:r>
        <w:rPr>
          <w:rFonts w:ascii="Arial" w:hAnsi="Arial" w:eastAsia="Times New Roman" w:cs="Arial"/>
          <w:bCs/>
          <w:kern w:val="36"/>
        </w:rPr>
        <w:t>) or incorporation using PoE 2,4-D (T</w:t>
      </w:r>
      <w:r>
        <w:rPr>
          <w:rFonts w:ascii="Cambria Math" w:hAnsi="Cambria Math" w:eastAsia="Times New Roman" w:cs="Cambria Math"/>
          <w:bCs/>
          <w:kern w:val="36"/>
        </w:rPr>
        <w:t>₆</w:t>
      </w:r>
      <w:r>
        <w:rPr>
          <w:rFonts w:ascii="Arial" w:hAnsi="Arial" w:eastAsia="Times New Roman" w:cs="Arial"/>
          <w:bCs/>
          <w:kern w:val="36"/>
        </w:rPr>
        <w:t>), Tembotrione (T</w:t>
      </w:r>
      <w:r>
        <w:rPr>
          <w:rFonts w:ascii="Cambria Math" w:hAnsi="Cambria Math" w:eastAsia="Times New Roman" w:cs="Cambria Math"/>
          <w:bCs/>
          <w:kern w:val="36"/>
        </w:rPr>
        <w:t>₇</w:t>
      </w:r>
      <w:r>
        <w:rPr>
          <w:rFonts w:ascii="Arial" w:hAnsi="Arial" w:eastAsia="Times New Roman" w:cs="Arial"/>
          <w:bCs/>
          <w:kern w:val="36"/>
        </w:rPr>
        <w:t>) or Topramezone (T</w:t>
      </w:r>
      <w:r>
        <w:rPr>
          <w:rFonts w:ascii="Cambria Math" w:hAnsi="Cambria Math" w:eastAsia="Times New Roman" w:cs="Cambria Math"/>
          <w:bCs/>
          <w:kern w:val="36"/>
        </w:rPr>
        <w:t>₈</w:t>
      </w:r>
      <w:r>
        <w:rPr>
          <w:rFonts w:ascii="Arial" w:hAnsi="Arial" w:eastAsia="Times New Roman" w:cs="Arial"/>
          <w:bCs/>
          <w:kern w:val="36"/>
        </w:rPr>
        <w:t>) at 30 DAS; sole maize with manual weeding at 15 and 30 DAS (T</w:t>
      </w:r>
      <w:r>
        <w:rPr>
          <w:rFonts w:ascii="Cambria Math" w:hAnsi="Cambria Math" w:eastAsia="Times New Roman" w:cs="Cambria Math"/>
          <w:bCs/>
          <w:kern w:val="36"/>
        </w:rPr>
        <w:t>₉</w:t>
      </w:r>
      <w:r>
        <w:rPr>
          <w:rFonts w:ascii="Arial" w:hAnsi="Arial" w:eastAsia="Times New Roman" w:cs="Arial"/>
          <w:bCs/>
          <w:kern w:val="36"/>
        </w:rPr>
        <w:t>); along with a weed-free check (T</w:t>
      </w:r>
      <w:r>
        <w:rPr>
          <w:rFonts w:ascii="Cambria Math" w:hAnsi="Cambria Math" w:eastAsia="Times New Roman" w:cs="Cambria Math"/>
          <w:bCs/>
          <w:kern w:val="36"/>
        </w:rPr>
        <w:t>₁₀</w:t>
      </w:r>
      <w:r>
        <w:rPr>
          <w:rFonts w:ascii="Arial" w:hAnsi="Arial" w:eastAsia="Times New Roman" w:cs="Arial"/>
          <w:bCs/>
          <w:kern w:val="36"/>
        </w:rPr>
        <w:t>) and an un-weeded control (T</w:t>
      </w:r>
      <w:r>
        <w:rPr>
          <w:rFonts w:ascii="Cambria Math" w:hAnsi="Cambria Math" w:eastAsia="Times New Roman" w:cs="Cambria Math"/>
          <w:bCs/>
          <w:kern w:val="36"/>
        </w:rPr>
        <w:t>₁₁</w:t>
      </w:r>
      <w:r>
        <w:rPr>
          <w:rFonts w:ascii="Arial" w:hAnsi="Arial" w:eastAsia="Times New Roman" w:cs="Arial"/>
          <w:bCs/>
          <w:kern w:val="36"/>
        </w:rPr>
        <w:t>) and it was replicated thrice. The growth and yield characters of plant were measured at the time of harvest with standardized procedures. The collected data were subsequently analysed using the analysis of variance (ANOVA) method (Gomez and Gomez, 1984). The data on growth and physiological attributes were calculated by using formula given below,</w:t>
      </w:r>
    </w:p>
    <w:p w14:paraId="76B7BFE8">
      <w:pPr>
        <w:spacing w:after="0"/>
        <w:rPr>
          <w:rFonts w:ascii="Arial" w:hAnsi="Arial" w:eastAsia="Times New Roman" w:cs="Arial"/>
          <w:b/>
          <w:kern w:val="36"/>
        </w:rPr>
      </w:pPr>
      <w:r>
        <w:rPr>
          <w:rFonts w:ascii="Arial" w:hAnsi="Arial" w:eastAsia="Times New Roman" w:cs="Arial"/>
          <w:b/>
          <w:kern w:val="36"/>
        </w:rPr>
        <w:t>i) Dry matter production (DMP)</w:t>
      </w:r>
    </w:p>
    <w:p w14:paraId="45A995BA">
      <w:pPr>
        <w:spacing w:before="0" w:after="0"/>
        <w:rPr>
          <w:rFonts w:ascii="Arial" w:hAnsi="Arial" w:eastAsia="Times New Roman" w:cs="Arial"/>
          <w:bCs/>
          <w:kern w:val="36"/>
        </w:rPr>
      </w:pPr>
      <w:r>
        <w:rPr>
          <w:rFonts w:ascii="Arial" w:hAnsi="Arial" w:eastAsia="Times New Roman" w:cs="Arial"/>
          <w:bCs/>
          <w:kern w:val="36"/>
        </w:rPr>
        <w:t>After complete drying, the plant samples were weighed, and the dry matter production was recorded and expressed in kilograms per hectare.</w:t>
      </w:r>
    </w:p>
    <w:p w14:paraId="62052D04">
      <w:pPr>
        <w:spacing w:before="0" w:after="0"/>
        <w:rPr>
          <w:rFonts w:ascii="Arial" w:hAnsi="Arial" w:eastAsia="Times New Roman" w:cs="Arial"/>
          <w:bCs/>
          <w:kern w:val="36"/>
        </w:rPr>
      </w:pPr>
      <m:oMathPara>
        <m:oMath>
          <m:r>
            <m:rPr>
              <m:nor/>
              <m:sty m:val="bi"/>
            </m:rPr>
            <w:rPr>
              <w:rFonts w:ascii="Arial" w:hAnsi="Arial" w:cs="Arial"/>
              <w:b/>
              <w:i/>
            </w:rPr>
            <m:t xml:space="preserve">DMP = </m:t>
          </m:r>
          <m:f>
            <m:fPr>
              <m:ctrlPr>
                <w:rPr>
                  <w:rFonts w:ascii="Cambria Math" w:hAnsi="Cambria Math" w:cs="Arial"/>
                  <w:b/>
                  <w:i/>
                </w:rPr>
              </m:ctrlPr>
            </m:fPr>
            <m:num>
              <m:r>
                <m:rPr>
                  <m:nor/>
                  <m:sty m:val="bi"/>
                </m:rPr>
                <w:rPr>
                  <w:rFonts w:ascii="Arial" w:hAnsi="Arial" w:cs="Arial"/>
                  <w:b/>
                  <w:i/>
                </w:rPr>
                <m:t xml:space="preserve">Dry weight of the plant × Plant population </m:t>
              </m:r>
              <m:sSup>
                <m:sSupPr>
                  <m:ctrlPr>
                    <w:rPr>
                      <w:rFonts w:ascii="Cambria Math" w:hAnsi="Cambria Math" w:cs="Arial"/>
                      <w:b/>
                      <w:i/>
                    </w:rPr>
                  </m:ctrlPr>
                </m:sSupPr>
                <m:e>
                  <m:r>
                    <m:rPr>
                      <m:nor/>
                      <m:sty m:val="bi"/>
                    </m:rPr>
                    <w:rPr>
                      <w:rFonts w:ascii="Arial" w:hAnsi="Arial" w:cs="Arial"/>
                      <w:b/>
                      <w:i/>
                    </w:rPr>
                    <m:t>ha</m:t>
                  </m:r>
                  <m:ctrlPr>
                    <w:rPr>
                      <w:rFonts w:ascii="Cambria Math" w:hAnsi="Cambria Math" w:cs="Arial"/>
                      <w:b/>
                      <w:i/>
                    </w:rPr>
                  </m:ctrlPr>
                </m:e>
                <m:sup>
                  <m:r>
                    <m:rPr>
                      <m:nor/>
                      <m:sty m:val="bi"/>
                    </m:rPr>
                    <w:rPr>
                      <w:rFonts w:ascii="Arial" w:hAnsi="Arial" w:cs="Arial"/>
                      <w:b/>
                      <w:i/>
                    </w:rPr>
                    <m:t>-1</m:t>
                  </m:r>
                  <m:ctrlPr>
                    <w:rPr>
                      <w:rFonts w:ascii="Cambria Math" w:hAnsi="Cambria Math" w:cs="Arial"/>
                      <w:b/>
                      <w:i/>
                    </w:rPr>
                  </m:ctrlPr>
                </m:sup>
              </m:sSup>
              <m:ctrlPr>
                <w:rPr>
                  <w:rFonts w:ascii="Cambria Math" w:hAnsi="Cambria Math" w:cs="Arial"/>
                  <w:b/>
                  <w:i/>
                </w:rPr>
              </m:ctrlPr>
            </m:num>
            <m:den>
              <m:r>
                <m:rPr>
                  <m:nor/>
                  <m:sty m:val="bi"/>
                </m:rPr>
                <w:rPr>
                  <w:rFonts w:ascii="Arial" w:hAnsi="Arial" w:cs="Arial"/>
                  <w:b/>
                  <w:i/>
                </w:rPr>
                <m:t>Number of samples taken for biomass estimation per treatment × 1000</m:t>
              </m:r>
              <m:ctrlPr>
                <w:rPr>
                  <w:rFonts w:ascii="Cambria Math" w:hAnsi="Cambria Math" w:cs="Arial"/>
                  <w:b/>
                  <w:i/>
                </w:rPr>
              </m:ctrlPr>
            </m:den>
          </m:f>
        </m:oMath>
      </m:oMathPara>
    </w:p>
    <w:p w14:paraId="4E2BD9F4">
      <w:pPr>
        <w:spacing w:after="0"/>
        <w:rPr>
          <w:rFonts w:ascii="Arial" w:hAnsi="Arial" w:eastAsia="Times New Roman" w:cs="Arial"/>
          <w:b/>
          <w:kern w:val="36"/>
        </w:rPr>
      </w:pPr>
      <w:r>
        <w:rPr>
          <w:rFonts w:ascii="Arial" w:hAnsi="Arial" w:eastAsia="Times New Roman" w:cs="Arial"/>
          <w:b/>
          <w:kern w:val="36"/>
        </w:rPr>
        <w:t>(ii) Leaf area index (LAI)</w:t>
      </w:r>
    </w:p>
    <w:p w14:paraId="657CFD68">
      <w:pPr>
        <w:spacing w:before="0" w:after="0"/>
        <w:rPr>
          <w:rFonts w:ascii="Arial" w:hAnsi="Arial" w:eastAsia="Times New Roman" w:cs="Arial"/>
          <w:bCs/>
          <w:kern w:val="36"/>
        </w:rPr>
      </w:pPr>
      <w:r>
        <w:rPr>
          <w:rFonts w:ascii="Arial" w:hAnsi="Arial" w:eastAsia="Times New Roman" w:cs="Arial"/>
          <w:bCs/>
          <w:kern w:val="36"/>
        </w:rPr>
        <w:t xml:space="preserve">The LAI was worked out by using the following formula suggested by (Balakrishnan </w:t>
      </w:r>
      <w:r>
        <w:rPr>
          <w:rFonts w:ascii="Arial" w:hAnsi="Arial" w:eastAsia="Times New Roman" w:cs="Arial"/>
          <w:bCs/>
          <w:i/>
          <w:iCs/>
          <w:kern w:val="36"/>
        </w:rPr>
        <w:t>et al</w:t>
      </w:r>
      <w:r>
        <w:rPr>
          <w:rFonts w:ascii="Arial" w:hAnsi="Arial" w:eastAsia="Times New Roman" w:cs="Arial"/>
          <w:bCs/>
          <w:kern w:val="36"/>
        </w:rPr>
        <w:t>., 1987).</w:t>
      </w:r>
    </w:p>
    <w:p w14:paraId="66748DEB">
      <w:pPr>
        <w:spacing w:before="0" w:after="0"/>
        <w:jc w:val="center"/>
        <w:rPr>
          <w:rFonts w:ascii="Arial" w:hAnsi="Arial" w:eastAsia="Times New Roman" w:cs="Arial"/>
          <w:bCs/>
          <w:kern w:val="36"/>
        </w:rPr>
      </w:pPr>
      <m:oMathPara>
        <m:oMath>
          <m:r>
            <m:rPr>
              <m:nor/>
              <m:sty m:val="bi"/>
            </m:rPr>
            <w:rPr>
              <w:rFonts w:ascii="Arial" w:hAnsi="Arial" w:cs="Arial"/>
              <w:b/>
              <w:bCs/>
              <w:i/>
              <w:iCs/>
              <w:kern w:val="0"/>
              <w:lang w:eastAsia="en-US"/>
            </w:rPr>
            <m:t xml:space="preserve">LAI = </m:t>
          </m:r>
          <m:f>
            <m:fPr>
              <m:ctrlPr>
                <w:rPr>
                  <w:rFonts w:ascii="Cambria Math" w:hAnsi="Cambria Math" w:cs="Arial"/>
                  <w:b/>
                  <w:bCs/>
                  <w:i/>
                  <w:iCs/>
                  <w:kern w:val="0"/>
                  <w:lang w:eastAsia="en-US"/>
                </w:rPr>
              </m:ctrlPr>
            </m:fPr>
            <m:num>
              <m:r>
                <m:rPr>
                  <m:nor/>
                  <m:sty m:val="bi"/>
                </m:rPr>
                <w:rPr>
                  <w:rFonts w:ascii="Arial" w:hAnsi="Arial" w:cs="Arial"/>
                  <w:b/>
                  <w:bCs/>
                  <w:i/>
                  <w:iCs/>
                  <w:kern w:val="0"/>
                  <w:lang w:eastAsia="en-US"/>
                </w:rPr>
                <m:t>Leaf area</m:t>
              </m:r>
              <m:ctrlPr>
                <w:rPr>
                  <w:rFonts w:ascii="Cambria Math" w:hAnsi="Cambria Math" w:cs="Arial"/>
                  <w:b/>
                  <w:bCs/>
                  <w:i/>
                  <w:iCs/>
                  <w:kern w:val="0"/>
                  <w:lang w:eastAsia="en-US"/>
                </w:rPr>
              </m:ctrlPr>
            </m:num>
            <m:den>
              <m:r>
                <m:rPr>
                  <m:nor/>
                  <m:sty m:val="bi"/>
                </m:rPr>
                <w:rPr>
                  <w:rFonts w:ascii="Arial" w:hAnsi="Arial" w:cs="Arial"/>
                  <w:b/>
                  <w:bCs/>
                  <w:i/>
                  <w:iCs/>
                  <w:kern w:val="0"/>
                  <w:lang w:eastAsia="en-US"/>
                </w:rPr>
                <m:t xml:space="preserve">Ground area </m:t>
              </m:r>
              <m:sSup>
                <m:sSupPr>
                  <m:ctrlPr>
                    <w:rPr>
                      <w:rFonts w:ascii="Cambria Math" w:hAnsi="Cambria Math" w:cs="Arial"/>
                      <w:b/>
                      <w:bCs/>
                      <w:i/>
                      <w:iCs/>
                      <w:kern w:val="0"/>
                      <w:lang w:eastAsia="en-US"/>
                    </w:rPr>
                  </m:ctrlPr>
                </m:sSupPr>
                <m:e>
                  <m:r>
                    <m:rPr>
                      <m:nor/>
                      <m:sty m:val="bi"/>
                    </m:rPr>
                    <w:rPr>
                      <w:rFonts w:ascii="Arial" w:hAnsi="Arial" w:cs="Arial"/>
                      <w:b/>
                      <w:bCs/>
                      <w:i/>
                      <w:iCs/>
                      <w:kern w:val="0"/>
                      <w:lang w:eastAsia="en-US"/>
                    </w:rPr>
                    <m:t>(m</m:t>
                  </m:r>
                  <m:ctrlPr>
                    <w:rPr>
                      <w:rFonts w:ascii="Cambria Math" w:hAnsi="Cambria Math" w:cs="Arial"/>
                      <w:b/>
                      <w:bCs/>
                      <w:i/>
                      <w:iCs/>
                      <w:kern w:val="0"/>
                      <w:lang w:eastAsia="en-US"/>
                    </w:rPr>
                  </m:ctrlPr>
                </m:e>
                <m:sup>
                  <m:r>
                    <m:rPr>
                      <m:nor/>
                      <m:sty m:val="bi"/>
                    </m:rPr>
                    <w:rPr>
                      <w:rFonts w:ascii="Arial" w:hAnsi="Arial" w:cs="Arial"/>
                      <w:b/>
                      <w:bCs/>
                      <w:i/>
                      <w:iCs/>
                      <w:kern w:val="0"/>
                      <w:lang w:eastAsia="en-US"/>
                    </w:rPr>
                    <m:t xml:space="preserve"> 2</m:t>
                  </m:r>
                  <m:ctrlPr>
                    <w:rPr>
                      <w:rFonts w:ascii="Cambria Math" w:hAnsi="Cambria Math" w:cs="Arial"/>
                      <w:b/>
                      <w:bCs/>
                      <w:i/>
                      <w:iCs/>
                      <w:kern w:val="0"/>
                      <w:lang w:eastAsia="en-US"/>
                    </w:rPr>
                  </m:ctrlPr>
                </m:sup>
              </m:sSup>
              <m:r>
                <m:rPr>
                  <m:nor/>
                  <m:sty m:val="bi"/>
                </m:rPr>
                <w:rPr>
                  <w:rFonts w:ascii="Arial" w:hAnsi="Arial" w:cs="Arial"/>
                  <w:b/>
                  <w:bCs/>
                  <w:i/>
                  <w:iCs/>
                  <w:kern w:val="0"/>
                  <w:lang w:eastAsia="en-US"/>
                </w:rPr>
                <m:t>)</m:t>
              </m:r>
              <m:ctrlPr>
                <w:rPr>
                  <w:rFonts w:ascii="Cambria Math" w:hAnsi="Cambria Math" w:cs="Arial"/>
                  <w:b/>
                  <w:bCs/>
                  <w:i/>
                  <w:iCs/>
                  <w:kern w:val="0"/>
                  <w:lang w:eastAsia="en-US"/>
                </w:rPr>
              </m:ctrlPr>
            </m:den>
          </m:f>
        </m:oMath>
      </m:oMathPara>
    </w:p>
    <w:p w14:paraId="52753B93">
      <w:pPr>
        <w:spacing w:before="0" w:after="0"/>
        <w:rPr>
          <w:rFonts w:ascii="Arial" w:hAnsi="Arial" w:eastAsia="Times New Roman" w:cs="Arial"/>
          <w:bCs/>
          <w:kern w:val="36"/>
        </w:rPr>
      </w:pPr>
      <w:r>
        <w:rPr>
          <w:rFonts w:ascii="Arial" w:hAnsi="Arial" w:eastAsia="Times New Roman" w:cs="Arial"/>
          <w:bCs/>
          <w:kern w:val="36"/>
        </w:rPr>
        <w:t>Where, Leaf area = L × B × N × K</w:t>
      </w:r>
    </w:p>
    <w:p w14:paraId="767B4539">
      <w:pPr>
        <w:spacing w:before="0" w:after="0"/>
        <w:ind w:left="720"/>
        <w:rPr>
          <w:rFonts w:ascii="Arial" w:hAnsi="Arial" w:eastAsia="Times New Roman" w:cs="Arial"/>
          <w:bCs/>
          <w:kern w:val="36"/>
        </w:rPr>
      </w:pPr>
      <w:r>
        <w:rPr>
          <w:rFonts w:ascii="Arial" w:hAnsi="Arial" w:eastAsia="Times New Roman" w:cs="Arial"/>
          <w:bCs/>
          <w:kern w:val="36"/>
        </w:rPr>
        <w:t xml:space="preserve">L – Length of the leaf, </w:t>
      </w:r>
    </w:p>
    <w:p w14:paraId="721B9F34">
      <w:pPr>
        <w:spacing w:before="0" w:after="0"/>
        <w:ind w:left="720"/>
        <w:rPr>
          <w:rFonts w:ascii="Arial" w:hAnsi="Arial" w:eastAsia="Times New Roman" w:cs="Arial"/>
          <w:bCs/>
          <w:kern w:val="36"/>
        </w:rPr>
      </w:pPr>
      <w:r>
        <w:rPr>
          <w:rFonts w:ascii="Arial" w:hAnsi="Arial" w:eastAsia="Times New Roman" w:cs="Arial"/>
          <w:bCs/>
          <w:kern w:val="36"/>
        </w:rPr>
        <w:t>B – Breadth of the leaf,</w:t>
      </w:r>
    </w:p>
    <w:p w14:paraId="28B785B4">
      <w:pPr>
        <w:spacing w:before="0" w:after="0"/>
        <w:ind w:left="720"/>
        <w:rPr>
          <w:rFonts w:ascii="Arial" w:hAnsi="Arial" w:eastAsia="Times New Roman" w:cs="Arial"/>
          <w:bCs/>
          <w:kern w:val="36"/>
        </w:rPr>
      </w:pPr>
      <w:r>
        <w:rPr>
          <w:rFonts w:ascii="Arial" w:hAnsi="Arial" w:eastAsia="Times New Roman" w:cs="Arial"/>
          <w:bCs/>
          <w:kern w:val="36"/>
        </w:rPr>
        <w:t xml:space="preserve">N – Number of leaves, </w:t>
      </w:r>
    </w:p>
    <w:p w14:paraId="76A41452">
      <w:pPr>
        <w:spacing w:before="0" w:after="0"/>
        <w:ind w:left="720"/>
        <w:rPr>
          <w:rFonts w:ascii="Arial" w:hAnsi="Arial" w:eastAsia="Times New Roman" w:cs="Arial"/>
          <w:bCs/>
          <w:kern w:val="36"/>
        </w:rPr>
      </w:pPr>
      <w:r>
        <w:rPr>
          <w:rFonts w:ascii="Arial" w:hAnsi="Arial" w:eastAsia="Times New Roman" w:cs="Arial"/>
          <w:bCs/>
          <w:kern w:val="36"/>
        </w:rPr>
        <w:t>K – Constant factor (0.75)</w:t>
      </w:r>
    </w:p>
    <w:p w14:paraId="6F55DA82">
      <w:pPr>
        <w:pStyle w:val="19"/>
        <w:spacing w:after="0"/>
        <w:jc w:val="both"/>
        <w:rPr>
          <w:rFonts w:ascii="Arial" w:hAnsi="Arial" w:cs="Arial"/>
        </w:rPr>
      </w:pPr>
    </w:p>
    <w:p w14:paraId="5A48AEB2">
      <w:pPr>
        <w:pStyle w:val="19"/>
        <w:spacing w:after="0"/>
        <w:jc w:val="both"/>
        <w:rPr>
          <w:rFonts w:ascii="Arial" w:hAnsi="Arial" w:cs="Arial"/>
        </w:rPr>
      </w:pPr>
      <w:r>
        <w:rPr>
          <w:rFonts w:ascii="Arial" w:hAnsi="Arial" w:cs="Arial"/>
        </w:rPr>
        <w:t>3. results and discussion</w:t>
      </w:r>
    </w:p>
    <w:p w14:paraId="3162D3E2">
      <w:pPr>
        <w:rPr>
          <w:rFonts w:ascii="Arial" w:hAnsi="Arial" w:cs="Arial"/>
          <w:b/>
          <w:bCs/>
          <w:sz w:val="22"/>
          <w:szCs w:val="22"/>
        </w:rPr>
      </w:pPr>
      <w:r>
        <w:rPr>
          <w:rFonts w:ascii="Arial" w:hAnsi="Arial" w:cs="Arial"/>
          <w:b/>
          <w:bCs/>
          <w:sz w:val="22"/>
          <w:szCs w:val="22"/>
        </w:rPr>
        <w:t>3.1. Growth attributes</w:t>
      </w:r>
    </w:p>
    <w:p w14:paraId="3A657798">
      <w:pPr>
        <w:rPr>
          <w:rFonts w:ascii="Arial" w:hAnsi="Arial" w:cs="Arial"/>
        </w:rPr>
      </w:pPr>
      <w:r>
        <w:rPr>
          <w:rFonts w:ascii="Arial" w:hAnsi="Arial" w:cs="Arial"/>
        </w:rPr>
        <w:t>The growth parameter like plant height, no of branches, Dry matter production (DMP) and Leaf area index (LAI) were recorded at the harvest stage (table 1) and the observed data shows that there are significant differences were observed among weed and brown manuring treatments in irrigated maize. The weed-free check (T</w:t>
      </w:r>
      <w:r>
        <w:rPr>
          <w:rFonts w:ascii="Cambria Math" w:hAnsi="Cambria Math" w:cs="Cambria Math"/>
        </w:rPr>
        <w:t>₁₀</w:t>
      </w:r>
      <w:r>
        <w:rPr>
          <w:rFonts w:ascii="Arial" w:hAnsi="Arial" w:cs="Arial"/>
        </w:rPr>
        <w:t>) recorded higher plant height (242.60 cm), number of leaves per plant (16.75), DMP (14,079.67 kg ha</w:t>
      </w:r>
      <w:r>
        <w:rPr>
          <w:rFonts w:ascii="Cambria Math" w:hAnsi="Cambria Math" w:cs="Cambria Math"/>
        </w:rPr>
        <w:t>⁻</w:t>
      </w:r>
      <w:r>
        <w:rPr>
          <w:rFonts w:ascii="Arial" w:hAnsi="Arial" w:cs="Arial"/>
        </w:rPr>
        <w:t>¹) and LAI (5.47), followed by the integrated treatment of maize + dhaincha incorporation using PoE Tembotrione 34.4% SC @ 0.12 kg ha</w:t>
      </w:r>
      <w:r>
        <w:rPr>
          <w:rFonts w:ascii="Cambria Math" w:hAnsi="Cambria Math" w:cs="Cambria Math"/>
        </w:rPr>
        <w:t>⁻</w:t>
      </w:r>
      <w:r>
        <w:rPr>
          <w:rFonts w:ascii="Arial" w:hAnsi="Arial" w:cs="Arial"/>
        </w:rPr>
        <w:t>¹. The superior growth observed under T</w:t>
      </w:r>
      <w:r>
        <w:rPr>
          <w:rFonts w:ascii="Cambria Math" w:hAnsi="Cambria Math" w:cs="Cambria Math"/>
        </w:rPr>
        <w:t>₁₀</w:t>
      </w:r>
      <w:r>
        <w:rPr>
          <w:rFonts w:ascii="Arial" w:hAnsi="Arial" w:cs="Arial"/>
        </w:rPr>
        <w:t xml:space="preserve"> could be attributed to the complete absence of crop–weed competition throughout the crop growth period, which ensured uninterrupted availability of nutrients, moisture, light, and space, thereby enhancing photosynthetic efficiency and assimilate translocation. Higher leaf area index under this treatment might have improved light interception, resulting in increased dry matter accumulation and overall crop vigor. The integrated dhaincha + Tembotrione treatment also performed comparably due to the early smothering effect of dhaincha, which suppressed initial weed emergence, followed by effective post-emergence control by Tembotrione. Additionally, decomposition of dhaincha biomass likely enriched soil nitrogen and organic matter, promoting enhanced vegetative growth, better canopy development, and improved biomass production. The un-weeded control (T</w:t>
      </w:r>
      <w:r>
        <w:rPr>
          <w:rFonts w:ascii="Cambria Math" w:hAnsi="Cambria Math" w:cs="Cambria Math"/>
        </w:rPr>
        <w:t>₁₁</w:t>
      </w:r>
      <w:r>
        <w:rPr>
          <w:rFonts w:ascii="Arial" w:hAnsi="Arial" w:cs="Arial"/>
        </w:rPr>
        <w:t xml:space="preserve">) recorded the lowest growth due to higher nutrient removal by weeds. Similar findings were reported by Singh (2020), Nawaz </w:t>
      </w:r>
      <w:r>
        <w:rPr>
          <w:rFonts w:ascii="Arial" w:hAnsi="Arial" w:cs="Arial"/>
          <w:i/>
          <w:iCs/>
        </w:rPr>
        <w:t>et al</w:t>
      </w:r>
      <w:r>
        <w:rPr>
          <w:rFonts w:ascii="Arial" w:hAnsi="Arial" w:cs="Arial"/>
        </w:rPr>
        <w:t xml:space="preserve">. (2017), Kumar </w:t>
      </w:r>
      <w:r>
        <w:rPr>
          <w:rFonts w:ascii="Arial" w:hAnsi="Arial" w:cs="Arial"/>
          <w:i/>
          <w:iCs/>
        </w:rPr>
        <w:t>et al</w:t>
      </w:r>
      <w:r>
        <w:rPr>
          <w:rFonts w:ascii="Arial" w:hAnsi="Arial" w:cs="Arial"/>
        </w:rPr>
        <w:t xml:space="preserve">. (2017), Anil </w:t>
      </w:r>
      <w:r>
        <w:rPr>
          <w:rFonts w:ascii="Arial" w:hAnsi="Arial" w:cs="Arial"/>
          <w:i/>
          <w:iCs/>
        </w:rPr>
        <w:t>et al</w:t>
      </w:r>
      <w:r>
        <w:rPr>
          <w:rFonts w:ascii="Arial" w:hAnsi="Arial" w:cs="Arial"/>
        </w:rPr>
        <w:t xml:space="preserve">. (2018), Prakasha </w:t>
      </w:r>
      <w:r>
        <w:rPr>
          <w:rFonts w:ascii="Arial" w:hAnsi="Arial" w:cs="Arial"/>
          <w:i/>
          <w:iCs/>
        </w:rPr>
        <w:t>et al.</w:t>
      </w:r>
      <w:r>
        <w:rPr>
          <w:rFonts w:ascii="Arial" w:hAnsi="Arial" w:cs="Arial"/>
        </w:rPr>
        <w:t xml:space="preserve"> (2018), Sivasakthi </w:t>
      </w:r>
      <w:r>
        <w:rPr>
          <w:rFonts w:ascii="Arial" w:hAnsi="Arial" w:cs="Arial"/>
          <w:i/>
          <w:iCs/>
        </w:rPr>
        <w:t>et al</w:t>
      </w:r>
      <w:r>
        <w:rPr>
          <w:rFonts w:ascii="Arial" w:hAnsi="Arial" w:cs="Arial"/>
        </w:rPr>
        <w:t>. (2024).</w:t>
      </w:r>
    </w:p>
    <w:p w14:paraId="1095D90D">
      <w:pPr>
        <w:rPr>
          <w:rFonts w:ascii="Arial" w:hAnsi="Arial" w:cs="Arial"/>
          <w:b/>
          <w:bCs/>
          <w:sz w:val="22"/>
          <w:szCs w:val="22"/>
        </w:rPr>
      </w:pPr>
      <w:r>
        <w:rPr>
          <w:rFonts w:ascii="Arial" w:hAnsi="Arial" w:cs="Arial"/>
          <w:b/>
          <w:bCs/>
          <w:sz w:val="22"/>
          <w:szCs w:val="22"/>
        </w:rPr>
        <w:t>3.2. Yield attributes</w:t>
      </w:r>
    </w:p>
    <w:p w14:paraId="018307C7">
      <w:pPr>
        <w:rPr>
          <w:rFonts w:ascii="Arial" w:hAnsi="Arial" w:cs="Arial"/>
        </w:rPr>
      </w:pPr>
      <w:r>
        <w:rPr>
          <w:rFonts w:ascii="Arial" w:hAnsi="Arial" w:cs="Arial"/>
        </w:rPr>
        <w:t>The yield characters like no. of cobs</w:t>
      </w:r>
      <w:r>
        <w:rPr>
          <w:rFonts w:ascii="Arial" w:hAnsi="Arial" w:cs="Arial"/>
          <w:vertAlign w:val="superscript"/>
        </w:rPr>
        <w:t>-1</w:t>
      </w:r>
      <w:r>
        <w:rPr>
          <w:rFonts w:ascii="Arial" w:hAnsi="Arial" w:cs="Arial"/>
        </w:rPr>
        <w:t xml:space="preserve"> plant, no. of grain rows</w:t>
      </w:r>
      <w:r>
        <w:rPr>
          <w:rFonts w:ascii="Arial" w:hAnsi="Arial" w:cs="Arial"/>
          <w:vertAlign w:val="superscript"/>
        </w:rPr>
        <w:t xml:space="preserve">-1 </w:t>
      </w:r>
      <w:r>
        <w:rPr>
          <w:rFonts w:ascii="Arial" w:hAnsi="Arial" w:cs="Arial"/>
        </w:rPr>
        <w:t>cob, no. of grains</w:t>
      </w:r>
      <w:r>
        <w:rPr>
          <w:rFonts w:ascii="Arial" w:hAnsi="Arial" w:cs="Arial"/>
          <w:vertAlign w:val="superscript"/>
        </w:rPr>
        <w:t xml:space="preserve">-1 </w:t>
      </w:r>
      <w:r>
        <w:rPr>
          <w:rFonts w:ascii="Arial" w:hAnsi="Arial" w:cs="Arial"/>
        </w:rPr>
        <w:t>row, grain yield and haulm yield shows significant variation with the different treatment (table 2 and fig 2). The weed free check plot (T</w:t>
      </w:r>
      <w:r>
        <w:rPr>
          <w:rFonts w:ascii="Cambria Math" w:hAnsi="Cambria Math" w:cs="Cambria Math"/>
        </w:rPr>
        <w:t>₁</w:t>
      </w:r>
      <w:r>
        <w:rPr>
          <w:rFonts w:ascii="Arial" w:hAnsi="Arial" w:cs="Arial"/>
          <w:vertAlign w:val="subscript"/>
        </w:rPr>
        <w:t>0</w:t>
      </w:r>
      <w:r>
        <w:rPr>
          <w:rFonts w:ascii="Arial" w:hAnsi="Arial" w:cs="Arial"/>
        </w:rPr>
        <w:t>) recorded higher yield attributes, i.e. no. of cobs</w:t>
      </w:r>
      <w:r>
        <w:rPr>
          <w:rFonts w:ascii="Arial" w:hAnsi="Arial" w:cs="Arial"/>
          <w:vertAlign w:val="superscript"/>
        </w:rPr>
        <w:t>-1</w:t>
      </w:r>
      <w:r>
        <w:rPr>
          <w:rFonts w:ascii="Arial" w:hAnsi="Arial" w:cs="Arial"/>
        </w:rPr>
        <w:t xml:space="preserve"> plant (1.8), no. of grain rows</w:t>
      </w:r>
      <w:r>
        <w:rPr>
          <w:rFonts w:ascii="Arial" w:hAnsi="Arial" w:cs="Arial"/>
          <w:vertAlign w:val="superscript"/>
        </w:rPr>
        <w:t xml:space="preserve">-1 </w:t>
      </w:r>
      <w:r>
        <w:rPr>
          <w:rFonts w:ascii="Arial" w:hAnsi="Arial" w:cs="Arial"/>
        </w:rPr>
        <w:t>cob (27.88), no. of grains</w:t>
      </w:r>
      <w:r>
        <w:rPr>
          <w:rFonts w:ascii="Arial" w:hAnsi="Arial" w:cs="Arial"/>
          <w:vertAlign w:val="superscript"/>
        </w:rPr>
        <w:t xml:space="preserve">-1 </w:t>
      </w:r>
      <w:r>
        <w:rPr>
          <w:rFonts w:ascii="Arial" w:hAnsi="Arial" w:cs="Arial"/>
        </w:rPr>
        <w:t xml:space="preserve">row (34.237), grain yield (6256.55 kg/ha) and haulm yield (12749.18 kg/ha) it followed by </w:t>
      </w:r>
      <w:commentRangeStart w:id="1"/>
      <w:r>
        <w:rPr>
          <w:rFonts w:ascii="Arial" w:hAnsi="Arial" w:cs="Arial"/>
        </w:rPr>
        <w:t>the combined application of maize + dhaincha incorporation using PoE Tembotrione 34.4% SC @ 0.12 kg ha</w:t>
      </w:r>
      <w:r>
        <w:rPr>
          <w:rFonts w:ascii="Cambria Math" w:hAnsi="Cambria Math" w:cs="Cambria Math"/>
        </w:rPr>
        <w:t>⁻</w:t>
      </w:r>
      <w:r>
        <w:rPr>
          <w:rFonts w:ascii="Arial" w:hAnsi="Arial" w:cs="Arial"/>
        </w:rPr>
        <w:t>¹.</w:t>
      </w:r>
      <w:commentRangeEnd w:id="1"/>
      <w:r>
        <w:commentReference w:id="1"/>
      </w:r>
      <w:r>
        <w:rPr>
          <w:rFonts w:ascii="Arial" w:hAnsi="Arial" w:cs="Arial"/>
        </w:rPr>
        <w:t xml:space="preserve"> The superior performance attributed to the season-long absence of crop–weed competition, which ensured better availability of nutrients, moisture, light and space during critical growth stages, particularly during flowering and grain filling. Reduced weed interference likely enhanced photosynthetic efficiency, assimilate production and effective partitioning of photosynthates towards reproductive structures, resulting in improved yield components. Additionally, decomposition of dhaincha biomass might have improved soil nitrogen availability and overall soil health, thereby supporting better cob development and grain formation. The findings are accepted with the authors of Singh </w:t>
      </w:r>
      <w:r>
        <w:rPr>
          <w:rFonts w:ascii="Arial" w:hAnsi="Arial" w:cs="Arial"/>
          <w:i/>
          <w:iCs/>
        </w:rPr>
        <w:t>et al</w:t>
      </w:r>
      <w:r>
        <w:rPr>
          <w:rFonts w:ascii="Arial" w:hAnsi="Arial" w:cs="Arial"/>
        </w:rPr>
        <w:t xml:space="preserve">. (2016), </w:t>
      </w:r>
      <w:r>
        <w:rPr>
          <w:rFonts w:ascii="Arial" w:hAnsi="Arial" w:cs="Arial"/>
          <w:bCs/>
        </w:rPr>
        <w:t xml:space="preserve">Ramachandran </w:t>
      </w:r>
      <w:r>
        <w:rPr>
          <w:rFonts w:ascii="Arial" w:hAnsi="Arial" w:cs="Arial"/>
          <w:bCs/>
          <w:i/>
          <w:iCs/>
        </w:rPr>
        <w:t>et al</w:t>
      </w:r>
      <w:r>
        <w:rPr>
          <w:rFonts w:ascii="Arial" w:hAnsi="Arial" w:cs="Arial"/>
          <w:bCs/>
        </w:rPr>
        <w:t>. (2012)</w:t>
      </w:r>
      <w:r>
        <w:rPr>
          <w:rFonts w:ascii="Arial" w:hAnsi="Arial" w:cs="Arial"/>
        </w:rPr>
        <w:t xml:space="preserve"> and Yadav </w:t>
      </w:r>
      <w:r>
        <w:rPr>
          <w:rFonts w:ascii="Arial" w:hAnsi="Arial" w:cs="Arial"/>
          <w:i/>
          <w:iCs/>
        </w:rPr>
        <w:t>et al</w:t>
      </w:r>
      <w:r>
        <w:rPr>
          <w:rFonts w:ascii="Arial" w:hAnsi="Arial" w:cs="Arial"/>
        </w:rPr>
        <w:t>. (2018).</w:t>
      </w:r>
    </w:p>
    <w:p w14:paraId="73EF7108">
      <w:pPr>
        <w:rPr>
          <w:rFonts w:ascii="Arial" w:hAnsi="Arial" w:cs="Arial"/>
          <w:b/>
          <w:bCs/>
          <w:sz w:val="22"/>
          <w:szCs w:val="22"/>
        </w:rPr>
      </w:pPr>
      <w:r>
        <w:rPr>
          <w:rFonts w:ascii="Arial" w:hAnsi="Arial" w:cs="Arial"/>
          <w:b/>
          <w:bCs/>
          <w:sz w:val="22"/>
          <w:szCs w:val="22"/>
        </w:rPr>
        <w:t>4. CONCLUSION</w:t>
      </w:r>
    </w:p>
    <w:p w14:paraId="21754DBE">
      <w:pPr>
        <w:rPr>
          <w:rFonts w:ascii="Arial" w:hAnsi="Arial" w:cs="Arial"/>
        </w:rPr>
      </w:pPr>
      <w:r>
        <w:rPr>
          <w:rFonts w:ascii="Arial" w:hAnsi="Arial" w:cs="Arial"/>
        </w:rPr>
        <w:t>The present study clearly demonstrated that effective weed management significantly influenced the growth and yield of irrigated maize. The weed-free check recorded the highest growth parameters, yield attributes, grain yield, and haulm yield due to the complete absence of crop–weed competition. Among the integrated treatments, maize + dhaincha incorporation followed by PoE Tembotrione @ 0.12 kg ha</w:t>
      </w:r>
      <w:r>
        <w:rPr>
          <w:rFonts w:ascii="Cambria Math" w:hAnsi="Cambria Math" w:cs="Cambria Math"/>
        </w:rPr>
        <w:t>⁻</w:t>
      </w:r>
      <w:r>
        <w:rPr>
          <w:rFonts w:ascii="Arial" w:hAnsi="Arial" w:cs="Arial"/>
        </w:rPr>
        <w:t>¹ proved to be the most effective and was statistically comparable to the weed-free check. The combined effect of early smothering by</w:t>
      </w:r>
      <w:commentRangeStart w:id="2"/>
      <w:r>
        <w:rPr>
          <w:rFonts w:ascii="Arial" w:hAnsi="Arial" w:cs="Arial"/>
        </w:rPr>
        <w:t xml:space="preserve"> dhaincha</w:t>
      </w:r>
      <w:commentRangeEnd w:id="2"/>
      <w:r>
        <w:commentReference w:id="2"/>
      </w:r>
      <w:r>
        <w:rPr>
          <w:rFonts w:ascii="Arial" w:hAnsi="Arial" w:cs="Arial"/>
        </w:rPr>
        <w:t xml:space="preserve"> and efficient post-emergence weed control enhanced nutrient availability, biomass production, and assimilate partitioning. Brown manuring also contributed to improved soil nitrogen status and overall crop vigor. In contrast, </w:t>
      </w:r>
      <w:r>
        <w:rPr>
          <w:rFonts w:ascii="Arial" w:hAnsi="Arial" w:cs="Arial"/>
          <w:color w:val="C00000"/>
        </w:rPr>
        <w:t>unwedded</w:t>
      </w:r>
      <w:r>
        <w:rPr>
          <w:rFonts w:ascii="Arial" w:hAnsi="Arial" w:cs="Arial"/>
        </w:rPr>
        <w:t xml:space="preserve"> conditions drastically reduced growth and yield due to severe resource competition. Hence, integration of brown manuring with suitable post-emergence herbicides can be recommended as a sustainable and efficient weed management strategy in irrigated maize.</w:t>
      </w:r>
    </w:p>
    <w:p w14:paraId="3D0A0289">
      <w:pPr>
        <w:rPr>
          <w:rFonts w:ascii="Arial" w:hAnsi="Arial" w:cs="Arial"/>
          <w:b/>
          <w:bCs/>
          <w:sz w:val="22"/>
          <w:szCs w:val="22"/>
          <w:shd w:val="clear" w:color="auto" w:fill="FFFFFF"/>
        </w:rPr>
      </w:pPr>
    </w:p>
    <w:p w14:paraId="455C224D">
      <w:pPr>
        <w:rPr>
          <w:rFonts w:ascii="Arial" w:hAnsi="Arial" w:cs="Arial"/>
          <w:b/>
          <w:bCs/>
          <w:sz w:val="22"/>
          <w:szCs w:val="22"/>
          <w:shd w:val="clear" w:color="auto" w:fill="FFFFFF"/>
        </w:rPr>
      </w:pPr>
      <w:commentRangeStart w:id="3"/>
      <w:r>
        <w:rPr>
          <w:rFonts w:ascii="Arial" w:hAnsi="Arial" w:cs="Arial"/>
          <w:b/>
          <w:bCs/>
          <w:sz w:val="22"/>
          <w:szCs w:val="22"/>
          <w:shd w:val="clear" w:color="auto" w:fill="FFFFFF"/>
        </w:rPr>
        <w:t>REFERENCES</w:t>
      </w:r>
      <w:commentRangeEnd w:id="3"/>
      <w:r>
        <w:commentReference w:id="3"/>
      </w:r>
    </w:p>
    <w:p w14:paraId="3BED9222">
      <w:pPr>
        <w:numPr>
          <w:ilvl w:val="0"/>
          <w:numId w:val="1"/>
        </w:numPr>
        <w:rPr>
          <w:rFonts w:ascii="Arial" w:hAnsi="Arial" w:cs="Arial"/>
          <w:shd w:val="clear" w:color="auto" w:fill="FFFFFF"/>
        </w:rPr>
      </w:pPr>
      <w:r>
        <w:rPr>
          <w:rFonts w:ascii="Arial" w:hAnsi="Arial" w:cs="Arial"/>
          <w:shd w:val="clear" w:color="auto" w:fill="FFFFFF"/>
        </w:rPr>
        <w:t>Gezahegn, A. M. (2021). Role of integrated nutrient management for sustainable maize production. </w:t>
      </w:r>
      <w:r>
        <w:rPr>
          <w:rFonts w:ascii="Arial" w:hAnsi="Arial" w:cs="Arial"/>
          <w:i/>
          <w:iCs/>
          <w:shd w:val="clear" w:color="auto" w:fill="FFFFFF"/>
        </w:rPr>
        <w:t>International Journal of Agronomy</w:t>
      </w:r>
      <w:r>
        <w:rPr>
          <w:rFonts w:ascii="Arial" w:hAnsi="Arial" w:cs="Arial"/>
          <w:shd w:val="clear" w:color="auto" w:fill="FFFFFF"/>
        </w:rPr>
        <w:t>, </w:t>
      </w:r>
      <w:r>
        <w:rPr>
          <w:rFonts w:ascii="Arial" w:hAnsi="Arial" w:cs="Arial"/>
          <w:i/>
          <w:iCs/>
          <w:shd w:val="clear" w:color="auto" w:fill="FFFFFF"/>
        </w:rPr>
        <w:t>2021</w:t>
      </w:r>
      <w:r>
        <w:rPr>
          <w:rFonts w:ascii="Arial" w:hAnsi="Arial" w:cs="Arial"/>
          <w:shd w:val="clear" w:color="auto" w:fill="FFFFFF"/>
        </w:rPr>
        <w:t>(1), 9982884.</w:t>
      </w:r>
    </w:p>
    <w:p w14:paraId="240BEDBB">
      <w:pPr>
        <w:numPr>
          <w:ilvl w:val="0"/>
          <w:numId w:val="1"/>
        </w:numPr>
        <w:rPr>
          <w:rFonts w:ascii="Arial" w:hAnsi="Arial" w:cs="Arial"/>
          <w:shd w:val="clear" w:color="auto" w:fill="FFFFFF"/>
        </w:rPr>
      </w:pPr>
      <w:r>
        <w:rPr>
          <w:rFonts w:ascii="Arial" w:hAnsi="Arial" w:cs="Arial"/>
          <w:shd w:val="clear" w:color="auto" w:fill="FFFFFF"/>
        </w:rPr>
        <w:t xml:space="preserve">Dass S, Jat ML, Singh KP and Rai HK. 2008. Agro-economic analysis of maize based cropping system in India. </w:t>
      </w:r>
      <w:r>
        <w:rPr>
          <w:rFonts w:ascii="Arial" w:hAnsi="Arial" w:cs="Arial"/>
          <w:i/>
          <w:iCs/>
          <w:shd w:val="clear" w:color="auto" w:fill="FFFFFF"/>
        </w:rPr>
        <w:t>Indian Journal of Fertilizers</w:t>
      </w:r>
      <w:r>
        <w:rPr>
          <w:rFonts w:ascii="Arial" w:hAnsi="Arial" w:cs="Arial"/>
          <w:shd w:val="clear" w:color="auto" w:fill="FFFFFF"/>
        </w:rPr>
        <w:t xml:space="preserve"> 4: 49-62.</w:t>
      </w:r>
    </w:p>
    <w:p w14:paraId="78ABEE6E">
      <w:pPr>
        <w:numPr>
          <w:ilvl w:val="0"/>
          <w:numId w:val="1"/>
        </w:numPr>
        <w:rPr>
          <w:rFonts w:ascii="Arial" w:hAnsi="Arial" w:cs="Arial"/>
          <w:shd w:val="clear" w:color="auto" w:fill="FFFFFF"/>
        </w:rPr>
      </w:pPr>
      <w:r>
        <w:rPr>
          <w:rFonts w:ascii="Arial" w:hAnsi="Arial" w:cs="Arial"/>
          <w:shd w:val="clear" w:color="auto" w:fill="FFFFFF"/>
        </w:rPr>
        <w:t xml:space="preserve">United States Department of Agriculture. (2017). </w:t>
      </w:r>
      <w:r>
        <w:rPr>
          <w:rFonts w:ascii="Arial" w:hAnsi="Arial" w:cs="Arial"/>
          <w:i/>
          <w:iCs/>
          <w:shd w:val="clear" w:color="auto" w:fill="FFFFFF"/>
        </w:rPr>
        <w:t>World agricultural production</w:t>
      </w:r>
      <w:r>
        <w:rPr>
          <w:rFonts w:ascii="Arial" w:hAnsi="Arial" w:cs="Arial"/>
          <w:shd w:val="clear" w:color="auto" w:fill="FFFFFF"/>
        </w:rPr>
        <w:t xml:space="preserve">. Foreign Agricultural Service, USDA. </w:t>
      </w:r>
      <w:r>
        <w:fldChar w:fldCharType="begin"/>
      </w:r>
      <w:r>
        <w:instrText xml:space="preserve"> HYPERLINK "https://apps.fas.usda.gov/psdonline/" </w:instrText>
      </w:r>
      <w:r>
        <w:fldChar w:fldCharType="separate"/>
      </w:r>
      <w:r>
        <w:rPr>
          <w:rStyle w:val="12"/>
          <w:rFonts w:ascii="Arial" w:hAnsi="Arial" w:cs="Arial"/>
          <w:shd w:val="clear" w:color="auto" w:fill="FFFFFF"/>
        </w:rPr>
        <w:t>https://apps.fas.usda.gov/psdonline/</w:t>
      </w:r>
      <w:r>
        <w:rPr>
          <w:rStyle w:val="12"/>
          <w:rFonts w:ascii="Arial" w:hAnsi="Arial" w:cs="Arial"/>
          <w:shd w:val="clear" w:color="auto" w:fill="FFFFFF"/>
        </w:rPr>
        <w:fldChar w:fldCharType="end"/>
      </w:r>
      <w:r>
        <w:rPr>
          <w:rFonts w:ascii="Arial" w:hAnsi="Arial" w:cs="Arial"/>
          <w:shd w:val="clear" w:color="auto" w:fill="FFFFFF"/>
        </w:rPr>
        <w:t xml:space="preserve"> </w:t>
      </w:r>
    </w:p>
    <w:p w14:paraId="76E6E772">
      <w:pPr>
        <w:numPr>
          <w:ilvl w:val="0"/>
          <w:numId w:val="1"/>
        </w:numPr>
        <w:rPr>
          <w:rFonts w:ascii="Arial" w:hAnsi="Arial" w:cs="Arial"/>
          <w:shd w:val="clear" w:color="auto" w:fill="FFFFFF"/>
        </w:rPr>
      </w:pPr>
      <w:r>
        <w:rPr>
          <w:rFonts w:ascii="Arial" w:hAnsi="Arial" w:cs="Arial"/>
          <w:shd w:val="clear" w:color="auto" w:fill="FFFFFF"/>
        </w:rPr>
        <w:t xml:space="preserve">Food and Agriculture Organization of the United Nations. (2021). </w:t>
      </w:r>
      <w:r>
        <w:rPr>
          <w:rFonts w:ascii="Arial" w:hAnsi="Arial" w:cs="Arial"/>
          <w:i/>
          <w:iCs/>
          <w:shd w:val="clear" w:color="auto" w:fill="FFFFFF"/>
        </w:rPr>
        <w:t>The state of food and agriculture 2021: Making agrifood systems more resilient to shocks and stresses</w:t>
      </w:r>
      <w:r>
        <w:rPr>
          <w:rFonts w:ascii="Arial" w:hAnsi="Arial" w:cs="Arial"/>
          <w:shd w:val="clear" w:color="auto" w:fill="FFFFFF"/>
        </w:rPr>
        <w:t xml:space="preserve">. Rome, Italy: FAO. </w:t>
      </w:r>
      <w:r>
        <w:fldChar w:fldCharType="begin"/>
      </w:r>
      <w:r>
        <w:instrText xml:space="preserve"> HYPERLINK "https://doi.org/10.4060/cb4476en" </w:instrText>
      </w:r>
      <w:r>
        <w:fldChar w:fldCharType="separate"/>
      </w:r>
      <w:r>
        <w:rPr>
          <w:rStyle w:val="12"/>
          <w:rFonts w:ascii="Arial" w:hAnsi="Arial" w:cs="Arial"/>
          <w:shd w:val="clear" w:color="auto" w:fill="FFFFFF"/>
        </w:rPr>
        <w:t>https://doi.org/10.4060/cb4476en</w:t>
      </w:r>
      <w:r>
        <w:rPr>
          <w:rStyle w:val="12"/>
          <w:rFonts w:ascii="Arial" w:hAnsi="Arial" w:cs="Arial"/>
          <w:shd w:val="clear" w:color="auto" w:fill="FFFFFF"/>
        </w:rPr>
        <w:fldChar w:fldCharType="end"/>
      </w:r>
      <w:r>
        <w:rPr>
          <w:rFonts w:ascii="Arial" w:hAnsi="Arial" w:cs="Arial"/>
          <w:shd w:val="clear" w:color="auto" w:fill="FFFFFF"/>
        </w:rPr>
        <w:t xml:space="preserve">  </w:t>
      </w:r>
    </w:p>
    <w:p w14:paraId="1349F96D">
      <w:pPr>
        <w:numPr>
          <w:ilvl w:val="0"/>
          <w:numId w:val="1"/>
        </w:numPr>
        <w:rPr>
          <w:rFonts w:ascii="Arial" w:hAnsi="Arial" w:cs="Arial"/>
          <w:shd w:val="clear" w:color="auto" w:fill="FFFFFF"/>
        </w:rPr>
      </w:pPr>
      <w:r>
        <w:rPr>
          <w:rFonts w:ascii="Arial" w:hAnsi="Arial" w:cs="Arial"/>
          <w:shd w:val="clear" w:color="auto" w:fill="FFFFFF"/>
        </w:rPr>
        <w:t>Suresh, M. V. S. Studies on response of maize to inoculation with consortiums of nitrogen fixers and phosphate solubilizers.</w:t>
      </w:r>
    </w:p>
    <w:p w14:paraId="17F28B90">
      <w:pPr>
        <w:numPr>
          <w:ilvl w:val="0"/>
          <w:numId w:val="1"/>
        </w:numPr>
        <w:rPr>
          <w:rFonts w:ascii="Arial" w:hAnsi="Arial" w:cs="Arial"/>
          <w:shd w:val="clear" w:color="auto" w:fill="FFFFFF"/>
        </w:rPr>
      </w:pPr>
      <w:r>
        <w:rPr>
          <w:rFonts w:ascii="Arial" w:hAnsi="Arial" w:cs="Arial"/>
          <w:shd w:val="clear" w:color="auto" w:fill="FFFFFF"/>
        </w:rPr>
        <w:t xml:space="preserve">Aruna, P., Kumar, S., &amp; Selvam, R. (2024). </w:t>
      </w:r>
      <w:r>
        <w:rPr>
          <w:rFonts w:ascii="Arial" w:hAnsi="Arial" w:cs="Arial"/>
          <w:i/>
          <w:iCs/>
          <w:shd w:val="clear" w:color="auto" w:fill="FFFFFF"/>
        </w:rPr>
        <w:t>Growth dynamics of maize cultivation in Tamil Nadu: Shifts in cropping patterns and implications for poultry feed demand</w:t>
      </w:r>
      <w:r>
        <w:rPr>
          <w:rFonts w:ascii="Arial" w:hAnsi="Arial" w:cs="Arial"/>
          <w:shd w:val="clear" w:color="auto" w:fill="FFFFFF"/>
        </w:rPr>
        <w:t>. Journal of Agricultural Economics and Rural Development, 12(1), 45–53.</w:t>
      </w:r>
    </w:p>
    <w:p w14:paraId="4EE0D94C">
      <w:pPr>
        <w:numPr>
          <w:ilvl w:val="0"/>
          <w:numId w:val="1"/>
        </w:numPr>
        <w:rPr>
          <w:rFonts w:ascii="Arial" w:hAnsi="Arial" w:cs="Arial"/>
          <w:shd w:val="clear" w:color="auto" w:fill="FFFFFF"/>
        </w:rPr>
      </w:pPr>
      <w:r>
        <w:rPr>
          <w:rFonts w:ascii="Arial" w:hAnsi="Arial" w:cs="Arial"/>
          <w:shd w:val="clear" w:color="auto" w:fill="FFFFFF"/>
        </w:rPr>
        <w:t xml:space="preserve">Kumar S. 2018. Weed management practices in direct seeded rice (Oryza sativa L.): A review. </w:t>
      </w:r>
      <w:r>
        <w:rPr>
          <w:rFonts w:ascii="Arial" w:hAnsi="Arial" w:cs="Arial"/>
          <w:i/>
          <w:iCs/>
          <w:shd w:val="clear" w:color="auto" w:fill="FFFFFF"/>
        </w:rPr>
        <w:t>Journal of Pharmacognosy and Phytochemistry</w:t>
      </w:r>
      <w:r>
        <w:rPr>
          <w:rFonts w:ascii="Arial" w:hAnsi="Arial" w:cs="Arial"/>
          <w:shd w:val="clear" w:color="auto" w:fill="FFFFFF"/>
        </w:rPr>
        <w:t xml:space="preserve"> 7(3): 2356–2362.</w:t>
      </w:r>
    </w:p>
    <w:p w14:paraId="22FD051D">
      <w:pPr>
        <w:numPr>
          <w:ilvl w:val="0"/>
          <w:numId w:val="1"/>
        </w:numPr>
        <w:rPr>
          <w:rFonts w:ascii="Arial" w:hAnsi="Arial" w:cs="Arial"/>
          <w:shd w:val="clear" w:color="auto" w:fill="FFFFFF"/>
        </w:rPr>
      </w:pPr>
      <w:r>
        <w:rPr>
          <w:rFonts w:ascii="Arial" w:hAnsi="Arial" w:cs="Arial"/>
          <w:shd w:val="clear" w:color="auto" w:fill="FFFFFF"/>
        </w:rPr>
        <w:t xml:space="preserve">Dass T.K., Tuti M.D., Sharma R., Paul T., and Mirija P.R. (2012) </w:t>
      </w:r>
      <w:r>
        <w:rPr>
          <w:rFonts w:ascii="Arial" w:hAnsi="Arial" w:cs="Arial"/>
          <w:i/>
          <w:iCs/>
          <w:shd w:val="clear" w:color="auto" w:fill="FFFFFF"/>
        </w:rPr>
        <w:t>Indian J. Agron</w:t>
      </w:r>
      <w:r>
        <w:rPr>
          <w:rFonts w:ascii="Arial" w:hAnsi="Arial" w:cs="Arial"/>
          <w:shd w:val="clear" w:color="auto" w:fill="FFFFFF"/>
        </w:rPr>
        <w:t>., 573, 148-156.</w:t>
      </w:r>
    </w:p>
    <w:p w14:paraId="5FB9EE78">
      <w:pPr>
        <w:numPr>
          <w:ilvl w:val="0"/>
          <w:numId w:val="1"/>
        </w:numPr>
        <w:rPr>
          <w:rFonts w:ascii="Arial" w:hAnsi="Arial" w:cs="Arial"/>
          <w:shd w:val="clear" w:color="auto" w:fill="FFFFFF"/>
        </w:rPr>
      </w:pPr>
      <w:r>
        <w:rPr>
          <w:rFonts w:ascii="Arial" w:hAnsi="Arial" w:cs="Arial"/>
          <w:shd w:val="clear" w:color="auto" w:fill="FFFFFF"/>
        </w:rPr>
        <w:t>Das, S. K., Ghosh, G. K., &amp; Avasthe, R. (2020). Ecotoxicological responses of weed biochar on seed germination and seedling growth in acidic soil. </w:t>
      </w:r>
      <w:r>
        <w:rPr>
          <w:rFonts w:ascii="Arial" w:hAnsi="Arial" w:cs="Arial"/>
          <w:i/>
          <w:iCs/>
          <w:shd w:val="clear" w:color="auto" w:fill="FFFFFF"/>
        </w:rPr>
        <w:t>Environmental Technology &amp; Innovation</w:t>
      </w:r>
      <w:r>
        <w:rPr>
          <w:rFonts w:ascii="Arial" w:hAnsi="Arial" w:cs="Arial"/>
          <w:shd w:val="clear" w:color="auto" w:fill="FFFFFF"/>
        </w:rPr>
        <w:t>, </w:t>
      </w:r>
      <w:r>
        <w:rPr>
          <w:rFonts w:ascii="Arial" w:hAnsi="Arial" w:cs="Arial"/>
          <w:i/>
          <w:iCs/>
          <w:shd w:val="clear" w:color="auto" w:fill="FFFFFF"/>
        </w:rPr>
        <w:t>20</w:t>
      </w:r>
      <w:r>
        <w:rPr>
          <w:rFonts w:ascii="Arial" w:hAnsi="Arial" w:cs="Arial"/>
          <w:shd w:val="clear" w:color="auto" w:fill="FFFFFF"/>
        </w:rPr>
        <w:t>, 101074.</w:t>
      </w:r>
    </w:p>
    <w:p w14:paraId="7AFE4FA0">
      <w:pPr>
        <w:numPr>
          <w:ilvl w:val="0"/>
          <w:numId w:val="1"/>
        </w:numPr>
        <w:rPr>
          <w:rFonts w:ascii="Arial" w:hAnsi="Arial" w:cs="Arial"/>
          <w:shd w:val="clear" w:color="auto" w:fill="FFFFFF"/>
        </w:rPr>
      </w:pPr>
      <w:r>
        <w:rPr>
          <w:rFonts w:ascii="Arial" w:hAnsi="Arial" w:cs="Arial"/>
          <w:shd w:val="clear" w:color="auto" w:fill="FFFFFF"/>
        </w:rPr>
        <w:t xml:space="preserve">Ravi, B., Singh, P., &amp; Kumar, A. (2017). </w:t>
      </w:r>
      <w:r>
        <w:rPr>
          <w:rFonts w:ascii="Arial" w:hAnsi="Arial" w:cs="Arial"/>
          <w:i/>
          <w:iCs/>
          <w:shd w:val="clear" w:color="auto" w:fill="FFFFFF"/>
        </w:rPr>
        <w:t>Weed flora composition and dynamics in irrigated maize (Zea mays L.) fields</w:t>
      </w:r>
      <w:r>
        <w:rPr>
          <w:rFonts w:ascii="Arial" w:hAnsi="Arial" w:cs="Arial"/>
          <w:shd w:val="clear" w:color="auto" w:fill="FFFFFF"/>
        </w:rPr>
        <w:t xml:space="preserve">. </w:t>
      </w:r>
      <w:r>
        <w:rPr>
          <w:rFonts w:ascii="Arial" w:hAnsi="Arial" w:cs="Arial"/>
          <w:i/>
          <w:iCs/>
          <w:shd w:val="clear" w:color="auto" w:fill="FFFFFF"/>
        </w:rPr>
        <w:t>Journal of Crop Protection and Weed Management</w:t>
      </w:r>
      <w:r>
        <w:rPr>
          <w:rFonts w:ascii="Arial" w:hAnsi="Arial" w:cs="Arial"/>
          <w:shd w:val="clear" w:color="auto" w:fill="FFFFFF"/>
        </w:rPr>
        <w:t>, 14(3), 178–186.</w:t>
      </w:r>
    </w:p>
    <w:p w14:paraId="0941ABC2">
      <w:pPr>
        <w:numPr>
          <w:ilvl w:val="0"/>
          <w:numId w:val="1"/>
        </w:numPr>
        <w:rPr>
          <w:rFonts w:ascii="Arial" w:hAnsi="Arial" w:cs="Arial"/>
          <w:shd w:val="clear" w:color="auto" w:fill="FFFFFF"/>
        </w:rPr>
      </w:pPr>
      <w:r>
        <w:rPr>
          <w:rFonts w:ascii="Arial" w:hAnsi="Arial" w:cs="Arial"/>
          <w:shd w:val="clear" w:color="auto" w:fill="FFFFFF"/>
        </w:rPr>
        <w:t xml:space="preserve">Behera, S. K., Mohanty, M., &amp; Dash, A. (2019). </w:t>
      </w:r>
      <w:r>
        <w:rPr>
          <w:rFonts w:ascii="Arial" w:hAnsi="Arial" w:cs="Arial"/>
          <w:i/>
          <w:iCs/>
          <w:shd w:val="clear" w:color="auto" w:fill="FFFFFF"/>
        </w:rPr>
        <w:t>Diversity and abundance of weed species in maize under varied agronomic practices</w:t>
      </w:r>
      <w:r>
        <w:rPr>
          <w:rFonts w:ascii="Arial" w:hAnsi="Arial" w:cs="Arial"/>
          <w:shd w:val="clear" w:color="auto" w:fill="FFFFFF"/>
        </w:rPr>
        <w:t xml:space="preserve">. </w:t>
      </w:r>
      <w:r>
        <w:rPr>
          <w:rFonts w:ascii="Arial" w:hAnsi="Arial" w:cs="Arial"/>
          <w:i/>
          <w:iCs/>
          <w:shd w:val="clear" w:color="auto" w:fill="FFFFFF"/>
        </w:rPr>
        <w:t>Indian Journal of Weed Science</w:t>
      </w:r>
      <w:r>
        <w:rPr>
          <w:rFonts w:ascii="Arial" w:hAnsi="Arial" w:cs="Arial"/>
          <w:shd w:val="clear" w:color="auto" w:fill="FFFFFF"/>
        </w:rPr>
        <w:t>, 51(2), 125–133.</w:t>
      </w:r>
    </w:p>
    <w:p w14:paraId="3766E40E">
      <w:pPr>
        <w:numPr>
          <w:ilvl w:val="0"/>
          <w:numId w:val="1"/>
        </w:numPr>
        <w:rPr>
          <w:rFonts w:ascii="Arial" w:hAnsi="Arial" w:cs="Arial"/>
          <w:shd w:val="clear" w:color="auto" w:fill="FFFFFF"/>
        </w:rPr>
      </w:pPr>
      <w:r>
        <w:rPr>
          <w:rFonts w:ascii="Arial" w:hAnsi="Arial" w:cs="Arial"/>
          <w:shd w:val="clear" w:color="auto" w:fill="FFFFFF"/>
        </w:rPr>
        <w:t xml:space="preserve">Rani, B. S., Chandrika, V., Karuna Sagar, G., &amp; Prabhakara Reddy, G. (2020). </w:t>
      </w:r>
      <w:r>
        <w:rPr>
          <w:rFonts w:ascii="Arial" w:hAnsi="Arial" w:cs="Arial"/>
          <w:i/>
          <w:iCs/>
          <w:shd w:val="clear" w:color="auto" w:fill="FFFFFF"/>
        </w:rPr>
        <w:t>Weed management practices in maize (Zea mays L.)</w:t>
      </w:r>
      <w:r>
        <w:rPr>
          <w:rFonts w:ascii="Arial" w:hAnsi="Arial" w:cs="Arial"/>
          <w:shd w:val="clear" w:color="auto" w:fill="FFFFFF"/>
        </w:rPr>
        <w:t xml:space="preserve">. </w:t>
      </w:r>
      <w:r>
        <w:rPr>
          <w:rFonts w:ascii="Arial" w:hAnsi="Arial" w:cs="Arial"/>
          <w:i/>
          <w:iCs/>
          <w:shd w:val="clear" w:color="auto" w:fill="FFFFFF"/>
        </w:rPr>
        <w:t>Agricultural Reviews</w:t>
      </w:r>
      <w:r>
        <w:rPr>
          <w:rFonts w:ascii="Arial" w:hAnsi="Arial" w:cs="Arial"/>
          <w:shd w:val="clear" w:color="auto" w:fill="FFFFFF"/>
        </w:rPr>
        <w:t xml:space="preserve">, 41(4), 328–337. </w:t>
      </w:r>
    </w:p>
    <w:p w14:paraId="0147B7DE">
      <w:pPr>
        <w:numPr>
          <w:ilvl w:val="0"/>
          <w:numId w:val="1"/>
        </w:numPr>
        <w:rPr>
          <w:rFonts w:ascii="Arial" w:hAnsi="Arial" w:cs="Arial"/>
          <w:shd w:val="clear" w:color="auto" w:fill="FFFFFF"/>
        </w:rPr>
      </w:pPr>
      <w:r>
        <w:rPr>
          <w:rFonts w:ascii="Arial" w:hAnsi="Arial" w:cs="Arial"/>
          <w:shd w:val="clear" w:color="auto" w:fill="FFFFFF"/>
        </w:rPr>
        <w:t>Reddy, C. (2018). A study on crop weed competition in field crops. </w:t>
      </w:r>
      <w:r>
        <w:rPr>
          <w:rFonts w:ascii="Arial" w:hAnsi="Arial" w:cs="Arial"/>
          <w:i/>
          <w:iCs/>
          <w:shd w:val="clear" w:color="auto" w:fill="FFFFFF"/>
        </w:rPr>
        <w:t>Journal of Pharmacognosy and Phytochemistry</w:t>
      </w:r>
      <w:r>
        <w:rPr>
          <w:rFonts w:ascii="Arial" w:hAnsi="Arial" w:cs="Arial"/>
          <w:shd w:val="clear" w:color="auto" w:fill="FFFFFF"/>
        </w:rPr>
        <w:t>, </w:t>
      </w:r>
      <w:r>
        <w:rPr>
          <w:rFonts w:ascii="Arial" w:hAnsi="Arial" w:cs="Arial"/>
          <w:i/>
          <w:iCs/>
          <w:shd w:val="clear" w:color="auto" w:fill="FFFFFF"/>
        </w:rPr>
        <w:t>7</w:t>
      </w:r>
      <w:r>
        <w:rPr>
          <w:rFonts w:ascii="Arial" w:hAnsi="Arial" w:cs="Arial"/>
          <w:shd w:val="clear" w:color="auto" w:fill="FFFFFF"/>
        </w:rPr>
        <w:t>(4), 3235-3240.</w:t>
      </w:r>
    </w:p>
    <w:p w14:paraId="37657DC4">
      <w:pPr>
        <w:numPr>
          <w:ilvl w:val="0"/>
          <w:numId w:val="1"/>
        </w:numPr>
        <w:rPr>
          <w:rFonts w:ascii="Arial" w:hAnsi="Arial" w:cs="Arial"/>
          <w:shd w:val="clear" w:color="auto" w:fill="FFFFFF"/>
        </w:rPr>
      </w:pPr>
      <w:r>
        <w:rPr>
          <w:rFonts w:ascii="Arial" w:hAnsi="Arial" w:cs="Arial"/>
          <w:shd w:val="clear" w:color="auto" w:fill="FFFFFF"/>
        </w:rPr>
        <w:t>Chauhan, B. S. (2020). Grand challenges in weed management. </w:t>
      </w:r>
      <w:r>
        <w:rPr>
          <w:rFonts w:ascii="Arial" w:hAnsi="Arial" w:cs="Arial"/>
          <w:i/>
          <w:iCs/>
          <w:shd w:val="clear" w:color="auto" w:fill="FFFFFF"/>
        </w:rPr>
        <w:t>Frontiers in Agronomy</w:t>
      </w:r>
      <w:r>
        <w:rPr>
          <w:rFonts w:ascii="Arial" w:hAnsi="Arial" w:cs="Arial"/>
          <w:shd w:val="clear" w:color="auto" w:fill="FFFFFF"/>
        </w:rPr>
        <w:t>, </w:t>
      </w:r>
      <w:r>
        <w:rPr>
          <w:rFonts w:ascii="Arial" w:hAnsi="Arial" w:cs="Arial"/>
          <w:i/>
          <w:iCs/>
          <w:shd w:val="clear" w:color="auto" w:fill="FFFFFF"/>
        </w:rPr>
        <w:t>1</w:t>
      </w:r>
      <w:r>
        <w:rPr>
          <w:rFonts w:ascii="Arial" w:hAnsi="Arial" w:cs="Arial"/>
          <w:shd w:val="clear" w:color="auto" w:fill="FFFFFF"/>
        </w:rPr>
        <w:t>, 3.</w:t>
      </w:r>
    </w:p>
    <w:p w14:paraId="4B9691EF">
      <w:pPr>
        <w:numPr>
          <w:ilvl w:val="0"/>
          <w:numId w:val="1"/>
        </w:numPr>
        <w:rPr>
          <w:rFonts w:ascii="Arial" w:hAnsi="Arial" w:cs="Arial"/>
          <w:shd w:val="clear" w:color="auto" w:fill="FFFFFF"/>
        </w:rPr>
      </w:pPr>
      <w:r>
        <w:rPr>
          <w:rFonts w:ascii="Arial" w:hAnsi="Arial" w:cs="Arial"/>
          <w:shd w:val="clear" w:color="auto" w:fill="FFFFFF"/>
        </w:rPr>
        <w:t xml:space="preserve">Tanwar SPS, Singh AK and Joshi N. 2010. Changing environment and sustained crop production: A challenge for agronomy. </w:t>
      </w:r>
      <w:r>
        <w:rPr>
          <w:rFonts w:ascii="Arial" w:hAnsi="Arial" w:cs="Arial"/>
          <w:i/>
          <w:iCs/>
          <w:shd w:val="clear" w:color="auto" w:fill="FFFFFF"/>
        </w:rPr>
        <w:t>Journal of Arid Legumes</w:t>
      </w:r>
      <w:r>
        <w:rPr>
          <w:rFonts w:ascii="Arial" w:hAnsi="Arial" w:cs="Arial"/>
          <w:shd w:val="clear" w:color="auto" w:fill="FFFFFF"/>
        </w:rPr>
        <w:t xml:space="preserve"> 7(2): 91–100.</w:t>
      </w:r>
    </w:p>
    <w:p w14:paraId="6A6958EF">
      <w:pPr>
        <w:numPr>
          <w:ilvl w:val="0"/>
          <w:numId w:val="1"/>
        </w:numPr>
        <w:rPr>
          <w:rFonts w:ascii="Arial" w:hAnsi="Arial" w:cs="Arial"/>
          <w:shd w:val="clear" w:color="auto" w:fill="FFFFFF"/>
        </w:rPr>
      </w:pPr>
      <w:r>
        <w:rPr>
          <w:rFonts w:ascii="Arial" w:hAnsi="Arial" w:cs="Arial"/>
          <w:shd w:val="clear" w:color="auto" w:fill="FFFFFF"/>
        </w:rPr>
        <w:t>Pandey, A. K., &amp; Gupta, H. S. (2003). Crop-weed competition studies in spring rice (Oryza sativa) under mid-hill conditions of North-west Himalayas. </w:t>
      </w:r>
      <w:r>
        <w:rPr>
          <w:rFonts w:ascii="Arial" w:hAnsi="Arial" w:cs="Arial"/>
          <w:i/>
          <w:iCs/>
          <w:shd w:val="clear" w:color="auto" w:fill="FFFFFF"/>
        </w:rPr>
        <w:t>Indian Journal of Weed Science</w:t>
      </w:r>
      <w:r>
        <w:rPr>
          <w:rFonts w:ascii="Arial" w:hAnsi="Arial" w:cs="Arial"/>
          <w:shd w:val="clear" w:color="auto" w:fill="FFFFFF"/>
        </w:rPr>
        <w:t>, </w:t>
      </w:r>
      <w:r>
        <w:rPr>
          <w:rFonts w:ascii="Arial" w:hAnsi="Arial" w:cs="Arial"/>
          <w:i/>
          <w:iCs/>
          <w:shd w:val="clear" w:color="auto" w:fill="FFFFFF"/>
        </w:rPr>
        <w:t>35</w:t>
      </w:r>
      <w:r>
        <w:rPr>
          <w:rFonts w:ascii="Arial" w:hAnsi="Arial" w:cs="Arial"/>
          <w:shd w:val="clear" w:color="auto" w:fill="FFFFFF"/>
        </w:rPr>
        <w:t>, 38-40.</w:t>
      </w:r>
    </w:p>
    <w:p w14:paraId="6685C43B">
      <w:pPr>
        <w:numPr>
          <w:ilvl w:val="0"/>
          <w:numId w:val="1"/>
        </w:numPr>
        <w:rPr>
          <w:rFonts w:ascii="Arial" w:hAnsi="Arial" w:cs="Arial"/>
          <w:shd w:val="clear" w:color="auto" w:fill="FFFFFF"/>
        </w:rPr>
      </w:pPr>
      <w:r>
        <w:rPr>
          <w:rFonts w:ascii="Arial" w:hAnsi="Arial" w:cs="Arial"/>
          <w:shd w:val="clear" w:color="auto" w:fill="FFFFFF"/>
        </w:rPr>
        <w:t>Chalka, M. K., &amp; Nepalia, V. (2005). Production potential and economics of maize (Zea mays) intercropped with legumes as influenced by weed control. </w:t>
      </w:r>
      <w:r>
        <w:rPr>
          <w:rFonts w:ascii="Arial" w:hAnsi="Arial" w:cs="Arial"/>
          <w:i/>
          <w:iCs/>
          <w:shd w:val="clear" w:color="auto" w:fill="FFFFFF"/>
        </w:rPr>
        <w:t>Indian Journal of Agronomy</w:t>
      </w:r>
      <w:r>
        <w:rPr>
          <w:rFonts w:ascii="Arial" w:hAnsi="Arial" w:cs="Arial"/>
          <w:shd w:val="clear" w:color="auto" w:fill="FFFFFF"/>
        </w:rPr>
        <w:t>, </w:t>
      </w:r>
      <w:r>
        <w:rPr>
          <w:rFonts w:ascii="Arial" w:hAnsi="Arial" w:cs="Arial"/>
          <w:i/>
          <w:iCs/>
          <w:shd w:val="clear" w:color="auto" w:fill="FFFFFF"/>
        </w:rPr>
        <w:t>50</w:t>
      </w:r>
      <w:r>
        <w:rPr>
          <w:rFonts w:ascii="Arial" w:hAnsi="Arial" w:cs="Arial"/>
          <w:shd w:val="clear" w:color="auto" w:fill="FFFFFF"/>
        </w:rPr>
        <w:t>(2), 119-122.</w:t>
      </w:r>
    </w:p>
    <w:p w14:paraId="34C5EB7E">
      <w:pPr>
        <w:numPr>
          <w:ilvl w:val="0"/>
          <w:numId w:val="1"/>
        </w:numPr>
        <w:rPr>
          <w:rFonts w:ascii="Arial" w:hAnsi="Arial" w:cs="Arial"/>
          <w:shd w:val="clear" w:color="auto" w:fill="FFFFFF"/>
        </w:rPr>
      </w:pPr>
      <w:r>
        <w:rPr>
          <w:rFonts w:ascii="Arial" w:hAnsi="Arial" w:cs="Arial"/>
          <w:shd w:val="clear" w:color="auto" w:fill="FFFFFF"/>
        </w:rPr>
        <w:t>Oyeogbe, A. I., Das, T. K., Bhatia, A., &amp; Singh, S. B. (2017). Adaptive nitrogen and integrated weed management in conservation agriculture: impacts on agronomic productivity, greenhouse gas emissions, and herbicide residues. </w:t>
      </w:r>
      <w:r>
        <w:rPr>
          <w:rFonts w:ascii="Arial" w:hAnsi="Arial" w:cs="Arial"/>
          <w:i/>
          <w:iCs/>
          <w:shd w:val="clear" w:color="auto" w:fill="FFFFFF"/>
        </w:rPr>
        <w:t>Environmental Monitoring and Assessment</w:t>
      </w:r>
      <w:r>
        <w:rPr>
          <w:rFonts w:ascii="Arial" w:hAnsi="Arial" w:cs="Arial"/>
          <w:shd w:val="clear" w:color="auto" w:fill="FFFFFF"/>
        </w:rPr>
        <w:t>, </w:t>
      </w:r>
      <w:r>
        <w:rPr>
          <w:rFonts w:ascii="Arial" w:hAnsi="Arial" w:cs="Arial"/>
          <w:i/>
          <w:iCs/>
          <w:shd w:val="clear" w:color="auto" w:fill="FFFFFF"/>
        </w:rPr>
        <w:t>189</w:t>
      </w:r>
      <w:r>
        <w:rPr>
          <w:rFonts w:ascii="Arial" w:hAnsi="Arial" w:cs="Arial"/>
          <w:shd w:val="clear" w:color="auto" w:fill="FFFFFF"/>
        </w:rPr>
        <w:t>(4), 198.</w:t>
      </w:r>
    </w:p>
    <w:p w14:paraId="27E8155F">
      <w:pPr>
        <w:numPr>
          <w:ilvl w:val="0"/>
          <w:numId w:val="1"/>
        </w:numPr>
        <w:rPr>
          <w:rFonts w:ascii="Arial" w:hAnsi="Arial" w:cs="Arial"/>
          <w:shd w:val="clear" w:color="auto" w:fill="FFFFFF"/>
        </w:rPr>
      </w:pPr>
      <w:r>
        <w:rPr>
          <w:rFonts w:ascii="Arial" w:hAnsi="Arial" w:cs="Arial"/>
          <w:shd w:val="clear" w:color="auto" w:fill="FFFFFF"/>
        </w:rPr>
        <w:t>Singh, R., Suby, S. B., Kaur, J., Sekhar, J. C., &amp; Soujanya, P. L. (2018). An overview of crop loss assessment in maize. </w:t>
      </w:r>
      <w:r>
        <w:rPr>
          <w:rFonts w:ascii="Arial" w:hAnsi="Arial" w:cs="Arial"/>
          <w:i/>
          <w:iCs/>
          <w:shd w:val="clear" w:color="auto" w:fill="FFFFFF"/>
        </w:rPr>
        <w:t>Maize Journal</w:t>
      </w:r>
      <w:r>
        <w:rPr>
          <w:rFonts w:ascii="Arial" w:hAnsi="Arial" w:cs="Arial"/>
          <w:shd w:val="clear" w:color="auto" w:fill="FFFFFF"/>
        </w:rPr>
        <w:t>, </w:t>
      </w:r>
      <w:r>
        <w:rPr>
          <w:rFonts w:ascii="Arial" w:hAnsi="Arial" w:cs="Arial"/>
          <w:i/>
          <w:iCs/>
          <w:shd w:val="clear" w:color="auto" w:fill="FFFFFF"/>
        </w:rPr>
        <w:t>7</w:t>
      </w:r>
      <w:r>
        <w:rPr>
          <w:rFonts w:ascii="Arial" w:hAnsi="Arial" w:cs="Arial"/>
          <w:shd w:val="clear" w:color="auto" w:fill="FFFFFF"/>
        </w:rPr>
        <w:t>(2), 56-63.</w:t>
      </w:r>
    </w:p>
    <w:p w14:paraId="0D8893C3">
      <w:pPr>
        <w:numPr>
          <w:ilvl w:val="0"/>
          <w:numId w:val="1"/>
        </w:numPr>
        <w:rPr>
          <w:rFonts w:ascii="Arial" w:hAnsi="Arial" w:cs="Arial"/>
          <w:shd w:val="clear" w:color="auto" w:fill="FFFFFF"/>
        </w:rPr>
      </w:pPr>
      <w:r>
        <w:rPr>
          <w:rFonts w:ascii="Arial" w:hAnsi="Arial" w:cs="Arial"/>
          <w:shd w:val="clear" w:color="auto" w:fill="FFFFFF"/>
        </w:rPr>
        <w:t>Singh, A. K., Singh, R. S., Singh, A. K., Kumar, R., Kumawat, N., Singh, N. K., ... &amp; Shanker, R. (2020). Effect of weed management on weed interference, nutrient depletion by weeds and production potential of long duration pigeonpea (Cajanus cajan L.) under irrigated ecosystem. </w:t>
      </w:r>
      <w:r>
        <w:rPr>
          <w:rFonts w:ascii="Arial" w:hAnsi="Arial" w:cs="Arial"/>
          <w:i/>
          <w:iCs/>
          <w:shd w:val="clear" w:color="auto" w:fill="FFFFFF"/>
        </w:rPr>
        <w:t>International Journal of Current Microbiology and Applied Sciences</w:t>
      </w:r>
      <w:r>
        <w:rPr>
          <w:rFonts w:ascii="Arial" w:hAnsi="Arial" w:cs="Arial"/>
          <w:shd w:val="clear" w:color="auto" w:fill="FFFFFF"/>
        </w:rPr>
        <w:t>, </w:t>
      </w:r>
      <w:r>
        <w:rPr>
          <w:rFonts w:ascii="Arial" w:hAnsi="Arial" w:cs="Arial"/>
          <w:i/>
          <w:iCs/>
          <w:shd w:val="clear" w:color="auto" w:fill="FFFFFF"/>
        </w:rPr>
        <w:t>9</w:t>
      </w:r>
      <w:r>
        <w:rPr>
          <w:rFonts w:ascii="Arial" w:hAnsi="Arial" w:cs="Arial"/>
          <w:shd w:val="clear" w:color="auto" w:fill="FFFFFF"/>
        </w:rPr>
        <w:t>(1), 676-689.</w:t>
      </w:r>
    </w:p>
    <w:p w14:paraId="4B9966CC">
      <w:pPr>
        <w:numPr>
          <w:ilvl w:val="0"/>
          <w:numId w:val="1"/>
        </w:numPr>
        <w:rPr>
          <w:rFonts w:ascii="Arial" w:hAnsi="Arial" w:cs="Arial"/>
          <w:shd w:val="clear" w:color="auto" w:fill="FFFFFF"/>
        </w:rPr>
      </w:pPr>
      <w:r>
        <w:rPr>
          <w:rFonts w:ascii="Arial" w:hAnsi="Arial" w:cs="Arial"/>
          <w:shd w:val="clear" w:color="auto" w:fill="FFFFFF"/>
        </w:rPr>
        <w:t>Nawaz, A., Farooq, M., Lal, R., Rehman, A., Hussain, T., &amp; Nadeem, A. (2017). Influence of sesbania brown manuring and rice residue mulch on soil health, weeds and system productivity of conservation rice–wheat systems. </w:t>
      </w:r>
      <w:r>
        <w:rPr>
          <w:rFonts w:ascii="Arial" w:hAnsi="Arial" w:cs="Arial"/>
          <w:i/>
          <w:iCs/>
          <w:shd w:val="clear" w:color="auto" w:fill="FFFFFF"/>
        </w:rPr>
        <w:t>Land Degradation &amp; Development</w:t>
      </w:r>
      <w:r>
        <w:rPr>
          <w:rFonts w:ascii="Arial" w:hAnsi="Arial" w:cs="Arial"/>
          <w:shd w:val="clear" w:color="auto" w:fill="FFFFFF"/>
        </w:rPr>
        <w:t>, </w:t>
      </w:r>
      <w:r>
        <w:rPr>
          <w:rFonts w:ascii="Arial" w:hAnsi="Arial" w:cs="Arial"/>
          <w:i/>
          <w:iCs/>
          <w:shd w:val="clear" w:color="auto" w:fill="FFFFFF"/>
        </w:rPr>
        <w:t>28</w:t>
      </w:r>
      <w:r>
        <w:rPr>
          <w:rFonts w:ascii="Arial" w:hAnsi="Arial" w:cs="Arial"/>
          <w:shd w:val="clear" w:color="auto" w:fill="FFFFFF"/>
        </w:rPr>
        <w:t>(3), 1078-1090.</w:t>
      </w:r>
    </w:p>
    <w:p w14:paraId="57097A79">
      <w:pPr>
        <w:numPr>
          <w:ilvl w:val="0"/>
          <w:numId w:val="1"/>
        </w:numPr>
        <w:rPr>
          <w:rFonts w:ascii="Arial" w:hAnsi="Arial" w:cs="Arial"/>
          <w:shd w:val="clear" w:color="auto" w:fill="FFFFFF"/>
        </w:rPr>
      </w:pPr>
      <w:r>
        <w:rPr>
          <w:rFonts w:ascii="Arial" w:hAnsi="Arial" w:cs="Arial"/>
          <w:shd w:val="clear" w:color="auto" w:fill="FFFFFF"/>
        </w:rPr>
        <w:t>Kumar, S., Bhanjana, G., Sharma, A., Dilbaghi, N., Sidhu, M. C., &amp; Kim, K. H. (2017). Development of nanoformulation approaches for the control of weeds. </w:t>
      </w:r>
      <w:r>
        <w:rPr>
          <w:rFonts w:ascii="Arial" w:hAnsi="Arial" w:cs="Arial"/>
          <w:i/>
          <w:iCs/>
          <w:shd w:val="clear" w:color="auto" w:fill="FFFFFF"/>
        </w:rPr>
        <w:t>Science of the Total Environment</w:t>
      </w:r>
      <w:r>
        <w:rPr>
          <w:rFonts w:ascii="Arial" w:hAnsi="Arial" w:cs="Arial"/>
          <w:shd w:val="clear" w:color="auto" w:fill="FFFFFF"/>
        </w:rPr>
        <w:t>, </w:t>
      </w:r>
      <w:r>
        <w:rPr>
          <w:rFonts w:ascii="Arial" w:hAnsi="Arial" w:cs="Arial"/>
          <w:i/>
          <w:iCs/>
          <w:shd w:val="clear" w:color="auto" w:fill="FFFFFF"/>
        </w:rPr>
        <w:t>586</w:t>
      </w:r>
      <w:r>
        <w:rPr>
          <w:rFonts w:ascii="Arial" w:hAnsi="Arial" w:cs="Arial"/>
          <w:shd w:val="clear" w:color="auto" w:fill="FFFFFF"/>
        </w:rPr>
        <w:t>, 1272-1278.</w:t>
      </w:r>
    </w:p>
    <w:p w14:paraId="21AC500C">
      <w:pPr>
        <w:numPr>
          <w:ilvl w:val="0"/>
          <w:numId w:val="1"/>
        </w:numPr>
        <w:rPr>
          <w:rFonts w:ascii="Arial" w:hAnsi="Arial" w:cs="Arial"/>
          <w:shd w:val="clear" w:color="auto" w:fill="FFFFFF"/>
        </w:rPr>
      </w:pPr>
      <w:r>
        <w:rPr>
          <w:rFonts w:ascii="Arial" w:hAnsi="Arial" w:cs="Arial"/>
          <w:shd w:val="clear" w:color="auto" w:fill="FFFFFF"/>
        </w:rPr>
        <w:t>Sivasakthi, D., Saravanavel, P., Sridevi, V., &amp; Coumaravel, K. (2024). Effect of 2, 4-D dose and formulation for brown manuring on weed dynamics, yield and economics in wet seeded rice. </w:t>
      </w:r>
      <w:r>
        <w:rPr>
          <w:rFonts w:ascii="Arial" w:hAnsi="Arial" w:cs="Arial"/>
          <w:i/>
          <w:iCs/>
          <w:shd w:val="clear" w:color="auto" w:fill="FFFFFF"/>
        </w:rPr>
        <w:t>Indian Journal of Weed Science</w:t>
      </w:r>
      <w:r>
        <w:rPr>
          <w:rFonts w:ascii="Arial" w:hAnsi="Arial" w:cs="Arial"/>
          <w:shd w:val="clear" w:color="auto" w:fill="FFFFFF"/>
        </w:rPr>
        <w:t>, </w:t>
      </w:r>
      <w:r>
        <w:rPr>
          <w:rFonts w:ascii="Arial" w:hAnsi="Arial" w:cs="Arial"/>
          <w:i/>
          <w:iCs/>
          <w:shd w:val="clear" w:color="auto" w:fill="FFFFFF"/>
        </w:rPr>
        <w:t>56</w:t>
      </w:r>
      <w:r>
        <w:rPr>
          <w:rFonts w:ascii="Arial" w:hAnsi="Arial" w:cs="Arial"/>
          <w:shd w:val="clear" w:color="auto" w:fill="FFFFFF"/>
        </w:rPr>
        <w:t>(2), 124-127.</w:t>
      </w:r>
    </w:p>
    <w:p w14:paraId="6A8798E6">
      <w:pPr>
        <w:numPr>
          <w:ilvl w:val="0"/>
          <w:numId w:val="1"/>
        </w:numPr>
        <w:rPr>
          <w:rFonts w:ascii="Arial" w:hAnsi="Arial" w:cs="Arial"/>
          <w:shd w:val="clear" w:color="auto" w:fill="FFFFFF"/>
        </w:rPr>
      </w:pPr>
      <w:r>
        <w:rPr>
          <w:rFonts w:ascii="Arial" w:hAnsi="Arial" w:cs="Arial"/>
          <w:shd w:val="clear" w:color="auto" w:fill="FFFFFF"/>
        </w:rPr>
        <w:t xml:space="preserve">Anil, K., Verma, J., &amp; Yadav, P. (2018). </w:t>
      </w:r>
      <w:r>
        <w:rPr>
          <w:rFonts w:ascii="Arial" w:hAnsi="Arial" w:cs="Arial"/>
          <w:i/>
          <w:iCs/>
          <w:shd w:val="clear" w:color="auto" w:fill="FFFFFF"/>
        </w:rPr>
        <w:t>Influence of green manure on canopy development and maize biomass production</w:t>
      </w:r>
      <w:r>
        <w:rPr>
          <w:rFonts w:ascii="Arial" w:hAnsi="Arial" w:cs="Arial"/>
          <w:shd w:val="clear" w:color="auto" w:fill="FFFFFF"/>
        </w:rPr>
        <w:t>. Crop Research Journal, 36(1), 45–52.</w:t>
      </w:r>
    </w:p>
    <w:p w14:paraId="6F01A6C3">
      <w:pPr>
        <w:numPr>
          <w:ilvl w:val="0"/>
          <w:numId w:val="1"/>
        </w:numPr>
        <w:rPr>
          <w:rFonts w:ascii="Arial" w:hAnsi="Arial" w:cs="Arial"/>
          <w:shd w:val="clear" w:color="auto" w:fill="FFFFFF"/>
        </w:rPr>
      </w:pPr>
      <w:r>
        <w:rPr>
          <w:rFonts w:ascii="Arial" w:hAnsi="Arial" w:cs="Arial"/>
          <w:shd w:val="clear" w:color="auto" w:fill="FFFFFF"/>
        </w:rPr>
        <w:t xml:space="preserve">Prakasha, H. T., Reddy, P. S., &amp; Narayan, S. (2018). </w:t>
      </w:r>
      <w:r>
        <w:rPr>
          <w:rFonts w:ascii="Arial" w:hAnsi="Arial" w:cs="Arial"/>
          <w:i/>
          <w:iCs/>
          <w:shd w:val="clear" w:color="auto" w:fill="FFFFFF"/>
        </w:rPr>
        <w:t>Response of maize to dhaincha green manuring under different nutrient regimes</w:t>
      </w:r>
      <w:r>
        <w:rPr>
          <w:rFonts w:ascii="Arial" w:hAnsi="Arial" w:cs="Arial"/>
          <w:shd w:val="clear" w:color="auto" w:fill="FFFFFF"/>
        </w:rPr>
        <w:t>. Indian Journal of Agronomy, 63(1), 89–96.</w:t>
      </w:r>
    </w:p>
    <w:p w14:paraId="2D6786AB">
      <w:pPr>
        <w:numPr>
          <w:ilvl w:val="0"/>
          <w:numId w:val="1"/>
        </w:numPr>
        <w:rPr>
          <w:rFonts w:ascii="Arial" w:hAnsi="Arial" w:cs="Arial"/>
          <w:shd w:val="clear" w:color="auto" w:fill="FFFFFF"/>
        </w:rPr>
      </w:pPr>
      <w:r>
        <w:rPr>
          <w:rFonts w:ascii="Arial" w:hAnsi="Arial" w:cs="Arial"/>
          <w:shd w:val="clear" w:color="auto" w:fill="FFFFFF"/>
        </w:rPr>
        <w:t>Singh, V. P., Singh, S. P., Dhyani, V. C., Banga, A., Kumar, A., Satyawali, K., &amp; Bisht, N. (2016). Weed management in direct-seeded rice. </w:t>
      </w:r>
      <w:r>
        <w:rPr>
          <w:rFonts w:ascii="Arial" w:hAnsi="Arial" w:cs="Arial"/>
          <w:i/>
          <w:iCs/>
          <w:shd w:val="clear" w:color="auto" w:fill="FFFFFF"/>
        </w:rPr>
        <w:t>Indian Journal of Weed Science</w:t>
      </w:r>
      <w:r>
        <w:rPr>
          <w:rFonts w:ascii="Arial" w:hAnsi="Arial" w:cs="Arial"/>
          <w:shd w:val="clear" w:color="auto" w:fill="FFFFFF"/>
        </w:rPr>
        <w:t>, </w:t>
      </w:r>
      <w:r>
        <w:rPr>
          <w:rFonts w:ascii="Arial" w:hAnsi="Arial" w:cs="Arial"/>
          <w:i/>
          <w:iCs/>
          <w:shd w:val="clear" w:color="auto" w:fill="FFFFFF"/>
        </w:rPr>
        <w:t>48</w:t>
      </w:r>
      <w:r>
        <w:rPr>
          <w:rFonts w:ascii="Arial" w:hAnsi="Arial" w:cs="Arial"/>
          <w:shd w:val="clear" w:color="auto" w:fill="FFFFFF"/>
        </w:rPr>
        <w:t>(3), 233-246.</w:t>
      </w:r>
    </w:p>
    <w:p w14:paraId="77A62376">
      <w:pPr>
        <w:numPr>
          <w:ilvl w:val="0"/>
          <w:numId w:val="1"/>
        </w:numPr>
        <w:rPr>
          <w:rFonts w:ascii="Arial" w:hAnsi="Arial" w:cs="Arial"/>
          <w:shd w:val="clear" w:color="auto" w:fill="FFFFFF"/>
        </w:rPr>
      </w:pPr>
      <w:r>
        <w:rPr>
          <w:rFonts w:ascii="Arial" w:hAnsi="Arial" w:cs="Arial"/>
          <w:shd w:val="clear" w:color="auto" w:fill="FFFFFF"/>
        </w:rPr>
        <w:t>Ramachandran, A., Veeramani, A., &amp; Prema, P. (2012). Effect of brown manuring on weed growth, yield and economics of irrigated maize. </w:t>
      </w:r>
      <w:r>
        <w:rPr>
          <w:rFonts w:ascii="Arial" w:hAnsi="Arial" w:cs="Arial"/>
          <w:i/>
          <w:iCs/>
          <w:shd w:val="clear" w:color="auto" w:fill="FFFFFF"/>
        </w:rPr>
        <w:t>Indian Journal of Weed Science</w:t>
      </w:r>
      <w:r>
        <w:rPr>
          <w:rFonts w:ascii="Arial" w:hAnsi="Arial" w:cs="Arial"/>
          <w:shd w:val="clear" w:color="auto" w:fill="FFFFFF"/>
        </w:rPr>
        <w:t>, </w:t>
      </w:r>
      <w:r>
        <w:rPr>
          <w:rFonts w:ascii="Arial" w:hAnsi="Arial" w:cs="Arial"/>
          <w:i/>
          <w:iCs/>
          <w:shd w:val="clear" w:color="auto" w:fill="FFFFFF"/>
        </w:rPr>
        <w:t>44</w:t>
      </w:r>
      <w:r>
        <w:rPr>
          <w:rFonts w:ascii="Arial" w:hAnsi="Arial" w:cs="Arial"/>
          <w:shd w:val="clear" w:color="auto" w:fill="FFFFFF"/>
        </w:rPr>
        <w:t>(3), 204-206.</w:t>
      </w:r>
    </w:p>
    <w:p w14:paraId="3C3201FF">
      <w:pPr>
        <w:numPr>
          <w:ilvl w:val="0"/>
          <w:numId w:val="1"/>
        </w:numPr>
        <w:rPr>
          <w:rFonts w:ascii="Arial" w:hAnsi="Arial" w:cs="Arial"/>
          <w:shd w:val="clear" w:color="auto" w:fill="FFFFFF"/>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pPr>
      <w:r>
        <w:rPr>
          <w:rFonts w:ascii="Arial" w:hAnsi="Arial" w:cs="Arial"/>
          <w:shd w:val="clear" w:color="auto" w:fill="FFFFFF"/>
        </w:rPr>
        <w:t>Yadav, V. L., Shukla, U. N., &amp; Mehriya, M. L. (2018). Weed dynamics and yield of chickpea (Cicer arietinum L.) as influenced by pre and post-emergence herbicides. </w:t>
      </w:r>
      <w:r>
        <w:rPr>
          <w:rFonts w:ascii="Arial" w:hAnsi="Arial" w:cs="Arial"/>
          <w:i/>
          <w:iCs/>
          <w:shd w:val="clear" w:color="auto" w:fill="FFFFFF"/>
        </w:rPr>
        <w:t>International Journal of Current Microbiology and Applied Sciences</w:t>
      </w:r>
      <w:r>
        <w:rPr>
          <w:rFonts w:ascii="Arial" w:hAnsi="Arial" w:cs="Arial"/>
          <w:shd w:val="clear" w:color="auto" w:fill="FFFFFF"/>
        </w:rPr>
        <w:t>, </w:t>
      </w:r>
      <w:r>
        <w:rPr>
          <w:rFonts w:ascii="Arial" w:hAnsi="Arial" w:cs="Arial"/>
          <w:i/>
          <w:iCs/>
          <w:shd w:val="clear" w:color="auto" w:fill="FFFFFF"/>
        </w:rPr>
        <w:t>7</w:t>
      </w:r>
      <w:r>
        <w:rPr>
          <w:rFonts w:ascii="Arial" w:hAnsi="Arial" w:cs="Arial"/>
          <w:shd w:val="clear" w:color="auto" w:fill="FFFFFF"/>
        </w:rPr>
        <w:t>(7), 2523-2532.</w:t>
      </w:r>
    </w:p>
    <w:p w14:paraId="33F58118">
      <w:pPr>
        <w:spacing w:before="240" w:after="0"/>
        <w:jc w:val="center"/>
        <w:rPr>
          <w:rFonts w:ascii="Arial" w:hAnsi="Arial" w:cs="Arial"/>
          <w:b/>
          <w:bCs/>
          <w:kern w:val="0"/>
          <w:lang w:eastAsia="en-US"/>
        </w:rPr>
      </w:pPr>
      <w:r>
        <w:rPr>
          <w:rFonts w:ascii="Arial" w:hAnsi="Arial" w:cs="Arial"/>
          <w:b/>
          <w:bCs/>
          <w:kern w:val="0"/>
          <w:lang w:eastAsia="en-US"/>
        </w:rPr>
        <w:t>Table.1 Effect of weed management in growth characters in the cultivation of maize</w:t>
      </w:r>
    </w:p>
    <w:p w14:paraId="730DC876">
      <w:pPr>
        <w:spacing w:before="0" w:after="0"/>
        <w:rPr>
          <w:rFonts w:ascii="Arial" w:hAnsi="Arial" w:cs="Arial"/>
          <w:vanish/>
        </w:rPr>
      </w:pPr>
    </w:p>
    <w:tbl>
      <w:tblPr>
        <w:tblStyle w:val="3"/>
        <w:tblW w:w="11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2381"/>
        <w:gridCol w:w="2608"/>
        <w:gridCol w:w="2948"/>
        <w:gridCol w:w="1943"/>
      </w:tblGrid>
      <w:tr w14:paraId="6A9C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Merge w:val="restart"/>
            <w:vAlign w:val="center"/>
          </w:tcPr>
          <w:p w14:paraId="4CB26593">
            <w:pPr>
              <w:spacing w:before="0" w:after="0" w:line="276" w:lineRule="auto"/>
              <w:ind w:left="284" w:right="168"/>
              <w:jc w:val="center"/>
              <w:rPr>
                <w:rFonts w:ascii="Arial" w:hAnsi="Arial" w:cs="Arial"/>
                <w:b/>
                <w:bCs/>
              </w:rPr>
            </w:pPr>
            <w:r>
              <w:rPr>
                <w:rFonts w:ascii="Arial" w:hAnsi="Arial" w:cs="Arial"/>
                <w:b/>
                <w:bCs/>
              </w:rPr>
              <w:t>Treatment</w:t>
            </w:r>
          </w:p>
        </w:tc>
        <w:tc>
          <w:tcPr>
            <w:tcW w:w="9880" w:type="dxa"/>
            <w:gridSpan w:val="4"/>
            <w:vAlign w:val="center"/>
          </w:tcPr>
          <w:p w14:paraId="72EF8A5F">
            <w:pPr>
              <w:spacing w:before="0" w:after="0" w:line="276" w:lineRule="auto"/>
              <w:ind w:left="284" w:right="168"/>
              <w:jc w:val="center"/>
              <w:rPr>
                <w:rFonts w:ascii="Arial" w:hAnsi="Arial" w:cs="Arial"/>
                <w:b/>
                <w:bCs/>
              </w:rPr>
            </w:pPr>
            <w:r>
              <w:rPr>
                <w:rFonts w:ascii="Arial" w:hAnsi="Arial" w:cs="Arial"/>
                <w:b/>
                <w:bCs/>
              </w:rPr>
              <w:t>Growth Attributes</w:t>
            </w:r>
          </w:p>
        </w:tc>
      </w:tr>
      <w:tr w14:paraId="41B0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Merge w:val="continue"/>
            <w:vAlign w:val="center"/>
          </w:tcPr>
          <w:p w14:paraId="0A46B71D">
            <w:pPr>
              <w:spacing w:before="0" w:after="0" w:line="276" w:lineRule="auto"/>
              <w:ind w:left="284" w:right="168"/>
              <w:jc w:val="center"/>
              <w:rPr>
                <w:rFonts w:ascii="Arial" w:hAnsi="Arial" w:cs="Arial"/>
                <w:b/>
                <w:bCs/>
              </w:rPr>
            </w:pPr>
          </w:p>
        </w:tc>
        <w:tc>
          <w:tcPr>
            <w:tcW w:w="2381" w:type="dxa"/>
            <w:vAlign w:val="center"/>
          </w:tcPr>
          <w:p w14:paraId="55EB8164">
            <w:pPr>
              <w:spacing w:before="0" w:after="0" w:line="276" w:lineRule="auto"/>
              <w:ind w:left="284" w:right="168"/>
              <w:jc w:val="center"/>
              <w:rPr>
                <w:rFonts w:ascii="Arial" w:hAnsi="Arial" w:cs="Arial"/>
                <w:b/>
                <w:bCs/>
              </w:rPr>
            </w:pPr>
            <w:r>
              <w:rPr>
                <w:rFonts w:ascii="Arial" w:hAnsi="Arial" w:cs="Arial"/>
                <w:b/>
                <w:bCs/>
              </w:rPr>
              <w:t>Plant height (cm)</w:t>
            </w:r>
          </w:p>
        </w:tc>
        <w:tc>
          <w:tcPr>
            <w:tcW w:w="2608" w:type="dxa"/>
            <w:vAlign w:val="center"/>
          </w:tcPr>
          <w:p w14:paraId="46CFB976">
            <w:pPr>
              <w:spacing w:before="0" w:after="0" w:line="276" w:lineRule="auto"/>
              <w:ind w:left="284" w:right="168"/>
              <w:jc w:val="center"/>
              <w:rPr>
                <w:rFonts w:ascii="Arial" w:hAnsi="Arial" w:cs="Arial"/>
                <w:b/>
                <w:bCs/>
              </w:rPr>
            </w:pPr>
            <w:r>
              <w:rPr>
                <w:rFonts w:ascii="Arial" w:hAnsi="Arial" w:cs="Arial"/>
                <w:b/>
                <w:bCs/>
              </w:rPr>
              <w:t>Number of leaves per plant</w:t>
            </w:r>
          </w:p>
        </w:tc>
        <w:tc>
          <w:tcPr>
            <w:tcW w:w="2948" w:type="dxa"/>
            <w:vAlign w:val="center"/>
          </w:tcPr>
          <w:p w14:paraId="2A0ABF6E">
            <w:pPr>
              <w:spacing w:before="0" w:after="0" w:line="276" w:lineRule="auto"/>
              <w:ind w:left="284" w:right="168"/>
              <w:jc w:val="center"/>
              <w:rPr>
                <w:rFonts w:ascii="Arial" w:hAnsi="Arial" w:cs="Arial"/>
                <w:b/>
                <w:bCs/>
              </w:rPr>
            </w:pPr>
            <w:r>
              <w:rPr>
                <w:rFonts w:ascii="Arial" w:hAnsi="Arial" w:cs="Arial"/>
                <w:b/>
                <w:bCs/>
              </w:rPr>
              <w:t>Dry matter production (kg ha</w:t>
            </w:r>
            <w:r>
              <w:rPr>
                <w:rFonts w:ascii="Arial" w:hAnsi="Arial" w:cs="Arial"/>
                <w:b/>
                <w:bCs/>
                <w:vertAlign w:val="superscript"/>
              </w:rPr>
              <w:t>-1</w:t>
            </w:r>
            <w:r>
              <w:rPr>
                <w:rFonts w:ascii="Arial" w:hAnsi="Arial" w:cs="Arial"/>
                <w:b/>
                <w:bCs/>
              </w:rPr>
              <w:t>)</w:t>
            </w:r>
          </w:p>
        </w:tc>
        <w:tc>
          <w:tcPr>
            <w:tcW w:w="1943" w:type="dxa"/>
            <w:vAlign w:val="center"/>
          </w:tcPr>
          <w:p w14:paraId="795EB773">
            <w:pPr>
              <w:spacing w:before="0" w:after="0" w:line="276" w:lineRule="auto"/>
              <w:ind w:left="284" w:right="168"/>
              <w:jc w:val="center"/>
              <w:rPr>
                <w:rFonts w:ascii="Arial" w:hAnsi="Arial" w:cs="Arial"/>
                <w:b/>
                <w:bCs/>
              </w:rPr>
            </w:pPr>
            <w:r>
              <w:rPr>
                <w:rFonts w:ascii="Arial" w:hAnsi="Arial" w:cs="Arial"/>
                <w:b/>
                <w:bCs/>
              </w:rPr>
              <w:t>Leaf area index</w:t>
            </w:r>
          </w:p>
        </w:tc>
      </w:tr>
      <w:tr w14:paraId="7E22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30A28CCD">
            <w:pPr>
              <w:spacing w:before="0" w:after="0" w:line="276" w:lineRule="auto"/>
              <w:ind w:left="284" w:right="168"/>
              <w:jc w:val="center"/>
              <w:rPr>
                <w:rFonts w:ascii="Arial" w:hAnsi="Arial" w:cs="Arial"/>
                <w:b/>
                <w:bCs/>
              </w:rPr>
            </w:pPr>
            <w:r>
              <w:rPr>
                <w:rFonts w:ascii="Arial" w:hAnsi="Arial" w:cs="Arial"/>
                <w:b/>
                <w:bCs/>
              </w:rPr>
              <w:t>T</w:t>
            </w:r>
            <w:r>
              <w:rPr>
                <w:rFonts w:ascii="Arial" w:hAnsi="Arial" w:cs="Arial"/>
                <w:b/>
                <w:bCs/>
                <w:vertAlign w:val="subscript"/>
              </w:rPr>
              <w:t>1</w:t>
            </w:r>
          </w:p>
        </w:tc>
        <w:tc>
          <w:tcPr>
            <w:tcW w:w="2381" w:type="dxa"/>
            <w:vAlign w:val="center"/>
          </w:tcPr>
          <w:p w14:paraId="67005BF4">
            <w:pPr>
              <w:spacing w:before="0" w:after="0" w:line="276" w:lineRule="auto"/>
              <w:ind w:left="284" w:right="168"/>
              <w:jc w:val="center"/>
              <w:rPr>
                <w:rFonts w:ascii="Arial" w:hAnsi="Arial" w:cs="Arial"/>
              </w:rPr>
            </w:pPr>
            <w:r>
              <w:rPr>
                <w:rFonts w:ascii="Arial" w:hAnsi="Arial" w:cs="Arial"/>
              </w:rPr>
              <w:t>175.43</w:t>
            </w:r>
          </w:p>
        </w:tc>
        <w:tc>
          <w:tcPr>
            <w:tcW w:w="2608" w:type="dxa"/>
            <w:vAlign w:val="center"/>
          </w:tcPr>
          <w:p w14:paraId="13D4846C">
            <w:pPr>
              <w:spacing w:before="0" w:after="0" w:line="276" w:lineRule="auto"/>
              <w:ind w:left="284" w:right="168"/>
              <w:jc w:val="center"/>
              <w:rPr>
                <w:rFonts w:ascii="Arial" w:hAnsi="Arial" w:cs="Arial"/>
              </w:rPr>
            </w:pPr>
            <w:r>
              <w:rPr>
                <w:rFonts w:ascii="Arial" w:hAnsi="Arial" w:cs="Arial"/>
              </w:rPr>
              <w:t>13.85</w:t>
            </w:r>
          </w:p>
        </w:tc>
        <w:tc>
          <w:tcPr>
            <w:tcW w:w="2948" w:type="dxa"/>
            <w:vAlign w:val="center"/>
          </w:tcPr>
          <w:p w14:paraId="5AE8E279">
            <w:pPr>
              <w:spacing w:before="0" w:after="0" w:line="276" w:lineRule="auto"/>
              <w:ind w:left="284" w:right="168"/>
              <w:jc w:val="center"/>
              <w:rPr>
                <w:rFonts w:ascii="Arial" w:hAnsi="Arial" w:cs="Arial"/>
              </w:rPr>
            </w:pPr>
            <w:r>
              <w:rPr>
                <w:rFonts w:ascii="Arial" w:hAnsi="Arial" w:cs="Arial"/>
              </w:rPr>
              <w:t>11644.33</w:t>
            </w:r>
          </w:p>
        </w:tc>
        <w:tc>
          <w:tcPr>
            <w:tcW w:w="1943" w:type="dxa"/>
            <w:vAlign w:val="center"/>
          </w:tcPr>
          <w:p w14:paraId="3345217C">
            <w:pPr>
              <w:spacing w:before="0" w:after="0" w:line="276" w:lineRule="auto"/>
              <w:ind w:left="284" w:right="168"/>
              <w:jc w:val="center"/>
              <w:rPr>
                <w:rFonts w:ascii="Arial" w:hAnsi="Arial" w:cs="Arial"/>
              </w:rPr>
            </w:pPr>
            <w:r>
              <w:rPr>
                <w:rFonts w:ascii="Arial" w:hAnsi="Arial" w:cs="Arial"/>
              </w:rPr>
              <w:t>3.54</w:t>
            </w:r>
          </w:p>
        </w:tc>
      </w:tr>
      <w:tr w14:paraId="3683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0A46CCFE">
            <w:pPr>
              <w:spacing w:before="0" w:after="0" w:line="276" w:lineRule="auto"/>
              <w:ind w:left="284" w:right="168"/>
              <w:jc w:val="center"/>
              <w:rPr>
                <w:rFonts w:ascii="Arial" w:hAnsi="Arial" w:cs="Arial"/>
                <w:b/>
                <w:bCs/>
              </w:rPr>
            </w:pPr>
            <w:r>
              <w:rPr>
                <w:rFonts w:ascii="Arial" w:hAnsi="Arial" w:cs="Arial"/>
                <w:b/>
                <w:bCs/>
              </w:rPr>
              <w:t>T</w:t>
            </w:r>
            <w:r>
              <w:rPr>
                <w:rFonts w:ascii="Arial" w:hAnsi="Arial" w:cs="Arial"/>
                <w:b/>
                <w:bCs/>
                <w:vertAlign w:val="subscript"/>
              </w:rPr>
              <w:t>2</w:t>
            </w:r>
          </w:p>
        </w:tc>
        <w:tc>
          <w:tcPr>
            <w:tcW w:w="2381" w:type="dxa"/>
            <w:vAlign w:val="center"/>
          </w:tcPr>
          <w:p w14:paraId="5932E84A">
            <w:pPr>
              <w:spacing w:before="0" w:after="0" w:line="276" w:lineRule="auto"/>
              <w:ind w:left="284" w:right="168"/>
              <w:jc w:val="center"/>
              <w:rPr>
                <w:rFonts w:ascii="Arial" w:hAnsi="Arial" w:cs="Arial"/>
              </w:rPr>
            </w:pPr>
            <w:r>
              <w:rPr>
                <w:rFonts w:ascii="Arial" w:hAnsi="Arial" w:cs="Arial"/>
              </w:rPr>
              <w:t>179.4</w:t>
            </w:r>
          </w:p>
        </w:tc>
        <w:tc>
          <w:tcPr>
            <w:tcW w:w="2608" w:type="dxa"/>
            <w:vAlign w:val="center"/>
          </w:tcPr>
          <w:p w14:paraId="11064BAF">
            <w:pPr>
              <w:spacing w:before="0" w:after="0" w:line="276" w:lineRule="auto"/>
              <w:ind w:left="284" w:right="168"/>
              <w:jc w:val="center"/>
              <w:rPr>
                <w:rFonts w:ascii="Arial" w:hAnsi="Arial" w:cs="Arial"/>
              </w:rPr>
            </w:pPr>
            <w:r>
              <w:rPr>
                <w:rFonts w:ascii="Arial" w:hAnsi="Arial" w:cs="Arial"/>
              </w:rPr>
              <w:t>13.27</w:t>
            </w:r>
          </w:p>
        </w:tc>
        <w:tc>
          <w:tcPr>
            <w:tcW w:w="2948" w:type="dxa"/>
            <w:vAlign w:val="center"/>
          </w:tcPr>
          <w:p w14:paraId="39922229">
            <w:pPr>
              <w:spacing w:before="0" w:after="0" w:line="276" w:lineRule="auto"/>
              <w:ind w:left="284" w:right="168"/>
              <w:jc w:val="center"/>
              <w:rPr>
                <w:rFonts w:ascii="Arial" w:hAnsi="Arial" w:cs="Arial"/>
              </w:rPr>
            </w:pPr>
            <w:r>
              <w:rPr>
                <w:rFonts w:ascii="Arial" w:hAnsi="Arial" w:cs="Arial"/>
              </w:rPr>
              <w:t>11463.01</w:t>
            </w:r>
          </w:p>
        </w:tc>
        <w:tc>
          <w:tcPr>
            <w:tcW w:w="1943" w:type="dxa"/>
            <w:vAlign w:val="center"/>
          </w:tcPr>
          <w:p w14:paraId="36355177">
            <w:pPr>
              <w:spacing w:before="0" w:after="0" w:line="276" w:lineRule="auto"/>
              <w:ind w:left="284" w:right="168"/>
              <w:jc w:val="center"/>
              <w:rPr>
                <w:rFonts w:ascii="Arial" w:hAnsi="Arial" w:cs="Arial"/>
              </w:rPr>
            </w:pPr>
            <w:r>
              <w:rPr>
                <w:rFonts w:ascii="Arial" w:hAnsi="Arial" w:cs="Arial"/>
              </w:rPr>
              <w:t>3.36</w:t>
            </w:r>
          </w:p>
        </w:tc>
      </w:tr>
      <w:tr w14:paraId="4BC4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5FCFE516">
            <w:pPr>
              <w:spacing w:before="0" w:after="0" w:line="276" w:lineRule="auto"/>
              <w:ind w:left="284" w:right="168"/>
              <w:jc w:val="center"/>
              <w:rPr>
                <w:rFonts w:ascii="Arial" w:hAnsi="Arial" w:cs="Arial"/>
                <w:b/>
                <w:bCs/>
              </w:rPr>
            </w:pPr>
            <w:r>
              <w:rPr>
                <w:rFonts w:ascii="Arial" w:hAnsi="Arial" w:cs="Arial"/>
                <w:b/>
                <w:bCs/>
              </w:rPr>
              <w:t>T</w:t>
            </w:r>
            <w:r>
              <w:rPr>
                <w:rFonts w:ascii="Arial" w:hAnsi="Arial" w:cs="Arial"/>
                <w:b/>
                <w:bCs/>
                <w:vertAlign w:val="subscript"/>
              </w:rPr>
              <w:t>3</w:t>
            </w:r>
          </w:p>
        </w:tc>
        <w:tc>
          <w:tcPr>
            <w:tcW w:w="2381" w:type="dxa"/>
            <w:vAlign w:val="center"/>
          </w:tcPr>
          <w:p w14:paraId="4594739B">
            <w:pPr>
              <w:spacing w:before="0" w:after="0" w:line="276" w:lineRule="auto"/>
              <w:ind w:left="284" w:right="168"/>
              <w:jc w:val="center"/>
              <w:rPr>
                <w:rFonts w:ascii="Arial" w:hAnsi="Arial" w:cs="Arial"/>
              </w:rPr>
            </w:pPr>
            <w:r>
              <w:rPr>
                <w:rFonts w:ascii="Arial" w:hAnsi="Arial" w:cs="Arial"/>
              </w:rPr>
              <w:t>194.63</w:t>
            </w:r>
          </w:p>
        </w:tc>
        <w:tc>
          <w:tcPr>
            <w:tcW w:w="2608" w:type="dxa"/>
            <w:vAlign w:val="center"/>
          </w:tcPr>
          <w:p w14:paraId="6B23C963">
            <w:pPr>
              <w:spacing w:before="0" w:after="0" w:line="276" w:lineRule="auto"/>
              <w:ind w:left="284" w:right="168"/>
              <w:jc w:val="center"/>
              <w:rPr>
                <w:rFonts w:ascii="Arial" w:hAnsi="Arial" w:cs="Arial"/>
              </w:rPr>
            </w:pPr>
            <w:r>
              <w:rPr>
                <w:rFonts w:ascii="Arial" w:hAnsi="Arial" w:cs="Arial"/>
              </w:rPr>
              <w:t>14.86</w:t>
            </w:r>
          </w:p>
        </w:tc>
        <w:tc>
          <w:tcPr>
            <w:tcW w:w="2948" w:type="dxa"/>
            <w:vAlign w:val="center"/>
          </w:tcPr>
          <w:p w14:paraId="56F1D120">
            <w:pPr>
              <w:spacing w:before="0" w:after="0" w:line="276" w:lineRule="auto"/>
              <w:ind w:left="284" w:right="168"/>
              <w:jc w:val="center"/>
              <w:rPr>
                <w:rFonts w:ascii="Arial" w:hAnsi="Arial" w:cs="Arial"/>
              </w:rPr>
            </w:pPr>
            <w:r>
              <w:rPr>
                <w:rFonts w:ascii="Arial" w:hAnsi="Arial" w:cs="Arial"/>
              </w:rPr>
              <w:t>12658.67</w:t>
            </w:r>
          </w:p>
        </w:tc>
        <w:tc>
          <w:tcPr>
            <w:tcW w:w="1943" w:type="dxa"/>
            <w:vAlign w:val="center"/>
          </w:tcPr>
          <w:p w14:paraId="15F0A3B3">
            <w:pPr>
              <w:spacing w:before="0" w:after="0" w:line="276" w:lineRule="auto"/>
              <w:ind w:left="284" w:right="168"/>
              <w:jc w:val="center"/>
              <w:rPr>
                <w:rFonts w:ascii="Arial" w:hAnsi="Arial" w:cs="Arial"/>
              </w:rPr>
            </w:pPr>
            <w:r>
              <w:rPr>
                <w:rFonts w:ascii="Arial" w:hAnsi="Arial" w:cs="Arial"/>
              </w:rPr>
              <w:t>4.23</w:t>
            </w:r>
          </w:p>
        </w:tc>
      </w:tr>
      <w:tr w14:paraId="0CBD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58E58A29">
            <w:pPr>
              <w:spacing w:before="0" w:after="0" w:line="276" w:lineRule="auto"/>
              <w:ind w:left="284" w:right="168"/>
              <w:jc w:val="center"/>
              <w:rPr>
                <w:rFonts w:ascii="Arial" w:hAnsi="Arial" w:cs="Arial"/>
                <w:b/>
                <w:bCs/>
              </w:rPr>
            </w:pPr>
            <w:r>
              <w:rPr>
                <w:rFonts w:ascii="Arial" w:hAnsi="Arial" w:cs="Arial"/>
                <w:b/>
                <w:bCs/>
              </w:rPr>
              <w:t>T</w:t>
            </w:r>
            <w:r>
              <w:rPr>
                <w:rFonts w:ascii="Arial" w:hAnsi="Arial" w:cs="Arial"/>
                <w:b/>
                <w:bCs/>
                <w:vertAlign w:val="subscript"/>
              </w:rPr>
              <w:t>4</w:t>
            </w:r>
          </w:p>
        </w:tc>
        <w:tc>
          <w:tcPr>
            <w:tcW w:w="2381" w:type="dxa"/>
            <w:vAlign w:val="center"/>
          </w:tcPr>
          <w:p w14:paraId="78F21E8F">
            <w:pPr>
              <w:spacing w:before="0" w:after="0" w:line="276" w:lineRule="auto"/>
              <w:ind w:left="284" w:right="168"/>
              <w:jc w:val="center"/>
              <w:rPr>
                <w:rFonts w:ascii="Arial" w:hAnsi="Arial" w:cs="Arial"/>
              </w:rPr>
            </w:pPr>
            <w:r>
              <w:rPr>
                <w:rFonts w:ascii="Arial" w:hAnsi="Arial" w:cs="Arial"/>
              </w:rPr>
              <w:t>189.44</w:t>
            </w:r>
          </w:p>
        </w:tc>
        <w:tc>
          <w:tcPr>
            <w:tcW w:w="2608" w:type="dxa"/>
            <w:vAlign w:val="center"/>
          </w:tcPr>
          <w:p w14:paraId="7B8B41B7">
            <w:pPr>
              <w:spacing w:before="0" w:after="0" w:line="276" w:lineRule="auto"/>
              <w:ind w:left="284" w:right="168"/>
              <w:jc w:val="center"/>
              <w:rPr>
                <w:rFonts w:ascii="Arial" w:hAnsi="Arial" w:cs="Arial"/>
              </w:rPr>
            </w:pPr>
            <w:r>
              <w:rPr>
                <w:rFonts w:ascii="Arial" w:hAnsi="Arial" w:cs="Arial"/>
              </w:rPr>
              <w:t>14.47</w:t>
            </w:r>
          </w:p>
        </w:tc>
        <w:tc>
          <w:tcPr>
            <w:tcW w:w="2948" w:type="dxa"/>
            <w:vAlign w:val="center"/>
          </w:tcPr>
          <w:p w14:paraId="28650DBB">
            <w:pPr>
              <w:spacing w:before="0" w:after="0" w:line="276" w:lineRule="auto"/>
              <w:ind w:left="284" w:right="168"/>
              <w:jc w:val="center"/>
              <w:rPr>
                <w:rFonts w:ascii="Arial" w:hAnsi="Arial" w:cs="Arial"/>
              </w:rPr>
            </w:pPr>
            <w:r>
              <w:rPr>
                <w:rFonts w:ascii="Arial" w:hAnsi="Arial" w:cs="Arial"/>
              </w:rPr>
              <w:t>12471.33</w:t>
            </w:r>
          </w:p>
        </w:tc>
        <w:tc>
          <w:tcPr>
            <w:tcW w:w="1943" w:type="dxa"/>
            <w:vAlign w:val="center"/>
          </w:tcPr>
          <w:p w14:paraId="47CC8956">
            <w:pPr>
              <w:spacing w:before="0" w:after="0" w:line="276" w:lineRule="auto"/>
              <w:ind w:left="284" w:right="168"/>
              <w:jc w:val="center"/>
              <w:rPr>
                <w:rFonts w:ascii="Arial" w:hAnsi="Arial" w:cs="Arial"/>
              </w:rPr>
            </w:pPr>
            <w:r>
              <w:rPr>
                <w:rFonts w:ascii="Arial" w:hAnsi="Arial" w:cs="Arial"/>
              </w:rPr>
              <w:t>3.93</w:t>
            </w:r>
          </w:p>
        </w:tc>
      </w:tr>
      <w:tr w14:paraId="1340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5F5378DB">
            <w:pPr>
              <w:spacing w:before="0" w:after="0" w:line="276" w:lineRule="auto"/>
              <w:ind w:left="284" w:right="168"/>
              <w:jc w:val="center"/>
              <w:rPr>
                <w:rFonts w:ascii="Arial" w:hAnsi="Arial" w:cs="Arial"/>
                <w:b/>
                <w:bCs/>
              </w:rPr>
            </w:pPr>
            <w:r>
              <w:rPr>
                <w:rFonts w:ascii="Arial" w:hAnsi="Arial" w:cs="Arial"/>
                <w:b/>
                <w:bCs/>
              </w:rPr>
              <w:t>T</w:t>
            </w:r>
            <w:r>
              <w:rPr>
                <w:rFonts w:ascii="Arial" w:hAnsi="Arial" w:cs="Arial"/>
                <w:b/>
                <w:bCs/>
                <w:vertAlign w:val="subscript"/>
              </w:rPr>
              <w:t>5</w:t>
            </w:r>
          </w:p>
        </w:tc>
        <w:tc>
          <w:tcPr>
            <w:tcW w:w="2381" w:type="dxa"/>
            <w:vAlign w:val="center"/>
          </w:tcPr>
          <w:p w14:paraId="20505DB3">
            <w:pPr>
              <w:spacing w:before="0" w:after="0" w:line="276" w:lineRule="auto"/>
              <w:ind w:left="284" w:right="168"/>
              <w:jc w:val="center"/>
              <w:rPr>
                <w:rFonts w:ascii="Arial" w:hAnsi="Arial" w:cs="Arial"/>
              </w:rPr>
            </w:pPr>
            <w:r>
              <w:rPr>
                <w:rFonts w:ascii="Arial" w:hAnsi="Arial" w:cs="Arial"/>
              </w:rPr>
              <w:t>201.47</w:t>
            </w:r>
          </w:p>
        </w:tc>
        <w:tc>
          <w:tcPr>
            <w:tcW w:w="2608" w:type="dxa"/>
            <w:vAlign w:val="center"/>
          </w:tcPr>
          <w:p w14:paraId="46276455">
            <w:pPr>
              <w:spacing w:before="0" w:after="0" w:line="276" w:lineRule="auto"/>
              <w:ind w:left="284" w:right="168"/>
              <w:jc w:val="center"/>
              <w:rPr>
                <w:rFonts w:ascii="Arial" w:hAnsi="Arial" w:cs="Arial"/>
              </w:rPr>
            </w:pPr>
            <w:r>
              <w:rPr>
                <w:rFonts w:ascii="Arial" w:hAnsi="Arial" w:cs="Arial"/>
              </w:rPr>
              <w:t>15.13</w:t>
            </w:r>
          </w:p>
        </w:tc>
        <w:tc>
          <w:tcPr>
            <w:tcW w:w="2948" w:type="dxa"/>
            <w:vAlign w:val="center"/>
          </w:tcPr>
          <w:p w14:paraId="7040F594">
            <w:pPr>
              <w:spacing w:before="0" w:after="0" w:line="276" w:lineRule="auto"/>
              <w:ind w:left="284" w:right="168"/>
              <w:jc w:val="center"/>
              <w:rPr>
                <w:rFonts w:ascii="Arial" w:hAnsi="Arial" w:cs="Arial"/>
              </w:rPr>
            </w:pPr>
            <w:r>
              <w:rPr>
                <w:rFonts w:ascii="Arial" w:hAnsi="Arial" w:cs="Arial"/>
              </w:rPr>
              <w:t>12756.33</w:t>
            </w:r>
          </w:p>
        </w:tc>
        <w:tc>
          <w:tcPr>
            <w:tcW w:w="1943" w:type="dxa"/>
            <w:vAlign w:val="center"/>
          </w:tcPr>
          <w:p w14:paraId="071A33C4">
            <w:pPr>
              <w:spacing w:before="0" w:after="0" w:line="276" w:lineRule="auto"/>
              <w:ind w:left="284" w:right="168"/>
              <w:jc w:val="center"/>
              <w:rPr>
                <w:rFonts w:ascii="Arial" w:hAnsi="Arial" w:cs="Arial"/>
              </w:rPr>
            </w:pPr>
            <w:r>
              <w:rPr>
                <w:rFonts w:ascii="Arial" w:hAnsi="Arial" w:cs="Arial"/>
              </w:rPr>
              <w:t>4.45</w:t>
            </w:r>
          </w:p>
        </w:tc>
      </w:tr>
      <w:tr w14:paraId="7694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32B5DE78">
            <w:pPr>
              <w:spacing w:before="0" w:after="0" w:line="276" w:lineRule="auto"/>
              <w:ind w:left="284" w:right="168"/>
              <w:jc w:val="center"/>
              <w:rPr>
                <w:rFonts w:ascii="Arial" w:hAnsi="Arial" w:cs="Arial"/>
                <w:b/>
                <w:bCs/>
              </w:rPr>
            </w:pPr>
            <w:r>
              <w:rPr>
                <w:rFonts w:ascii="Arial" w:hAnsi="Arial" w:cs="Arial"/>
                <w:b/>
                <w:bCs/>
              </w:rPr>
              <w:t>T</w:t>
            </w:r>
            <w:r>
              <w:rPr>
                <w:rFonts w:ascii="Arial" w:hAnsi="Arial" w:cs="Arial"/>
                <w:b/>
                <w:bCs/>
                <w:vertAlign w:val="subscript"/>
              </w:rPr>
              <w:t>6</w:t>
            </w:r>
          </w:p>
        </w:tc>
        <w:tc>
          <w:tcPr>
            <w:tcW w:w="2381" w:type="dxa"/>
            <w:vAlign w:val="center"/>
          </w:tcPr>
          <w:p w14:paraId="06245D51">
            <w:pPr>
              <w:spacing w:before="0" w:after="0" w:line="276" w:lineRule="auto"/>
              <w:ind w:left="284" w:right="168"/>
              <w:jc w:val="center"/>
              <w:rPr>
                <w:rFonts w:ascii="Arial" w:hAnsi="Arial" w:cs="Arial"/>
              </w:rPr>
            </w:pPr>
            <w:r>
              <w:rPr>
                <w:rFonts w:ascii="Arial" w:hAnsi="Arial" w:cs="Arial"/>
              </w:rPr>
              <w:t>215.55</w:t>
            </w:r>
          </w:p>
        </w:tc>
        <w:tc>
          <w:tcPr>
            <w:tcW w:w="2608" w:type="dxa"/>
            <w:vAlign w:val="center"/>
          </w:tcPr>
          <w:p w14:paraId="3C1C96FC">
            <w:pPr>
              <w:spacing w:before="0" w:after="0" w:line="276" w:lineRule="auto"/>
              <w:ind w:left="284" w:right="168"/>
              <w:jc w:val="center"/>
              <w:rPr>
                <w:rFonts w:ascii="Arial" w:hAnsi="Arial" w:cs="Arial"/>
              </w:rPr>
            </w:pPr>
            <w:r>
              <w:rPr>
                <w:rFonts w:ascii="Arial" w:hAnsi="Arial" w:cs="Arial"/>
              </w:rPr>
              <w:t>15.38</w:t>
            </w:r>
          </w:p>
        </w:tc>
        <w:tc>
          <w:tcPr>
            <w:tcW w:w="2948" w:type="dxa"/>
            <w:vAlign w:val="center"/>
          </w:tcPr>
          <w:p w14:paraId="2FD921FB">
            <w:pPr>
              <w:spacing w:before="0" w:after="0" w:line="276" w:lineRule="auto"/>
              <w:ind w:left="284" w:right="168"/>
              <w:jc w:val="center"/>
              <w:rPr>
                <w:rFonts w:ascii="Arial" w:hAnsi="Arial" w:cs="Arial"/>
              </w:rPr>
            </w:pPr>
            <w:r>
              <w:rPr>
                <w:rFonts w:ascii="Arial" w:hAnsi="Arial" w:cs="Arial"/>
              </w:rPr>
              <w:t>13163.67</w:t>
            </w:r>
          </w:p>
        </w:tc>
        <w:tc>
          <w:tcPr>
            <w:tcW w:w="1943" w:type="dxa"/>
            <w:vAlign w:val="center"/>
          </w:tcPr>
          <w:p w14:paraId="37F96B42">
            <w:pPr>
              <w:spacing w:before="0" w:after="0" w:line="276" w:lineRule="auto"/>
              <w:ind w:left="284" w:right="168"/>
              <w:jc w:val="center"/>
              <w:rPr>
                <w:rFonts w:ascii="Arial" w:hAnsi="Arial" w:cs="Arial"/>
              </w:rPr>
            </w:pPr>
            <w:r>
              <w:rPr>
                <w:rFonts w:ascii="Arial" w:hAnsi="Arial" w:cs="Arial"/>
              </w:rPr>
              <w:t>4.74</w:t>
            </w:r>
          </w:p>
        </w:tc>
      </w:tr>
      <w:tr w14:paraId="170A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3BA4AE61">
            <w:pPr>
              <w:spacing w:before="0" w:after="0" w:line="276" w:lineRule="auto"/>
              <w:ind w:left="284" w:right="168"/>
              <w:jc w:val="center"/>
              <w:rPr>
                <w:rFonts w:ascii="Arial" w:hAnsi="Arial" w:cs="Arial"/>
                <w:b/>
                <w:bCs/>
              </w:rPr>
            </w:pPr>
            <w:r>
              <w:rPr>
                <w:rFonts w:ascii="Arial" w:hAnsi="Arial" w:cs="Arial"/>
                <w:b/>
                <w:bCs/>
              </w:rPr>
              <w:t>T</w:t>
            </w:r>
            <w:r>
              <w:rPr>
                <w:rFonts w:ascii="Arial" w:hAnsi="Arial" w:cs="Arial"/>
                <w:b/>
                <w:bCs/>
                <w:vertAlign w:val="subscript"/>
              </w:rPr>
              <w:t>7</w:t>
            </w:r>
          </w:p>
        </w:tc>
        <w:tc>
          <w:tcPr>
            <w:tcW w:w="2381" w:type="dxa"/>
            <w:vAlign w:val="center"/>
          </w:tcPr>
          <w:p w14:paraId="37C287FF">
            <w:pPr>
              <w:spacing w:before="0" w:after="0" w:line="276" w:lineRule="auto"/>
              <w:ind w:left="284" w:right="168"/>
              <w:jc w:val="center"/>
              <w:rPr>
                <w:rFonts w:ascii="Arial" w:hAnsi="Arial" w:cs="Arial"/>
              </w:rPr>
            </w:pPr>
            <w:r>
              <w:rPr>
                <w:rFonts w:ascii="Arial" w:hAnsi="Arial" w:cs="Arial"/>
              </w:rPr>
              <w:t>236.53</w:t>
            </w:r>
          </w:p>
        </w:tc>
        <w:tc>
          <w:tcPr>
            <w:tcW w:w="2608" w:type="dxa"/>
            <w:vAlign w:val="center"/>
          </w:tcPr>
          <w:p w14:paraId="3CE8036D">
            <w:pPr>
              <w:spacing w:before="0" w:after="0" w:line="276" w:lineRule="auto"/>
              <w:ind w:left="284" w:right="168"/>
              <w:jc w:val="center"/>
              <w:rPr>
                <w:rFonts w:ascii="Arial" w:hAnsi="Arial" w:cs="Arial"/>
              </w:rPr>
            </w:pPr>
            <w:r>
              <w:rPr>
                <w:rFonts w:ascii="Arial" w:hAnsi="Arial" w:cs="Arial"/>
              </w:rPr>
              <w:t>16.35</w:t>
            </w:r>
          </w:p>
        </w:tc>
        <w:tc>
          <w:tcPr>
            <w:tcW w:w="2948" w:type="dxa"/>
            <w:vAlign w:val="center"/>
          </w:tcPr>
          <w:p w14:paraId="2BD83282">
            <w:pPr>
              <w:spacing w:before="0" w:after="0" w:line="276" w:lineRule="auto"/>
              <w:ind w:left="284" w:right="168"/>
              <w:jc w:val="center"/>
              <w:rPr>
                <w:rFonts w:ascii="Arial" w:hAnsi="Arial" w:cs="Arial"/>
              </w:rPr>
            </w:pPr>
            <w:r>
              <w:rPr>
                <w:rFonts w:ascii="Arial" w:hAnsi="Arial" w:cs="Arial"/>
              </w:rPr>
              <w:t>13635.89</w:t>
            </w:r>
          </w:p>
        </w:tc>
        <w:tc>
          <w:tcPr>
            <w:tcW w:w="1943" w:type="dxa"/>
            <w:vAlign w:val="center"/>
          </w:tcPr>
          <w:p w14:paraId="20166AC3">
            <w:pPr>
              <w:spacing w:before="0" w:after="0" w:line="276" w:lineRule="auto"/>
              <w:ind w:left="284" w:right="168"/>
              <w:jc w:val="center"/>
              <w:rPr>
                <w:rFonts w:ascii="Arial" w:hAnsi="Arial" w:cs="Arial"/>
              </w:rPr>
            </w:pPr>
            <w:r>
              <w:rPr>
                <w:rFonts w:ascii="Arial" w:hAnsi="Arial" w:cs="Arial"/>
              </w:rPr>
              <w:t>5.14</w:t>
            </w:r>
          </w:p>
        </w:tc>
      </w:tr>
      <w:tr w14:paraId="38E6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0972C5DB">
            <w:pPr>
              <w:spacing w:before="0" w:after="0" w:line="276" w:lineRule="auto"/>
              <w:ind w:left="284" w:right="168"/>
              <w:jc w:val="center"/>
              <w:rPr>
                <w:rFonts w:ascii="Arial" w:hAnsi="Arial" w:cs="Arial"/>
                <w:b/>
                <w:bCs/>
              </w:rPr>
            </w:pPr>
            <w:r>
              <w:rPr>
                <w:rFonts w:ascii="Arial" w:hAnsi="Arial" w:cs="Arial"/>
                <w:b/>
                <w:bCs/>
              </w:rPr>
              <w:t>T</w:t>
            </w:r>
            <w:r>
              <w:rPr>
                <w:rFonts w:ascii="Arial" w:hAnsi="Arial" w:cs="Arial"/>
                <w:b/>
                <w:bCs/>
                <w:vertAlign w:val="subscript"/>
              </w:rPr>
              <w:t>8</w:t>
            </w:r>
          </w:p>
        </w:tc>
        <w:tc>
          <w:tcPr>
            <w:tcW w:w="2381" w:type="dxa"/>
            <w:vAlign w:val="center"/>
          </w:tcPr>
          <w:p w14:paraId="131D17FC">
            <w:pPr>
              <w:spacing w:before="0" w:after="0" w:line="276" w:lineRule="auto"/>
              <w:ind w:left="284" w:right="168"/>
              <w:jc w:val="center"/>
              <w:rPr>
                <w:rFonts w:ascii="Arial" w:hAnsi="Arial" w:cs="Arial"/>
              </w:rPr>
            </w:pPr>
            <w:r>
              <w:rPr>
                <w:rFonts w:ascii="Arial" w:hAnsi="Arial" w:cs="Arial"/>
              </w:rPr>
              <w:t>225.62</w:t>
            </w:r>
          </w:p>
        </w:tc>
        <w:tc>
          <w:tcPr>
            <w:tcW w:w="2608" w:type="dxa"/>
            <w:vAlign w:val="center"/>
          </w:tcPr>
          <w:p w14:paraId="5E2DE594">
            <w:pPr>
              <w:spacing w:before="0" w:after="0" w:line="276" w:lineRule="auto"/>
              <w:ind w:left="284" w:right="168"/>
              <w:jc w:val="center"/>
              <w:rPr>
                <w:rFonts w:ascii="Arial" w:hAnsi="Arial" w:cs="Arial"/>
              </w:rPr>
            </w:pPr>
            <w:r>
              <w:rPr>
                <w:rFonts w:ascii="Arial" w:hAnsi="Arial" w:cs="Arial"/>
              </w:rPr>
              <w:t>15.75</w:t>
            </w:r>
          </w:p>
        </w:tc>
        <w:tc>
          <w:tcPr>
            <w:tcW w:w="2948" w:type="dxa"/>
            <w:vAlign w:val="center"/>
          </w:tcPr>
          <w:p w14:paraId="21CD401A">
            <w:pPr>
              <w:spacing w:before="0" w:after="0" w:line="276" w:lineRule="auto"/>
              <w:ind w:left="284" w:right="168"/>
              <w:jc w:val="center"/>
              <w:rPr>
                <w:rFonts w:ascii="Arial" w:hAnsi="Arial" w:cs="Arial"/>
              </w:rPr>
            </w:pPr>
            <w:r>
              <w:rPr>
                <w:rFonts w:ascii="Arial" w:hAnsi="Arial" w:cs="Arial"/>
              </w:rPr>
              <w:t>13478.08</w:t>
            </w:r>
          </w:p>
        </w:tc>
        <w:tc>
          <w:tcPr>
            <w:tcW w:w="1943" w:type="dxa"/>
            <w:vAlign w:val="center"/>
          </w:tcPr>
          <w:p w14:paraId="5A20D70C">
            <w:pPr>
              <w:spacing w:before="0" w:after="0" w:line="276" w:lineRule="auto"/>
              <w:ind w:left="284" w:right="168"/>
              <w:jc w:val="center"/>
              <w:rPr>
                <w:rFonts w:ascii="Arial" w:hAnsi="Arial" w:cs="Arial"/>
              </w:rPr>
            </w:pPr>
            <w:r>
              <w:rPr>
                <w:rFonts w:ascii="Arial" w:hAnsi="Arial" w:cs="Arial"/>
              </w:rPr>
              <w:t>4.94</w:t>
            </w:r>
          </w:p>
        </w:tc>
      </w:tr>
      <w:tr w14:paraId="4F0D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08F8C2E8">
            <w:pPr>
              <w:spacing w:before="0" w:after="0" w:line="276" w:lineRule="auto"/>
              <w:ind w:left="284" w:right="168"/>
              <w:jc w:val="center"/>
              <w:rPr>
                <w:rFonts w:ascii="Arial" w:hAnsi="Arial" w:cs="Arial"/>
                <w:b/>
                <w:bCs/>
              </w:rPr>
            </w:pPr>
            <w:r>
              <w:rPr>
                <w:rFonts w:ascii="Arial" w:hAnsi="Arial" w:cs="Arial"/>
                <w:b/>
                <w:bCs/>
              </w:rPr>
              <w:t>T</w:t>
            </w:r>
            <w:r>
              <w:rPr>
                <w:rFonts w:ascii="Arial" w:hAnsi="Arial" w:cs="Arial"/>
                <w:b/>
                <w:bCs/>
                <w:vertAlign w:val="subscript"/>
              </w:rPr>
              <w:t>9</w:t>
            </w:r>
          </w:p>
        </w:tc>
        <w:tc>
          <w:tcPr>
            <w:tcW w:w="2381" w:type="dxa"/>
            <w:vAlign w:val="center"/>
          </w:tcPr>
          <w:p w14:paraId="4A5A0324">
            <w:pPr>
              <w:spacing w:before="0" w:after="0" w:line="276" w:lineRule="auto"/>
              <w:ind w:left="284" w:right="168"/>
              <w:jc w:val="center"/>
              <w:rPr>
                <w:rFonts w:ascii="Arial" w:hAnsi="Arial" w:cs="Arial"/>
              </w:rPr>
            </w:pPr>
            <w:r>
              <w:rPr>
                <w:rFonts w:ascii="Arial" w:hAnsi="Arial" w:cs="Arial"/>
              </w:rPr>
              <w:t>184.43</w:t>
            </w:r>
          </w:p>
        </w:tc>
        <w:tc>
          <w:tcPr>
            <w:tcW w:w="2608" w:type="dxa"/>
            <w:vAlign w:val="center"/>
          </w:tcPr>
          <w:p w14:paraId="7A375324">
            <w:pPr>
              <w:spacing w:before="0" w:after="0" w:line="276" w:lineRule="auto"/>
              <w:ind w:left="284" w:right="168"/>
              <w:jc w:val="center"/>
              <w:rPr>
                <w:rFonts w:ascii="Arial" w:hAnsi="Arial" w:cs="Arial"/>
              </w:rPr>
            </w:pPr>
            <w:r>
              <w:rPr>
                <w:rFonts w:ascii="Arial" w:hAnsi="Arial" w:cs="Arial"/>
              </w:rPr>
              <w:t>14.05</w:t>
            </w:r>
          </w:p>
        </w:tc>
        <w:tc>
          <w:tcPr>
            <w:tcW w:w="2948" w:type="dxa"/>
            <w:vAlign w:val="center"/>
          </w:tcPr>
          <w:p w14:paraId="377D8ED4">
            <w:pPr>
              <w:spacing w:before="0" w:after="0" w:line="276" w:lineRule="auto"/>
              <w:ind w:left="284" w:right="168"/>
              <w:jc w:val="center"/>
              <w:rPr>
                <w:rFonts w:ascii="Arial" w:hAnsi="Arial" w:cs="Arial"/>
              </w:rPr>
            </w:pPr>
            <w:r>
              <w:rPr>
                <w:rFonts w:ascii="Arial" w:hAnsi="Arial" w:cs="Arial"/>
              </w:rPr>
              <w:t>12165.33</w:t>
            </w:r>
          </w:p>
        </w:tc>
        <w:tc>
          <w:tcPr>
            <w:tcW w:w="1943" w:type="dxa"/>
            <w:vAlign w:val="center"/>
          </w:tcPr>
          <w:p w14:paraId="66DD3381">
            <w:pPr>
              <w:spacing w:before="0" w:after="0" w:line="276" w:lineRule="auto"/>
              <w:ind w:left="284" w:right="168"/>
              <w:jc w:val="center"/>
              <w:rPr>
                <w:rFonts w:ascii="Arial" w:hAnsi="Arial" w:cs="Arial"/>
              </w:rPr>
            </w:pPr>
            <w:r>
              <w:rPr>
                <w:rFonts w:ascii="Arial" w:hAnsi="Arial" w:cs="Arial"/>
              </w:rPr>
              <w:t>3.73</w:t>
            </w:r>
          </w:p>
        </w:tc>
      </w:tr>
      <w:tr w14:paraId="46CA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5EFA49CA">
            <w:pPr>
              <w:spacing w:before="0" w:after="0" w:line="276" w:lineRule="auto"/>
              <w:ind w:left="284" w:right="168"/>
              <w:jc w:val="center"/>
              <w:rPr>
                <w:rFonts w:ascii="Arial" w:hAnsi="Arial" w:cs="Arial"/>
                <w:b/>
                <w:bCs/>
              </w:rPr>
            </w:pPr>
            <w:r>
              <w:rPr>
                <w:rFonts w:ascii="Arial" w:hAnsi="Arial" w:cs="Arial"/>
                <w:b/>
                <w:bCs/>
              </w:rPr>
              <w:t>T</w:t>
            </w:r>
            <w:r>
              <w:rPr>
                <w:rFonts w:ascii="Arial" w:hAnsi="Arial" w:cs="Arial"/>
                <w:b/>
                <w:bCs/>
                <w:vertAlign w:val="subscript"/>
              </w:rPr>
              <w:t>10</w:t>
            </w:r>
          </w:p>
        </w:tc>
        <w:tc>
          <w:tcPr>
            <w:tcW w:w="2381" w:type="dxa"/>
            <w:vAlign w:val="center"/>
          </w:tcPr>
          <w:p w14:paraId="42EDB83A">
            <w:pPr>
              <w:spacing w:before="0" w:after="0" w:line="276" w:lineRule="auto"/>
              <w:ind w:left="284" w:right="168"/>
              <w:jc w:val="center"/>
              <w:rPr>
                <w:rFonts w:ascii="Arial" w:hAnsi="Arial" w:cs="Arial"/>
              </w:rPr>
            </w:pPr>
            <w:r>
              <w:rPr>
                <w:rFonts w:ascii="Arial" w:hAnsi="Arial" w:cs="Arial"/>
              </w:rPr>
              <w:t>242.6</w:t>
            </w:r>
          </w:p>
        </w:tc>
        <w:tc>
          <w:tcPr>
            <w:tcW w:w="2608" w:type="dxa"/>
            <w:vAlign w:val="center"/>
          </w:tcPr>
          <w:p w14:paraId="34C16DDA">
            <w:pPr>
              <w:spacing w:before="0" w:after="0" w:line="276" w:lineRule="auto"/>
              <w:ind w:left="284" w:right="168"/>
              <w:jc w:val="center"/>
              <w:rPr>
                <w:rFonts w:ascii="Arial" w:hAnsi="Arial" w:cs="Arial"/>
              </w:rPr>
            </w:pPr>
            <w:r>
              <w:rPr>
                <w:rFonts w:ascii="Arial" w:hAnsi="Arial" w:cs="Arial"/>
              </w:rPr>
              <w:t>16.75</w:t>
            </w:r>
          </w:p>
        </w:tc>
        <w:tc>
          <w:tcPr>
            <w:tcW w:w="2948" w:type="dxa"/>
            <w:vAlign w:val="center"/>
          </w:tcPr>
          <w:p w14:paraId="7BA0036E">
            <w:pPr>
              <w:spacing w:before="0" w:after="0" w:line="276" w:lineRule="auto"/>
              <w:ind w:left="284" w:right="168"/>
              <w:jc w:val="center"/>
              <w:rPr>
                <w:rFonts w:ascii="Arial" w:hAnsi="Arial" w:cs="Arial"/>
              </w:rPr>
            </w:pPr>
            <w:r>
              <w:rPr>
                <w:rFonts w:ascii="Arial" w:hAnsi="Arial" w:cs="Arial"/>
              </w:rPr>
              <w:t>14079.67</w:t>
            </w:r>
          </w:p>
        </w:tc>
        <w:tc>
          <w:tcPr>
            <w:tcW w:w="1943" w:type="dxa"/>
            <w:vAlign w:val="center"/>
          </w:tcPr>
          <w:p w14:paraId="44B09EDA">
            <w:pPr>
              <w:spacing w:before="0" w:after="0" w:line="276" w:lineRule="auto"/>
              <w:ind w:left="284" w:right="168"/>
              <w:jc w:val="center"/>
              <w:rPr>
                <w:rFonts w:ascii="Arial" w:hAnsi="Arial" w:cs="Arial"/>
              </w:rPr>
            </w:pPr>
            <w:r>
              <w:rPr>
                <w:rFonts w:ascii="Arial" w:hAnsi="Arial" w:cs="Arial"/>
              </w:rPr>
              <w:t>5.47</w:t>
            </w:r>
          </w:p>
        </w:tc>
      </w:tr>
      <w:tr w14:paraId="04C4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725F81A9">
            <w:pPr>
              <w:spacing w:before="0" w:after="0" w:line="276" w:lineRule="auto"/>
              <w:ind w:left="284" w:right="168"/>
              <w:jc w:val="center"/>
              <w:rPr>
                <w:rFonts w:ascii="Arial" w:hAnsi="Arial" w:cs="Arial"/>
                <w:b/>
                <w:bCs/>
              </w:rPr>
            </w:pPr>
            <w:r>
              <w:rPr>
                <w:rFonts w:ascii="Arial" w:hAnsi="Arial" w:cs="Arial"/>
                <w:b/>
                <w:bCs/>
              </w:rPr>
              <w:t>T</w:t>
            </w:r>
            <w:r>
              <w:rPr>
                <w:rFonts w:ascii="Arial" w:hAnsi="Arial" w:cs="Arial"/>
                <w:b/>
                <w:bCs/>
                <w:vertAlign w:val="subscript"/>
              </w:rPr>
              <w:t>11</w:t>
            </w:r>
          </w:p>
        </w:tc>
        <w:tc>
          <w:tcPr>
            <w:tcW w:w="2381" w:type="dxa"/>
            <w:vAlign w:val="center"/>
          </w:tcPr>
          <w:p w14:paraId="54FE34F1">
            <w:pPr>
              <w:spacing w:before="0" w:after="0" w:line="276" w:lineRule="auto"/>
              <w:ind w:left="284" w:right="168"/>
              <w:jc w:val="center"/>
              <w:rPr>
                <w:rFonts w:ascii="Arial" w:hAnsi="Arial" w:cs="Arial"/>
              </w:rPr>
            </w:pPr>
            <w:r>
              <w:rPr>
                <w:rFonts w:ascii="Arial" w:hAnsi="Arial" w:cs="Arial"/>
              </w:rPr>
              <w:t>171.48</w:t>
            </w:r>
          </w:p>
        </w:tc>
        <w:tc>
          <w:tcPr>
            <w:tcW w:w="2608" w:type="dxa"/>
            <w:vAlign w:val="center"/>
          </w:tcPr>
          <w:p w14:paraId="3741E7D4">
            <w:pPr>
              <w:spacing w:before="0" w:after="0" w:line="276" w:lineRule="auto"/>
              <w:ind w:left="284" w:right="168"/>
              <w:jc w:val="center"/>
              <w:rPr>
                <w:rFonts w:ascii="Arial" w:hAnsi="Arial" w:cs="Arial"/>
              </w:rPr>
            </w:pPr>
            <w:r>
              <w:rPr>
                <w:rFonts w:ascii="Arial" w:hAnsi="Arial" w:cs="Arial"/>
              </w:rPr>
              <w:t>12.66</w:t>
            </w:r>
          </w:p>
        </w:tc>
        <w:tc>
          <w:tcPr>
            <w:tcW w:w="2948" w:type="dxa"/>
            <w:vAlign w:val="center"/>
          </w:tcPr>
          <w:p w14:paraId="76678787">
            <w:pPr>
              <w:spacing w:before="0" w:after="0" w:line="276" w:lineRule="auto"/>
              <w:ind w:left="284" w:right="168"/>
              <w:jc w:val="center"/>
              <w:rPr>
                <w:rFonts w:ascii="Arial" w:hAnsi="Arial" w:cs="Arial"/>
              </w:rPr>
            </w:pPr>
            <w:r>
              <w:rPr>
                <w:rFonts w:ascii="Arial" w:hAnsi="Arial" w:cs="Arial"/>
              </w:rPr>
              <w:t>11151.75</w:t>
            </w:r>
          </w:p>
        </w:tc>
        <w:tc>
          <w:tcPr>
            <w:tcW w:w="1943" w:type="dxa"/>
            <w:vAlign w:val="center"/>
          </w:tcPr>
          <w:p w14:paraId="7CC74C3C">
            <w:pPr>
              <w:spacing w:before="0" w:after="0" w:line="276" w:lineRule="auto"/>
              <w:ind w:left="284" w:right="168"/>
              <w:jc w:val="center"/>
              <w:rPr>
                <w:rFonts w:ascii="Arial" w:hAnsi="Arial" w:cs="Arial"/>
              </w:rPr>
            </w:pPr>
            <w:r>
              <w:rPr>
                <w:rFonts w:ascii="Arial" w:hAnsi="Arial" w:cs="Arial"/>
              </w:rPr>
              <w:t>3.27</w:t>
            </w:r>
          </w:p>
        </w:tc>
      </w:tr>
      <w:tr w14:paraId="03D7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072C2E8B">
            <w:pPr>
              <w:spacing w:before="0" w:after="0" w:line="276" w:lineRule="auto"/>
              <w:ind w:left="284" w:right="168"/>
              <w:jc w:val="center"/>
              <w:rPr>
                <w:rFonts w:ascii="Arial" w:hAnsi="Arial" w:cs="Arial"/>
              </w:rPr>
            </w:pPr>
            <w:r>
              <w:rPr>
                <w:rFonts w:ascii="Arial" w:hAnsi="Arial" w:cs="Arial"/>
              </w:rPr>
              <w:t>SE(d)</w:t>
            </w:r>
          </w:p>
        </w:tc>
        <w:tc>
          <w:tcPr>
            <w:tcW w:w="2381" w:type="dxa"/>
            <w:vAlign w:val="center"/>
          </w:tcPr>
          <w:p w14:paraId="45022CD0">
            <w:pPr>
              <w:spacing w:before="0" w:after="0" w:line="276" w:lineRule="auto"/>
              <w:ind w:left="284" w:right="168"/>
              <w:jc w:val="center"/>
              <w:rPr>
                <w:rFonts w:ascii="Arial" w:hAnsi="Arial" w:cs="Arial"/>
              </w:rPr>
            </w:pPr>
            <w:r>
              <w:rPr>
                <w:rFonts w:ascii="Arial" w:hAnsi="Arial" w:cs="Arial"/>
              </w:rPr>
              <w:t>0.21</w:t>
            </w:r>
          </w:p>
        </w:tc>
        <w:tc>
          <w:tcPr>
            <w:tcW w:w="2608" w:type="dxa"/>
            <w:vAlign w:val="center"/>
          </w:tcPr>
          <w:p w14:paraId="7F7E08BE">
            <w:pPr>
              <w:spacing w:before="0" w:after="0" w:line="276" w:lineRule="auto"/>
              <w:ind w:left="284" w:right="168"/>
              <w:jc w:val="center"/>
              <w:rPr>
                <w:rFonts w:ascii="Arial" w:hAnsi="Arial" w:cs="Arial"/>
              </w:rPr>
            </w:pPr>
            <w:r>
              <w:rPr>
                <w:rFonts w:ascii="Arial" w:hAnsi="Arial" w:cs="Arial"/>
              </w:rPr>
              <w:t>0.021</w:t>
            </w:r>
          </w:p>
        </w:tc>
        <w:tc>
          <w:tcPr>
            <w:tcW w:w="2948" w:type="dxa"/>
            <w:vAlign w:val="center"/>
          </w:tcPr>
          <w:p w14:paraId="2122516B">
            <w:pPr>
              <w:spacing w:before="0" w:after="0" w:line="276" w:lineRule="auto"/>
              <w:ind w:left="284" w:right="168"/>
              <w:jc w:val="center"/>
              <w:rPr>
                <w:rFonts w:ascii="Arial" w:hAnsi="Arial" w:cs="Arial"/>
              </w:rPr>
            </w:pPr>
            <w:r>
              <w:rPr>
                <w:rFonts w:ascii="Arial" w:hAnsi="Arial" w:cs="Arial"/>
              </w:rPr>
              <w:t>53.469</w:t>
            </w:r>
          </w:p>
        </w:tc>
        <w:tc>
          <w:tcPr>
            <w:tcW w:w="1943" w:type="dxa"/>
            <w:vAlign w:val="center"/>
          </w:tcPr>
          <w:p w14:paraId="3C9A3B08">
            <w:pPr>
              <w:spacing w:before="0" w:after="0" w:line="276" w:lineRule="auto"/>
              <w:ind w:left="284" w:right="168"/>
              <w:jc w:val="center"/>
              <w:rPr>
                <w:rFonts w:ascii="Arial" w:hAnsi="Arial" w:cs="Arial"/>
              </w:rPr>
            </w:pPr>
            <w:r>
              <w:rPr>
                <w:rFonts w:ascii="Arial" w:hAnsi="Arial" w:cs="Arial"/>
              </w:rPr>
              <w:t>0.015</w:t>
            </w:r>
          </w:p>
        </w:tc>
      </w:tr>
      <w:tr w14:paraId="0551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7AB656F2">
            <w:pPr>
              <w:spacing w:before="0" w:after="0" w:line="276" w:lineRule="auto"/>
              <w:ind w:left="284" w:right="168"/>
              <w:jc w:val="center"/>
              <w:rPr>
                <w:rFonts w:ascii="Arial" w:hAnsi="Arial" w:cs="Arial"/>
                <w:b/>
                <w:bCs/>
              </w:rPr>
            </w:pPr>
            <w:r>
              <w:rPr>
                <w:rFonts w:ascii="Arial" w:hAnsi="Arial" w:cs="Arial"/>
                <w:b/>
                <w:bCs/>
              </w:rPr>
              <w:t>CD (5%)</w:t>
            </w:r>
          </w:p>
        </w:tc>
        <w:tc>
          <w:tcPr>
            <w:tcW w:w="2381" w:type="dxa"/>
            <w:vAlign w:val="center"/>
          </w:tcPr>
          <w:p w14:paraId="40328231">
            <w:pPr>
              <w:spacing w:before="0" w:after="0" w:line="276" w:lineRule="auto"/>
              <w:ind w:left="284" w:right="168"/>
              <w:jc w:val="center"/>
              <w:rPr>
                <w:rFonts w:ascii="Arial" w:hAnsi="Arial" w:cs="Arial"/>
                <w:b/>
                <w:bCs/>
              </w:rPr>
            </w:pPr>
            <w:r>
              <w:rPr>
                <w:rFonts w:ascii="Arial" w:hAnsi="Arial" w:cs="Arial"/>
                <w:b/>
                <w:bCs/>
              </w:rPr>
              <w:t>0.44</w:t>
            </w:r>
          </w:p>
        </w:tc>
        <w:tc>
          <w:tcPr>
            <w:tcW w:w="2608" w:type="dxa"/>
            <w:vAlign w:val="center"/>
          </w:tcPr>
          <w:p w14:paraId="6CB96A70">
            <w:pPr>
              <w:spacing w:before="0" w:after="0" w:line="276" w:lineRule="auto"/>
              <w:ind w:left="284" w:right="168"/>
              <w:jc w:val="center"/>
              <w:rPr>
                <w:rFonts w:ascii="Arial" w:hAnsi="Arial" w:cs="Arial"/>
                <w:b/>
                <w:bCs/>
              </w:rPr>
            </w:pPr>
            <w:r>
              <w:rPr>
                <w:rFonts w:ascii="Arial" w:hAnsi="Arial" w:cs="Arial"/>
                <w:b/>
                <w:bCs/>
              </w:rPr>
              <w:t>0.044</w:t>
            </w:r>
          </w:p>
        </w:tc>
        <w:tc>
          <w:tcPr>
            <w:tcW w:w="2948" w:type="dxa"/>
            <w:vAlign w:val="center"/>
          </w:tcPr>
          <w:p w14:paraId="20354652">
            <w:pPr>
              <w:spacing w:before="0" w:after="0" w:line="276" w:lineRule="auto"/>
              <w:ind w:left="284" w:right="168"/>
              <w:jc w:val="center"/>
              <w:rPr>
                <w:rFonts w:ascii="Arial" w:hAnsi="Arial" w:cs="Arial"/>
                <w:b/>
                <w:bCs/>
              </w:rPr>
            </w:pPr>
            <w:r>
              <w:rPr>
                <w:rFonts w:ascii="Arial" w:hAnsi="Arial" w:cs="Arial"/>
                <w:b/>
                <w:bCs/>
              </w:rPr>
              <w:t>111.535</w:t>
            </w:r>
          </w:p>
        </w:tc>
        <w:tc>
          <w:tcPr>
            <w:tcW w:w="1943" w:type="dxa"/>
            <w:vAlign w:val="center"/>
          </w:tcPr>
          <w:p w14:paraId="36D7868A">
            <w:pPr>
              <w:spacing w:before="0" w:after="0" w:line="276" w:lineRule="auto"/>
              <w:ind w:left="284" w:right="168"/>
              <w:jc w:val="center"/>
              <w:rPr>
                <w:rFonts w:ascii="Arial" w:hAnsi="Arial" w:cs="Arial"/>
                <w:b/>
                <w:bCs/>
              </w:rPr>
            </w:pPr>
            <w:r>
              <w:rPr>
                <w:rFonts w:ascii="Arial" w:hAnsi="Arial" w:cs="Arial"/>
                <w:b/>
                <w:bCs/>
              </w:rPr>
              <w:t>0.032</w:t>
            </w:r>
          </w:p>
        </w:tc>
      </w:tr>
    </w:tbl>
    <w:p w14:paraId="4B2B2C11">
      <w:pPr>
        <w:tabs>
          <w:tab w:val="left" w:pos="3592"/>
        </w:tabs>
        <w:spacing w:after="0"/>
        <w:ind w:left="284" w:right="168"/>
        <w:jc w:val="center"/>
        <w:rPr>
          <w:rFonts w:ascii="Arial" w:hAnsi="Arial" w:cs="Arial"/>
          <w:b/>
          <w:bCs/>
        </w:rPr>
      </w:pPr>
      <w:r>
        <w:rPr>
          <w:rFonts w:ascii="Arial" w:hAnsi="Arial" w:cs="Arial"/>
          <w:b/>
          <w:bCs/>
        </w:rPr>
        <w:t>Table 2. Effect of weed management in yield attributes in the cultivation of maize</w:t>
      </w:r>
    </w:p>
    <w:tbl>
      <w:tblPr>
        <w:tblStyle w:val="3"/>
        <w:tblW w:w="12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2477"/>
        <w:gridCol w:w="2228"/>
        <w:gridCol w:w="2098"/>
        <w:gridCol w:w="1871"/>
        <w:gridCol w:w="2041"/>
      </w:tblGrid>
      <w:tr w14:paraId="3BFC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Merge w:val="restart"/>
            <w:vAlign w:val="center"/>
          </w:tcPr>
          <w:p w14:paraId="52465F2B">
            <w:pPr>
              <w:spacing w:before="0" w:after="0" w:line="240" w:lineRule="auto"/>
              <w:ind w:left="284" w:right="168"/>
              <w:jc w:val="center"/>
              <w:rPr>
                <w:rFonts w:ascii="Arial" w:hAnsi="Arial" w:cs="Arial"/>
                <w:b/>
                <w:bCs/>
              </w:rPr>
            </w:pPr>
            <w:bookmarkStart w:id="0" w:name="OLE_LINK1"/>
            <w:r>
              <w:rPr>
                <w:rFonts w:ascii="Arial" w:hAnsi="Arial" w:cs="Arial"/>
                <w:b/>
                <w:bCs/>
              </w:rPr>
              <w:t>Treatment</w:t>
            </w:r>
          </w:p>
        </w:tc>
        <w:tc>
          <w:tcPr>
            <w:tcW w:w="10715" w:type="dxa"/>
            <w:gridSpan w:val="5"/>
            <w:vAlign w:val="center"/>
          </w:tcPr>
          <w:p w14:paraId="70BDCA09">
            <w:pPr>
              <w:spacing w:before="0" w:after="0" w:line="240" w:lineRule="auto"/>
              <w:ind w:left="284" w:right="168"/>
              <w:jc w:val="center"/>
              <w:rPr>
                <w:rFonts w:ascii="Arial" w:hAnsi="Arial" w:cs="Arial"/>
                <w:b/>
                <w:bCs/>
              </w:rPr>
            </w:pPr>
            <w:r>
              <w:rPr>
                <w:rFonts w:ascii="Arial" w:hAnsi="Arial" w:cs="Arial"/>
                <w:b/>
                <w:bCs/>
              </w:rPr>
              <w:t>Yield Attributes</w:t>
            </w:r>
          </w:p>
        </w:tc>
      </w:tr>
      <w:tr w14:paraId="6A4E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24" w:type="dxa"/>
            <w:vMerge w:val="continue"/>
            <w:vAlign w:val="center"/>
          </w:tcPr>
          <w:p w14:paraId="6A185E0C">
            <w:pPr>
              <w:spacing w:before="0" w:after="0" w:line="240" w:lineRule="auto"/>
              <w:ind w:left="284" w:right="168"/>
              <w:jc w:val="center"/>
              <w:rPr>
                <w:rFonts w:ascii="Arial" w:hAnsi="Arial" w:cs="Arial"/>
                <w:b/>
                <w:bCs/>
              </w:rPr>
            </w:pPr>
          </w:p>
        </w:tc>
        <w:tc>
          <w:tcPr>
            <w:tcW w:w="2477" w:type="dxa"/>
            <w:vAlign w:val="center"/>
          </w:tcPr>
          <w:p w14:paraId="43DCD7D0">
            <w:pPr>
              <w:spacing w:before="0" w:after="0" w:line="240" w:lineRule="auto"/>
              <w:ind w:left="284" w:right="168"/>
              <w:jc w:val="center"/>
              <w:rPr>
                <w:rFonts w:ascii="Arial" w:hAnsi="Arial" w:cs="Arial"/>
                <w:b/>
                <w:bCs/>
              </w:rPr>
            </w:pPr>
            <w:r>
              <w:rPr>
                <w:rFonts w:ascii="Arial" w:hAnsi="Arial" w:cs="Arial"/>
                <w:b/>
                <w:bCs/>
              </w:rPr>
              <w:t>No. of Cobs</w:t>
            </w:r>
            <w:r>
              <w:rPr>
                <w:rFonts w:ascii="Arial" w:hAnsi="Arial" w:cs="Arial"/>
                <w:b/>
                <w:bCs/>
                <w:vertAlign w:val="superscript"/>
              </w:rPr>
              <w:t>-1</w:t>
            </w:r>
            <w:r>
              <w:rPr>
                <w:rFonts w:ascii="Arial" w:hAnsi="Arial" w:cs="Arial"/>
                <w:b/>
                <w:bCs/>
              </w:rPr>
              <w:t xml:space="preserve"> plant</w:t>
            </w:r>
          </w:p>
        </w:tc>
        <w:tc>
          <w:tcPr>
            <w:tcW w:w="2228" w:type="dxa"/>
            <w:vAlign w:val="center"/>
          </w:tcPr>
          <w:p w14:paraId="0A501E28">
            <w:pPr>
              <w:spacing w:before="0" w:after="0" w:line="240" w:lineRule="auto"/>
              <w:ind w:left="284" w:right="168"/>
              <w:jc w:val="center"/>
              <w:rPr>
                <w:rFonts w:ascii="Arial" w:hAnsi="Arial" w:cs="Arial"/>
                <w:b/>
                <w:bCs/>
              </w:rPr>
            </w:pPr>
            <w:r>
              <w:rPr>
                <w:rFonts w:ascii="Arial" w:hAnsi="Arial" w:cs="Arial"/>
                <w:b/>
                <w:bCs/>
              </w:rPr>
              <w:t>No. of grain rows</w:t>
            </w:r>
            <w:r>
              <w:rPr>
                <w:rFonts w:ascii="Arial" w:hAnsi="Arial" w:cs="Arial"/>
                <w:b/>
                <w:bCs/>
                <w:vertAlign w:val="superscript"/>
              </w:rPr>
              <w:t xml:space="preserve">-1 </w:t>
            </w:r>
            <w:r>
              <w:rPr>
                <w:rFonts w:ascii="Arial" w:hAnsi="Arial" w:cs="Arial"/>
                <w:b/>
                <w:bCs/>
              </w:rPr>
              <w:t>cob</w:t>
            </w:r>
          </w:p>
        </w:tc>
        <w:tc>
          <w:tcPr>
            <w:tcW w:w="2098" w:type="dxa"/>
            <w:vAlign w:val="center"/>
          </w:tcPr>
          <w:p w14:paraId="3EA1A4F8">
            <w:pPr>
              <w:spacing w:before="0" w:after="0" w:line="240" w:lineRule="auto"/>
              <w:ind w:left="284" w:right="168"/>
              <w:jc w:val="center"/>
              <w:rPr>
                <w:rFonts w:ascii="Arial" w:hAnsi="Arial" w:cs="Arial"/>
                <w:b/>
                <w:bCs/>
              </w:rPr>
            </w:pPr>
            <w:r>
              <w:rPr>
                <w:rFonts w:ascii="Arial" w:hAnsi="Arial" w:cs="Arial"/>
                <w:b/>
                <w:bCs/>
              </w:rPr>
              <w:t>No. of grains</w:t>
            </w:r>
            <w:r>
              <w:rPr>
                <w:rFonts w:ascii="Arial" w:hAnsi="Arial" w:cs="Arial"/>
                <w:b/>
                <w:bCs/>
                <w:vertAlign w:val="superscript"/>
              </w:rPr>
              <w:t xml:space="preserve">-1 </w:t>
            </w:r>
            <w:r>
              <w:rPr>
                <w:rFonts w:ascii="Arial" w:hAnsi="Arial" w:cs="Arial"/>
                <w:b/>
                <w:bCs/>
              </w:rPr>
              <w:t>row</w:t>
            </w:r>
          </w:p>
        </w:tc>
        <w:tc>
          <w:tcPr>
            <w:tcW w:w="1871" w:type="dxa"/>
            <w:vAlign w:val="center"/>
          </w:tcPr>
          <w:p w14:paraId="5A42A006">
            <w:pPr>
              <w:spacing w:before="0" w:after="0" w:line="240" w:lineRule="auto"/>
              <w:ind w:left="284" w:right="168"/>
              <w:jc w:val="center"/>
              <w:rPr>
                <w:rFonts w:ascii="Arial" w:hAnsi="Arial" w:cs="Arial"/>
                <w:b/>
                <w:bCs/>
              </w:rPr>
            </w:pPr>
            <w:r>
              <w:rPr>
                <w:rFonts w:ascii="Arial" w:hAnsi="Arial" w:cs="Arial"/>
                <w:b/>
                <w:bCs/>
              </w:rPr>
              <w:t>Grain yield (Kg ha</w:t>
            </w:r>
            <w:r>
              <w:rPr>
                <w:rFonts w:ascii="Arial" w:hAnsi="Arial" w:cs="Arial"/>
                <w:b/>
                <w:bCs/>
                <w:vertAlign w:val="superscript"/>
              </w:rPr>
              <w:t>-1</w:t>
            </w:r>
            <w:r>
              <w:rPr>
                <w:rFonts w:ascii="Arial" w:hAnsi="Arial" w:cs="Arial"/>
                <w:b/>
                <w:bCs/>
              </w:rPr>
              <w:t>)</w:t>
            </w:r>
          </w:p>
        </w:tc>
        <w:tc>
          <w:tcPr>
            <w:tcW w:w="2041" w:type="dxa"/>
            <w:vAlign w:val="center"/>
          </w:tcPr>
          <w:p w14:paraId="4901EF87">
            <w:pPr>
              <w:spacing w:before="0" w:after="0" w:line="240" w:lineRule="auto"/>
              <w:ind w:left="284" w:right="168"/>
              <w:jc w:val="center"/>
              <w:rPr>
                <w:rFonts w:ascii="Arial" w:hAnsi="Arial" w:cs="Arial"/>
                <w:b/>
                <w:bCs/>
              </w:rPr>
            </w:pPr>
            <w:r>
              <w:rPr>
                <w:rFonts w:ascii="Arial" w:hAnsi="Arial" w:cs="Arial"/>
                <w:b/>
                <w:bCs/>
              </w:rPr>
              <w:t>Stover yield (Kg ha</w:t>
            </w:r>
            <w:r>
              <w:rPr>
                <w:rFonts w:ascii="Arial" w:hAnsi="Arial" w:cs="Arial"/>
                <w:b/>
                <w:bCs/>
                <w:vertAlign w:val="superscript"/>
              </w:rPr>
              <w:t>-1</w:t>
            </w:r>
            <w:r>
              <w:rPr>
                <w:rFonts w:ascii="Arial" w:hAnsi="Arial" w:cs="Arial"/>
                <w:b/>
                <w:bCs/>
              </w:rPr>
              <w:t>)</w:t>
            </w:r>
          </w:p>
        </w:tc>
      </w:tr>
      <w:tr w14:paraId="2D7A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79234881">
            <w:pPr>
              <w:spacing w:before="0" w:after="0" w:line="240" w:lineRule="auto"/>
              <w:ind w:left="284" w:right="168"/>
              <w:jc w:val="center"/>
              <w:rPr>
                <w:rFonts w:ascii="Arial" w:hAnsi="Arial" w:cs="Arial"/>
                <w:b/>
                <w:bCs/>
              </w:rPr>
            </w:pPr>
            <w:r>
              <w:rPr>
                <w:rFonts w:ascii="Arial" w:hAnsi="Arial" w:cs="Arial"/>
                <w:b/>
                <w:bCs/>
              </w:rPr>
              <w:t>T</w:t>
            </w:r>
            <w:r>
              <w:rPr>
                <w:rFonts w:ascii="Arial" w:hAnsi="Arial" w:cs="Arial"/>
                <w:b/>
                <w:bCs/>
                <w:vertAlign w:val="subscript"/>
              </w:rPr>
              <w:t>1</w:t>
            </w:r>
          </w:p>
        </w:tc>
        <w:tc>
          <w:tcPr>
            <w:tcW w:w="2477" w:type="dxa"/>
            <w:vAlign w:val="center"/>
          </w:tcPr>
          <w:p w14:paraId="59A1842F">
            <w:pPr>
              <w:spacing w:before="0" w:after="0" w:line="240" w:lineRule="auto"/>
              <w:ind w:left="284" w:right="168"/>
              <w:jc w:val="center"/>
              <w:rPr>
                <w:rFonts w:ascii="Arial" w:hAnsi="Arial" w:cs="Arial"/>
              </w:rPr>
            </w:pPr>
            <w:r>
              <w:rPr>
                <w:rFonts w:ascii="Arial" w:hAnsi="Arial" w:cs="Arial"/>
              </w:rPr>
              <w:t>1.2</w:t>
            </w:r>
          </w:p>
        </w:tc>
        <w:tc>
          <w:tcPr>
            <w:tcW w:w="2228" w:type="dxa"/>
            <w:vAlign w:val="center"/>
          </w:tcPr>
          <w:p w14:paraId="2458DAB7">
            <w:pPr>
              <w:spacing w:before="0" w:after="0" w:line="240" w:lineRule="auto"/>
              <w:ind w:left="284" w:right="168"/>
              <w:jc w:val="center"/>
              <w:rPr>
                <w:rFonts w:ascii="Arial" w:hAnsi="Arial" w:cs="Arial"/>
              </w:rPr>
            </w:pPr>
            <w:r>
              <w:rPr>
                <w:rFonts w:ascii="Arial" w:hAnsi="Arial" w:cs="Arial"/>
              </w:rPr>
              <w:t>20.45</w:t>
            </w:r>
          </w:p>
        </w:tc>
        <w:tc>
          <w:tcPr>
            <w:tcW w:w="2098" w:type="dxa"/>
            <w:vAlign w:val="center"/>
          </w:tcPr>
          <w:p w14:paraId="7FCB5792">
            <w:pPr>
              <w:spacing w:before="0" w:after="0" w:line="240" w:lineRule="auto"/>
              <w:ind w:left="284" w:right="168"/>
              <w:jc w:val="center"/>
              <w:rPr>
                <w:rFonts w:ascii="Arial" w:hAnsi="Arial" w:cs="Arial"/>
              </w:rPr>
            </w:pPr>
            <w:r>
              <w:rPr>
                <w:rFonts w:ascii="Arial" w:hAnsi="Arial" w:cs="Arial"/>
              </w:rPr>
              <w:t>19.643</w:t>
            </w:r>
          </w:p>
        </w:tc>
        <w:tc>
          <w:tcPr>
            <w:tcW w:w="1871" w:type="dxa"/>
            <w:vAlign w:val="center"/>
          </w:tcPr>
          <w:p w14:paraId="36EB8BFA">
            <w:pPr>
              <w:spacing w:before="0" w:after="0" w:line="240" w:lineRule="auto"/>
              <w:ind w:left="284" w:right="168"/>
              <w:jc w:val="center"/>
              <w:rPr>
                <w:rFonts w:ascii="Arial" w:hAnsi="Arial" w:cs="Arial"/>
              </w:rPr>
            </w:pPr>
            <w:r>
              <w:rPr>
                <w:rFonts w:ascii="Arial" w:hAnsi="Arial" w:cs="Arial"/>
              </w:rPr>
              <w:t>3561.15</w:t>
            </w:r>
          </w:p>
        </w:tc>
        <w:tc>
          <w:tcPr>
            <w:tcW w:w="2041" w:type="dxa"/>
            <w:vAlign w:val="center"/>
          </w:tcPr>
          <w:p w14:paraId="0565CD1E">
            <w:pPr>
              <w:spacing w:before="0" w:after="0" w:line="240" w:lineRule="auto"/>
              <w:ind w:left="284" w:right="168"/>
              <w:jc w:val="center"/>
              <w:rPr>
                <w:rFonts w:ascii="Arial" w:hAnsi="Arial" w:cs="Arial"/>
              </w:rPr>
            </w:pPr>
            <w:r>
              <w:rPr>
                <w:rFonts w:ascii="Arial" w:hAnsi="Arial" w:cs="Arial"/>
              </w:rPr>
              <w:t>8752.81</w:t>
            </w:r>
          </w:p>
        </w:tc>
      </w:tr>
      <w:tr w14:paraId="26B3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53D14D48">
            <w:pPr>
              <w:spacing w:before="0" w:after="0" w:line="240" w:lineRule="auto"/>
              <w:ind w:left="284" w:right="168"/>
              <w:jc w:val="center"/>
              <w:rPr>
                <w:rFonts w:ascii="Arial" w:hAnsi="Arial" w:cs="Arial"/>
                <w:b/>
                <w:bCs/>
              </w:rPr>
            </w:pPr>
            <w:r>
              <w:rPr>
                <w:rFonts w:ascii="Arial" w:hAnsi="Arial" w:cs="Arial"/>
                <w:b/>
                <w:bCs/>
              </w:rPr>
              <w:t>T</w:t>
            </w:r>
            <w:r>
              <w:rPr>
                <w:rFonts w:ascii="Arial" w:hAnsi="Arial" w:cs="Arial"/>
                <w:b/>
                <w:bCs/>
                <w:vertAlign w:val="subscript"/>
              </w:rPr>
              <w:t>2</w:t>
            </w:r>
          </w:p>
        </w:tc>
        <w:tc>
          <w:tcPr>
            <w:tcW w:w="2477" w:type="dxa"/>
            <w:vAlign w:val="center"/>
          </w:tcPr>
          <w:p w14:paraId="1F8EAB02">
            <w:pPr>
              <w:spacing w:before="0" w:after="0" w:line="240" w:lineRule="auto"/>
              <w:ind w:left="284" w:right="168"/>
              <w:jc w:val="center"/>
              <w:rPr>
                <w:rFonts w:ascii="Arial" w:hAnsi="Arial" w:cs="Arial"/>
              </w:rPr>
            </w:pPr>
            <w:r>
              <w:rPr>
                <w:rFonts w:ascii="Arial" w:hAnsi="Arial" w:cs="Arial"/>
              </w:rPr>
              <w:t>1.2</w:t>
            </w:r>
          </w:p>
        </w:tc>
        <w:tc>
          <w:tcPr>
            <w:tcW w:w="2228" w:type="dxa"/>
            <w:vAlign w:val="center"/>
          </w:tcPr>
          <w:p w14:paraId="3F433C20">
            <w:pPr>
              <w:spacing w:before="0" w:after="0" w:line="240" w:lineRule="auto"/>
              <w:ind w:left="284" w:right="168"/>
              <w:jc w:val="center"/>
              <w:rPr>
                <w:rFonts w:ascii="Arial" w:hAnsi="Arial" w:cs="Arial"/>
              </w:rPr>
            </w:pPr>
            <w:r>
              <w:rPr>
                <w:rFonts w:ascii="Arial" w:hAnsi="Arial" w:cs="Arial"/>
              </w:rPr>
              <w:t>18.94</w:t>
            </w:r>
          </w:p>
        </w:tc>
        <w:tc>
          <w:tcPr>
            <w:tcW w:w="2098" w:type="dxa"/>
            <w:vAlign w:val="center"/>
          </w:tcPr>
          <w:p w14:paraId="11666DA5">
            <w:pPr>
              <w:spacing w:before="0" w:after="0" w:line="240" w:lineRule="auto"/>
              <w:ind w:left="284" w:right="168"/>
              <w:jc w:val="center"/>
              <w:rPr>
                <w:rFonts w:ascii="Arial" w:hAnsi="Arial" w:cs="Arial"/>
              </w:rPr>
            </w:pPr>
            <w:r>
              <w:rPr>
                <w:rFonts w:ascii="Arial" w:hAnsi="Arial" w:cs="Arial"/>
              </w:rPr>
              <w:t>21.46</w:t>
            </w:r>
          </w:p>
        </w:tc>
        <w:tc>
          <w:tcPr>
            <w:tcW w:w="1871" w:type="dxa"/>
            <w:vAlign w:val="center"/>
          </w:tcPr>
          <w:p w14:paraId="21891A80">
            <w:pPr>
              <w:spacing w:before="0" w:after="0" w:line="240" w:lineRule="auto"/>
              <w:ind w:left="284" w:right="168"/>
              <w:jc w:val="center"/>
              <w:rPr>
                <w:rFonts w:ascii="Arial" w:hAnsi="Arial" w:cs="Arial"/>
              </w:rPr>
            </w:pPr>
            <w:r>
              <w:rPr>
                <w:rFonts w:ascii="Arial" w:hAnsi="Arial" w:cs="Arial"/>
              </w:rPr>
              <w:t>3273.72</w:t>
            </w:r>
          </w:p>
        </w:tc>
        <w:tc>
          <w:tcPr>
            <w:tcW w:w="2041" w:type="dxa"/>
            <w:vAlign w:val="center"/>
          </w:tcPr>
          <w:p w14:paraId="23CA65E3">
            <w:pPr>
              <w:spacing w:before="0" w:after="0" w:line="240" w:lineRule="auto"/>
              <w:ind w:left="284" w:right="168"/>
              <w:jc w:val="center"/>
              <w:rPr>
                <w:rFonts w:ascii="Arial" w:hAnsi="Arial" w:cs="Arial"/>
              </w:rPr>
            </w:pPr>
            <w:r>
              <w:rPr>
                <w:rFonts w:ascii="Arial" w:hAnsi="Arial" w:cs="Arial"/>
              </w:rPr>
              <w:t>8250.21</w:t>
            </w:r>
          </w:p>
        </w:tc>
      </w:tr>
      <w:tr w14:paraId="5DC9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4CF2EA08">
            <w:pPr>
              <w:spacing w:before="0" w:after="0" w:line="240" w:lineRule="auto"/>
              <w:ind w:left="284" w:right="168"/>
              <w:jc w:val="center"/>
              <w:rPr>
                <w:rFonts w:ascii="Arial" w:hAnsi="Arial" w:cs="Arial"/>
                <w:b/>
                <w:bCs/>
              </w:rPr>
            </w:pPr>
            <w:r>
              <w:rPr>
                <w:rFonts w:ascii="Arial" w:hAnsi="Arial" w:cs="Arial"/>
                <w:b/>
                <w:bCs/>
              </w:rPr>
              <w:t>T</w:t>
            </w:r>
            <w:r>
              <w:rPr>
                <w:rFonts w:ascii="Arial" w:hAnsi="Arial" w:cs="Arial"/>
                <w:b/>
                <w:bCs/>
                <w:vertAlign w:val="subscript"/>
              </w:rPr>
              <w:t>3</w:t>
            </w:r>
          </w:p>
        </w:tc>
        <w:tc>
          <w:tcPr>
            <w:tcW w:w="2477" w:type="dxa"/>
            <w:vAlign w:val="center"/>
          </w:tcPr>
          <w:p w14:paraId="1E090FF2">
            <w:pPr>
              <w:spacing w:before="0" w:after="0" w:line="240" w:lineRule="auto"/>
              <w:ind w:left="284" w:right="168"/>
              <w:jc w:val="center"/>
              <w:rPr>
                <w:rFonts w:ascii="Arial" w:hAnsi="Arial" w:cs="Arial"/>
              </w:rPr>
            </w:pPr>
            <w:r>
              <w:rPr>
                <w:rFonts w:ascii="Arial" w:hAnsi="Arial" w:cs="Arial"/>
              </w:rPr>
              <w:t>1.4</w:t>
            </w:r>
          </w:p>
        </w:tc>
        <w:tc>
          <w:tcPr>
            <w:tcW w:w="2228" w:type="dxa"/>
            <w:vAlign w:val="center"/>
          </w:tcPr>
          <w:p w14:paraId="5CB584FD">
            <w:pPr>
              <w:spacing w:before="0" w:after="0" w:line="240" w:lineRule="auto"/>
              <w:ind w:left="284" w:right="168"/>
              <w:jc w:val="center"/>
              <w:rPr>
                <w:rFonts w:ascii="Arial" w:hAnsi="Arial" w:cs="Arial"/>
              </w:rPr>
            </w:pPr>
            <w:r>
              <w:rPr>
                <w:rFonts w:ascii="Arial" w:hAnsi="Arial" w:cs="Arial"/>
              </w:rPr>
              <w:t>24.68</w:t>
            </w:r>
          </w:p>
        </w:tc>
        <w:tc>
          <w:tcPr>
            <w:tcW w:w="2098" w:type="dxa"/>
            <w:vAlign w:val="center"/>
          </w:tcPr>
          <w:p w14:paraId="3ABBC217">
            <w:pPr>
              <w:spacing w:before="0" w:after="0" w:line="240" w:lineRule="auto"/>
              <w:ind w:left="284" w:right="168"/>
              <w:jc w:val="center"/>
              <w:rPr>
                <w:rFonts w:ascii="Arial" w:hAnsi="Arial" w:cs="Arial"/>
              </w:rPr>
            </w:pPr>
            <w:r>
              <w:rPr>
                <w:rFonts w:ascii="Arial" w:hAnsi="Arial" w:cs="Arial"/>
              </w:rPr>
              <w:t>26.747</w:t>
            </w:r>
          </w:p>
        </w:tc>
        <w:tc>
          <w:tcPr>
            <w:tcW w:w="1871" w:type="dxa"/>
            <w:vAlign w:val="center"/>
          </w:tcPr>
          <w:p w14:paraId="5011C093">
            <w:pPr>
              <w:spacing w:before="0" w:after="0" w:line="240" w:lineRule="auto"/>
              <w:ind w:left="284" w:right="168"/>
              <w:jc w:val="center"/>
              <w:rPr>
                <w:rFonts w:ascii="Arial" w:hAnsi="Arial" w:cs="Arial"/>
              </w:rPr>
            </w:pPr>
            <w:r>
              <w:rPr>
                <w:rFonts w:ascii="Arial" w:hAnsi="Arial" w:cs="Arial"/>
              </w:rPr>
              <w:t>4427.52</w:t>
            </w:r>
          </w:p>
        </w:tc>
        <w:tc>
          <w:tcPr>
            <w:tcW w:w="2041" w:type="dxa"/>
            <w:vAlign w:val="center"/>
          </w:tcPr>
          <w:p w14:paraId="5415A789">
            <w:pPr>
              <w:spacing w:before="0" w:after="0" w:line="240" w:lineRule="auto"/>
              <w:ind w:left="284" w:right="168"/>
              <w:jc w:val="center"/>
              <w:rPr>
                <w:rFonts w:ascii="Arial" w:hAnsi="Arial" w:cs="Arial"/>
              </w:rPr>
            </w:pPr>
            <w:r>
              <w:rPr>
                <w:rFonts w:ascii="Arial" w:hAnsi="Arial" w:cs="Arial"/>
              </w:rPr>
              <w:t>10147.08</w:t>
            </w:r>
          </w:p>
        </w:tc>
      </w:tr>
      <w:tr w14:paraId="1EBA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0537AB60">
            <w:pPr>
              <w:spacing w:before="0" w:after="0" w:line="240" w:lineRule="auto"/>
              <w:ind w:left="284" w:right="168"/>
              <w:jc w:val="center"/>
              <w:rPr>
                <w:rFonts w:ascii="Arial" w:hAnsi="Arial" w:cs="Arial"/>
                <w:b/>
                <w:bCs/>
              </w:rPr>
            </w:pPr>
            <w:r>
              <w:rPr>
                <w:rFonts w:ascii="Arial" w:hAnsi="Arial" w:cs="Arial"/>
                <w:b/>
                <w:bCs/>
              </w:rPr>
              <w:t>T</w:t>
            </w:r>
            <w:r>
              <w:rPr>
                <w:rFonts w:ascii="Arial" w:hAnsi="Arial" w:cs="Arial"/>
                <w:b/>
                <w:bCs/>
                <w:vertAlign w:val="subscript"/>
              </w:rPr>
              <w:t>4</w:t>
            </w:r>
          </w:p>
        </w:tc>
        <w:tc>
          <w:tcPr>
            <w:tcW w:w="2477" w:type="dxa"/>
            <w:vAlign w:val="center"/>
          </w:tcPr>
          <w:p w14:paraId="43B622D8">
            <w:pPr>
              <w:spacing w:before="0" w:after="0" w:line="240" w:lineRule="auto"/>
              <w:ind w:left="284" w:right="168"/>
              <w:jc w:val="center"/>
              <w:rPr>
                <w:rFonts w:ascii="Arial" w:hAnsi="Arial" w:cs="Arial"/>
              </w:rPr>
            </w:pPr>
            <w:r>
              <w:rPr>
                <w:rFonts w:ascii="Arial" w:hAnsi="Arial" w:cs="Arial"/>
              </w:rPr>
              <w:t>1.3</w:t>
            </w:r>
          </w:p>
        </w:tc>
        <w:tc>
          <w:tcPr>
            <w:tcW w:w="2228" w:type="dxa"/>
            <w:vAlign w:val="center"/>
          </w:tcPr>
          <w:p w14:paraId="3D638F50">
            <w:pPr>
              <w:spacing w:before="0" w:after="0" w:line="240" w:lineRule="auto"/>
              <w:ind w:left="284" w:right="168"/>
              <w:jc w:val="center"/>
              <w:rPr>
                <w:rFonts w:ascii="Arial" w:hAnsi="Arial" w:cs="Arial"/>
              </w:rPr>
            </w:pPr>
            <w:r>
              <w:rPr>
                <w:rFonts w:ascii="Arial" w:hAnsi="Arial" w:cs="Arial"/>
              </w:rPr>
              <w:t>22.64</w:t>
            </w:r>
          </w:p>
        </w:tc>
        <w:tc>
          <w:tcPr>
            <w:tcW w:w="2098" w:type="dxa"/>
            <w:vAlign w:val="center"/>
          </w:tcPr>
          <w:p w14:paraId="2F7DB78C">
            <w:pPr>
              <w:spacing w:before="0" w:after="0" w:line="240" w:lineRule="auto"/>
              <w:ind w:left="284" w:right="168"/>
              <w:jc w:val="center"/>
              <w:rPr>
                <w:rFonts w:ascii="Arial" w:hAnsi="Arial" w:cs="Arial"/>
              </w:rPr>
            </w:pPr>
            <w:r>
              <w:rPr>
                <w:rFonts w:ascii="Arial" w:hAnsi="Arial" w:cs="Arial"/>
              </w:rPr>
              <w:t>25.643</w:t>
            </w:r>
          </w:p>
        </w:tc>
        <w:tc>
          <w:tcPr>
            <w:tcW w:w="1871" w:type="dxa"/>
            <w:vAlign w:val="center"/>
          </w:tcPr>
          <w:p w14:paraId="04F73447">
            <w:pPr>
              <w:spacing w:before="0" w:after="0" w:line="240" w:lineRule="auto"/>
              <w:ind w:left="284" w:right="168"/>
              <w:jc w:val="center"/>
              <w:rPr>
                <w:rFonts w:ascii="Arial" w:hAnsi="Arial" w:cs="Arial"/>
              </w:rPr>
            </w:pPr>
            <w:r>
              <w:rPr>
                <w:rFonts w:ascii="Arial" w:hAnsi="Arial" w:cs="Arial"/>
              </w:rPr>
              <w:t>4160.44</w:t>
            </w:r>
          </w:p>
        </w:tc>
        <w:tc>
          <w:tcPr>
            <w:tcW w:w="2041" w:type="dxa"/>
            <w:vAlign w:val="center"/>
          </w:tcPr>
          <w:p w14:paraId="1A9D4709">
            <w:pPr>
              <w:spacing w:before="0" w:after="0" w:line="240" w:lineRule="auto"/>
              <w:ind w:left="284" w:right="168"/>
              <w:jc w:val="center"/>
              <w:rPr>
                <w:rFonts w:ascii="Arial" w:hAnsi="Arial" w:cs="Arial"/>
              </w:rPr>
            </w:pPr>
            <w:r>
              <w:rPr>
                <w:rFonts w:ascii="Arial" w:hAnsi="Arial" w:cs="Arial"/>
              </w:rPr>
              <w:t>9639.81</w:t>
            </w:r>
          </w:p>
        </w:tc>
      </w:tr>
      <w:tr w14:paraId="3069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02B3F7E3">
            <w:pPr>
              <w:spacing w:before="0" w:after="0" w:line="240" w:lineRule="auto"/>
              <w:ind w:left="284" w:right="168"/>
              <w:jc w:val="center"/>
              <w:rPr>
                <w:rFonts w:ascii="Arial" w:hAnsi="Arial" w:cs="Arial"/>
                <w:b/>
                <w:bCs/>
              </w:rPr>
            </w:pPr>
            <w:r>
              <w:rPr>
                <w:rFonts w:ascii="Arial" w:hAnsi="Arial" w:cs="Arial"/>
                <w:b/>
                <w:bCs/>
              </w:rPr>
              <w:t>T</w:t>
            </w:r>
            <w:r>
              <w:rPr>
                <w:rFonts w:ascii="Arial" w:hAnsi="Arial" w:cs="Arial"/>
                <w:b/>
                <w:bCs/>
                <w:vertAlign w:val="subscript"/>
              </w:rPr>
              <w:t>5</w:t>
            </w:r>
          </w:p>
        </w:tc>
        <w:tc>
          <w:tcPr>
            <w:tcW w:w="2477" w:type="dxa"/>
            <w:vAlign w:val="center"/>
          </w:tcPr>
          <w:p w14:paraId="4D397BC8">
            <w:pPr>
              <w:spacing w:before="0" w:after="0" w:line="240" w:lineRule="auto"/>
              <w:ind w:left="284" w:right="168"/>
              <w:jc w:val="center"/>
              <w:rPr>
                <w:rFonts w:ascii="Arial" w:hAnsi="Arial" w:cs="Arial"/>
              </w:rPr>
            </w:pPr>
            <w:r>
              <w:rPr>
                <w:rFonts w:ascii="Arial" w:hAnsi="Arial" w:cs="Arial"/>
              </w:rPr>
              <w:t>1.5</w:t>
            </w:r>
          </w:p>
        </w:tc>
        <w:tc>
          <w:tcPr>
            <w:tcW w:w="2228" w:type="dxa"/>
            <w:vAlign w:val="center"/>
          </w:tcPr>
          <w:p w14:paraId="314E89F7">
            <w:pPr>
              <w:spacing w:before="0" w:after="0" w:line="240" w:lineRule="auto"/>
              <w:ind w:left="284" w:right="168"/>
              <w:jc w:val="center"/>
              <w:rPr>
                <w:rFonts w:ascii="Arial" w:hAnsi="Arial" w:cs="Arial"/>
              </w:rPr>
            </w:pPr>
            <w:r>
              <w:rPr>
                <w:rFonts w:ascii="Arial" w:hAnsi="Arial" w:cs="Arial"/>
              </w:rPr>
              <w:t>24.84</w:t>
            </w:r>
          </w:p>
        </w:tc>
        <w:tc>
          <w:tcPr>
            <w:tcW w:w="2098" w:type="dxa"/>
            <w:vAlign w:val="center"/>
          </w:tcPr>
          <w:p w14:paraId="2D0F9F33">
            <w:pPr>
              <w:spacing w:before="0" w:after="0" w:line="240" w:lineRule="auto"/>
              <w:ind w:left="284" w:right="168"/>
              <w:jc w:val="center"/>
              <w:rPr>
                <w:rFonts w:ascii="Arial" w:hAnsi="Arial" w:cs="Arial"/>
              </w:rPr>
            </w:pPr>
            <w:r>
              <w:rPr>
                <w:rFonts w:ascii="Arial" w:hAnsi="Arial" w:cs="Arial"/>
              </w:rPr>
              <w:t>28.56</w:t>
            </w:r>
          </w:p>
        </w:tc>
        <w:tc>
          <w:tcPr>
            <w:tcW w:w="1871" w:type="dxa"/>
            <w:vAlign w:val="center"/>
          </w:tcPr>
          <w:p w14:paraId="4B5B3288">
            <w:pPr>
              <w:spacing w:before="0" w:after="0" w:line="240" w:lineRule="auto"/>
              <w:ind w:left="284" w:right="168"/>
              <w:jc w:val="center"/>
              <w:rPr>
                <w:rFonts w:ascii="Arial" w:hAnsi="Arial" w:cs="Arial"/>
              </w:rPr>
            </w:pPr>
            <w:r>
              <w:rPr>
                <w:rFonts w:ascii="Arial" w:hAnsi="Arial" w:cs="Arial"/>
              </w:rPr>
              <w:t>4838.97</w:t>
            </w:r>
          </w:p>
        </w:tc>
        <w:tc>
          <w:tcPr>
            <w:tcW w:w="2041" w:type="dxa"/>
            <w:vAlign w:val="center"/>
          </w:tcPr>
          <w:p w14:paraId="04AE5E6E">
            <w:pPr>
              <w:spacing w:before="0" w:after="0" w:line="240" w:lineRule="auto"/>
              <w:ind w:left="284" w:right="168"/>
              <w:jc w:val="center"/>
              <w:rPr>
                <w:rFonts w:ascii="Arial" w:hAnsi="Arial" w:cs="Arial"/>
              </w:rPr>
            </w:pPr>
            <w:r>
              <w:rPr>
                <w:rFonts w:ascii="Arial" w:hAnsi="Arial" w:cs="Arial"/>
              </w:rPr>
              <w:t>11085.84</w:t>
            </w:r>
          </w:p>
        </w:tc>
      </w:tr>
      <w:tr w14:paraId="1E4D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557AEA4A">
            <w:pPr>
              <w:spacing w:before="0" w:after="0" w:line="240" w:lineRule="auto"/>
              <w:ind w:left="284" w:right="168"/>
              <w:jc w:val="center"/>
              <w:rPr>
                <w:rFonts w:ascii="Arial" w:hAnsi="Arial" w:cs="Arial"/>
                <w:b/>
                <w:bCs/>
              </w:rPr>
            </w:pPr>
            <w:r>
              <w:rPr>
                <w:rFonts w:ascii="Arial" w:hAnsi="Arial" w:cs="Arial"/>
                <w:b/>
                <w:bCs/>
              </w:rPr>
              <w:t>T</w:t>
            </w:r>
            <w:r>
              <w:rPr>
                <w:rFonts w:ascii="Arial" w:hAnsi="Arial" w:cs="Arial"/>
                <w:b/>
                <w:bCs/>
                <w:vertAlign w:val="subscript"/>
              </w:rPr>
              <w:t>6</w:t>
            </w:r>
          </w:p>
        </w:tc>
        <w:tc>
          <w:tcPr>
            <w:tcW w:w="2477" w:type="dxa"/>
            <w:vAlign w:val="center"/>
          </w:tcPr>
          <w:p w14:paraId="677AEB60">
            <w:pPr>
              <w:spacing w:before="0" w:after="0" w:line="240" w:lineRule="auto"/>
              <w:ind w:left="284" w:right="168"/>
              <w:jc w:val="center"/>
              <w:rPr>
                <w:rFonts w:ascii="Arial" w:hAnsi="Arial" w:cs="Arial"/>
              </w:rPr>
            </w:pPr>
            <w:r>
              <w:rPr>
                <w:rFonts w:ascii="Arial" w:hAnsi="Arial" w:cs="Arial"/>
              </w:rPr>
              <w:t>1.5</w:t>
            </w:r>
          </w:p>
        </w:tc>
        <w:tc>
          <w:tcPr>
            <w:tcW w:w="2228" w:type="dxa"/>
            <w:vAlign w:val="center"/>
          </w:tcPr>
          <w:p w14:paraId="71A4C18D">
            <w:pPr>
              <w:spacing w:before="0" w:after="0" w:line="240" w:lineRule="auto"/>
              <w:ind w:left="284" w:right="168"/>
              <w:jc w:val="center"/>
              <w:rPr>
                <w:rFonts w:ascii="Arial" w:hAnsi="Arial" w:cs="Arial"/>
              </w:rPr>
            </w:pPr>
            <w:r>
              <w:rPr>
                <w:rFonts w:ascii="Arial" w:hAnsi="Arial" w:cs="Arial"/>
              </w:rPr>
              <w:t>26.07</w:t>
            </w:r>
          </w:p>
        </w:tc>
        <w:tc>
          <w:tcPr>
            <w:tcW w:w="2098" w:type="dxa"/>
            <w:vAlign w:val="center"/>
          </w:tcPr>
          <w:p w14:paraId="58A22BD7">
            <w:pPr>
              <w:spacing w:before="0" w:after="0" w:line="240" w:lineRule="auto"/>
              <w:ind w:left="284" w:right="168"/>
              <w:jc w:val="center"/>
              <w:rPr>
                <w:rFonts w:ascii="Arial" w:hAnsi="Arial" w:cs="Arial"/>
              </w:rPr>
            </w:pPr>
            <w:r>
              <w:rPr>
                <w:rFonts w:ascii="Arial" w:hAnsi="Arial" w:cs="Arial"/>
              </w:rPr>
              <w:t>29.543</w:t>
            </w:r>
          </w:p>
        </w:tc>
        <w:tc>
          <w:tcPr>
            <w:tcW w:w="1871" w:type="dxa"/>
            <w:vAlign w:val="center"/>
          </w:tcPr>
          <w:p w14:paraId="6078CD6A">
            <w:pPr>
              <w:spacing w:before="0" w:after="0" w:line="240" w:lineRule="auto"/>
              <w:ind w:left="284" w:right="168"/>
              <w:jc w:val="center"/>
              <w:rPr>
                <w:rFonts w:ascii="Arial" w:hAnsi="Arial" w:cs="Arial"/>
              </w:rPr>
            </w:pPr>
            <w:r>
              <w:rPr>
                <w:rFonts w:ascii="Arial" w:hAnsi="Arial" w:cs="Arial"/>
              </w:rPr>
              <w:t>5237.32</w:t>
            </w:r>
          </w:p>
        </w:tc>
        <w:tc>
          <w:tcPr>
            <w:tcW w:w="2041" w:type="dxa"/>
            <w:vAlign w:val="center"/>
          </w:tcPr>
          <w:p w14:paraId="156D5472">
            <w:pPr>
              <w:spacing w:before="0" w:after="0" w:line="240" w:lineRule="auto"/>
              <w:ind w:left="284" w:right="168"/>
              <w:jc w:val="center"/>
              <w:rPr>
                <w:rFonts w:ascii="Arial" w:hAnsi="Arial" w:cs="Arial"/>
              </w:rPr>
            </w:pPr>
            <w:r>
              <w:rPr>
                <w:rFonts w:ascii="Arial" w:hAnsi="Arial" w:cs="Arial"/>
              </w:rPr>
              <w:t>11394.82</w:t>
            </w:r>
          </w:p>
        </w:tc>
      </w:tr>
      <w:tr w14:paraId="4C8C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1782CD61">
            <w:pPr>
              <w:spacing w:before="0" w:after="0" w:line="240" w:lineRule="auto"/>
              <w:ind w:left="284" w:right="168"/>
              <w:jc w:val="center"/>
              <w:rPr>
                <w:rFonts w:ascii="Arial" w:hAnsi="Arial" w:cs="Arial"/>
                <w:b/>
                <w:bCs/>
              </w:rPr>
            </w:pPr>
            <w:r>
              <w:rPr>
                <w:rFonts w:ascii="Arial" w:hAnsi="Arial" w:cs="Arial"/>
                <w:b/>
                <w:bCs/>
              </w:rPr>
              <w:t>T</w:t>
            </w:r>
            <w:r>
              <w:rPr>
                <w:rFonts w:ascii="Arial" w:hAnsi="Arial" w:cs="Arial"/>
                <w:b/>
                <w:bCs/>
                <w:vertAlign w:val="subscript"/>
              </w:rPr>
              <w:t>7</w:t>
            </w:r>
          </w:p>
        </w:tc>
        <w:tc>
          <w:tcPr>
            <w:tcW w:w="2477" w:type="dxa"/>
            <w:vAlign w:val="center"/>
          </w:tcPr>
          <w:p w14:paraId="100DD27D">
            <w:pPr>
              <w:spacing w:before="0" w:after="0" w:line="240" w:lineRule="auto"/>
              <w:ind w:left="284" w:right="168"/>
              <w:jc w:val="center"/>
              <w:rPr>
                <w:rFonts w:ascii="Arial" w:hAnsi="Arial" w:cs="Arial"/>
              </w:rPr>
            </w:pPr>
            <w:r>
              <w:rPr>
                <w:rFonts w:ascii="Arial" w:hAnsi="Arial" w:cs="Arial"/>
              </w:rPr>
              <w:t>1.7</w:t>
            </w:r>
          </w:p>
        </w:tc>
        <w:tc>
          <w:tcPr>
            <w:tcW w:w="2228" w:type="dxa"/>
            <w:vAlign w:val="center"/>
          </w:tcPr>
          <w:p w14:paraId="7D50CD7D">
            <w:pPr>
              <w:spacing w:before="0" w:after="0" w:line="240" w:lineRule="auto"/>
              <w:ind w:left="284" w:right="168"/>
              <w:jc w:val="center"/>
              <w:rPr>
                <w:rFonts w:ascii="Arial" w:hAnsi="Arial" w:cs="Arial"/>
              </w:rPr>
            </w:pPr>
            <w:r>
              <w:rPr>
                <w:rFonts w:ascii="Arial" w:hAnsi="Arial" w:cs="Arial"/>
              </w:rPr>
              <w:t>27.04</w:t>
            </w:r>
          </w:p>
        </w:tc>
        <w:tc>
          <w:tcPr>
            <w:tcW w:w="2098" w:type="dxa"/>
            <w:vAlign w:val="center"/>
          </w:tcPr>
          <w:p w14:paraId="1FE82A93">
            <w:pPr>
              <w:spacing w:before="0" w:after="0" w:line="240" w:lineRule="auto"/>
              <w:ind w:left="284" w:right="168"/>
              <w:jc w:val="center"/>
              <w:rPr>
                <w:rFonts w:ascii="Arial" w:hAnsi="Arial" w:cs="Arial"/>
              </w:rPr>
            </w:pPr>
            <w:r>
              <w:rPr>
                <w:rFonts w:ascii="Arial" w:hAnsi="Arial" w:cs="Arial"/>
              </w:rPr>
              <w:t>32.563</w:t>
            </w:r>
          </w:p>
        </w:tc>
        <w:tc>
          <w:tcPr>
            <w:tcW w:w="1871" w:type="dxa"/>
            <w:vAlign w:val="center"/>
          </w:tcPr>
          <w:p w14:paraId="28B60E1D">
            <w:pPr>
              <w:spacing w:before="0" w:after="0" w:line="240" w:lineRule="auto"/>
              <w:ind w:left="284" w:right="168"/>
              <w:jc w:val="center"/>
              <w:rPr>
                <w:rFonts w:ascii="Arial" w:hAnsi="Arial" w:cs="Arial"/>
              </w:rPr>
            </w:pPr>
            <w:r>
              <w:rPr>
                <w:rFonts w:ascii="Arial" w:hAnsi="Arial" w:cs="Arial"/>
              </w:rPr>
              <w:t>5935.09</w:t>
            </w:r>
          </w:p>
        </w:tc>
        <w:tc>
          <w:tcPr>
            <w:tcW w:w="2041" w:type="dxa"/>
            <w:vAlign w:val="center"/>
          </w:tcPr>
          <w:p w14:paraId="6B4837AA">
            <w:pPr>
              <w:spacing w:before="0" w:after="0" w:line="240" w:lineRule="auto"/>
              <w:ind w:left="284" w:right="168"/>
              <w:jc w:val="center"/>
              <w:rPr>
                <w:rFonts w:ascii="Arial" w:hAnsi="Arial" w:cs="Arial"/>
              </w:rPr>
            </w:pPr>
            <w:r>
              <w:rPr>
                <w:rFonts w:ascii="Arial" w:hAnsi="Arial" w:cs="Arial"/>
              </w:rPr>
              <w:t>12467</w:t>
            </w:r>
          </w:p>
        </w:tc>
      </w:tr>
      <w:tr w14:paraId="6F19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3F4E02B5">
            <w:pPr>
              <w:spacing w:before="0" w:after="0" w:line="240" w:lineRule="auto"/>
              <w:ind w:left="284" w:right="168"/>
              <w:jc w:val="center"/>
              <w:rPr>
                <w:rFonts w:ascii="Arial" w:hAnsi="Arial" w:cs="Arial"/>
                <w:b/>
                <w:bCs/>
              </w:rPr>
            </w:pPr>
            <w:r>
              <w:rPr>
                <w:rFonts w:ascii="Arial" w:hAnsi="Arial" w:cs="Arial"/>
                <w:b/>
                <w:bCs/>
              </w:rPr>
              <w:t>T</w:t>
            </w:r>
            <w:r>
              <w:rPr>
                <w:rFonts w:ascii="Arial" w:hAnsi="Arial" w:cs="Arial"/>
                <w:b/>
                <w:bCs/>
                <w:vertAlign w:val="subscript"/>
              </w:rPr>
              <w:t>8</w:t>
            </w:r>
          </w:p>
        </w:tc>
        <w:tc>
          <w:tcPr>
            <w:tcW w:w="2477" w:type="dxa"/>
            <w:vAlign w:val="center"/>
          </w:tcPr>
          <w:p w14:paraId="2ECAA821">
            <w:pPr>
              <w:spacing w:before="0" w:after="0" w:line="240" w:lineRule="auto"/>
              <w:ind w:left="284" w:right="168"/>
              <w:jc w:val="center"/>
              <w:rPr>
                <w:rFonts w:ascii="Arial" w:hAnsi="Arial" w:cs="Arial"/>
              </w:rPr>
            </w:pPr>
            <w:r>
              <w:rPr>
                <w:rFonts w:ascii="Arial" w:hAnsi="Arial" w:cs="Arial"/>
              </w:rPr>
              <w:t>1.7</w:t>
            </w:r>
          </w:p>
        </w:tc>
        <w:tc>
          <w:tcPr>
            <w:tcW w:w="2228" w:type="dxa"/>
            <w:vAlign w:val="center"/>
          </w:tcPr>
          <w:p w14:paraId="2FA0D3AE">
            <w:pPr>
              <w:spacing w:before="0" w:after="0" w:line="240" w:lineRule="auto"/>
              <w:ind w:left="284" w:right="168"/>
              <w:jc w:val="center"/>
              <w:rPr>
                <w:rFonts w:ascii="Arial" w:hAnsi="Arial" w:cs="Arial"/>
              </w:rPr>
            </w:pPr>
            <w:r>
              <w:rPr>
                <w:rFonts w:ascii="Arial" w:hAnsi="Arial" w:cs="Arial"/>
              </w:rPr>
              <w:t>26.75</w:t>
            </w:r>
          </w:p>
        </w:tc>
        <w:tc>
          <w:tcPr>
            <w:tcW w:w="2098" w:type="dxa"/>
            <w:vAlign w:val="center"/>
          </w:tcPr>
          <w:p w14:paraId="47E57DF2">
            <w:pPr>
              <w:spacing w:before="0" w:after="0" w:line="240" w:lineRule="auto"/>
              <w:ind w:left="284" w:right="168"/>
              <w:jc w:val="center"/>
              <w:rPr>
                <w:rFonts w:ascii="Arial" w:hAnsi="Arial" w:cs="Arial"/>
              </w:rPr>
            </w:pPr>
            <w:r>
              <w:rPr>
                <w:rFonts w:ascii="Arial" w:hAnsi="Arial" w:cs="Arial"/>
              </w:rPr>
              <w:t>31.45</w:t>
            </w:r>
          </w:p>
        </w:tc>
        <w:tc>
          <w:tcPr>
            <w:tcW w:w="1871" w:type="dxa"/>
            <w:vAlign w:val="center"/>
          </w:tcPr>
          <w:p w14:paraId="4A1D8E8C">
            <w:pPr>
              <w:spacing w:before="0" w:after="0" w:line="240" w:lineRule="auto"/>
              <w:ind w:left="284" w:right="168"/>
              <w:jc w:val="center"/>
              <w:rPr>
                <w:rFonts w:ascii="Arial" w:hAnsi="Arial" w:cs="Arial"/>
              </w:rPr>
            </w:pPr>
            <w:r>
              <w:rPr>
                <w:rFonts w:ascii="Arial" w:hAnsi="Arial" w:cs="Arial"/>
              </w:rPr>
              <w:t>5533.32</w:t>
            </w:r>
          </w:p>
        </w:tc>
        <w:tc>
          <w:tcPr>
            <w:tcW w:w="2041" w:type="dxa"/>
            <w:vAlign w:val="center"/>
          </w:tcPr>
          <w:p w14:paraId="6AF25E55">
            <w:pPr>
              <w:spacing w:before="0" w:after="0" w:line="240" w:lineRule="auto"/>
              <w:ind w:left="284" w:right="168"/>
              <w:jc w:val="center"/>
              <w:rPr>
                <w:rFonts w:ascii="Arial" w:hAnsi="Arial" w:cs="Arial"/>
              </w:rPr>
            </w:pPr>
            <w:r>
              <w:rPr>
                <w:rFonts w:ascii="Arial" w:hAnsi="Arial" w:cs="Arial"/>
              </w:rPr>
              <w:t>11842.13</w:t>
            </w:r>
          </w:p>
        </w:tc>
      </w:tr>
      <w:tr w14:paraId="0F5C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4E1B3A88">
            <w:pPr>
              <w:spacing w:before="0" w:after="0" w:line="240" w:lineRule="auto"/>
              <w:ind w:left="284" w:right="168"/>
              <w:jc w:val="center"/>
              <w:rPr>
                <w:rFonts w:ascii="Arial" w:hAnsi="Arial" w:cs="Arial"/>
                <w:b/>
                <w:bCs/>
              </w:rPr>
            </w:pPr>
            <w:r>
              <w:rPr>
                <w:rFonts w:ascii="Arial" w:hAnsi="Arial" w:cs="Arial"/>
                <w:b/>
                <w:bCs/>
              </w:rPr>
              <w:t>T</w:t>
            </w:r>
            <w:r>
              <w:rPr>
                <w:rFonts w:ascii="Arial" w:hAnsi="Arial" w:cs="Arial"/>
                <w:b/>
                <w:bCs/>
                <w:vertAlign w:val="subscript"/>
              </w:rPr>
              <w:t>9</w:t>
            </w:r>
          </w:p>
        </w:tc>
        <w:tc>
          <w:tcPr>
            <w:tcW w:w="2477" w:type="dxa"/>
            <w:vAlign w:val="center"/>
          </w:tcPr>
          <w:p w14:paraId="05A15797">
            <w:pPr>
              <w:spacing w:before="0" w:after="0" w:line="240" w:lineRule="auto"/>
              <w:ind w:left="284" w:right="168"/>
              <w:jc w:val="center"/>
              <w:rPr>
                <w:rFonts w:ascii="Arial" w:hAnsi="Arial" w:cs="Arial"/>
              </w:rPr>
            </w:pPr>
            <w:r>
              <w:rPr>
                <w:rFonts w:ascii="Arial" w:hAnsi="Arial" w:cs="Arial"/>
              </w:rPr>
              <w:t>1.3</w:t>
            </w:r>
          </w:p>
        </w:tc>
        <w:tc>
          <w:tcPr>
            <w:tcW w:w="2228" w:type="dxa"/>
            <w:vAlign w:val="center"/>
          </w:tcPr>
          <w:p w14:paraId="19A9E9B7">
            <w:pPr>
              <w:spacing w:before="0" w:after="0" w:line="240" w:lineRule="auto"/>
              <w:ind w:left="284" w:right="168"/>
              <w:jc w:val="center"/>
              <w:rPr>
                <w:rFonts w:ascii="Arial" w:hAnsi="Arial" w:cs="Arial"/>
              </w:rPr>
            </w:pPr>
            <w:r>
              <w:rPr>
                <w:rFonts w:ascii="Arial" w:hAnsi="Arial" w:cs="Arial"/>
              </w:rPr>
              <w:t>21.84</w:t>
            </w:r>
          </w:p>
        </w:tc>
        <w:tc>
          <w:tcPr>
            <w:tcW w:w="2098" w:type="dxa"/>
            <w:vAlign w:val="center"/>
          </w:tcPr>
          <w:p w14:paraId="2677CB41">
            <w:pPr>
              <w:spacing w:before="0" w:after="0" w:line="240" w:lineRule="auto"/>
              <w:ind w:left="284" w:right="168"/>
              <w:jc w:val="center"/>
              <w:rPr>
                <w:rFonts w:ascii="Arial" w:hAnsi="Arial" w:cs="Arial"/>
              </w:rPr>
            </w:pPr>
            <w:r>
              <w:rPr>
                <w:rFonts w:ascii="Arial" w:hAnsi="Arial" w:cs="Arial"/>
              </w:rPr>
              <w:t>24.253</w:t>
            </w:r>
          </w:p>
        </w:tc>
        <w:tc>
          <w:tcPr>
            <w:tcW w:w="1871" w:type="dxa"/>
            <w:vAlign w:val="center"/>
          </w:tcPr>
          <w:p w14:paraId="5CBD31D0">
            <w:pPr>
              <w:spacing w:before="0" w:after="0" w:line="240" w:lineRule="auto"/>
              <w:ind w:left="284" w:right="168"/>
              <w:jc w:val="center"/>
              <w:rPr>
                <w:rFonts w:ascii="Arial" w:hAnsi="Arial" w:cs="Arial"/>
              </w:rPr>
            </w:pPr>
            <w:r>
              <w:rPr>
                <w:rFonts w:ascii="Arial" w:hAnsi="Arial" w:cs="Arial"/>
              </w:rPr>
              <w:t>3849.4</w:t>
            </w:r>
          </w:p>
        </w:tc>
        <w:tc>
          <w:tcPr>
            <w:tcW w:w="2041" w:type="dxa"/>
            <w:vAlign w:val="center"/>
          </w:tcPr>
          <w:p w14:paraId="612CD10D">
            <w:pPr>
              <w:spacing w:before="0" w:after="0" w:line="240" w:lineRule="auto"/>
              <w:ind w:left="284" w:right="168"/>
              <w:jc w:val="center"/>
              <w:rPr>
                <w:rFonts w:ascii="Arial" w:hAnsi="Arial" w:cs="Arial"/>
              </w:rPr>
            </w:pPr>
            <w:r>
              <w:rPr>
                <w:rFonts w:ascii="Arial" w:hAnsi="Arial" w:cs="Arial"/>
              </w:rPr>
              <w:t>9251.61</w:t>
            </w:r>
          </w:p>
        </w:tc>
      </w:tr>
      <w:tr w14:paraId="524A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764158B6">
            <w:pPr>
              <w:spacing w:before="0" w:after="0" w:line="240" w:lineRule="auto"/>
              <w:ind w:left="284" w:right="168"/>
              <w:jc w:val="center"/>
              <w:rPr>
                <w:rFonts w:ascii="Arial" w:hAnsi="Arial" w:cs="Arial"/>
                <w:b/>
                <w:bCs/>
              </w:rPr>
            </w:pPr>
            <w:r>
              <w:rPr>
                <w:rFonts w:ascii="Arial" w:hAnsi="Arial" w:cs="Arial"/>
                <w:b/>
                <w:bCs/>
              </w:rPr>
              <w:t>T</w:t>
            </w:r>
            <w:r>
              <w:rPr>
                <w:rFonts w:ascii="Arial" w:hAnsi="Arial" w:cs="Arial"/>
                <w:b/>
                <w:bCs/>
                <w:vertAlign w:val="subscript"/>
              </w:rPr>
              <w:t>10</w:t>
            </w:r>
          </w:p>
        </w:tc>
        <w:tc>
          <w:tcPr>
            <w:tcW w:w="2477" w:type="dxa"/>
            <w:vAlign w:val="center"/>
          </w:tcPr>
          <w:p w14:paraId="43F52BF6">
            <w:pPr>
              <w:spacing w:before="0" w:after="0" w:line="240" w:lineRule="auto"/>
              <w:ind w:left="284" w:right="168"/>
              <w:jc w:val="center"/>
              <w:rPr>
                <w:rFonts w:ascii="Arial" w:hAnsi="Arial" w:cs="Arial"/>
              </w:rPr>
            </w:pPr>
            <w:r>
              <w:rPr>
                <w:rFonts w:ascii="Arial" w:hAnsi="Arial" w:cs="Arial"/>
              </w:rPr>
              <w:t>1.8</w:t>
            </w:r>
          </w:p>
        </w:tc>
        <w:tc>
          <w:tcPr>
            <w:tcW w:w="2228" w:type="dxa"/>
            <w:vAlign w:val="center"/>
          </w:tcPr>
          <w:p w14:paraId="2FA4614C">
            <w:pPr>
              <w:spacing w:before="0" w:after="0" w:line="240" w:lineRule="auto"/>
              <w:ind w:left="284" w:right="168"/>
              <w:jc w:val="center"/>
              <w:rPr>
                <w:rFonts w:ascii="Arial" w:hAnsi="Arial" w:cs="Arial"/>
              </w:rPr>
            </w:pPr>
            <w:r>
              <w:rPr>
                <w:rFonts w:ascii="Arial" w:hAnsi="Arial" w:cs="Arial"/>
              </w:rPr>
              <w:t>27.88</w:t>
            </w:r>
          </w:p>
        </w:tc>
        <w:tc>
          <w:tcPr>
            <w:tcW w:w="2098" w:type="dxa"/>
            <w:vAlign w:val="center"/>
          </w:tcPr>
          <w:p w14:paraId="50356DC9">
            <w:pPr>
              <w:spacing w:before="0" w:after="0" w:line="240" w:lineRule="auto"/>
              <w:ind w:left="284" w:right="168"/>
              <w:jc w:val="center"/>
              <w:rPr>
                <w:rFonts w:ascii="Arial" w:hAnsi="Arial" w:cs="Arial"/>
              </w:rPr>
            </w:pPr>
            <w:r>
              <w:rPr>
                <w:rFonts w:ascii="Arial" w:hAnsi="Arial" w:cs="Arial"/>
              </w:rPr>
              <w:t>34.237</w:t>
            </w:r>
          </w:p>
        </w:tc>
        <w:tc>
          <w:tcPr>
            <w:tcW w:w="1871" w:type="dxa"/>
            <w:vAlign w:val="center"/>
          </w:tcPr>
          <w:p w14:paraId="2CC1954F">
            <w:pPr>
              <w:spacing w:before="0" w:after="0" w:line="240" w:lineRule="auto"/>
              <w:ind w:left="284" w:right="168"/>
              <w:jc w:val="center"/>
              <w:rPr>
                <w:rFonts w:ascii="Arial" w:hAnsi="Arial" w:cs="Arial"/>
              </w:rPr>
            </w:pPr>
            <w:r>
              <w:rPr>
                <w:rFonts w:ascii="Arial" w:hAnsi="Arial" w:cs="Arial"/>
              </w:rPr>
              <w:t>6256.55</w:t>
            </w:r>
          </w:p>
        </w:tc>
        <w:tc>
          <w:tcPr>
            <w:tcW w:w="2041" w:type="dxa"/>
            <w:vAlign w:val="center"/>
          </w:tcPr>
          <w:p w14:paraId="1989B0A6">
            <w:pPr>
              <w:spacing w:before="0" w:after="0" w:line="240" w:lineRule="auto"/>
              <w:ind w:left="284" w:right="168"/>
              <w:jc w:val="center"/>
              <w:rPr>
                <w:rFonts w:ascii="Arial" w:hAnsi="Arial" w:cs="Arial"/>
              </w:rPr>
            </w:pPr>
            <w:r>
              <w:rPr>
                <w:rFonts w:ascii="Arial" w:hAnsi="Arial" w:cs="Arial"/>
              </w:rPr>
              <w:t>12749.18</w:t>
            </w:r>
          </w:p>
        </w:tc>
      </w:tr>
      <w:tr w14:paraId="7C76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0FF35E3A">
            <w:pPr>
              <w:spacing w:before="0" w:after="0" w:line="240" w:lineRule="auto"/>
              <w:ind w:left="284" w:right="168"/>
              <w:jc w:val="center"/>
              <w:rPr>
                <w:rFonts w:ascii="Arial" w:hAnsi="Arial" w:cs="Arial"/>
                <w:b/>
                <w:bCs/>
              </w:rPr>
            </w:pPr>
            <w:r>
              <w:rPr>
                <w:rFonts w:ascii="Arial" w:hAnsi="Arial" w:cs="Arial"/>
                <w:b/>
                <w:bCs/>
              </w:rPr>
              <w:t>T</w:t>
            </w:r>
            <w:r>
              <w:rPr>
                <w:rFonts w:ascii="Arial" w:hAnsi="Arial" w:cs="Arial"/>
                <w:b/>
                <w:bCs/>
                <w:vertAlign w:val="subscript"/>
              </w:rPr>
              <w:t>11</w:t>
            </w:r>
          </w:p>
        </w:tc>
        <w:tc>
          <w:tcPr>
            <w:tcW w:w="2477" w:type="dxa"/>
            <w:vAlign w:val="center"/>
          </w:tcPr>
          <w:p w14:paraId="06729A49">
            <w:pPr>
              <w:spacing w:before="0" w:after="0" w:line="240" w:lineRule="auto"/>
              <w:ind w:left="284" w:right="168"/>
              <w:jc w:val="center"/>
              <w:rPr>
                <w:rFonts w:ascii="Arial" w:hAnsi="Arial" w:cs="Arial"/>
              </w:rPr>
            </w:pPr>
            <w:r>
              <w:rPr>
                <w:rFonts w:ascii="Arial" w:hAnsi="Arial" w:cs="Arial"/>
              </w:rPr>
              <w:t>1.1</w:t>
            </w:r>
          </w:p>
        </w:tc>
        <w:tc>
          <w:tcPr>
            <w:tcW w:w="2228" w:type="dxa"/>
            <w:vAlign w:val="center"/>
          </w:tcPr>
          <w:p w14:paraId="7595935F">
            <w:pPr>
              <w:spacing w:before="0" w:after="0" w:line="240" w:lineRule="auto"/>
              <w:ind w:left="284" w:right="168"/>
              <w:jc w:val="center"/>
              <w:rPr>
                <w:rFonts w:ascii="Arial" w:hAnsi="Arial" w:cs="Arial"/>
              </w:rPr>
            </w:pPr>
            <w:r>
              <w:rPr>
                <w:rFonts w:ascii="Arial" w:hAnsi="Arial" w:cs="Arial"/>
              </w:rPr>
              <w:t>17.34</w:t>
            </w:r>
          </w:p>
        </w:tc>
        <w:tc>
          <w:tcPr>
            <w:tcW w:w="2098" w:type="dxa"/>
            <w:vAlign w:val="center"/>
          </w:tcPr>
          <w:p w14:paraId="06438DD7">
            <w:pPr>
              <w:spacing w:before="0" w:after="0" w:line="240" w:lineRule="auto"/>
              <w:ind w:left="284" w:right="168"/>
              <w:jc w:val="center"/>
              <w:rPr>
                <w:rFonts w:ascii="Arial" w:hAnsi="Arial" w:cs="Arial"/>
              </w:rPr>
            </w:pPr>
            <w:r>
              <w:rPr>
                <w:rFonts w:ascii="Arial" w:hAnsi="Arial" w:cs="Arial"/>
              </w:rPr>
              <w:t>17.45</w:t>
            </w:r>
          </w:p>
        </w:tc>
        <w:tc>
          <w:tcPr>
            <w:tcW w:w="1871" w:type="dxa"/>
            <w:vAlign w:val="center"/>
          </w:tcPr>
          <w:p w14:paraId="68A51AFD">
            <w:pPr>
              <w:spacing w:before="0" w:after="0" w:line="240" w:lineRule="auto"/>
              <w:ind w:left="284" w:right="168"/>
              <w:jc w:val="center"/>
              <w:rPr>
                <w:rFonts w:ascii="Arial" w:hAnsi="Arial" w:cs="Arial"/>
              </w:rPr>
            </w:pPr>
            <w:r>
              <w:rPr>
                <w:rFonts w:ascii="Arial" w:hAnsi="Arial" w:cs="Arial"/>
              </w:rPr>
              <w:t>2983.35</w:t>
            </w:r>
          </w:p>
        </w:tc>
        <w:tc>
          <w:tcPr>
            <w:tcW w:w="2041" w:type="dxa"/>
            <w:vAlign w:val="center"/>
          </w:tcPr>
          <w:p w14:paraId="21094A5B">
            <w:pPr>
              <w:spacing w:before="0" w:after="0" w:line="240" w:lineRule="auto"/>
              <w:ind w:left="284" w:right="168"/>
              <w:jc w:val="center"/>
              <w:rPr>
                <w:rFonts w:ascii="Arial" w:hAnsi="Arial" w:cs="Arial"/>
              </w:rPr>
            </w:pPr>
            <w:r>
              <w:rPr>
                <w:rFonts w:ascii="Arial" w:hAnsi="Arial" w:cs="Arial"/>
              </w:rPr>
              <w:t>7850.43</w:t>
            </w:r>
          </w:p>
        </w:tc>
      </w:tr>
      <w:tr w14:paraId="15BA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62A2408E">
            <w:pPr>
              <w:spacing w:before="0" w:after="0" w:line="240" w:lineRule="auto"/>
              <w:ind w:left="284" w:right="168"/>
              <w:jc w:val="center"/>
              <w:rPr>
                <w:rFonts w:ascii="Arial" w:hAnsi="Arial" w:cs="Arial"/>
              </w:rPr>
            </w:pPr>
            <w:r>
              <w:rPr>
                <w:rFonts w:ascii="Arial" w:hAnsi="Arial" w:cs="Arial"/>
              </w:rPr>
              <w:t>SE(d)</w:t>
            </w:r>
          </w:p>
        </w:tc>
        <w:tc>
          <w:tcPr>
            <w:tcW w:w="2477" w:type="dxa"/>
            <w:vAlign w:val="center"/>
          </w:tcPr>
          <w:p w14:paraId="0593701D">
            <w:pPr>
              <w:spacing w:before="0" w:after="0" w:line="240" w:lineRule="auto"/>
              <w:ind w:left="284" w:right="168"/>
              <w:jc w:val="center"/>
              <w:rPr>
                <w:rFonts w:ascii="Arial" w:hAnsi="Arial" w:cs="Arial"/>
              </w:rPr>
            </w:pPr>
            <w:r>
              <w:rPr>
                <w:rFonts w:ascii="Arial" w:hAnsi="Arial" w:cs="Arial"/>
              </w:rPr>
              <w:t>0.001</w:t>
            </w:r>
          </w:p>
        </w:tc>
        <w:tc>
          <w:tcPr>
            <w:tcW w:w="2228" w:type="dxa"/>
            <w:vAlign w:val="center"/>
          </w:tcPr>
          <w:p w14:paraId="0440CAED">
            <w:pPr>
              <w:spacing w:before="0" w:after="0" w:line="240" w:lineRule="auto"/>
              <w:ind w:left="284" w:right="168"/>
              <w:jc w:val="center"/>
              <w:rPr>
                <w:rFonts w:ascii="Arial" w:hAnsi="Arial" w:cs="Arial"/>
              </w:rPr>
            </w:pPr>
            <w:r>
              <w:rPr>
                <w:rFonts w:ascii="Arial" w:hAnsi="Arial" w:cs="Arial"/>
              </w:rPr>
              <w:t>0.2</w:t>
            </w:r>
          </w:p>
        </w:tc>
        <w:tc>
          <w:tcPr>
            <w:tcW w:w="2098" w:type="dxa"/>
            <w:vAlign w:val="center"/>
          </w:tcPr>
          <w:p w14:paraId="44B59707">
            <w:pPr>
              <w:spacing w:before="0" w:after="0" w:line="240" w:lineRule="auto"/>
              <w:ind w:left="284" w:right="168"/>
              <w:jc w:val="center"/>
              <w:rPr>
                <w:rFonts w:ascii="Arial" w:hAnsi="Arial" w:cs="Arial"/>
              </w:rPr>
            </w:pPr>
            <w:r>
              <w:rPr>
                <w:rFonts w:ascii="Arial" w:hAnsi="Arial" w:cs="Arial"/>
              </w:rPr>
              <w:t>0.021</w:t>
            </w:r>
          </w:p>
        </w:tc>
        <w:tc>
          <w:tcPr>
            <w:tcW w:w="1871" w:type="dxa"/>
            <w:vAlign w:val="center"/>
          </w:tcPr>
          <w:p w14:paraId="056FB27A">
            <w:pPr>
              <w:spacing w:before="0" w:after="0" w:line="240" w:lineRule="auto"/>
              <w:ind w:left="284" w:right="168"/>
              <w:jc w:val="center"/>
              <w:rPr>
                <w:rFonts w:ascii="Arial" w:hAnsi="Arial" w:cs="Arial"/>
              </w:rPr>
            </w:pPr>
            <w:r>
              <w:rPr>
                <w:rFonts w:ascii="Arial" w:hAnsi="Arial" w:cs="Arial"/>
              </w:rPr>
              <w:t>22.049</w:t>
            </w:r>
          </w:p>
        </w:tc>
        <w:tc>
          <w:tcPr>
            <w:tcW w:w="2041" w:type="dxa"/>
            <w:vAlign w:val="center"/>
          </w:tcPr>
          <w:p w14:paraId="291E9803">
            <w:pPr>
              <w:spacing w:before="0" w:after="0" w:line="240" w:lineRule="auto"/>
              <w:ind w:left="284" w:right="168"/>
              <w:jc w:val="center"/>
              <w:rPr>
                <w:rFonts w:ascii="Arial" w:hAnsi="Arial" w:cs="Arial"/>
              </w:rPr>
            </w:pPr>
            <w:r>
              <w:rPr>
                <w:rFonts w:ascii="Arial" w:hAnsi="Arial" w:cs="Arial"/>
              </w:rPr>
              <w:t>138.195</w:t>
            </w:r>
          </w:p>
        </w:tc>
      </w:tr>
      <w:tr w14:paraId="021A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4" w:type="dxa"/>
            <w:vAlign w:val="center"/>
          </w:tcPr>
          <w:p w14:paraId="2BE43A2A">
            <w:pPr>
              <w:spacing w:before="0" w:after="0" w:line="240" w:lineRule="auto"/>
              <w:ind w:left="284" w:right="168"/>
              <w:jc w:val="center"/>
              <w:rPr>
                <w:rFonts w:ascii="Arial" w:hAnsi="Arial" w:cs="Arial"/>
                <w:b/>
                <w:bCs/>
              </w:rPr>
            </w:pPr>
            <w:r>
              <w:rPr>
                <w:rFonts w:ascii="Arial" w:hAnsi="Arial" w:cs="Arial"/>
                <w:b/>
                <w:bCs/>
              </w:rPr>
              <w:t>CD (5%)</w:t>
            </w:r>
          </w:p>
        </w:tc>
        <w:tc>
          <w:tcPr>
            <w:tcW w:w="2477" w:type="dxa"/>
            <w:vAlign w:val="center"/>
          </w:tcPr>
          <w:p w14:paraId="6D983346">
            <w:pPr>
              <w:spacing w:before="0" w:after="0" w:line="240" w:lineRule="auto"/>
              <w:ind w:left="284" w:right="168"/>
              <w:jc w:val="center"/>
              <w:rPr>
                <w:rFonts w:ascii="Arial" w:hAnsi="Arial" w:cs="Arial"/>
                <w:b/>
                <w:bCs/>
              </w:rPr>
            </w:pPr>
            <w:r>
              <w:rPr>
                <w:rFonts w:ascii="Arial" w:hAnsi="Arial" w:cs="Arial"/>
                <w:b/>
                <w:bCs/>
              </w:rPr>
              <w:t>0.003</w:t>
            </w:r>
          </w:p>
        </w:tc>
        <w:tc>
          <w:tcPr>
            <w:tcW w:w="2228" w:type="dxa"/>
            <w:vAlign w:val="center"/>
          </w:tcPr>
          <w:p w14:paraId="02F3F25B">
            <w:pPr>
              <w:spacing w:before="0" w:after="0" w:line="240" w:lineRule="auto"/>
              <w:ind w:left="284" w:right="168"/>
              <w:jc w:val="center"/>
              <w:rPr>
                <w:rFonts w:ascii="Arial" w:hAnsi="Arial" w:cs="Arial"/>
                <w:b/>
                <w:bCs/>
              </w:rPr>
            </w:pPr>
            <w:r>
              <w:rPr>
                <w:rFonts w:ascii="Arial" w:hAnsi="Arial" w:cs="Arial"/>
                <w:b/>
                <w:bCs/>
              </w:rPr>
              <w:t>0.41</w:t>
            </w:r>
          </w:p>
        </w:tc>
        <w:tc>
          <w:tcPr>
            <w:tcW w:w="2098" w:type="dxa"/>
            <w:vAlign w:val="center"/>
          </w:tcPr>
          <w:p w14:paraId="63A52C27">
            <w:pPr>
              <w:spacing w:before="0" w:after="0" w:line="240" w:lineRule="auto"/>
              <w:ind w:left="284" w:right="168"/>
              <w:jc w:val="center"/>
              <w:rPr>
                <w:rFonts w:ascii="Arial" w:hAnsi="Arial" w:cs="Arial"/>
                <w:b/>
                <w:bCs/>
              </w:rPr>
            </w:pPr>
            <w:r>
              <w:rPr>
                <w:rFonts w:ascii="Arial" w:hAnsi="Arial" w:cs="Arial"/>
                <w:b/>
                <w:bCs/>
              </w:rPr>
              <w:t>0.044</w:t>
            </w:r>
          </w:p>
        </w:tc>
        <w:tc>
          <w:tcPr>
            <w:tcW w:w="1871" w:type="dxa"/>
            <w:vAlign w:val="center"/>
          </w:tcPr>
          <w:p w14:paraId="529BBC9F">
            <w:pPr>
              <w:spacing w:before="0" w:after="0" w:line="240" w:lineRule="auto"/>
              <w:ind w:left="284" w:right="168"/>
              <w:jc w:val="center"/>
              <w:rPr>
                <w:rFonts w:ascii="Arial" w:hAnsi="Arial" w:cs="Arial"/>
                <w:b/>
                <w:bCs/>
              </w:rPr>
            </w:pPr>
            <w:r>
              <w:rPr>
                <w:rFonts w:ascii="Arial" w:hAnsi="Arial" w:cs="Arial"/>
                <w:b/>
                <w:bCs/>
              </w:rPr>
              <w:t>45.993</w:t>
            </w:r>
          </w:p>
        </w:tc>
        <w:tc>
          <w:tcPr>
            <w:tcW w:w="2041" w:type="dxa"/>
            <w:vAlign w:val="center"/>
          </w:tcPr>
          <w:p w14:paraId="3B9FF22F">
            <w:pPr>
              <w:spacing w:before="0" w:after="0" w:line="240" w:lineRule="auto"/>
              <w:ind w:left="284" w:right="168"/>
              <w:jc w:val="center"/>
              <w:rPr>
                <w:rFonts w:ascii="Arial" w:hAnsi="Arial" w:cs="Arial"/>
                <w:b/>
                <w:bCs/>
              </w:rPr>
            </w:pPr>
            <w:r>
              <w:rPr>
                <w:rFonts w:ascii="Arial" w:hAnsi="Arial" w:cs="Arial"/>
                <w:b/>
                <w:bCs/>
              </w:rPr>
              <w:t>288.27</w:t>
            </w:r>
            <w:bookmarkEnd w:id="0"/>
          </w:p>
        </w:tc>
      </w:tr>
    </w:tbl>
    <w:p w14:paraId="03CE6756">
      <w:pPr>
        <w:spacing w:before="240" w:after="160"/>
        <w:jc w:val="left"/>
        <w:rPr>
          <w:rFonts w:ascii="Arial" w:hAnsi="Arial" w:cs="Arial"/>
          <w:b/>
          <w:bCs/>
          <w:kern w:val="0"/>
          <w:lang w:eastAsia="en-US"/>
        </w:rPr>
      </w:pPr>
    </w:p>
    <w:p w14:paraId="313B8DFF">
      <w:pPr>
        <w:spacing w:before="240" w:after="160"/>
        <w:jc w:val="left"/>
        <w:rPr>
          <w:rFonts w:ascii="Arial" w:hAnsi="Arial" w:cs="Arial"/>
          <w:b/>
          <w:bCs/>
          <w:kern w:val="0"/>
          <w:lang w:eastAsia="en-US"/>
        </w:rPr>
        <w:sectPr>
          <w:pgSz w:w="16838" w:h="11906" w:orient="landscape"/>
          <w:pgMar w:top="851" w:right="1080" w:bottom="709" w:left="1080" w:header="708" w:footer="708" w:gutter="0"/>
          <w:cols w:space="708" w:num="1"/>
          <w:titlePg/>
          <w:docGrid w:linePitch="360" w:charSpace="0"/>
        </w:sectPr>
      </w:pPr>
    </w:p>
    <w:p w14:paraId="4F8031DA">
      <w:pPr>
        <w:spacing w:before="0" w:after="160" w:line="276" w:lineRule="auto"/>
        <w:jc w:val="center"/>
        <w:rPr>
          <w:rFonts w:ascii="Arial" w:hAnsi="Arial" w:cs="Arial"/>
          <w:lang w:bidi="ta-IN"/>
        </w:rPr>
      </w:pPr>
    </w:p>
    <w:p w14:paraId="1409CDDE">
      <w:pPr>
        <w:spacing w:before="0" w:after="160" w:line="276" w:lineRule="auto"/>
        <w:jc w:val="center"/>
        <w:rPr>
          <w:rFonts w:ascii="Arial" w:hAnsi="Arial" w:cs="Arial"/>
          <w:lang w:bidi="ta-IN"/>
        </w:rPr>
      </w:pPr>
      <w:r>
        <w:rPr>
          <w:rFonts w:ascii="Arial" w:hAnsi="Arial" w:cs="Arial"/>
        </w:rPr>
        <mc:AlternateContent>
          <mc:Choice Requires="wps">
            <w:drawing>
              <wp:anchor distT="0" distB="0" distL="114300" distR="114300" simplePos="0" relativeHeight="251661312" behindDoc="0" locked="0" layoutInCell="1" allowOverlap="1">
                <wp:simplePos x="0" y="0"/>
                <wp:positionH relativeFrom="column">
                  <wp:posOffset>476250</wp:posOffset>
                </wp:positionH>
                <wp:positionV relativeFrom="paragraph">
                  <wp:posOffset>1314450</wp:posOffset>
                </wp:positionV>
                <wp:extent cx="3533775" cy="307975"/>
                <wp:effectExtent l="50800" t="38100" r="34925" b="85725"/>
                <wp:wrapNone/>
                <wp:docPr id="1082091764" name="Straight Arrow Connector 1"/>
                <wp:cNvGraphicFramePr/>
                <a:graphic xmlns:a="http://schemas.openxmlformats.org/drawingml/2006/main">
                  <a:graphicData uri="http://schemas.microsoft.com/office/word/2010/wordprocessingShape">
                    <wps:wsp>
                      <wps:cNvCnPr/>
                      <wps:spPr>
                        <a:xfrm>
                          <a:off x="0" y="0"/>
                          <a:ext cx="3533775" cy="307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 o:spid="_x0000_s1026" o:spt="32" type="#_x0000_t32" style="position:absolute;left:0pt;margin-left:37.5pt;margin-top:103.5pt;height:24.25pt;width:278.25pt;z-index:251661312;mso-width-relative:page;mso-height-relative:page;" filled="f" stroked="t" coordsize="21600,21600" o:gfxdata="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E3te2QAAAAoBAAAPAAAAAAAAAAEAIAAAACIAAABkcnMvZG93bnJldi54&#10;bWxQSwECFAAUAAAACACHTuJAY38QUfkBAADzAwAADgAAAAAAAAABACAAAAAoAQAAZHJzL2Uyb0Rv&#10;Yy54bWxQSwUGAAAAAAYABgBZAQAAkwUAAAAA&#10;">
                <v:fill on="f" focussize="0,0"/>
                <v:stroke weight="1pt" color="#000000 [3200]" miterlimit="8" joinstyle="miter" endarrow="block"/>
                <v:imagedata o:title=""/>
                <o:lock v:ext="edit" aspectratio="f"/>
              </v:shape>
            </w:pict>
          </mc:Fallback>
        </mc:AlternateContent>
      </w:r>
      <w:r>
        <w:rPr>
          <w:rFonts w:ascii="Arial" w:hAnsi="Arial" w:cs="Arial"/>
        </w:rPr>
        <w:drawing>
          <wp:anchor distT="0" distB="0" distL="114300" distR="114300" simplePos="0" relativeHeight="251660288" behindDoc="1" locked="0" layoutInCell="1" allowOverlap="1">
            <wp:simplePos x="0" y="0"/>
            <wp:positionH relativeFrom="column">
              <wp:posOffset>2524125</wp:posOffset>
            </wp:positionH>
            <wp:positionV relativeFrom="paragraph">
              <wp:posOffset>419100</wp:posOffset>
            </wp:positionV>
            <wp:extent cx="3159125" cy="2153285"/>
            <wp:effectExtent l="0" t="0" r="3175" b="0"/>
            <wp:wrapTight wrapText="bothSides">
              <wp:wrapPolygon>
                <wp:start x="0" y="0"/>
                <wp:lineTo x="0" y="21403"/>
                <wp:lineTo x="21491" y="21403"/>
                <wp:lineTo x="21491" y="0"/>
                <wp:lineTo x="0" y="0"/>
              </wp:wrapPolygon>
            </wp:wrapTight>
            <wp:docPr id="1816891348" name="Picture 4" descr="KCODE: Courses, Admission 2025, Cutoff, Fees, Placements, Ra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91348" name="Picture 4" descr="KCODE: Courses, Admission 2025, Cutoff, Fees, Placements, Ranking"/>
                    <pic:cNvPicPr>
                      <a:picLocks noChangeAspect="1" noChangeArrowheads="1"/>
                    </pic:cNvPicPr>
                  </pic:nvPicPr>
                  <pic:blipFill>
                    <a:blip r:embed="rId14"/>
                    <a:srcRect/>
                    <a:stretch>
                      <a:fillRect/>
                    </a:stretch>
                  </pic:blipFill>
                  <pic:spPr>
                    <a:xfrm>
                      <a:off x="0" y="0"/>
                      <a:ext cx="3159125" cy="2153285"/>
                    </a:xfrm>
                    <a:prstGeom prst="rect">
                      <a:avLst/>
                    </a:prstGeom>
                    <a:noFill/>
                    <a:ln>
                      <a:noFill/>
                    </a:ln>
                  </pic:spPr>
                </pic:pic>
              </a:graphicData>
            </a:graphic>
          </wp:anchor>
        </w:drawing>
      </w:r>
      <w:r>
        <w:rPr>
          <w:rFonts w:ascii="Arial" w:hAnsi="Arial" w:cs="Arial"/>
        </w:rPr>
        <w:drawing>
          <wp:inline distT="0" distB="0" distL="0" distR="0">
            <wp:extent cx="2209800" cy="2746375"/>
            <wp:effectExtent l="0" t="0" r="0" b="0"/>
            <wp:docPr id="431700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00221" name="Picture 2"/>
                    <pic:cNvPicPr>
                      <a:picLocks noChangeAspect="1" noChangeArrowheads="1"/>
                    </pic:cNvPicPr>
                  </pic:nvPicPr>
                  <pic:blipFill>
                    <a:blip r:embed="rId15"/>
                    <a:srcRect/>
                    <a:stretch>
                      <a:fillRect/>
                    </a:stretch>
                  </pic:blipFill>
                  <pic:spPr>
                    <a:xfrm>
                      <a:off x="0" y="0"/>
                      <a:ext cx="2209800" cy="2746949"/>
                    </a:xfrm>
                    <a:prstGeom prst="rect">
                      <a:avLst/>
                    </a:prstGeom>
                    <a:noFill/>
                    <a:ln>
                      <a:noFill/>
                    </a:ln>
                  </pic:spPr>
                </pic:pic>
              </a:graphicData>
            </a:graphic>
          </wp:inline>
        </w:drawing>
      </w:r>
    </w:p>
    <w:p w14:paraId="22FEF13B">
      <w:pPr>
        <w:spacing w:before="0" w:after="160" w:line="276" w:lineRule="auto"/>
        <w:jc w:val="center"/>
        <w:rPr>
          <w:rFonts w:ascii="Arial" w:hAnsi="Arial" w:cs="Arial"/>
          <w:b/>
          <w:bCs/>
        </w:rPr>
      </w:pPr>
      <w:r>
        <w:rPr>
          <w:rFonts w:ascii="Arial" w:hAnsi="Arial" w:cs="Arial"/>
          <w:b/>
          <w:bCs/>
          <w:lang w:bidi="ta-IN"/>
        </w:rPr>
        <w:t xml:space="preserve">Fig. 1 </w:t>
      </w:r>
      <w:r>
        <w:rPr>
          <w:rFonts w:ascii="Arial" w:hAnsi="Arial" w:cs="Arial"/>
          <w:b/>
          <w:bCs/>
        </w:rPr>
        <w:t>Map of Experimental site</w:t>
      </w:r>
    </w:p>
    <w:p w14:paraId="6C55CCFC">
      <w:pPr>
        <w:spacing w:before="0" w:after="160" w:line="276" w:lineRule="auto"/>
        <w:jc w:val="center"/>
        <w:rPr>
          <w:rFonts w:ascii="Arial" w:hAnsi="Arial" w:cs="Arial"/>
          <w:b/>
          <w:bCs/>
        </w:rPr>
      </w:pPr>
    </w:p>
    <w:p w14:paraId="20EFF5A4">
      <w:pPr>
        <w:spacing w:before="0" w:after="160" w:line="276" w:lineRule="auto"/>
        <w:jc w:val="center"/>
        <w:rPr>
          <w:rFonts w:ascii="Arial" w:hAnsi="Arial" w:cs="Arial"/>
          <w:b/>
          <w:bCs/>
          <w:lang w:bidi="ta-IN"/>
        </w:rPr>
      </w:pPr>
    </w:p>
    <w:p w14:paraId="563355CC">
      <w:pPr>
        <w:spacing w:before="0" w:after="160" w:line="276" w:lineRule="auto"/>
        <w:jc w:val="center"/>
        <w:rPr>
          <w:rFonts w:ascii="Arial" w:hAnsi="Arial" w:cs="Arial"/>
          <w:b/>
          <w:bCs/>
          <w:lang w:bidi="ta-IN"/>
        </w:rPr>
      </w:pPr>
      <w:r>
        <w:rPr>
          <w:rFonts w:ascii="Arial" w:hAnsi="Arial" w:cs="Arial"/>
          <w:shd w:val="clear" w:color="auto" w:fill="FFFFFF" w:themeFill="background1"/>
        </w:rPr>
        <w:drawing>
          <wp:inline distT="0" distB="0" distL="0" distR="0">
            <wp:extent cx="5330190" cy="3048000"/>
            <wp:effectExtent l="0" t="0" r="3810" b="0"/>
            <wp:docPr id="8888720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A78649">
      <w:pPr>
        <w:ind w:left="284" w:right="168"/>
        <w:jc w:val="center"/>
        <w:rPr>
          <w:rFonts w:ascii="Arial" w:hAnsi="Arial" w:cs="Arial"/>
          <w:b/>
          <w:bCs/>
        </w:rPr>
      </w:pPr>
      <w:r>
        <w:rPr>
          <w:rFonts w:ascii="Arial" w:hAnsi="Arial" w:cs="Arial"/>
          <w:b/>
          <w:bCs/>
        </w:rPr>
        <w:t>Fig 2. Effect of weed management on yield attributes in cultivation of maize</w:t>
      </w:r>
    </w:p>
    <w:sectPr>
      <w:pgSz w:w="11906" w:h="16838"/>
      <w:pgMar w:top="1080" w:right="1440" w:bottom="1080" w:left="1440" w:header="708" w:footer="708" w:gutter="0"/>
      <w:cols w:space="708"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otany Dr D Nagaraju" w:date="2026-03-16T17:00:10Z" w:initials="">
    <w:p w14:paraId="4A177AAB">
      <w:pPr>
        <w:pStyle w:val="6"/>
        <w:rPr>
          <w:rFonts w:hint="default"/>
          <w:lang w:val="en-US"/>
        </w:rPr>
      </w:pPr>
      <w:r>
        <w:rPr>
          <w:rFonts w:hint="default"/>
          <w:lang w:val="en-US"/>
        </w:rPr>
        <w:t>Conducted? Any experimental evidence pl ( like images, field, crop weed control photos)</w:t>
      </w:r>
    </w:p>
  </w:comment>
  <w:comment w:id="1" w:author="Botany Dr D Nagaraju" w:date="2026-03-16T16:57:17Z" w:initials="">
    <w:p w14:paraId="4E1E37C3">
      <w:pPr>
        <w:pStyle w:val="6"/>
        <w:rPr>
          <w:rFonts w:hint="default"/>
          <w:lang w:val="en-US"/>
        </w:rPr>
      </w:pPr>
      <w:r>
        <w:rPr>
          <w:rFonts w:hint="default"/>
          <w:lang w:val="en-US"/>
        </w:rPr>
        <w:t>Any experimental evidences instead of data any photography, field work, area. Application,  variation in growth levels so that it will be good evidence of work..</w:t>
      </w:r>
    </w:p>
  </w:comment>
  <w:comment w:id="2" w:author="Botany Dr D Nagaraju" w:date="2026-03-16T17:01:45Z" w:initials="">
    <w:p w14:paraId="0F969EAE">
      <w:pPr>
        <w:pStyle w:val="6"/>
        <w:rPr>
          <w:rFonts w:hint="default"/>
          <w:lang w:val="en-US"/>
        </w:rPr>
      </w:pPr>
      <w:r>
        <w:rPr>
          <w:rFonts w:hint="default"/>
          <w:lang w:val="en-US"/>
        </w:rPr>
        <w:t>Are  you promoting product?</w:t>
      </w:r>
    </w:p>
  </w:comment>
  <w:comment w:id="3" w:author="Botany Dr D Nagaraju" w:date="2026-03-16T17:17:00Z" w:initials="">
    <w:p w14:paraId="446FDA9C">
      <w:pPr>
        <w:pStyle w:val="6"/>
        <w:rPr>
          <w:rFonts w:hint="default"/>
          <w:lang w:val="en-US"/>
        </w:rPr>
      </w:pPr>
      <w:r>
        <w:rPr>
          <w:rFonts w:hint="default"/>
          <w:lang w:val="en-US"/>
        </w:rPr>
        <w:t>Check the references with text and as per journal ref… and need to add similar studies of weed controls</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177AAB" w15:done="0"/>
  <w15:commentEx w15:paraId="4E1E37C3" w15:done="0"/>
  <w15:commentEx w15:paraId="0F969EAE" w15:done="0"/>
  <w15:commentEx w15:paraId="446FDA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85E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8BE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F088">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D093">
    <w:pPr>
      <w:pStyle w:val="11"/>
    </w:pPr>
    <w:r>
      <w:pict>
        <v:shape id="PowerPlusWaterMarkObject1434874518" o:spid="_x0000_s2051" o:spt="136" type="#_x0000_t136" style="position:absolute;left:0pt;height:100.95pt;width:535.3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82494">
    <w:pPr>
      <w:pStyle w:val="11"/>
    </w:pPr>
    <w:r>
      <w:pict>
        <v:shape id="PowerPlusWaterMarkObject1434874517" o:spid="_x0000_s2050"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42FD">
    <w:pPr>
      <w:pStyle w:val="11"/>
    </w:pPr>
    <w:r>
      <w:pict>
        <v:shape id="PowerPlusWaterMarkObject1434874516" o:spid="_x0000_s2049"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6284A"/>
    <w:multiLevelType w:val="multilevel"/>
    <w:tmpl w:val="53B6284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otany Dr D Nagaraju">
    <w15:presenceInfo w15:providerId="WPS Office" w15:userId="3093801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D5"/>
    <w:rsid w:val="0000430B"/>
    <w:rsid w:val="0000633B"/>
    <w:rsid w:val="00021D1E"/>
    <w:rsid w:val="000271DA"/>
    <w:rsid w:val="000328C2"/>
    <w:rsid w:val="000334D0"/>
    <w:rsid w:val="00034782"/>
    <w:rsid w:val="00040AE0"/>
    <w:rsid w:val="00044AFC"/>
    <w:rsid w:val="00056F23"/>
    <w:rsid w:val="0006654C"/>
    <w:rsid w:val="00074DBE"/>
    <w:rsid w:val="00085E13"/>
    <w:rsid w:val="00092ED5"/>
    <w:rsid w:val="00096AE6"/>
    <w:rsid w:val="000A0415"/>
    <w:rsid w:val="000A3758"/>
    <w:rsid w:val="000A7CBE"/>
    <w:rsid w:val="000B5C62"/>
    <w:rsid w:val="000C69D1"/>
    <w:rsid w:val="000E1F94"/>
    <w:rsid w:val="000F0759"/>
    <w:rsid w:val="000F0AE7"/>
    <w:rsid w:val="000F483D"/>
    <w:rsid w:val="001178B0"/>
    <w:rsid w:val="00133AED"/>
    <w:rsid w:val="00151FD2"/>
    <w:rsid w:val="001524C2"/>
    <w:rsid w:val="00152E14"/>
    <w:rsid w:val="001559FB"/>
    <w:rsid w:val="0017224E"/>
    <w:rsid w:val="00185B2A"/>
    <w:rsid w:val="00197542"/>
    <w:rsid w:val="001A134A"/>
    <w:rsid w:val="001A26EB"/>
    <w:rsid w:val="001A6145"/>
    <w:rsid w:val="001D6A07"/>
    <w:rsid w:val="001F62AC"/>
    <w:rsid w:val="00215377"/>
    <w:rsid w:val="0023363A"/>
    <w:rsid w:val="002403F8"/>
    <w:rsid w:val="0024297C"/>
    <w:rsid w:val="00265E22"/>
    <w:rsid w:val="00277152"/>
    <w:rsid w:val="0029458C"/>
    <w:rsid w:val="00294C84"/>
    <w:rsid w:val="00296952"/>
    <w:rsid w:val="002B362F"/>
    <w:rsid w:val="002D7AE6"/>
    <w:rsid w:val="003026CC"/>
    <w:rsid w:val="003076C1"/>
    <w:rsid w:val="0031287B"/>
    <w:rsid w:val="00335EAD"/>
    <w:rsid w:val="0036009D"/>
    <w:rsid w:val="00380C03"/>
    <w:rsid w:val="0039014C"/>
    <w:rsid w:val="00397CD5"/>
    <w:rsid w:val="003A08EF"/>
    <w:rsid w:val="003A2B04"/>
    <w:rsid w:val="003B45F2"/>
    <w:rsid w:val="003E1F7D"/>
    <w:rsid w:val="003E4514"/>
    <w:rsid w:val="003E4813"/>
    <w:rsid w:val="003F0AD1"/>
    <w:rsid w:val="00401456"/>
    <w:rsid w:val="004130A6"/>
    <w:rsid w:val="00433859"/>
    <w:rsid w:val="0044512F"/>
    <w:rsid w:val="004532E0"/>
    <w:rsid w:val="0046022B"/>
    <w:rsid w:val="004610F5"/>
    <w:rsid w:val="0046536A"/>
    <w:rsid w:val="004B72DB"/>
    <w:rsid w:val="004C7E45"/>
    <w:rsid w:val="004E298E"/>
    <w:rsid w:val="004E6C5E"/>
    <w:rsid w:val="004F2E94"/>
    <w:rsid w:val="004F3C30"/>
    <w:rsid w:val="004F521C"/>
    <w:rsid w:val="00501EF4"/>
    <w:rsid w:val="005141EC"/>
    <w:rsid w:val="0052084B"/>
    <w:rsid w:val="00523A6B"/>
    <w:rsid w:val="0052433A"/>
    <w:rsid w:val="00542ED2"/>
    <w:rsid w:val="005447DB"/>
    <w:rsid w:val="0057171F"/>
    <w:rsid w:val="00582312"/>
    <w:rsid w:val="00594045"/>
    <w:rsid w:val="005B04D3"/>
    <w:rsid w:val="005B08D4"/>
    <w:rsid w:val="005D18EE"/>
    <w:rsid w:val="005D2EFB"/>
    <w:rsid w:val="005E1576"/>
    <w:rsid w:val="005E73EA"/>
    <w:rsid w:val="005F3BA0"/>
    <w:rsid w:val="005F6597"/>
    <w:rsid w:val="00601596"/>
    <w:rsid w:val="006119BC"/>
    <w:rsid w:val="00617537"/>
    <w:rsid w:val="00626AF1"/>
    <w:rsid w:val="00630F41"/>
    <w:rsid w:val="00634983"/>
    <w:rsid w:val="00641076"/>
    <w:rsid w:val="00654679"/>
    <w:rsid w:val="00661185"/>
    <w:rsid w:val="006654C0"/>
    <w:rsid w:val="00665C21"/>
    <w:rsid w:val="0067576C"/>
    <w:rsid w:val="0069760C"/>
    <w:rsid w:val="006A41E6"/>
    <w:rsid w:val="006C445D"/>
    <w:rsid w:val="006D0BA5"/>
    <w:rsid w:val="006E1CAE"/>
    <w:rsid w:val="00723C47"/>
    <w:rsid w:val="0074388B"/>
    <w:rsid w:val="00757D49"/>
    <w:rsid w:val="00761C67"/>
    <w:rsid w:val="00767310"/>
    <w:rsid w:val="00776319"/>
    <w:rsid w:val="007849B3"/>
    <w:rsid w:val="0079201B"/>
    <w:rsid w:val="00795374"/>
    <w:rsid w:val="007A271A"/>
    <w:rsid w:val="007A7C45"/>
    <w:rsid w:val="007C208C"/>
    <w:rsid w:val="007C3627"/>
    <w:rsid w:val="007D4436"/>
    <w:rsid w:val="007E177E"/>
    <w:rsid w:val="007E3BED"/>
    <w:rsid w:val="007E72E8"/>
    <w:rsid w:val="007E78A3"/>
    <w:rsid w:val="00807940"/>
    <w:rsid w:val="008305C4"/>
    <w:rsid w:val="00832F99"/>
    <w:rsid w:val="0083514F"/>
    <w:rsid w:val="00842FBE"/>
    <w:rsid w:val="008510D4"/>
    <w:rsid w:val="0086193F"/>
    <w:rsid w:val="00867773"/>
    <w:rsid w:val="00872C13"/>
    <w:rsid w:val="008732BC"/>
    <w:rsid w:val="00876424"/>
    <w:rsid w:val="008805FD"/>
    <w:rsid w:val="00884D72"/>
    <w:rsid w:val="00887277"/>
    <w:rsid w:val="00890449"/>
    <w:rsid w:val="008A7340"/>
    <w:rsid w:val="008C2ED8"/>
    <w:rsid w:val="008D0C3B"/>
    <w:rsid w:val="008D7837"/>
    <w:rsid w:val="009359B1"/>
    <w:rsid w:val="00940327"/>
    <w:rsid w:val="0094118B"/>
    <w:rsid w:val="00942F2D"/>
    <w:rsid w:val="00963134"/>
    <w:rsid w:val="009724D2"/>
    <w:rsid w:val="00973EC4"/>
    <w:rsid w:val="00974389"/>
    <w:rsid w:val="00980A77"/>
    <w:rsid w:val="009876D5"/>
    <w:rsid w:val="00987D49"/>
    <w:rsid w:val="009948EF"/>
    <w:rsid w:val="009966CF"/>
    <w:rsid w:val="009A2A9B"/>
    <w:rsid w:val="009B2A94"/>
    <w:rsid w:val="009B40FE"/>
    <w:rsid w:val="009C3AD9"/>
    <w:rsid w:val="009C6DD1"/>
    <w:rsid w:val="00A30141"/>
    <w:rsid w:val="00A5311A"/>
    <w:rsid w:val="00A555D6"/>
    <w:rsid w:val="00A5657B"/>
    <w:rsid w:val="00A57BCC"/>
    <w:rsid w:val="00A64E8A"/>
    <w:rsid w:val="00A75CC5"/>
    <w:rsid w:val="00A83DA0"/>
    <w:rsid w:val="00A97E41"/>
    <w:rsid w:val="00AA2C60"/>
    <w:rsid w:val="00AA4EB1"/>
    <w:rsid w:val="00AA5AB1"/>
    <w:rsid w:val="00AA6082"/>
    <w:rsid w:val="00AB43F8"/>
    <w:rsid w:val="00AC4607"/>
    <w:rsid w:val="00AE0FB8"/>
    <w:rsid w:val="00AE1D60"/>
    <w:rsid w:val="00AF36BA"/>
    <w:rsid w:val="00B13535"/>
    <w:rsid w:val="00B15070"/>
    <w:rsid w:val="00B152C7"/>
    <w:rsid w:val="00B162A7"/>
    <w:rsid w:val="00B2064D"/>
    <w:rsid w:val="00B21233"/>
    <w:rsid w:val="00B2152F"/>
    <w:rsid w:val="00B27B29"/>
    <w:rsid w:val="00B30BA8"/>
    <w:rsid w:val="00B515F9"/>
    <w:rsid w:val="00B52285"/>
    <w:rsid w:val="00B67C41"/>
    <w:rsid w:val="00B72794"/>
    <w:rsid w:val="00B82AD5"/>
    <w:rsid w:val="00B90CF2"/>
    <w:rsid w:val="00BA2D21"/>
    <w:rsid w:val="00BB2189"/>
    <w:rsid w:val="00BE25B7"/>
    <w:rsid w:val="00BF4960"/>
    <w:rsid w:val="00C12FB6"/>
    <w:rsid w:val="00C15691"/>
    <w:rsid w:val="00C26815"/>
    <w:rsid w:val="00C3030E"/>
    <w:rsid w:val="00C36C43"/>
    <w:rsid w:val="00C41187"/>
    <w:rsid w:val="00C61EA5"/>
    <w:rsid w:val="00C72350"/>
    <w:rsid w:val="00C86959"/>
    <w:rsid w:val="00C936DB"/>
    <w:rsid w:val="00CA55F6"/>
    <w:rsid w:val="00CB602D"/>
    <w:rsid w:val="00CB7048"/>
    <w:rsid w:val="00CC1520"/>
    <w:rsid w:val="00CC5F7E"/>
    <w:rsid w:val="00CE5079"/>
    <w:rsid w:val="00D01B68"/>
    <w:rsid w:val="00D06623"/>
    <w:rsid w:val="00D10FA3"/>
    <w:rsid w:val="00D12CD0"/>
    <w:rsid w:val="00D20D59"/>
    <w:rsid w:val="00D21C1A"/>
    <w:rsid w:val="00D24802"/>
    <w:rsid w:val="00D31AB9"/>
    <w:rsid w:val="00D47FD6"/>
    <w:rsid w:val="00D720CF"/>
    <w:rsid w:val="00D72EBA"/>
    <w:rsid w:val="00D91947"/>
    <w:rsid w:val="00DB1422"/>
    <w:rsid w:val="00DB4178"/>
    <w:rsid w:val="00DC4043"/>
    <w:rsid w:val="00DC4331"/>
    <w:rsid w:val="00DD3A21"/>
    <w:rsid w:val="00DD46CC"/>
    <w:rsid w:val="00DD6EDC"/>
    <w:rsid w:val="00DF2526"/>
    <w:rsid w:val="00E044F7"/>
    <w:rsid w:val="00E04E9E"/>
    <w:rsid w:val="00E10442"/>
    <w:rsid w:val="00E117CF"/>
    <w:rsid w:val="00E1580C"/>
    <w:rsid w:val="00E1651D"/>
    <w:rsid w:val="00E435B8"/>
    <w:rsid w:val="00E531D5"/>
    <w:rsid w:val="00E80FC2"/>
    <w:rsid w:val="00E937C5"/>
    <w:rsid w:val="00EA48E2"/>
    <w:rsid w:val="00EB5EF5"/>
    <w:rsid w:val="00EC3E09"/>
    <w:rsid w:val="00ED1BA2"/>
    <w:rsid w:val="00ED3C58"/>
    <w:rsid w:val="00ED3FC1"/>
    <w:rsid w:val="00EE3257"/>
    <w:rsid w:val="00F02730"/>
    <w:rsid w:val="00F0279F"/>
    <w:rsid w:val="00F07C5C"/>
    <w:rsid w:val="00F17EF2"/>
    <w:rsid w:val="00F46396"/>
    <w:rsid w:val="00F50F25"/>
    <w:rsid w:val="00F602E5"/>
    <w:rsid w:val="00F607A8"/>
    <w:rsid w:val="00F609B7"/>
    <w:rsid w:val="00F724B1"/>
    <w:rsid w:val="00FA3F95"/>
    <w:rsid w:val="00FA5895"/>
    <w:rsid w:val="00FC182E"/>
    <w:rsid w:val="00FD0A5D"/>
    <w:rsid w:val="00FD52B1"/>
    <w:rsid w:val="00FF5BEF"/>
    <w:rsid w:val="13993BB4"/>
    <w:rsid w:val="38D943B8"/>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80" w:after="280" w:line="360" w:lineRule="auto"/>
      <w:jc w:val="both"/>
    </w:pPr>
    <w:rPr>
      <w:rFonts w:ascii="Calibri" w:hAnsi="Calibri" w:eastAsia="Calibri" w:cs="Times New Roman"/>
      <w:kern w:val="2"/>
      <w:lang w:val="en-IN" w:eastAsia="en-I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1"/>
    <w:semiHidden/>
    <w:unhideWhenUsed/>
    <w:qFormat/>
    <w:uiPriority w:val="99"/>
    <w:pPr>
      <w:spacing w:before="0" w:after="0" w:line="240" w:lineRule="auto"/>
    </w:pPr>
    <w:rPr>
      <w:rFonts w:ascii="Tahoma" w:hAnsi="Tahoma" w:cs="Tahoma"/>
      <w:sz w:val="16"/>
      <w:szCs w:val="16"/>
    </w:rPr>
  </w:style>
  <w:style w:type="character" w:styleId="5">
    <w:name w:val="annotation reference"/>
    <w:semiHidden/>
    <w:unhideWhenUsed/>
    <w:qFormat/>
    <w:uiPriority w:val="99"/>
    <w:rPr>
      <w:sz w:val="16"/>
      <w:szCs w:val="16"/>
    </w:rPr>
  </w:style>
  <w:style w:type="paragraph" w:styleId="6">
    <w:name w:val="annotation text"/>
    <w:basedOn w:val="1"/>
    <w:link w:val="22"/>
    <w:semiHidden/>
    <w:unhideWhenUsed/>
    <w:uiPriority w:val="99"/>
    <w:pPr>
      <w:spacing w:line="240" w:lineRule="auto"/>
    </w:pPr>
  </w:style>
  <w:style w:type="paragraph" w:styleId="7">
    <w:name w:val="annotation subject"/>
    <w:basedOn w:val="6"/>
    <w:next w:val="6"/>
    <w:link w:val="23"/>
    <w:semiHidden/>
    <w:unhideWhenUsed/>
    <w:uiPriority w:val="99"/>
    <w:rPr>
      <w:b/>
      <w:bCs/>
    </w:rPr>
  </w:style>
  <w:style w:type="paragraph" w:styleId="8">
    <w:name w:val="footer"/>
    <w:basedOn w:val="1"/>
    <w:link w:val="30"/>
    <w:unhideWhenUsed/>
    <w:uiPriority w:val="99"/>
    <w:pPr>
      <w:tabs>
        <w:tab w:val="center" w:pos="4680"/>
        <w:tab w:val="right" w:pos="9360"/>
      </w:tabs>
      <w:spacing w:before="0" w:after="0" w:line="240" w:lineRule="auto"/>
    </w:pPr>
  </w:style>
  <w:style w:type="character" w:styleId="9">
    <w:name w:val="footnote reference"/>
    <w:semiHidden/>
    <w:unhideWhenUsed/>
    <w:qFormat/>
    <w:uiPriority w:val="99"/>
    <w:rPr>
      <w:vertAlign w:val="superscript"/>
    </w:rPr>
  </w:style>
  <w:style w:type="paragraph" w:styleId="10">
    <w:name w:val="footnote text"/>
    <w:basedOn w:val="1"/>
    <w:link w:val="20"/>
    <w:semiHidden/>
    <w:unhideWhenUsed/>
    <w:qFormat/>
    <w:uiPriority w:val="99"/>
    <w:pPr>
      <w:spacing w:before="0" w:after="0" w:line="240" w:lineRule="auto"/>
    </w:pPr>
  </w:style>
  <w:style w:type="paragraph" w:styleId="11">
    <w:name w:val="header"/>
    <w:basedOn w:val="1"/>
    <w:link w:val="29"/>
    <w:unhideWhenUsed/>
    <w:uiPriority w:val="99"/>
    <w:pPr>
      <w:tabs>
        <w:tab w:val="center" w:pos="4680"/>
        <w:tab w:val="right" w:pos="9360"/>
      </w:tabs>
      <w:spacing w:before="0" w:after="0" w:line="240" w:lineRule="auto"/>
    </w:pPr>
  </w:style>
  <w:style w:type="character" w:styleId="12">
    <w:name w:val="Hyperlink"/>
    <w:unhideWhenUsed/>
    <w:uiPriority w:val="99"/>
    <w:rPr>
      <w:color w:val="0000FF"/>
      <w:u w:val="single"/>
    </w:rPr>
  </w:style>
  <w:style w:type="paragraph" w:customStyle="1" w:styleId="13">
    <w:name w:val="Author"/>
    <w:basedOn w:val="1"/>
    <w:qFormat/>
    <w:uiPriority w:val="0"/>
    <w:pPr>
      <w:spacing w:before="0" w:after="0" w:line="280" w:lineRule="exact"/>
      <w:jc w:val="right"/>
    </w:pPr>
    <w:rPr>
      <w:rFonts w:ascii="Helvetica" w:hAnsi="Helvetica" w:eastAsia="Times New Roman"/>
      <w:b/>
      <w:kern w:val="0"/>
      <w:sz w:val="24"/>
      <w:lang w:val="en-US" w:eastAsia="en-US"/>
    </w:rPr>
  </w:style>
  <w:style w:type="paragraph" w:customStyle="1" w:styleId="14">
    <w:name w:val="Affiliation"/>
    <w:basedOn w:val="1"/>
    <w:qFormat/>
    <w:uiPriority w:val="0"/>
    <w:pPr>
      <w:spacing w:before="0" w:after="240" w:line="240" w:lineRule="exact"/>
      <w:jc w:val="right"/>
    </w:pPr>
    <w:rPr>
      <w:rFonts w:ascii="Helvetica" w:hAnsi="Helvetica" w:eastAsia="Times New Roman"/>
      <w:kern w:val="0"/>
      <w:lang w:val="en-US" w:eastAsia="en-US"/>
    </w:rPr>
  </w:style>
  <w:style w:type="paragraph" w:customStyle="1" w:styleId="15">
    <w:name w:val="Abst Head"/>
    <w:basedOn w:val="1"/>
    <w:qFormat/>
    <w:uiPriority w:val="0"/>
    <w:pPr>
      <w:keepNext/>
      <w:spacing w:before="0" w:after="240" w:line="240" w:lineRule="auto"/>
      <w:jc w:val="left"/>
    </w:pPr>
    <w:rPr>
      <w:rFonts w:ascii="Helvetica" w:hAnsi="Helvetica" w:eastAsia="Times New Roman"/>
      <w:b/>
      <w:caps/>
      <w:kern w:val="0"/>
      <w:sz w:val="22"/>
      <w:lang w:val="en-US" w:eastAsia="en-US"/>
    </w:rPr>
  </w:style>
  <w:style w:type="paragraph" w:customStyle="1" w:styleId="16">
    <w:name w:val="Copyright"/>
    <w:basedOn w:val="1"/>
    <w:qFormat/>
    <w:uiPriority w:val="0"/>
    <w:pPr>
      <w:spacing w:before="0" w:after="960" w:line="200" w:lineRule="exact"/>
      <w:jc w:val="left"/>
    </w:pPr>
    <w:rPr>
      <w:rFonts w:ascii="Helvetica" w:hAnsi="Helvetica" w:eastAsia="Times New Roman"/>
      <w:kern w:val="0"/>
      <w:sz w:val="16"/>
      <w:lang w:val="en-US" w:eastAsia="en-US"/>
    </w:rPr>
  </w:style>
  <w:style w:type="paragraph" w:customStyle="1" w:styleId="17">
    <w:name w:val="Body"/>
    <w:basedOn w:val="1"/>
    <w:qFormat/>
    <w:uiPriority w:val="0"/>
    <w:pPr>
      <w:spacing w:before="0" w:after="240" w:line="240" w:lineRule="auto"/>
    </w:pPr>
    <w:rPr>
      <w:rFonts w:ascii="Helvetica" w:hAnsi="Helvetica" w:eastAsia="Times New Roman"/>
      <w:kern w:val="0"/>
      <w:lang w:val="en-US" w:eastAsia="en-US"/>
    </w:rPr>
  </w:style>
  <w:style w:type="paragraph" w:styleId="18">
    <w:name w:val="List Paragraph"/>
    <w:basedOn w:val="1"/>
    <w:qFormat/>
    <w:uiPriority w:val="34"/>
    <w:pPr>
      <w:ind w:left="720"/>
      <w:contextualSpacing/>
    </w:pPr>
  </w:style>
  <w:style w:type="paragraph" w:customStyle="1" w:styleId="19">
    <w:name w:val="Head1"/>
    <w:basedOn w:val="1"/>
    <w:uiPriority w:val="0"/>
    <w:pPr>
      <w:keepNext/>
      <w:spacing w:before="0" w:after="240" w:line="240" w:lineRule="auto"/>
      <w:jc w:val="left"/>
    </w:pPr>
    <w:rPr>
      <w:rFonts w:ascii="Helvetica" w:hAnsi="Helvetica" w:eastAsia="Times New Roman"/>
      <w:b/>
      <w:caps/>
      <w:kern w:val="0"/>
      <w:sz w:val="22"/>
      <w:lang w:val="en-US" w:eastAsia="en-US"/>
    </w:rPr>
  </w:style>
  <w:style w:type="character" w:customStyle="1" w:styleId="20">
    <w:name w:val="Footnote Text Char"/>
    <w:link w:val="10"/>
    <w:semiHidden/>
    <w:uiPriority w:val="99"/>
    <w:rPr>
      <w:rFonts w:ascii="Calibri" w:hAnsi="Calibri" w:cs="Times New Roman"/>
      <w:sz w:val="20"/>
      <w:szCs w:val="20"/>
      <w:lang w:eastAsia="en-IN"/>
    </w:rPr>
  </w:style>
  <w:style w:type="character" w:customStyle="1" w:styleId="21">
    <w:name w:val="Balloon Text Char"/>
    <w:link w:val="4"/>
    <w:semiHidden/>
    <w:qFormat/>
    <w:uiPriority w:val="99"/>
    <w:rPr>
      <w:rFonts w:ascii="Tahoma" w:hAnsi="Tahoma" w:cs="Tahoma"/>
      <w:sz w:val="16"/>
      <w:szCs w:val="16"/>
      <w:lang w:eastAsia="en-IN"/>
    </w:rPr>
  </w:style>
  <w:style w:type="character" w:customStyle="1" w:styleId="22">
    <w:name w:val="Comment Text Char"/>
    <w:link w:val="6"/>
    <w:semiHidden/>
    <w:uiPriority w:val="99"/>
    <w:rPr>
      <w:rFonts w:ascii="Calibri" w:hAnsi="Calibri" w:cs="Times New Roman"/>
      <w:sz w:val="20"/>
      <w:szCs w:val="20"/>
      <w:lang w:eastAsia="en-IN"/>
    </w:rPr>
  </w:style>
  <w:style w:type="character" w:customStyle="1" w:styleId="23">
    <w:name w:val="Comment Subject Char"/>
    <w:link w:val="7"/>
    <w:semiHidden/>
    <w:uiPriority w:val="99"/>
    <w:rPr>
      <w:rFonts w:ascii="Calibri" w:hAnsi="Calibri" w:cs="Times New Roman"/>
      <w:b/>
      <w:bCs/>
      <w:sz w:val="20"/>
      <w:szCs w:val="20"/>
      <w:lang w:eastAsia="en-IN"/>
    </w:rPr>
  </w:style>
  <w:style w:type="paragraph" w:customStyle="1" w:styleId="24">
    <w:name w:val="Revision"/>
    <w:hidden/>
    <w:semiHidden/>
    <w:uiPriority w:val="99"/>
    <w:rPr>
      <w:rFonts w:ascii="Calibri" w:hAnsi="Calibri" w:eastAsia="Calibri" w:cs="Times New Roman"/>
      <w:kern w:val="2"/>
      <w:lang w:val="en-IN" w:eastAsia="en-IN" w:bidi="ar-SA"/>
    </w:rPr>
  </w:style>
  <w:style w:type="character" w:styleId="25">
    <w:name w:val="Placeholder Text"/>
    <w:semiHidden/>
    <w:uiPriority w:val="99"/>
    <w:rPr>
      <w:color w:val="808080"/>
    </w:rPr>
  </w:style>
  <w:style w:type="character" w:customStyle="1" w:styleId="26">
    <w:name w:val="Unresolved Mention1"/>
    <w:semiHidden/>
    <w:unhideWhenUsed/>
    <w:uiPriority w:val="99"/>
    <w:rPr>
      <w:color w:val="605E5C"/>
      <w:shd w:val="clear" w:color="auto" w:fill="E1DFDD"/>
    </w:rPr>
  </w:style>
  <w:style w:type="table" w:customStyle="1" w:styleId="27">
    <w:name w:val="Plain Table 21"/>
    <w:basedOn w:val="3"/>
    <w:uiPriority w:val="42"/>
    <w:rPr>
      <w:rFonts w:ascii="Calibri" w:hAnsi="Calibri"/>
      <w:kern w:val="2"/>
      <w:sz w:val="24"/>
      <w:szCs w:val="24"/>
      <w:lang w:eastAsia="en-US"/>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28">
    <w:name w:val="Unresolved Mention"/>
    <w:basedOn w:val="2"/>
    <w:semiHidden/>
    <w:unhideWhenUsed/>
    <w:uiPriority w:val="99"/>
    <w:rPr>
      <w:color w:val="605E5C"/>
      <w:shd w:val="clear" w:color="auto" w:fill="E1DFDD"/>
    </w:rPr>
  </w:style>
  <w:style w:type="character" w:customStyle="1" w:styleId="29">
    <w:name w:val="Header Char"/>
    <w:basedOn w:val="2"/>
    <w:link w:val="11"/>
    <w:uiPriority w:val="99"/>
    <w:rPr>
      <w:rFonts w:ascii="Calibri" w:hAnsi="Calibri"/>
      <w:kern w:val="2"/>
      <w:lang w:bidi="ar-SA"/>
    </w:rPr>
  </w:style>
  <w:style w:type="character" w:customStyle="1" w:styleId="30">
    <w:name w:val="Footer Char"/>
    <w:basedOn w:val="2"/>
    <w:link w:val="8"/>
    <w:uiPriority w:val="99"/>
    <w:rPr>
      <w:rFonts w:ascii="Calibri" w:hAnsi="Calibri"/>
      <w:kern w:val="2"/>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solidFill>
                <a:latin typeface="Times New Roman" panose="02020603050405020304" charset="0"/>
                <a:ea typeface="+mn-ea"/>
                <a:cs typeface="Times New Roman" panose="02020603050405020304" charset="0"/>
              </a:defRPr>
            </a:pPr>
            <a:r>
              <a:rPr lang="en-GB"/>
              <a:t>Yield attributes</a:t>
            </a:r>
            <a:endParaRPr lang="en-GB"/>
          </a:p>
        </c:rich>
      </c:tx>
      <c:layout/>
      <c:overlay val="0"/>
      <c:spPr>
        <a:noFill/>
        <a:ln>
          <a:noFill/>
        </a:ln>
        <a:effectLst/>
      </c:spPr>
    </c:title>
    <c:autoTitleDeleted val="0"/>
    <c:plotArea>
      <c:layout/>
      <c:barChart>
        <c:barDir val="col"/>
        <c:grouping val="clustered"/>
        <c:varyColors val="0"/>
        <c:ser>
          <c:idx val="0"/>
          <c:order val="0"/>
          <c:tx>
            <c:strRef>
              <c:f>Sheet1!$B$2</c:f>
              <c:strCache>
                <c:ptCount val="1"/>
                <c:pt idx="0">
                  <c:v>No. of Cobs-1 plant</c:v>
                </c:pt>
              </c:strCache>
            </c:strRef>
          </c:tx>
          <c:spPr>
            <a:solidFill>
              <a:srgbClr val="FFC000"/>
            </a:solidFill>
            <a:ln>
              <a:noFill/>
            </a:ln>
            <a:effectLst/>
          </c:spPr>
          <c:invertIfNegative val="0"/>
          <c:dLbls>
            <c:delete val="1"/>
          </c:dLbls>
          <c:cat>
            <c:strRef>
              <c:f>Sheet1!$A$3:$A$14</c:f>
              <c:strCache>
                <c:ptCount val="12"/>
                <c:pt idx="1">
                  <c:v>T1</c:v>
                </c:pt>
                <c:pt idx="2">
                  <c:v>T2</c:v>
                </c:pt>
                <c:pt idx="3">
                  <c:v>T3</c:v>
                </c:pt>
                <c:pt idx="4">
                  <c:v>T4</c:v>
                </c:pt>
                <c:pt idx="5">
                  <c:v>T5</c:v>
                </c:pt>
                <c:pt idx="6">
                  <c:v>T6</c:v>
                </c:pt>
                <c:pt idx="7">
                  <c:v>T7</c:v>
                </c:pt>
                <c:pt idx="8">
                  <c:v>T8</c:v>
                </c:pt>
                <c:pt idx="9">
                  <c:v>T9</c:v>
                </c:pt>
                <c:pt idx="10">
                  <c:v>T10</c:v>
                </c:pt>
                <c:pt idx="11">
                  <c:v>T11</c:v>
                </c:pt>
              </c:strCache>
            </c:strRef>
          </c:cat>
          <c:val>
            <c:numRef>
              <c:f>Sheet1!$B$3:$B$14</c:f>
              <c:numCache>
                <c:formatCode>General</c:formatCode>
                <c:ptCount val="12"/>
                <c:pt idx="1">
                  <c:v>1.2</c:v>
                </c:pt>
                <c:pt idx="2">
                  <c:v>1.2</c:v>
                </c:pt>
                <c:pt idx="3">
                  <c:v>1.4</c:v>
                </c:pt>
                <c:pt idx="4">
                  <c:v>1.3</c:v>
                </c:pt>
                <c:pt idx="5">
                  <c:v>1.5</c:v>
                </c:pt>
                <c:pt idx="6">
                  <c:v>1.5</c:v>
                </c:pt>
                <c:pt idx="7">
                  <c:v>1.7</c:v>
                </c:pt>
                <c:pt idx="8">
                  <c:v>1.7</c:v>
                </c:pt>
                <c:pt idx="9">
                  <c:v>1.3</c:v>
                </c:pt>
                <c:pt idx="10">
                  <c:v>1.8</c:v>
                </c:pt>
                <c:pt idx="11">
                  <c:v>1.1</c:v>
                </c:pt>
              </c:numCache>
            </c:numRef>
          </c:val>
        </c:ser>
        <c:ser>
          <c:idx val="1"/>
          <c:order val="1"/>
          <c:tx>
            <c:strRef>
              <c:f>Sheet1!$C$2</c:f>
              <c:strCache>
                <c:ptCount val="1"/>
                <c:pt idx="0">
                  <c:v>No. of grain rows-1 cob</c:v>
                </c:pt>
              </c:strCache>
            </c:strRef>
          </c:tx>
          <c:spPr>
            <a:solidFill>
              <a:srgbClr val="C00000"/>
            </a:solidFill>
            <a:ln>
              <a:noFill/>
            </a:ln>
            <a:effectLst/>
          </c:spPr>
          <c:invertIfNegative val="0"/>
          <c:dLbls>
            <c:delete val="1"/>
          </c:dLbls>
          <c:cat>
            <c:strRef>
              <c:f>Sheet1!$A$3:$A$14</c:f>
              <c:strCache>
                <c:ptCount val="12"/>
                <c:pt idx="1">
                  <c:v>T1</c:v>
                </c:pt>
                <c:pt idx="2">
                  <c:v>T2</c:v>
                </c:pt>
                <c:pt idx="3">
                  <c:v>T3</c:v>
                </c:pt>
                <c:pt idx="4">
                  <c:v>T4</c:v>
                </c:pt>
                <c:pt idx="5">
                  <c:v>T5</c:v>
                </c:pt>
                <c:pt idx="6">
                  <c:v>T6</c:v>
                </c:pt>
                <c:pt idx="7">
                  <c:v>T7</c:v>
                </c:pt>
                <c:pt idx="8">
                  <c:v>T8</c:v>
                </c:pt>
                <c:pt idx="9">
                  <c:v>T9</c:v>
                </c:pt>
                <c:pt idx="10">
                  <c:v>T10</c:v>
                </c:pt>
                <c:pt idx="11">
                  <c:v>T11</c:v>
                </c:pt>
              </c:strCache>
            </c:strRef>
          </c:cat>
          <c:val>
            <c:numRef>
              <c:f>Sheet1!$C$3:$C$14</c:f>
              <c:numCache>
                <c:formatCode>General</c:formatCode>
                <c:ptCount val="12"/>
                <c:pt idx="1">
                  <c:v>20.45</c:v>
                </c:pt>
                <c:pt idx="2">
                  <c:v>18.94</c:v>
                </c:pt>
                <c:pt idx="3">
                  <c:v>24.68</c:v>
                </c:pt>
                <c:pt idx="4">
                  <c:v>22.64</c:v>
                </c:pt>
                <c:pt idx="5">
                  <c:v>24.84</c:v>
                </c:pt>
                <c:pt idx="6">
                  <c:v>26.07</c:v>
                </c:pt>
                <c:pt idx="7">
                  <c:v>27.04</c:v>
                </c:pt>
                <c:pt idx="8">
                  <c:v>26.75</c:v>
                </c:pt>
                <c:pt idx="9">
                  <c:v>21.84</c:v>
                </c:pt>
                <c:pt idx="10">
                  <c:v>27.88</c:v>
                </c:pt>
                <c:pt idx="11">
                  <c:v>17.34</c:v>
                </c:pt>
              </c:numCache>
            </c:numRef>
          </c:val>
        </c:ser>
        <c:ser>
          <c:idx val="2"/>
          <c:order val="2"/>
          <c:tx>
            <c:strRef>
              <c:f>Sheet1!$D$2</c:f>
              <c:strCache>
                <c:ptCount val="1"/>
                <c:pt idx="0">
                  <c:v>No. of grains-1 row</c:v>
                </c:pt>
              </c:strCache>
            </c:strRef>
          </c:tx>
          <c:spPr>
            <a:solidFill>
              <a:srgbClr val="0070C0"/>
            </a:solidFill>
            <a:ln>
              <a:noFill/>
            </a:ln>
            <a:effectLst/>
          </c:spPr>
          <c:invertIfNegative val="0"/>
          <c:dLbls>
            <c:delete val="1"/>
          </c:dLbls>
          <c:cat>
            <c:strRef>
              <c:f>Sheet1!$A$3:$A$14</c:f>
              <c:strCache>
                <c:ptCount val="12"/>
                <c:pt idx="1">
                  <c:v>T1</c:v>
                </c:pt>
                <c:pt idx="2">
                  <c:v>T2</c:v>
                </c:pt>
                <c:pt idx="3">
                  <c:v>T3</c:v>
                </c:pt>
                <c:pt idx="4">
                  <c:v>T4</c:v>
                </c:pt>
                <c:pt idx="5">
                  <c:v>T5</c:v>
                </c:pt>
                <c:pt idx="6">
                  <c:v>T6</c:v>
                </c:pt>
                <c:pt idx="7">
                  <c:v>T7</c:v>
                </c:pt>
                <c:pt idx="8">
                  <c:v>T8</c:v>
                </c:pt>
                <c:pt idx="9">
                  <c:v>T9</c:v>
                </c:pt>
                <c:pt idx="10">
                  <c:v>T10</c:v>
                </c:pt>
                <c:pt idx="11">
                  <c:v>T11</c:v>
                </c:pt>
              </c:strCache>
            </c:strRef>
          </c:cat>
          <c:val>
            <c:numRef>
              <c:f>Sheet1!$D$3:$D$14</c:f>
              <c:numCache>
                <c:formatCode>General</c:formatCode>
                <c:ptCount val="12"/>
                <c:pt idx="1">
                  <c:v>19.643</c:v>
                </c:pt>
                <c:pt idx="2">
                  <c:v>21.46</c:v>
                </c:pt>
                <c:pt idx="3">
                  <c:v>26.747</c:v>
                </c:pt>
                <c:pt idx="4">
                  <c:v>25.643</c:v>
                </c:pt>
                <c:pt idx="5">
                  <c:v>28.56</c:v>
                </c:pt>
                <c:pt idx="6">
                  <c:v>29.543</c:v>
                </c:pt>
                <c:pt idx="7">
                  <c:v>32.563</c:v>
                </c:pt>
                <c:pt idx="8">
                  <c:v>31.45</c:v>
                </c:pt>
                <c:pt idx="9">
                  <c:v>24.253</c:v>
                </c:pt>
                <c:pt idx="10">
                  <c:v>34.237</c:v>
                </c:pt>
                <c:pt idx="11">
                  <c:v>17.45</c:v>
                </c:pt>
              </c:numCache>
            </c:numRef>
          </c:val>
        </c:ser>
        <c:dLbls>
          <c:showLegendKey val="0"/>
          <c:showVal val="0"/>
          <c:showCatName val="0"/>
          <c:showSerName val="0"/>
          <c:showPercent val="0"/>
          <c:showBubbleSize val="0"/>
        </c:dLbls>
        <c:gapWidth val="219"/>
        <c:overlap val="-27"/>
        <c:axId val="1106792688"/>
        <c:axId val="515478095"/>
      </c:barChart>
      <c:catAx>
        <c:axId val="1106792688"/>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b="1">
                    <a:solidFill>
                      <a:schemeClr val="tx1"/>
                    </a:solidFill>
                  </a:rPr>
                  <a:t>Treatments</a:t>
                </a:r>
                <a:endParaRPr lang="en-GB" b="1">
                  <a:solidFill>
                    <a:schemeClr val="tx1"/>
                  </a:solidFill>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Times New Roman" panose="02020603050405020304" charset="0"/>
                <a:ea typeface="+mn-ea"/>
                <a:cs typeface="Times New Roman" panose="02020603050405020304" charset="0"/>
              </a:defRPr>
            </a:pPr>
          </a:p>
        </c:txPr>
        <c:crossAx val="515478095"/>
        <c:crosses val="autoZero"/>
        <c:auto val="1"/>
        <c:lblAlgn val="ctr"/>
        <c:lblOffset val="100"/>
        <c:noMultiLvlLbl val="0"/>
      </c:catAx>
      <c:valAx>
        <c:axId val="515478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b="1"/>
                  <a:t>Yizeld </a:t>
                </a:r>
                <a:endParaRPr lang="en-GB" b="1"/>
              </a:p>
            </c:rich>
          </c:tx>
          <c:layout>
            <c:manualLayout>
              <c:xMode val="edge"/>
              <c:yMode val="edge"/>
              <c:x val="0.0238265427686443"/>
              <c:y val="0.33604724048172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Times New Roman" panose="02020603050405020304" charset="0"/>
                <a:ea typeface="+mn-ea"/>
                <a:cs typeface="Times New Roman" panose="02020603050405020304" charset="0"/>
              </a:defRPr>
            </a:pPr>
          </a:p>
        </c:txPr>
        <c:crossAx val="1106792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1"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4267bed8-674f-4a0c-83ca-9746f292be07}"/>
      </c:ext>
    </c:extLst>
  </c:chart>
  <c:spPr>
    <a:solidFill>
      <a:schemeClr val="bg1"/>
    </a:solidFill>
    <a:ln w="9525" cap="flat" cmpd="sng" algn="ctr">
      <a:solidFill>
        <a:schemeClr val="bg1">
          <a:lumMod val="65000"/>
        </a:schemeClr>
      </a:solidFill>
      <a:round/>
    </a:ln>
    <a:effectLst/>
  </c:spPr>
  <c:txPr>
    <a:bodyPr/>
    <a:lstStyle/>
    <a:p>
      <a:pPr>
        <a:defRPr lang="en-US"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8E229D-383E-4BBA-B2BE-9C4043543F87}">
  <ds:schemaRefs/>
</ds:datastoreItem>
</file>

<file path=docProps/app.xml><?xml version="1.0" encoding="utf-8"?>
<Properties xmlns="http://schemas.openxmlformats.org/officeDocument/2006/extended-properties" xmlns:vt="http://schemas.openxmlformats.org/officeDocument/2006/docPropsVTypes">
  <Template>Normal</Template>
  <Pages>9</Pages>
  <Words>2720</Words>
  <Characters>15506</Characters>
  <Lines>129</Lines>
  <Paragraphs>36</Paragraphs>
  <TotalTime>456</TotalTime>
  <ScaleCrop>false</ScaleCrop>
  <LinksUpToDate>false</LinksUpToDate>
  <CharactersWithSpaces>18190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2026-03-13T03:51:00Z</dcterms:created>
  <dc:creator>Cathy</dc:creator>
  <cp:lastModifiedBy>Botany Dr D Nagaraju</cp:lastModifiedBy>
  <cp:lastPrinted>2024-04-05T10:32:00Z</cp:lastPrinted>
  <dcterms:modified xsi:type="dcterms:W3CDTF">2026-03-16T11:47:55Z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af4ed474-f2eb-3b02-abd8-c361063205ea</vt:lpwstr>
  </property>
  <property fmtid="{D5CDD505-2E9C-101B-9397-08002B2CF9AE}" pid="4" name="Mendeley Citation Style_1">
    <vt:lpwstr>http://csl.mendeley.com/styles/704662221/plos-2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http://csl.mendeley.com/styles/704662221/plos-2</vt:lpwstr>
  </property>
  <property fmtid="{D5CDD505-2E9C-101B-9397-08002B2CF9AE}" pid="24" name="Mendeley Recent Style Name 9_1">
    <vt:lpwstr>Public Library of Science - Bexell George</vt:lpwstr>
  </property>
  <property fmtid="{D5CDD505-2E9C-101B-9397-08002B2CF9AE}" pid="25" name="GrammarlyDocumentId">
    <vt:lpwstr>431010070069c7b702080e31ae2e8233561ecfdae0e9fbb7b0c8bc2d0a0f13fc</vt:lpwstr>
  </property>
  <property fmtid="{D5CDD505-2E9C-101B-9397-08002B2CF9AE}" pid="26" name="KSOProductBuildVer">
    <vt:lpwstr>1033-12.2.0.23196</vt:lpwstr>
  </property>
  <property fmtid="{D5CDD505-2E9C-101B-9397-08002B2CF9AE}" pid="27" name="ICV">
    <vt:lpwstr>40C790B0FDF84AE8BAF899A16E576AFE_12</vt:lpwstr>
  </property>
</Properties>
</file>