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12455" w:rsidRPr="009B5946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12455" w:rsidRPr="009B5946" w:rsidRDefault="0021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455" w:rsidRPr="009B5946">
        <w:trPr>
          <w:trHeight w:val="290"/>
        </w:trPr>
        <w:tc>
          <w:tcPr>
            <w:tcW w:w="1186" w:type="pct"/>
          </w:tcPr>
          <w:p w:rsidR="00212455" w:rsidRPr="009B5946" w:rsidRDefault="005B64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9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55" w:rsidRPr="009B5946" w:rsidRDefault="005B64D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9B5946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Medical and Pharmaceutical Sciences </w:t>
              </w:r>
            </w:hyperlink>
          </w:p>
        </w:tc>
      </w:tr>
      <w:tr w:rsidR="00212455" w:rsidRPr="009B5946">
        <w:trPr>
          <w:trHeight w:val="290"/>
        </w:trPr>
        <w:tc>
          <w:tcPr>
            <w:tcW w:w="1186" w:type="pct"/>
          </w:tcPr>
          <w:p w:rsidR="00212455" w:rsidRPr="009B5946" w:rsidRDefault="005B64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9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55" w:rsidRPr="009B5946" w:rsidRDefault="005B64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Ms_JAMPS_155159</w:t>
            </w:r>
          </w:p>
        </w:tc>
      </w:tr>
      <w:tr w:rsidR="00212455" w:rsidRPr="009B5946">
        <w:trPr>
          <w:trHeight w:val="650"/>
        </w:trPr>
        <w:tc>
          <w:tcPr>
            <w:tcW w:w="1186" w:type="pct"/>
          </w:tcPr>
          <w:p w:rsidR="00212455" w:rsidRPr="009B5946" w:rsidRDefault="005B64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9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55" w:rsidRPr="009B5946" w:rsidRDefault="005B64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the Effects of Platelet-Rich Plasma on Histological Changes Following Experimental Spinal Cord Injury in Wistar Rats</w:t>
            </w:r>
          </w:p>
        </w:tc>
      </w:tr>
      <w:tr w:rsidR="00212455" w:rsidRPr="009B5946">
        <w:trPr>
          <w:trHeight w:val="332"/>
        </w:trPr>
        <w:tc>
          <w:tcPr>
            <w:tcW w:w="1186" w:type="pct"/>
          </w:tcPr>
          <w:p w:rsidR="00212455" w:rsidRPr="009B5946" w:rsidRDefault="005B64D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B594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2455" w:rsidRPr="009B5946" w:rsidRDefault="005B64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212455" w:rsidRPr="009B5946" w:rsidRDefault="00212455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212455" w:rsidRPr="009B5946" w:rsidRDefault="005B64D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9B5946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212455" w:rsidRPr="009B5946" w:rsidRDefault="0021245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212455" w:rsidRPr="009B5946" w:rsidRDefault="0021245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212455" w:rsidRPr="009B5946">
        <w:tc>
          <w:tcPr>
            <w:tcW w:w="1789" w:type="pct"/>
            <w:noWrap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594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12455" w:rsidRPr="009B5946" w:rsidRDefault="005B64D9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B59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59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90"/>
        </w:trPr>
        <w:tc>
          <w:tcPr>
            <w:tcW w:w="1789" w:type="pct"/>
            <w:noWrap/>
          </w:tcPr>
          <w:p w:rsidR="00212455" w:rsidRPr="009B5946" w:rsidRDefault="005B64D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B59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212455" w:rsidRPr="009B5946" w:rsidRDefault="005B64D9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This manuscript is very important for scientists because it delivers solid proof that platelet-</w:t>
            </w:r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 xml:space="preserve">rich plasma (PRP) can improve tissue healing in spinal cord injury (SCI) models in a dose-dependent way—filling a real gap in treatments for a condition that leaves many people paralyzed with no real cures yet. By showing how intrathecal PRP cuts down </w:t>
            </w:r>
            <w:proofErr w:type="spellStart"/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hemo</w:t>
            </w:r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rrhage</w:t>
            </w:r>
            <w:proofErr w:type="spellEnd"/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 xml:space="preserve">, inflammation and neuron damage in rats, it highlights a safe, natural approach using growth factors that could speed up human trials. The key dose insights (best at 10-15 </w:t>
            </w:r>
            <w:proofErr w:type="spellStart"/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μL</w:t>
            </w:r>
            <w:proofErr w:type="spellEnd"/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) help guide next steps, backing up recent studies on PRP's protective effe</w:t>
            </w:r>
            <w:r w:rsidRPr="009B5946">
              <w:rPr>
                <w:rFonts w:ascii="Arial" w:hAnsi="Arial" w:cs="Arial"/>
                <w:sz w:val="20"/>
                <w:szCs w:val="20"/>
                <w:lang w:val="en-GB"/>
              </w:rPr>
              <w:t>cts and pushing forward regenerative medicine for SCI.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12455" w:rsidRPr="009B5946" w:rsidRDefault="00212455">
      <w:pPr>
        <w:rPr>
          <w:rFonts w:ascii="Arial" w:hAnsi="Arial" w:cs="Arial"/>
          <w:sz w:val="20"/>
          <w:szCs w:val="20"/>
          <w:lang w:val="en-GB"/>
        </w:rPr>
      </w:pPr>
    </w:p>
    <w:p w:rsidR="00212455" w:rsidRPr="009B5946" w:rsidRDefault="005B64D9">
      <w:pPr>
        <w:pStyle w:val="Heading2"/>
        <w:jc w:val="left"/>
        <w:rPr>
          <w:rFonts w:ascii="Arial" w:hAnsi="Arial" w:cs="Arial"/>
          <w:lang w:val="en-GB"/>
        </w:rPr>
      </w:pPr>
      <w:r w:rsidRPr="009B5946">
        <w:rPr>
          <w:rFonts w:ascii="Arial" w:hAnsi="Arial" w:cs="Arial"/>
          <w:highlight w:val="yellow"/>
          <w:lang w:val="en-GB" w:eastAsia="en-US"/>
        </w:rPr>
        <w:t>PART  2</w:t>
      </w: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212455" w:rsidRPr="009B59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12455" w:rsidRPr="009B5946" w:rsidRDefault="0021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455" w:rsidRPr="009B5946" w:rsidRDefault="002124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455" w:rsidRPr="009B5946">
        <w:tc>
          <w:tcPr>
            <w:tcW w:w="1790" w:type="pct"/>
            <w:noWrap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594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12455" w:rsidRPr="009B5946" w:rsidRDefault="005B64D9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B594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B594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1262"/>
        </w:trPr>
        <w:tc>
          <w:tcPr>
            <w:tcW w:w="1790" w:type="pct"/>
            <w:noWrap/>
          </w:tcPr>
          <w:p w:rsidR="00212455" w:rsidRPr="009B5946" w:rsidRDefault="005B64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B594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</w:t>
            </w: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</w:t>
            </w: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ences relevant and sufficient (in number)?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12455" w:rsidRPr="009B5946">
        <w:trPr>
          <w:trHeight w:val="703"/>
        </w:trPr>
        <w:tc>
          <w:tcPr>
            <w:tcW w:w="1790" w:type="pct"/>
            <w:noWrap/>
          </w:tcPr>
          <w:p w:rsidR="00212455" w:rsidRPr="009B5946" w:rsidRDefault="005B64D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455" w:rsidRPr="009B5946" w:rsidRDefault="005B64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455" w:rsidRPr="009B5946" w:rsidRDefault="005B64D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12455" w:rsidRPr="009B5946" w:rsidRDefault="005B64D9">
            <w:pPr>
              <w:pStyle w:val="ListParagraph"/>
              <w:ind w:left="309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B5946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212455" w:rsidRPr="009B5946" w:rsidRDefault="002124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042D" w:rsidRPr="00FC042D" w:rsidRDefault="00FC042D" w:rsidP="00FC042D">
      <w:pPr>
        <w:rPr>
          <w:rFonts w:ascii="Arial" w:hAnsi="Arial" w:cs="Arial"/>
          <w:b/>
          <w:sz w:val="20"/>
          <w:szCs w:val="20"/>
        </w:rPr>
      </w:pPr>
    </w:p>
    <w:p w:rsidR="00FC042D" w:rsidRPr="00FC042D" w:rsidRDefault="00FC042D" w:rsidP="00FC042D">
      <w:pPr>
        <w:rPr>
          <w:rFonts w:ascii="Arial" w:hAnsi="Arial" w:cs="Arial"/>
          <w:b/>
          <w:sz w:val="20"/>
          <w:szCs w:val="20"/>
          <w:u w:val="single"/>
        </w:rPr>
      </w:pPr>
      <w:r w:rsidRPr="00FC042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C042D" w:rsidRPr="00FC042D" w:rsidRDefault="00FC042D" w:rsidP="00FC042D">
      <w:pPr>
        <w:rPr>
          <w:rFonts w:ascii="Arial" w:hAnsi="Arial" w:cs="Arial"/>
          <w:sz w:val="20"/>
          <w:szCs w:val="20"/>
        </w:rPr>
      </w:pPr>
    </w:p>
    <w:p w:rsidR="00FC042D" w:rsidRPr="00FC042D" w:rsidRDefault="00FC042D" w:rsidP="00FC042D">
      <w:pPr>
        <w:rPr>
          <w:rFonts w:ascii="Arial" w:hAnsi="Arial" w:cs="Arial"/>
          <w:sz w:val="20"/>
          <w:szCs w:val="20"/>
        </w:rPr>
      </w:pPr>
      <w:r w:rsidRPr="00FC042D">
        <w:rPr>
          <w:rFonts w:ascii="Arial" w:hAnsi="Arial" w:cs="Arial"/>
          <w:color w:val="000000"/>
          <w:sz w:val="20"/>
          <w:szCs w:val="20"/>
        </w:rPr>
        <w:t xml:space="preserve">Razvan Nicolae </w:t>
      </w:r>
      <w:proofErr w:type="spellStart"/>
      <w:r w:rsidRPr="00FC042D">
        <w:rPr>
          <w:rFonts w:ascii="Arial" w:hAnsi="Arial" w:cs="Arial"/>
          <w:color w:val="000000"/>
          <w:sz w:val="20"/>
          <w:szCs w:val="20"/>
        </w:rPr>
        <w:t>Malancus</w:t>
      </w:r>
      <w:proofErr w:type="spellEnd"/>
      <w:r w:rsidRPr="00FC042D">
        <w:rPr>
          <w:rFonts w:ascii="Arial" w:hAnsi="Arial" w:cs="Arial"/>
          <w:color w:val="000000"/>
          <w:sz w:val="20"/>
          <w:szCs w:val="20"/>
        </w:rPr>
        <w:t>, Ion Ionescu de la Brad” Iasi University of Life Sciences, Romania</w:t>
      </w:r>
    </w:p>
    <w:p w:rsidR="00FC042D" w:rsidRPr="00FC042D" w:rsidRDefault="00FC042D" w:rsidP="00FC042D">
      <w:pPr>
        <w:rPr>
          <w:rFonts w:ascii="Arial" w:hAnsi="Arial" w:cs="Arial"/>
          <w:sz w:val="20"/>
          <w:szCs w:val="20"/>
        </w:rPr>
      </w:pPr>
    </w:p>
    <w:p w:rsidR="00212455" w:rsidRPr="009B5946" w:rsidRDefault="00212455" w:rsidP="00FC042D">
      <w:pPr>
        <w:pStyle w:val="BodyText"/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212455" w:rsidRPr="009B59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D9" w:rsidRDefault="005B64D9">
      <w:r>
        <w:separator/>
      </w:r>
    </w:p>
  </w:endnote>
  <w:endnote w:type="continuationSeparator" w:id="0">
    <w:p w:rsidR="005B64D9" w:rsidRDefault="005B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pStyle w:val="Footer"/>
      <w:jc w:val="right"/>
    </w:pPr>
  </w:p>
  <w:p w:rsidR="00212455" w:rsidRDefault="005B64D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212455" w:rsidRDefault="005B64D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212455" w:rsidRDefault="00212455">
    <w:pPr>
      <w:pStyle w:val="Footer"/>
      <w:jc w:val="right"/>
    </w:pPr>
  </w:p>
  <w:p w:rsidR="00212455" w:rsidRDefault="00212455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D9" w:rsidRDefault="005B64D9">
      <w:r>
        <w:separator/>
      </w:r>
    </w:p>
  </w:footnote>
  <w:footnote w:type="continuationSeparator" w:id="0">
    <w:p w:rsidR="005B64D9" w:rsidRDefault="005B6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455" w:rsidRDefault="005B64D9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455" w:rsidRDefault="00212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55"/>
    <w:rsid w:val="00212455"/>
    <w:rsid w:val="004305EF"/>
    <w:rsid w:val="005B64D9"/>
    <w:rsid w:val="00993339"/>
    <w:rsid w:val="009B5946"/>
    <w:rsid w:val="00FC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p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16</cp:revision>
  <dcterms:created xsi:type="dcterms:W3CDTF">2026-03-23T06:04:00Z</dcterms:created>
  <dcterms:modified xsi:type="dcterms:W3CDTF">2026-03-25T08:48:00Z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