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761E22" w14:paraId="69C6AE5B" w14:textId="77777777">
        <w:trPr>
          <w:trHeight w:val="20"/>
          <w:jc w:val="center"/>
        </w:trPr>
        <w:tc>
          <w:tcPr>
            <w:tcW w:w="1186" w:type="pct"/>
          </w:tcPr>
          <w:p w14:paraId="26E7B61E" w14:textId="77777777" w:rsidR="00827594" w:rsidRPr="00761E2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426FC5" w14:textId="77777777" w:rsidR="00827594" w:rsidRPr="00761E22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761E22" w14:paraId="5C0F0CAE" w14:textId="77777777">
        <w:trPr>
          <w:trHeight w:val="20"/>
          <w:jc w:val="center"/>
        </w:trPr>
        <w:tc>
          <w:tcPr>
            <w:tcW w:w="1186" w:type="pct"/>
          </w:tcPr>
          <w:p w14:paraId="061BD871" w14:textId="77777777" w:rsidR="00827594" w:rsidRPr="00761E2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54B126E" w14:textId="77777777" w:rsidR="00827594" w:rsidRPr="00761E22" w:rsidRDefault="00E11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Ms_JABB_156503</w:t>
            </w:r>
          </w:p>
        </w:tc>
      </w:tr>
      <w:tr w:rsidR="00827594" w:rsidRPr="00761E22" w14:paraId="67633FD7" w14:textId="77777777">
        <w:trPr>
          <w:trHeight w:val="20"/>
          <w:jc w:val="center"/>
        </w:trPr>
        <w:tc>
          <w:tcPr>
            <w:tcW w:w="1186" w:type="pct"/>
          </w:tcPr>
          <w:p w14:paraId="48665FD4" w14:textId="77777777" w:rsidR="00827594" w:rsidRPr="00761E2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772215" w14:textId="77777777" w:rsidR="00827594" w:rsidRPr="00761E22" w:rsidRDefault="00E11C93" w:rsidP="00E11C9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Feeding and Reproductive Performance of </w:t>
            </w:r>
            <w:proofErr w:type="spellStart"/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Coccinella</w:t>
            </w:r>
            <w:proofErr w:type="spellEnd"/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undecimpunctata</w:t>
            </w:r>
            <w:proofErr w:type="spellEnd"/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on  two Different Apple Aphids for Sustainable Pest Management.</w:t>
            </w:r>
          </w:p>
        </w:tc>
      </w:tr>
      <w:tr w:rsidR="00827594" w:rsidRPr="00761E22" w14:paraId="518FE978" w14:textId="77777777">
        <w:trPr>
          <w:trHeight w:val="20"/>
          <w:jc w:val="center"/>
        </w:trPr>
        <w:tc>
          <w:tcPr>
            <w:tcW w:w="1186" w:type="pct"/>
          </w:tcPr>
          <w:p w14:paraId="65950E7E" w14:textId="77777777" w:rsidR="00827594" w:rsidRPr="00761E2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59ED7D" w14:textId="77777777" w:rsidR="00827594" w:rsidRPr="00761E22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F89598" w14:textId="77777777" w:rsidR="00827594" w:rsidRPr="00761E22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FC872C" w14:textId="77777777" w:rsidR="00827594" w:rsidRPr="00761E22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C6311" w14:textId="77777777" w:rsidR="00827594" w:rsidRPr="00761E22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1E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61E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F13261" w14:textId="77777777" w:rsidR="00827594" w:rsidRPr="00761E22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761E22" w14:paraId="76FDD62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26B4B5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FEF77AB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E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0CEB4E4" w14:textId="77777777" w:rsidR="00827594" w:rsidRPr="00761E22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1E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1E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FE332C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236FA1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0CAFB5" w14:textId="77777777" w:rsidR="00827594" w:rsidRPr="00761E22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8BD6A6E" w14:textId="51B6BCE7" w:rsidR="00827594" w:rsidRPr="00761E22" w:rsidRDefault="0087564B" w:rsidP="008756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study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is</w:t>
            </w: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 xml:space="preserve"> useful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to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know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about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pattern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of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development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like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, </w:t>
            </w: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>fecundity, developmental duration, adult longevity, and larval development of the predator when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it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>’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s</w:t>
            </w: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 xml:space="preserve"> fed on different aphid hosts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, </w:t>
            </w: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 xml:space="preserve">supporting its potential use in biological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pest</w:t>
            </w:r>
            <w:r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 xml:space="preserve">control </w:t>
            </w:r>
            <w:r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management</w:t>
            </w:r>
            <w:r w:rsidRPr="00761E2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But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effects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were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not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observed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on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different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temperature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which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may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affect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the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="00F723F2" w:rsidRPr="00761E22">
              <w:rPr>
                <w:rFonts w:ascii="Arial" w:hAnsi="Arial" w:cs="Arial"/>
                <w:sz w:val="20"/>
                <w:szCs w:val="20"/>
                <w:lang w:val="en-GB" w:bidi="hi-IN"/>
              </w:rPr>
              <w:t>result</w:t>
            </w:r>
            <w:r w:rsidR="00F723F2" w:rsidRPr="00761E22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>.</w:t>
            </w:r>
          </w:p>
        </w:tc>
        <w:tc>
          <w:tcPr>
            <w:tcW w:w="1367" w:type="pct"/>
          </w:tcPr>
          <w:p w14:paraId="35A8AFDE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C3BEA3" w14:textId="77777777" w:rsidR="00827594" w:rsidRPr="00761E22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797542EF" w14:textId="77777777" w:rsidR="00827594" w:rsidRPr="00761E22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61E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295D538" w14:textId="77777777" w:rsidR="00827594" w:rsidRPr="00761E22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761E22" w14:paraId="366D9AC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9218BB3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F9415F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E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4DB034" w14:textId="77777777" w:rsidR="00827594" w:rsidRPr="00761E22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1E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761E22" w14:paraId="2E5CB4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D87122" w14:textId="77777777" w:rsidR="00827594" w:rsidRPr="00761E2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78E3D7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99BAD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61D54" w14:textId="3083B0FB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5</w:t>
            </w:r>
          </w:p>
        </w:tc>
        <w:tc>
          <w:tcPr>
            <w:tcW w:w="1367" w:type="pct"/>
          </w:tcPr>
          <w:p w14:paraId="3480056B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1BBE77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951CB9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E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7BA306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9F167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1EB631" w14:textId="47295E55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3F402B00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1B2552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FAE41A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E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0DB6A6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4EC3A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73275" w14:textId="1914B1DB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7DA76D9E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2856C2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11ECD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E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674630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C5D41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271D7" w14:textId="49F7E344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3</w:t>
            </w:r>
          </w:p>
        </w:tc>
        <w:tc>
          <w:tcPr>
            <w:tcW w:w="1367" w:type="pct"/>
          </w:tcPr>
          <w:p w14:paraId="0125F5E3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61E9FD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6ED6CD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E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3342B6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32635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2D98A6" w14:textId="45D69732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6F45C02A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46752C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AA17ED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E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064C6F2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128AE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24ADE" w14:textId="54733DCB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7F2EEE34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134D7F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3E4AD9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E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8CA344F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58D7E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520FF6" w14:textId="64166C69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623B2D80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2902B7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1704AE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E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1B3F8E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21B35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A73F4" w14:textId="4B49E5EA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hi-IN"/>
              </w:rPr>
              <w:t>5</w:t>
            </w:r>
          </w:p>
        </w:tc>
        <w:tc>
          <w:tcPr>
            <w:tcW w:w="1367" w:type="pct"/>
          </w:tcPr>
          <w:p w14:paraId="26FF3E38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160D06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4186DC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DF8D79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4335D7" w14:textId="77777777" w:rsidR="00827594" w:rsidRPr="00761E2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7585F8" w14:textId="1C4B739E" w:rsidR="00827594" w:rsidRPr="00761E22" w:rsidRDefault="00F723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   </w:t>
            </w:r>
            <w:r w:rsidR="0087564B"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47A16784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79172A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BC446A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994E8E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77254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9EB11" w14:textId="1EFF7EA7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0FDBAA0B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17593D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CD4861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5E6BC2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8C5FF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B09D47" w14:textId="4AAA8B88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418E9E3C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4BA089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9E75E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1DF06A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D0899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F9341" w14:textId="0BB7C976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6DA0C488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0C05BE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BF647F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7F5812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26EA6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BB46B" w14:textId="24B85A4F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3</w:t>
            </w:r>
          </w:p>
        </w:tc>
        <w:tc>
          <w:tcPr>
            <w:tcW w:w="1367" w:type="pct"/>
          </w:tcPr>
          <w:p w14:paraId="218525BE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12ADA9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16FE1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DDF3F0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418EC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1B9D14AA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2E8C34" w14:textId="4F6D4325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lastRenderedPageBreak/>
              <w:t>4</w:t>
            </w:r>
          </w:p>
        </w:tc>
        <w:tc>
          <w:tcPr>
            <w:tcW w:w="1367" w:type="pct"/>
          </w:tcPr>
          <w:p w14:paraId="38C5ADEA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25D223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56DA83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09954D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19047" w14:textId="77777777" w:rsidR="00827594" w:rsidRPr="00761E2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F8BD74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88AD76" w14:textId="2DB5AFFE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4</w:t>
            </w:r>
          </w:p>
        </w:tc>
        <w:tc>
          <w:tcPr>
            <w:tcW w:w="1367" w:type="pct"/>
          </w:tcPr>
          <w:p w14:paraId="097342B1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BAA642" w14:textId="77777777" w:rsidR="00827594" w:rsidRPr="00761E2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94224F" w14:textId="77777777" w:rsidR="00827594" w:rsidRPr="00761E22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61E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F4E2FA" w14:textId="77777777" w:rsidR="00827594" w:rsidRPr="00761E22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761E22" w14:paraId="2D36DE2C" w14:textId="77777777" w:rsidTr="00761E22">
        <w:trPr>
          <w:trHeight w:val="20"/>
          <w:jc w:val="center"/>
        </w:trPr>
        <w:tc>
          <w:tcPr>
            <w:tcW w:w="1672" w:type="pct"/>
            <w:noWrap/>
          </w:tcPr>
          <w:p w14:paraId="2FB46617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BD4EF5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E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78AD53D" w14:textId="77777777" w:rsidR="00827594" w:rsidRPr="00761E22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4233C88" w14:textId="77777777" w:rsidR="00827594" w:rsidRPr="00761E22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1E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1E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D6102A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3D116C34" w14:textId="77777777" w:rsidTr="00761E22">
        <w:trPr>
          <w:trHeight w:val="20"/>
          <w:jc w:val="center"/>
        </w:trPr>
        <w:tc>
          <w:tcPr>
            <w:tcW w:w="1672" w:type="pct"/>
            <w:noWrap/>
          </w:tcPr>
          <w:p w14:paraId="2CF5F954" w14:textId="77777777" w:rsidR="00827594" w:rsidRPr="00761E2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6ADFF5" w14:textId="77777777" w:rsidR="00827594" w:rsidRPr="00761E2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1EAF0A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2E0858" w14:textId="2846C7C1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Yes</w:t>
            </w:r>
          </w:p>
        </w:tc>
        <w:tc>
          <w:tcPr>
            <w:tcW w:w="1542" w:type="pct"/>
          </w:tcPr>
          <w:p w14:paraId="7B02FF84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58ED83F6" w14:textId="77777777" w:rsidTr="00761E22">
        <w:trPr>
          <w:trHeight w:val="20"/>
          <w:jc w:val="center"/>
        </w:trPr>
        <w:tc>
          <w:tcPr>
            <w:tcW w:w="1672" w:type="pct"/>
            <w:noWrap/>
          </w:tcPr>
          <w:p w14:paraId="6070ED77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E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752E19E" w14:textId="77777777" w:rsidR="00827594" w:rsidRPr="00761E2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A6601C" w14:textId="77777777" w:rsidR="00827594" w:rsidRPr="00761E2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C1F9BA" w14:textId="3E6A04F7" w:rsidR="00827594" w:rsidRPr="00761E22" w:rsidRDefault="00875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Yes</w:t>
            </w:r>
          </w:p>
        </w:tc>
        <w:tc>
          <w:tcPr>
            <w:tcW w:w="1542" w:type="pct"/>
          </w:tcPr>
          <w:p w14:paraId="2A96093F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2A8B93E4" w14:textId="77777777" w:rsidTr="00761E22">
        <w:trPr>
          <w:trHeight w:val="20"/>
          <w:jc w:val="center"/>
        </w:trPr>
        <w:tc>
          <w:tcPr>
            <w:tcW w:w="1672" w:type="pct"/>
            <w:noWrap/>
          </w:tcPr>
          <w:p w14:paraId="2AEC588C" w14:textId="77777777" w:rsidR="00827594" w:rsidRPr="00761E22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61E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61E22">
              <w:rPr>
                <w:rFonts w:ascii="Arial" w:hAnsi="Arial" w:cs="Arial"/>
                <w:lang w:val="en-GB" w:eastAsia="en-US"/>
              </w:rPr>
              <w:br/>
            </w:r>
          </w:p>
          <w:p w14:paraId="480DC714" w14:textId="77777777" w:rsidR="00827594" w:rsidRPr="00761E2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9B2A66" w14:textId="044D4702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Yes</w:t>
            </w:r>
          </w:p>
        </w:tc>
        <w:tc>
          <w:tcPr>
            <w:tcW w:w="1542" w:type="pct"/>
          </w:tcPr>
          <w:p w14:paraId="02B6669F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59795212" w14:textId="77777777" w:rsidTr="00761E22">
        <w:trPr>
          <w:trHeight w:val="20"/>
          <w:jc w:val="center"/>
        </w:trPr>
        <w:tc>
          <w:tcPr>
            <w:tcW w:w="1672" w:type="pct"/>
            <w:noWrap/>
          </w:tcPr>
          <w:p w14:paraId="47B55929" w14:textId="77777777" w:rsidR="00827594" w:rsidRPr="00761E2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2A67BE" w14:textId="77777777" w:rsidR="00827594" w:rsidRPr="00761E2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DAA270" w14:textId="77777777" w:rsidR="00827594" w:rsidRPr="00761E2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96884A" w14:textId="77777777" w:rsidR="00827594" w:rsidRPr="00761E2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BF7646A" w14:textId="16FECAF6" w:rsidR="00827594" w:rsidRPr="00761E22" w:rsidRDefault="00875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No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,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There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are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some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incomplete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references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and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formatting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style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is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also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 xml:space="preserve"> </w:t>
            </w: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incomplete</w:t>
            </w:r>
            <w:r w:rsidRPr="00761E22">
              <w:rPr>
                <w:rFonts w:ascii="Arial" w:hAnsi="Arial" w:cs="Arial"/>
                <w:bCs/>
                <w:sz w:val="20"/>
                <w:szCs w:val="20"/>
                <w:cs/>
                <w:lang w:val="en-GB" w:bidi="hi-IN"/>
              </w:rPr>
              <w:t>.</w:t>
            </w:r>
          </w:p>
        </w:tc>
        <w:tc>
          <w:tcPr>
            <w:tcW w:w="1542" w:type="pct"/>
          </w:tcPr>
          <w:p w14:paraId="2CD3EEB5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61E22" w14:paraId="61BCD6E0" w14:textId="77777777" w:rsidTr="00761E22">
        <w:trPr>
          <w:trHeight w:val="896"/>
          <w:jc w:val="center"/>
        </w:trPr>
        <w:tc>
          <w:tcPr>
            <w:tcW w:w="1672" w:type="pct"/>
            <w:noWrap/>
          </w:tcPr>
          <w:p w14:paraId="1E4E5ED9" w14:textId="77777777" w:rsidR="00827594" w:rsidRPr="00761E2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996A4C" w14:textId="77777777" w:rsidR="00827594" w:rsidRPr="00761E2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8FB9AD" w14:textId="77777777" w:rsidR="00827594" w:rsidRPr="00761E2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D31A68" w14:textId="77777777" w:rsidR="00827594" w:rsidRPr="00761E2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A8EBA9" w14:textId="77777777" w:rsidR="00827594" w:rsidRPr="00761E2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F65911B" w14:textId="2A94A15F" w:rsidR="00827594" w:rsidRPr="00761E22" w:rsidRDefault="00F723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</w:pPr>
            <w:r w:rsidRPr="00761E22">
              <w:rPr>
                <w:rFonts w:ascii="Arial" w:hAnsi="Arial" w:cs="Arial"/>
                <w:bCs/>
                <w:sz w:val="20"/>
                <w:szCs w:val="20"/>
                <w:lang w:val="en-GB" w:bidi="hi-IN"/>
              </w:rPr>
              <w:t>No</w:t>
            </w:r>
          </w:p>
        </w:tc>
        <w:tc>
          <w:tcPr>
            <w:tcW w:w="1542" w:type="pct"/>
          </w:tcPr>
          <w:p w14:paraId="367C8310" w14:textId="77777777" w:rsidR="00827594" w:rsidRPr="00761E2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C7B93E" w14:textId="77777777" w:rsidR="00761E22" w:rsidRPr="00761E22" w:rsidRDefault="00761E22" w:rsidP="00761E22">
      <w:pPr>
        <w:rPr>
          <w:rFonts w:ascii="Arial" w:hAnsi="Arial" w:cs="Arial"/>
          <w:b/>
          <w:sz w:val="20"/>
          <w:szCs w:val="20"/>
          <w:u w:val="single"/>
        </w:rPr>
      </w:pPr>
      <w:r w:rsidRPr="00761E2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41A4EF2" w14:textId="77777777" w:rsidR="00761E22" w:rsidRPr="00761E22" w:rsidRDefault="00761E22" w:rsidP="00761E22">
      <w:pPr>
        <w:rPr>
          <w:rFonts w:ascii="Arial" w:hAnsi="Arial" w:cs="Arial"/>
          <w:sz w:val="20"/>
          <w:szCs w:val="20"/>
        </w:rPr>
      </w:pPr>
    </w:p>
    <w:p w14:paraId="6053886F" w14:textId="77777777" w:rsidR="00761E22" w:rsidRPr="00761E22" w:rsidRDefault="00761E22" w:rsidP="00761E22">
      <w:pPr>
        <w:rPr>
          <w:rFonts w:ascii="Arial" w:hAnsi="Arial" w:cs="Arial"/>
          <w:sz w:val="20"/>
          <w:szCs w:val="20"/>
        </w:rPr>
      </w:pPr>
      <w:r w:rsidRPr="00761E22">
        <w:rPr>
          <w:rFonts w:ascii="Arial" w:hAnsi="Arial" w:cs="Arial"/>
          <w:color w:val="000000"/>
          <w:sz w:val="20"/>
          <w:szCs w:val="20"/>
        </w:rPr>
        <w:t xml:space="preserve">Dharna </w:t>
      </w:r>
      <w:proofErr w:type="spellStart"/>
      <w:r w:rsidRPr="00761E22">
        <w:rPr>
          <w:rFonts w:ascii="Arial" w:hAnsi="Arial" w:cs="Arial"/>
          <w:color w:val="000000"/>
          <w:sz w:val="20"/>
          <w:szCs w:val="20"/>
        </w:rPr>
        <w:t>Tembhare</w:t>
      </w:r>
      <w:proofErr w:type="spellEnd"/>
      <w:r w:rsidRPr="00761E2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61E22">
        <w:rPr>
          <w:rFonts w:ascii="Arial" w:hAnsi="Arial" w:cs="Arial"/>
          <w:color w:val="000000"/>
          <w:sz w:val="20"/>
          <w:szCs w:val="20"/>
        </w:rPr>
        <w:t>Bisen</w:t>
      </w:r>
      <w:proofErr w:type="spellEnd"/>
      <w:r w:rsidRPr="00761E22">
        <w:rPr>
          <w:rFonts w:ascii="Arial" w:hAnsi="Arial" w:cs="Arial"/>
          <w:color w:val="000000"/>
          <w:sz w:val="20"/>
          <w:szCs w:val="20"/>
        </w:rPr>
        <w:t>, College of Agriculture</w:t>
      </w:r>
      <w:r w:rsidRPr="00761E22">
        <w:rPr>
          <w:rFonts w:ascii="Arial" w:hAnsi="Arial" w:cs="Arial"/>
          <w:sz w:val="20"/>
          <w:szCs w:val="20"/>
        </w:rPr>
        <w:t xml:space="preserve">, </w:t>
      </w:r>
      <w:r w:rsidRPr="00761E22">
        <w:rPr>
          <w:rFonts w:ascii="Arial" w:hAnsi="Arial" w:cs="Arial"/>
          <w:color w:val="000000"/>
          <w:sz w:val="20"/>
          <w:szCs w:val="20"/>
        </w:rPr>
        <w:t>India</w:t>
      </w:r>
    </w:p>
    <w:p w14:paraId="248C35F4" w14:textId="77777777" w:rsidR="00827594" w:rsidRPr="00761E22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1FE9EAB" w14:textId="77777777" w:rsidR="00827594" w:rsidRPr="00761E22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019D579" w14:textId="77777777" w:rsidR="00827594" w:rsidRPr="00761E22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761E2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48DE" w14:textId="77777777" w:rsidR="008A0421" w:rsidRDefault="008A0421">
      <w:r>
        <w:separator/>
      </w:r>
    </w:p>
  </w:endnote>
  <w:endnote w:type="continuationSeparator" w:id="0">
    <w:p w14:paraId="617E7555" w14:textId="77777777" w:rsidR="008A0421" w:rsidRDefault="008A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E1B96" w14:textId="77777777" w:rsidR="00827594" w:rsidRDefault="00827594">
    <w:pPr>
      <w:pStyle w:val="Footer"/>
      <w:jc w:val="right"/>
    </w:pPr>
  </w:p>
  <w:p w14:paraId="6E150C1A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87E2DA4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A9D181" w14:textId="77777777" w:rsidR="00827594" w:rsidRDefault="00827594">
    <w:pPr>
      <w:pStyle w:val="Footer"/>
      <w:jc w:val="right"/>
    </w:pPr>
  </w:p>
  <w:p w14:paraId="1CD73568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35F61" w14:textId="77777777" w:rsidR="008A0421" w:rsidRDefault="008A0421">
      <w:r>
        <w:separator/>
      </w:r>
    </w:p>
  </w:footnote>
  <w:footnote w:type="continuationSeparator" w:id="0">
    <w:p w14:paraId="4E5C7CE2" w14:textId="77777777" w:rsidR="008A0421" w:rsidRDefault="008A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A0E7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899570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82F72"/>
    <w:rsid w:val="000B5550"/>
    <w:rsid w:val="00136D82"/>
    <w:rsid w:val="0019327C"/>
    <w:rsid w:val="001C381E"/>
    <w:rsid w:val="00313EAC"/>
    <w:rsid w:val="004B29B0"/>
    <w:rsid w:val="006A6D0D"/>
    <w:rsid w:val="00707818"/>
    <w:rsid w:val="00761E22"/>
    <w:rsid w:val="00827594"/>
    <w:rsid w:val="0087564B"/>
    <w:rsid w:val="008A0421"/>
    <w:rsid w:val="00935FD8"/>
    <w:rsid w:val="00A113CF"/>
    <w:rsid w:val="00B46A2A"/>
    <w:rsid w:val="00C46E15"/>
    <w:rsid w:val="00C61515"/>
    <w:rsid w:val="00C712A1"/>
    <w:rsid w:val="00DC466E"/>
    <w:rsid w:val="00E11C93"/>
    <w:rsid w:val="00F112C6"/>
    <w:rsid w:val="00F723F2"/>
    <w:rsid w:val="00F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7E83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