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CF43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CF4377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CF43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CF4377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CF43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CF4377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43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CF4377" w:rsidRDefault="00254E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Ms_JABB_156280</w:t>
            </w:r>
          </w:p>
        </w:tc>
      </w:tr>
      <w:tr w:rsidR="00827594" w:rsidRPr="00CF43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CF4377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43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CF4377" w:rsidRDefault="00254E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Evaluating the Role of </w:t>
            </w:r>
            <w:proofErr w:type="spellStart"/>
            <w:r w:rsidRPr="00CF4377">
              <w:rPr>
                <w:rFonts w:ascii="Arial" w:hAnsi="Arial" w:cs="Arial"/>
                <w:b/>
                <w:sz w:val="20"/>
                <w:szCs w:val="20"/>
                <w:lang w:val="en-GB"/>
              </w:rPr>
              <w:t>Brassinolide</w:t>
            </w:r>
            <w:proofErr w:type="spellEnd"/>
            <w:r w:rsidRPr="00CF43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Extending Shelf Life and bioactive compounds in Mango cv. </w:t>
            </w:r>
            <w:proofErr w:type="spellStart"/>
            <w:r w:rsidRPr="00CF4377">
              <w:rPr>
                <w:rFonts w:ascii="Arial" w:hAnsi="Arial" w:cs="Arial"/>
                <w:b/>
                <w:sz w:val="20"/>
                <w:szCs w:val="20"/>
                <w:lang w:val="en-GB"/>
              </w:rPr>
              <w:t>Langra</w:t>
            </w:r>
            <w:proofErr w:type="spellEnd"/>
          </w:p>
        </w:tc>
      </w:tr>
      <w:tr w:rsidR="00827594" w:rsidRPr="00CF43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CF4377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43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CF4377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CF4377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CF4377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CF4377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F437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F437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CF4377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CF43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CF4377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437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CF4377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F43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437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F43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CF4377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F43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CF4377" w:rsidRDefault="008275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CF4377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CF4377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F437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7594" w:rsidRPr="00CF4377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CF43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CF4377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437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CF4377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3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437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CF43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CF4377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CF43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F4377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CF4377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F43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CF4377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437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27594" w:rsidRPr="00CF43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F437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CF4377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F43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CF437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437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CF43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F4377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CF4377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F43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CF437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437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CF43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F4377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CF4377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F43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CF437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437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CF43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F4377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CF4377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F43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CF437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437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CF43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F4377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CF4377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F43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CF437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437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CF43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F437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CF4377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F43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CF437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437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CF43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F4377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CF4377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F43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CF437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CF43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F4377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CF4377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F43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CF437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CF43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F437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CF4377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F43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CF437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CF43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F437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CF4377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F43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CF437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CF43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F437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CF4377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F43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CF437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CF43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F437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CF4377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F43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CF437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CF43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F43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CF437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CF4377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F43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CF437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CF43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827594" w:rsidRPr="00CF437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CF437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CF4377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CF4377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CF4377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F437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7594" w:rsidRPr="00CF4377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6390"/>
        <w:gridCol w:w="2856"/>
      </w:tblGrid>
      <w:tr w:rsidR="00827594" w:rsidRPr="00CF4377" w:rsidTr="001E20B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300" w:type="pct"/>
            <w:shd w:val="clear" w:color="auto" w:fill="auto"/>
          </w:tcPr>
          <w:p w:rsidR="00827594" w:rsidRPr="00CF4377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437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7594" w:rsidRPr="00CF4377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8" w:type="pct"/>
            <w:shd w:val="clear" w:color="auto" w:fill="auto"/>
          </w:tcPr>
          <w:p w:rsidR="00827594" w:rsidRPr="00CF4377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43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437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F4377" w:rsidTr="001E20B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CF4377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CF4377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CF4377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43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300" w:type="pct"/>
            <w:shd w:val="clear" w:color="auto" w:fill="auto"/>
          </w:tcPr>
          <w:p w:rsidR="00827594" w:rsidRPr="00CF4377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28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F4377" w:rsidTr="001E20B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CF4377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437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7594" w:rsidRPr="00CF4377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CF437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300" w:type="pct"/>
            <w:shd w:val="clear" w:color="auto" w:fill="auto"/>
          </w:tcPr>
          <w:p w:rsidR="00827594" w:rsidRPr="00CF4377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28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F4377" w:rsidTr="001E20B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CF4377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F437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F4377">
              <w:rPr>
                <w:rFonts w:ascii="Arial" w:hAnsi="Arial" w:cs="Arial"/>
                <w:lang w:val="en-GB" w:eastAsia="en-US"/>
              </w:rPr>
              <w:br/>
            </w:r>
          </w:p>
          <w:p w:rsidR="00827594" w:rsidRPr="00CF437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300" w:type="pct"/>
            <w:shd w:val="clear" w:color="auto" w:fill="auto"/>
          </w:tcPr>
          <w:p w:rsidR="00E159E3" w:rsidRPr="00CF4377" w:rsidRDefault="00E159E3" w:rsidP="00E159E3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81"/>
              </w:tabs>
              <w:autoSpaceDE w:val="0"/>
              <w:autoSpaceDN w:val="0"/>
              <w:spacing w:before="60" w:line="278" w:lineRule="auto"/>
              <w:ind w:right="21" w:firstLine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4377">
              <w:rPr>
                <w:rFonts w:ascii="Arial" w:hAnsi="Arial" w:cs="Arial"/>
                <w:sz w:val="20"/>
                <w:szCs w:val="20"/>
              </w:rPr>
              <w:t xml:space="preserve">"TSS was highest (22.6 °Brix)" – Table 2 displays the accurate result as 22.63 °Brix, not </w:t>
            </w:r>
            <w:r w:rsidRPr="00CF4377">
              <w:rPr>
                <w:rFonts w:ascii="Arial" w:hAnsi="Arial" w:cs="Arial"/>
                <w:spacing w:val="-2"/>
                <w:sz w:val="20"/>
                <w:szCs w:val="20"/>
              </w:rPr>
              <w:t>22.6.</w:t>
            </w:r>
          </w:p>
          <w:p w:rsidR="00E159E3" w:rsidRPr="00CF4377" w:rsidRDefault="00E159E3" w:rsidP="00E159E3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63"/>
              </w:tabs>
              <w:autoSpaceDE w:val="0"/>
              <w:autoSpaceDN w:val="0"/>
              <w:spacing w:line="278" w:lineRule="auto"/>
              <w:ind w:right="19" w:firstLine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4377">
              <w:rPr>
                <w:rFonts w:ascii="Arial" w:hAnsi="Arial" w:cs="Arial"/>
                <w:sz w:val="20"/>
                <w:szCs w:val="20"/>
              </w:rPr>
              <w:t>The statement "Total carotenoids content was (1.94 mg/100 g FW) after one day of storage in control and it increased as fruit firm and eatable while again decreasing when quality fruit deteriorate" is unclear from a scientific and grammatical standpoint. In all BR-treated fruits, carotenoids gradually rose until day 13 before declining on day 16.</w:t>
            </w:r>
            <w:r w:rsidRPr="00CF43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This should be made very obvious in the abstract.</w:t>
            </w:r>
          </w:p>
          <w:p w:rsidR="00E159E3" w:rsidRPr="00CF4377" w:rsidRDefault="00E159E3" w:rsidP="00E159E3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53"/>
              </w:tabs>
              <w:autoSpaceDE w:val="0"/>
              <w:autoSpaceDN w:val="0"/>
              <w:spacing w:before="158" w:line="278" w:lineRule="auto"/>
              <w:ind w:right="17" w:firstLine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4377">
              <w:rPr>
                <w:rFonts w:ascii="Arial" w:hAnsi="Arial" w:cs="Arial"/>
                <w:sz w:val="20"/>
                <w:szCs w:val="20"/>
              </w:rPr>
              <w:t>The</w:t>
            </w:r>
            <w:r w:rsidRPr="00CF43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abstract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notes</w:t>
            </w:r>
            <w:r w:rsidRPr="00CF43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that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ascorbic</w:t>
            </w:r>
            <w:r w:rsidRPr="00CF43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acid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showed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a</w:t>
            </w:r>
            <w:r w:rsidRPr="00CF43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declining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trend,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but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it</w:t>
            </w:r>
            <w:r w:rsidRPr="00CF43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also</w:t>
            </w:r>
            <w:r w:rsidRPr="00CF43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states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that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"highest ascorbic acid content (75.60 mg/100 g pulp) was recorded under</w:t>
            </w:r>
            <w:r w:rsidRPr="00CF43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T6 after 1st day of storage." Later,</w:t>
            </w:r>
            <w:r w:rsidRPr="00CF43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in</w:t>
            </w:r>
            <w:r w:rsidRPr="00CF43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the Results</w:t>
            </w:r>
            <w:r w:rsidRPr="00CF43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section</w:t>
            </w:r>
            <w:r w:rsidRPr="00CF43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(Table 5),</w:t>
            </w:r>
            <w:r w:rsidRPr="00CF43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day</w:t>
            </w:r>
            <w:r w:rsidRPr="00CF43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16</w:t>
            </w:r>
            <w:r w:rsidRPr="00CF43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of</w:t>
            </w:r>
            <w:r w:rsidRPr="00CF43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T6</w:t>
            </w:r>
            <w:r w:rsidRPr="00CF43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is</w:t>
            </w:r>
            <w:r w:rsidRPr="00CF43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mistakenly</w:t>
            </w:r>
            <w:r w:rsidRPr="00CF43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restated as</w:t>
            </w:r>
            <w:r w:rsidRPr="00CF43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75.60</w:t>
            </w:r>
            <w:r w:rsidRPr="00CF43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mg/100</w:t>
            </w:r>
            <w:r w:rsidRPr="00CF43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g, which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is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the</w:t>
            </w:r>
            <w:r w:rsidRPr="00CF43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day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1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value,</w:t>
            </w:r>
            <w:r w:rsidRPr="00CF43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not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day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16.</w:t>
            </w:r>
            <w:r w:rsidRPr="00CF437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T6's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day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16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value</w:t>
            </w:r>
            <w:r w:rsidRPr="00CF43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is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37.24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mg/100</w:t>
            </w:r>
            <w:r w:rsidRPr="00CF43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g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pulp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(Table</w:t>
            </w:r>
            <w:r w:rsidRPr="00CF43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5).</w:t>
            </w:r>
            <w:r w:rsidRPr="00CF43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In</w:t>
            </w:r>
            <w:r w:rsidRPr="00CF43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the Ascorbic</w:t>
            </w:r>
            <w:r w:rsidRPr="00CF4377">
              <w:rPr>
                <w:rFonts w:ascii="Arial" w:hAnsi="Arial" w:cs="Arial"/>
                <w:spacing w:val="63"/>
                <w:sz w:val="20"/>
                <w:szCs w:val="20"/>
              </w:rPr>
              <w:t xml:space="preserve">  </w:t>
            </w:r>
            <w:r w:rsidRPr="00CF4377">
              <w:rPr>
                <w:rFonts w:ascii="Arial" w:hAnsi="Arial" w:cs="Arial"/>
                <w:sz w:val="20"/>
                <w:szCs w:val="20"/>
              </w:rPr>
              <w:t>Acid</w:t>
            </w:r>
            <w:r w:rsidRPr="00CF4377">
              <w:rPr>
                <w:rFonts w:ascii="Arial" w:hAnsi="Arial" w:cs="Arial"/>
                <w:spacing w:val="73"/>
                <w:sz w:val="20"/>
                <w:szCs w:val="20"/>
              </w:rPr>
              <w:t xml:space="preserve">  </w:t>
            </w:r>
            <w:r w:rsidRPr="00CF4377">
              <w:rPr>
                <w:rFonts w:ascii="Arial" w:hAnsi="Arial" w:cs="Arial"/>
                <w:sz w:val="20"/>
                <w:szCs w:val="20"/>
              </w:rPr>
              <w:t>Results</w:t>
            </w:r>
            <w:r w:rsidRPr="00CF4377">
              <w:rPr>
                <w:rFonts w:ascii="Arial" w:hAnsi="Arial" w:cs="Arial"/>
                <w:spacing w:val="73"/>
                <w:sz w:val="20"/>
                <w:szCs w:val="20"/>
              </w:rPr>
              <w:t xml:space="preserve">  </w:t>
            </w:r>
            <w:r w:rsidRPr="00CF4377">
              <w:rPr>
                <w:rFonts w:ascii="Arial" w:hAnsi="Arial" w:cs="Arial"/>
                <w:sz w:val="20"/>
                <w:szCs w:val="20"/>
              </w:rPr>
              <w:t>section,</w:t>
            </w:r>
            <w:r w:rsidRPr="00CF4377">
              <w:rPr>
                <w:rFonts w:ascii="Arial" w:hAnsi="Arial" w:cs="Arial"/>
                <w:spacing w:val="73"/>
                <w:sz w:val="20"/>
                <w:szCs w:val="20"/>
              </w:rPr>
              <w:t xml:space="preserve">  </w:t>
            </w:r>
            <w:r w:rsidRPr="00CF4377">
              <w:rPr>
                <w:rFonts w:ascii="Arial" w:hAnsi="Arial" w:cs="Arial"/>
                <w:sz w:val="20"/>
                <w:szCs w:val="20"/>
              </w:rPr>
              <w:t>there</w:t>
            </w:r>
            <w:r w:rsidRPr="00CF4377">
              <w:rPr>
                <w:rFonts w:ascii="Arial" w:hAnsi="Arial" w:cs="Arial"/>
                <w:spacing w:val="73"/>
                <w:sz w:val="20"/>
                <w:szCs w:val="20"/>
              </w:rPr>
              <w:t xml:space="preserve">  </w:t>
            </w:r>
            <w:r w:rsidRPr="00CF4377">
              <w:rPr>
                <w:rFonts w:ascii="Arial" w:hAnsi="Arial" w:cs="Arial"/>
                <w:sz w:val="20"/>
                <w:szCs w:val="20"/>
              </w:rPr>
              <w:t>is</w:t>
            </w:r>
            <w:r w:rsidRPr="00CF4377">
              <w:rPr>
                <w:rFonts w:ascii="Arial" w:hAnsi="Arial" w:cs="Arial"/>
                <w:spacing w:val="74"/>
                <w:sz w:val="20"/>
                <w:szCs w:val="20"/>
              </w:rPr>
              <w:t xml:space="preserve">  </w:t>
            </w:r>
            <w:r w:rsidRPr="00CF4377">
              <w:rPr>
                <w:rFonts w:ascii="Arial" w:hAnsi="Arial" w:cs="Arial"/>
                <w:sz w:val="20"/>
                <w:szCs w:val="20"/>
              </w:rPr>
              <w:t>a</w:t>
            </w:r>
            <w:r w:rsidRPr="00CF4377">
              <w:rPr>
                <w:rFonts w:ascii="Arial" w:hAnsi="Arial" w:cs="Arial"/>
                <w:spacing w:val="73"/>
                <w:sz w:val="20"/>
                <w:szCs w:val="20"/>
              </w:rPr>
              <w:t xml:space="preserve">  </w:t>
            </w:r>
            <w:r w:rsidRPr="00CF4377">
              <w:rPr>
                <w:rFonts w:ascii="Arial" w:hAnsi="Arial" w:cs="Arial"/>
                <w:sz w:val="20"/>
                <w:szCs w:val="20"/>
              </w:rPr>
              <w:t>significant</w:t>
            </w:r>
            <w:r w:rsidRPr="00CF4377">
              <w:rPr>
                <w:rFonts w:ascii="Arial" w:hAnsi="Arial" w:cs="Arial"/>
                <w:spacing w:val="73"/>
                <w:sz w:val="20"/>
                <w:szCs w:val="20"/>
              </w:rPr>
              <w:t xml:space="preserve">  </w:t>
            </w:r>
            <w:r w:rsidRPr="00CF4377">
              <w:rPr>
                <w:rFonts w:ascii="Arial" w:hAnsi="Arial" w:cs="Arial"/>
                <w:sz w:val="20"/>
                <w:szCs w:val="20"/>
              </w:rPr>
              <w:t>data</w:t>
            </w:r>
            <w:r w:rsidRPr="00CF4377">
              <w:rPr>
                <w:rFonts w:ascii="Arial" w:hAnsi="Arial" w:cs="Arial"/>
                <w:spacing w:val="74"/>
                <w:sz w:val="20"/>
                <w:szCs w:val="20"/>
              </w:rPr>
              <w:t xml:space="preserve">  </w:t>
            </w:r>
            <w:r w:rsidRPr="00CF4377">
              <w:rPr>
                <w:rFonts w:ascii="Arial" w:hAnsi="Arial" w:cs="Arial"/>
                <w:sz w:val="20"/>
                <w:szCs w:val="20"/>
              </w:rPr>
              <w:t>reporting</w:t>
            </w:r>
            <w:r w:rsidRPr="00CF4377">
              <w:rPr>
                <w:rFonts w:ascii="Arial" w:hAnsi="Arial" w:cs="Arial"/>
                <w:spacing w:val="73"/>
                <w:sz w:val="20"/>
                <w:szCs w:val="20"/>
              </w:rPr>
              <w:t xml:space="preserve">  </w:t>
            </w:r>
            <w:r w:rsidRPr="00CF4377">
              <w:rPr>
                <w:rFonts w:ascii="Arial" w:hAnsi="Arial" w:cs="Arial"/>
                <w:sz w:val="20"/>
                <w:szCs w:val="20"/>
              </w:rPr>
              <w:t>error. 4:</w:t>
            </w:r>
            <w:r w:rsidRPr="00CF43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"India</w:t>
            </w:r>
            <w:r w:rsidRPr="00CF43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ranks</w:t>
            </w:r>
            <w:r w:rsidRPr="00CF43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1st</w:t>
            </w:r>
            <w:r w:rsidRPr="00CF43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in</w:t>
            </w:r>
            <w:r w:rsidRPr="00CF43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the</w:t>
            </w:r>
            <w:r w:rsidRPr="00CF43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area</w:t>
            </w:r>
            <w:r w:rsidRPr="00CF43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with</w:t>
            </w:r>
            <w:r w:rsidRPr="00CF43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coverage</w:t>
            </w:r>
            <w:r w:rsidRPr="00CF43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of</w:t>
            </w:r>
            <w:r w:rsidRPr="00CF43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2346.09</w:t>
            </w:r>
            <w:r w:rsidRPr="00CF43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thousand</w:t>
            </w:r>
            <w:r w:rsidRPr="00CF43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MT"—the</w:t>
            </w:r>
            <w:r w:rsidRPr="00CF43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phrase</w:t>
            </w:r>
            <w:r w:rsidRPr="00CF43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"thousand MT"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is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not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appropriate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for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the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area.</w:t>
            </w:r>
            <w:r w:rsidRPr="00CF437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Instead</w:t>
            </w:r>
            <w:r w:rsidRPr="00CF437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of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MT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(metric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tonnes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>),</w:t>
            </w:r>
            <w:r w:rsidRPr="00CF437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the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area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should</w:t>
            </w:r>
            <w:r w:rsidRPr="00CF437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be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expressed in thousand hectares (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th.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ha). MT is a weight/production unit.</w:t>
            </w:r>
          </w:p>
          <w:p w:rsidR="00E159E3" w:rsidRPr="00CF4377" w:rsidRDefault="00E159E3" w:rsidP="00E159E3">
            <w:pPr>
              <w:pStyle w:val="BodyText"/>
              <w:spacing w:before="156" w:line="278" w:lineRule="auto"/>
              <w:ind w:right="22"/>
              <w:rPr>
                <w:rFonts w:ascii="Arial" w:hAnsi="Arial" w:cs="Arial"/>
                <w:sz w:val="20"/>
                <w:szCs w:val="20"/>
              </w:rPr>
            </w:pPr>
            <w:r w:rsidRPr="00CF4377">
              <w:rPr>
                <w:rFonts w:ascii="Arial" w:hAnsi="Arial" w:cs="Arial"/>
                <w:sz w:val="20"/>
                <w:szCs w:val="20"/>
              </w:rPr>
              <w:t xml:space="preserve">5: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Bihar's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"area of about 162.99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thousand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MT" has the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same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unit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inaccuracy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. It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ought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thousand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hectares.</w:t>
            </w:r>
          </w:p>
          <w:p w:rsidR="00E159E3" w:rsidRPr="00CF4377" w:rsidRDefault="00E159E3" w:rsidP="00E159E3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301"/>
              </w:tabs>
              <w:autoSpaceDE w:val="0"/>
              <w:autoSpaceDN w:val="0"/>
              <w:spacing w:before="159" w:line="280" w:lineRule="auto"/>
              <w:ind w:right="25" w:firstLine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4377">
              <w:rPr>
                <w:rFonts w:ascii="Arial" w:hAnsi="Arial" w:cs="Arial"/>
                <w:sz w:val="20"/>
                <w:szCs w:val="20"/>
              </w:rPr>
              <w:t>The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citation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"Vidhya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Vardhini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>,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2017"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is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missing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from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the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References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section.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This</w:t>
            </w:r>
            <w:r w:rsidRPr="00CF437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 xml:space="preserve">reference </w:t>
            </w:r>
            <w:proofErr w:type="spellStart"/>
            <w:r w:rsidRPr="00CF4377">
              <w:rPr>
                <w:rFonts w:ascii="Arial" w:hAnsi="Arial" w:cs="Arial"/>
                <w:spacing w:val="-2"/>
                <w:sz w:val="20"/>
                <w:szCs w:val="20"/>
              </w:rPr>
              <w:t>isabsent</w:t>
            </w:r>
            <w:proofErr w:type="spellEnd"/>
            <w:r w:rsidRPr="00CF4377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:rsidR="00E159E3" w:rsidRPr="00CF4377" w:rsidRDefault="00E159E3" w:rsidP="00E159E3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60"/>
              </w:tabs>
              <w:autoSpaceDE w:val="0"/>
              <w:autoSpaceDN w:val="0"/>
              <w:spacing w:line="278" w:lineRule="auto"/>
              <w:ind w:right="23" w:firstLine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4377">
              <w:rPr>
                <w:rFonts w:ascii="Arial" w:hAnsi="Arial" w:cs="Arial"/>
                <w:sz w:val="20"/>
                <w:szCs w:val="20"/>
              </w:rPr>
              <w:t>The</w:t>
            </w:r>
            <w:r w:rsidRPr="00CF43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Introduction states that BRs control "ethylene</w:t>
            </w:r>
            <w:r w:rsidRPr="00CF43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biosynthesis," but it doesn't explain how this relates to the crucial mechanism of post-harvest shelf life. The argument would be strengthened by a one-sentence link.</w:t>
            </w:r>
          </w:p>
          <w:p w:rsidR="00E159E3" w:rsidRPr="00CF4377" w:rsidRDefault="00E159E3" w:rsidP="00E159E3">
            <w:pPr>
              <w:pStyle w:val="BodyText"/>
              <w:spacing w:before="153" w:line="278" w:lineRule="auto"/>
              <w:ind w:right="22"/>
              <w:rPr>
                <w:rFonts w:ascii="Arial" w:hAnsi="Arial" w:cs="Arial"/>
                <w:sz w:val="20"/>
                <w:szCs w:val="20"/>
              </w:rPr>
            </w:pPr>
            <w:r w:rsidRPr="00CF4377">
              <w:rPr>
                <w:rFonts w:ascii="Arial" w:hAnsi="Arial" w:cs="Arial"/>
                <w:sz w:val="20"/>
                <w:szCs w:val="20"/>
              </w:rPr>
              <w:t xml:space="preserve">8: "Observations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were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recorded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three-day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interval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";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nevertheless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, the sampling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specified</w:t>
            </w:r>
            <w:proofErr w:type="spellEnd"/>
            <w:r w:rsidRPr="00CF437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are</w:t>
            </w:r>
            <w:r w:rsidRPr="00CF437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1,</w:t>
            </w:r>
            <w:r w:rsidRPr="00CF437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4,</w:t>
            </w:r>
            <w:r w:rsidRPr="00CF437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7,</w:t>
            </w:r>
            <w:r w:rsidRPr="00CF437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10,</w:t>
            </w:r>
            <w:r w:rsidRPr="00CF4377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13,</w:t>
            </w:r>
            <w:r w:rsidRPr="00CF437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and</w:t>
            </w:r>
            <w:r w:rsidRPr="00CF437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16,</w:t>
            </w:r>
            <w:r w:rsidRPr="00CF437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which</w:t>
            </w:r>
            <w:proofErr w:type="spellEnd"/>
            <w:r w:rsidRPr="00CF437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are</w:t>
            </w:r>
            <w:r w:rsidRPr="00CF437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three-day</w:t>
            </w:r>
            <w:proofErr w:type="spellEnd"/>
            <w:r w:rsidRPr="00CF437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intervals</w:t>
            </w:r>
            <w:proofErr w:type="spellEnd"/>
            <w:r w:rsidRPr="00CF437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beginning</w:t>
            </w:r>
            <w:proofErr w:type="spellEnd"/>
            <w:r w:rsidRPr="00CF437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on</w:t>
            </w:r>
            <w:r w:rsidRPr="00CF437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  <w:r w:rsidRPr="00CF437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1</w:t>
            </w:r>
            <w:r w:rsidRPr="00CF4377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pacing w:val="-2"/>
                <w:sz w:val="20"/>
                <w:szCs w:val="20"/>
              </w:rPr>
              <w:t>rather</w:t>
            </w:r>
            <w:proofErr w:type="spellEnd"/>
          </w:p>
          <w:p w:rsidR="00E159E3" w:rsidRPr="00CF4377" w:rsidRDefault="00E159E3" w:rsidP="00E159E3">
            <w:pPr>
              <w:pStyle w:val="BodyText"/>
              <w:spacing w:line="274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than</w:t>
            </w:r>
            <w:proofErr w:type="spellEnd"/>
            <w:r w:rsidRPr="00CF4377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  <w:r w:rsidRPr="00CF4377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0.</w:t>
            </w:r>
            <w:r w:rsidRPr="00CF437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This</w:t>
            </w:r>
            <w:r w:rsidRPr="00CF4377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CF4377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not</w:t>
            </w:r>
            <w:r w:rsidRPr="00CF4377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consistent.</w:t>
            </w:r>
            <w:r w:rsidRPr="00CF4377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It</w:t>
            </w:r>
            <w:r w:rsidRPr="00CF4377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Pr="00CF4377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say</w:t>
            </w:r>
            <w:proofErr w:type="spellEnd"/>
            <w:r w:rsidRPr="00CF4377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"at</w:t>
            </w:r>
            <w:r w:rsidRPr="00CF4377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1,</w:t>
            </w:r>
            <w:r w:rsidRPr="00CF4377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4,</w:t>
            </w:r>
            <w:r w:rsidRPr="00CF4377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7,</w:t>
            </w:r>
            <w:r w:rsidRPr="00CF4377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10,</w:t>
            </w:r>
            <w:r w:rsidRPr="00CF4377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13,</w:t>
            </w:r>
            <w:r w:rsidRPr="00CF4377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and</w:t>
            </w:r>
            <w:r w:rsidRPr="00CF4377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16</w:t>
            </w:r>
            <w:r w:rsidRPr="00CF4377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  <w:r w:rsidRPr="00CF4377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of</w:t>
            </w:r>
            <w:r w:rsidRPr="00CF4377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pacing w:val="-2"/>
                <w:sz w:val="20"/>
                <w:szCs w:val="20"/>
              </w:rPr>
              <w:t>storage</w:t>
            </w:r>
            <w:proofErr w:type="spellEnd"/>
            <w:r w:rsidRPr="00CF4377">
              <w:rPr>
                <w:rFonts w:ascii="Arial" w:hAnsi="Arial" w:cs="Arial"/>
                <w:spacing w:val="-2"/>
                <w:sz w:val="20"/>
                <w:szCs w:val="20"/>
              </w:rPr>
              <w:t>."</w:t>
            </w:r>
          </w:p>
          <w:p w:rsidR="00E159E3" w:rsidRPr="00CF4377" w:rsidRDefault="00E159E3" w:rsidP="00E159E3">
            <w:pPr>
              <w:pStyle w:val="BodyText"/>
              <w:spacing w:before="46" w:line="278" w:lineRule="auto"/>
              <w:rPr>
                <w:rFonts w:ascii="Arial" w:hAnsi="Arial" w:cs="Arial"/>
                <w:sz w:val="20"/>
                <w:szCs w:val="20"/>
              </w:rPr>
            </w:pPr>
            <w:r w:rsidRPr="00CF4377">
              <w:rPr>
                <w:rFonts w:ascii="Arial" w:hAnsi="Arial" w:cs="Arial"/>
                <w:sz w:val="20"/>
                <w:szCs w:val="20"/>
              </w:rPr>
              <w:t>9.</w:t>
            </w:r>
            <w:r w:rsidRPr="00CF43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F43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treatment's</w:t>
            </w:r>
            <w:proofErr w:type="spellEnd"/>
            <w:r w:rsidRPr="00CF43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weight</w:t>
            </w:r>
            <w:proofErr w:type="spellEnd"/>
            <w:r w:rsidRPr="00CF43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for</w:t>
            </w:r>
            <w:r w:rsidRPr="00CF437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the</w:t>
            </w:r>
            <w:r w:rsidRPr="00CF43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same</w:t>
            </w:r>
            <w:proofErr w:type="spellEnd"/>
            <w:r w:rsidRPr="00CF43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fruits</w:t>
            </w:r>
            <w:r w:rsidRPr="00CF43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was</w:t>
            </w:r>
            <w:proofErr w:type="spellEnd"/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noted</w:t>
            </w:r>
            <w:proofErr w:type="spellEnd"/>
            <w:r w:rsidRPr="00CF43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every</w:t>
            </w:r>
            <w:proofErr w:type="spellEnd"/>
            <w:r w:rsidRPr="00CF43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two</w:t>
            </w:r>
            <w:proofErr w:type="spellEnd"/>
            <w:r w:rsidRPr="00CF43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>"</w:t>
            </w:r>
            <w:r w:rsidRPr="00CF43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CF43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stated</w:t>
            </w:r>
            <w:proofErr w:type="spellEnd"/>
            <w:r w:rsidRPr="00CF43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in</w:t>
            </w:r>
            <w:r w:rsidRPr="00CF43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the</w:t>
            </w:r>
            <w:r w:rsidRPr="00CF43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>, but</w:t>
            </w:r>
            <w:r w:rsidRPr="00CF43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observations</w:t>
            </w:r>
            <w:r w:rsidRPr="00CF43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were</w:t>
            </w:r>
            <w:proofErr w:type="spellEnd"/>
            <w:r w:rsidRPr="00CF43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made</w:t>
            </w:r>
            <w:r w:rsidRPr="00CF43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every</w:t>
            </w:r>
            <w:proofErr w:type="spellEnd"/>
            <w:r w:rsidRPr="00CF43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three</w:t>
            </w:r>
            <w:proofErr w:type="spellEnd"/>
            <w:r w:rsidRPr="00CF43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>.</w:t>
            </w:r>
            <w:r w:rsidRPr="00CF43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The</w:t>
            </w:r>
            <w:r w:rsidRPr="00CF43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interval</w:t>
            </w:r>
            <w:proofErr w:type="spellEnd"/>
            <w:r w:rsidRPr="00CF43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CF43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either</w:t>
            </w:r>
            <w:proofErr w:type="spellEnd"/>
            <w:r w:rsidRPr="00CF43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two</w:t>
            </w:r>
            <w:proofErr w:type="spellEnd"/>
            <w:r w:rsidRPr="00CF43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or</w:t>
            </w:r>
            <w:r w:rsidRPr="00CF43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three</w:t>
            </w:r>
            <w:proofErr w:type="spellEnd"/>
            <w:r w:rsidRPr="00CF43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>,</w:t>
            </w:r>
            <w:r w:rsidRPr="00CF43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which</w:t>
            </w:r>
            <w:proofErr w:type="spellEnd"/>
            <w:r w:rsidRPr="00CF43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contradictory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>.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Every</w:t>
            </w:r>
            <w:proofErr w:type="spellEnd"/>
            <w:r w:rsidRPr="00CF43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two</w:t>
            </w:r>
            <w:proofErr w:type="spellEnd"/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>"</w:t>
            </w:r>
            <w:r w:rsidRPr="00CF43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CF43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incorrect</w:t>
            </w:r>
            <w:r w:rsidRPr="00CF43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because</w:t>
            </w:r>
            <w:proofErr w:type="spellEnd"/>
            <w:r w:rsidRPr="00CF437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Table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1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shows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a</w:t>
            </w:r>
            <w:r w:rsidRPr="00CF43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3-day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interval</w:t>
            </w:r>
            <w:proofErr w:type="spellEnd"/>
            <w:r w:rsidRPr="00CF43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1,</w:t>
            </w:r>
            <w:r w:rsidRPr="00CF43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>4, 7, 10, 13, and 16).</w:t>
            </w:r>
          </w:p>
          <w:p w:rsidR="00E159E3" w:rsidRPr="00CF4377" w:rsidRDefault="00E159E3" w:rsidP="00E159E3">
            <w:pPr>
              <w:pStyle w:val="BodyText"/>
              <w:spacing w:before="157" w:line="278" w:lineRule="auto"/>
              <w:ind w:right="25"/>
              <w:rPr>
                <w:rFonts w:ascii="Arial" w:hAnsi="Arial" w:cs="Arial"/>
                <w:sz w:val="20"/>
                <w:szCs w:val="20"/>
              </w:rPr>
            </w:pPr>
            <w:r w:rsidRPr="00CF4377">
              <w:rPr>
                <w:rFonts w:ascii="Arial" w:hAnsi="Arial" w:cs="Arial"/>
                <w:sz w:val="20"/>
                <w:szCs w:val="20"/>
              </w:rPr>
              <w:t xml:space="preserve">10 —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Missing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information: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Humidity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and ambient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storage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temperature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are not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specified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>.</w:t>
            </w:r>
            <w:r w:rsidRPr="00CF43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4377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majority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of publications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demand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information,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which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crucial for a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postharvest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4377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CF437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27594" w:rsidRPr="00CF4377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028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F4377" w:rsidTr="001E20B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CF4377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CF4377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CF4377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CF4377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300" w:type="pct"/>
            <w:shd w:val="clear" w:color="auto" w:fill="auto"/>
          </w:tcPr>
          <w:p w:rsidR="00827594" w:rsidRPr="00CF4377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028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F4377" w:rsidTr="001E20B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CF4377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CF4377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CF4377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CF4377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3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CF4377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300" w:type="pct"/>
            <w:shd w:val="clear" w:color="auto" w:fill="auto"/>
          </w:tcPr>
          <w:p w:rsidR="00827594" w:rsidRPr="00CF4377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028" w:type="pct"/>
            <w:shd w:val="clear" w:color="auto" w:fill="auto"/>
          </w:tcPr>
          <w:p w:rsidR="00827594" w:rsidRPr="00CF437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CF4377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27594" w:rsidRPr="00CF4377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574299" w:rsidRPr="00CF4377" w:rsidRDefault="00574299" w:rsidP="00574299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</w:p>
    <w:p w:rsidR="00574299" w:rsidRPr="00CF4377" w:rsidRDefault="00574299" w:rsidP="00574299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CF4377">
        <w:rPr>
          <w:rFonts w:ascii="Arial" w:hAnsi="Arial" w:cs="Arial"/>
          <w:b/>
          <w:color w:val="000000"/>
          <w:u w:val="single"/>
        </w:rPr>
        <w:t>Reviewer details:</w:t>
      </w:r>
    </w:p>
    <w:p w:rsidR="00574299" w:rsidRPr="00CF4377" w:rsidRDefault="00574299" w:rsidP="00574299">
      <w:pPr>
        <w:pStyle w:val="Affiliation"/>
        <w:spacing w:after="0" w:line="240" w:lineRule="auto"/>
        <w:jc w:val="left"/>
        <w:rPr>
          <w:rFonts w:ascii="Arial" w:hAnsi="Arial" w:cs="Arial"/>
          <w:color w:val="000000"/>
        </w:rPr>
      </w:pPr>
    </w:p>
    <w:p w:rsidR="00574299" w:rsidRPr="00CF4377" w:rsidRDefault="00574299" w:rsidP="00574299">
      <w:pPr>
        <w:rPr>
          <w:rFonts w:ascii="Arial" w:hAnsi="Arial" w:cs="Arial"/>
          <w:color w:val="000000"/>
          <w:sz w:val="20"/>
          <w:szCs w:val="20"/>
        </w:rPr>
      </w:pPr>
      <w:r w:rsidRPr="00CF4377">
        <w:rPr>
          <w:rFonts w:ascii="Arial" w:hAnsi="Arial" w:cs="Arial"/>
          <w:color w:val="000000"/>
          <w:sz w:val="20"/>
          <w:szCs w:val="20"/>
        </w:rPr>
        <w:t xml:space="preserve">Avdhesh Kumar, ANDUA&amp;T, India </w:t>
      </w:r>
    </w:p>
    <w:bookmarkEnd w:id="0"/>
    <w:p w:rsidR="00827594" w:rsidRPr="00CF4377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27594" w:rsidRPr="00CF437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B21" w:rsidRDefault="00EE6B21">
      <w:r>
        <w:separator/>
      </w:r>
    </w:p>
  </w:endnote>
  <w:endnote w:type="continuationSeparator" w:id="0">
    <w:p w:rsidR="00EE6B21" w:rsidRDefault="00EE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B21" w:rsidRDefault="00EE6B21">
      <w:r>
        <w:separator/>
      </w:r>
    </w:p>
  </w:footnote>
  <w:footnote w:type="continuationSeparator" w:id="0">
    <w:p w:rsidR="00EE6B21" w:rsidRDefault="00EE6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C2AFC"/>
    <w:multiLevelType w:val="hybridMultilevel"/>
    <w:tmpl w:val="8B6C3388"/>
    <w:lvl w:ilvl="0" w:tplc="505A1F02">
      <w:start w:val="6"/>
      <w:numFmt w:val="decimal"/>
      <w:lvlText w:val="%1."/>
      <w:lvlJc w:val="left"/>
      <w:pPr>
        <w:ind w:left="2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D06338">
      <w:numFmt w:val="bullet"/>
      <w:lvlText w:val="•"/>
      <w:lvlJc w:val="left"/>
      <w:pPr>
        <w:ind w:left="925" w:hanging="279"/>
      </w:pPr>
      <w:rPr>
        <w:rFonts w:hint="default"/>
        <w:lang w:val="en-US" w:eastAsia="en-US" w:bidi="ar-SA"/>
      </w:rPr>
    </w:lvl>
    <w:lvl w:ilvl="2" w:tplc="C4100BCE">
      <w:numFmt w:val="bullet"/>
      <w:lvlText w:val="•"/>
      <w:lvlJc w:val="left"/>
      <w:pPr>
        <w:ind w:left="1830" w:hanging="279"/>
      </w:pPr>
      <w:rPr>
        <w:rFonts w:hint="default"/>
        <w:lang w:val="en-US" w:eastAsia="en-US" w:bidi="ar-SA"/>
      </w:rPr>
    </w:lvl>
    <w:lvl w:ilvl="3" w:tplc="2A545BA4">
      <w:numFmt w:val="bullet"/>
      <w:lvlText w:val="•"/>
      <w:lvlJc w:val="left"/>
      <w:pPr>
        <w:ind w:left="2735" w:hanging="279"/>
      </w:pPr>
      <w:rPr>
        <w:rFonts w:hint="default"/>
        <w:lang w:val="en-US" w:eastAsia="en-US" w:bidi="ar-SA"/>
      </w:rPr>
    </w:lvl>
    <w:lvl w:ilvl="4" w:tplc="0CA80A60">
      <w:numFmt w:val="bullet"/>
      <w:lvlText w:val="•"/>
      <w:lvlJc w:val="left"/>
      <w:pPr>
        <w:ind w:left="3640" w:hanging="279"/>
      </w:pPr>
      <w:rPr>
        <w:rFonts w:hint="default"/>
        <w:lang w:val="en-US" w:eastAsia="en-US" w:bidi="ar-SA"/>
      </w:rPr>
    </w:lvl>
    <w:lvl w:ilvl="5" w:tplc="44700FEE">
      <w:numFmt w:val="bullet"/>
      <w:lvlText w:val="•"/>
      <w:lvlJc w:val="left"/>
      <w:pPr>
        <w:ind w:left="4546" w:hanging="279"/>
      </w:pPr>
      <w:rPr>
        <w:rFonts w:hint="default"/>
        <w:lang w:val="en-US" w:eastAsia="en-US" w:bidi="ar-SA"/>
      </w:rPr>
    </w:lvl>
    <w:lvl w:ilvl="6" w:tplc="6D6EB1D6">
      <w:numFmt w:val="bullet"/>
      <w:lvlText w:val="•"/>
      <w:lvlJc w:val="left"/>
      <w:pPr>
        <w:ind w:left="5451" w:hanging="279"/>
      </w:pPr>
      <w:rPr>
        <w:rFonts w:hint="default"/>
        <w:lang w:val="en-US" w:eastAsia="en-US" w:bidi="ar-SA"/>
      </w:rPr>
    </w:lvl>
    <w:lvl w:ilvl="7" w:tplc="F710BB66">
      <w:numFmt w:val="bullet"/>
      <w:lvlText w:val="•"/>
      <w:lvlJc w:val="left"/>
      <w:pPr>
        <w:ind w:left="6356" w:hanging="279"/>
      </w:pPr>
      <w:rPr>
        <w:rFonts w:hint="default"/>
        <w:lang w:val="en-US" w:eastAsia="en-US" w:bidi="ar-SA"/>
      </w:rPr>
    </w:lvl>
    <w:lvl w:ilvl="8" w:tplc="EBE8B234">
      <w:numFmt w:val="bullet"/>
      <w:lvlText w:val="•"/>
      <w:lvlJc w:val="left"/>
      <w:pPr>
        <w:ind w:left="7261" w:hanging="279"/>
      </w:pPr>
      <w:rPr>
        <w:rFonts w:hint="default"/>
        <w:lang w:val="en-US" w:eastAsia="en-US" w:bidi="ar-SA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A004B3"/>
    <w:multiLevelType w:val="hybridMultilevel"/>
    <w:tmpl w:val="FF307776"/>
    <w:lvl w:ilvl="0" w:tplc="498CDA80">
      <w:start w:val="1"/>
      <w:numFmt w:val="decimal"/>
      <w:lvlText w:val="%1."/>
      <w:lvlJc w:val="left"/>
      <w:pPr>
        <w:ind w:left="23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084F8C">
      <w:numFmt w:val="bullet"/>
      <w:lvlText w:val="•"/>
      <w:lvlJc w:val="left"/>
      <w:pPr>
        <w:ind w:left="925" w:hanging="259"/>
      </w:pPr>
      <w:rPr>
        <w:rFonts w:hint="default"/>
        <w:lang w:val="en-US" w:eastAsia="en-US" w:bidi="ar-SA"/>
      </w:rPr>
    </w:lvl>
    <w:lvl w:ilvl="2" w:tplc="0874B71A">
      <w:numFmt w:val="bullet"/>
      <w:lvlText w:val="•"/>
      <w:lvlJc w:val="left"/>
      <w:pPr>
        <w:ind w:left="1830" w:hanging="259"/>
      </w:pPr>
      <w:rPr>
        <w:rFonts w:hint="default"/>
        <w:lang w:val="en-US" w:eastAsia="en-US" w:bidi="ar-SA"/>
      </w:rPr>
    </w:lvl>
    <w:lvl w:ilvl="3" w:tplc="1390CD22">
      <w:numFmt w:val="bullet"/>
      <w:lvlText w:val="•"/>
      <w:lvlJc w:val="left"/>
      <w:pPr>
        <w:ind w:left="2735" w:hanging="259"/>
      </w:pPr>
      <w:rPr>
        <w:rFonts w:hint="default"/>
        <w:lang w:val="en-US" w:eastAsia="en-US" w:bidi="ar-SA"/>
      </w:rPr>
    </w:lvl>
    <w:lvl w:ilvl="4" w:tplc="4CB8B43A">
      <w:numFmt w:val="bullet"/>
      <w:lvlText w:val="•"/>
      <w:lvlJc w:val="left"/>
      <w:pPr>
        <w:ind w:left="3640" w:hanging="259"/>
      </w:pPr>
      <w:rPr>
        <w:rFonts w:hint="default"/>
        <w:lang w:val="en-US" w:eastAsia="en-US" w:bidi="ar-SA"/>
      </w:rPr>
    </w:lvl>
    <w:lvl w:ilvl="5" w:tplc="CBC26CD2">
      <w:numFmt w:val="bullet"/>
      <w:lvlText w:val="•"/>
      <w:lvlJc w:val="left"/>
      <w:pPr>
        <w:ind w:left="4546" w:hanging="259"/>
      </w:pPr>
      <w:rPr>
        <w:rFonts w:hint="default"/>
        <w:lang w:val="en-US" w:eastAsia="en-US" w:bidi="ar-SA"/>
      </w:rPr>
    </w:lvl>
    <w:lvl w:ilvl="6" w:tplc="2806E1E2">
      <w:numFmt w:val="bullet"/>
      <w:lvlText w:val="•"/>
      <w:lvlJc w:val="left"/>
      <w:pPr>
        <w:ind w:left="5451" w:hanging="259"/>
      </w:pPr>
      <w:rPr>
        <w:rFonts w:hint="default"/>
        <w:lang w:val="en-US" w:eastAsia="en-US" w:bidi="ar-SA"/>
      </w:rPr>
    </w:lvl>
    <w:lvl w:ilvl="7" w:tplc="2F2E5624">
      <w:numFmt w:val="bullet"/>
      <w:lvlText w:val="•"/>
      <w:lvlJc w:val="left"/>
      <w:pPr>
        <w:ind w:left="6356" w:hanging="259"/>
      </w:pPr>
      <w:rPr>
        <w:rFonts w:hint="default"/>
        <w:lang w:val="en-US" w:eastAsia="en-US" w:bidi="ar-SA"/>
      </w:rPr>
    </w:lvl>
    <w:lvl w:ilvl="8" w:tplc="192043B8">
      <w:numFmt w:val="bullet"/>
      <w:lvlText w:val="•"/>
      <w:lvlJc w:val="left"/>
      <w:pPr>
        <w:ind w:left="7261" w:hanging="25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43397"/>
    <w:rsid w:val="000B33A1"/>
    <w:rsid w:val="001E20BC"/>
    <w:rsid w:val="00254E4D"/>
    <w:rsid w:val="002A6E18"/>
    <w:rsid w:val="002C16B1"/>
    <w:rsid w:val="00397807"/>
    <w:rsid w:val="004240EA"/>
    <w:rsid w:val="004F6E34"/>
    <w:rsid w:val="00574299"/>
    <w:rsid w:val="00620B34"/>
    <w:rsid w:val="00627256"/>
    <w:rsid w:val="006451BC"/>
    <w:rsid w:val="006B60DF"/>
    <w:rsid w:val="00827594"/>
    <w:rsid w:val="00A24085"/>
    <w:rsid w:val="00C27F20"/>
    <w:rsid w:val="00C61515"/>
    <w:rsid w:val="00CF4377"/>
    <w:rsid w:val="00E159E3"/>
    <w:rsid w:val="00EC2B02"/>
    <w:rsid w:val="00EE6B21"/>
    <w:rsid w:val="00F112C6"/>
    <w:rsid w:val="00F5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043397"/>
    <w:rPr>
      <w:b/>
      <w:bCs/>
    </w:rPr>
  </w:style>
  <w:style w:type="paragraph" w:customStyle="1" w:styleId="Affiliation">
    <w:name w:val="Affiliation"/>
    <w:basedOn w:val="Normal"/>
    <w:rsid w:val="0057429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2026-03-24T06:15:00Z</dcterms:created>
  <dcterms:modified xsi:type="dcterms:W3CDTF">2026-04-11T08:11:00Z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