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2C63E" w14:textId="77777777" w:rsidR="00153D94" w:rsidRPr="00153D94" w:rsidRDefault="00153D94" w:rsidP="00153D94">
      <w:pPr>
        <w:pStyle w:val="Title"/>
        <w:jc w:val="both"/>
        <w:rPr>
          <w:rFonts w:ascii="Arial" w:hAnsi="Arial" w:cs="Arial"/>
          <w:bCs/>
          <w:i/>
          <w:iCs/>
          <w:u w:val="single"/>
          <w:vertAlign w:val="subscript"/>
        </w:rPr>
      </w:pPr>
      <w:r w:rsidRPr="00153D94">
        <w:rPr>
          <w:rFonts w:ascii="Arial" w:hAnsi="Arial" w:cs="Arial"/>
          <w:bCs/>
          <w:i/>
          <w:iCs/>
          <w:u w:val="single"/>
          <w:vertAlign w:val="subscript"/>
        </w:rPr>
        <w:t>Original Research Article</w:t>
      </w:r>
    </w:p>
    <w:p w14:paraId="290CA865" w14:textId="77777777" w:rsidR="00754C9A" w:rsidRPr="009B30F3" w:rsidRDefault="00754C9A" w:rsidP="00441B6F">
      <w:pPr>
        <w:pStyle w:val="Title"/>
        <w:spacing w:after="0"/>
        <w:jc w:val="both"/>
        <w:rPr>
          <w:rFonts w:ascii="Arial" w:hAnsi="Arial" w:cs="Arial"/>
          <w:vertAlign w:val="subscript"/>
        </w:rPr>
      </w:pPr>
    </w:p>
    <w:p w14:paraId="04362368" w14:textId="63293ECF" w:rsidR="00A258C3" w:rsidRPr="00790ADA" w:rsidRDefault="003E77C3" w:rsidP="003E77C3">
      <w:pPr>
        <w:pStyle w:val="Author"/>
        <w:spacing w:line="240" w:lineRule="auto"/>
        <w:rPr>
          <w:rFonts w:ascii="Arial" w:hAnsi="Arial" w:cs="Arial"/>
          <w:sz w:val="36"/>
        </w:rPr>
      </w:pPr>
      <w:r w:rsidRPr="003E77C3">
        <w:rPr>
          <w:rFonts w:ascii="Arial" w:hAnsi="Arial" w:cs="Arial"/>
          <w:bCs/>
          <w:iCs/>
          <w:kern w:val="28"/>
          <w:sz w:val="36"/>
        </w:rPr>
        <w:t>Effect of Microbial Consortium and Nutrient Management on Growth &amp; Yield of Clusterbean [</w:t>
      </w:r>
      <w:r w:rsidRPr="00EA7017">
        <w:rPr>
          <w:rFonts w:ascii="Arial" w:hAnsi="Arial" w:cs="Arial"/>
          <w:bCs/>
          <w:i/>
          <w:kern w:val="28"/>
          <w:sz w:val="36"/>
        </w:rPr>
        <w:t>Cyamopsis tetragonoloba</w:t>
      </w:r>
      <w:r w:rsidRPr="003E77C3">
        <w:rPr>
          <w:rFonts w:ascii="Arial" w:hAnsi="Arial" w:cs="Arial"/>
          <w:bCs/>
          <w:iCs/>
          <w:kern w:val="28"/>
          <w:sz w:val="36"/>
        </w:rPr>
        <w:t xml:space="preserve"> (L.) taub.]</w:t>
      </w:r>
    </w:p>
    <w:p w14:paraId="38582627" w14:textId="77777777" w:rsidR="00153D94" w:rsidRPr="00153D94" w:rsidRDefault="00153D94" w:rsidP="00153D94">
      <w:pPr>
        <w:pStyle w:val="Affiliation"/>
        <w:jc w:val="both"/>
        <w:rPr>
          <w:rFonts w:ascii="Arial" w:hAnsi="Arial" w:cs="Arial"/>
        </w:rPr>
      </w:pPr>
    </w:p>
    <w:p w14:paraId="4A74C83B" w14:textId="77777777" w:rsidR="002C57D2" w:rsidRPr="00FB3A86" w:rsidRDefault="002C57D2" w:rsidP="00441B6F">
      <w:pPr>
        <w:pStyle w:val="Affiliation"/>
        <w:spacing w:after="0" w:line="240" w:lineRule="auto"/>
        <w:jc w:val="both"/>
        <w:rPr>
          <w:rFonts w:ascii="Arial" w:hAnsi="Arial" w:cs="Arial"/>
        </w:rPr>
      </w:pPr>
    </w:p>
    <w:p w14:paraId="7D325EF7" w14:textId="1E81A44F" w:rsidR="00B01FCD" w:rsidRPr="00FB3A86" w:rsidRDefault="00000000" w:rsidP="00441B6F">
      <w:pPr>
        <w:pStyle w:val="Copyright"/>
        <w:spacing w:after="0" w:line="240" w:lineRule="auto"/>
        <w:jc w:val="both"/>
        <w:rPr>
          <w:rFonts w:ascii="Arial" w:hAnsi="Arial" w:cs="Arial"/>
        </w:rPr>
        <w:sectPr w:rsidR="00B01FCD" w:rsidRPr="00FB3A86" w:rsidSect="00730EB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BD38A0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0721A47" w14:textId="0108498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466C2A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64D7D50" w14:textId="77777777" w:rsidTr="001E44FE">
        <w:tc>
          <w:tcPr>
            <w:tcW w:w="9576" w:type="dxa"/>
            <w:shd w:val="clear" w:color="auto" w:fill="F2F2F2"/>
          </w:tcPr>
          <w:p w14:paraId="636073F6" w14:textId="7809EB17" w:rsidR="00505F06" w:rsidRPr="00BA1B01" w:rsidRDefault="003E77C3" w:rsidP="00441B6F">
            <w:pPr>
              <w:pStyle w:val="Body"/>
              <w:spacing w:after="0"/>
              <w:rPr>
                <w:rFonts w:ascii="Arial" w:eastAsia="Calibri" w:hAnsi="Arial" w:cs="Arial"/>
                <w:szCs w:val="22"/>
              </w:rPr>
            </w:pPr>
            <w:r w:rsidRPr="003E77C3">
              <w:rPr>
                <w:rFonts w:ascii="Arial" w:eastAsia="Calibri" w:hAnsi="Arial" w:cs="Arial"/>
                <w:szCs w:val="22"/>
              </w:rPr>
              <w:t xml:space="preserve">A field experiment was conducted to study the effect of microbial consortium and nutrient management on the growth and yield of </w:t>
            </w:r>
            <w:r w:rsidR="00EA7017">
              <w:rPr>
                <w:rFonts w:ascii="Arial" w:eastAsia="Calibri" w:hAnsi="Arial" w:cs="Arial"/>
                <w:szCs w:val="22"/>
              </w:rPr>
              <w:t>C</w:t>
            </w:r>
            <w:r w:rsidRPr="003E77C3">
              <w:rPr>
                <w:rFonts w:ascii="Arial" w:eastAsia="Calibri" w:hAnsi="Arial" w:cs="Arial"/>
                <w:szCs w:val="22"/>
              </w:rPr>
              <w:t>lusterbean (</w:t>
            </w:r>
            <w:r w:rsidRPr="00EA7017">
              <w:rPr>
                <w:rFonts w:ascii="Arial" w:eastAsia="Calibri" w:hAnsi="Arial" w:cs="Arial"/>
                <w:i/>
                <w:iCs/>
                <w:szCs w:val="22"/>
              </w:rPr>
              <w:t>Cyamopsis tetragonoloba</w:t>
            </w:r>
            <w:r w:rsidRPr="003E77C3">
              <w:rPr>
                <w:rFonts w:ascii="Arial" w:eastAsia="Calibri" w:hAnsi="Arial" w:cs="Arial"/>
                <w:szCs w:val="22"/>
              </w:rPr>
              <w:t xml:space="preserve"> (L.) Taub.) under semi-arid conditions at the research farm of Rajasthan Agricultural Research Institute, Durgapura, Jaipur during </w:t>
            </w:r>
            <w:r w:rsidRPr="00EA7017">
              <w:rPr>
                <w:rFonts w:ascii="Arial" w:eastAsia="Calibri" w:hAnsi="Arial" w:cs="Arial"/>
                <w:i/>
                <w:iCs/>
                <w:szCs w:val="22"/>
              </w:rPr>
              <w:t>kharif</w:t>
            </w:r>
            <w:r w:rsidRPr="003E77C3">
              <w:rPr>
                <w:rFonts w:ascii="Arial" w:eastAsia="Calibri" w:hAnsi="Arial" w:cs="Arial"/>
                <w:szCs w:val="22"/>
              </w:rPr>
              <w:t xml:space="preserve"> 2023-2024. The experiment was laid out in a randomized block design with three replications and eight treatments consisting of different levels of recommended dose of fertilizers (100%, 75% and 50%) in combination with microbial consortium which was applied through seed treatment and soil application. The findings of the experiment showed that the combined use of microbial consortium along with different level of fertilizers had a significant positive effect on crop growth and yield. Significantly higher results were obtained in treatment T4 (100% RDF + seed treatment with microbial consortium and soil application of microbial consortium) which produced the highest seed yield (1454 kg ha</w:t>
            </w:r>
            <w:r w:rsidRPr="003E77C3">
              <w:rPr>
                <w:rFonts w:ascii="Cambria Math" w:eastAsia="Calibri" w:hAnsi="Cambria Math" w:cs="Cambria Math"/>
                <w:szCs w:val="22"/>
              </w:rPr>
              <w:t>⁻</w:t>
            </w:r>
            <w:r w:rsidRPr="003E77C3">
              <w:rPr>
                <w:rFonts w:ascii="Arial" w:eastAsia="Calibri" w:hAnsi="Arial" w:cs="Arial"/>
                <w:szCs w:val="22"/>
              </w:rPr>
              <w:t>¹) along with better growth attributes such as number of branches per plant (9.88), number of pods per plant (79.90) and pod length (9.74 cm) which was at par with treatment T7 (75% RDF + seed treatment with microbial consortium and soil application of microbial consortium) for many observations as mentioned in detail in the paper. Based on the results obtained, it can be concluded that improvement in crop performance can be achieved by application of microbial consortium when applied along with fertilizers. The study also indicates that fertilizer dose can be reduced to 75% when combined application of fertilizers is done with microbial consortium without suffering any noticeable reduction in yield, which helps in maintaining soil health and reducing input costs.</w:t>
            </w:r>
            <w:commentRangeStart w:id="0"/>
            <w:r w:rsidR="004D4277">
              <w:rPr>
                <w:rFonts w:ascii="Arial" w:eastAsia="Calibri" w:hAnsi="Arial" w:cs="Arial"/>
                <w:color w:val="FF0000"/>
                <w:szCs w:val="22"/>
              </w:rPr>
              <w:t>.</w:t>
            </w:r>
            <w:commentRangeEnd w:id="0"/>
            <w:r w:rsidR="00DD4DAB" w:rsidRPr="00BA1B01">
              <w:rPr>
                <w:rStyle w:val="CommentReference"/>
                <w:rFonts w:ascii="Arial" w:eastAsia="Calibri" w:hAnsi="Arial" w:cs="Arial"/>
                <w:sz w:val="20"/>
                <w:szCs w:val="22"/>
              </w:rPr>
              <w:commentReference w:id="0"/>
            </w:r>
          </w:p>
        </w:tc>
      </w:tr>
    </w:tbl>
    <w:p w14:paraId="65CD0A7A" w14:textId="77777777" w:rsidR="00636EB2" w:rsidRDefault="00636EB2" w:rsidP="00441B6F">
      <w:pPr>
        <w:pStyle w:val="Body"/>
        <w:spacing w:after="0"/>
        <w:rPr>
          <w:rFonts w:ascii="Arial" w:hAnsi="Arial" w:cs="Arial"/>
          <w:i/>
        </w:rPr>
      </w:pPr>
    </w:p>
    <w:p w14:paraId="0617CECE" w14:textId="33D50E06" w:rsidR="00A24E7E" w:rsidRDefault="00A24E7E" w:rsidP="00441B6F">
      <w:pPr>
        <w:pStyle w:val="Body"/>
        <w:spacing w:after="0"/>
        <w:rPr>
          <w:rFonts w:ascii="Arial" w:hAnsi="Arial" w:cs="Arial"/>
          <w:i/>
        </w:rPr>
      </w:pPr>
      <w:r>
        <w:rPr>
          <w:rFonts w:ascii="Arial" w:hAnsi="Arial" w:cs="Arial"/>
          <w:i/>
        </w:rPr>
        <w:t xml:space="preserve">Keywords: </w:t>
      </w:r>
      <w:commentRangeStart w:id="1"/>
      <w:r w:rsidR="003E77C3" w:rsidRPr="003E77C3">
        <w:rPr>
          <w:rFonts w:ascii="Arial" w:hAnsi="Arial" w:cs="Arial"/>
          <w:i/>
        </w:rPr>
        <w:t>Clusterbean, Microbial consortium, Integrated nutrient management, Seed treatment, Soil application and Yield attributes</w:t>
      </w:r>
      <w:commentRangeEnd w:id="1"/>
      <w:r w:rsidR="001C0AEA">
        <w:rPr>
          <w:rStyle w:val="CommentReference"/>
          <w:rFonts w:ascii="Arial" w:hAnsi="Arial" w:cs="Arial"/>
          <w:i/>
          <w:sz w:val="20"/>
          <w:szCs w:val="20"/>
        </w:rPr>
        <w:commentReference w:id="1"/>
      </w:r>
    </w:p>
    <w:p w14:paraId="3F28EE8F" w14:textId="77777777" w:rsidR="003E77C3" w:rsidRDefault="003E77C3" w:rsidP="00441B6F">
      <w:pPr>
        <w:pStyle w:val="AbstHead"/>
        <w:spacing w:after="0"/>
        <w:jc w:val="both"/>
        <w:rPr>
          <w:rFonts w:ascii="Arial" w:hAnsi="Arial" w:cs="Arial"/>
        </w:rPr>
      </w:pPr>
    </w:p>
    <w:p w14:paraId="2308B234" w14:textId="12342885" w:rsidR="003E77C3" w:rsidRPr="003E77C3" w:rsidRDefault="00902823" w:rsidP="003E77C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A931CF" w14:textId="77777777" w:rsidR="003E77C3" w:rsidRPr="003E77C3" w:rsidRDefault="003E77C3" w:rsidP="003E77C3">
      <w:pPr>
        <w:pStyle w:val="Body"/>
        <w:rPr>
          <w:rFonts w:ascii="Arial" w:hAnsi="Arial" w:cs="Arial"/>
        </w:rPr>
      </w:pPr>
      <w:r w:rsidRPr="003E77C3">
        <w:rPr>
          <w:rFonts w:ascii="Arial" w:hAnsi="Arial" w:cs="Arial"/>
        </w:rPr>
        <w:t>Clusterbean (</w:t>
      </w:r>
      <w:r w:rsidRPr="00EA7017">
        <w:rPr>
          <w:rFonts w:ascii="Arial" w:hAnsi="Arial" w:cs="Arial"/>
          <w:i/>
          <w:iCs/>
        </w:rPr>
        <w:t>Cyamopsis tetragonoloba</w:t>
      </w:r>
      <w:r w:rsidRPr="003E77C3">
        <w:rPr>
          <w:rFonts w:ascii="Arial" w:hAnsi="Arial" w:cs="Arial"/>
        </w:rPr>
        <w:t xml:space="preserve"> L.) is one of the important drought hardy and deep rooted and adapted to the harsh climatic conditions of arid and semi-arid zone of India. It is a multi-purpose legume grown as feed, fodder, green manure, vegetable (Rahul </w:t>
      </w:r>
      <w:r w:rsidRPr="00A92B43">
        <w:rPr>
          <w:rFonts w:ascii="Arial" w:hAnsi="Arial" w:cs="Arial"/>
          <w:i/>
          <w:iCs/>
        </w:rPr>
        <w:t>et al</w:t>
      </w:r>
      <w:r w:rsidRPr="003E77C3">
        <w:rPr>
          <w:rFonts w:ascii="Arial" w:hAnsi="Arial" w:cs="Arial"/>
        </w:rPr>
        <w:t xml:space="preserve">., 2025). In recent years, Clusterbean has shown a great deal of industrial importance due to the presence of galactomannan gum in its endosperm, which can be of variety of uses like food, textile, paper, pharmaceutical and petroleum industries (Hossain </w:t>
      </w:r>
      <w:r w:rsidRPr="00A92B43">
        <w:rPr>
          <w:rFonts w:ascii="Arial" w:hAnsi="Arial" w:cs="Arial"/>
          <w:i/>
          <w:iCs/>
        </w:rPr>
        <w:t>et al</w:t>
      </w:r>
      <w:r w:rsidRPr="003E77C3">
        <w:rPr>
          <w:rFonts w:ascii="Arial" w:hAnsi="Arial" w:cs="Arial"/>
        </w:rPr>
        <w:t xml:space="preserve">., 2024). Despite of its economic significance, the productivity of Clusterbean remains low due to poor soil fertility, inadequate nutrient management practices and erratic rainfall prevalent in Rajasthan (Choudhary </w:t>
      </w:r>
      <w:r w:rsidRPr="00A92B43">
        <w:rPr>
          <w:rFonts w:ascii="Arial" w:hAnsi="Arial" w:cs="Arial"/>
          <w:i/>
          <w:iCs/>
        </w:rPr>
        <w:t>et al</w:t>
      </w:r>
      <w:r w:rsidRPr="003E77C3">
        <w:rPr>
          <w:rFonts w:ascii="Arial" w:hAnsi="Arial" w:cs="Arial"/>
        </w:rPr>
        <w:t xml:space="preserve">., 2006). The area under this crop in Rajasthan is about 28.41 Lac ha with production of 12.84 Lac tones and average productivity of 452 kg ha-1, (GoR, 2019-20). </w:t>
      </w:r>
    </w:p>
    <w:p w14:paraId="38E89F87" w14:textId="57DAFB7D" w:rsidR="003E77C3" w:rsidRPr="003E77C3" w:rsidRDefault="003E77C3" w:rsidP="003E77C3">
      <w:pPr>
        <w:pStyle w:val="Body"/>
        <w:rPr>
          <w:rFonts w:ascii="Arial" w:hAnsi="Arial" w:cs="Arial"/>
        </w:rPr>
      </w:pPr>
      <w:r w:rsidRPr="003E77C3">
        <w:rPr>
          <w:rFonts w:ascii="Arial" w:hAnsi="Arial" w:cs="Arial"/>
        </w:rPr>
        <w:lastRenderedPageBreak/>
        <w:t xml:space="preserve">Although Clusterbean is a nitrogen fixing crop and do not require heavy doses of nutrients like cereals but, nutrient availability can be significantly improved through integrated approaches which are essential for enhancing productivity. Efficient nutrient management plays a important role in enhancing crop growth and yield (Choudhary </w:t>
      </w:r>
      <w:r w:rsidRPr="00A92B43">
        <w:rPr>
          <w:rFonts w:ascii="Arial" w:hAnsi="Arial" w:cs="Arial"/>
          <w:i/>
          <w:iCs/>
        </w:rPr>
        <w:t>et al</w:t>
      </w:r>
      <w:r w:rsidRPr="003E77C3">
        <w:rPr>
          <w:rFonts w:ascii="Arial" w:hAnsi="Arial" w:cs="Arial"/>
        </w:rPr>
        <w:t>., 2025). Dependency solely on chemical fertilizers often results in declining of soil health along with reducing nutrient use efficiency over time. To save soil from degradation and to improve the nutrient use efficiency we have to follow the approach of integrated nutrient management that combine chemical fertilizers with biological inputs</w:t>
      </w:r>
      <w:r w:rsidR="00452CA7">
        <w:rPr>
          <w:rFonts w:ascii="Arial" w:hAnsi="Arial" w:cs="Arial"/>
        </w:rPr>
        <w:t xml:space="preserve"> (Kumawat </w:t>
      </w:r>
      <w:r w:rsidR="00452CA7">
        <w:rPr>
          <w:rFonts w:ascii="Arial" w:hAnsi="Arial" w:cs="Arial"/>
          <w:i/>
          <w:iCs/>
        </w:rPr>
        <w:t>et al</w:t>
      </w:r>
      <w:r w:rsidR="00452CA7">
        <w:rPr>
          <w:rFonts w:ascii="Arial" w:hAnsi="Arial" w:cs="Arial"/>
        </w:rPr>
        <w:t>., 2013)</w:t>
      </w:r>
      <w:r w:rsidRPr="003E77C3">
        <w:rPr>
          <w:rFonts w:ascii="Arial" w:hAnsi="Arial" w:cs="Arial"/>
        </w:rPr>
        <w:t>. In this context, microbial consortia, which usually consists of a combination of beneficial microorganisms which have the potential to supply the nutrients to plants by various processes.</w:t>
      </w:r>
    </w:p>
    <w:p w14:paraId="25B603F6" w14:textId="03D7096D" w:rsidR="00790ADA" w:rsidRDefault="003E77C3" w:rsidP="003E77C3">
      <w:pPr>
        <w:pStyle w:val="Body"/>
        <w:spacing w:after="0"/>
        <w:rPr>
          <w:rFonts w:ascii="Arial" w:hAnsi="Arial" w:cs="Arial"/>
        </w:rPr>
      </w:pPr>
      <w:r w:rsidRPr="003E77C3">
        <w:rPr>
          <w:rFonts w:ascii="Arial" w:hAnsi="Arial" w:cs="Arial"/>
        </w:rPr>
        <w:t>Microbial consortia generally include microbes which have tendency to fix, solubilize phosphate and other essential nutrients. Apart from this they also include plant growth-promoting rhizobacteria that work synergistically in the rhizosphere. These microorganisms not only enhances the availability of nutrients but also stimulate root growth, produce growth-promoting substances and overall plant Vigor (</w:t>
      </w:r>
      <w:r w:rsidRPr="00A92B43">
        <w:rPr>
          <w:rFonts w:ascii="Arial" w:hAnsi="Arial" w:cs="Arial"/>
          <w:i/>
          <w:iCs/>
        </w:rPr>
        <w:t>Nagrale</w:t>
      </w:r>
      <w:r w:rsidRPr="003E77C3">
        <w:rPr>
          <w:rFonts w:ascii="Arial" w:hAnsi="Arial" w:cs="Arial"/>
        </w:rPr>
        <w:t xml:space="preserve"> et al., 2023). So, when they are combined with fertilizers, they improve nutrient use efficiency and support sustainable agricultural systems</w:t>
      </w:r>
      <w:r w:rsidR="004B7533">
        <w:rPr>
          <w:rFonts w:ascii="Arial" w:hAnsi="Arial" w:cs="Arial"/>
        </w:rPr>
        <w:t xml:space="preserve"> (Jat </w:t>
      </w:r>
      <w:r w:rsidR="004B7533">
        <w:rPr>
          <w:rFonts w:ascii="Arial" w:hAnsi="Arial" w:cs="Arial"/>
          <w:i/>
          <w:iCs/>
        </w:rPr>
        <w:t>et al</w:t>
      </w:r>
      <w:r w:rsidR="004B7533">
        <w:rPr>
          <w:rFonts w:ascii="Arial" w:hAnsi="Arial" w:cs="Arial"/>
        </w:rPr>
        <w:t>., 2012)</w:t>
      </w:r>
      <w:r w:rsidRPr="003E77C3">
        <w:rPr>
          <w:rFonts w:ascii="Arial" w:hAnsi="Arial" w:cs="Arial"/>
        </w:rPr>
        <w:t>. Hence, the study done is of great importance for farmers as the combined use will not only reduce the cost of cultivation due to reduced amount of fertilizer use but also improve the soil condition along with a significant increase in microbe population of soil.</w:t>
      </w:r>
    </w:p>
    <w:p w14:paraId="4B1F38C2" w14:textId="77777777" w:rsidR="003E77C3" w:rsidRPr="00FB3A86" w:rsidRDefault="003E77C3" w:rsidP="003E77C3">
      <w:pPr>
        <w:pStyle w:val="Body"/>
        <w:spacing w:after="0"/>
        <w:rPr>
          <w:rFonts w:ascii="Arial" w:hAnsi="Arial" w:cs="Arial"/>
        </w:rPr>
      </w:pPr>
    </w:p>
    <w:p w14:paraId="52C2CAE9" w14:textId="0706F79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5EF1E9E" w14:textId="77777777" w:rsidR="00790ADA" w:rsidRPr="00FB3A86" w:rsidRDefault="00790ADA" w:rsidP="00441B6F">
      <w:pPr>
        <w:pStyle w:val="AbstHead"/>
        <w:spacing w:after="0"/>
        <w:jc w:val="both"/>
        <w:rPr>
          <w:rFonts w:ascii="Arial" w:hAnsi="Arial" w:cs="Arial"/>
        </w:rPr>
      </w:pPr>
    </w:p>
    <w:p w14:paraId="28B72F1F" w14:textId="3119E9D7" w:rsidR="00790ADA" w:rsidRDefault="003E77C3" w:rsidP="00441B6F">
      <w:pPr>
        <w:pStyle w:val="Body"/>
        <w:spacing w:after="0"/>
        <w:rPr>
          <w:rFonts w:ascii="Arial" w:hAnsi="Arial" w:cs="Arial"/>
        </w:rPr>
      </w:pPr>
      <w:r w:rsidRPr="003E77C3">
        <w:rPr>
          <w:rFonts w:ascii="Arial" w:hAnsi="Arial" w:cs="Arial"/>
        </w:rPr>
        <w:t>The field experiment was conducted under All India Coordinated Research Project on Kharif Pulses during Kharif -2023 to 2024 at Research Farm, Rajasthan Agricultural Research Institute, Durgapura, Jaipur, Rajasthan to study the “Effect of microbial consortium and nutrient management on growth and yield of clusterbean”. The experimental site was located at 26°512 N latitude and 75°472E longitude and at an altitude of 390 m above mean sea level. The soil of the experimental site was well-drained loamy sand and coarse in texture. Eight treatments of microbial consortium and nutrients were tested in randomized block design with three replications. Microbial consortium was applied as seed treatment and soil application method, whereas in case of nutriment management RDF was applied at the time of sowing as 100, 75 and 50 %. The treatments consisted of  T</w:t>
      </w:r>
      <w:r w:rsidRPr="00AD3476">
        <w:rPr>
          <w:rFonts w:ascii="Arial" w:hAnsi="Arial" w:cs="Arial"/>
          <w:vertAlign w:val="subscript"/>
        </w:rPr>
        <w:t>1</w:t>
      </w:r>
      <w:r w:rsidRPr="003E77C3">
        <w:rPr>
          <w:rFonts w:ascii="Arial" w:hAnsi="Arial" w:cs="Arial"/>
        </w:rPr>
        <w:t xml:space="preserve"> : Control (100% RDF),  T</w:t>
      </w:r>
      <w:r w:rsidRPr="00AD3476">
        <w:rPr>
          <w:rFonts w:ascii="Arial" w:hAnsi="Arial" w:cs="Arial"/>
          <w:vertAlign w:val="subscript"/>
        </w:rPr>
        <w:t>2</w:t>
      </w:r>
      <w:r w:rsidRPr="003E77C3">
        <w:rPr>
          <w:rFonts w:ascii="Arial" w:hAnsi="Arial" w:cs="Arial"/>
        </w:rPr>
        <w:t xml:space="preserve"> : 100% RDF + seed treatment with microbial consortium,  T</w:t>
      </w:r>
      <w:r w:rsidRPr="00AD3476">
        <w:rPr>
          <w:rFonts w:ascii="Arial" w:hAnsi="Arial" w:cs="Arial"/>
          <w:vertAlign w:val="subscript"/>
        </w:rPr>
        <w:t>3</w:t>
      </w:r>
      <w:r w:rsidRPr="003E77C3">
        <w:rPr>
          <w:rFonts w:ascii="Arial" w:hAnsi="Arial" w:cs="Arial"/>
        </w:rPr>
        <w:t xml:space="preserve"> :100% RDF + soil application of microbial consortium, T</w:t>
      </w:r>
      <w:r w:rsidRPr="00AD3476">
        <w:rPr>
          <w:rFonts w:ascii="Arial" w:hAnsi="Arial" w:cs="Arial"/>
          <w:vertAlign w:val="subscript"/>
        </w:rPr>
        <w:t>4</w:t>
      </w:r>
      <w:r w:rsidRPr="003E77C3">
        <w:rPr>
          <w:rFonts w:ascii="Arial" w:hAnsi="Arial" w:cs="Arial"/>
        </w:rPr>
        <w:t xml:space="preserve"> :100% RDF + seed treatment with microbial consortium and soil application of microbial consortium,  T</w:t>
      </w:r>
      <w:r w:rsidRPr="00AD3476">
        <w:rPr>
          <w:rFonts w:ascii="Arial" w:hAnsi="Arial" w:cs="Arial"/>
          <w:vertAlign w:val="subscript"/>
        </w:rPr>
        <w:t>5</w:t>
      </w:r>
      <w:r w:rsidRPr="003E77C3">
        <w:rPr>
          <w:rFonts w:ascii="Arial" w:hAnsi="Arial" w:cs="Arial"/>
        </w:rPr>
        <w:t xml:space="preserve"> :75% RDF + seed treatment with microbial consortium,  T</w:t>
      </w:r>
      <w:r w:rsidRPr="00AD3476">
        <w:rPr>
          <w:rFonts w:ascii="Arial" w:hAnsi="Arial" w:cs="Arial"/>
          <w:vertAlign w:val="subscript"/>
        </w:rPr>
        <w:t>6</w:t>
      </w:r>
      <w:r w:rsidRPr="003E77C3">
        <w:rPr>
          <w:rFonts w:ascii="Arial" w:hAnsi="Arial" w:cs="Arial"/>
        </w:rPr>
        <w:t xml:space="preserve"> :75% RDF + soil application with microbial consortium, T</w:t>
      </w:r>
      <w:r w:rsidRPr="00AD3476">
        <w:rPr>
          <w:rFonts w:ascii="Arial" w:hAnsi="Arial" w:cs="Arial"/>
          <w:vertAlign w:val="subscript"/>
        </w:rPr>
        <w:t>7</w:t>
      </w:r>
      <w:r w:rsidRPr="003E77C3">
        <w:rPr>
          <w:rFonts w:ascii="Arial" w:hAnsi="Arial" w:cs="Arial"/>
        </w:rPr>
        <w:t xml:space="preserve"> : 75% RDF + seed treatment with microbial consortium and soil application of microbial consortium and T</w:t>
      </w:r>
      <w:r w:rsidRPr="00AD3476">
        <w:rPr>
          <w:rFonts w:ascii="Arial" w:hAnsi="Arial" w:cs="Arial"/>
          <w:vertAlign w:val="subscript"/>
        </w:rPr>
        <w:t>8</w:t>
      </w:r>
      <w:r w:rsidRPr="003E77C3">
        <w:rPr>
          <w:rFonts w:ascii="Arial" w:hAnsi="Arial" w:cs="Arial"/>
        </w:rPr>
        <w:t xml:space="preserve"> : 50% RDF + seed treatment with microbial consortium and soil application of microbial consortium</w:t>
      </w:r>
      <w:r>
        <w:rPr>
          <w:rFonts w:ascii="Arial" w:hAnsi="Arial" w:cs="Arial"/>
        </w:rPr>
        <w:t>.</w:t>
      </w:r>
    </w:p>
    <w:p w14:paraId="1B05C9BC" w14:textId="77777777" w:rsidR="003E77C3" w:rsidRPr="00FB3A86" w:rsidRDefault="003E77C3" w:rsidP="00441B6F">
      <w:pPr>
        <w:pStyle w:val="Body"/>
        <w:spacing w:after="0"/>
        <w:rPr>
          <w:rFonts w:ascii="Arial" w:hAnsi="Arial" w:cs="Arial"/>
        </w:rPr>
      </w:pPr>
    </w:p>
    <w:p w14:paraId="4AA11747" w14:textId="77777777" w:rsidR="003E77C3" w:rsidRDefault="00AA74E0" w:rsidP="003E77C3">
      <w:pPr>
        <w:pStyle w:val="Body"/>
        <w:spacing w:after="0"/>
        <w:rPr>
          <w:rFonts w:ascii="Arial" w:hAnsi="Arial" w:cs="Arial"/>
          <w:b/>
          <w:sz w:val="22"/>
        </w:rPr>
      </w:pPr>
      <w:r w:rsidRPr="00C30A0F">
        <w:rPr>
          <w:rFonts w:ascii="Arial" w:hAnsi="Arial" w:cs="Arial"/>
          <w:b/>
          <w:caps/>
          <w:sz w:val="22"/>
        </w:rPr>
        <w:t xml:space="preserve">2.1 </w:t>
      </w:r>
      <w:r w:rsidR="003E77C3" w:rsidRPr="003E77C3">
        <w:rPr>
          <w:rFonts w:ascii="Arial" w:hAnsi="Arial" w:cs="Arial"/>
          <w:b/>
          <w:sz w:val="22"/>
        </w:rPr>
        <w:t>Statistical analysis</w:t>
      </w:r>
    </w:p>
    <w:p w14:paraId="45D41E6F" w14:textId="6D2F4CC5" w:rsidR="003E77C3" w:rsidRDefault="003E77C3" w:rsidP="003E77C3">
      <w:pPr>
        <w:pStyle w:val="Body"/>
        <w:spacing w:after="0"/>
        <w:rPr>
          <w:rFonts w:ascii="Arial" w:hAnsi="Arial" w:cs="Arial"/>
          <w:b/>
          <w:caps/>
        </w:rPr>
      </w:pPr>
      <w:r w:rsidRPr="003E77C3">
        <w:rPr>
          <w:rFonts w:ascii="Arial" w:hAnsi="Arial" w:cs="Arial"/>
        </w:rPr>
        <w:t>Data recorded from field observations and laboratory analyses were analyzed statistically using the analysis of variance method as described by Panse and Sukhatme (1967) in Statistical Procedures for Agricultural Research. The significance of treatment effects was tested using the F-test. The standard error of difference was calculated and presented along with the results. Wherever the F-test showed significant differences, the critical difference at the 5% level was worked out to compare treatment means and their interactions. The results were then interpreted carefully to draw meaningful conclusions.</w:t>
      </w:r>
    </w:p>
    <w:p w14:paraId="0577D00F" w14:textId="77777777" w:rsidR="003E77C3" w:rsidRDefault="003E77C3" w:rsidP="00441B6F">
      <w:pPr>
        <w:pStyle w:val="Head1"/>
        <w:spacing w:after="0"/>
        <w:jc w:val="both"/>
        <w:rPr>
          <w:rFonts w:ascii="Arial" w:hAnsi="Arial" w:cs="Arial"/>
          <w:b w:val="0"/>
          <w:caps w:val="0"/>
          <w:sz w:val="20"/>
        </w:rPr>
      </w:pPr>
    </w:p>
    <w:p w14:paraId="3F6FAC03" w14:textId="1461C2B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A26CEEC" w14:textId="77777777" w:rsidR="00790ADA" w:rsidRPr="00FB3A86" w:rsidRDefault="00790ADA" w:rsidP="00441B6F">
      <w:pPr>
        <w:pStyle w:val="Head1"/>
        <w:spacing w:after="0"/>
        <w:jc w:val="both"/>
        <w:rPr>
          <w:rFonts w:ascii="Arial" w:hAnsi="Arial" w:cs="Arial"/>
        </w:rPr>
      </w:pPr>
    </w:p>
    <w:p w14:paraId="68D42E9D" w14:textId="77777777" w:rsidR="003E77C3" w:rsidRPr="003E77C3" w:rsidRDefault="003E77C3" w:rsidP="003E77C3">
      <w:pPr>
        <w:tabs>
          <w:tab w:val="left" w:pos="1080"/>
        </w:tabs>
        <w:jc w:val="both"/>
        <w:rPr>
          <w:rFonts w:ascii="Arial" w:hAnsi="Arial" w:cs="Arial"/>
          <w:b/>
          <w:bCs/>
        </w:rPr>
      </w:pPr>
      <w:r w:rsidRPr="003E77C3">
        <w:rPr>
          <w:rFonts w:ascii="Arial" w:hAnsi="Arial" w:cs="Arial"/>
          <w:b/>
          <w:bCs/>
          <w:sz w:val="22"/>
          <w:szCs w:val="22"/>
        </w:rPr>
        <w:t>3.1 Impact of microbial consortium and nutrient management on Growth parameters</w:t>
      </w:r>
    </w:p>
    <w:p w14:paraId="2F0D1DEB" w14:textId="304C102E" w:rsidR="003E77C3" w:rsidRPr="003E77C3" w:rsidRDefault="003E77C3" w:rsidP="003E77C3">
      <w:pPr>
        <w:tabs>
          <w:tab w:val="left" w:pos="1080"/>
        </w:tabs>
        <w:jc w:val="both"/>
        <w:rPr>
          <w:rFonts w:ascii="Arial" w:hAnsi="Arial" w:cs="Arial"/>
        </w:rPr>
      </w:pPr>
      <w:r w:rsidRPr="003E77C3">
        <w:rPr>
          <w:rFonts w:ascii="Arial" w:hAnsi="Arial" w:cs="Arial"/>
        </w:rPr>
        <w:t xml:space="preserve">The growth parameters differ significantly with respect to the application of microbial consortium and nutrient management (Table 1). Among the application of different treatments, </w:t>
      </w:r>
      <w:r w:rsidR="00AD3476">
        <w:rPr>
          <w:rFonts w:ascii="Arial" w:hAnsi="Arial" w:cs="Arial"/>
        </w:rPr>
        <w:t xml:space="preserve">Treatment </w:t>
      </w:r>
      <w:r w:rsidRPr="003E77C3">
        <w:rPr>
          <w:rFonts w:ascii="Arial" w:hAnsi="Arial" w:cs="Arial"/>
        </w:rPr>
        <w:t>T4 recorded highest plant height (117.35 cm) which was significantly superior over most of the treatments, although it remained statistically at par with treatments T</w:t>
      </w:r>
      <w:r w:rsidRPr="00AD3476">
        <w:rPr>
          <w:rFonts w:ascii="Arial" w:hAnsi="Arial" w:cs="Arial"/>
          <w:vertAlign w:val="subscript"/>
        </w:rPr>
        <w:t>7</w:t>
      </w:r>
      <w:r w:rsidRPr="003E77C3">
        <w:rPr>
          <w:rFonts w:ascii="Arial" w:hAnsi="Arial" w:cs="Arial"/>
        </w:rPr>
        <w:t xml:space="preserve"> (111.12 cm) and T3 (109.03 cm). Treatment T</w:t>
      </w:r>
      <w:r w:rsidRPr="00AD3476">
        <w:rPr>
          <w:rFonts w:ascii="Arial" w:hAnsi="Arial" w:cs="Arial"/>
          <w:vertAlign w:val="subscript"/>
        </w:rPr>
        <w:t>8</w:t>
      </w:r>
      <w:r w:rsidRPr="003E77C3">
        <w:rPr>
          <w:rFonts w:ascii="Arial" w:hAnsi="Arial" w:cs="Arial"/>
        </w:rPr>
        <w:t xml:space="preserve"> (98.75 cm) was recorded to be lowest. The highest plant height under T4 might be attributed to enhanced cell division and elongation due to better availability and uptake of nutrients.</w:t>
      </w:r>
    </w:p>
    <w:p w14:paraId="254194E4" w14:textId="77777777" w:rsidR="003E77C3" w:rsidRDefault="003E77C3" w:rsidP="003E77C3">
      <w:pPr>
        <w:tabs>
          <w:tab w:val="left" w:pos="1080"/>
        </w:tabs>
        <w:jc w:val="both"/>
        <w:rPr>
          <w:rFonts w:ascii="Arial" w:hAnsi="Arial" w:cs="Arial"/>
        </w:rPr>
      </w:pPr>
      <w:r w:rsidRPr="003E77C3">
        <w:rPr>
          <w:rFonts w:ascii="Arial" w:hAnsi="Arial" w:cs="Arial"/>
        </w:rPr>
        <w:t>A similar trend was observed in case of number of branches per plant, where T</w:t>
      </w:r>
      <w:r w:rsidRPr="00AD3476">
        <w:rPr>
          <w:rFonts w:ascii="Arial" w:hAnsi="Arial" w:cs="Arial"/>
          <w:vertAlign w:val="subscript"/>
        </w:rPr>
        <w:t>4</w:t>
      </w:r>
      <w:r w:rsidRPr="003E77C3">
        <w:rPr>
          <w:rFonts w:ascii="Arial" w:hAnsi="Arial" w:cs="Arial"/>
        </w:rPr>
        <w:t xml:space="preserve"> (9.88) was recorded to be highest and significantly superior, followed by T</w:t>
      </w:r>
      <w:r w:rsidRPr="00AD3476">
        <w:rPr>
          <w:rFonts w:ascii="Arial" w:hAnsi="Arial" w:cs="Arial"/>
          <w:vertAlign w:val="subscript"/>
        </w:rPr>
        <w:t>7</w:t>
      </w:r>
      <w:r w:rsidRPr="003E77C3">
        <w:rPr>
          <w:rFonts w:ascii="Arial" w:hAnsi="Arial" w:cs="Arial"/>
        </w:rPr>
        <w:t xml:space="preserve"> (8.56) and T</w:t>
      </w:r>
      <w:r w:rsidRPr="00AD3476">
        <w:rPr>
          <w:rFonts w:ascii="Arial" w:hAnsi="Arial" w:cs="Arial"/>
          <w:vertAlign w:val="subscript"/>
        </w:rPr>
        <w:t>2</w:t>
      </w:r>
      <w:r w:rsidRPr="003E77C3">
        <w:rPr>
          <w:rFonts w:ascii="Arial" w:hAnsi="Arial" w:cs="Arial"/>
        </w:rPr>
        <w:t xml:space="preserve"> (7.99). The lowest number of branches was observed under T</w:t>
      </w:r>
      <w:r w:rsidRPr="00AD3476">
        <w:rPr>
          <w:rFonts w:ascii="Arial" w:hAnsi="Arial" w:cs="Arial"/>
          <w:vertAlign w:val="subscript"/>
        </w:rPr>
        <w:t>8</w:t>
      </w:r>
      <w:r w:rsidRPr="003E77C3">
        <w:rPr>
          <w:rFonts w:ascii="Arial" w:hAnsi="Arial" w:cs="Arial"/>
        </w:rPr>
        <w:t xml:space="preserve"> (6.08). The increase in number of branches can be due to improved nutrient supply and better photosynthetic activity due to microbes which resulted in enhanced vegetative growth. Similar results were also reported in black gram by Verma </w:t>
      </w:r>
      <w:r w:rsidRPr="00AD3476">
        <w:rPr>
          <w:rFonts w:ascii="Arial" w:hAnsi="Arial" w:cs="Arial"/>
          <w:i/>
          <w:iCs/>
        </w:rPr>
        <w:t>et al</w:t>
      </w:r>
      <w:r w:rsidRPr="003E77C3">
        <w:rPr>
          <w:rFonts w:ascii="Arial" w:hAnsi="Arial" w:cs="Arial"/>
        </w:rPr>
        <w:t>., 2025.</w:t>
      </w:r>
    </w:p>
    <w:p w14:paraId="35B1E518" w14:textId="77777777" w:rsidR="00AD3476" w:rsidRPr="003E77C3" w:rsidRDefault="00AD3476" w:rsidP="003E77C3">
      <w:pPr>
        <w:tabs>
          <w:tab w:val="left" w:pos="1080"/>
        </w:tabs>
        <w:jc w:val="both"/>
        <w:rPr>
          <w:rFonts w:ascii="Arial" w:hAnsi="Arial" w:cs="Arial"/>
        </w:rPr>
      </w:pPr>
    </w:p>
    <w:p w14:paraId="5FF9C478" w14:textId="77777777" w:rsidR="003E77C3" w:rsidRDefault="003E77C3" w:rsidP="003E77C3">
      <w:pPr>
        <w:tabs>
          <w:tab w:val="left" w:pos="1080"/>
        </w:tabs>
        <w:jc w:val="both"/>
        <w:rPr>
          <w:rFonts w:ascii="Arial" w:hAnsi="Arial" w:cs="Arial"/>
          <w:b/>
          <w:bCs/>
          <w:sz w:val="22"/>
          <w:szCs w:val="22"/>
        </w:rPr>
      </w:pPr>
      <w:r w:rsidRPr="003E77C3">
        <w:rPr>
          <w:rFonts w:ascii="Arial" w:hAnsi="Arial" w:cs="Arial"/>
          <w:b/>
          <w:bCs/>
          <w:sz w:val="22"/>
          <w:szCs w:val="22"/>
        </w:rPr>
        <w:t>3.2 Impact of microbial consortium and nutrient management on Yield attributes:</w:t>
      </w:r>
    </w:p>
    <w:p w14:paraId="638E23C2" w14:textId="77777777" w:rsidR="00AD3476" w:rsidRPr="003E77C3" w:rsidRDefault="00AD3476" w:rsidP="003E77C3">
      <w:pPr>
        <w:tabs>
          <w:tab w:val="left" w:pos="1080"/>
        </w:tabs>
        <w:jc w:val="both"/>
        <w:rPr>
          <w:rFonts w:ascii="Arial" w:hAnsi="Arial" w:cs="Arial"/>
          <w:b/>
          <w:bCs/>
          <w:sz w:val="22"/>
          <w:szCs w:val="22"/>
        </w:rPr>
      </w:pPr>
    </w:p>
    <w:p w14:paraId="0BF3210A" w14:textId="77777777" w:rsidR="003E77C3" w:rsidRPr="003E77C3" w:rsidRDefault="003E77C3" w:rsidP="003E77C3">
      <w:pPr>
        <w:tabs>
          <w:tab w:val="left" w:pos="1080"/>
        </w:tabs>
        <w:jc w:val="both"/>
        <w:rPr>
          <w:rFonts w:ascii="Arial" w:hAnsi="Arial" w:cs="Arial"/>
        </w:rPr>
      </w:pPr>
      <w:r w:rsidRPr="003E77C3">
        <w:rPr>
          <w:rFonts w:ascii="Arial" w:hAnsi="Arial" w:cs="Arial"/>
        </w:rPr>
        <w:t>A significant difference was also observed in case of Yield contributing characters similar to growth attributes. Similar to growth attributes maximum number of pods per plant (79.90) was recorded under T</w:t>
      </w:r>
      <w:r w:rsidRPr="00AD3476">
        <w:rPr>
          <w:rFonts w:ascii="Arial" w:hAnsi="Arial" w:cs="Arial"/>
          <w:vertAlign w:val="subscript"/>
        </w:rPr>
        <w:t>4</w:t>
      </w:r>
      <w:r w:rsidRPr="003E77C3">
        <w:rPr>
          <w:rFonts w:ascii="Arial" w:hAnsi="Arial" w:cs="Arial"/>
        </w:rPr>
        <w:t>, which was observed to be significantly superior to other treatments except T</w:t>
      </w:r>
      <w:r w:rsidRPr="00AD3476">
        <w:rPr>
          <w:rFonts w:ascii="Arial" w:hAnsi="Arial" w:cs="Arial"/>
          <w:vertAlign w:val="subscript"/>
        </w:rPr>
        <w:t>7</w:t>
      </w:r>
      <w:r w:rsidRPr="003E77C3">
        <w:rPr>
          <w:rFonts w:ascii="Arial" w:hAnsi="Arial" w:cs="Arial"/>
        </w:rPr>
        <w:t xml:space="preserve"> (71.17) and T</w:t>
      </w:r>
      <w:r w:rsidRPr="00AD3476">
        <w:rPr>
          <w:rFonts w:ascii="Arial" w:hAnsi="Arial" w:cs="Arial"/>
          <w:vertAlign w:val="subscript"/>
        </w:rPr>
        <w:t>2</w:t>
      </w:r>
      <w:r w:rsidRPr="003E77C3">
        <w:rPr>
          <w:rFonts w:ascii="Arial" w:hAnsi="Arial" w:cs="Arial"/>
        </w:rPr>
        <w:t xml:space="preserve"> (69.33) to which it was at par. The lowest value was recorded to be under T</w:t>
      </w:r>
      <w:r w:rsidRPr="00AD3476">
        <w:rPr>
          <w:rFonts w:ascii="Arial" w:hAnsi="Arial" w:cs="Arial"/>
          <w:vertAlign w:val="subscript"/>
        </w:rPr>
        <w:t>8</w:t>
      </w:r>
      <w:r w:rsidRPr="003E77C3">
        <w:rPr>
          <w:rFonts w:ascii="Arial" w:hAnsi="Arial" w:cs="Arial"/>
        </w:rPr>
        <w:t xml:space="preserve"> (56.08). Similarly, in case of pod length highest length was observed in T</w:t>
      </w:r>
      <w:r w:rsidRPr="00AD3476">
        <w:rPr>
          <w:rFonts w:ascii="Arial" w:hAnsi="Arial" w:cs="Arial"/>
          <w:vertAlign w:val="subscript"/>
        </w:rPr>
        <w:t>4</w:t>
      </w:r>
      <w:r w:rsidRPr="003E77C3">
        <w:rPr>
          <w:rFonts w:ascii="Arial" w:hAnsi="Arial" w:cs="Arial"/>
        </w:rPr>
        <w:t xml:space="preserve"> (9.74 cm), followed by T</w:t>
      </w:r>
      <w:r w:rsidRPr="00AD3476">
        <w:rPr>
          <w:rFonts w:ascii="Arial" w:hAnsi="Arial" w:cs="Arial"/>
          <w:vertAlign w:val="subscript"/>
        </w:rPr>
        <w:t>7</w:t>
      </w:r>
      <w:r w:rsidRPr="003E77C3">
        <w:rPr>
          <w:rFonts w:ascii="Arial" w:hAnsi="Arial" w:cs="Arial"/>
        </w:rPr>
        <w:t xml:space="preserve"> (8.91 cm) and T2 (8.22 cm), while lowest under T</w:t>
      </w:r>
      <w:r w:rsidRPr="00AD3476">
        <w:rPr>
          <w:rFonts w:ascii="Arial" w:hAnsi="Arial" w:cs="Arial"/>
          <w:vertAlign w:val="subscript"/>
        </w:rPr>
        <w:t>8</w:t>
      </w:r>
      <w:r w:rsidRPr="003E77C3">
        <w:rPr>
          <w:rFonts w:ascii="Arial" w:hAnsi="Arial" w:cs="Arial"/>
        </w:rPr>
        <w:t xml:space="preserve"> (6.53 cm). As for number of seeds per pod T</w:t>
      </w:r>
      <w:r w:rsidRPr="00AD3476">
        <w:rPr>
          <w:rFonts w:ascii="Arial" w:hAnsi="Arial" w:cs="Arial"/>
          <w:vertAlign w:val="subscript"/>
        </w:rPr>
        <w:t>4</w:t>
      </w:r>
      <w:r w:rsidRPr="003E77C3">
        <w:rPr>
          <w:rFonts w:ascii="Arial" w:hAnsi="Arial" w:cs="Arial"/>
        </w:rPr>
        <w:t xml:space="preserve"> (8.90), significantly outperformed other treatments, with T</w:t>
      </w:r>
      <w:r w:rsidRPr="00AD3476">
        <w:rPr>
          <w:rFonts w:ascii="Arial" w:hAnsi="Arial" w:cs="Arial"/>
          <w:vertAlign w:val="subscript"/>
        </w:rPr>
        <w:t>8</w:t>
      </w:r>
      <w:r w:rsidRPr="003E77C3">
        <w:rPr>
          <w:rFonts w:ascii="Arial" w:hAnsi="Arial" w:cs="Arial"/>
        </w:rPr>
        <w:t xml:space="preserve"> (6.16) recording to be lowest. The significant improvement in these parameters may be attributed to the better translocation of photosynthates from source to sink and balanced metabolism of nutrients during reproductive stages. Earlier similar results were also reported by Marimuthu and Surendran (2015).</w:t>
      </w:r>
    </w:p>
    <w:p w14:paraId="09473043" w14:textId="10311C6A" w:rsidR="003E77C3" w:rsidRDefault="003E77C3" w:rsidP="003E77C3">
      <w:pPr>
        <w:tabs>
          <w:tab w:val="left" w:pos="1080"/>
        </w:tabs>
        <w:jc w:val="both"/>
        <w:rPr>
          <w:rFonts w:ascii="Arial" w:hAnsi="Arial" w:cs="Arial"/>
        </w:rPr>
      </w:pPr>
      <w:r w:rsidRPr="003E77C3">
        <w:rPr>
          <w:rFonts w:ascii="Arial" w:hAnsi="Arial" w:cs="Arial"/>
        </w:rPr>
        <w:t xml:space="preserve">Test weight of the crop as indicated in </w:t>
      </w:r>
      <w:r w:rsidR="00AD3476">
        <w:rPr>
          <w:rFonts w:ascii="Arial" w:hAnsi="Arial" w:cs="Arial"/>
        </w:rPr>
        <w:t>T</w:t>
      </w:r>
      <w:r w:rsidRPr="003E77C3">
        <w:rPr>
          <w:rFonts w:ascii="Arial" w:hAnsi="Arial" w:cs="Arial"/>
        </w:rPr>
        <w:t>able 1 does not vary significantly with highest and lowest values under T4 (32.85 g) and T5 (31.47 g) respectively.</w:t>
      </w:r>
    </w:p>
    <w:p w14:paraId="1F7629E1" w14:textId="77777777" w:rsidR="00AD3476" w:rsidRPr="003E77C3" w:rsidRDefault="00AD3476" w:rsidP="003E77C3">
      <w:pPr>
        <w:tabs>
          <w:tab w:val="left" w:pos="1080"/>
        </w:tabs>
        <w:jc w:val="both"/>
        <w:rPr>
          <w:rFonts w:ascii="Arial" w:hAnsi="Arial" w:cs="Arial"/>
        </w:rPr>
      </w:pPr>
    </w:p>
    <w:p w14:paraId="73333201" w14:textId="1ECEAD61" w:rsidR="003E77C3" w:rsidRDefault="003E77C3" w:rsidP="003E77C3">
      <w:pPr>
        <w:tabs>
          <w:tab w:val="left" w:pos="1080"/>
        </w:tabs>
        <w:jc w:val="both"/>
        <w:rPr>
          <w:rFonts w:ascii="Arial" w:hAnsi="Arial" w:cs="Arial"/>
          <w:b/>
          <w:bCs/>
        </w:rPr>
      </w:pPr>
      <w:r w:rsidRPr="003E77C3">
        <w:rPr>
          <w:rFonts w:ascii="Arial" w:hAnsi="Arial" w:cs="Arial"/>
          <w:b/>
          <w:bCs/>
        </w:rPr>
        <w:t xml:space="preserve">Table No: 1   Effect of microbial consortium and nutrient management on yield attributes of Clusterbean (02 years Pooled).  </w:t>
      </w:r>
    </w:p>
    <w:p w14:paraId="17492CE8" w14:textId="77777777" w:rsidR="003E77C3" w:rsidRDefault="003E77C3" w:rsidP="003E77C3">
      <w:pPr>
        <w:tabs>
          <w:tab w:val="left" w:pos="1080"/>
        </w:tabs>
        <w:jc w:val="both"/>
        <w:rPr>
          <w:rFonts w:ascii="Arial" w:hAnsi="Arial" w:cs="Arial"/>
          <w:b/>
          <w:bCs/>
        </w:rPr>
      </w:pPr>
    </w:p>
    <w:tbl>
      <w:tblPr>
        <w:tblW w:w="8637" w:type="dxa"/>
        <w:tblLayout w:type="fixed"/>
        <w:tblCellMar>
          <w:left w:w="0" w:type="dxa"/>
          <w:right w:w="0" w:type="dxa"/>
        </w:tblCellMar>
        <w:tblLook w:val="04A0" w:firstRow="1" w:lastRow="0" w:firstColumn="1" w:lastColumn="0" w:noHBand="0" w:noVBand="1"/>
      </w:tblPr>
      <w:tblGrid>
        <w:gridCol w:w="1550"/>
        <w:gridCol w:w="1134"/>
        <w:gridCol w:w="992"/>
        <w:gridCol w:w="1134"/>
        <w:gridCol w:w="992"/>
        <w:gridCol w:w="1276"/>
        <w:gridCol w:w="1559"/>
      </w:tblGrid>
      <w:tr w:rsidR="003E77C3" w:rsidRPr="003E77C3" w14:paraId="42B37C12" w14:textId="77777777" w:rsidTr="0075359C">
        <w:trPr>
          <w:cantSplit/>
          <w:trHeight w:val="1458"/>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C4621F"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 xml:space="preserve">Treatments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F52ED5"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Plant height (cm)</w:t>
            </w:r>
          </w:p>
          <w:p w14:paraId="1E1266B1" w14:textId="77777777" w:rsidR="003E77C3" w:rsidRPr="003E77C3" w:rsidRDefault="003E77C3" w:rsidP="0075359C">
            <w:pPr>
              <w:autoSpaceDE w:val="0"/>
              <w:autoSpaceDN w:val="0"/>
              <w:adjustRightInd w:val="0"/>
              <w:spacing w:line="360" w:lineRule="auto"/>
              <w:ind w:firstLine="720"/>
              <w:rPr>
                <w:rFonts w:ascii="Arial" w:hAnsi="Arial" w:cs="Arial"/>
                <w:b/>
                <w:bCs/>
              </w:rPr>
            </w:pPr>
            <w:r w:rsidRPr="003E77C3">
              <w:rPr>
                <w:rFonts w:ascii="Arial" w:hAnsi="Arial" w:cs="Arial"/>
                <w:b/>
                <w:bCs/>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FA4873"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No of Branches /plant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BA4DCE"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No of pods/ plant</w:t>
            </w:r>
          </w:p>
          <w:p w14:paraId="04478C24"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(No.)</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D7EC50"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Pod Length (cm)</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918B7C"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No of Seeds /pod</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A0E666"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Test weight (g)</w:t>
            </w:r>
          </w:p>
        </w:tc>
      </w:tr>
      <w:tr w:rsidR="003E77C3" w:rsidRPr="003E77C3" w14:paraId="27AF0562"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AB8E09"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1</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74E4C2"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103.97</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78B91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6.78</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62C184"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60.91</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A6A41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7.10</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F2F176"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6.97</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25F830"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31.86</w:t>
            </w:r>
          </w:p>
        </w:tc>
      </w:tr>
      <w:tr w:rsidR="003E77C3" w:rsidRPr="003E77C3" w14:paraId="3D6D0AD4" w14:textId="77777777" w:rsidTr="0075359C">
        <w:trPr>
          <w:cantSplit/>
          <w:trHeight w:val="29"/>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6E4012"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2</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9CA03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107.76</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BC6316"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7.99</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20BE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69.33</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00B636"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8.22</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5B2AC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8.04</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85FDF8"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32.34</w:t>
            </w:r>
          </w:p>
        </w:tc>
      </w:tr>
      <w:tr w:rsidR="003E77C3" w:rsidRPr="003E77C3" w14:paraId="2E9D01F5" w14:textId="77777777" w:rsidTr="0075359C">
        <w:trPr>
          <w:cantSplit/>
          <w:trHeight w:val="131"/>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454AE6"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3</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5711E6"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109.03</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56952C"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7.60</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A5930C"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67.86</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0719F0"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7.78</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7AD94B"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7.07</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EEC233"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31.50</w:t>
            </w:r>
          </w:p>
        </w:tc>
      </w:tr>
      <w:tr w:rsidR="003E77C3" w:rsidRPr="003E77C3" w14:paraId="19732DAB"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60EF44"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C7E6B0"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117.35</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E99F64"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9.88</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9494AC"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79.90</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18600E"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9.74</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29BD32"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8.90</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4C0546"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32.85</w:t>
            </w:r>
          </w:p>
        </w:tc>
      </w:tr>
      <w:tr w:rsidR="003E77C3" w:rsidRPr="003E77C3" w14:paraId="16F5342C"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ABA76D"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lastRenderedPageBreak/>
              <w:t>T</w:t>
            </w:r>
            <w:r w:rsidRPr="003E77C3">
              <w:rPr>
                <w:rFonts w:ascii="Arial" w:hAnsi="Arial" w:cs="Arial"/>
                <w:b/>
                <w:bCs/>
                <w:vertAlign w:val="subscript"/>
              </w:rPr>
              <w:t>5</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42E42E"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106.71</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387BA0"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7.24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EB6478"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68.60</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7A240A"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7.49</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C5624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7.13</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593FE6"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31.47</w:t>
            </w:r>
          </w:p>
        </w:tc>
      </w:tr>
      <w:tr w:rsidR="003E77C3" w:rsidRPr="003E77C3" w14:paraId="6B7C3E8C" w14:textId="77777777" w:rsidTr="0075359C">
        <w:trPr>
          <w:cantSplit/>
          <w:trHeight w:val="168"/>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DF38C0"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910381"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107.48</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4038F7"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7.02</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D6320D"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65.83</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4AD9CB"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7.30</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91F5A5"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7.12</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899DEB"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32.22</w:t>
            </w:r>
          </w:p>
        </w:tc>
      </w:tr>
      <w:tr w:rsidR="003E77C3" w:rsidRPr="003E77C3" w14:paraId="070EEC7E"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787C92"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7</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4F9C51"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111.12</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2CC0DE"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8.56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EFDEA3"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71.17</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3CF2D3"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8.91</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3C59CC"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8.02</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4DDC73"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32.47</w:t>
            </w:r>
          </w:p>
        </w:tc>
      </w:tr>
      <w:tr w:rsidR="003E77C3" w:rsidRPr="003E77C3" w14:paraId="6370F5CD"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93408A"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T</w:t>
            </w:r>
            <w:r w:rsidRPr="003E77C3">
              <w:rPr>
                <w:rFonts w:ascii="Arial" w:hAnsi="Arial" w:cs="Arial"/>
                <w:b/>
                <w:bCs/>
                <w:vertAlign w:val="subscript"/>
              </w:rPr>
              <w:t>8</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1FD2C3"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98.75</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E55A81"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6.08</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CDF4A1"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56.08</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2EC8A9"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6.53</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D4E51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6.16</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66950C"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31.68</w:t>
            </w:r>
          </w:p>
        </w:tc>
      </w:tr>
      <w:tr w:rsidR="003E77C3" w:rsidRPr="003E77C3" w14:paraId="0A8C16C0"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92B0D4"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S.E.m)±</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96C2C8"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5.12</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BB3F9B"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0.40</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840C0E"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3.97</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CF3A66"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0.36</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000F34"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0.41</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5427E9"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0.65</w:t>
            </w:r>
          </w:p>
        </w:tc>
      </w:tr>
      <w:tr w:rsidR="003E77C3" w:rsidRPr="003E77C3" w14:paraId="7FB57648"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517607"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CD 5%</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29BFD0"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15.23</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B05D2A"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1.21</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F2DC7D"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11.82</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018525"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1.09</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5DBF45"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1.21</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7FAA50"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NS</w:t>
            </w:r>
          </w:p>
        </w:tc>
      </w:tr>
      <w:tr w:rsidR="003E77C3" w:rsidRPr="003E77C3" w14:paraId="6A516202" w14:textId="77777777" w:rsidTr="0075359C">
        <w:trPr>
          <w:cantSplit/>
          <w:trHeight w:val="25"/>
        </w:trPr>
        <w:tc>
          <w:tcPr>
            <w:tcW w:w="15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87A356" w14:textId="77777777" w:rsidR="003E77C3" w:rsidRPr="003E77C3" w:rsidRDefault="003E77C3" w:rsidP="0075359C">
            <w:pPr>
              <w:autoSpaceDE w:val="0"/>
              <w:autoSpaceDN w:val="0"/>
              <w:adjustRightInd w:val="0"/>
              <w:spacing w:line="360" w:lineRule="auto"/>
              <w:rPr>
                <w:rFonts w:ascii="Arial" w:hAnsi="Arial" w:cs="Arial"/>
                <w:b/>
                <w:bCs/>
              </w:rPr>
            </w:pPr>
            <w:r w:rsidRPr="003E77C3">
              <w:rPr>
                <w:rFonts w:ascii="Arial" w:hAnsi="Arial" w:cs="Arial"/>
                <w:b/>
                <w:bCs/>
              </w:rPr>
              <w:t>CV</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920BC2"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8.29</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D9F283"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9.52</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3947AF"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0.41</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7FD1F9"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8.06</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A72FA7"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9.58</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DBC640" w14:textId="77777777" w:rsidR="003E77C3" w:rsidRPr="003E77C3" w:rsidRDefault="003E77C3" w:rsidP="0075359C">
            <w:pPr>
              <w:autoSpaceDE w:val="0"/>
              <w:autoSpaceDN w:val="0"/>
              <w:adjustRightInd w:val="0"/>
              <w:spacing w:line="360" w:lineRule="auto"/>
              <w:rPr>
                <w:rFonts w:ascii="Arial" w:hAnsi="Arial" w:cs="Arial"/>
              </w:rPr>
            </w:pPr>
            <w:r w:rsidRPr="003E77C3">
              <w:rPr>
                <w:rFonts w:ascii="Arial" w:hAnsi="Arial" w:cs="Arial"/>
              </w:rPr>
              <w:t>3.56</w:t>
            </w:r>
          </w:p>
        </w:tc>
      </w:tr>
    </w:tbl>
    <w:p w14:paraId="7782B072" w14:textId="77777777" w:rsidR="003E77C3" w:rsidRPr="003E77C3" w:rsidRDefault="003E77C3" w:rsidP="003E77C3">
      <w:pPr>
        <w:tabs>
          <w:tab w:val="left" w:pos="1080"/>
        </w:tabs>
        <w:jc w:val="both"/>
        <w:rPr>
          <w:rFonts w:ascii="Arial" w:hAnsi="Arial" w:cs="Arial"/>
          <w:b/>
          <w:bCs/>
        </w:rPr>
      </w:pPr>
    </w:p>
    <w:p w14:paraId="0E124182" w14:textId="77777777" w:rsidR="003E77C3" w:rsidRPr="003E77C3" w:rsidRDefault="003E77C3" w:rsidP="003E77C3">
      <w:pPr>
        <w:tabs>
          <w:tab w:val="left" w:pos="1080"/>
        </w:tabs>
        <w:jc w:val="both"/>
        <w:rPr>
          <w:rFonts w:ascii="Arial" w:hAnsi="Arial" w:cs="Arial"/>
          <w:b/>
          <w:bCs/>
          <w:sz w:val="22"/>
          <w:szCs w:val="22"/>
        </w:rPr>
      </w:pPr>
      <w:r w:rsidRPr="003E77C3">
        <w:rPr>
          <w:rFonts w:ascii="Arial" w:hAnsi="Arial" w:cs="Arial"/>
          <w:b/>
          <w:bCs/>
          <w:sz w:val="22"/>
          <w:szCs w:val="22"/>
        </w:rPr>
        <w:t>3.3 Impact of microbial consortium and nutrient management on seed and straw yield</w:t>
      </w:r>
    </w:p>
    <w:p w14:paraId="6D67D67D" w14:textId="46D93D02" w:rsidR="003E77C3" w:rsidRDefault="003E77C3" w:rsidP="003E77C3">
      <w:pPr>
        <w:tabs>
          <w:tab w:val="left" w:pos="1080"/>
        </w:tabs>
        <w:jc w:val="both"/>
        <w:rPr>
          <w:rFonts w:ascii="Arial" w:hAnsi="Arial" w:cs="Arial"/>
        </w:rPr>
      </w:pPr>
      <w:r w:rsidRPr="003E77C3">
        <w:rPr>
          <w:rFonts w:ascii="Arial" w:hAnsi="Arial" w:cs="Arial"/>
        </w:rPr>
        <w:t xml:space="preserve">The   seed   and   stover yield   of   Clusterbean as recorded   under   different   treatments is presented in </w:t>
      </w:r>
      <w:r w:rsidR="005770B1">
        <w:rPr>
          <w:rFonts w:ascii="Arial" w:hAnsi="Arial" w:cs="Arial"/>
        </w:rPr>
        <w:t>Fig 1</w:t>
      </w:r>
      <w:r w:rsidRPr="003E77C3">
        <w:rPr>
          <w:rFonts w:ascii="Arial" w:hAnsi="Arial" w:cs="Arial"/>
        </w:rPr>
        <w:t>. Analysis of table 2. Shows that significantly higher grain was observed under the treatment T</w:t>
      </w:r>
      <w:r w:rsidRPr="00AD3476">
        <w:rPr>
          <w:rFonts w:ascii="Arial" w:hAnsi="Arial" w:cs="Arial"/>
          <w:vertAlign w:val="subscript"/>
        </w:rPr>
        <w:t>4</w:t>
      </w:r>
      <w:r w:rsidRPr="003E77C3">
        <w:rPr>
          <w:rFonts w:ascii="Arial" w:hAnsi="Arial" w:cs="Arial"/>
        </w:rPr>
        <w:t xml:space="preserve"> (1416, 1454 and 1435 kg ha</w:t>
      </w:r>
      <w:r w:rsidRPr="00AD3476">
        <w:rPr>
          <w:rFonts w:ascii="Arial" w:hAnsi="Arial" w:cs="Arial"/>
          <w:vertAlign w:val="superscript"/>
        </w:rPr>
        <w:t>-1</w:t>
      </w:r>
      <w:r w:rsidRPr="003E77C3">
        <w:rPr>
          <w:rFonts w:ascii="Arial" w:hAnsi="Arial" w:cs="Arial"/>
        </w:rPr>
        <w:t>) during year 2022, 2023 and pooled, respectively and it was recorded to be at par with T</w:t>
      </w:r>
      <w:r w:rsidRPr="00AD3476">
        <w:rPr>
          <w:rFonts w:ascii="Arial" w:hAnsi="Arial" w:cs="Arial"/>
          <w:vertAlign w:val="subscript"/>
        </w:rPr>
        <w:t>7</w:t>
      </w:r>
      <w:r w:rsidRPr="003E77C3">
        <w:rPr>
          <w:rFonts w:ascii="Arial" w:hAnsi="Arial" w:cs="Arial"/>
        </w:rPr>
        <w:t xml:space="preserve"> (1236, 1389 and 1313 kg ha</w:t>
      </w:r>
      <w:r w:rsidRPr="00AD3476">
        <w:rPr>
          <w:rFonts w:ascii="Arial" w:hAnsi="Arial" w:cs="Arial"/>
          <w:vertAlign w:val="superscript"/>
        </w:rPr>
        <w:t>-1</w:t>
      </w:r>
      <w:r w:rsidRPr="003E77C3">
        <w:rPr>
          <w:rFonts w:ascii="Arial" w:hAnsi="Arial" w:cs="Arial"/>
        </w:rPr>
        <w:t>, respectively) and T3 (1264, 1259 and 1262 kg ha-1). The lowest seed yield was recorded under T</w:t>
      </w:r>
      <w:r w:rsidRPr="00AD3476">
        <w:rPr>
          <w:rFonts w:ascii="Arial" w:hAnsi="Arial" w:cs="Arial"/>
          <w:vertAlign w:val="subscript"/>
        </w:rPr>
        <w:t>1</w:t>
      </w:r>
      <w:r w:rsidRPr="003E77C3">
        <w:rPr>
          <w:rFonts w:ascii="Arial" w:hAnsi="Arial" w:cs="Arial"/>
        </w:rPr>
        <w:t xml:space="preserve"> in the pooled analysis of data. Similar results were also obtained for the stover yield with treatment T</w:t>
      </w:r>
      <w:r w:rsidRPr="00AD3476">
        <w:rPr>
          <w:rFonts w:ascii="Arial" w:hAnsi="Arial" w:cs="Arial"/>
          <w:vertAlign w:val="subscript"/>
        </w:rPr>
        <w:t>4</w:t>
      </w:r>
      <w:r w:rsidRPr="003E77C3">
        <w:rPr>
          <w:rFonts w:ascii="Arial" w:hAnsi="Arial" w:cs="Arial"/>
        </w:rPr>
        <w:t xml:space="preserve"> recording the highest stover yield in both the years and pooled analysis which was also significantly the highest over rest of the treatments except for T</w:t>
      </w:r>
      <w:r w:rsidRPr="00AD3476">
        <w:rPr>
          <w:rFonts w:ascii="Arial" w:hAnsi="Arial" w:cs="Arial"/>
          <w:vertAlign w:val="subscript"/>
        </w:rPr>
        <w:t>7</w:t>
      </w:r>
      <w:r w:rsidRPr="003E77C3">
        <w:rPr>
          <w:rFonts w:ascii="Arial" w:hAnsi="Arial" w:cs="Arial"/>
        </w:rPr>
        <w:t xml:space="preserve"> and T</w:t>
      </w:r>
      <w:r w:rsidRPr="00AD3476">
        <w:rPr>
          <w:rFonts w:ascii="Arial" w:hAnsi="Arial" w:cs="Arial"/>
          <w:vertAlign w:val="subscript"/>
        </w:rPr>
        <w:t>3</w:t>
      </w:r>
      <w:r w:rsidRPr="003E77C3">
        <w:rPr>
          <w:rFonts w:ascii="Arial" w:hAnsi="Arial" w:cs="Arial"/>
        </w:rPr>
        <w:t>.</w:t>
      </w:r>
    </w:p>
    <w:p w14:paraId="06D5B1CB" w14:textId="77777777" w:rsidR="00E439DA" w:rsidRDefault="00E439DA" w:rsidP="003E77C3">
      <w:pPr>
        <w:tabs>
          <w:tab w:val="left" w:pos="1080"/>
        </w:tabs>
        <w:jc w:val="both"/>
        <w:rPr>
          <w:rFonts w:ascii="Arial" w:hAnsi="Arial" w:cs="Arial"/>
        </w:rPr>
      </w:pPr>
    </w:p>
    <w:p w14:paraId="0DD0ECA0" w14:textId="2D21DADA" w:rsidR="00E439DA" w:rsidRDefault="00E439DA" w:rsidP="003E77C3">
      <w:pPr>
        <w:tabs>
          <w:tab w:val="left" w:pos="1080"/>
        </w:tabs>
        <w:jc w:val="both"/>
        <w:rPr>
          <w:rFonts w:ascii="Arial" w:hAnsi="Arial" w:cs="Arial"/>
        </w:rPr>
      </w:pPr>
      <w:r>
        <w:rPr>
          <w:noProof/>
        </w:rPr>
        <w:drawing>
          <wp:inline distT="0" distB="0" distL="0" distR="0" wp14:anchorId="0891038B" wp14:editId="231CC520">
            <wp:extent cx="5212080" cy="2456180"/>
            <wp:effectExtent l="0" t="0" r="0" b="0"/>
            <wp:docPr id="1010462297" name="Chart 1">
              <a:extLst xmlns:a="http://schemas.openxmlformats.org/drawingml/2006/main">
                <a:ext uri="{FF2B5EF4-FFF2-40B4-BE49-F238E27FC236}">
                  <a16:creationId xmlns:a16="http://schemas.microsoft.com/office/drawing/2014/main" id="{24D052F1-03CB-5526-74CF-2237CA3CCC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32EF929" w14:textId="77777777" w:rsidR="005770B1" w:rsidRDefault="005770B1" w:rsidP="003E77C3">
      <w:pPr>
        <w:tabs>
          <w:tab w:val="left" w:pos="1080"/>
        </w:tabs>
        <w:jc w:val="both"/>
        <w:rPr>
          <w:rFonts w:ascii="Arial" w:hAnsi="Arial" w:cs="Arial"/>
        </w:rPr>
      </w:pPr>
    </w:p>
    <w:p w14:paraId="5878B639" w14:textId="64CD9D49" w:rsidR="00E439DA" w:rsidRDefault="00E439DA" w:rsidP="003E77C3">
      <w:pPr>
        <w:tabs>
          <w:tab w:val="left" w:pos="1080"/>
        </w:tabs>
        <w:jc w:val="both"/>
        <w:rPr>
          <w:rFonts w:ascii="Arial" w:hAnsi="Arial" w:cs="Arial"/>
        </w:rPr>
      </w:pPr>
      <w:r w:rsidRPr="005770B1">
        <w:rPr>
          <w:rFonts w:ascii="Arial" w:hAnsi="Arial" w:cs="Arial"/>
          <w:b/>
          <w:bCs/>
        </w:rPr>
        <w:t>Fig. 1</w:t>
      </w:r>
      <w:r w:rsidR="005770B1" w:rsidRPr="005770B1">
        <w:rPr>
          <w:rFonts w:ascii="Arial" w:hAnsi="Arial" w:cs="Arial"/>
          <w:b/>
          <w:bCs/>
        </w:rPr>
        <w:t xml:space="preserve"> </w:t>
      </w:r>
      <w:r w:rsidR="005770B1" w:rsidRPr="005770B1">
        <w:rPr>
          <w:rFonts w:ascii="Arial" w:hAnsi="Arial" w:cs="Arial"/>
        </w:rPr>
        <w:t>Effect of microbial consortium and nutrient management on seed and straw yield of Clusterbean.</w:t>
      </w:r>
    </w:p>
    <w:p w14:paraId="4F373E7A" w14:textId="77777777" w:rsidR="00E439DA" w:rsidRPr="003E77C3" w:rsidRDefault="00E439DA" w:rsidP="003E77C3">
      <w:pPr>
        <w:tabs>
          <w:tab w:val="left" w:pos="1080"/>
        </w:tabs>
        <w:jc w:val="both"/>
        <w:rPr>
          <w:rFonts w:ascii="Arial" w:hAnsi="Arial" w:cs="Arial"/>
        </w:rPr>
      </w:pPr>
    </w:p>
    <w:p w14:paraId="439C7771" w14:textId="77777777" w:rsidR="003E77C3" w:rsidRDefault="003E77C3" w:rsidP="003E77C3">
      <w:pPr>
        <w:tabs>
          <w:tab w:val="left" w:pos="1080"/>
        </w:tabs>
        <w:jc w:val="both"/>
        <w:rPr>
          <w:rFonts w:ascii="Arial" w:hAnsi="Arial" w:cs="Arial"/>
        </w:rPr>
      </w:pPr>
      <w:r w:rsidRPr="003E77C3">
        <w:rPr>
          <w:rFonts w:ascii="Arial" w:hAnsi="Arial" w:cs="Arial"/>
        </w:rPr>
        <w:t>The significantly superior performance of treatment T</w:t>
      </w:r>
      <w:r w:rsidRPr="00AD3476">
        <w:rPr>
          <w:rFonts w:ascii="Arial" w:hAnsi="Arial" w:cs="Arial"/>
          <w:vertAlign w:val="subscript"/>
        </w:rPr>
        <w:t>4</w:t>
      </w:r>
      <w:r w:rsidRPr="003E77C3">
        <w:rPr>
          <w:rFonts w:ascii="Arial" w:hAnsi="Arial" w:cs="Arial"/>
        </w:rPr>
        <w:t xml:space="preserve"> may be attributed to the combined effect of supplying microbial consortium in addition to the recommended dose of fertilizers. When both are applied in combination they might have enhanced the nutrient availability along with improving biological nitrogen fixation and increasing overall nutrient uptake. This integrated approach is most likely to not only improve root development and photosynthetic efficiency but also improve translocation of assimilates towards reproductive organs which in turn results in higher seed yield. Similar results were also reported by Singh </w:t>
      </w:r>
      <w:r w:rsidRPr="00AD3476">
        <w:rPr>
          <w:rFonts w:ascii="Arial" w:hAnsi="Arial" w:cs="Arial"/>
          <w:i/>
          <w:iCs/>
        </w:rPr>
        <w:t>et al</w:t>
      </w:r>
      <w:r w:rsidRPr="003E77C3">
        <w:rPr>
          <w:rFonts w:ascii="Arial" w:hAnsi="Arial" w:cs="Arial"/>
        </w:rPr>
        <w:t xml:space="preserve">., (2024) and Pradhan </w:t>
      </w:r>
      <w:r w:rsidRPr="00AD3476">
        <w:rPr>
          <w:rFonts w:ascii="Arial" w:hAnsi="Arial" w:cs="Arial"/>
          <w:i/>
          <w:iCs/>
        </w:rPr>
        <w:t>et al</w:t>
      </w:r>
      <w:r w:rsidRPr="003E77C3">
        <w:rPr>
          <w:rFonts w:ascii="Arial" w:hAnsi="Arial" w:cs="Arial"/>
        </w:rPr>
        <w:t>., (2025).</w:t>
      </w:r>
    </w:p>
    <w:p w14:paraId="495F2E92" w14:textId="77777777" w:rsidR="00B30824" w:rsidRPr="003E77C3" w:rsidRDefault="00B30824" w:rsidP="003E77C3">
      <w:pPr>
        <w:tabs>
          <w:tab w:val="left" w:pos="1080"/>
        </w:tabs>
        <w:jc w:val="both"/>
        <w:rPr>
          <w:rFonts w:ascii="Arial" w:hAnsi="Arial" w:cs="Arial"/>
        </w:rPr>
      </w:pPr>
    </w:p>
    <w:p w14:paraId="649EF19B" w14:textId="7A759C95" w:rsidR="003E77C3" w:rsidRDefault="003E77C3" w:rsidP="003E77C3">
      <w:pPr>
        <w:tabs>
          <w:tab w:val="left" w:pos="1080"/>
        </w:tabs>
        <w:jc w:val="both"/>
        <w:rPr>
          <w:rFonts w:ascii="Arial" w:hAnsi="Arial" w:cs="Arial"/>
          <w:b/>
          <w:bCs/>
        </w:rPr>
      </w:pPr>
      <w:r w:rsidRPr="003E77C3">
        <w:rPr>
          <w:rFonts w:ascii="Arial" w:hAnsi="Arial" w:cs="Arial"/>
          <w:b/>
          <w:bCs/>
        </w:rPr>
        <w:lastRenderedPageBreak/>
        <w:t xml:space="preserve">Table: 2. Effect of microbial consortium and nutrient management on seed and straw yield of Clusterbean. </w:t>
      </w:r>
    </w:p>
    <w:p w14:paraId="63573EAF" w14:textId="77777777" w:rsidR="00B30824" w:rsidRPr="003E77C3" w:rsidRDefault="00B30824" w:rsidP="003E77C3">
      <w:pPr>
        <w:tabs>
          <w:tab w:val="left" w:pos="1080"/>
        </w:tabs>
        <w:jc w:val="both"/>
        <w:rPr>
          <w:rFonts w:ascii="Arial" w:hAnsi="Arial" w:cs="Arial"/>
          <w:b/>
          <w:bCs/>
        </w:rPr>
      </w:pPr>
    </w:p>
    <w:tbl>
      <w:tblPr>
        <w:tblStyle w:val="TableGrid"/>
        <w:tblW w:w="8355" w:type="dxa"/>
        <w:tblLook w:val="0420" w:firstRow="1" w:lastRow="0" w:firstColumn="0" w:lastColumn="0" w:noHBand="0" w:noVBand="1"/>
      </w:tblPr>
      <w:tblGrid>
        <w:gridCol w:w="1501"/>
        <w:gridCol w:w="1206"/>
        <w:gridCol w:w="1273"/>
        <w:gridCol w:w="883"/>
        <w:gridCol w:w="1207"/>
        <w:gridCol w:w="1273"/>
        <w:gridCol w:w="1012"/>
      </w:tblGrid>
      <w:tr w:rsidR="003E77C3" w:rsidRPr="003E77C3" w14:paraId="77EDA20F" w14:textId="77777777" w:rsidTr="0075359C">
        <w:trPr>
          <w:trHeight w:val="277"/>
        </w:trPr>
        <w:tc>
          <w:tcPr>
            <w:tcW w:w="1510" w:type="dxa"/>
            <w:vMerge w:val="restart"/>
            <w:hideMark/>
          </w:tcPr>
          <w:p w14:paraId="4871BC47"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 xml:space="preserve">Treatments </w:t>
            </w:r>
          </w:p>
        </w:tc>
        <w:tc>
          <w:tcPr>
            <w:tcW w:w="3305" w:type="dxa"/>
            <w:gridSpan w:val="3"/>
            <w:hideMark/>
          </w:tcPr>
          <w:p w14:paraId="4E50DC24"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Seed Yield (kg /ha)</w:t>
            </w:r>
          </w:p>
        </w:tc>
        <w:tc>
          <w:tcPr>
            <w:tcW w:w="3540" w:type="dxa"/>
            <w:gridSpan w:val="3"/>
            <w:hideMark/>
          </w:tcPr>
          <w:p w14:paraId="0F1A1D95"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Straw yield (kg /ha.)</w:t>
            </w:r>
          </w:p>
        </w:tc>
      </w:tr>
      <w:tr w:rsidR="003E77C3" w:rsidRPr="003E77C3" w14:paraId="35A711C0" w14:textId="77777777" w:rsidTr="0075359C">
        <w:trPr>
          <w:trHeight w:val="73"/>
        </w:trPr>
        <w:tc>
          <w:tcPr>
            <w:tcW w:w="1510" w:type="dxa"/>
            <w:vMerge/>
            <w:hideMark/>
          </w:tcPr>
          <w:p w14:paraId="726F1DD8" w14:textId="77777777" w:rsidR="003E77C3" w:rsidRPr="003E77C3" w:rsidRDefault="003E77C3" w:rsidP="0075359C">
            <w:pPr>
              <w:autoSpaceDE w:val="0"/>
              <w:autoSpaceDN w:val="0"/>
              <w:adjustRightInd w:val="0"/>
              <w:ind w:firstLine="720"/>
              <w:jc w:val="both"/>
              <w:rPr>
                <w:rFonts w:ascii="Arial" w:hAnsi="Arial" w:cs="Arial"/>
                <w:b/>
                <w:bCs/>
                <w:sz w:val="20"/>
                <w:szCs w:val="20"/>
              </w:rPr>
            </w:pPr>
          </w:p>
        </w:tc>
        <w:tc>
          <w:tcPr>
            <w:tcW w:w="1227" w:type="dxa"/>
            <w:hideMark/>
          </w:tcPr>
          <w:p w14:paraId="2BD8E62D"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2022</w:t>
            </w:r>
          </w:p>
        </w:tc>
        <w:tc>
          <w:tcPr>
            <w:tcW w:w="1295" w:type="dxa"/>
            <w:hideMark/>
          </w:tcPr>
          <w:p w14:paraId="3B0305D1"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2023</w:t>
            </w:r>
          </w:p>
        </w:tc>
        <w:tc>
          <w:tcPr>
            <w:tcW w:w="783" w:type="dxa"/>
            <w:hideMark/>
          </w:tcPr>
          <w:p w14:paraId="7E0308FA"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 xml:space="preserve">Pooled </w:t>
            </w:r>
          </w:p>
        </w:tc>
        <w:tc>
          <w:tcPr>
            <w:tcW w:w="1228" w:type="dxa"/>
            <w:hideMark/>
          </w:tcPr>
          <w:p w14:paraId="557C47CB"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2022</w:t>
            </w:r>
          </w:p>
        </w:tc>
        <w:tc>
          <w:tcPr>
            <w:tcW w:w="1295" w:type="dxa"/>
            <w:hideMark/>
          </w:tcPr>
          <w:p w14:paraId="1BDB2305"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2023</w:t>
            </w:r>
          </w:p>
        </w:tc>
        <w:tc>
          <w:tcPr>
            <w:tcW w:w="1017" w:type="dxa"/>
            <w:hideMark/>
          </w:tcPr>
          <w:p w14:paraId="40DB3C5A"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 xml:space="preserve">Pooled </w:t>
            </w:r>
          </w:p>
        </w:tc>
      </w:tr>
      <w:tr w:rsidR="003E77C3" w:rsidRPr="003E77C3" w14:paraId="7BEF5212" w14:textId="77777777" w:rsidTr="0075359C">
        <w:trPr>
          <w:trHeight w:val="50"/>
        </w:trPr>
        <w:tc>
          <w:tcPr>
            <w:tcW w:w="1510" w:type="dxa"/>
            <w:hideMark/>
          </w:tcPr>
          <w:p w14:paraId="6560D069"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1</w:t>
            </w:r>
          </w:p>
        </w:tc>
        <w:tc>
          <w:tcPr>
            <w:tcW w:w="1227" w:type="dxa"/>
            <w:hideMark/>
          </w:tcPr>
          <w:p w14:paraId="4E2827EE"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1056</w:t>
            </w:r>
          </w:p>
        </w:tc>
        <w:tc>
          <w:tcPr>
            <w:tcW w:w="1295" w:type="dxa"/>
            <w:hideMark/>
          </w:tcPr>
          <w:p w14:paraId="7590C2DA"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1030</w:t>
            </w:r>
          </w:p>
        </w:tc>
        <w:tc>
          <w:tcPr>
            <w:tcW w:w="783" w:type="dxa"/>
            <w:hideMark/>
          </w:tcPr>
          <w:p w14:paraId="4D902CE4"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1043</w:t>
            </w:r>
          </w:p>
        </w:tc>
        <w:tc>
          <w:tcPr>
            <w:tcW w:w="1228" w:type="dxa"/>
            <w:hideMark/>
          </w:tcPr>
          <w:p w14:paraId="2F16FEDF"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2750</w:t>
            </w:r>
          </w:p>
        </w:tc>
        <w:tc>
          <w:tcPr>
            <w:tcW w:w="1295" w:type="dxa"/>
            <w:hideMark/>
          </w:tcPr>
          <w:p w14:paraId="203C74E6"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2018</w:t>
            </w:r>
          </w:p>
        </w:tc>
        <w:tc>
          <w:tcPr>
            <w:tcW w:w="1017" w:type="dxa"/>
            <w:hideMark/>
          </w:tcPr>
          <w:p w14:paraId="4A5D64C2"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2384</w:t>
            </w:r>
          </w:p>
        </w:tc>
      </w:tr>
      <w:tr w:rsidR="003E77C3" w:rsidRPr="003E77C3" w14:paraId="5BD39046" w14:textId="77777777" w:rsidTr="0075359C">
        <w:trPr>
          <w:trHeight w:val="50"/>
        </w:trPr>
        <w:tc>
          <w:tcPr>
            <w:tcW w:w="1510" w:type="dxa"/>
            <w:hideMark/>
          </w:tcPr>
          <w:p w14:paraId="272C7673"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2</w:t>
            </w:r>
          </w:p>
        </w:tc>
        <w:tc>
          <w:tcPr>
            <w:tcW w:w="1227" w:type="dxa"/>
            <w:hideMark/>
          </w:tcPr>
          <w:p w14:paraId="6FC8E1A2"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1153</w:t>
            </w:r>
          </w:p>
        </w:tc>
        <w:tc>
          <w:tcPr>
            <w:tcW w:w="1295" w:type="dxa"/>
            <w:hideMark/>
          </w:tcPr>
          <w:p w14:paraId="0884E51D"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1092</w:t>
            </w:r>
          </w:p>
        </w:tc>
        <w:tc>
          <w:tcPr>
            <w:tcW w:w="783" w:type="dxa"/>
            <w:hideMark/>
          </w:tcPr>
          <w:p w14:paraId="6D563451"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1123</w:t>
            </w:r>
          </w:p>
        </w:tc>
        <w:tc>
          <w:tcPr>
            <w:tcW w:w="1228" w:type="dxa"/>
            <w:hideMark/>
          </w:tcPr>
          <w:p w14:paraId="1F21FCC4"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3027</w:t>
            </w:r>
          </w:p>
        </w:tc>
        <w:tc>
          <w:tcPr>
            <w:tcW w:w="1295" w:type="dxa"/>
            <w:hideMark/>
          </w:tcPr>
          <w:p w14:paraId="75EAB00F"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2059</w:t>
            </w:r>
          </w:p>
        </w:tc>
        <w:tc>
          <w:tcPr>
            <w:tcW w:w="1017" w:type="dxa"/>
            <w:hideMark/>
          </w:tcPr>
          <w:p w14:paraId="47712CE1"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2544</w:t>
            </w:r>
          </w:p>
        </w:tc>
      </w:tr>
      <w:tr w:rsidR="003E77C3" w:rsidRPr="003E77C3" w14:paraId="44141BA4" w14:textId="77777777" w:rsidTr="0075359C">
        <w:trPr>
          <w:trHeight w:val="50"/>
        </w:trPr>
        <w:tc>
          <w:tcPr>
            <w:tcW w:w="1510" w:type="dxa"/>
            <w:hideMark/>
          </w:tcPr>
          <w:p w14:paraId="5E52B3C8"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3</w:t>
            </w:r>
          </w:p>
        </w:tc>
        <w:tc>
          <w:tcPr>
            <w:tcW w:w="1227" w:type="dxa"/>
            <w:hideMark/>
          </w:tcPr>
          <w:p w14:paraId="25C7DE25"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1264</w:t>
            </w:r>
          </w:p>
        </w:tc>
        <w:tc>
          <w:tcPr>
            <w:tcW w:w="1295" w:type="dxa"/>
            <w:hideMark/>
          </w:tcPr>
          <w:p w14:paraId="7FA1E6C9"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1259</w:t>
            </w:r>
          </w:p>
        </w:tc>
        <w:tc>
          <w:tcPr>
            <w:tcW w:w="783" w:type="dxa"/>
            <w:hideMark/>
          </w:tcPr>
          <w:p w14:paraId="011FB9D0"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1262</w:t>
            </w:r>
          </w:p>
        </w:tc>
        <w:tc>
          <w:tcPr>
            <w:tcW w:w="1228" w:type="dxa"/>
            <w:hideMark/>
          </w:tcPr>
          <w:p w14:paraId="39281FBA"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3166</w:t>
            </w:r>
          </w:p>
        </w:tc>
        <w:tc>
          <w:tcPr>
            <w:tcW w:w="1295" w:type="dxa"/>
            <w:hideMark/>
          </w:tcPr>
          <w:p w14:paraId="53560121"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2037</w:t>
            </w:r>
          </w:p>
        </w:tc>
        <w:tc>
          <w:tcPr>
            <w:tcW w:w="1017" w:type="dxa"/>
            <w:hideMark/>
          </w:tcPr>
          <w:p w14:paraId="25763D23"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2602</w:t>
            </w:r>
          </w:p>
        </w:tc>
      </w:tr>
      <w:tr w:rsidR="003E77C3" w:rsidRPr="003E77C3" w14:paraId="381947C4" w14:textId="77777777" w:rsidTr="0075359C">
        <w:trPr>
          <w:trHeight w:val="50"/>
        </w:trPr>
        <w:tc>
          <w:tcPr>
            <w:tcW w:w="1510" w:type="dxa"/>
            <w:hideMark/>
          </w:tcPr>
          <w:p w14:paraId="527537B2"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4</w:t>
            </w:r>
          </w:p>
        </w:tc>
        <w:tc>
          <w:tcPr>
            <w:tcW w:w="1227" w:type="dxa"/>
            <w:hideMark/>
          </w:tcPr>
          <w:p w14:paraId="75E68EB0"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1416</w:t>
            </w:r>
          </w:p>
        </w:tc>
        <w:tc>
          <w:tcPr>
            <w:tcW w:w="1295" w:type="dxa"/>
            <w:hideMark/>
          </w:tcPr>
          <w:p w14:paraId="28FCECC7"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1454</w:t>
            </w:r>
          </w:p>
        </w:tc>
        <w:tc>
          <w:tcPr>
            <w:tcW w:w="783" w:type="dxa"/>
            <w:hideMark/>
          </w:tcPr>
          <w:p w14:paraId="0A144512"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1435</w:t>
            </w:r>
          </w:p>
        </w:tc>
        <w:tc>
          <w:tcPr>
            <w:tcW w:w="1228" w:type="dxa"/>
            <w:hideMark/>
          </w:tcPr>
          <w:p w14:paraId="46AA6E8C"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3250</w:t>
            </w:r>
          </w:p>
        </w:tc>
        <w:tc>
          <w:tcPr>
            <w:tcW w:w="1295" w:type="dxa"/>
            <w:hideMark/>
          </w:tcPr>
          <w:p w14:paraId="135FD4BE"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2185</w:t>
            </w:r>
          </w:p>
        </w:tc>
        <w:tc>
          <w:tcPr>
            <w:tcW w:w="1017" w:type="dxa"/>
            <w:hideMark/>
          </w:tcPr>
          <w:p w14:paraId="5E71355E"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2718</w:t>
            </w:r>
          </w:p>
        </w:tc>
      </w:tr>
      <w:tr w:rsidR="003E77C3" w:rsidRPr="003E77C3" w14:paraId="107DEE15" w14:textId="77777777" w:rsidTr="0075359C">
        <w:trPr>
          <w:trHeight w:val="50"/>
        </w:trPr>
        <w:tc>
          <w:tcPr>
            <w:tcW w:w="1510" w:type="dxa"/>
            <w:hideMark/>
          </w:tcPr>
          <w:p w14:paraId="3CE30444"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5</w:t>
            </w:r>
          </w:p>
        </w:tc>
        <w:tc>
          <w:tcPr>
            <w:tcW w:w="1227" w:type="dxa"/>
            <w:hideMark/>
          </w:tcPr>
          <w:p w14:paraId="6C278B47"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1086</w:t>
            </w:r>
          </w:p>
        </w:tc>
        <w:tc>
          <w:tcPr>
            <w:tcW w:w="1295" w:type="dxa"/>
            <w:hideMark/>
          </w:tcPr>
          <w:p w14:paraId="4417162F"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1009</w:t>
            </w:r>
          </w:p>
        </w:tc>
        <w:tc>
          <w:tcPr>
            <w:tcW w:w="783" w:type="dxa"/>
            <w:hideMark/>
          </w:tcPr>
          <w:p w14:paraId="44BAD86C"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1048</w:t>
            </w:r>
          </w:p>
        </w:tc>
        <w:tc>
          <w:tcPr>
            <w:tcW w:w="1228" w:type="dxa"/>
            <w:hideMark/>
          </w:tcPr>
          <w:p w14:paraId="4F0D8EC9"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2861</w:t>
            </w:r>
          </w:p>
        </w:tc>
        <w:tc>
          <w:tcPr>
            <w:tcW w:w="1295" w:type="dxa"/>
            <w:hideMark/>
          </w:tcPr>
          <w:p w14:paraId="562B8FE8"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1852</w:t>
            </w:r>
          </w:p>
        </w:tc>
        <w:tc>
          <w:tcPr>
            <w:tcW w:w="1017" w:type="dxa"/>
            <w:hideMark/>
          </w:tcPr>
          <w:p w14:paraId="603C9DC8"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2356</w:t>
            </w:r>
          </w:p>
        </w:tc>
      </w:tr>
      <w:tr w:rsidR="003E77C3" w:rsidRPr="003E77C3" w14:paraId="488A9528" w14:textId="77777777" w:rsidTr="0075359C">
        <w:trPr>
          <w:trHeight w:val="50"/>
        </w:trPr>
        <w:tc>
          <w:tcPr>
            <w:tcW w:w="1510" w:type="dxa"/>
            <w:hideMark/>
          </w:tcPr>
          <w:p w14:paraId="4A2348BC"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6</w:t>
            </w:r>
          </w:p>
        </w:tc>
        <w:tc>
          <w:tcPr>
            <w:tcW w:w="1227" w:type="dxa"/>
            <w:hideMark/>
          </w:tcPr>
          <w:p w14:paraId="46AA3B79"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1147</w:t>
            </w:r>
          </w:p>
        </w:tc>
        <w:tc>
          <w:tcPr>
            <w:tcW w:w="1295" w:type="dxa"/>
            <w:hideMark/>
          </w:tcPr>
          <w:p w14:paraId="0BB86F5F"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1128</w:t>
            </w:r>
          </w:p>
        </w:tc>
        <w:tc>
          <w:tcPr>
            <w:tcW w:w="783" w:type="dxa"/>
            <w:hideMark/>
          </w:tcPr>
          <w:p w14:paraId="3D953DE5"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1138</w:t>
            </w:r>
          </w:p>
        </w:tc>
        <w:tc>
          <w:tcPr>
            <w:tcW w:w="1228" w:type="dxa"/>
            <w:hideMark/>
          </w:tcPr>
          <w:p w14:paraId="21743E61"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2528</w:t>
            </w:r>
          </w:p>
        </w:tc>
        <w:tc>
          <w:tcPr>
            <w:tcW w:w="1295" w:type="dxa"/>
            <w:hideMark/>
          </w:tcPr>
          <w:p w14:paraId="0389CDF5"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1833</w:t>
            </w:r>
          </w:p>
        </w:tc>
        <w:tc>
          <w:tcPr>
            <w:tcW w:w="1017" w:type="dxa"/>
            <w:hideMark/>
          </w:tcPr>
          <w:p w14:paraId="58AEE4C1"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2181</w:t>
            </w:r>
          </w:p>
        </w:tc>
      </w:tr>
      <w:tr w:rsidR="003E77C3" w:rsidRPr="003E77C3" w14:paraId="79B603D0" w14:textId="77777777" w:rsidTr="0075359C">
        <w:trPr>
          <w:trHeight w:val="50"/>
        </w:trPr>
        <w:tc>
          <w:tcPr>
            <w:tcW w:w="1510" w:type="dxa"/>
            <w:hideMark/>
          </w:tcPr>
          <w:p w14:paraId="0788FF98"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7</w:t>
            </w:r>
          </w:p>
        </w:tc>
        <w:tc>
          <w:tcPr>
            <w:tcW w:w="1227" w:type="dxa"/>
            <w:hideMark/>
          </w:tcPr>
          <w:p w14:paraId="2DC21873"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1236</w:t>
            </w:r>
          </w:p>
        </w:tc>
        <w:tc>
          <w:tcPr>
            <w:tcW w:w="1295" w:type="dxa"/>
            <w:hideMark/>
          </w:tcPr>
          <w:p w14:paraId="0A30D064"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1389</w:t>
            </w:r>
          </w:p>
        </w:tc>
        <w:tc>
          <w:tcPr>
            <w:tcW w:w="783" w:type="dxa"/>
            <w:hideMark/>
          </w:tcPr>
          <w:p w14:paraId="0DB7534A"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1313</w:t>
            </w:r>
          </w:p>
        </w:tc>
        <w:tc>
          <w:tcPr>
            <w:tcW w:w="1228" w:type="dxa"/>
            <w:hideMark/>
          </w:tcPr>
          <w:p w14:paraId="4D02F1E2"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2611</w:t>
            </w:r>
          </w:p>
        </w:tc>
        <w:tc>
          <w:tcPr>
            <w:tcW w:w="1295" w:type="dxa"/>
            <w:hideMark/>
          </w:tcPr>
          <w:p w14:paraId="05064731"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2018</w:t>
            </w:r>
          </w:p>
        </w:tc>
        <w:tc>
          <w:tcPr>
            <w:tcW w:w="1017" w:type="dxa"/>
            <w:hideMark/>
          </w:tcPr>
          <w:p w14:paraId="5CE5DF57"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2315</w:t>
            </w:r>
          </w:p>
        </w:tc>
      </w:tr>
      <w:tr w:rsidR="003E77C3" w:rsidRPr="003E77C3" w14:paraId="23EC4354" w14:textId="77777777" w:rsidTr="0075359C">
        <w:trPr>
          <w:trHeight w:val="50"/>
        </w:trPr>
        <w:tc>
          <w:tcPr>
            <w:tcW w:w="1510" w:type="dxa"/>
            <w:hideMark/>
          </w:tcPr>
          <w:p w14:paraId="56BD4264"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T</w:t>
            </w:r>
            <w:r w:rsidRPr="003E77C3">
              <w:rPr>
                <w:rFonts w:ascii="Arial" w:hAnsi="Arial" w:cs="Arial"/>
                <w:b/>
                <w:bCs/>
                <w:sz w:val="20"/>
                <w:szCs w:val="20"/>
                <w:vertAlign w:val="subscript"/>
              </w:rPr>
              <w:t>8</w:t>
            </w:r>
          </w:p>
        </w:tc>
        <w:tc>
          <w:tcPr>
            <w:tcW w:w="1227" w:type="dxa"/>
            <w:hideMark/>
          </w:tcPr>
          <w:p w14:paraId="35A8CBAC"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1200</w:t>
            </w:r>
          </w:p>
        </w:tc>
        <w:tc>
          <w:tcPr>
            <w:tcW w:w="1295" w:type="dxa"/>
            <w:hideMark/>
          </w:tcPr>
          <w:p w14:paraId="279A5B0E"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1072</w:t>
            </w:r>
          </w:p>
        </w:tc>
        <w:tc>
          <w:tcPr>
            <w:tcW w:w="783" w:type="dxa"/>
            <w:hideMark/>
          </w:tcPr>
          <w:p w14:paraId="67A3EC32"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1136</w:t>
            </w:r>
          </w:p>
        </w:tc>
        <w:tc>
          <w:tcPr>
            <w:tcW w:w="1228" w:type="dxa"/>
            <w:hideMark/>
          </w:tcPr>
          <w:p w14:paraId="16A91847"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2542</w:t>
            </w:r>
          </w:p>
        </w:tc>
        <w:tc>
          <w:tcPr>
            <w:tcW w:w="1295" w:type="dxa"/>
            <w:hideMark/>
          </w:tcPr>
          <w:p w14:paraId="701514A9"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1815</w:t>
            </w:r>
          </w:p>
        </w:tc>
        <w:tc>
          <w:tcPr>
            <w:tcW w:w="1017" w:type="dxa"/>
            <w:hideMark/>
          </w:tcPr>
          <w:p w14:paraId="73C6926D"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2178</w:t>
            </w:r>
          </w:p>
        </w:tc>
      </w:tr>
      <w:tr w:rsidR="003E77C3" w:rsidRPr="003E77C3" w14:paraId="38FD4DEA" w14:textId="77777777" w:rsidTr="0075359C">
        <w:trPr>
          <w:trHeight w:val="50"/>
        </w:trPr>
        <w:tc>
          <w:tcPr>
            <w:tcW w:w="1510" w:type="dxa"/>
            <w:hideMark/>
          </w:tcPr>
          <w:p w14:paraId="39DFBE5D"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S.E.(m)±</w:t>
            </w:r>
          </w:p>
        </w:tc>
        <w:tc>
          <w:tcPr>
            <w:tcW w:w="1227" w:type="dxa"/>
            <w:hideMark/>
          </w:tcPr>
          <w:p w14:paraId="5796CF40"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64</w:t>
            </w:r>
          </w:p>
        </w:tc>
        <w:tc>
          <w:tcPr>
            <w:tcW w:w="1295" w:type="dxa"/>
            <w:hideMark/>
          </w:tcPr>
          <w:p w14:paraId="4F999F71"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98.48</w:t>
            </w:r>
          </w:p>
        </w:tc>
        <w:tc>
          <w:tcPr>
            <w:tcW w:w="783" w:type="dxa"/>
            <w:hideMark/>
          </w:tcPr>
          <w:p w14:paraId="5386A00B"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42</w:t>
            </w:r>
          </w:p>
        </w:tc>
        <w:tc>
          <w:tcPr>
            <w:tcW w:w="1228" w:type="dxa"/>
            <w:hideMark/>
          </w:tcPr>
          <w:p w14:paraId="6EB6B8B5"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153</w:t>
            </w:r>
          </w:p>
        </w:tc>
        <w:tc>
          <w:tcPr>
            <w:tcW w:w="1295" w:type="dxa"/>
            <w:hideMark/>
          </w:tcPr>
          <w:p w14:paraId="72D8FB7A"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126</w:t>
            </w:r>
          </w:p>
        </w:tc>
        <w:tc>
          <w:tcPr>
            <w:tcW w:w="1017" w:type="dxa"/>
            <w:hideMark/>
          </w:tcPr>
          <w:p w14:paraId="09345DC0"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99</w:t>
            </w:r>
          </w:p>
        </w:tc>
      </w:tr>
      <w:tr w:rsidR="003E77C3" w:rsidRPr="003E77C3" w14:paraId="36881704" w14:textId="77777777" w:rsidTr="0075359C">
        <w:trPr>
          <w:trHeight w:val="50"/>
        </w:trPr>
        <w:tc>
          <w:tcPr>
            <w:tcW w:w="1510" w:type="dxa"/>
            <w:hideMark/>
          </w:tcPr>
          <w:p w14:paraId="68A2E891"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CD 5%</w:t>
            </w:r>
          </w:p>
        </w:tc>
        <w:tc>
          <w:tcPr>
            <w:tcW w:w="1227" w:type="dxa"/>
            <w:hideMark/>
          </w:tcPr>
          <w:p w14:paraId="4CC0E55B"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198</w:t>
            </w:r>
          </w:p>
        </w:tc>
        <w:tc>
          <w:tcPr>
            <w:tcW w:w="1295" w:type="dxa"/>
            <w:hideMark/>
          </w:tcPr>
          <w:p w14:paraId="1F2BB65E"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292</w:t>
            </w:r>
          </w:p>
        </w:tc>
        <w:tc>
          <w:tcPr>
            <w:tcW w:w="783" w:type="dxa"/>
            <w:hideMark/>
          </w:tcPr>
          <w:p w14:paraId="6AFFF39C"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125</w:t>
            </w:r>
          </w:p>
        </w:tc>
        <w:tc>
          <w:tcPr>
            <w:tcW w:w="1228" w:type="dxa"/>
            <w:hideMark/>
          </w:tcPr>
          <w:p w14:paraId="7831A21A"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461</w:t>
            </w:r>
          </w:p>
        </w:tc>
        <w:tc>
          <w:tcPr>
            <w:tcW w:w="1295" w:type="dxa"/>
            <w:hideMark/>
          </w:tcPr>
          <w:p w14:paraId="2324B828"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NS</w:t>
            </w:r>
          </w:p>
        </w:tc>
        <w:tc>
          <w:tcPr>
            <w:tcW w:w="1017" w:type="dxa"/>
            <w:hideMark/>
          </w:tcPr>
          <w:p w14:paraId="52B9A1FC"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287</w:t>
            </w:r>
          </w:p>
        </w:tc>
      </w:tr>
      <w:tr w:rsidR="003E77C3" w:rsidRPr="003E77C3" w14:paraId="70FD7FC8" w14:textId="77777777" w:rsidTr="0075359C">
        <w:trPr>
          <w:trHeight w:val="50"/>
        </w:trPr>
        <w:tc>
          <w:tcPr>
            <w:tcW w:w="1510" w:type="dxa"/>
            <w:hideMark/>
          </w:tcPr>
          <w:p w14:paraId="1DE7BF75" w14:textId="77777777" w:rsidR="003E77C3" w:rsidRPr="003E77C3" w:rsidRDefault="003E77C3" w:rsidP="0075359C">
            <w:pPr>
              <w:autoSpaceDE w:val="0"/>
              <w:autoSpaceDN w:val="0"/>
              <w:adjustRightInd w:val="0"/>
              <w:jc w:val="both"/>
              <w:rPr>
                <w:rFonts w:ascii="Arial" w:hAnsi="Arial" w:cs="Arial"/>
                <w:b/>
                <w:bCs/>
                <w:sz w:val="20"/>
                <w:szCs w:val="20"/>
              </w:rPr>
            </w:pPr>
            <w:r w:rsidRPr="003E77C3">
              <w:rPr>
                <w:rFonts w:ascii="Arial" w:hAnsi="Arial" w:cs="Arial"/>
                <w:b/>
                <w:bCs/>
                <w:sz w:val="20"/>
                <w:szCs w:val="20"/>
              </w:rPr>
              <w:t>CV</w:t>
            </w:r>
          </w:p>
        </w:tc>
        <w:tc>
          <w:tcPr>
            <w:tcW w:w="1227" w:type="dxa"/>
            <w:hideMark/>
          </w:tcPr>
          <w:p w14:paraId="5EA8BE86"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9.41</w:t>
            </w:r>
          </w:p>
        </w:tc>
        <w:tc>
          <w:tcPr>
            <w:tcW w:w="1295" w:type="dxa"/>
            <w:hideMark/>
          </w:tcPr>
          <w:p w14:paraId="0AA1FE6A"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14.47</w:t>
            </w:r>
          </w:p>
        </w:tc>
        <w:tc>
          <w:tcPr>
            <w:tcW w:w="783" w:type="dxa"/>
            <w:hideMark/>
          </w:tcPr>
          <w:p w14:paraId="03A9D2EC"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12.41</w:t>
            </w:r>
          </w:p>
        </w:tc>
        <w:tc>
          <w:tcPr>
            <w:tcW w:w="1228" w:type="dxa"/>
            <w:hideMark/>
          </w:tcPr>
          <w:p w14:paraId="250D53DE"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9.29</w:t>
            </w:r>
          </w:p>
        </w:tc>
        <w:tc>
          <w:tcPr>
            <w:tcW w:w="1295" w:type="dxa"/>
            <w:hideMark/>
          </w:tcPr>
          <w:p w14:paraId="0B5744F7"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11.11</w:t>
            </w:r>
          </w:p>
        </w:tc>
        <w:tc>
          <w:tcPr>
            <w:tcW w:w="1017" w:type="dxa"/>
            <w:hideMark/>
          </w:tcPr>
          <w:p w14:paraId="2DFD7EFD" w14:textId="77777777" w:rsidR="003E77C3" w:rsidRPr="003E77C3" w:rsidRDefault="003E77C3" w:rsidP="0075359C">
            <w:pPr>
              <w:autoSpaceDE w:val="0"/>
              <w:autoSpaceDN w:val="0"/>
              <w:adjustRightInd w:val="0"/>
              <w:jc w:val="both"/>
              <w:rPr>
                <w:rFonts w:ascii="Arial" w:hAnsi="Arial" w:cs="Arial"/>
                <w:sz w:val="20"/>
                <w:szCs w:val="20"/>
              </w:rPr>
            </w:pPr>
            <w:r w:rsidRPr="003E77C3">
              <w:rPr>
                <w:rFonts w:ascii="Arial" w:hAnsi="Arial" w:cs="Arial"/>
                <w:sz w:val="20"/>
                <w:szCs w:val="20"/>
              </w:rPr>
              <w:t>10.08</w:t>
            </w:r>
          </w:p>
        </w:tc>
      </w:tr>
    </w:tbl>
    <w:p w14:paraId="6EF53776" w14:textId="77777777" w:rsidR="003E77C3" w:rsidRDefault="003E77C3" w:rsidP="003E77C3">
      <w:pPr>
        <w:tabs>
          <w:tab w:val="left" w:pos="1080"/>
        </w:tabs>
        <w:jc w:val="both"/>
        <w:rPr>
          <w:rFonts w:ascii="Arial" w:hAnsi="Arial" w:cs="Arial"/>
        </w:rPr>
      </w:pPr>
    </w:p>
    <w:p w14:paraId="69F13DE8" w14:textId="77777777" w:rsidR="003E77C3" w:rsidRPr="003E77C3" w:rsidRDefault="003E77C3" w:rsidP="003E77C3">
      <w:pPr>
        <w:tabs>
          <w:tab w:val="left" w:pos="1080"/>
        </w:tabs>
        <w:jc w:val="both"/>
        <w:rPr>
          <w:rFonts w:ascii="Arial" w:hAnsi="Arial" w:cs="Arial"/>
        </w:rPr>
      </w:pPr>
    </w:p>
    <w:p w14:paraId="505D9CE2" w14:textId="77777777" w:rsidR="003E77C3" w:rsidRPr="00B30824" w:rsidRDefault="003E77C3" w:rsidP="003E77C3">
      <w:pPr>
        <w:tabs>
          <w:tab w:val="left" w:pos="1080"/>
        </w:tabs>
        <w:jc w:val="both"/>
        <w:rPr>
          <w:rFonts w:ascii="Arial" w:hAnsi="Arial" w:cs="Arial"/>
          <w:b/>
          <w:bCs/>
          <w:sz w:val="22"/>
          <w:szCs w:val="22"/>
        </w:rPr>
      </w:pPr>
      <w:r w:rsidRPr="00B30824">
        <w:rPr>
          <w:rFonts w:ascii="Arial" w:hAnsi="Arial" w:cs="Arial"/>
          <w:b/>
          <w:bCs/>
          <w:sz w:val="22"/>
          <w:szCs w:val="22"/>
        </w:rPr>
        <w:t>3.4 Impact of microbial consortium and nutrient management on net return and B:C ratio.</w:t>
      </w:r>
    </w:p>
    <w:p w14:paraId="32585D0C" w14:textId="77777777" w:rsidR="003E77C3" w:rsidRDefault="003E77C3" w:rsidP="003E77C3">
      <w:pPr>
        <w:tabs>
          <w:tab w:val="left" w:pos="1080"/>
        </w:tabs>
        <w:jc w:val="both"/>
        <w:rPr>
          <w:rFonts w:ascii="Arial" w:hAnsi="Arial" w:cs="Arial"/>
        </w:rPr>
      </w:pPr>
      <w:r w:rsidRPr="003E77C3">
        <w:rPr>
          <w:rFonts w:ascii="Arial" w:hAnsi="Arial" w:cs="Arial"/>
        </w:rPr>
        <w:t>Detailed analysis of the treatments (table 3) it was revealed that net returns and B:C ratio were significantly influenced by different treatments. Application of treatment T</w:t>
      </w:r>
      <w:r w:rsidRPr="00AD3476">
        <w:rPr>
          <w:rFonts w:ascii="Arial" w:hAnsi="Arial" w:cs="Arial"/>
          <w:vertAlign w:val="subscript"/>
        </w:rPr>
        <w:t>4</w:t>
      </w:r>
      <w:r w:rsidRPr="003E77C3">
        <w:rPr>
          <w:rFonts w:ascii="Arial" w:hAnsi="Arial" w:cs="Arial"/>
        </w:rPr>
        <w:t xml:space="preserve"> (100% RDF + seed and soil application of microbial consortium) emerged to give the highest net returns (₹51,034 and ₹57,538 ha</w:t>
      </w:r>
      <w:r w:rsidRPr="003E77C3">
        <w:rPr>
          <w:rFonts w:ascii="Cambria Math" w:hAnsi="Cambria Math" w:cs="Cambria Math"/>
        </w:rPr>
        <w:t>⁻</w:t>
      </w:r>
      <w:r w:rsidRPr="003E77C3">
        <w:rPr>
          <w:rFonts w:ascii="Arial" w:hAnsi="Arial" w:cs="Arial"/>
        </w:rPr>
        <w:t>¹ during 2022 and 2023, respectively) along with the maximum B:C ratio (2.73 and 2.90). Similarly, treatment T</w:t>
      </w:r>
      <w:r w:rsidRPr="00AD3476">
        <w:rPr>
          <w:rFonts w:ascii="Arial" w:hAnsi="Arial" w:cs="Arial"/>
          <w:vertAlign w:val="subscript"/>
        </w:rPr>
        <w:t>7</w:t>
      </w:r>
      <w:r w:rsidRPr="003E77C3">
        <w:rPr>
          <w:rFonts w:ascii="Arial" w:hAnsi="Arial" w:cs="Arial"/>
        </w:rPr>
        <w:t xml:space="preserve"> (75% RDF + seed and soil application) also showed higher economic returns indicating that reduced fertilizer dose with microbial consortium can maintain profitability while the lowest returns and B:C ratio were recorded under T</w:t>
      </w:r>
      <w:r w:rsidRPr="00AD3476">
        <w:rPr>
          <w:rFonts w:ascii="Arial" w:hAnsi="Arial" w:cs="Arial"/>
          <w:vertAlign w:val="subscript"/>
        </w:rPr>
        <w:t>6</w:t>
      </w:r>
      <w:r w:rsidRPr="003E77C3">
        <w:rPr>
          <w:rFonts w:ascii="Arial" w:hAnsi="Arial" w:cs="Arial"/>
        </w:rPr>
        <w:t xml:space="preserve"> and T</w:t>
      </w:r>
      <w:r w:rsidRPr="00AD3476">
        <w:rPr>
          <w:rFonts w:ascii="Arial" w:hAnsi="Arial" w:cs="Arial"/>
          <w:vertAlign w:val="subscript"/>
        </w:rPr>
        <w:t>8</w:t>
      </w:r>
      <w:r w:rsidRPr="003E77C3">
        <w:rPr>
          <w:rFonts w:ascii="Arial" w:hAnsi="Arial" w:cs="Arial"/>
        </w:rPr>
        <w:t>. Overall, integration of RDF with microbial consortium proved most economical.</w:t>
      </w:r>
    </w:p>
    <w:p w14:paraId="0AACE6F1" w14:textId="77777777" w:rsidR="00B30824" w:rsidRDefault="00B30824" w:rsidP="003E77C3">
      <w:pPr>
        <w:tabs>
          <w:tab w:val="left" w:pos="1080"/>
        </w:tabs>
        <w:jc w:val="both"/>
        <w:rPr>
          <w:rFonts w:ascii="Arial" w:hAnsi="Arial" w:cs="Arial"/>
        </w:rPr>
      </w:pPr>
    </w:p>
    <w:p w14:paraId="125159B0" w14:textId="377C42A7" w:rsidR="00B30824" w:rsidRPr="00B30824" w:rsidRDefault="00B30824" w:rsidP="00B30824">
      <w:pPr>
        <w:autoSpaceDE w:val="0"/>
        <w:autoSpaceDN w:val="0"/>
        <w:adjustRightInd w:val="0"/>
        <w:jc w:val="both"/>
        <w:rPr>
          <w:rFonts w:ascii="Times New Roman" w:hAnsi="Times New Roman"/>
          <w:b/>
          <w:bCs/>
          <w:sz w:val="24"/>
          <w:szCs w:val="24"/>
        </w:rPr>
      </w:pPr>
      <w:r w:rsidRPr="00654AE8">
        <w:rPr>
          <w:rFonts w:ascii="Times New Roman" w:hAnsi="Times New Roman"/>
          <w:b/>
          <w:bCs/>
          <w:sz w:val="24"/>
          <w:szCs w:val="24"/>
        </w:rPr>
        <w:t xml:space="preserve">Table: 3. Effect of microbial consortium and nutrient management on economics of </w:t>
      </w:r>
      <w:r w:rsidRPr="00654AE8">
        <w:rPr>
          <w:rFonts w:ascii="Times New Roman" w:hAnsi="Times New Roman"/>
          <w:b/>
          <w:bCs/>
          <w:sz w:val="24"/>
          <w:szCs w:val="24"/>
        </w:rPr>
        <w:tab/>
        <w:t>clusterbean</w:t>
      </w:r>
    </w:p>
    <w:p w14:paraId="02F67220" w14:textId="77777777" w:rsidR="003E77C3" w:rsidRPr="003E77C3" w:rsidRDefault="003E77C3" w:rsidP="003E77C3">
      <w:pPr>
        <w:tabs>
          <w:tab w:val="left" w:pos="1080"/>
        </w:tabs>
        <w:jc w:val="both"/>
        <w:rPr>
          <w:rFonts w:ascii="Arial" w:hAnsi="Arial" w:cs="Arial"/>
        </w:rPr>
      </w:pPr>
    </w:p>
    <w:tbl>
      <w:tblPr>
        <w:tblStyle w:val="TableGrid"/>
        <w:tblW w:w="7366" w:type="dxa"/>
        <w:tblLook w:val="0420" w:firstRow="1" w:lastRow="0" w:firstColumn="0" w:lastColumn="0" w:noHBand="0" w:noVBand="1"/>
      </w:tblPr>
      <w:tblGrid>
        <w:gridCol w:w="1403"/>
        <w:gridCol w:w="1711"/>
        <w:gridCol w:w="1417"/>
        <w:gridCol w:w="1276"/>
        <w:gridCol w:w="1559"/>
      </w:tblGrid>
      <w:tr w:rsidR="00B30824" w:rsidRPr="00B30824" w14:paraId="266B2CFA" w14:textId="77777777" w:rsidTr="0075359C">
        <w:trPr>
          <w:trHeight w:val="58"/>
        </w:trPr>
        <w:tc>
          <w:tcPr>
            <w:tcW w:w="1403" w:type="dxa"/>
            <w:vMerge w:val="restart"/>
            <w:hideMark/>
          </w:tcPr>
          <w:p w14:paraId="0226CACF"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 xml:space="preserve">Treatments </w:t>
            </w:r>
          </w:p>
        </w:tc>
        <w:tc>
          <w:tcPr>
            <w:tcW w:w="3128" w:type="dxa"/>
            <w:gridSpan w:val="2"/>
            <w:hideMark/>
          </w:tcPr>
          <w:p w14:paraId="253F17C1" w14:textId="63B10D15" w:rsidR="00B30824" w:rsidRPr="00B30824" w:rsidRDefault="00B30824" w:rsidP="00B30824">
            <w:pPr>
              <w:autoSpaceDE w:val="0"/>
              <w:autoSpaceDN w:val="0"/>
              <w:adjustRightInd w:val="0"/>
              <w:spacing w:line="360" w:lineRule="auto"/>
              <w:jc w:val="center"/>
              <w:rPr>
                <w:rFonts w:ascii="Arial" w:hAnsi="Arial" w:cs="Arial"/>
                <w:b/>
                <w:bCs/>
                <w:sz w:val="20"/>
                <w:szCs w:val="20"/>
              </w:rPr>
            </w:pPr>
            <w:r w:rsidRPr="00B30824">
              <w:rPr>
                <w:rFonts w:ascii="Arial" w:hAnsi="Arial" w:cs="Arial"/>
                <w:b/>
                <w:bCs/>
                <w:sz w:val="20"/>
                <w:szCs w:val="20"/>
              </w:rPr>
              <w:t>Net Return</w:t>
            </w:r>
          </w:p>
        </w:tc>
        <w:tc>
          <w:tcPr>
            <w:tcW w:w="2835" w:type="dxa"/>
            <w:gridSpan w:val="2"/>
            <w:hideMark/>
          </w:tcPr>
          <w:p w14:paraId="007F1592" w14:textId="77777777" w:rsidR="00B30824" w:rsidRPr="00B30824" w:rsidRDefault="00B30824" w:rsidP="0075359C">
            <w:pPr>
              <w:autoSpaceDE w:val="0"/>
              <w:autoSpaceDN w:val="0"/>
              <w:adjustRightInd w:val="0"/>
              <w:spacing w:line="360" w:lineRule="auto"/>
              <w:ind w:firstLine="720"/>
              <w:jc w:val="both"/>
              <w:rPr>
                <w:rFonts w:ascii="Arial" w:hAnsi="Arial" w:cs="Arial"/>
                <w:b/>
                <w:bCs/>
                <w:sz w:val="20"/>
                <w:szCs w:val="20"/>
              </w:rPr>
            </w:pPr>
            <w:r w:rsidRPr="00B30824">
              <w:rPr>
                <w:rFonts w:ascii="Arial" w:hAnsi="Arial" w:cs="Arial"/>
                <w:b/>
                <w:bCs/>
                <w:sz w:val="20"/>
                <w:szCs w:val="20"/>
              </w:rPr>
              <w:t>B:C Ratio</w:t>
            </w:r>
          </w:p>
        </w:tc>
      </w:tr>
      <w:tr w:rsidR="00B30824" w:rsidRPr="00B30824" w14:paraId="74808BF8" w14:textId="77777777" w:rsidTr="0075359C">
        <w:trPr>
          <w:trHeight w:val="58"/>
        </w:trPr>
        <w:tc>
          <w:tcPr>
            <w:tcW w:w="0" w:type="auto"/>
            <w:vMerge/>
            <w:hideMark/>
          </w:tcPr>
          <w:p w14:paraId="78A9295E" w14:textId="77777777" w:rsidR="00B30824" w:rsidRPr="00B30824" w:rsidRDefault="00B30824" w:rsidP="0075359C">
            <w:pPr>
              <w:autoSpaceDE w:val="0"/>
              <w:autoSpaceDN w:val="0"/>
              <w:adjustRightInd w:val="0"/>
              <w:spacing w:line="360" w:lineRule="auto"/>
              <w:ind w:firstLine="720"/>
              <w:jc w:val="both"/>
              <w:rPr>
                <w:rFonts w:ascii="Arial" w:hAnsi="Arial" w:cs="Arial"/>
                <w:b/>
                <w:bCs/>
                <w:sz w:val="20"/>
                <w:szCs w:val="20"/>
              </w:rPr>
            </w:pPr>
          </w:p>
        </w:tc>
        <w:tc>
          <w:tcPr>
            <w:tcW w:w="1711" w:type="dxa"/>
            <w:hideMark/>
          </w:tcPr>
          <w:p w14:paraId="0CA4E97C"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2022</w:t>
            </w:r>
          </w:p>
        </w:tc>
        <w:tc>
          <w:tcPr>
            <w:tcW w:w="1417" w:type="dxa"/>
            <w:hideMark/>
          </w:tcPr>
          <w:p w14:paraId="2D9DEC53"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2023</w:t>
            </w:r>
          </w:p>
        </w:tc>
        <w:tc>
          <w:tcPr>
            <w:tcW w:w="1276" w:type="dxa"/>
            <w:hideMark/>
          </w:tcPr>
          <w:p w14:paraId="1E80016C"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2022</w:t>
            </w:r>
          </w:p>
        </w:tc>
        <w:tc>
          <w:tcPr>
            <w:tcW w:w="1559" w:type="dxa"/>
            <w:hideMark/>
          </w:tcPr>
          <w:p w14:paraId="2FC35AD6"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2023</w:t>
            </w:r>
          </w:p>
        </w:tc>
      </w:tr>
      <w:tr w:rsidR="00B30824" w:rsidRPr="00B30824" w14:paraId="6215C9DA" w14:textId="77777777" w:rsidTr="0075359C">
        <w:trPr>
          <w:trHeight w:val="58"/>
        </w:trPr>
        <w:tc>
          <w:tcPr>
            <w:tcW w:w="1403" w:type="dxa"/>
            <w:hideMark/>
          </w:tcPr>
          <w:p w14:paraId="0286AD32"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1</w:t>
            </w:r>
          </w:p>
        </w:tc>
        <w:tc>
          <w:tcPr>
            <w:tcW w:w="1711" w:type="dxa"/>
            <w:hideMark/>
          </w:tcPr>
          <w:p w14:paraId="03AF13A3"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36344</w:t>
            </w:r>
          </w:p>
        </w:tc>
        <w:tc>
          <w:tcPr>
            <w:tcW w:w="1417" w:type="dxa"/>
            <w:hideMark/>
          </w:tcPr>
          <w:p w14:paraId="6E90F7BB"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37173</w:t>
            </w:r>
          </w:p>
        </w:tc>
        <w:tc>
          <w:tcPr>
            <w:tcW w:w="1276" w:type="dxa"/>
            <w:hideMark/>
          </w:tcPr>
          <w:p w14:paraId="4A7CB583"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2.47</w:t>
            </w:r>
          </w:p>
        </w:tc>
        <w:tc>
          <w:tcPr>
            <w:tcW w:w="1559" w:type="dxa"/>
            <w:hideMark/>
          </w:tcPr>
          <w:p w14:paraId="2D4C4592"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2.46</w:t>
            </w:r>
          </w:p>
        </w:tc>
      </w:tr>
      <w:tr w:rsidR="00B30824" w:rsidRPr="00B30824" w14:paraId="38E81D74" w14:textId="77777777" w:rsidTr="0075359C">
        <w:trPr>
          <w:trHeight w:val="279"/>
        </w:trPr>
        <w:tc>
          <w:tcPr>
            <w:tcW w:w="1403" w:type="dxa"/>
            <w:hideMark/>
          </w:tcPr>
          <w:p w14:paraId="78EDABE6"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2</w:t>
            </w:r>
          </w:p>
        </w:tc>
        <w:tc>
          <w:tcPr>
            <w:tcW w:w="1711" w:type="dxa"/>
            <w:hideMark/>
          </w:tcPr>
          <w:p w14:paraId="50E8927C"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41965</w:t>
            </w:r>
          </w:p>
        </w:tc>
        <w:tc>
          <w:tcPr>
            <w:tcW w:w="1417" w:type="dxa"/>
            <w:hideMark/>
          </w:tcPr>
          <w:p w14:paraId="054889AC"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40701</w:t>
            </w:r>
          </w:p>
        </w:tc>
        <w:tc>
          <w:tcPr>
            <w:tcW w:w="1276" w:type="dxa"/>
            <w:hideMark/>
          </w:tcPr>
          <w:p w14:paraId="4AD6512B"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2.69</w:t>
            </w:r>
          </w:p>
        </w:tc>
        <w:tc>
          <w:tcPr>
            <w:tcW w:w="1559" w:type="dxa"/>
            <w:hideMark/>
          </w:tcPr>
          <w:p w14:paraId="1AF4B59E"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2.59</w:t>
            </w:r>
          </w:p>
        </w:tc>
      </w:tr>
      <w:tr w:rsidR="00B30824" w:rsidRPr="00B30824" w14:paraId="119C0E03" w14:textId="77777777" w:rsidTr="0075359C">
        <w:trPr>
          <w:trHeight w:val="58"/>
        </w:trPr>
        <w:tc>
          <w:tcPr>
            <w:tcW w:w="1403" w:type="dxa"/>
            <w:hideMark/>
          </w:tcPr>
          <w:p w14:paraId="3BBEC7AD"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3</w:t>
            </w:r>
          </w:p>
        </w:tc>
        <w:tc>
          <w:tcPr>
            <w:tcW w:w="1711" w:type="dxa"/>
            <w:hideMark/>
          </w:tcPr>
          <w:p w14:paraId="20FF1E34"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43242</w:t>
            </w:r>
          </w:p>
        </w:tc>
        <w:tc>
          <w:tcPr>
            <w:tcW w:w="1417" w:type="dxa"/>
            <w:hideMark/>
          </w:tcPr>
          <w:p w14:paraId="76366902"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45107</w:t>
            </w:r>
          </w:p>
        </w:tc>
        <w:tc>
          <w:tcPr>
            <w:tcW w:w="1276" w:type="dxa"/>
            <w:hideMark/>
          </w:tcPr>
          <w:p w14:paraId="206773CE"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2.47</w:t>
            </w:r>
          </w:p>
        </w:tc>
        <w:tc>
          <w:tcPr>
            <w:tcW w:w="1559" w:type="dxa"/>
            <w:hideMark/>
          </w:tcPr>
          <w:p w14:paraId="3BD265E6"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2.49</w:t>
            </w:r>
          </w:p>
        </w:tc>
      </w:tr>
      <w:tr w:rsidR="00B30824" w:rsidRPr="00B30824" w14:paraId="660AAC0C" w14:textId="77777777" w:rsidTr="0075359C">
        <w:trPr>
          <w:trHeight w:val="259"/>
        </w:trPr>
        <w:tc>
          <w:tcPr>
            <w:tcW w:w="1403" w:type="dxa"/>
            <w:hideMark/>
          </w:tcPr>
          <w:p w14:paraId="2AD23A52"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4</w:t>
            </w:r>
          </w:p>
        </w:tc>
        <w:tc>
          <w:tcPr>
            <w:tcW w:w="1711" w:type="dxa"/>
            <w:hideMark/>
          </w:tcPr>
          <w:p w14:paraId="5E141C3A"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51034</w:t>
            </w:r>
          </w:p>
        </w:tc>
        <w:tc>
          <w:tcPr>
            <w:tcW w:w="1417" w:type="dxa"/>
            <w:hideMark/>
          </w:tcPr>
          <w:p w14:paraId="448BBF00"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57538</w:t>
            </w:r>
          </w:p>
        </w:tc>
        <w:tc>
          <w:tcPr>
            <w:tcW w:w="1276" w:type="dxa"/>
            <w:hideMark/>
          </w:tcPr>
          <w:p w14:paraId="402B4C59"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2.73</w:t>
            </w:r>
          </w:p>
        </w:tc>
        <w:tc>
          <w:tcPr>
            <w:tcW w:w="1559" w:type="dxa"/>
            <w:hideMark/>
          </w:tcPr>
          <w:p w14:paraId="581CDB01"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2.90</w:t>
            </w:r>
          </w:p>
        </w:tc>
      </w:tr>
      <w:tr w:rsidR="00B30824" w:rsidRPr="00B30824" w14:paraId="15B4C0AD" w14:textId="77777777" w:rsidTr="0075359C">
        <w:trPr>
          <w:trHeight w:val="93"/>
        </w:trPr>
        <w:tc>
          <w:tcPr>
            <w:tcW w:w="1403" w:type="dxa"/>
            <w:hideMark/>
          </w:tcPr>
          <w:p w14:paraId="42773DC6"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5</w:t>
            </w:r>
          </w:p>
        </w:tc>
        <w:tc>
          <w:tcPr>
            <w:tcW w:w="1711" w:type="dxa"/>
            <w:hideMark/>
          </w:tcPr>
          <w:p w14:paraId="7389A09B"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38639</w:t>
            </w:r>
          </w:p>
        </w:tc>
        <w:tc>
          <w:tcPr>
            <w:tcW w:w="1417" w:type="dxa"/>
            <w:hideMark/>
          </w:tcPr>
          <w:p w14:paraId="01E345AF"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36006</w:t>
            </w:r>
          </w:p>
        </w:tc>
        <w:tc>
          <w:tcPr>
            <w:tcW w:w="1276" w:type="dxa"/>
            <w:hideMark/>
          </w:tcPr>
          <w:p w14:paraId="06F5094B"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2.59</w:t>
            </w:r>
          </w:p>
        </w:tc>
        <w:tc>
          <w:tcPr>
            <w:tcW w:w="1559" w:type="dxa"/>
            <w:hideMark/>
          </w:tcPr>
          <w:p w14:paraId="01723701"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2.44</w:t>
            </w:r>
          </w:p>
        </w:tc>
      </w:tr>
      <w:tr w:rsidR="00B30824" w:rsidRPr="00B30824" w14:paraId="4F43C7A0" w14:textId="77777777" w:rsidTr="0075359C">
        <w:trPr>
          <w:trHeight w:val="58"/>
        </w:trPr>
        <w:tc>
          <w:tcPr>
            <w:tcW w:w="1403" w:type="dxa"/>
            <w:hideMark/>
          </w:tcPr>
          <w:p w14:paraId="52507495"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6</w:t>
            </w:r>
          </w:p>
        </w:tc>
        <w:tc>
          <w:tcPr>
            <w:tcW w:w="1711" w:type="dxa"/>
            <w:hideMark/>
          </w:tcPr>
          <w:p w14:paraId="73955E59"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36000</w:t>
            </w:r>
          </w:p>
        </w:tc>
        <w:tc>
          <w:tcPr>
            <w:tcW w:w="1417" w:type="dxa"/>
            <w:hideMark/>
          </w:tcPr>
          <w:p w14:paraId="44516B60"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37787</w:t>
            </w:r>
          </w:p>
        </w:tc>
        <w:tc>
          <w:tcPr>
            <w:tcW w:w="1276" w:type="dxa"/>
            <w:hideMark/>
          </w:tcPr>
          <w:p w14:paraId="02912336"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2.24</w:t>
            </w:r>
          </w:p>
        </w:tc>
        <w:tc>
          <w:tcPr>
            <w:tcW w:w="1559" w:type="dxa"/>
            <w:hideMark/>
          </w:tcPr>
          <w:p w14:paraId="15008039"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2.27</w:t>
            </w:r>
          </w:p>
        </w:tc>
      </w:tr>
      <w:tr w:rsidR="00B30824" w:rsidRPr="00B30824" w14:paraId="23D33AFB" w14:textId="77777777" w:rsidTr="0075359C">
        <w:trPr>
          <w:trHeight w:val="259"/>
        </w:trPr>
        <w:tc>
          <w:tcPr>
            <w:tcW w:w="1403" w:type="dxa"/>
            <w:hideMark/>
          </w:tcPr>
          <w:p w14:paraId="764E2973"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7</w:t>
            </w:r>
          </w:p>
        </w:tc>
        <w:tc>
          <w:tcPr>
            <w:tcW w:w="1711" w:type="dxa"/>
            <w:hideMark/>
          </w:tcPr>
          <w:p w14:paraId="2F99294C"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40639</w:t>
            </w:r>
          </w:p>
        </w:tc>
        <w:tc>
          <w:tcPr>
            <w:tcW w:w="1417" w:type="dxa"/>
            <w:hideMark/>
          </w:tcPr>
          <w:p w14:paraId="21D220A7"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52642</w:t>
            </w:r>
          </w:p>
        </w:tc>
        <w:tc>
          <w:tcPr>
            <w:tcW w:w="1276" w:type="dxa"/>
            <w:hideMark/>
          </w:tcPr>
          <w:p w14:paraId="153B6A8E"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2.40</w:t>
            </w:r>
          </w:p>
        </w:tc>
        <w:tc>
          <w:tcPr>
            <w:tcW w:w="1559" w:type="dxa"/>
            <w:hideMark/>
          </w:tcPr>
          <w:p w14:paraId="237392CB"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2.77</w:t>
            </w:r>
          </w:p>
        </w:tc>
      </w:tr>
      <w:tr w:rsidR="00B30824" w:rsidRPr="00B30824" w14:paraId="0C5BE3D4" w14:textId="77777777" w:rsidTr="0075359C">
        <w:trPr>
          <w:trHeight w:val="58"/>
        </w:trPr>
        <w:tc>
          <w:tcPr>
            <w:tcW w:w="1403" w:type="dxa"/>
            <w:hideMark/>
          </w:tcPr>
          <w:p w14:paraId="798A82BA" w14:textId="77777777" w:rsidR="00B30824" w:rsidRPr="00B30824" w:rsidRDefault="00B30824" w:rsidP="0075359C">
            <w:pPr>
              <w:autoSpaceDE w:val="0"/>
              <w:autoSpaceDN w:val="0"/>
              <w:adjustRightInd w:val="0"/>
              <w:spacing w:line="360" w:lineRule="auto"/>
              <w:jc w:val="both"/>
              <w:rPr>
                <w:rFonts w:ascii="Arial" w:hAnsi="Arial" w:cs="Arial"/>
                <w:b/>
                <w:bCs/>
                <w:sz w:val="20"/>
                <w:szCs w:val="20"/>
              </w:rPr>
            </w:pPr>
            <w:r w:rsidRPr="00B30824">
              <w:rPr>
                <w:rFonts w:ascii="Arial" w:hAnsi="Arial" w:cs="Arial"/>
                <w:b/>
                <w:bCs/>
                <w:sz w:val="20"/>
                <w:szCs w:val="20"/>
              </w:rPr>
              <w:t>T</w:t>
            </w:r>
            <w:r w:rsidRPr="00B30824">
              <w:rPr>
                <w:rFonts w:ascii="Arial" w:hAnsi="Arial" w:cs="Arial"/>
                <w:b/>
                <w:bCs/>
                <w:sz w:val="20"/>
                <w:szCs w:val="20"/>
                <w:vertAlign w:val="subscript"/>
              </w:rPr>
              <w:t>8</w:t>
            </w:r>
          </w:p>
        </w:tc>
        <w:tc>
          <w:tcPr>
            <w:tcW w:w="1711" w:type="dxa"/>
            <w:hideMark/>
          </w:tcPr>
          <w:p w14:paraId="51C607B7"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39214</w:t>
            </w:r>
          </w:p>
        </w:tc>
        <w:tc>
          <w:tcPr>
            <w:tcW w:w="1417" w:type="dxa"/>
            <w:hideMark/>
          </w:tcPr>
          <w:p w14:paraId="3522D1EB"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35198</w:t>
            </w:r>
          </w:p>
        </w:tc>
        <w:tc>
          <w:tcPr>
            <w:tcW w:w="1276" w:type="dxa"/>
            <w:hideMark/>
          </w:tcPr>
          <w:p w14:paraId="13DC076E"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2.47</w:t>
            </w:r>
          </w:p>
        </w:tc>
        <w:tc>
          <w:tcPr>
            <w:tcW w:w="1559" w:type="dxa"/>
            <w:hideMark/>
          </w:tcPr>
          <w:p w14:paraId="7B15BF61" w14:textId="77777777" w:rsidR="00B30824" w:rsidRPr="00B30824" w:rsidRDefault="00B30824" w:rsidP="0075359C">
            <w:pPr>
              <w:autoSpaceDE w:val="0"/>
              <w:autoSpaceDN w:val="0"/>
              <w:adjustRightInd w:val="0"/>
              <w:spacing w:line="360" w:lineRule="auto"/>
              <w:jc w:val="both"/>
              <w:rPr>
                <w:rFonts w:ascii="Arial" w:hAnsi="Arial" w:cs="Arial"/>
                <w:sz w:val="20"/>
                <w:szCs w:val="20"/>
              </w:rPr>
            </w:pPr>
            <w:r w:rsidRPr="00B30824">
              <w:rPr>
                <w:rFonts w:ascii="Arial" w:hAnsi="Arial" w:cs="Arial"/>
                <w:sz w:val="20"/>
                <w:szCs w:val="20"/>
              </w:rPr>
              <w:t>2.20</w:t>
            </w:r>
          </w:p>
        </w:tc>
      </w:tr>
    </w:tbl>
    <w:p w14:paraId="4384E428" w14:textId="77777777" w:rsidR="003E77C3" w:rsidRPr="003E77C3" w:rsidRDefault="003E77C3" w:rsidP="003E77C3">
      <w:pPr>
        <w:tabs>
          <w:tab w:val="left" w:pos="1080"/>
        </w:tabs>
        <w:jc w:val="both"/>
        <w:rPr>
          <w:rFonts w:ascii="Arial" w:hAnsi="Arial" w:cs="Arial"/>
        </w:rPr>
      </w:pPr>
    </w:p>
    <w:p w14:paraId="1B3B02AE" w14:textId="77777777" w:rsidR="00790ADA" w:rsidRPr="00FB3A86" w:rsidRDefault="00790ADA" w:rsidP="00441B6F">
      <w:pPr>
        <w:pStyle w:val="Body"/>
        <w:spacing w:after="0"/>
        <w:rPr>
          <w:rFonts w:ascii="Arial" w:hAnsi="Arial" w:cs="Arial"/>
        </w:rPr>
      </w:pPr>
    </w:p>
    <w:p w14:paraId="41E27CCA"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8DA3856" w14:textId="1293E466" w:rsidR="00790ADA" w:rsidRPr="00B30824" w:rsidRDefault="00B30824" w:rsidP="00441B6F">
      <w:pPr>
        <w:pStyle w:val="ConcHead"/>
        <w:spacing w:after="0"/>
        <w:jc w:val="both"/>
        <w:rPr>
          <w:rFonts w:ascii="Arial" w:hAnsi="Arial" w:cs="Arial"/>
          <w:b w:val="0"/>
          <w:bCs/>
          <w:sz w:val="20"/>
          <w:szCs w:val="18"/>
        </w:rPr>
      </w:pPr>
      <w:r w:rsidRPr="00B30824">
        <w:rPr>
          <w:rFonts w:ascii="Arial" w:hAnsi="Arial" w:cs="Arial"/>
          <w:b w:val="0"/>
          <w:bCs/>
          <w:caps w:val="0"/>
          <w:sz w:val="20"/>
          <w:szCs w:val="18"/>
        </w:rPr>
        <w:t xml:space="preserve">We can conclude the study with conclusion that treatment </w:t>
      </w:r>
      <w:r>
        <w:rPr>
          <w:rFonts w:ascii="Arial" w:hAnsi="Arial" w:cs="Arial"/>
          <w:b w:val="0"/>
          <w:bCs/>
          <w:caps w:val="0"/>
          <w:sz w:val="20"/>
          <w:szCs w:val="18"/>
        </w:rPr>
        <w:t>T</w:t>
      </w:r>
      <w:r w:rsidRPr="00B30824">
        <w:rPr>
          <w:rFonts w:ascii="Arial" w:hAnsi="Arial" w:cs="Arial"/>
          <w:b w:val="0"/>
          <w:bCs/>
          <w:caps w:val="0"/>
          <w:sz w:val="20"/>
          <w:szCs w:val="18"/>
          <w:vertAlign w:val="subscript"/>
        </w:rPr>
        <w:t>4</w:t>
      </w:r>
      <w:r w:rsidRPr="00B30824">
        <w:rPr>
          <w:rFonts w:ascii="Arial" w:hAnsi="Arial" w:cs="Arial"/>
          <w:b w:val="0"/>
          <w:bCs/>
          <w:caps w:val="0"/>
          <w:sz w:val="20"/>
          <w:szCs w:val="18"/>
        </w:rPr>
        <w:t xml:space="preserve"> (100% </w:t>
      </w:r>
      <w:r>
        <w:rPr>
          <w:rFonts w:ascii="Arial" w:hAnsi="Arial" w:cs="Arial"/>
          <w:b w:val="0"/>
          <w:bCs/>
          <w:caps w:val="0"/>
          <w:sz w:val="20"/>
          <w:szCs w:val="18"/>
        </w:rPr>
        <w:t>RDF</w:t>
      </w:r>
      <w:r w:rsidRPr="00B30824">
        <w:rPr>
          <w:rFonts w:ascii="Arial" w:hAnsi="Arial" w:cs="Arial"/>
          <w:b w:val="0"/>
          <w:bCs/>
          <w:caps w:val="0"/>
          <w:sz w:val="20"/>
          <w:szCs w:val="18"/>
        </w:rPr>
        <w:t xml:space="preserve"> + seed and soil application of microbial consortium) significantly improved growth, yield attributes, seed yield and economic returns of clusterbean. However, it was also seen that treatment </w:t>
      </w:r>
      <w:r>
        <w:rPr>
          <w:rFonts w:ascii="Arial" w:hAnsi="Arial" w:cs="Arial"/>
          <w:b w:val="0"/>
          <w:bCs/>
          <w:caps w:val="0"/>
          <w:sz w:val="20"/>
          <w:szCs w:val="18"/>
        </w:rPr>
        <w:t>T</w:t>
      </w:r>
      <w:r w:rsidRPr="00B30824">
        <w:rPr>
          <w:rFonts w:ascii="Arial" w:hAnsi="Arial" w:cs="Arial"/>
          <w:b w:val="0"/>
          <w:bCs/>
          <w:caps w:val="0"/>
          <w:sz w:val="20"/>
          <w:szCs w:val="18"/>
          <w:vertAlign w:val="subscript"/>
        </w:rPr>
        <w:t>7</w:t>
      </w:r>
      <w:r w:rsidRPr="00B30824">
        <w:rPr>
          <w:rFonts w:ascii="Arial" w:hAnsi="Arial" w:cs="Arial"/>
          <w:b w:val="0"/>
          <w:bCs/>
          <w:caps w:val="0"/>
          <w:sz w:val="20"/>
          <w:szCs w:val="18"/>
        </w:rPr>
        <w:t xml:space="preserve"> (75% </w:t>
      </w:r>
      <w:r>
        <w:rPr>
          <w:rFonts w:ascii="Arial" w:hAnsi="Arial" w:cs="Arial"/>
          <w:b w:val="0"/>
          <w:bCs/>
          <w:caps w:val="0"/>
          <w:sz w:val="20"/>
          <w:szCs w:val="18"/>
        </w:rPr>
        <w:t>RDF</w:t>
      </w:r>
      <w:r w:rsidRPr="00B30824">
        <w:rPr>
          <w:rFonts w:ascii="Arial" w:hAnsi="Arial" w:cs="Arial"/>
          <w:b w:val="0"/>
          <w:bCs/>
          <w:caps w:val="0"/>
          <w:sz w:val="20"/>
          <w:szCs w:val="18"/>
        </w:rPr>
        <w:t xml:space="preserve"> + seed and soil application) also performed at par in many cases which indicated that fertilizer dose can be reduced by 25% without compromising productivity and profitability. Thus, integrated use of microbial consortium with fertilizers can be considered as an effective and sustainable approach for clusterbean cultivation.</w:t>
      </w:r>
    </w:p>
    <w:p w14:paraId="39B2F47F" w14:textId="77777777" w:rsidR="00790ADA" w:rsidRPr="00FB3A86" w:rsidRDefault="00790ADA" w:rsidP="00441B6F">
      <w:pPr>
        <w:pStyle w:val="Body"/>
        <w:spacing w:after="0"/>
        <w:rPr>
          <w:rFonts w:ascii="Arial" w:hAnsi="Arial" w:cs="Arial"/>
        </w:rPr>
      </w:pPr>
    </w:p>
    <w:p w14:paraId="493A69D1" w14:textId="77777777" w:rsidR="00371FB6" w:rsidRPr="00371FB6" w:rsidRDefault="00371FB6" w:rsidP="00441B6F">
      <w:pPr>
        <w:pStyle w:val="ReferHead"/>
        <w:spacing w:after="0"/>
        <w:jc w:val="both"/>
        <w:rPr>
          <w:rFonts w:ascii="Arial" w:hAnsi="Arial" w:cs="Arial"/>
          <w:bCs/>
        </w:rPr>
      </w:pPr>
    </w:p>
    <w:p w14:paraId="00D08029" w14:textId="77777777" w:rsidR="002B685A" w:rsidRDefault="002B685A" w:rsidP="00441B6F">
      <w:pPr>
        <w:pStyle w:val="ReferHead"/>
        <w:spacing w:after="0"/>
        <w:jc w:val="both"/>
        <w:rPr>
          <w:rFonts w:ascii="Arial" w:hAnsi="Arial" w:cs="Arial"/>
          <w:b w:val="0"/>
          <w:caps w:val="0"/>
          <w:sz w:val="20"/>
        </w:rPr>
      </w:pPr>
    </w:p>
    <w:p w14:paraId="2B21255D" w14:textId="77777777" w:rsidR="00860000" w:rsidRDefault="00860000" w:rsidP="00441B6F">
      <w:pPr>
        <w:pStyle w:val="ReferHead"/>
        <w:spacing w:after="0"/>
        <w:jc w:val="both"/>
        <w:rPr>
          <w:rFonts w:ascii="Arial" w:hAnsi="Arial" w:cs="Arial"/>
        </w:rPr>
      </w:pPr>
    </w:p>
    <w:p w14:paraId="31A31EFA" w14:textId="77777777" w:rsidR="00B01FCD" w:rsidRPr="00953C57" w:rsidRDefault="00B01FCD" w:rsidP="00441B6F">
      <w:pPr>
        <w:pStyle w:val="ReferHead"/>
        <w:spacing w:after="0"/>
        <w:jc w:val="both"/>
        <w:rPr>
          <w:rFonts w:ascii="Arial" w:hAnsi="Arial" w:cs="Arial"/>
          <w:sz w:val="20"/>
        </w:rPr>
      </w:pPr>
      <w:r w:rsidRPr="00953C57">
        <w:rPr>
          <w:rFonts w:ascii="Arial" w:hAnsi="Arial" w:cs="Arial"/>
          <w:sz w:val="20"/>
        </w:rPr>
        <w:t>References</w:t>
      </w:r>
    </w:p>
    <w:p w14:paraId="18E2CB38" w14:textId="77777777" w:rsidR="00451D27" w:rsidRPr="00953C57" w:rsidRDefault="00451D27" w:rsidP="00441B6F">
      <w:pPr>
        <w:pStyle w:val="Body"/>
        <w:spacing w:after="0"/>
        <w:rPr>
          <w:rFonts w:ascii="Arial" w:hAnsi="Arial" w:cs="Arial"/>
        </w:rPr>
      </w:pPr>
    </w:p>
    <w:p w14:paraId="22F22B9A" w14:textId="77777777" w:rsidR="00F06AF6" w:rsidRPr="00953C57" w:rsidRDefault="00F06AF6" w:rsidP="00451D27">
      <w:pPr>
        <w:ind w:left="540" w:hanging="540"/>
        <w:jc w:val="both"/>
        <w:rPr>
          <w:rFonts w:ascii="Arial" w:hAnsi="Arial" w:cs="Arial"/>
        </w:rPr>
      </w:pPr>
      <w:r w:rsidRPr="00953C57">
        <w:rPr>
          <w:rFonts w:ascii="Arial" w:hAnsi="Arial" w:cs="Arial"/>
        </w:rPr>
        <w:t>Choudhary, M., Prasad, M., Mahawer, S.K., Rahul and Palsaniya, D.R., (2025). Nutrient Management Strategies for Sustainable Forage Production. </w:t>
      </w:r>
      <w:r w:rsidRPr="00953C57">
        <w:rPr>
          <w:rFonts w:ascii="Arial" w:hAnsi="Arial" w:cs="Arial"/>
          <w:i/>
          <w:iCs/>
        </w:rPr>
        <w:t>Indian Journal of Fertilisers</w:t>
      </w:r>
      <w:r w:rsidRPr="00953C57">
        <w:rPr>
          <w:rFonts w:ascii="Arial" w:hAnsi="Arial" w:cs="Arial"/>
        </w:rPr>
        <w:t>, 21(11), 1160-1169.</w:t>
      </w:r>
    </w:p>
    <w:p w14:paraId="3F7F7AA7" w14:textId="77777777" w:rsidR="00F06AF6" w:rsidRPr="00953C57" w:rsidRDefault="00F06AF6" w:rsidP="00451D27">
      <w:pPr>
        <w:ind w:left="540" w:hanging="540"/>
        <w:jc w:val="both"/>
        <w:rPr>
          <w:rFonts w:ascii="Arial" w:hAnsi="Arial" w:cs="Arial"/>
        </w:rPr>
      </w:pPr>
      <w:r w:rsidRPr="00953C57">
        <w:rPr>
          <w:rFonts w:ascii="Arial" w:hAnsi="Arial" w:cs="Arial"/>
        </w:rPr>
        <w:t xml:space="preserve">Choudhary, R.N., Sharma, O.P. and Choudhary, R.S. (2006) Effect of Varieties and Levels of Sulphur on Growth &amp; Yield of Cluster Bean. </w:t>
      </w:r>
      <w:r w:rsidRPr="00953C57">
        <w:rPr>
          <w:rFonts w:ascii="Arial" w:hAnsi="Arial" w:cs="Arial"/>
          <w:i/>
          <w:iCs/>
        </w:rPr>
        <w:t>Indian Journal of Fertilizers</w:t>
      </w:r>
      <w:r w:rsidRPr="00953C57">
        <w:rPr>
          <w:rFonts w:ascii="Arial" w:hAnsi="Arial" w:cs="Arial"/>
        </w:rPr>
        <w:t>, 2, 45-47.</w:t>
      </w:r>
    </w:p>
    <w:p w14:paraId="18912BFE" w14:textId="77777777" w:rsidR="00F06AF6" w:rsidRPr="00953C57" w:rsidRDefault="00F06AF6" w:rsidP="00065520">
      <w:pPr>
        <w:ind w:left="540" w:hanging="540"/>
        <w:jc w:val="both"/>
        <w:rPr>
          <w:rFonts w:ascii="Arial" w:hAnsi="Arial" w:cs="Arial"/>
        </w:rPr>
      </w:pPr>
      <w:r w:rsidRPr="00953C57">
        <w:rPr>
          <w:rFonts w:ascii="Arial" w:hAnsi="Arial" w:cs="Arial"/>
        </w:rPr>
        <w:t xml:space="preserve">Government of Rajasthan 2019-20. </w:t>
      </w:r>
      <w:r w:rsidRPr="00953C57">
        <w:rPr>
          <w:rFonts w:ascii="Arial" w:hAnsi="Arial" w:cs="Arial"/>
          <w:i/>
          <w:iCs/>
        </w:rPr>
        <w:t>Agricultural Statistics at a Glance</w:t>
      </w:r>
      <w:r w:rsidRPr="00953C57">
        <w:rPr>
          <w:rFonts w:ascii="Arial" w:hAnsi="Arial" w:cs="Arial"/>
        </w:rPr>
        <w:t>, Directorate of Agriculture, Rajasthan, Jaipur.</w:t>
      </w:r>
    </w:p>
    <w:p w14:paraId="14516227" w14:textId="77777777" w:rsidR="00F06AF6" w:rsidRPr="00953C57" w:rsidRDefault="00F06AF6" w:rsidP="00065520">
      <w:pPr>
        <w:ind w:left="540" w:hanging="540"/>
        <w:jc w:val="both"/>
        <w:rPr>
          <w:rFonts w:ascii="Arial" w:hAnsi="Arial" w:cs="Arial"/>
        </w:rPr>
      </w:pPr>
      <w:r w:rsidRPr="00953C57">
        <w:rPr>
          <w:rFonts w:ascii="Arial" w:hAnsi="Arial" w:cs="Arial"/>
        </w:rPr>
        <w:t>Hossain, K. R., Akter, S., Nanjeba, M., and Mahmud, M. A. (2024). Properties and performance of biopolymers in textile applications. In </w:t>
      </w:r>
      <w:r w:rsidRPr="00953C57">
        <w:rPr>
          <w:rFonts w:ascii="Arial" w:hAnsi="Arial" w:cs="Arial"/>
          <w:i/>
          <w:iCs/>
        </w:rPr>
        <w:t>Biopolymers in the Textile Industry: Opportunities and Limitations</w:t>
      </w:r>
      <w:r w:rsidRPr="00953C57">
        <w:rPr>
          <w:rFonts w:ascii="Arial" w:hAnsi="Arial" w:cs="Arial"/>
        </w:rPr>
        <w:t> (pp. 41-86). Singapore: Springer Nature Singapore.</w:t>
      </w:r>
    </w:p>
    <w:p w14:paraId="112F3276" w14:textId="77777777" w:rsidR="00F06AF6" w:rsidRPr="00953C57" w:rsidRDefault="00F06AF6" w:rsidP="00452CA7">
      <w:pPr>
        <w:ind w:left="540" w:hanging="540"/>
        <w:jc w:val="both"/>
        <w:rPr>
          <w:rFonts w:ascii="Arial" w:hAnsi="Arial" w:cs="Arial"/>
        </w:rPr>
      </w:pPr>
      <w:r w:rsidRPr="004B7533">
        <w:rPr>
          <w:rFonts w:ascii="Arial" w:hAnsi="Arial" w:cs="Arial"/>
        </w:rPr>
        <w:t>Jat, R. L., Dashora, L. N., Golada, S. L., &amp; Choudhary, R. (2012). Effect of phosphorus and sulphur levels on growth and yield of fenugreek. </w:t>
      </w:r>
      <w:r w:rsidRPr="004B7533">
        <w:rPr>
          <w:rFonts w:ascii="Arial" w:hAnsi="Arial" w:cs="Arial"/>
          <w:i/>
          <w:iCs/>
        </w:rPr>
        <w:t>Annals of plant and soil research</w:t>
      </w:r>
      <w:r w:rsidRPr="004B7533">
        <w:rPr>
          <w:rFonts w:ascii="Arial" w:hAnsi="Arial" w:cs="Arial"/>
        </w:rPr>
        <w:t>, </w:t>
      </w:r>
      <w:r w:rsidRPr="004B7533">
        <w:rPr>
          <w:rFonts w:ascii="Arial" w:hAnsi="Arial" w:cs="Arial"/>
          <w:i/>
          <w:iCs/>
        </w:rPr>
        <w:t>14</w:t>
      </w:r>
      <w:r w:rsidRPr="004B7533">
        <w:rPr>
          <w:rFonts w:ascii="Arial" w:hAnsi="Arial" w:cs="Arial"/>
        </w:rPr>
        <w:t>(2), 116-119.</w:t>
      </w:r>
    </w:p>
    <w:p w14:paraId="5AAF867F" w14:textId="77777777" w:rsidR="00F06AF6" w:rsidRDefault="00F06AF6" w:rsidP="00452CA7">
      <w:pPr>
        <w:ind w:left="540" w:hanging="540"/>
        <w:jc w:val="both"/>
        <w:rPr>
          <w:rFonts w:ascii="Arial" w:hAnsi="Arial" w:cs="Arial"/>
        </w:rPr>
      </w:pPr>
      <w:r w:rsidRPr="00953C57">
        <w:rPr>
          <w:rFonts w:ascii="Arial" w:hAnsi="Arial" w:cs="Arial"/>
        </w:rPr>
        <w:t>Kumawat, P. K., Tiwari, R. C., Golada, S. L., Godara, A. S., Garhwal, R. S., &amp; Ramniwas Choudhary, R. C. (2013). Effect of phosphorus sources, levels and biofertilizers on yield attributes, yield and economics of black gram (</w:t>
      </w:r>
      <w:commentRangeStart w:id="2"/>
      <w:r w:rsidRPr="00953C57">
        <w:rPr>
          <w:rFonts w:ascii="Arial" w:hAnsi="Arial" w:cs="Arial"/>
        </w:rPr>
        <w:t xml:space="preserve">Phaseolus mungo </w:t>
      </w:r>
      <w:commentRangeEnd w:id="2"/>
      <w:r w:rsidR="00FB263D" w:rsidRPr="00953C57">
        <w:rPr>
          <w:rStyle w:val="CommentReference"/>
          <w:rFonts w:ascii="Arial" w:hAnsi="Arial" w:cs="Arial"/>
          <w:sz w:val="20"/>
          <w:szCs w:val="20"/>
        </w:rPr>
        <w:commentReference w:id="2"/>
      </w:r>
      <w:r w:rsidRPr="00953C57">
        <w:rPr>
          <w:rFonts w:ascii="Arial" w:hAnsi="Arial" w:cs="Arial"/>
        </w:rPr>
        <w:t xml:space="preserve">L.). </w:t>
      </w:r>
      <w:r w:rsidRPr="00953C57">
        <w:rPr>
          <w:rFonts w:ascii="Arial" w:hAnsi="Arial" w:cs="Arial"/>
          <w:i/>
          <w:iCs/>
        </w:rPr>
        <w:t>Legume Research</w:t>
      </w:r>
      <w:r w:rsidRPr="00953C57">
        <w:rPr>
          <w:rFonts w:ascii="Arial" w:hAnsi="Arial" w:cs="Arial"/>
        </w:rPr>
        <w:t xml:space="preserve"> </w:t>
      </w:r>
      <w:r w:rsidRPr="00953C57">
        <w:rPr>
          <w:rFonts w:ascii="Arial" w:hAnsi="Arial" w:cs="Arial"/>
          <w:b/>
          <w:bCs/>
        </w:rPr>
        <w:t>36</w:t>
      </w:r>
      <w:r w:rsidRPr="00953C57">
        <w:rPr>
          <w:rFonts w:ascii="Arial" w:hAnsi="Arial" w:cs="Arial"/>
          <w:i/>
          <w:iCs/>
        </w:rPr>
        <w:t>(1)</w:t>
      </w:r>
      <w:r w:rsidRPr="00953C57">
        <w:rPr>
          <w:rFonts w:ascii="Arial" w:hAnsi="Arial" w:cs="Arial"/>
        </w:rPr>
        <w:t>:70 – 73.</w:t>
      </w:r>
    </w:p>
    <w:p w14:paraId="1AC7A7BB" w14:textId="77777777" w:rsidR="00F06AF6" w:rsidRPr="00953C57" w:rsidRDefault="00F06AF6" w:rsidP="00451D27">
      <w:pPr>
        <w:ind w:left="540" w:hanging="540"/>
        <w:jc w:val="both"/>
        <w:rPr>
          <w:rFonts w:ascii="Arial" w:hAnsi="Arial" w:cs="Arial"/>
        </w:rPr>
      </w:pPr>
      <w:r w:rsidRPr="00953C57">
        <w:rPr>
          <w:rFonts w:ascii="Arial" w:hAnsi="Arial" w:cs="Arial"/>
        </w:rPr>
        <w:t>Marimuthu, S., and Surendran, U. (2015). Effect of nutrients and plant growth regulators on growth and yield of black gram in sandy loam soils of Cauvery new delta zone, India. </w:t>
      </w:r>
      <w:r w:rsidRPr="00953C57">
        <w:rPr>
          <w:rFonts w:ascii="Arial" w:hAnsi="Arial" w:cs="Arial"/>
          <w:i/>
          <w:iCs/>
        </w:rPr>
        <w:t>Cogent Food &amp; Agriculture</w:t>
      </w:r>
      <w:r w:rsidRPr="00953C57">
        <w:rPr>
          <w:rFonts w:ascii="Arial" w:hAnsi="Arial" w:cs="Arial"/>
        </w:rPr>
        <w:t>, </w:t>
      </w:r>
      <w:r w:rsidRPr="00953C57">
        <w:rPr>
          <w:rFonts w:ascii="Arial" w:hAnsi="Arial" w:cs="Arial"/>
          <w:i/>
          <w:iCs/>
        </w:rPr>
        <w:t>1</w:t>
      </w:r>
      <w:r w:rsidRPr="00953C57">
        <w:rPr>
          <w:rFonts w:ascii="Arial" w:hAnsi="Arial" w:cs="Arial"/>
        </w:rPr>
        <w:t>(1), 1010415.</w:t>
      </w:r>
    </w:p>
    <w:p w14:paraId="787A727E" w14:textId="77777777" w:rsidR="00F06AF6" w:rsidRPr="00953C57" w:rsidRDefault="00F06AF6" w:rsidP="00451D27">
      <w:pPr>
        <w:ind w:left="540" w:hanging="540"/>
        <w:jc w:val="both"/>
        <w:rPr>
          <w:rFonts w:ascii="Arial" w:hAnsi="Arial" w:cs="Arial"/>
        </w:rPr>
      </w:pPr>
      <w:r w:rsidRPr="00953C57">
        <w:rPr>
          <w:rFonts w:ascii="Arial" w:hAnsi="Arial" w:cs="Arial"/>
        </w:rPr>
        <w:t>Nagrale, D. T., Chaurasia, A., Kumar, S., Gawande, S. P., Hiremani, N. S., Shankar, R. and Prasad, Y. G. (2023). PGPR: the treasure of multifarious beneficial microorganisms for nutrient mobilization, pest biocontrol and plant growth promotion in field crops. </w:t>
      </w:r>
      <w:r w:rsidRPr="00953C57">
        <w:rPr>
          <w:rFonts w:ascii="Arial" w:hAnsi="Arial" w:cs="Arial"/>
          <w:i/>
          <w:iCs/>
        </w:rPr>
        <w:t>World Journal of Microbiology and Biotechnology</w:t>
      </w:r>
      <w:r w:rsidRPr="00953C57">
        <w:rPr>
          <w:rFonts w:ascii="Arial" w:hAnsi="Arial" w:cs="Arial"/>
        </w:rPr>
        <w:t>, </w:t>
      </w:r>
      <w:r w:rsidRPr="00953C57">
        <w:rPr>
          <w:rFonts w:ascii="Arial" w:hAnsi="Arial" w:cs="Arial"/>
          <w:i/>
          <w:iCs/>
        </w:rPr>
        <w:t>39</w:t>
      </w:r>
      <w:r w:rsidRPr="00953C57">
        <w:rPr>
          <w:rFonts w:ascii="Arial" w:hAnsi="Arial" w:cs="Arial"/>
        </w:rPr>
        <w:t>(4), 100.</w:t>
      </w:r>
    </w:p>
    <w:p w14:paraId="0C874982" w14:textId="77777777" w:rsidR="00F06AF6" w:rsidRPr="00953C57" w:rsidRDefault="00F06AF6" w:rsidP="00451D27">
      <w:pPr>
        <w:ind w:left="540" w:hanging="540"/>
        <w:jc w:val="both"/>
        <w:rPr>
          <w:rFonts w:ascii="Arial" w:hAnsi="Arial" w:cs="Arial"/>
        </w:rPr>
      </w:pPr>
      <w:r w:rsidRPr="00953C57">
        <w:rPr>
          <w:rFonts w:ascii="Arial" w:hAnsi="Arial" w:cs="Arial"/>
        </w:rPr>
        <w:t>Panse V.G. and Shukhatme P.V. (1967). Statistical Methods for agricultural workers, 2nd edition, ICAR, New Delhi, 152-157.</w:t>
      </w:r>
    </w:p>
    <w:p w14:paraId="3D1BABE9" w14:textId="77777777" w:rsidR="00F06AF6" w:rsidRPr="00953C57" w:rsidRDefault="00F06AF6" w:rsidP="00065520">
      <w:pPr>
        <w:ind w:left="540" w:hanging="540"/>
        <w:jc w:val="both"/>
        <w:rPr>
          <w:rFonts w:ascii="Arial" w:hAnsi="Arial" w:cs="Arial"/>
        </w:rPr>
      </w:pPr>
      <w:r w:rsidRPr="00953C57">
        <w:rPr>
          <w:rFonts w:ascii="Arial" w:hAnsi="Arial" w:cs="Arial"/>
        </w:rPr>
        <w:t>Pradhan, S., Mitra, N. G., and Sahu, R. K. (2025). Microbial consortia enhance wheat productivity, plant nutrition and soil fertility in Vertisols of Central India. </w:t>
      </w:r>
      <w:r w:rsidRPr="00953C57">
        <w:rPr>
          <w:rFonts w:ascii="Arial" w:hAnsi="Arial" w:cs="Arial"/>
          <w:i/>
          <w:iCs/>
        </w:rPr>
        <w:t>Frontiers in Sustainable Food Systems</w:t>
      </w:r>
      <w:r w:rsidRPr="00953C57">
        <w:rPr>
          <w:rFonts w:ascii="Arial" w:hAnsi="Arial" w:cs="Arial"/>
        </w:rPr>
        <w:t>, </w:t>
      </w:r>
      <w:r w:rsidRPr="00953C57">
        <w:rPr>
          <w:rFonts w:ascii="Arial" w:hAnsi="Arial" w:cs="Arial"/>
          <w:i/>
          <w:iCs/>
        </w:rPr>
        <w:t>9</w:t>
      </w:r>
      <w:r w:rsidRPr="00953C57">
        <w:rPr>
          <w:rFonts w:ascii="Arial" w:hAnsi="Arial" w:cs="Arial"/>
        </w:rPr>
        <w:t>, 1699269.</w:t>
      </w:r>
    </w:p>
    <w:p w14:paraId="699EDF83" w14:textId="77777777" w:rsidR="00F06AF6" w:rsidRPr="00953C57" w:rsidRDefault="00F06AF6" w:rsidP="00065520">
      <w:pPr>
        <w:ind w:left="540" w:hanging="540"/>
        <w:jc w:val="both"/>
        <w:rPr>
          <w:rFonts w:ascii="Arial" w:hAnsi="Arial" w:cs="Arial"/>
        </w:rPr>
      </w:pPr>
      <w:r w:rsidRPr="00953C57">
        <w:rPr>
          <w:rFonts w:ascii="Arial" w:hAnsi="Arial" w:cs="Arial"/>
        </w:rPr>
        <w:t>Rahul, Meena, B. R., and Jeetarwal, V. (2025). Weed control methods affect weed dynamics, productivity and economics of clusterbean [</w:t>
      </w:r>
      <w:commentRangeStart w:id="3"/>
      <w:r w:rsidRPr="00953C57">
        <w:rPr>
          <w:rFonts w:ascii="Arial" w:hAnsi="Arial" w:cs="Arial"/>
        </w:rPr>
        <w:t xml:space="preserve">Cyamopsis tetragonoloba </w:t>
      </w:r>
      <w:commentRangeEnd w:id="3"/>
      <w:r w:rsidR="001C0AEA" w:rsidRPr="00953C57">
        <w:rPr>
          <w:rStyle w:val="CommentReference"/>
          <w:rFonts w:ascii="Arial" w:hAnsi="Arial" w:cs="Arial"/>
          <w:sz w:val="20"/>
          <w:szCs w:val="20"/>
        </w:rPr>
        <w:commentReference w:id="3"/>
      </w:r>
      <w:r w:rsidRPr="00953C57">
        <w:rPr>
          <w:rFonts w:ascii="Arial" w:hAnsi="Arial" w:cs="Arial"/>
        </w:rPr>
        <w:t>(L.) Taub.].</w:t>
      </w:r>
      <w:r w:rsidRPr="00953C57">
        <w:rPr>
          <w:rFonts w:ascii="Arial" w:hAnsi="Arial" w:cs="Arial"/>
          <w:color w:val="222222"/>
          <w:shd w:val="clear" w:color="auto" w:fill="FFFFFF"/>
        </w:rPr>
        <w:t xml:space="preserve"> </w:t>
      </w:r>
      <w:r w:rsidRPr="00953C57">
        <w:rPr>
          <w:rFonts w:ascii="Arial" w:hAnsi="Arial" w:cs="Arial"/>
          <w:i/>
          <w:iCs/>
        </w:rPr>
        <w:t>Annals of Agricultural Research</w:t>
      </w:r>
      <w:r w:rsidRPr="00953C57">
        <w:rPr>
          <w:rFonts w:ascii="Arial" w:hAnsi="Arial" w:cs="Arial"/>
        </w:rPr>
        <w:t>. 46(1)65-70.</w:t>
      </w:r>
    </w:p>
    <w:p w14:paraId="0EF18494" w14:textId="77777777" w:rsidR="00F06AF6" w:rsidRPr="00953C57" w:rsidRDefault="00F06AF6" w:rsidP="00451D27">
      <w:pPr>
        <w:ind w:left="540" w:hanging="540"/>
        <w:jc w:val="both"/>
        <w:rPr>
          <w:rFonts w:ascii="Arial" w:hAnsi="Arial" w:cs="Arial"/>
        </w:rPr>
      </w:pPr>
      <w:r w:rsidRPr="00953C57">
        <w:rPr>
          <w:rFonts w:ascii="Arial" w:hAnsi="Arial" w:cs="Arial"/>
        </w:rPr>
        <w:t>Singh, m., bijarnia, h., naruka, p., dhakar, b., and sharma, v. (2024). Effect of fertility levels and liquid biofertilizers on growth, yield and quality of clusterbean [</w:t>
      </w:r>
      <w:commentRangeStart w:id="4"/>
      <w:r w:rsidRPr="00953C57">
        <w:rPr>
          <w:rFonts w:ascii="Arial" w:hAnsi="Arial" w:cs="Arial"/>
        </w:rPr>
        <w:t xml:space="preserve">cyamopsis tetragonolba </w:t>
      </w:r>
      <w:commentRangeEnd w:id="4"/>
      <w:r w:rsidR="00FB263D" w:rsidRPr="00953C57">
        <w:rPr>
          <w:rStyle w:val="CommentReference"/>
          <w:rFonts w:ascii="Arial" w:hAnsi="Arial" w:cs="Arial"/>
          <w:sz w:val="20"/>
          <w:szCs w:val="20"/>
        </w:rPr>
        <w:commentReference w:id="4"/>
      </w:r>
      <w:r w:rsidRPr="00953C57">
        <w:rPr>
          <w:rFonts w:ascii="Arial" w:hAnsi="Arial" w:cs="Arial"/>
        </w:rPr>
        <w:t>(l.) Taub.]. </w:t>
      </w:r>
      <w:r w:rsidRPr="00953C57">
        <w:rPr>
          <w:rFonts w:ascii="Arial" w:hAnsi="Arial" w:cs="Arial"/>
          <w:i/>
          <w:iCs/>
        </w:rPr>
        <w:t>International journal of research</w:t>
      </w:r>
      <w:r w:rsidRPr="00953C57">
        <w:rPr>
          <w:rFonts w:ascii="Arial" w:hAnsi="Arial" w:cs="Arial"/>
        </w:rPr>
        <w:t>, </w:t>
      </w:r>
      <w:r w:rsidRPr="00953C57">
        <w:rPr>
          <w:rFonts w:ascii="Arial" w:hAnsi="Arial" w:cs="Arial"/>
          <w:i/>
          <w:iCs/>
        </w:rPr>
        <w:t>7</w:t>
      </w:r>
      <w:r w:rsidRPr="00953C57">
        <w:rPr>
          <w:rFonts w:ascii="Arial" w:hAnsi="Arial" w:cs="Arial"/>
        </w:rPr>
        <w:t>(9s), 928-931.</w:t>
      </w:r>
    </w:p>
    <w:p w14:paraId="6277C907" w14:textId="77777777" w:rsidR="00F06AF6" w:rsidRPr="00953C57" w:rsidRDefault="00F06AF6" w:rsidP="00452CA7">
      <w:pPr>
        <w:ind w:left="540" w:hanging="540"/>
        <w:jc w:val="both"/>
        <w:rPr>
          <w:rFonts w:ascii="Arial" w:hAnsi="Arial" w:cs="Arial"/>
        </w:rPr>
      </w:pPr>
      <w:r w:rsidRPr="00953C57">
        <w:rPr>
          <w:rFonts w:ascii="Arial" w:hAnsi="Arial" w:cs="Arial"/>
        </w:rPr>
        <w:t>Verma, A. K., Singh, A. K., Singh, A., Verma, R., Kumar, A., Singh, A., and Singh, U. (2025). Productivity of Blackgram (</w:t>
      </w:r>
      <w:commentRangeStart w:id="5"/>
      <w:r w:rsidRPr="00953C57">
        <w:rPr>
          <w:rFonts w:ascii="Arial" w:hAnsi="Arial" w:cs="Arial"/>
        </w:rPr>
        <w:t xml:space="preserve">Vigna mungo </w:t>
      </w:r>
      <w:commentRangeEnd w:id="5"/>
      <w:r w:rsidR="00FB263D" w:rsidRPr="00953C57">
        <w:rPr>
          <w:rStyle w:val="CommentReference"/>
          <w:rFonts w:ascii="Arial" w:hAnsi="Arial" w:cs="Arial"/>
          <w:sz w:val="20"/>
          <w:szCs w:val="20"/>
        </w:rPr>
        <w:commentReference w:id="5"/>
      </w:r>
      <w:r w:rsidRPr="00953C57">
        <w:rPr>
          <w:rFonts w:ascii="Arial" w:hAnsi="Arial" w:cs="Arial"/>
        </w:rPr>
        <w:t>L.) Influence by Biofertilizers and Variable Sources of Nutrients. </w:t>
      </w:r>
      <w:r w:rsidRPr="00953C57">
        <w:rPr>
          <w:rFonts w:ascii="Arial" w:hAnsi="Arial" w:cs="Arial"/>
          <w:i/>
          <w:iCs/>
        </w:rPr>
        <w:t>Legume Research-An International Journal</w:t>
      </w:r>
      <w:r w:rsidRPr="00953C57">
        <w:rPr>
          <w:rFonts w:ascii="Arial" w:hAnsi="Arial" w:cs="Arial"/>
        </w:rPr>
        <w:t>, </w:t>
      </w:r>
      <w:r w:rsidRPr="00953C57">
        <w:rPr>
          <w:rFonts w:ascii="Arial" w:hAnsi="Arial" w:cs="Arial"/>
          <w:i/>
          <w:iCs/>
        </w:rPr>
        <w:t>48</w:t>
      </w:r>
      <w:r w:rsidRPr="00953C57">
        <w:rPr>
          <w:rFonts w:ascii="Arial" w:hAnsi="Arial" w:cs="Arial"/>
        </w:rPr>
        <w:t>(10), 1766-1770.</w:t>
      </w:r>
    </w:p>
    <w:sectPr w:rsidR="00F06AF6" w:rsidRPr="00953C57" w:rsidSect="00730EB7">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nujayant24@outlook.com" w:date="2026-03-29T12:00:00Z" w:initials="r">
    <w:p w14:paraId="0C79254B" w14:textId="77777777" w:rsidR="00DD4DAB" w:rsidRDefault="00DD4DAB" w:rsidP="00DD4DAB">
      <w:pPr>
        <w:pStyle w:val="CommentText"/>
      </w:pPr>
      <w:r>
        <w:rPr>
          <w:rStyle w:val="CommentReference"/>
        </w:rPr>
        <w:annotationRef/>
      </w:r>
      <w:r>
        <w:t xml:space="preserve">Remove extra full stop </w:t>
      </w:r>
    </w:p>
  </w:comment>
  <w:comment w:id="1" w:author="renujayant24@outlook.com" w:date="2026-03-29T11:38:00Z" w:initials="r">
    <w:p w14:paraId="643FB343" w14:textId="77777777" w:rsidR="001C0AEA" w:rsidRDefault="001C0AEA" w:rsidP="001C0AEA">
      <w:pPr>
        <w:pStyle w:val="CommentText"/>
      </w:pPr>
      <w:r>
        <w:rPr>
          <w:rStyle w:val="CommentReference"/>
        </w:rPr>
        <w:annotationRef/>
      </w:r>
      <w:r>
        <w:t xml:space="preserve">Arrange alphabetically </w:t>
      </w:r>
    </w:p>
  </w:comment>
  <w:comment w:id="2" w:author="renujayant24@outlook.com" w:date="2026-03-29T11:53:00Z" w:initials="r">
    <w:p w14:paraId="27B50823" w14:textId="29DFCD28" w:rsidR="00DD4DAB" w:rsidRDefault="00FB263D" w:rsidP="00DD4DAB">
      <w:pPr>
        <w:pStyle w:val="CommentText"/>
      </w:pPr>
      <w:r>
        <w:rPr>
          <w:rStyle w:val="CommentReference"/>
        </w:rPr>
        <w:annotationRef/>
      </w:r>
      <w:r w:rsidR="00DD4DAB">
        <w:t>In italics</w:t>
      </w:r>
    </w:p>
  </w:comment>
  <w:comment w:id="3" w:author="renujayant24@outlook.com" w:date="2026-03-29T11:40:00Z" w:initials="r">
    <w:p w14:paraId="68B27A28" w14:textId="77777777" w:rsidR="00DD4DAB" w:rsidRDefault="001C0AEA" w:rsidP="00DD4DAB">
      <w:pPr>
        <w:pStyle w:val="CommentText"/>
      </w:pPr>
      <w:r>
        <w:rPr>
          <w:rStyle w:val="CommentReference"/>
        </w:rPr>
        <w:annotationRef/>
      </w:r>
      <w:r w:rsidR="00DD4DAB">
        <w:t>In italics</w:t>
      </w:r>
    </w:p>
  </w:comment>
  <w:comment w:id="4" w:author="renujayant24@outlook.com" w:date="2026-03-29T11:53:00Z" w:initials="r">
    <w:p w14:paraId="6F6AD334" w14:textId="77777777" w:rsidR="00DD4DAB" w:rsidRDefault="00FB263D" w:rsidP="00DD4DAB">
      <w:pPr>
        <w:pStyle w:val="CommentText"/>
      </w:pPr>
      <w:r>
        <w:rPr>
          <w:rStyle w:val="CommentReference"/>
        </w:rPr>
        <w:annotationRef/>
      </w:r>
      <w:r w:rsidR="00DD4DAB">
        <w:t>In italics</w:t>
      </w:r>
    </w:p>
  </w:comment>
  <w:comment w:id="5" w:author="renujayant24@outlook.com" w:date="2026-03-29T11:53:00Z" w:initials="r">
    <w:p w14:paraId="7986BE2E" w14:textId="77777777" w:rsidR="00DD4DAB" w:rsidRDefault="00FB263D" w:rsidP="00DD4DAB">
      <w:pPr>
        <w:pStyle w:val="CommentText"/>
      </w:pPr>
      <w:r>
        <w:rPr>
          <w:rStyle w:val="CommentReference"/>
        </w:rPr>
        <w:annotationRef/>
      </w:r>
      <w:r w:rsidR="00DD4DAB">
        <w:t>In italics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79254B" w15:done="0"/>
  <w15:commentEx w15:paraId="643FB343" w15:done="0"/>
  <w15:commentEx w15:paraId="27B50823" w15:done="0"/>
  <w15:commentEx w15:paraId="68B27A28" w15:done="0"/>
  <w15:commentEx w15:paraId="6F6AD334" w15:done="0"/>
  <w15:commentEx w15:paraId="7986BE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AAF691" w16cex:dateUtc="2026-03-29T06:30:00Z"/>
  <w16cex:commentExtensible w16cex:durableId="523D7454" w16cex:dateUtc="2026-03-29T06:08:00Z"/>
  <w16cex:commentExtensible w16cex:durableId="28AE22ED" w16cex:dateUtc="2026-03-29T06:23:00Z"/>
  <w16cex:commentExtensible w16cex:durableId="07D333A8" w16cex:dateUtc="2026-03-29T06:10:00Z"/>
  <w16cex:commentExtensible w16cex:durableId="2339C55B" w16cex:dateUtc="2026-03-29T06:23:00Z"/>
  <w16cex:commentExtensible w16cex:durableId="54660800" w16cex:dateUtc="2026-03-29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79254B" w16cid:durableId="64AAF691"/>
  <w16cid:commentId w16cid:paraId="643FB343" w16cid:durableId="523D7454"/>
  <w16cid:commentId w16cid:paraId="27B50823" w16cid:durableId="28AE22ED"/>
  <w16cid:commentId w16cid:paraId="68B27A28" w16cid:durableId="07D333A8"/>
  <w16cid:commentId w16cid:paraId="6F6AD334" w16cid:durableId="2339C55B"/>
  <w16cid:commentId w16cid:paraId="7986BE2E" w16cid:durableId="546608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5412" w14:textId="77777777" w:rsidR="00E93B1A" w:rsidRDefault="00E93B1A" w:rsidP="00C37E61">
      <w:r>
        <w:separator/>
      </w:r>
    </w:p>
  </w:endnote>
  <w:endnote w:type="continuationSeparator" w:id="0">
    <w:p w14:paraId="2AD72074" w14:textId="77777777" w:rsidR="00E93B1A" w:rsidRDefault="00E93B1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4AAB" w14:textId="77777777" w:rsidR="00730EB7" w:rsidRDefault="0073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52DE" w14:textId="794EE0F8" w:rsidR="00C37E61" w:rsidRPr="00153D94" w:rsidRDefault="00A25601" w:rsidP="00153D94">
    <w:pPr>
      <w:pStyle w:val="Footer"/>
    </w:pPr>
    <w:r w:rsidRPr="00153D9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7E90" w14:textId="5001ABAC" w:rsidR="00754C9A" w:rsidRPr="00730EB7" w:rsidRDefault="00754C9A" w:rsidP="0073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FFF72" w14:textId="77777777" w:rsidR="00E93B1A" w:rsidRDefault="00E93B1A" w:rsidP="00C37E61">
      <w:r>
        <w:separator/>
      </w:r>
    </w:p>
  </w:footnote>
  <w:footnote w:type="continuationSeparator" w:id="0">
    <w:p w14:paraId="0BFD2003" w14:textId="77777777" w:rsidR="00E93B1A" w:rsidRDefault="00E93B1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672C" w14:textId="7A8C9E65" w:rsidR="00730EB7" w:rsidRDefault="00000000">
    <w:pPr>
      <w:pStyle w:val="Header"/>
    </w:pPr>
    <w:r>
      <w:rPr>
        <w:noProof/>
      </w:rPr>
      <w:pict w14:anchorId="2C094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68054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5946" w14:textId="4474CDA2" w:rsidR="00730EB7" w:rsidRDefault="00000000">
    <w:pPr>
      <w:pStyle w:val="Header"/>
    </w:pPr>
    <w:r>
      <w:rPr>
        <w:noProof/>
      </w:rPr>
      <w:pict w14:anchorId="648B0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68054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739B" w14:textId="42BCCF0B" w:rsidR="00296529" w:rsidRPr="00296529" w:rsidRDefault="00000000" w:rsidP="00296529">
    <w:pPr>
      <w:ind w:left="2160"/>
      <w:jc w:val="center"/>
      <w:rPr>
        <w:rFonts w:ascii="Times New Roman" w:eastAsia="Calibri" w:hAnsi="Times New Roman"/>
        <w:i/>
        <w:sz w:val="18"/>
        <w:szCs w:val="22"/>
      </w:rPr>
    </w:pPr>
    <w:r>
      <w:rPr>
        <w:noProof/>
      </w:rPr>
      <w:pict w14:anchorId="2BB7B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68054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6AC1D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9A7E3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E7DCA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094EC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21282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0E28A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33953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87434535">
    <w:abstractNumId w:val="15"/>
  </w:num>
  <w:num w:numId="3" w16cid:durableId="103890100">
    <w:abstractNumId w:val="23"/>
  </w:num>
  <w:num w:numId="4" w16cid:durableId="19172043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40018896">
    <w:abstractNumId w:val="7"/>
  </w:num>
  <w:num w:numId="6" w16cid:durableId="1886673528">
    <w:abstractNumId w:val="6"/>
  </w:num>
  <w:num w:numId="7" w16cid:durableId="264072754">
    <w:abstractNumId w:val="1"/>
  </w:num>
  <w:num w:numId="8" w16cid:durableId="1266768688">
    <w:abstractNumId w:val="12"/>
  </w:num>
  <w:num w:numId="9" w16cid:durableId="1425683865">
    <w:abstractNumId w:val="25"/>
  </w:num>
  <w:num w:numId="10" w16cid:durableId="2021472023">
    <w:abstractNumId w:val="2"/>
  </w:num>
  <w:num w:numId="11" w16cid:durableId="243339310">
    <w:abstractNumId w:val="18"/>
  </w:num>
  <w:num w:numId="12" w16cid:durableId="58292227">
    <w:abstractNumId w:val="3"/>
  </w:num>
  <w:num w:numId="13" w16cid:durableId="438531529">
    <w:abstractNumId w:val="17"/>
  </w:num>
  <w:num w:numId="14" w16cid:durableId="452670127">
    <w:abstractNumId w:val="8"/>
  </w:num>
  <w:num w:numId="15" w16cid:durableId="1699620118">
    <w:abstractNumId w:val="21"/>
  </w:num>
  <w:num w:numId="16" w16cid:durableId="878592886">
    <w:abstractNumId w:val="5"/>
  </w:num>
  <w:num w:numId="17" w16cid:durableId="2125343551">
    <w:abstractNumId w:val="22"/>
  </w:num>
  <w:num w:numId="18" w16cid:durableId="851451576">
    <w:abstractNumId w:val="14"/>
  </w:num>
  <w:num w:numId="19" w16cid:durableId="527138254">
    <w:abstractNumId w:val="28"/>
  </w:num>
  <w:num w:numId="20" w16cid:durableId="629897460">
    <w:abstractNumId w:val="11"/>
  </w:num>
  <w:num w:numId="21" w16cid:durableId="72506621">
    <w:abstractNumId w:val="9"/>
  </w:num>
  <w:num w:numId="22" w16cid:durableId="1154837507">
    <w:abstractNumId w:val="13"/>
  </w:num>
  <w:num w:numId="23" w16cid:durableId="1119879488">
    <w:abstractNumId w:val="19"/>
  </w:num>
  <w:num w:numId="24" w16cid:durableId="227228911">
    <w:abstractNumId w:val="26"/>
  </w:num>
  <w:num w:numId="25" w16cid:durableId="7878303">
    <w:abstractNumId w:val="4"/>
  </w:num>
  <w:num w:numId="26" w16cid:durableId="1294365826">
    <w:abstractNumId w:val="16"/>
  </w:num>
  <w:num w:numId="27" w16cid:durableId="424959969">
    <w:abstractNumId w:val="20"/>
  </w:num>
  <w:num w:numId="28" w16cid:durableId="427969976">
    <w:abstractNumId w:val="27"/>
  </w:num>
  <w:num w:numId="29" w16cid:durableId="1615215530">
    <w:abstractNumId w:val="24"/>
  </w:num>
  <w:num w:numId="30" w16cid:durableId="2340376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nujayant24@outlook.com">
    <w15:presenceInfo w15:providerId="Windows Live" w15:userId="64675e79ef42e2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6C42"/>
    <w:rsid w:val="00065520"/>
    <w:rsid w:val="000A47FA"/>
    <w:rsid w:val="000A65D3"/>
    <w:rsid w:val="000B1E33"/>
    <w:rsid w:val="000D689F"/>
    <w:rsid w:val="000E7B7B"/>
    <w:rsid w:val="000E7D62"/>
    <w:rsid w:val="000F5FC6"/>
    <w:rsid w:val="00103357"/>
    <w:rsid w:val="00123C9F"/>
    <w:rsid w:val="00126190"/>
    <w:rsid w:val="00130F17"/>
    <w:rsid w:val="001320BF"/>
    <w:rsid w:val="00153D94"/>
    <w:rsid w:val="00163BC4"/>
    <w:rsid w:val="00191062"/>
    <w:rsid w:val="00192B72"/>
    <w:rsid w:val="001A29D8"/>
    <w:rsid w:val="001A5CAA"/>
    <w:rsid w:val="001B0427"/>
    <w:rsid w:val="001C0AEA"/>
    <w:rsid w:val="001D3A51"/>
    <w:rsid w:val="001E10D2"/>
    <w:rsid w:val="001E25B4"/>
    <w:rsid w:val="001E44FE"/>
    <w:rsid w:val="00200595"/>
    <w:rsid w:val="00204835"/>
    <w:rsid w:val="00231920"/>
    <w:rsid w:val="0023195C"/>
    <w:rsid w:val="0024282C"/>
    <w:rsid w:val="002460DC"/>
    <w:rsid w:val="00250985"/>
    <w:rsid w:val="002556F6"/>
    <w:rsid w:val="00271490"/>
    <w:rsid w:val="00283105"/>
    <w:rsid w:val="00284C4C"/>
    <w:rsid w:val="00287E68"/>
    <w:rsid w:val="00296529"/>
    <w:rsid w:val="002A0D9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47A8"/>
    <w:rsid w:val="003E2904"/>
    <w:rsid w:val="003E77C3"/>
    <w:rsid w:val="00401927"/>
    <w:rsid w:val="0041027F"/>
    <w:rsid w:val="00412475"/>
    <w:rsid w:val="00423789"/>
    <w:rsid w:val="00440F43"/>
    <w:rsid w:val="00441B6F"/>
    <w:rsid w:val="00446221"/>
    <w:rsid w:val="00450E62"/>
    <w:rsid w:val="00451D27"/>
    <w:rsid w:val="00452CA7"/>
    <w:rsid w:val="004539DB"/>
    <w:rsid w:val="00471A80"/>
    <w:rsid w:val="004B7533"/>
    <w:rsid w:val="004D305E"/>
    <w:rsid w:val="004D4277"/>
    <w:rsid w:val="00502516"/>
    <w:rsid w:val="00505F06"/>
    <w:rsid w:val="00506828"/>
    <w:rsid w:val="0053056E"/>
    <w:rsid w:val="00554FDA"/>
    <w:rsid w:val="005770B1"/>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1B0B"/>
    <w:rsid w:val="006F11EC"/>
    <w:rsid w:val="0070082C"/>
    <w:rsid w:val="00730EB7"/>
    <w:rsid w:val="007369E6"/>
    <w:rsid w:val="00743DAE"/>
    <w:rsid w:val="00746E59"/>
    <w:rsid w:val="00754C9A"/>
    <w:rsid w:val="0075599A"/>
    <w:rsid w:val="00761D52"/>
    <w:rsid w:val="0077749E"/>
    <w:rsid w:val="00785B98"/>
    <w:rsid w:val="00790ADA"/>
    <w:rsid w:val="00796214"/>
    <w:rsid w:val="007D2288"/>
    <w:rsid w:val="007E088F"/>
    <w:rsid w:val="007F7B32"/>
    <w:rsid w:val="00804BC2"/>
    <w:rsid w:val="0081431A"/>
    <w:rsid w:val="0083216F"/>
    <w:rsid w:val="00842C99"/>
    <w:rsid w:val="00860000"/>
    <w:rsid w:val="00863BD3"/>
    <w:rsid w:val="008641ED"/>
    <w:rsid w:val="00866D66"/>
    <w:rsid w:val="008671C6"/>
    <w:rsid w:val="00875803"/>
    <w:rsid w:val="00897121"/>
    <w:rsid w:val="008B459E"/>
    <w:rsid w:val="008E13AE"/>
    <w:rsid w:val="008E1506"/>
    <w:rsid w:val="008E710C"/>
    <w:rsid w:val="008F69D6"/>
    <w:rsid w:val="00902823"/>
    <w:rsid w:val="00915CA6"/>
    <w:rsid w:val="00927834"/>
    <w:rsid w:val="009500A6"/>
    <w:rsid w:val="00953C57"/>
    <w:rsid w:val="00957C18"/>
    <w:rsid w:val="009659BA"/>
    <w:rsid w:val="00983040"/>
    <w:rsid w:val="009B30F3"/>
    <w:rsid w:val="009B3FB9"/>
    <w:rsid w:val="009C2465"/>
    <w:rsid w:val="009D35A0"/>
    <w:rsid w:val="009D7EB7"/>
    <w:rsid w:val="009E048A"/>
    <w:rsid w:val="009E08E9"/>
    <w:rsid w:val="009E3DB9"/>
    <w:rsid w:val="009E6E35"/>
    <w:rsid w:val="009F0EDA"/>
    <w:rsid w:val="00A03B96"/>
    <w:rsid w:val="00A05B19"/>
    <w:rsid w:val="00A1134E"/>
    <w:rsid w:val="00A24E7E"/>
    <w:rsid w:val="00A25601"/>
    <w:rsid w:val="00A258C3"/>
    <w:rsid w:val="00A347C0"/>
    <w:rsid w:val="00A51431"/>
    <w:rsid w:val="00A52F9E"/>
    <w:rsid w:val="00A539AD"/>
    <w:rsid w:val="00A92B43"/>
    <w:rsid w:val="00A94063"/>
    <w:rsid w:val="00AA6219"/>
    <w:rsid w:val="00AA74E0"/>
    <w:rsid w:val="00AB703F"/>
    <w:rsid w:val="00AC6BB8"/>
    <w:rsid w:val="00AD3476"/>
    <w:rsid w:val="00AE008F"/>
    <w:rsid w:val="00B01FCD"/>
    <w:rsid w:val="00B1776C"/>
    <w:rsid w:val="00B30824"/>
    <w:rsid w:val="00B47E85"/>
    <w:rsid w:val="00B52583"/>
    <w:rsid w:val="00B52896"/>
    <w:rsid w:val="00B53762"/>
    <w:rsid w:val="00B95236"/>
    <w:rsid w:val="00B96BD9"/>
    <w:rsid w:val="00BA1B01"/>
    <w:rsid w:val="00BA2641"/>
    <w:rsid w:val="00BB2ACF"/>
    <w:rsid w:val="00BB37AA"/>
    <w:rsid w:val="00BC53A0"/>
    <w:rsid w:val="00BC634D"/>
    <w:rsid w:val="00BE62AD"/>
    <w:rsid w:val="00BF121F"/>
    <w:rsid w:val="00BF1F80"/>
    <w:rsid w:val="00C13F2C"/>
    <w:rsid w:val="00C166EF"/>
    <w:rsid w:val="00C17EB0"/>
    <w:rsid w:val="00C27F5F"/>
    <w:rsid w:val="00C30A0F"/>
    <w:rsid w:val="00C37E61"/>
    <w:rsid w:val="00C70F1B"/>
    <w:rsid w:val="00C71A47"/>
    <w:rsid w:val="00C7464C"/>
    <w:rsid w:val="00C85588"/>
    <w:rsid w:val="00CB50D7"/>
    <w:rsid w:val="00CD6755"/>
    <w:rsid w:val="00CD6856"/>
    <w:rsid w:val="00CE0089"/>
    <w:rsid w:val="00CE793C"/>
    <w:rsid w:val="00CF193C"/>
    <w:rsid w:val="00D173F1"/>
    <w:rsid w:val="00D74CB0"/>
    <w:rsid w:val="00D8295D"/>
    <w:rsid w:val="00DC2A65"/>
    <w:rsid w:val="00DD4DAB"/>
    <w:rsid w:val="00DE15F0"/>
    <w:rsid w:val="00DE5663"/>
    <w:rsid w:val="00DE78AA"/>
    <w:rsid w:val="00E053D0"/>
    <w:rsid w:val="00E15994"/>
    <w:rsid w:val="00E3114E"/>
    <w:rsid w:val="00E31A70"/>
    <w:rsid w:val="00E35B02"/>
    <w:rsid w:val="00E439DA"/>
    <w:rsid w:val="00E66496"/>
    <w:rsid w:val="00E66B35"/>
    <w:rsid w:val="00E66E10"/>
    <w:rsid w:val="00E769F6"/>
    <w:rsid w:val="00E8407C"/>
    <w:rsid w:val="00E84F3C"/>
    <w:rsid w:val="00E93B1A"/>
    <w:rsid w:val="00EA012C"/>
    <w:rsid w:val="00EA7017"/>
    <w:rsid w:val="00EC6A55"/>
    <w:rsid w:val="00ED0288"/>
    <w:rsid w:val="00EE52CB"/>
    <w:rsid w:val="00EF581D"/>
    <w:rsid w:val="00EF7FD8"/>
    <w:rsid w:val="00F06AF6"/>
    <w:rsid w:val="00F06F59"/>
    <w:rsid w:val="00F17988"/>
    <w:rsid w:val="00F469F0"/>
    <w:rsid w:val="00F53273"/>
    <w:rsid w:val="00F755E4"/>
    <w:rsid w:val="00F77D02"/>
    <w:rsid w:val="00FB263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534B04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1C0AEA"/>
    <w:rPr>
      <w:rFonts w:ascii="Helvetica" w:hAnsi="Helvetica"/>
      <w:b/>
      <w:bCs/>
      <w:lang w:val="en-US" w:eastAsia="en-US"/>
    </w:rPr>
  </w:style>
  <w:style w:type="character" w:customStyle="1" w:styleId="CommentSubjectChar">
    <w:name w:val="Comment Subject Char"/>
    <w:basedOn w:val="CommentTextChar"/>
    <w:link w:val="CommentSubject"/>
    <w:semiHidden/>
    <w:rsid w:val="001C0AE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Sheet1!$E$5:$E$6</c:f>
              <c:strCache>
                <c:ptCount val="2"/>
                <c:pt idx="0">
                  <c:v>Seed Yield (kg /ha)</c:v>
                </c:pt>
                <c:pt idx="1">
                  <c:v>2022</c:v>
                </c:pt>
              </c:strCache>
            </c:strRef>
          </c:tx>
          <c:spPr>
            <a:solidFill>
              <a:schemeClr val="accent1"/>
            </a:solidFill>
            <a:ln>
              <a:noFill/>
            </a:ln>
            <a:effectLst/>
          </c:spPr>
          <c:invertIfNegative val="0"/>
          <c:cat>
            <c:strRef>
              <c:f>Sheet1!$D$7:$D$14</c:f>
              <c:strCache>
                <c:ptCount val="8"/>
                <c:pt idx="0">
                  <c:v>T1</c:v>
                </c:pt>
                <c:pt idx="1">
                  <c:v>T2</c:v>
                </c:pt>
                <c:pt idx="2">
                  <c:v>T3</c:v>
                </c:pt>
                <c:pt idx="3">
                  <c:v>T4</c:v>
                </c:pt>
                <c:pt idx="4">
                  <c:v>T5</c:v>
                </c:pt>
                <c:pt idx="5">
                  <c:v>T6</c:v>
                </c:pt>
                <c:pt idx="6">
                  <c:v>T7</c:v>
                </c:pt>
                <c:pt idx="7">
                  <c:v>T8</c:v>
                </c:pt>
              </c:strCache>
            </c:strRef>
          </c:cat>
          <c:val>
            <c:numRef>
              <c:f>Sheet1!$E$7:$E$14</c:f>
              <c:numCache>
                <c:formatCode>General</c:formatCode>
                <c:ptCount val="8"/>
                <c:pt idx="0">
                  <c:v>1056</c:v>
                </c:pt>
                <c:pt idx="1">
                  <c:v>1153</c:v>
                </c:pt>
                <c:pt idx="2">
                  <c:v>1264</c:v>
                </c:pt>
                <c:pt idx="3">
                  <c:v>1416</c:v>
                </c:pt>
                <c:pt idx="4">
                  <c:v>1086</c:v>
                </c:pt>
                <c:pt idx="5">
                  <c:v>1147</c:v>
                </c:pt>
                <c:pt idx="6">
                  <c:v>1236</c:v>
                </c:pt>
                <c:pt idx="7">
                  <c:v>1200</c:v>
                </c:pt>
              </c:numCache>
            </c:numRef>
          </c:val>
          <c:extLst>
            <c:ext xmlns:c16="http://schemas.microsoft.com/office/drawing/2014/chart" uri="{C3380CC4-5D6E-409C-BE32-E72D297353CC}">
              <c16:uniqueId val="{00000000-A8F0-40F9-9AB6-DA5205AB73BB}"/>
            </c:ext>
          </c:extLst>
        </c:ser>
        <c:ser>
          <c:idx val="1"/>
          <c:order val="1"/>
          <c:tx>
            <c:strRef>
              <c:f>Sheet1!$F$5:$F$6</c:f>
              <c:strCache>
                <c:ptCount val="2"/>
                <c:pt idx="0">
                  <c:v>Seed Yield (kg /ha)</c:v>
                </c:pt>
                <c:pt idx="1">
                  <c:v>2023</c:v>
                </c:pt>
              </c:strCache>
            </c:strRef>
          </c:tx>
          <c:spPr>
            <a:solidFill>
              <a:schemeClr val="accent2"/>
            </a:solidFill>
            <a:ln>
              <a:noFill/>
            </a:ln>
            <a:effectLst/>
          </c:spPr>
          <c:invertIfNegative val="0"/>
          <c:cat>
            <c:strRef>
              <c:f>Sheet1!$D$7:$D$14</c:f>
              <c:strCache>
                <c:ptCount val="8"/>
                <c:pt idx="0">
                  <c:v>T1</c:v>
                </c:pt>
                <c:pt idx="1">
                  <c:v>T2</c:v>
                </c:pt>
                <c:pt idx="2">
                  <c:v>T3</c:v>
                </c:pt>
                <c:pt idx="3">
                  <c:v>T4</c:v>
                </c:pt>
                <c:pt idx="4">
                  <c:v>T5</c:v>
                </c:pt>
                <c:pt idx="5">
                  <c:v>T6</c:v>
                </c:pt>
                <c:pt idx="6">
                  <c:v>T7</c:v>
                </c:pt>
                <c:pt idx="7">
                  <c:v>T8</c:v>
                </c:pt>
              </c:strCache>
            </c:strRef>
          </c:cat>
          <c:val>
            <c:numRef>
              <c:f>Sheet1!$F$7:$F$14</c:f>
              <c:numCache>
                <c:formatCode>General</c:formatCode>
                <c:ptCount val="8"/>
                <c:pt idx="0">
                  <c:v>1030</c:v>
                </c:pt>
                <c:pt idx="1">
                  <c:v>1092</c:v>
                </c:pt>
                <c:pt idx="2">
                  <c:v>1259</c:v>
                </c:pt>
                <c:pt idx="3">
                  <c:v>1454</c:v>
                </c:pt>
                <c:pt idx="4">
                  <c:v>1009</c:v>
                </c:pt>
                <c:pt idx="5">
                  <c:v>1128</c:v>
                </c:pt>
                <c:pt idx="6">
                  <c:v>1389</c:v>
                </c:pt>
                <c:pt idx="7">
                  <c:v>1072</c:v>
                </c:pt>
              </c:numCache>
            </c:numRef>
          </c:val>
          <c:extLst>
            <c:ext xmlns:c16="http://schemas.microsoft.com/office/drawing/2014/chart" uri="{C3380CC4-5D6E-409C-BE32-E72D297353CC}">
              <c16:uniqueId val="{00000001-A8F0-40F9-9AB6-DA5205AB73BB}"/>
            </c:ext>
          </c:extLst>
        </c:ser>
        <c:dLbls>
          <c:showLegendKey val="0"/>
          <c:showVal val="0"/>
          <c:showCatName val="0"/>
          <c:showSerName val="0"/>
          <c:showPercent val="0"/>
          <c:showBubbleSize val="0"/>
        </c:dLbls>
        <c:gapWidth val="269"/>
        <c:axId val="552422159"/>
        <c:axId val="552414479"/>
      </c:barChart>
      <c:lineChart>
        <c:grouping val="standard"/>
        <c:varyColors val="0"/>
        <c:ser>
          <c:idx val="2"/>
          <c:order val="2"/>
          <c:tx>
            <c:strRef>
              <c:f>Sheet1!$G$5:$G$6</c:f>
              <c:strCache>
                <c:ptCount val="2"/>
                <c:pt idx="0">
                  <c:v>Seed Yield (kg /ha)</c:v>
                </c:pt>
                <c:pt idx="1">
                  <c:v>Pooled </c:v>
                </c:pt>
              </c:strCache>
            </c:strRef>
          </c:tx>
          <c:spPr>
            <a:ln w="38100" cap="rnd">
              <a:solidFill>
                <a:schemeClr val="accent3"/>
              </a:solidFill>
              <a:round/>
            </a:ln>
            <a:effectLst/>
          </c:spPr>
          <c:marker>
            <c:symbol val="none"/>
          </c:marker>
          <c:cat>
            <c:strRef>
              <c:f>Sheet1!$D$7:$D$14</c:f>
              <c:strCache>
                <c:ptCount val="8"/>
                <c:pt idx="0">
                  <c:v>T1</c:v>
                </c:pt>
                <c:pt idx="1">
                  <c:v>T2</c:v>
                </c:pt>
                <c:pt idx="2">
                  <c:v>T3</c:v>
                </c:pt>
                <c:pt idx="3">
                  <c:v>T4</c:v>
                </c:pt>
                <c:pt idx="4">
                  <c:v>T5</c:v>
                </c:pt>
                <c:pt idx="5">
                  <c:v>T6</c:v>
                </c:pt>
                <c:pt idx="6">
                  <c:v>T7</c:v>
                </c:pt>
                <c:pt idx="7">
                  <c:v>T8</c:v>
                </c:pt>
              </c:strCache>
            </c:strRef>
          </c:cat>
          <c:val>
            <c:numRef>
              <c:f>Sheet1!$G$7:$G$14</c:f>
              <c:numCache>
                <c:formatCode>General</c:formatCode>
                <c:ptCount val="8"/>
                <c:pt idx="0">
                  <c:v>1043</c:v>
                </c:pt>
                <c:pt idx="1">
                  <c:v>1123</c:v>
                </c:pt>
                <c:pt idx="2">
                  <c:v>1262</c:v>
                </c:pt>
                <c:pt idx="3">
                  <c:v>1435</c:v>
                </c:pt>
                <c:pt idx="4">
                  <c:v>1048</c:v>
                </c:pt>
                <c:pt idx="5">
                  <c:v>1138</c:v>
                </c:pt>
                <c:pt idx="6">
                  <c:v>1313</c:v>
                </c:pt>
                <c:pt idx="7">
                  <c:v>1136</c:v>
                </c:pt>
              </c:numCache>
            </c:numRef>
          </c:val>
          <c:smooth val="0"/>
          <c:extLst>
            <c:ext xmlns:c16="http://schemas.microsoft.com/office/drawing/2014/chart" uri="{C3380CC4-5D6E-409C-BE32-E72D297353CC}">
              <c16:uniqueId val="{00000002-A8F0-40F9-9AB6-DA5205AB73BB}"/>
            </c:ext>
          </c:extLst>
        </c:ser>
        <c:dLbls>
          <c:showLegendKey val="0"/>
          <c:showVal val="0"/>
          <c:showCatName val="0"/>
          <c:showSerName val="0"/>
          <c:showPercent val="0"/>
          <c:showBubbleSize val="0"/>
        </c:dLbls>
        <c:marker val="1"/>
        <c:smooth val="0"/>
        <c:axId val="552416879"/>
        <c:axId val="552433199"/>
      </c:lineChart>
      <c:catAx>
        <c:axId val="55242215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552414479"/>
        <c:crosses val="autoZero"/>
        <c:auto val="1"/>
        <c:lblAlgn val="ctr"/>
        <c:lblOffset val="100"/>
        <c:noMultiLvlLbl val="0"/>
      </c:catAx>
      <c:valAx>
        <c:axId val="552414479"/>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2422159"/>
        <c:crosses val="autoZero"/>
        <c:crossBetween val="between"/>
      </c:valAx>
      <c:valAx>
        <c:axId val="552433199"/>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2416879"/>
        <c:crosses val="max"/>
        <c:crossBetween val="between"/>
      </c:valAx>
      <c:catAx>
        <c:axId val="552416879"/>
        <c:scaling>
          <c:orientation val="minMax"/>
        </c:scaling>
        <c:delete val="1"/>
        <c:axPos val="b"/>
        <c:numFmt formatCode="General" sourceLinked="1"/>
        <c:majorTickMark val="out"/>
        <c:minorTickMark val="none"/>
        <c:tickLblPos val="nextTo"/>
        <c:crossAx val="552433199"/>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BE34F-ED46-4794-9ABE-E6D4E70B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2963</TotalTime>
  <Pages>6</Pages>
  <Words>2490</Words>
  <Characters>14198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16655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renujayant24@outlook.com</cp:lastModifiedBy>
  <cp:revision>26</cp:revision>
  <cp:lastPrinted>1999-07-06T11:00:00Z</cp:lastPrinted>
  <dcterms:created xsi:type="dcterms:W3CDTF">2014-10-25T14:34:00Z</dcterms:created>
  <dcterms:modified xsi:type="dcterms:W3CDTF">2026-03-29T06:30:00Z</dcterms:modified>
</cp:coreProperties>
</file>